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CC373">
      <w:pPr>
        <w:spacing w:beforeLines="200" w:afterLines="100"/>
        <w:jc w:val="left"/>
        <w:rPr>
          <w:rFonts w:hint="eastAsia" w:ascii="宋体" w:hAnsi="宋体" w:eastAsia="宋体" w:cs="宋体"/>
          <w:color w:val="auto"/>
          <w:w w:val="63"/>
          <w:sz w:val="96"/>
          <w:szCs w:val="86"/>
        </w:rPr>
      </w:pPr>
    </w:p>
    <w:p w14:paraId="6DC7DBA3">
      <w:pPr>
        <w:spacing w:beforeLines="200" w:afterLines="100"/>
        <w:jc w:val="center"/>
        <w:rPr>
          <w:rFonts w:hint="eastAsia" w:ascii="宋体" w:hAnsi="宋体" w:eastAsia="宋体" w:cs="宋体"/>
          <w:color w:val="auto"/>
          <w:w w:val="63"/>
          <w:sz w:val="96"/>
          <w:szCs w:val="86"/>
        </w:rPr>
      </w:pPr>
      <w:r>
        <w:rPr>
          <w:rFonts w:hint="eastAsia" w:ascii="宋体" w:hAnsi="宋体" w:eastAsia="宋体" w:cs="宋体"/>
          <w:color w:val="auto"/>
          <w:w w:val="63"/>
          <w:sz w:val="96"/>
          <w:szCs w:val="86"/>
        </w:rPr>
        <w:t>山西省政府采购电子交易项目</w:t>
      </w:r>
    </w:p>
    <w:p w14:paraId="51854C45">
      <w:pPr>
        <w:pStyle w:val="12"/>
        <w:jc w:val="center"/>
        <w:rPr>
          <w:rFonts w:hint="eastAsia" w:ascii="宋体" w:hAnsi="宋体" w:eastAsia="宋体" w:cs="宋体"/>
          <w:color w:val="auto"/>
        </w:rPr>
      </w:pPr>
    </w:p>
    <w:p w14:paraId="29D4734F">
      <w:pPr>
        <w:pStyle w:val="32"/>
        <w:jc w:val="center"/>
        <w:rPr>
          <w:rFonts w:hint="eastAsia" w:ascii="宋体" w:hAnsi="宋体" w:eastAsia="宋体" w:cs="宋体"/>
          <w:color w:val="auto"/>
        </w:rPr>
      </w:pPr>
    </w:p>
    <w:p w14:paraId="27575D72">
      <w:pPr>
        <w:spacing w:beforeLines="150" w:afterLines="50"/>
        <w:jc w:val="center"/>
        <w:rPr>
          <w:rFonts w:hint="eastAsia" w:ascii="宋体" w:hAnsi="宋体" w:eastAsia="宋体" w:cs="宋体"/>
          <w:color w:val="auto"/>
          <w:w w:val="80"/>
          <w:sz w:val="96"/>
          <w:szCs w:val="86"/>
        </w:rPr>
      </w:pPr>
      <w:r>
        <w:rPr>
          <w:rFonts w:hint="eastAsia" w:ascii="宋体" w:hAnsi="宋体" w:eastAsia="宋体" w:cs="宋体"/>
          <w:color w:val="auto"/>
          <w:w w:val="80"/>
          <w:sz w:val="96"/>
          <w:szCs w:val="86"/>
        </w:rPr>
        <w:t>竞争性磋商文件</w:t>
      </w:r>
    </w:p>
    <w:p w14:paraId="641EEEDD">
      <w:pPr>
        <w:adjustRightInd w:val="0"/>
        <w:snapToGrid w:val="0"/>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（工程）</w:t>
      </w:r>
    </w:p>
    <w:p w14:paraId="16CDE468">
      <w:pPr>
        <w:adjustRightInd w:val="0"/>
        <w:snapToGrid w:val="0"/>
        <w:spacing w:line="480" w:lineRule="auto"/>
        <w:jc w:val="left"/>
        <w:rPr>
          <w:rFonts w:hint="eastAsia" w:ascii="宋体" w:hAnsi="宋体" w:eastAsia="宋体" w:cs="宋体"/>
          <w:b/>
          <w:bCs/>
          <w:color w:val="auto"/>
          <w:sz w:val="30"/>
          <w:szCs w:val="30"/>
        </w:rPr>
      </w:pPr>
    </w:p>
    <w:p w14:paraId="18BB44F9">
      <w:pPr>
        <w:adjustRightInd w:val="0"/>
        <w:snapToGrid w:val="0"/>
        <w:spacing w:line="480" w:lineRule="auto"/>
        <w:ind w:firstLine="900" w:firstLineChars="300"/>
        <w:jc w:val="left"/>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项目编号：1410302026BCS00022</w:t>
      </w:r>
    </w:p>
    <w:p w14:paraId="0E5A212C">
      <w:pPr>
        <w:adjustRightInd w:val="0"/>
        <w:snapToGrid w:val="0"/>
        <w:spacing w:line="480" w:lineRule="auto"/>
        <w:ind w:left="886" w:leftChars="422"/>
        <w:jc w:val="left"/>
        <w:rPr>
          <w:rFonts w:hint="eastAsia" w:ascii="宋体" w:hAnsi="宋体" w:eastAsia="宋体" w:cs="宋体"/>
          <w:bCs/>
          <w:color w:val="auto"/>
          <w:sz w:val="30"/>
          <w:szCs w:val="30"/>
        </w:rPr>
      </w:pPr>
      <w:r>
        <w:rPr>
          <w:rFonts w:hint="eastAsia" w:ascii="宋体" w:hAnsi="宋体" w:eastAsia="宋体" w:cs="宋体"/>
          <w:bCs/>
          <w:color w:val="auto"/>
          <w:sz w:val="30"/>
          <w:szCs w:val="30"/>
        </w:rPr>
        <w:t>项目名称：</w:t>
      </w:r>
      <w:r>
        <w:rPr>
          <w:rFonts w:hint="eastAsia" w:ascii="宋体" w:hAnsi="宋体" w:cs="宋体"/>
          <w:bCs/>
          <w:color w:val="auto"/>
          <w:sz w:val="30"/>
          <w:szCs w:val="30"/>
          <w:lang w:val="en-US" w:eastAsia="zh-CN"/>
        </w:rPr>
        <w:t>太古镇2026年蔬菜大棚新建改造项目</w:t>
      </w:r>
    </w:p>
    <w:p w14:paraId="219F2D8E">
      <w:pPr>
        <w:adjustRightInd w:val="0"/>
        <w:snapToGrid w:val="0"/>
        <w:spacing w:line="480" w:lineRule="auto"/>
        <w:ind w:firstLine="900" w:firstLineChars="300"/>
        <w:jc w:val="left"/>
        <w:rPr>
          <w:rFonts w:hint="eastAsia" w:ascii="宋体" w:hAnsi="宋体" w:cs="宋体"/>
          <w:bCs/>
          <w:color w:val="auto"/>
          <w:sz w:val="30"/>
          <w:szCs w:val="30"/>
          <w:lang w:val="en-US" w:eastAsia="zh-CN"/>
        </w:rPr>
      </w:pPr>
      <w:r>
        <w:rPr>
          <w:rFonts w:hint="eastAsia" w:ascii="宋体" w:hAnsi="宋体" w:eastAsia="宋体" w:cs="宋体"/>
          <w:bCs/>
          <w:color w:val="auto"/>
          <w:sz w:val="30"/>
          <w:szCs w:val="30"/>
        </w:rPr>
        <w:t>采购人：</w:t>
      </w:r>
      <w:r>
        <w:rPr>
          <w:rFonts w:hint="eastAsia" w:ascii="宋体" w:hAnsi="宋体" w:cs="宋体"/>
          <w:bCs/>
          <w:color w:val="auto"/>
          <w:sz w:val="30"/>
          <w:szCs w:val="30"/>
          <w:lang w:val="en-US" w:eastAsia="zh-CN"/>
        </w:rPr>
        <w:t>大宁县太古镇人民政府</w:t>
      </w:r>
    </w:p>
    <w:p w14:paraId="1CCC5BB9">
      <w:pPr>
        <w:adjustRightInd w:val="0"/>
        <w:snapToGrid w:val="0"/>
        <w:spacing w:line="480" w:lineRule="auto"/>
        <w:ind w:firstLine="900" w:firstLineChars="300"/>
        <w:jc w:val="left"/>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rPr>
        <w:t>代理机构：</w:t>
      </w:r>
      <w:r>
        <w:rPr>
          <w:rFonts w:hint="eastAsia" w:ascii="宋体" w:hAnsi="宋体" w:cs="宋体"/>
          <w:bCs/>
          <w:color w:val="auto"/>
          <w:sz w:val="30"/>
          <w:szCs w:val="30"/>
          <w:lang w:eastAsia="zh-CN"/>
        </w:rPr>
        <w:t>山西新昱工程项目管理有限公司</w:t>
      </w:r>
    </w:p>
    <w:p w14:paraId="397B47F4">
      <w:pPr>
        <w:adjustRightInd w:val="0"/>
        <w:snapToGrid w:val="0"/>
        <w:spacing w:line="480" w:lineRule="auto"/>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日期：202</w:t>
      </w:r>
      <w:r>
        <w:rPr>
          <w:rFonts w:hint="eastAsia" w:ascii="宋体" w:hAnsi="宋体" w:cs="宋体"/>
          <w:bCs/>
          <w:color w:val="auto"/>
          <w:sz w:val="30"/>
          <w:szCs w:val="30"/>
          <w:highlight w:val="none"/>
          <w:lang w:val="en-US" w:eastAsia="zh-CN"/>
        </w:rPr>
        <w:t>6</w:t>
      </w:r>
      <w:r>
        <w:rPr>
          <w:rFonts w:hint="eastAsia" w:ascii="宋体" w:hAnsi="宋体" w:eastAsia="宋体" w:cs="宋体"/>
          <w:bCs/>
          <w:color w:val="auto"/>
          <w:sz w:val="30"/>
          <w:szCs w:val="30"/>
          <w:highlight w:val="none"/>
        </w:rPr>
        <w:t>年</w:t>
      </w:r>
      <w:r>
        <w:rPr>
          <w:rFonts w:hint="eastAsia" w:ascii="宋体" w:hAnsi="宋体" w:cs="宋体"/>
          <w:bCs/>
          <w:color w:val="auto"/>
          <w:sz w:val="30"/>
          <w:szCs w:val="30"/>
          <w:highlight w:val="none"/>
          <w:lang w:val="en-US" w:eastAsia="zh-CN"/>
        </w:rPr>
        <w:t>4</w:t>
      </w:r>
      <w:r>
        <w:rPr>
          <w:rFonts w:hint="eastAsia" w:ascii="宋体" w:hAnsi="宋体" w:eastAsia="宋体" w:cs="宋体"/>
          <w:bCs/>
          <w:color w:val="auto"/>
          <w:sz w:val="30"/>
          <w:szCs w:val="30"/>
          <w:highlight w:val="none"/>
        </w:rPr>
        <w:t>月</w:t>
      </w:r>
    </w:p>
    <w:p w14:paraId="193A81D7">
      <w:pPr>
        <w:adjustRightInd w:val="0"/>
        <w:snapToGrid w:val="0"/>
        <w:spacing w:line="480" w:lineRule="auto"/>
        <w:ind w:left="1680" w:leftChars="800"/>
        <w:jc w:val="left"/>
        <w:rPr>
          <w:rFonts w:hint="eastAsia" w:ascii="宋体" w:hAnsi="宋体" w:eastAsia="宋体" w:cs="宋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260" w:header="720" w:footer="720" w:gutter="0"/>
          <w:pgNumType w:fmt="decimal" w:start="0"/>
          <w:cols w:space="720" w:num="1"/>
          <w:titlePg/>
          <w:docGrid w:linePitch="286" w:charSpace="-3831"/>
        </w:sectPr>
      </w:pPr>
    </w:p>
    <w:p w14:paraId="4FE8E384">
      <w:pPr>
        <w:adjustRightInd w:val="0"/>
        <w:snapToGrid w:val="0"/>
        <w:spacing w:line="30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目录</w:t>
      </w:r>
    </w:p>
    <w:p w14:paraId="17206F7E">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color w:val="auto"/>
          <w:sz w:val="32"/>
          <w:szCs w:val="32"/>
          <w:highlight w:val="none"/>
        </w:rPr>
      </w:pPr>
      <w:bookmarkStart w:id="0" w:name="_Toc293343927"/>
      <w:bookmarkStart w:id="1" w:name="_Toc2158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\z \u</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"_Toc81341315"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竞争性磋商公告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_Toc81341315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6EFA20">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"_Toc81341316"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磋商须知及前附表</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_Toc81341316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1A6250">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b/>
          <w:bCs/>
          <w:caps/>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"_Toc81341329"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kern w:val="44"/>
          <w:sz w:val="32"/>
          <w:szCs w:val="32"/>
          <w:highlight w:val="none"/>
        </w:rPr>
        <w:t>第三章  采购内容</w:t>
      </w:r>
      <w:r>
        <w:rPr>
          <w:rStyle w:val="29"/>
          <w:rFonts w:hint="eastAsia" w:ascii="宋体" w:hAnsi="宋体" w:eastAsia="宋体" w:cs="宋体"/>
          <w:color w:val="auto"/>
          <w:kern w:val="44"/>
          <w:sz w:val="32"/>
          <w:szCs w:val="32"/>
          <w:highlight w:val="none"/>
        </w:rPr>
        <w:fldChar w:fldCharType="end"/>
      </w:r>
      <w:r>
        <w:rPr>
          <w:rStyle w:val="29"/>
          <w:rFonts w:hint="eastAsia" w:ascii="宋体" w:hAnsi="宋体" w:eastAsia="宋体" w:cs="宋体"/>
          <w:color w:val="auto"/>
          <w:kern w:val="44"/>
          <w:sz w:val="32"/>
          <w:szCs w:val="32"/>
          <w:highlight w:val="none"/>
          <w:u w:val="none"/>
        </w:rPr>
        <w:t>及技术要求</w:t>
      </w:r>
      <w:r>
        <w:rPr>
          <w:rStyle w:val="29"/>
          <w:rFonts w:hint="eastAsia" w:ascii="宋体" w:hAnsi="宋体" w:eastAsia="宋体" w:cs="宋体"/>
          <w:color w:val="auto"/>
          <w:sz w:val="32"/>
          <w:szCs w:val="32"/>
          <w:highlight w:val="none"/>
          <w:u w:val="none"/>
        </w:rPr>
        <w:tab/>
      </w:r>
      <w:r>
        <w:rPr>
          <w:rStyle w:val="29"/>
          <w:rFonts w:hint="eastAsia" w:ascii="宋体" w:hAnsi="宋体" w:eastAsia="宋体" w:cs="宋体"/>
          <w:color w:val="auto"/>
          <w:sz w:val="32"/>
          <w:szCs w:val="32"/>
          <w:highlight w:val="none"/>
          <w:u w:val="none"/>
        </w:rPr>
        <w:fldChar w:fldCharType="begin"/>
      </w:r>
      <w:r>
        <w:rPr>
          <w:rStyle w:val="29"/>
          <w:rFonts w:hint="eastAsia" w:ascii="宋体" w:hAnsi="宋体" w:eastAsia="宋体" w:cs="宋体"/>
          <w:color w:val="auto"/>
          <w:sz w:val="32"/>
          <w:szCs w:val="32"/>
          <w:highlight w:val="none"/>
          <w:u w:val="none"/>
        </w:rPr>
        <w:instrText xml:space="preserve"> PAGEREF _Toc81341328 \h </w:instrText>
      </w:r>
      <w:r>
        <w:rPr>
          <w:rStyle w:val="29"/>
          <w:rFonts w:hint="eastAsia" w:ascii="宋体" w:hAnsi="宋体" w:eastAsia="宋体" w:cs="宋体"/>
          <w:color w:val="auto"/>
          <w:sz w:val="32"/>
          <w:szCs w:val="32"/>
          <w:highlight w:val="none"/>
          <w:u w:val="none"/>
        </w:rPr>
        <w:fldChar w:fldCharType="separate"/>
      </w:r>
      <w:r>
        <w:rPr>
          <w:rStyle w:val="29"/>
          <w:rFonts w:hint="eastAsia" w:ascii="宋体" w:hAnsi="宋体" w:eastAsia="宋体" w:cs="宋体"/>
          <w:color w:val="auto"/>
          <w:sz w:val="32"/>
          <w:szCs w:val="32"/>
          <w:highlight w:val="none"/>
          <w:u w:val="none"/>
        </w:rPr>
        <w:t>37</w:t>
      </w:r>
      <w:r>
        <w:rPr>
          <w:rStyle w:val="29"/>
          <w:rFonts w:hint="eastAsia" w:ascii="宋体" w:hAnsi="宋体" w:eastAsia="宋体" w:cs="宋体"/>
          <w:color w:val="auto"/>
          <w:sz w:val="32"/>
          <w:szCs w:val="32"/>
          <w:highlight w:val="none"/>
          <w:u w:val="none"/>
        </w:rPr>
        <w:fldChar w:fldCharType="end"/>
      </w:r>
    </w:p>
    <w:p w14:paraId="35E551E4">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b/>
          <w:bCs/>
          <w:caps/>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"_Toc81341330"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kern w:val="44"/>
          <w:sz w:val="32"/>
          <w:szCs w:val="32"/>
          <w:highlight w:val="none"/>
        </w:rPr>
        <w:t>第四章  合同</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8</w:t>
      </w:r>
    </w:p>
    <w:p w14:paraId="3BA4BADF">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default" w:ascii="宋体" w:hAnsi="宋体" w:eastAsia="宋体" w:cs="宋体"/>
          <w:smallCaps/>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"_Toc81341336"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kern w:val="44"/>
          <w:sz w:val="32"/>
          <w:szCs w:val="32"/>
          <w:highlight w:val="none"/>
        </w:rPr>
        <w:t>第五章  磋商响应文件格式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48</w:t>
      </w:r>
    </w:p>
    <w:p w14:paraId="3D221CAD">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b/>
          <w:bCs/>
          <w:caps/>
          <w:color w:val="auto"/>
          <w:sz w:val="24"/>
          <w:szCs w:val="24"/>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"_Toc81341340"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sz w:val="32"/>
          <w:szCs w:val="32"/>
          <w:highlight w:val="none"/>
        </w:rPr>
        <w:t>第六章  评审办法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_Toc81341340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189</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DEC3B67">
      <w:pPr>
        <w:pStyle w:val="33"/>
        <w:tabs>
          <w:tab w:val="right" w:leader="dot" w:pos="9854"/>
        </w:tabs>
        <w:spacing w:line="360" w:lineRule="auto"/>
        <w:jc w:val="left"/>
        <w:rPr>
          <w:rFonts w:hint="eastAsia" w:ascii="宋体" w:hAnsi="宋体" w:eastAsia="宋体" w:cs="宋体"/>
          <w:smallCaps/>
          <w:color w:val="auto"/>
          <w:szCs w:val="21"/>
          <w:highlight w:val="none"/>
          <w:lang w:val="en-US" w:eastAsia="zh-CN"/>
        </w:rPr>
      </w:pPr>
    </w:p>
    <w:p w14:paraId="52C79ACA">
      <w:pPr>
        <w:pStyle w:val="3"/>
        <w:widowControl/>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end"/>
      </w:r>
    </w:p>
    <w:p w14:paraId="26D5FB98">
      <w:pPr>
        <w:bidi w:val="0"/>
        <w:rPr>
          <w:rFonts w:hint="eastAsia" w:ascii="宋体" w:hAnsi="宋体" w:eastAsia="宋体" w:cs="宋体"/>
          <w:color w:val="auto"/>
          <w:sz w:val="24"/>
        </w:rPr>
      </w:pPr>
    </w:p>
    <w:p w14:paraId="582D211C">
      <w:pPr>
        <w:bidi w:val="0"/>
        <w:rPr>
          <w:rFonts w:hint="eastAsia" w:ascii="宋体" w:hAnsi="宋体" w:eastAsia="宋体" w:cs="宋体"/>
          <w:color w:val="auto"/>
          <w:sz w:val="24"/>
        </w:rPr>
      </w:pPr>
    </w:p>
    <w:p w14:paraId="240218F0">
      <w:pPr>
        <w:bidi w:val="0"/>
        <w:jc w:val="center"/>
        <w:rPr>
          <w:rFonts w:hint="eastAsia" w:ascii="宋体" w:hAnsi="宋体" w:eastAsia="宋体" w:cs="宋体"/>
          <w:bCs w:val="0"/>
          <w:color w:val="auto"/>
          <w:sz w:val="24"/>
        </w:rPr>
      </w:pPr>
      <w:r>
        <w:rPr>
          <w:rFonts w:hint="eastAsia" w:ascii="宋体" w:hAnsi="宋体" w:eastAsia="宋体" w:cs="宋体"/>
          <w:color w:val="auto"/>
          <w:sz w:val="24"/>
        </w:rPr>
        <w:br w:type="page"/>
      </w:r>
      <w:bookmarkStart w:id="2" w:name="_Toc81341315"/>
      <w:r>
        <w:rPr>
          <w:rFonts w:hint="eastAsia" w:ascii="宋体" w:hAnsi="宋体" w:eastAsia="宋体" w:cs="宋体"/>
          <w:color w:val="auto"/>
          <w:kern w:val="44"/>
          <w:sz w:val="44"/>
          <w:szCs w:val="44"/>
        </w:rPr>
        <w:t xml:space="preserve">第一章  </w:t>
      </w:r>
      <w:bookmarkEnd w:id="0"/>
      <w:r>
        <w:rPr>
          <w:rFonts w:hint="eastAsia" w:ascii="宋体" w:hAnsi="宋体" w:eastAsia="宋体" w:cs="宋体"/>
          <w:color w:val="auto"/>
          <w:kern w:val="44"/>
          <w:sz w:val="44"/>
          <w:szCs w:val="44"/>
        </w:rPr>
        <w:t>竞争性磋商公告</w:t>
      </w:r>
      <w:bookmarkEnd w:id="1"/>
      <w:bookmarkEnd w:id="2"/>
    </w:p>
    <w:p w14:paraId="00866F2F">
      <w:pPr>
        <w:pStyle w:val="21"/>
        <w:keepNext w:val="0"/>
        <w:keepLines w:val="0"/>
        <w:widowControl/>
        <w:suppressLineNumbers w:val="0"/>
        <w:spacing w:before="75" w:beforeAutospacing="0" w:after="150" w:afterAutospacing="0" w:line="240" w:lineRule="auto"/>
        <w:ind w:left="0" w:right="0" w:firstLine="420"/>
      </w:pPr>
      <w:r>
        <w:rPr>
          <w:rFonts w:ascii="微软雅黑" w:hAnsi="微软雅黑" w:eastAsia="微软雅黑" w:cs="微软雅黑"/>
          <w:i w:val="0"/>
          <w:iCs w:val="0"/>
          <w:caps w:val="0"/>
          <w:color w:val="000000"/>
          <w:spacing w:val="0"/>
          <w:sz w:val="24"/>
          <w:szCs w:val="24"/>
        </w:rPr>
        <w:t>项目概况                                                    </w:t>
      </w:r>
      <w:r>
        <w:rPr>
          <w:rFonts w:hint="eastAsia" w:ascii="微软雅黑" w:hAnsi="微软雅黑" w:eastAsia="微软雅黑" w:cs="微软雅黑"/>
          <w:i w:val="0"/>
          <w:iCs w:val="0"/>
          <w:caps w:val="0"/>
          <w:color w:val="000000"/>
          <w:spacing w:val="0"/>
          <w:sz w:val="24"/>
          <w:szCs w:val="24"/>
        </w:rPr>
        <w:t>            </w:t>
      </w:r>
    </w:p>
    <w:p w14:paraId="591E3705">
      <w:pPr>
        <w:pStyle w:val="21"/>
        <w:keepNext w:val="0"/>
        <w:keepLines w:val="0"/>
        <w:widowControl/>
        <w:suppressLineNumbers w:val="0"/>
        <w:spacing w:before="75" w:beforeAutospacing="0" w:after="75" w:afterAutospacing="0" w:line="240" w:lineRule="auto"/>
        <w:ind w:left="0" w:right="0" w:firstLine="420"/>
      </w:pPr>
      <w:r>
        <w:rPr>
          <w:rStyle w:val="30"/>
          <w:rFonts w:hint="eastAsia" w:ascii="微软雅黑" w:hAnsi="微软雅黑" w:eastAsia="微软雅黑" w:cs="微软雅黑"/>
          <w:i w:val="0"/>
          <w:iCs w:val="0"/>
          <w:caps w:val="0"/>
          <w:color w:val="000000"/>
          <w:spacing w:val="0"/>
          <w:sz w:val="24"/>
          <w:szCs w:val="24"/>
        </w:rPr>
        <w:t>太古镇2026年蔬菜大棚新建改造项目</w:t>
      </w:r>
      <w:r>
        <w:rPr>
          <w:rFonts w:hint="eastAsia" w:ascii="微软雅黑" w:hAnsi="微软雅黑" w:eastAsia="微软雅黑" w:cs="微软雅黑"/>
          <w:i w:val="0"/>
          <w:iCs w:val="0"/>
          <w:caps w:val="0"/>
          <w:color w:val="000000"/>
          <w:spacing w:val="0"/>
          <w:sz w:val="24"/>
          <w:szCs w:val="24"/>
        </w:rPr>
        <w:t>采购项目的潜在供应商应在</w:t>
      </w:r>
      <w:r>
        <w:rPr>
          <w:rStyle w:val="3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获取采购文件，并于</w:t>
      </w:r>
      <w:r>
        <w:rPr>
          <w:rStyle w:val="30"/>
          <w:rFonts w:hint="eastAsia" w:ascii="微软雅黑" w:hAnsi="微软雅黑" w:eastAsia="微软雅黑" w:cs="微软雅黑"/>
          <w:i w:val="0"/>
          <w:iCs w:val="0"/>
          <w:caps w:val="0"/>
          <w:color w:val="000000"/>
          <w:spacing w:val="0"/>
          <w:sz w:val="24"/>
          <w:szCs w:val="24"/>
        </w:rPr>
        <w:t>2026年04月24日 15:00</w:t>
      </w:r>
      <w:r>
        <w:rPr>
          <w:rFonts w:hint="eastAsia" w:ascii="微软雅黑" w:hAnsi="微软雅黑" w:eastAsia="微软雅黑" w:cs="微软雅黑"/>
          <w:i w:val="0"/>
          <w:iCs w:val="0"/>
          <w:caps w:val="0"/>
          <w:color w:val="000000"/>
          <w:spacing w:val="0"/>
          <w:sz w:val="24"/>
          <w:szCs w:val="24"/>
        </w:rPr>
        <w:t>（北京时间）前提交响应文件。                            </w:t>
      </w:r>
    </w:p>
    <w:p w14:paraId="6D09B46D">
      <w:pPr>
        <w:pStyle w:val="21"/>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27"/>
          <w:rFonts w:hint="eastAsia" w:ascii="微软雅黑" w:hAnsi="微软雅黑" w:eastAsia="微软雅黑" w:cs="微软雅黑"/>
          <w:i w:val="0"/>
          <w:iCs w:val="0"/>
          <w:caps w:val="0"/>
          <w:color w:val="000000"/>
          <w:spacing w:val="0"/>
          <w:sz w:val="24"/>
          <w:szCs w:val="24"/>
        </w:rPr>
        <w:t>一、项目基本情况</w:t>
      </w:r>
    </w:p>
    <w:p w14:paraId="25A1D48B">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项目编号：</w:t>
      </w:r>
      <w:r>
        <w:rPr>
          <w:rStyle w:val="30"/>
          <w:rFonts w:hint="eastAsia" w:ascii="微软雅黑" w:hAnsi="微软雅黑" w:eastAsia="微软雅黑" w:cs="微软雅黑"/>
          <w:i w:val="0"/>
          <w:iCs w:val="0"/>
          <w:caps w:val="0"/>
          <w:color w:val="000000"/>
          <w:spacing w:val="0"/>
          <w:sz w:val="24"/>
          <w:szCs w:val="24"/>
        </w:rPr>
        <w:t>1410302026BCS00022</w:t>
      </w:r>
      <w:r>
        <w:rPr>
          <w:rFonts w:hint="eastAsia" w:ascii="微软雅黑" w:hAnsi="微软雅黑" w:eastAsia="微软雅黑" w:cs="微软雅黑"/>
          <w:i w:val="0"/>
          <w:iCs w:val="0"/>
          <w:caps w:val="0"/>
          <w:color w:val="000000"/>
          <w:spacing w:val="0"/>
          <w:sz w:val="24"/>
          <w:szCs w:val="24"/>
        </w:rPr>
        <w:t>     </w:t>
      </w:r>
    </w:p>
    <w:p w14:paraId="3B121318">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项目名称：</w:t>
      </w:r>
      <w:r>
        <w:rPr>
          <w:rStyle w:val="30"/>
          <w:rFonts w:hint="eastAsia" w:ascii="微软雅黑" w:hAnsi="微软雅黑" w:eastAsia="微软雅黑" w:cs="微软雅黑"/>
          <w:i w:val="0"/>
          <w:iCs w:val="0"/>
          <w:caps w:val="0"/>
          <w:color w:val="000000"/>
          <w:spacing w:val="0"/>
          <w:sz w:val="24"/>
          <w:szCs w:val="24"/>
        </w:rPr>
        <w:t>太古镇2026年蔬菜大棚新建改造项目</w:t>
      </w:r>
      <w:r>
        <w:rPr>
          <w:rFonts w:hint="eastAsia" w:ascii="微软雅黑" w:hAnsi="微软雅黑" w:eastAsia="微软雅黑" w:cs="微软雅黑"/>
          <w:i w:val="0"/>
          <w:iCs w:val="0"/>
          <w:caps w:val="0"/>
          <w:color w:val="000000"/>
          <w:spacing w:val="0"/>
          <w:sz w:val="24"/>
          <w:szCs w:val="24"/>
        </w:rPr>
        <w:t>    </w:t>
      </w:r>
    </w:p>
    <w:p w14:paraId="727273E2">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采购方式：竞争性磋商           </w:t>
      </w:r>
    </w:p>
    <w:p w14:paraId="0957E968">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预算金额（元）：</w:t>
      </w:r>
      <w:r>
        <w:rPr>
          <w:rStyle w:val="30"/>
          <w:rFonts w:hint="eastAsia" w:ascii="微软雅黑" w:hAnsi="微软雅黑" w:eastAsia="微软雅黑" w:cs="微软雅黑"/>
          <w:i w:val="0"/>
          <w:iCs w:val="0"/>
          <w:caps w:val="0"/>
          <w:color w:val="000000"/>
          <w:spacing w:val="0"/>
          <w:sz w:val="24"/>
          <w:szCs w:val="24"/>
        </w:rPr>
        <w:t>972262.26</w:t>
      </w:r>
      <w:r>
        <w:rPr>
          <w:rFonts w:hint="eastAsia" w:ascii="微软雅黑" w:hAnsi="微软雅黑" w:eastAsia="微软雅黑" w:cs="微软雅黑"/>
          <w:i w:val="0"/>
          <w:iCs w:val="0"/>
          <w:caps w:val="0"/>
          <w:color w:val="000000"/>
          <w:spacing w:val="0"/>
          <w:sz w:val="24"/>
          <w:szCs w:val="24"/>
        </w:rPr>
        <w:t>     </w:t>
      </w:r>
    </w:p>
    <w:p w14:paraId="460FB50D">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最高限价（元）：</w:t>
      </w:r>
      <w:r>
        <w:rPr>
          <w:rStyle w:val="30"/>
          <w:rFonts w:hint="eastAsia" w:ascii="微软雅黑" w:hAnsi="微软雅黑" w:eastAsia="微软雅黑" w:cs="微软雅黑"/>
          <w:i w:val="0"/>
          <w:iCs w:val="0"/>
          <w:caps w:val="0"/>
          <w:color w:val="000000"/>
          <w:spacing w:val="0"/>
          <w:sz w:val="24"/>
          <w:szCs w:val="24"/>
        </w:rPr>
        <w:t>972262.26</w:t>
      </w:r>
      <w:r>
        <w:rPr>
          <w:rFonts w:hint="eastAsia" w:ascii="微软雅黑" w:hAnsi="微软雅黑" w:eastAsia="微软雅黑" w:cs="微软雅黑"/>
          <w:i w:val="0"/>
          <w:iCs w:val="0"/>
          <w:caps w:val="0"/>
          <w:color w:val="000000"/>
          <w:spacing w:val="0"/>
          <w:sz w:val="24"/>
          <w:szCs w:val="24"/>
        </w:rPr>
        <w:t>     </w:t>
      </w:r>
    </w:p>
    <w:p w14:paraId="69C70C2A">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采购需求：</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p>
    <w:p w14:paraId="5FE6C8D9">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标项名称：</w:t>
      </w:r>
      <w:r>
        <w:rPr>
          <w:rStyle w:val="3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太古镇2026年蔬菜大棚新建改造项目</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预算金额（元）：</w:t>
      </w:r>
      <w:r>
        <w:rPr>
          <w:rStyle w:val="3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972262.26</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简要规格描述：</w:t>
      </w:r>
      <w:r>
        <w:rPr>
          <w:rStyle w:val="3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太古镇2026年蔬菜大棚新建改造项目工程清单及图纸中的全部内容，具体详见磋商文件</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备注：    </w:t>
      </w:r>
    </w:p>
    <w:p w14:paraId="26D36238">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合同履约期限：</w:t>
      </w:r>
      <w:r>
        <w:rPr>
          <w:rStyle w:val="30"/>
          <w:rFonts w:hint="eastAsia" w:ascii="微软雅黑" w:hAnsi="微软雅黑" w:eastAsia="微软雅黑" w:cs="微软雅黑"/>
          <w:i w:val="0"/>
          <w:iCs w:val="0"/>
          <w:caps w:val="0"/>
          <w:color w:val="000000"/>
          <w:spacing w:val="0"/>
          <w:sz w:val="24"/>
          <w:szCs w:val="24"/>
        </w:rPr>
        <w:t>包 1，自合同签订之日起60日历天</w:t>
      </w:r>
      <w:r>
        <w:rPr>
          <w:rFonts w:hint="eastAsia" w:ascii="微软雅黑" w:hAnsi="微软雅黑" w:eastAsia="微软雅黑" w:cs="微软雅黑"/>
          <w:i w:val="0"/>
          <w:iCs w:val="0"/>
          <w:caps w:val="0"/>
          <w:color w:val="000000"/>
          <w:spacing w:val="0"/>
          <w:sz w:val="24"/>
          <w:szCs w:val="24"/>
        </w:rPr>
        <w:t>        </w:t>
      </w:r>
    </w:p>
    <w:p w14:paraId="70E8BE62">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本项目（</w:t>
      </w:r>
      <w:r>
        <w:rPr>
          <w:rStyle w:val="30"/>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        </w:t>
      </w:r>
    </w:p>
    <w:p w14:paraId="70D80BE8">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568BB0B9">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1.满足《中华人民共和国政府采购法》第二十二条规定；        </w:t>
      </w:r>
    </w:p>
    <w:p w14:paraId="54BB525D">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30"/>
          <w:rFonts w:hint="eastAsia" w:ascii="微软雅黑" w:hAnsi="微软雅黑" w:eastAsia="微软雅黑" w:cs="微软雅黑"/>
          <w:i w:val="0"/>
          <w:iCs w:val="0"/>
          <w:caps w:val="0"/>
          <w:color w:val="000000"/>
          <w:spacing w:val="0"/>
          <w:sz w:val="24"/>
          <w:szCs w:val="24"/>
        </w:rPr>
        <w:t>包1：本项目专门面向中小企业</w:t>
      </w:r>
      <w:r>
        <w:rPr>
          <w:rFonts w:hint="eastAsia" w:ascii="微软雅黑" w:hAnsi="微软雅黑" w:eastAsia="微软雅黑" w:cs="微软雅黑"/>
          <w:i w:val="0"/>
          <w:iCs w:val="0"/>
          <w:caps w:val="0"/>
          <w:color w:val="000000"/>
          <w:spacing w:val="0"/>
          <w:sz w:val="24"/>
          <w:szCs w:val="24"/>
        </w:rPr>
        <w:t>        </w:t>
      </w:r>
    </w:p>
    <w:p w14:paraId="1F1E5ACC">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3.本项目的特定资格要求：</w:t>
      </w:r>
      <w:r>
        <w:rPr>
          <w:rStyle w:val="30"/>
          <w:rFonts w:hint="eastAsia" w:ascii="微软雅黑" w:hAnsi="微软雅黑" w:eastAsia="微软雅黑" w:cs="微软雅黑"/>
          <w:i w:val="0"/>
          <w:iCs w:val="0"/>
          <w:caps w:val="0"/>
          <w:color w:val="000000"/>
          <w:spacing w:val="0"/>
          <w:sz w:val="24"/>
          <w:szCs w:val="24"/>
        </w:rPr>
        <w:br w:type="textWrapping"/>
      </w:r>
      <w:r>
        <w:rPr>
          <w:rStyle w:val="30"/>
          <w:rFonts w:hint="eastAsia" w:ascii="微软雅黑" w:hAnsi="微软雅黑" w:eastAsia="微软雅黑" w:cs="微软雅黑"/>
          <w:i w:val="0"/>
          <w:iCs w:val="0"/>
          <w:caps w:val="0"/>
          <w:color w:val="000000"/>
          <w:spacing w:val="0"/>
          <w:sz w:val="24"/>
          <w:szCs w:val="24"/>
        </w:rPr>
        <w:t>【包1】</w:t>
      </w:r>
      <w:r>
        <w:rPr>
          <w:rStyle w:val="30"/>
          <w:rFonts w:hint="eastAsia" w:ascii="微软雅黑" w:hAnsi="微软雅黑" w:eastAsia="微软雅黑" w:cs="微软雅黑"/>
          <w:i w:val="0"/>
          <w:iCs w:val="0"/>
          <w:caps w:val="0"/>
          <w:color w:val="000000"/>
          <w:spacing w:val="0"/>
          <w:sz w:val="24"/>
          <w:szCs w:val="24"/>
        </w:rPr>
        <w:br w:type="textWrapping"/>
      </w:r>
      <w:r>
        <w:rPr>
          <w:rStyle w:val="30"/>
          <w:rFonts w:hint="eastAsia" w:ascii="微软雅黑" w:hAnsi="微软雅黑" w:eastAsia="微软雅黑" w:cs="微软雅黑"/>
          <w:i w:val="0"/>
          <w:iCs w:val="0"/>
          <w:caps w:val="0"/>
          <w:color w:val="000000"/>
          <w:spacing w:val="0"/>
          <w:sz w:val="24"/>
          <w:szCs w:val="24"/>
        </w:rPr>
        <w:t>供应商须具备建筑工程施工总承包叁级及以上资质；拟派往本工程的项目经理须具备建筑工程专业贰级及以上注册建造师执业资格，具备有效的安全生产考核合格证书，且未担任其他在建工程项目的项目经理；拟派往本工程项目技术负责人须具备相关专业的中级及以上职称证</w:t>
      </w:r>
      <w:r>
        <w:rPr>
          <w:rFonts w:hint="eastAsia" w:ascii="微软雅黑" w:hAnsi="微软雅黑" w:eastAsia="微软雅黑" w:cs="微软雅黑"/>
          <w:i w:val="0"/>
          <w:iCs w:val="0"/>
          <w:caps w:val="0"/>
          <w:color w:val="000000"/>
          <w:spacing w:val="0"/>
          <w:sz w:val="24"/>
          <w:szCs w:val="24"/>
        </w:rPr>
        <w:t>        </w:t>
      </w:r>
    </w:p>
    <w:p w14:paraId="226E1E59">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三、获取采购文件</w:t>
      </w:r>
      <w:r>
        <w:rPr>
          <w:rFonts w:ascii="黑体" w:hAnsi="宋体" w:eastAsia="黑体" w:cs="黑体"/>
          <w:i w:val="0"/>
          <w:iCs w:val="0"/>
          <w:caps w:val="0"/>
          <w:color w:val="000000"/>
          <w:spacing w:val="0"/>
          <w:sz w:val="27"/>
          <w:szCs w:val="27"/>
        </w:rPr>
        <w:t>    </w:t>
      </w:r>
    </w:p>
    <w:p w14:paraId="4E242E21">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时间：</w:t>
      </w:r>
      <w:r>
        <w:rPr>
          <w:rStyle w:val="30"/>
          <w:rFonts w:hint="eastAsia" w:ascii="微软雅黑" w:hAnsi="微软雅黑" w:eastAsia="微软雅黑" w:cs="微软雅黑"/>
          <w:i w:val="0"/>
          <w:iCs w:val="0"/>
          <w:caps w:val="0"/>
          <w:color w:val="000000"/>
          <w:spacing w:val="0"/>
          <w:sz w:val="24"/>
          <w:szCs w:val="24"/>
        </w:rPr>
        <w:t>2026年04月14日</w:t>
      </w:r>
      <w:r>
        <w:rPr>
          <w:rFonts w:hint="eastAsia" w:ascii="微软雅黑" w:hAnsi="微软雅黑" w:eastAsia="微软雅黑" w:cs="微软雅黑"/>
          <w:i w:val="0"/>
          <w:iCs w:val="0"/>
          <w:caps w:val="0"/>
          <w:color w:val="000000"/>
          <w:spacing w:val="0"/>
          <w:sz w:val="24"/>
          <w:szCs w:val="24"/>
        </w:rPr>
        <w:t>至</w:t>
      </w:r>
      <w:r>
        <w:rPr>
          <w:rStyle w:val="30"/>
          <w:rFonts w:hint="eastAsia" w:ascii="微软雅黑" w:hAnsi="微软雅黑" w:eastAsia="微软雅黑" w:cs="微软雅黑"/>
          <w:i w:val="0"/>
          <w:iCs w:val="0"/>
          <w:caps w:val="0"/>
          <w:color w:val="000000"/>
          <w:spacing w:val="0"/>
          <w:sz w:val="24"/>
          <w:szCs w:val="24"/>
        </w:rPr>
        <w:t>2026年04月21日</w:t>
      </w:r>
      <w:r>
        <w:rPr>
          <w:rFonts w:hint="eastAsia" w:ascii="微软雅黑" w:hAnsi="微软雅黑" w:eastAsia="微软雅黑" w:cs="微软雅黑"/>
          <w:i w:val="0"/>
          <w:iCs w:val="0"/>
          <w:caps w:val="0"/>
          <w:color w:val="000000"/>
          <w:spacing w:val="0"/>
          <w:sz w:val="24"/>
          <w:szCs w:val="24"/>
        </w:rPr>
        <w:t>，每天上午</w:t>
      </w:r>
      <w:r>
        <w:rPr>
          <w:rStyle w:val="30"/>
          <w:rFonts w:hint="eastAsia" w:ascii="微软雅黑" w:hAnsi="微软雅黑" w:eastAsia="微软雅黑" w:cs="微软雅黑"/>
          <w:i w:val="0"/>
          <w:iCs w:val="0"/>
          <w:caps w:val="0"/>
          <w:color w:val="000000"/>
          <w:spacing w:val="0"/>
          <w:sz w:val="24"/>
          <w:szCs w:val="24"/>
        </w:rPr>
        <w:t>00:00至12:00</w:t>
      </w:r>
      <w:r>
        <w:rPr>
          <w:rFonts w:hint="eastAsia" w:ascii="微软雅黑" w:hAnsi="微软雅黑" w:eastAsia="微软雅黑" w:cs="微软雅黑"/>
          <w:i w:val="0"/>
          <w:iCs w:val="0"/>
          <w:caps w:val="0"/>
          <w:color w:val="000000"/>
          <w:spacing w:val="0"/>
          <w:sz w:val="24"/>
          <w:szCs w:val="24"/>
        </w:rPr>
        <w:t>，下午</w:t>
      </w:r>
      <w:r>
        <w:rPr>
          <w:rStyle w:val="30"/>
          <w:rFonts w:hint="eastAsia" w:ascii="微软雅黑" w:hAnsi="微软雅黑" w:eastAsia="微软雅黑" w:cs="微软雅黑"/>
          <w:i w:val="0"/>
          <w:iCs w:val="0"/>
          <w:caps w:val="0"/>
          <w:color w:val="000000"/>
          <w:spacing w:val="0"/>
          <w:sz w:val="24"/>
          <w:szCs w:val="24"/>
        </w:rPr>
        <w:t>12:00至23:59</w:t>
      </w:r>
      <w:r>
        <w:rPr>
          <w:rFonts w:hint="eastAsia" w:ascii="微软雅黑" w:hAnsi="微软雅黑" w:eastAsia="微软雅黑" w:cs="微软雅黑"/>
          <w:i w:val="0"/>
          <w:iCs w:val="0"/>
          <w:caps w:val="0"/>
          <w:color w:val="000000"/>
          <w:spacing w:val="0"/>
          <w:sz w:val="24"/>
          <w:szCs w:val="24"/>
        </w:rPr>
        <w:t>（北京时间，法定节假日除外）        </w:t>
      </w:r>
    </w:p>
    <w:p w14:paraId="0D0E98AE">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      </w:t>
      </w:r>
    </w:p>
    <w:p w14:paraId="537E2646">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30"/>
          <w:rFonts w:hint="eastAsia" w:ascii="微软雅黑" w:hAnsi="微软雅黑" w:eastAsia="微软雅黑" w:cs="微软雅黑"/>
          <w:i w:val="0"/>
          <w:iCs w:val="0"/>
          <w:caps w:val="0"/>
          <w:color w:val="000000"/>
          <w:spacing w:val="0"/>
          <w:sz w:val="24"/>
          <w:szCs w:val="24"/>
        </w:rPr>
        <w:t>在线获取</w:t>
      </w:r>
      <w:r>
        <w:rPr>
          <w:rFonts w:hint="eastAsia" w:ascii="微软雅黑" w:hAnsi="微软雅黑" w:eastAsia="微软雅黑" w:cs="微软雅黑"/>
          <w:i w:val="0"/>
          <w:iCs w:val="0"/>
          <w:caps w:val="0"/>
          <w:color w:val="000000"/>
          <w:spacing w:val="0"/>
          <w:sz w:val="24"/>
          <w:szCs w:val="24"/>
        </w:rPr>
        <w:t>       </w:t>
      </w:r>
    </w:p>
    <w:p w14:paraId="1BD3E6E7">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30"/>
          <w:rFonts w:hint="eastAsia" w:ascii="微软雅黑" w:hAnsi="微软雅黑" w:eastAsia="微软雅黑" w:cs="微软雅黑"/>
          <w:i w:val="0"/>
          <w:iCs w:val="0"/>
          <w:caps w:val="0"/>
          <w:color w:val="000000"/>
          <w:spacing w:val="0"/>
          <w:sz w:val="24"/>
          <w:szCs w:val="24"/>
        </w:rPr>
        <w:t>0</w:t>
      </w:r>
      <w:r>
        <w:rPr>
          <w:rFonts w:hint="eastAsia" w:ascii="微软雅黑" w:hAnsi="微软雅黑" w:eastAsia="微软雅黑" w:cs="微软雅黑"/>
          <w:i w:val="0"/>
          <w:iCs w:val="0"/>
          <w:caps w:val="0"/>
          <w:color w:val="000000"/>
          <w:spacing w:val="0"/>
          <w:sz w:val="24"/>
          <w:szCs w:val="24"/>
        </w:rPr>
        <w:t>      </w:t>
      </w:r>
    </w:p>
    <w:p w14:paraId="00521648">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四、响应文件提交</w:t>
      </w:r>
      <w:r>
        <w:rPr>
          <w:rFonts w:ascii="黑体" w:hAnsi="宋体" w:eastAsia="黑体" w:cs="黑体"/>
          <w:i w:val="0"/>
          <w:iCs w:val="0"/>
          <w:caps w:val="0"/>
          <w:color w:val="000000"/>
          <w:spacing w:val="0"/>
          <w:sz w:val="27"/>
          <w:szCs w:val="27"/>
        </w:rPr>
        <w:t>    </w:t>
      </w:r>
    </w:p>
    <w:p w14:paraId="084A883D">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截止时间：</w:t>
      </w:r>
      <w:r>
        <w:rPr>
          <w:rStyle w:val="30"/>
          <w:rFonts w:hint="eastAsia" w:ascii="微软雅黑" w:hAnsi="微软雅黑" w:eastAsia="微软雅黑" w:cs="微软雅黑"/>
          <w:i w:val="0"/>
          <w:iCs w:val="0"/>
          <w:caps w:val="0"/>
          <w:color w:val="000000"/>
          <w:spacing w:val="0"/>
          <w:sz w:val="24"/>
          <w:szCs w:val="24"/>
        </w:rPr>
        <w:t>2026年04月24日 15:00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3BD6E4DE">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0"/>
          <w:rFonts w:hint="eastAsia" w:ascii="微软雅黑" w:hAnsi="微软雅黑" w:eastAsia="微软雅黑" w:cs="微软雅黑"/>
          <w:i w:val="0"/>
          <w:iCs w:val="0"/>
          <w:caps w:val="0"/>
          <w:color w:val="000000"/>
          <w:spacing w:val="0"/>
          <w:sz w:val="24"/>
          <w:szCs w:val="24"/>
        </w:rPr>
        <w:t>请登录政采云投标客户端投标</w:t>
      </w:r>
      <w:r>
        <w:rPr>
          <w:rFonts w:hint="eastAsia" w:ascii="微软雅黑" w:hAnsi="微软雅黑" w:eastAsia="微软雅黑" w:cs="微软雅黑"/>
          <w:i w:val="0"/>
          <w:iCs w:val="0"/>
          <w:caps w:val="0"/>
          <w:color w:val="000000"/>
          <w:spacing w:val="0"/>
          <w:sz w:val="27"/>
          <w:szCs w:val="27"/>
        </w:rPr>
        <w:t>     </w:t>
      </w:r>
    </w:p>
    <w:p w14:paraId="0DADC07D">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五、响应文件开启</w:t>
      </w:r>
      <w:r>
        <w:rPr>
          <w:rFonts w:ascii="黑体" w:hAnsi="宋体" w:eastAsia="黑体" w:cs="黑体"/>
          <w:i w:val="0"/>
          <w:iCs w:val="0"/>
          <w:caps w:val="0"/>
          <w:color w:val="000000"/>
          <w:spacing w:val="0"/>
          <w:sz w:val="27"/>
          <w:szCs w:val="27"/>
        </w:rPr>
        <w:t>    </w:t>
      </w:r>
    </w:p>
    <w:p w14:paraId="25A08ED0">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开启时间：</w:t>
      </w:r>
      <w:r>
        <w:rPr>
          <w:rStyle w:val="30"/>
          <w:rFonts w:hint="eastAsia" w:ascii="微软雅黑" w:hAnsi="微软雅黑" w:eastAsia="微软雅黑" w:cs="微软雅黑"/>
          <w:i w:val="0"/>
          <w:iCs w:val="0"/>
          <w:caps w:val="0"/>
          <w:color w:val="000000"/>
          <w:spacing w:val="0"/>
          <w:sz w:val="24"/>
          <w:szCs w:val="24"/>
        </w:rPr>
        <w:t>2026年04月24日 15:00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1F7DBDE7">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0"/>
          <w:rFonts w:hint="eastAsia" w:ascii="微软雅黑" w:hAnsi="微软雅黑" w:eastAsia="微软雅黑" w:cs="微软雅黑"/>
          <w:i w:val="0"/>
          <w:iCs w:val="0"/>
          <w:caps w:val="0"/>
          <w:color w:val="000000"/>
          <w:spacing w:val="0"/>
          <w:sz w:val="24"/>
          <w:szCs w:val="24"/>
        </w:rPr>
        <w:t>山西省临汾市尧都区山西省临汾市尧都区尧庙镇新能源大厦2层233号山西新昱工程项目管理有限公司-开标室</w:t>
      </w:r>
      <w:r>
        <w:rPr>
          <w:rFonts w:hint="eastAsia" w:ascii="微软雅黑" w:hAnsi="微软雅黑" w:eastAsia="微软雅黑" w:cs="微软雅黑"/>
          <w:i w:val="0"/>
          <w:iCs w:val="0"/>
          <w:caps w:val="0"/>
          <w:color w:val="000000"/>
          <w:spacing w:val="0"/>
          <w:sz w:val="27"/>
          <w:szCs w:val="27"/>
        </w:rPr>
        <w:t>      </w:t>
      </w:r>
    </w:p>
    <w:p w14:paraId="72FFD938">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27"/>
          <w:rFonts w:hint="eastAsia" w:ascii="微软雅黑" w:hAnsi="微软雅黑" w:eastAsia="微软雅黑" w:cs="微软雅黑"/>
          <w:i w:val="0"/>
          <w:iCs w:val="0"/>
          <w:caps w:val="0"/>
          <w:color w:val="000000"/>
          <w:spacing w:val="0"/>
          <w:sz w:val="24"/>
          <w:szCs w:val="24"/>
        </w:rPr>
        <w:t>六、公告期限</w:t>
      </w:r>
      <w:r>
        <w:rPr>
          <w:rFonts w:ascii="黑体" w:hAnsi="宋体" w:eastAsia="黑体" w:cs="黑体"/>
          <w:i w:val="0"/>
          <w:iCs w:val="0"/>
          <w:caps w:val="0"/>
          <w:color w:val="000000"/>
          <w:spacing w:val="0"/>
          <w:sz w:val="31"/>
          <w:szCs w:val="31"/>
        </w:rPr>
        <w:t>    </w:t>
      </w:r>
    </w:p>
    <w:p w14:paraId="589B5ACD">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自本公告发布之日起3个工作日。    </w:t>
      </w:r>
    </w:p>
    <w:p w14:paraId="0043F67B">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七、其他补充事宜</w:t>
      </w:r>
      <w:r>
        <w:rPr>
          <w:rFonts w:ascii="黑体" w:hAnsi="宋体" w:eastAsia="黑体" w:cs="黑体"/>
          <w:i w:val="0"/>
          <w:iCs w:val="0"/>
          <w:caps w:val="0"/>
          <w:color w:val="000000"/>
          <w:spacing w:val="0"/>
          <w:sz w:val="27"/>
          <w:szCs w:val="27"/>
        </w:rPr>
        <w:t>    </w:t>
      </w:r>
    </w:p>
    <w:p w14:paraId="3B5F2D05">
      <w:pPr>
        <w:pStyle w:val="21"/>
        <w:keepNext w:val="0"/>
        <w:keepLines w:val="0"/>
        <w:widowControl/>
        <w:suppressLineNumbers w:val="0"/>
        <w:spacing w:before="75" w:beforeAutospacing="0" w:after="75" w:afterAutospacing="0" w:line="240" w:lineRule="auto"/>
        <w:ind w:left="0" w:right="0" w:firstLine="420"/>
      </w:pPr>
      <w:r>
        <w:rPr>
          <w:rStyle w:val="30"/>
          <w:rFonts w:hint="eastAsia" w:ascii="微软雅黑" w:hAnsi="微软雅黑" w:eastAsia="微软雅黑" w:cs="微软雅黑"/>
          <w:i w:val="0"/>
          <w:iCs w:val="0"/>
          <w:caps w:val="0"/>
          <w:color w:val="000000"/>
          <w:spacing w:val="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24"/>
          <w:szCs w:val="24"/>
        </w:rPr>
        <w:t>    </w:t>
      </w:r>
    </w:p>
    <w:p w14:paraId="37C8DDBD">
      <w:pPr>
        <w:pStyle w:val="2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代理费支付方式： </w:t>
      </w:r>
      <w:r>
        <w:rPr>
          <w:rStyle w:val="30"/>
          <w:rFonts w:hint="eastAsia" w:ascii="微软雅黑" w:hAnsi="微软雅黑" w:eastAsia="微软雅黑" w:cs="微软雅黑"/>
          <w:i w:val="0"/>
          <w:iCs w:val="0"/>
          <w:caps w:val="0"/>
          <w:color w:val="000000"/>
          <w:spacing w:val="0"/>
          <w:sz w:val="24"/>
          <w:szCs w:val="24"/>
        </w:rPr>
        <w:t>供应商支付</w:t>
      </w:r>
      <w:r>
        <w:rPr>
          <w:rFonts w:hint="eastAsia" w:ascii="微软雅黑" w:hAnsi="微软雅黑" w:eastAsia="微软雅黑" w:cs="微软雅黑"/>
          <w:i w:val="0"/>
          <w:iCs w:val="0"/>
          <w:caps w:val="0"/>
          <w:color w:val="000000"/>
          <w:spacing w:val="0"/>
          <w:sz w:val="24"/>
          <w:szCs w:val="24"/>
        </w:rPr>
        <w:t> </w:t>
      </w:r>
    </w:p>
    <w:p w14:paraId="6A475222">
      <w:pPr>
        <w:pStyle w:val="2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代理费收费标准： </w:t>
      </w:r>
      <w:r>
        <w:rPr>
          <w:rStyle w:val="30"/>
          <w:rFonts w:hint="eastAsia" w:ascii="微软雅黑" w:hAnsi="微软雅黑" w:eastAsia="微软雅黑" w:cs="微软雅黑"/>
          <w:i w:val="0"/>
          <w:iCs w:val="0"/>
          <w:caps w:val="0"/>
          <w:color w:val="000000"/>
          <w:spacing w:val="0"/>
          <w:sz w:val="24"/>
          <w:szCs w:val="24"/>
        </w:rPr>
        <w:t>按国家发改委“计价格（2011）534号”文件规定收取</w:t>
      </w:r>
      <w:r>
        <w:rPr>
          <w:rFonts w:hint="eastAsia" w:ascii="微软雅黑" w:hAnsi="微软雅黑" w:eastAsia="微软雅黑" w:cs="微软雅黑"/>
          <w:i w:val="0"/>
          <w:iCs w:val="0"/>
          <w:caps w:val="0"/>
          <w:color w:val="000000"/>
          <w:spacing w:val="0"/>
          <w:sz w:val="24"/>
          <w:szCs w:val="24"/>
        </w:rPr>
        <w:t> </w:t>
      </w:r>
    </w:p>
    <w:p w14:paraId="6B5DAE76">
      <w:pPr>
        <w:pStyle w:val="2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代理费收费金额（元）： </w:t>
      </w:r>
      <w:r>
        <w:rPr>
          <w:rStyle w:val="30"/>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469804B1">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27"/>
          <w:rFonts w:hint="eastAsia" w:ascii="微软雅黑" w:hAnsi="微软雅黑" w:eastAsia="微软雅黑" w:cs="微软雅黑"/>
          <w:i w:val="0"/>
          <w:iCs w:val="0"/>
          <w:caps w:val="0"/>
          <w:color w:val="000000"/>
          <w:spacing w:val="0"/>
          <w:sz w:val="24"/>
          <w:szCs w:val="24"/>
        </w:rPr>
        <w:t>八、凡对本次招标提出询问，请按以下方式联系</w:t>
      </w:r>
      <w:r>
        <w:rPr>
          <w:rFonts w:ascii="黑体" w:hAnsi="宋体" w:eastAsia="黑体" w:cs="黑体"/>
          <w:i w:val="0"/>
          <w:iCs w:val="0"/>
          <w:caps w:val="0"/>
          <w:color w:val="000000"/>
          <w:spacing w:val="0"/>
          <w:sz w:val="31"/>
          <w:szCs w:val="31"/>
        </w:rPr>
        <w:t>    </w:t>
      </w:r>
    </w:p>
    <w:p w14:paraId="45C6A593">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05E6DC6A">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30"/>
          <w:rFonts w:hint="eastAsia" w:ascii="微软雅黑" w:hAnsi="微软雅黑" w:eastAsia="微软雅黑" w:cs="微软雅黑"/>
          <w:i w:val="0"/>
          <w:iCs w:val="0"/>
          <w:caps w:val="0"/>
          <w:color w:val="000000"/>
          <w:spacing w:val="0"/>
          <w:sz w:val="24"/>
          <w:szCs w:val="24"/>
        </w:rPr>
        <w:t>大宁县太古镇人民政府</w:t>
      </w:r>
      <w:r>
        <w:rPr>
          <w:rFonts w:hint="eastAsia" w:ascii="微软雅黑" w:hAnsi="微软雅黑" w:eastAsia="微软雅黑" w:cs="微软雅黑"/>
          <w:i w:val="0"/>
          <w:iCs w:val="0"/>
          <w:caps w:val="0"/>
          <w:color w:val="000000"/>
          <w:spacing w:val="0"/>
          <w:sz w:val="24"/>
          <w:szCs w:val="24"/>
        </w:rPr>
        <w:t>           </w:t>
      </w:r>
    </w:p>
    <w:p w14:paraId="7E3415C8">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0"/>
          <w:rFonts w:hint="eastAsia" w:ascii="微软雅黑" w:hAnsi="微软雅黑" w:eastAsia="微软雅黑" w:cs="微软雅黑"/>
          <w:i w:val="0"/>
          <w:iCs w:val="0"/>
          <w:caps w:val="0"/>
          <w:color w:val="000000"/>
          <w:spacing w:val="0"/>
          <w:sz w:val="24"/>
          <w:szCs w:val="24"/>
        </w:rPr>
        <w:t>大宁县太古镇</w:t>
      </w:r>
      <w:r>
        <w:rPr>
          <w:rFonts w:hint="eastAsia" w:ascii="微软雅黑" w:hAnsi="微软雅黑" w:eastAsia="微软雅黑" w:cs="微软雅黑"/>
          <w:i w:val="0"/>
          <w:iCs w:val="0"/>
          <w:caps w:val="0"/>
          <w:color w:val="000000"/>
          <w:spacing w:val="0"/>
          <w:sz w:val="24"/>
          <w:szCs w:val="24"/>
        </w:rPr>
        <w:t>          </w:t>
      </w:r>
    </w:p>
    <w:p w14:paraId="05D12A25">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0"/>
          <w:rFonts w:hint="eastAsia" w:ascii="微软雅黑" w:hAnsi="微软雅黑" w:eastAsia="微软雅黑" w:cs="微软雅黑"/>
          <w:i w:val="0"/>
          <w:iCs w:val="0"/>
          <w:caps w:val="0"/>
          <w:color w:val="000000"/>
          <w:spacing w:val="0"/>
          <w:sz w:val="24"/>
          <w:szCs w:val="24"/>
        </w:rPr>
        <w:t>0357-6121335</w:t>
      </w:r>
      <w:r>
        <w:rPr>
          <w:rFonts w:hint="eastAsia" w:ascii="微软雅黑" w:hAnsi="微软雅黑" w:eastAsia="微软雅黑" w:cs="微软雅黑"/>
          <w:i w:val="0"/>
          <w:iCs w:val="0"/>
          <w:caps w:val="0"/>
          <w:color w:val="000000"/>
          <w:spacing w:val="0"/>
          <w:sz w:val="24"/>
          <w:szCs w:val="24"/>
        </w:rPr>
        <w:t>           </w:t>
      </w:r>
    </w:p>
    <w:p w14:paraId="1E90FDE8">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2E62F0E0">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30"/>
          <w:rFonts w:hint="eastAsia" w:ascii="微软雅黑" w:hAnsi="微软雅黑" w:eastAsia="微软雅黑" w:cs="微软雅黑"/>
          <w:i w:val="0"/>
          <w:iCs w:val="0"/>
          <w:caps w:val="0"/>
          <w:color w:val="000000"/>
          <w:spacing w:val="0"/>
          <w:sz w:val="24"/>
          <w:szCs w:val="24"/>
        </w:rPr>
        <w:t>山西新昱工程项目管理有限公司</w:t>
      </w:r>
      <w:r>
        <w:rPr>
          <w:rFonts w:hint="eastAsia" w:ascii="微软雅黑" w:hAnsi="微软雅黑" w:eastAsia="微软雅黑" w:cs="微软雅黑"/>
          <w:i w:val="0"/>
          <w:iCs w:val="0"/>
          <w:caps w:val="0"/>
          <w:color w:val="000000"/>
          <w:spacing w:val="0"/>
          <w:sz w:val="24"/>
          <w:szCs w:val="24"/>
        </w:rPr>
        <w:t>         </w:t>
      </w:r>
    </w:p>
    <w:p w14:paraId="47C200AE">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0"/>
          <w:rFonts w:hint="eastAsia" w:ascii="微软雅黑" w:hAnsi="微软雅黑" w:eastAsia="微软雅黑" w:cs="微软雅黑"/>
          <w:i w:val="0"/>
          <w:iCs w:val="0"/>
          <w:caps w:val="0"/>
          <w:color w:val="000000"/>
          <w:spacing w:val="0"/>
          <w:sz w:val="24"/>
          <w:szCs w:val="24"/>
        </w:rPr>
        <w:t>山西省临汾市尧都高新技术产业开发区新能源大厦2层230号</w:t>
      </w:r>
      <w:r>
        <w:rPr>
          <w:rFonts w:hint="eastAsia" w:ascii="微软雅黑" w:hAnsi="微软雅黑" w:eastAsia="微软雅黑" w:cs="微软雅黑"/>
          <w:i w:val="0"/>
          <w:iCs w:val="0"/>
          <w:caps w:val="0"/>
          <w:color w:val="000000"/>
          <w:spacing w:val="0"/>
          <w:sz w:val="24"/>
          <w:szCs w:val="24"/>
        </w:rPr>
        <w:t>           </w:t>
      </w:r>
    </w:p>
    <w:p w14:paraId="79EB615A">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0"/>
          <w:rFonts w:hint="eastAsia" w:ascii="微软雅黑" w:hAnsi="微软雅黑" w:eastAsia="微软雅黑" w:cs="微软雅黑"/>
          <w:i w:val="0"/>
          <w:iCs w:val="0"/>
          <w:caps w:val="0"/>
          <w:color w:val="000000"/>
          <w:spacing w:val="0"/>
          <w:sz w:val="24"/>
          <w:szCs w:val="24"/>
        </w:rPr>
        <w:t>0357-2031515、18636743673</w:t>
      </w:r>
      <w:r>
        <w:rPr>
          <w:rFonts w:hint="eastAsia" w:ascii="微软雅黑" w:hAnsi="微软雅黑" w:eastAsia="微软雅黑" w:cs="微软雅黑"/>
          <w:i w:val="0"/>
          <w:iCs w:val="0"/>
          <w:caps w:val="0"/>
          <w:color w:val="000000"/>
          <w:spacing w:val="0"/>
          <w:sz w:val="24"/>
          <w:szCs w:val="24"/>
        </w:rPr>
        <w:t>            </w:t>
      </w:r>
    </w:p>
    <w:p w14:paraId="5A42566C">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3.项目联系方式    </w:t>
      </w:r>
    </w:p>
    <w:p w14:paraId="58781508">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项目联系人：</w:t>
      </w:r>
      <w:r>
        <w:rPr>
          <w:rStyle w:val="30"/>
          <w:rFonts w:hint="eastAsia" w:ascii="微软雅黑" w:hAnsi="微软雅黑" w:eastAsia="微软雅黑" w:cs="微软雅黑"/>
          <w:i w:val="0"/>
          <w:iCs w:val="0"/>
          <w:caps w:val="0"/>
          <w:color w:val="000000"/>
          <w:spacing w:val="0"/>
          <w:sz w:val="24"/>
          <w:szCs w:val="24"/>
        </w:rPr>
        <w:t>勾通</w:t>
      </w:r>
      <w:r>
        <w:rPr>
          <w:rFonts w:hint="eastAsia" w:ascii="微软雅黑" w:hAnsi="微软雅黑" w:eastAsia="微软雅黑" w:cs="微软雅黑"/>
          <w:i w:val="0"/>
          <w:iCs w:val="0"/>
          <w:caps w:val="0"/>
          <w:color w:val="000000"/>
          <w:spacing w:val="0"/>
          <w:sz w:val="24"/>
          <w:szCs w:val="24"/>
        </w:rPr>
        <w:t>   </w:t>
      </w:r>
    </w:p>
    <w:p w14:paraId="781AED3D">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电 话：</w:t>
      </w:r>
      <w:r>
        <w:rPr>
          <w:rStyle w:val="30"/>
          <w:rFonts w:hint="eastAsia" w:ascii="微软雅黑" w:hAnsi="微软雅黑" w:eastAsia="微软雅黑" w:cs="微软雅黑"/>
          <w:i w:val="0"/>
          <w:iCs w:val="0"/>
          <w:caps w:val="0"/>
          <w:color w:val="000000"/>
          <w:spacing w:val="0"/>
          <w:sz w:val="24"/>
          <w:szCs w:val="24"/>
        </w:rPr>
        <w:t>0357-2031515、18636743673</w:t>
      </w:r>
    </w:p>
    <w:p w14:paraId="64C8BF18">
      <w:pPr>
        <w:pStyle w:val="21"/>
        <w:spacing w:before="60" w:beforeAutospacing="0" w:after="60" w:afterAutospacing="0" w:line="360" w:lineRule="auto"/>
        <w:ind w:left="420" w:firstLine="480" w:firstLineChars="200"/>
        <w:rPr>
          <w:rFonts w:hint="eastAsia" w:ascii="宋体" w:hAnsi="宋体" w:eastAsia="宋体" w:cs="宋体"/>
          <w:color w:val="auto"/>
          <w:highlight w:val="none"/>
          <w:lang w:val="en-US" w:eastAsia="zh-CN"/>
        </w:rPr>
      </w:pPr>
      <w:bookmarkStart w:id="1183" w:name="_GoBack"/>
      <w:bookmarkEnd w:id="1183"/>
    </w:p>
    <w:p w14:paraId="0DDDB9D5">
      <w:pPr>
        <w:pStyle w:val="21"/>
        <w:spacing w:before="60" w:beforeAutospacing="0" w:after="60" w:afterAutospacing="0" w:line="312" w:lineRule="auto"/>
        <w:ind w:left="840" w:hanging="420"/>
        <w:rPr>
          <w:rFonts w:hint="eastAsia" w:ascii="宋体" w:hAnsi="宋体" w:eastAsia="宋体" w:cs="宋体"/>
          <w:color w:val="auto"/>
        </w:rPr>
      </w:pPr>
    </w:p>
    <w:p w14:paraId="375C28D2">
      <w:pPr>
        <w:rPr>
          <w:rFonts w:hint="eastAsia" w:ascii="宋体" w:hAnsi="宋体" w:eastAsia="宋体" w:cs="宋体"/>
          <w:bCs w:val="0"/>
          <w:color w:val="auto"/>
          <w:kern w:val="44"/>
          <w:sz w:val="44"/>
          <w:szCs w:val="44"/>
        </w:rPr>
      </w:pPr>
      <w:bookmarkStart w:id="3" w:name="_Toc273624872"/>
      <w:bookmarkStart w:id="4" w:name="_Toc81341316"/>
      <w:bookmarkStart w:id="5" w:name="_Toc20347"/>
      <w:bookmarkStart w:id="6" w:name="_Toc211745565"/>
      <w:bookmarkStart w:id="7" w:name="_Toc82873316"/>
      <w:bookmarkStart w:id="8" w:name="_Toc82338233"/>
      <w:r>
        <w:rPr>
          <w:rFonts w:hint="eastAsia" w:ascii="宋体" w:hAnsi="宋体" w:eastAsia="宋体" w:cs="宋体"/>
          <w:color w:val="auto"/>
          <w:kern w:val="44"/>
          <w:sz w:val="44"/>
          <w:szCs w:val="44"/>
        </w:rPr>
        <w:br w:type="page"/>
      </w:r>
    </w:p>
    <w:p w14:paraId="4E652CCD">
      <w:pPr>
        <w:pStyle w:val="3"/>
        <w:keepNext/>
        <w:numPr>
          <w:ilvl w:val="0"/>
          <w:numId w:val="2"/>
        </w:numPr>
        <w:autoSpaceDE/>
        <w:autoSpaceDN/>
        <w:adjustRightInd/>
        <w:spacing w:line="240" w:lineRule="auto"/>
        <w:rPr>
          <w:rFonts w:hint="eastAsia" w:ascii="宋体" w:hAnsi="宋体" w:eastAsia="宋体" w:cs="宋体"/>
          <w:bCs w:val="0"/>
          <w:color w:val="auto"/>
          <w:kern w:val="44"/>
          <w:sz w:val="44"/>
          <w:szCs w:val="44"/>
        </w:rPr>
      </w:pPr>
      <w:r>
        <w:rPr>
          <w:rFonts w:hint="eastAsia" w:ascii="宋体" w:hAnsi="宋体" w:eastAsia="宋体" w:cs="宋体"/>
          <w:color w:val="auto"/>
          <w:kern w:val="44"/>
          <w:sz w:val="44"/>
          <w:szCs w:val="44"/>
        </w:rPr>
        <w:t>磋商须知及前附表</w:t>
      </w:r>
      <w:bookmarkEnd w:id="3"/>
      <w:bookmarkEnd w:id="4"/>
      <w:bookmarkEnd w:id="5"/>
    </w:p>
    <w:p w14:paraId="03BADA54">
      <w:pPr>
        <w:pStyle w:val="4"/>
        <w:spacing w:line="240" w:lineRule="auto"/>
        <w:jc w:val="center"/>
        <w:rPr>
          <w:rFonts w:hint="eastAsia" w:ascii="宋体" w:hAnsi="宋体" w:eastAsia="宋体" w:cs="宋体"/>
          <w:color w:val="auto"/>
          <w:sz w:val="28"/>
          <w:szCs w:val="28"/>
        </w:rPr>
      </w:pPr>
      <w:bookmarkStart w:id="9" w:name="_Toc81341317"/>
      <w:bookmarkStart w:id="10" w:name="_Toc17345"/>
      <w:r>
        <w:rPr>
          <w:rFonts w:hint="eastAsia" w:ascii="宋体" w:hAnsi="宋体" w:eastAsia="宋体" w:cs="宋体"/>
          <w:color w:val="auto"/>
          <w:kern w:val="44"/>
          <w:sz w:val="28"/>
          <w:szCs w:val="28"/>
        </w:rPr>
        <w:t>磋商须知前附表</w:t>
      </w:r>
      <w:bookmarkEnd w:id="9"/>
      <w:bookmarkEnd w:id="10"/>
    </w:p>
    <w:tbl>
      <w:tblPr>
        <w:tblStyle w:val="24"/>
        <w:tblW w:w="9521" w:type="dxa"/>
        <w:jc w:val="center"/>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5A3C6A2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jc w:val="center"/>
        </w:trPr>
        <w:tc>
          <w:tcPr>
            <w:tcW w:w="1020" w:type="dxa"/>
            <w:tcBorders>
              <w:top w:val="thinThickSmallGap" w:color="0070C0" w:sz="12" w:space="0"/>
            </w:tcBorders>
            <w:shd w:val="clear" w:color="auto" w:fill="DAEEF3"/>
            <w:noWrap/>
            <w:vAlign w:val="center"/>
          </w:tcPr>
          <w:p w14:paraId="12FB0996">
            <w:pPr>
              <w:spacing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694" w:type="dxa"/>
            <w:tcBorders>
              <w:top w:val="thinThickSmallGap" w:color="0070C0" w:sz="12" w:space="0"/>
            </w:tcBorders>
            <w:shd w:val="clear" w:color="auto" w:fill="DAEEF3"/>
            <w:noWrap/>
            <w:vAlign w:val="center"/>
          </w:tcPr>
          <w:p w14:paraId="17AB6EB0">
            <w:pPr>
              <w:spacing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内容</w:t>
            </w:r>
          </w:p>
        </w:tc>
        <w:tc>
          <w:tcPr>
            <w:tcW w:w="5807" w:type="dxa"/>
            <w:tcBorders>
              <w:top w:val="thinThickSmallGap" w:color="0070C0" w:sz="12" w:space="0"/>
            </w:tcBorders>
            <w:shd w:val="clear" w:color="auto" w:fill="DAEEF3"/>
            <w:noWrap/>
            <w:vAlign w:val="center"/>
          </w:tcPr>
          <w:p w14:paraId="4A10FDD9">
            <w:pPr>
              <w:spacing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说明或要求</w:t>
            </w:r>
          </w:p>
        </w:tc>
      </w:tr>
      <w:tr w14:paraId="1536E42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2A91423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2694" w:type="dxa"/>
            <w:noWrap/>
            <w:vAlign w:val="center"/>
          </w:tcPr>
          <w:p w14:paraId="0E129A19">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项目名称</w:t>
            </w:r>
          </w:p>
        </w:tc>
        <w:tc>
          <w:tcPr>
            <w:tcW w:w="5807" w:type="dxa"/>
            <w:noWrap/>
            <w:vAlign w:val="center"/>
          </w:tcPr>
          <w:p w14:paraId="71E17951">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太古镇2026年蔬菜大棚新建改造项目</w:t>
            </w:r>
          </w:p>
        </w:tc>
      </w:tr>
      <w:tr w14:paraId="20AFD68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B59C79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694" w:type="dxa"/>
            <w:noWrap/>
            <w:vAlign w:val="center"/>
          </w:tcPr>
          <w:p w14:paraId="3ADEF542">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项目编号</w:t>
            </w:r>
          </w:p>
        </w:tc>
        <w:tc>
          <w:tcPr>
            <w:tcW w:w="5807" w:type="dxa"/>
            <w:noWrap/>
            <w:vAlign w:val="center"/>
          </w:tcPr>
          <w:p w14:paraId="2D62BBB7">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1410302026BCS00022</w:t>
            </w:r>
          </w:p>
        </w:tc>
      </w:tr>
      <w:tr w14:paraId="6CB36ED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D03A0D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w:t>
            </w:r>
          </w:p>
        </w:tc>
        <w:tc>
          <w:tcPr>
            <w:tcW w:w="2694" w:type="dxa"/>
            <w:noWrap/>
            <w:vAlign w:val="center"/>
          </w:tcPr>
          <w:p w14:paraId="538478E7">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采购内容</w:t>
            </w:r>
          </w:p>
        </w:tc>
        <w:tc>
          <w:tcPr>
            <w:tcW w:w="5807" w:type="dxa"/>
            <w:noWrap/>
            <w:vAlign w:val="center"/>
          </w:tcPr>
          <w:p w14:paraId="3E07762F">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见第三章采购内容及技术要求、清单。</w:t>
            </w:r>
          </w:p>
        </w:tc>
      </w:tr>
      <w:tr w14:paraId="7C113F8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98448A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p>
          <w:p w14:paraId="32F5902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4.5.2</w:t>
            </w:r>
          </w:p>
        </w:tc>
        <w:tc>
          <w:tcPr>
            <w:tcW w:w="2694" w:type="dxa"/>
            <w:noWrap/>
            <w:vAlign w:val="center"/>
          </w:tcPr>
          <w:p w14:paraId="40164B02">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最高限价</w:t>
            </w:r>
          </w:p>
        </w:tc>
        <w:tc>
          <w:tcPr>
            <w:tcW w:w="5807" w:type="dxa"/>
            <w:noWrap/>
            <w:vAlign w:val="center"/>
          </w:tcPr>
          <w:p w14:paraId="2955BA04">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最高限价：972262.26元。</w:t>
            </w:r>
          </w:p>
          <w:p w14:paraId="1C5EF85A">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最后报价超过最高限价,其响应文件按无效处理。</w:t>
            </w:r>
          </w:p>
        </w:tc>
      </w:tr>
      <w:tr w14:paraId="44B0AAE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7934E9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1.2.5</w:t>
            </w:r>
          </w:p>
        </w:tc>
        <w:tc>
          <w:tcPr>
            <w:tcW w:w="2694" w:type="dxa"/>
            <w:noWrap/>
            <w:vAlign w:val="center"/>
          </w:tcPr>
          <w:p w14:paraId="2615C78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5807" w:type="dxa"/>
            <w:noWrap/>
            <w:vAlign w:val="center"/>
          </w:tcPr>
          <w:p w14:paraId="5419F74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已落实</w:t>
            </w:r>
          </w:p>
        </w:tc>
      </w:tr>
      <w:tr w14:paraId="4296EC2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C77AE4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p>
        </w:tc>
        <w:tc>
          <w:tcPr>
            <w:tcW w:w="2694" w:type="dxa"/>
            <w:noWrap/>
            <w:vAlign w:val="center"/>
          </w:tcPr>
          <w:p w14:paraId="5260F73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807" w:type="dxa"/>
            <w:noWrap/>
            <w:vAlign w:val="center"/>
          </w:tcPr>
          <w:p w14:paraId="04426CD8">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名称：大宁县太古镇人民政府 </w:t>
            </w:r>
          </w:p>
          <w:p w14:paraId="31D030EF">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联系人：刘先生</w:t>
            </w:r>
          </w:p>
          <w:p w14:paraId="3CC46DB9">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联系方式：0357-6121335</w:t>
            </w:r>
          </w:p>
        </w:tc>
      </w:tr>
      <w:tr w14:paraId="4F5AD46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AC5B1C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1.2.7</w:t>
            </w:r>
          </w:p>
        </w:tc>
        <w:tc>
          <w:tcPr>
            <w:tcW w:w="2694" w:type="dxa"/>
            <w:noWrap/>
            <w:vAlign w:val="center"/>
          </w:tcPr>
          <w:p w14:paraId="556558E1">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w:t>
            </w:r>
          </w:p>
        </w:tc>
        <w:tc>
          <w:tcPr>
            <w:tcW w:w="5807" w:type="dxa"/>
            <w:noWrap/>
            <w:vAlign w:val="center"/>
          </w:tcPr>
          <w:p w14:paraId="19E3DDEF">
            <w:pPr>
              <w:pStyle w:val="1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名称：山西新昱工程项目管理有限公司</w:t>
            </w:r>
          </w:p>
          <w:p w14:paraId="135DF149">
            <w:pPr>
              <w:pStyle w:val="12"/>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none"/>
                <w:lang w:val="en-US" w:eastAsia="zh-CN"/>
              </w:rPr>
              <w:t>地址：山西省临汾市尧都高新技术产业开发区新能源大厦2层230号</w:t>
            </w:r>
          </w:p>
          <w:p w14:paraId="4A59AF87">
            <w:pPr>
              <w:pStyle w:val="1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联系方式：0357-2031515、18636743673</w:t>
            </w:r>
          </w:p>
        </w:tc>
      </w:tr>
      <w:tr w14:paraId="4216F62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5B1B72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1.2.8</w:t>
            </w:r>
          </w:p>
        </w:tc>
        <w:tc>
          <w:tcPr>
            <w:tcW w:w="2694" w:type="dxa"/>
            <w:noWrap/>
            <w:vAlign w:val="center"/>
          </w:tcPr>
          <w:p w14:paraId="56D472A7">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交易方式</w:t>
            </w:r>
          </w:p>
        </w:tc>
        <w:tc>
          <w:tcPr>
            <w:tcW w:w="5807" w:type="dxa"/>
            <w:noWrap/>
            <w:vAlign w:val="center"/>
          </w:tcPr>
          <w:p w14:paraId="29D9747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电子交易</w:t>
            </w:r>
          </w:p>
        </w:tc>
      </w:tr>
      <w:tr w14:paraId="5FC0628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21E24D5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1.2.9</w:t>
            </w:r>
          </w:p>
        </w:tc>
        <w:tc>
          <w:tcPr>
            <w:tcW w:w="2694" w:type="dxa"/>
            <w:noWrap/>
            <w:vAlign w:val="center"/>
          </w:tcPr>
          <w:p w14:paraId="7D966DF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电子交易平台</w:t>
            </w:r>
          </w:p>
        </w:tc>
        <w:tc>
          <w:tcPr>
            <w:tcW w:w="5807" w:type="dxa"/>
            <w:noWrap/>
            <w:vAlign w:val="center"/>
          </w:tcPr>
          <w:p w14:paraId="1BA678E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山西省政府采购网http://www.ccgp-shanxi.gov.cn/home.html</w:t>
            </w:r>
          </w:p>
        </w:tc>
      </w:tr>
      <w:tr w14:paraId="1B525CA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A117CB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1.2.10</w:t>
            </w:r>
          </w:p>
        </w:tc>
        <w:tc>
          <w:tcPr>
            <w:tcW w:w="2694" w:type="dxa"/>
            <w:noWrap/>
            <w:vAlign w:val="center"/>
          </w:tcPr>
          <w:p w14:paraId="1250619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5807" w:type="dxa"/>
            <w:noWrap/>
            <w:vAlign w:val="center"/>
          </w:tcPr>
          <w:p w14:paraId="62E8C3BA">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工期：</w:t>
            </w:r>
            <w:r>
              <w:rPr>
                <w:rFonts w:hint="eastAsia" w:ascii="宋体" w:hAnsi="宋体" w:cs="宋体"/>
                <w:color w:val="auto"/>
                <w:sz w:val="24"/>
                <w:highlight w:val="none"/>
                <w:lang w:val="en-US" w:eastAsia="zh-CN"/>
              </w:rPr>
              <w:t>自合同签订之日起60日历天</w:t>
            </w:r>
          </w:p>
        </w:tc>
      </w:tr>
      <w:tr w14:paraId="1CA899C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9A60C28">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2694" w:type="dxa"/>
            <w:noWrap/>
            <w:vAlign w:val="center"/>
          </w:tcPr>
          <w:p w14:paraId="16511E3A">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5807" w:type="dxa"/>
            <w:noWrap/>
            <w:vAlign w:val="center"/>
          </w:tcPr>
          <w:p w14:paraId="3F51FDB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w:t>
            </w:r>
          </w:p>
        </w:tc>
      </w:tr>
      <w:tr w14:paraId="40A3FAB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6B3B0C1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2694" w:type="dxa"/>
            <w:noWrap/>
            <w:vAlign w:val="center"/>
          </w:tcPr>
          <w:p w14:paraId="4AEB57A8">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采购组织类型</w:t>
            </w:r>
          </w:p>
        </w:tc>
        <w:tc>
          <w:tcPr>
            <w:tcW w:w="5807" w:type="dxa"/>
            <w:noWrap/>
            <w:vAlign w:val="center"/>
          </w:tcPr>
          <w:p w14:paraId="5737010D">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分散采购</w:t>
            </w:r>
          </w:p>
        </w:tc>
      </w:tr>
      <w:tr w14:paraId="3D0990A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93926F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1.5.8</w:t>
            </w:r>
          </w:p>
        </w:tc>
        <w:tc>
          <w:tcPr>
            <w:tcW w:w="2694" w:type="dxa"/>
            <w:noWrap/>
            <w:vAlign w:val="center"/>
          </w:tcPr>
          <w:p w14:paraId="309C1E1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同级政府采购监督管理部门</w:t>
            </w:r>
          </w:p>
        </w:tc>
        <w:tc>
          <w:tcPr>
            <w:tcW w:w="5807" w:type="dxa"/>
            <w:noWrap/>
            <w:vAlign w:val="center"/>
          </w:tcPr>
          <w:p w14:paraId="09E64A50">
            <w:pPr>
              <w:spacing w:line="276"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大宁县财政局</w:t>
            </w:r>
          </w:p>
        </w:tc>
      </w:tr>
      <w:tr w14:paraId="7EB3EF3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318ACC4">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694" w:type="dxa"/>
            <w:noWrap/>
            <w:vAlign w:val="center"/>
          </w:tcPr>
          <w:p w14:paraId="1915475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w:t>
            </w:r>
          </w:p>
          <w:p w14:paraId="0042EBC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w:t>
            </w:r>
          </w:p>
        </w:tc>
        <w:tc>
          <w:tcPr>
            <w:tcW w:w="5807" w:type="dxa"/>
            <w:noWrap/>
            <w:vAlign w:val="center"/>
          </w:tcPr>
          <w:p w14:paraId="702DD3DF">
            <w:pPr>
              <w:spacing w:line="276"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否</w:t>
            </w:r>
          </w:p>
        </w:tc>
      </w:tr>
      <w:tr w14:paraId="4A3A5DC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46987F8">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2694" w:type="dxa"/>
            <w:noWrap/>
            <w:vAlign w:val="center"/>
          </w:tcPr>
          <w:p w14:paraId="5E8BF65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进口产品磋商响应</w:t>
            </w:r>
          </w:p>
        </w:tc>
        <w:tc>
          <w:tcPr>
            <w:tcW w:w="5807" w:type="dxa"/>
            <w:noWrap/>
            <w:vAlign w:val="center"/>
          </w:tcPr>
          <w:p w14:paraId="42DDC42F">
            <w:pPr>
              <w:spacing w:line="276" w:lineRule="auto"/>
              <w:jc w:val="left"/>
              <w:rPr>
                <w:rFonts w:hint="eastAsia" w:ascii="宋体" w:hAnsi="宋体" w:eastAsia="宋体" w:cs="宋体"/>
                <w:b/>
                <w:color w:val="auto"/>
                <w:sz w:val="24"/>
                <w:highlight w:val="none"/>
              </w:rPr>
            </w:pPr>
            <w:bookmarkStart w:id="11" w:name="PO_3000009031_PM042"/>
            <w:r>
              <w:rPr>
                <w:rFonts w:hint="eastAsia" w:ascii="宋体" w:hAnsi="宋体" w:eastAsia="宋体" w:cs="宋体"/>
                <w:bCs/>
                <w:color w:val="auto"/>
                <w:sz w:val="24"/>
                <w:highlight w:val="none"/>
              </w:rPr>
              <w:t>不允许进口产品</w:t>
            </w:r>
            <w:bookmarkEnd w:id="11"/>
          </w:p>
        </w:tc>
      </w:tr>
      <w:tr w14:paraId="16BB6D0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0FB35E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1.11.1</w:t>
            </w:r>
          </w:p>
        </w:tc>
        <w:tc>
          <w:tcPr>
            <w:tcW w:w="2694" w:type="dxa"/>
            <w:noWrap/>
            <w:vAlign w:val="center"/>
          </w:tcPr>
          <w:p w14:paraId="0E0BF2AB">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5807" w:type="dxa"/>
            <w:noWrap/>
            <w:vAlign w:val="center"/>
          </w:tcPr>
          <w:p w14:paraId="2D647491">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不组织</w:t>
            </w:r>
          </w:p>
          <w:p w14:paraId="378630B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组织：</w:t>
            </w:r>
          </w:p>
          <w:p w14:paraId="032AE743">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本项目由供应商</w:t>
            </w:r>
            <w:r>
              <w:rPr>
                <w:rFonts w:hint="eastAsia" w:ascii="宋体" w:hAnsi="宋体" w:eastAsia="宋体" w:cs="宋体"/>
                <w:color w:val="000000"/>
                <w:sz w:val="24"/>
                <w:lang w:val="en-US" w:eastAsia="zh-CN"/>
              </w:rPr>
              <w:t>自行前往</w:t>
            </w:r>
            <w:r>
              <w:rPr>
                <w:rFonts w:hint="eastAsia" w:ascii="宋体" w:hAnsi="宋体" w:eastAsia="宋体" w:cs="宋体"/>
                <w:color w:val="000000"/>
                <w:sz w:val="24"/>
              </w:rPr>
              <w:t>进行现场考察</w:t>
            </w:r>
          </w:p>
          <w:p w14:paraId="147972AE">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分（北京时间）</w:t>
            </w:r>
          </w:p>
          <w:p w14:paraId="6C225FF1">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地点：</w:t>
            </w:r>
          </w:p>
          <w:p w14:paraId="075723DB">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p w14:paraId="6E137614">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p w14:paraId="274D0BC8">
            <w:pPr>
              <w:pStyle w:val="17"/>
              <w:rPr>
                <w:rFonts w:hint="eastAsia" w:ascii="宋体" w:hAnsi="宋体" w:eastAsia="宋体" w:cs="宋体"/>
              </w:rPr>
            </w:pPr>
            <w:bookmarkStart w:id="12" w:name="_Toc17016"/>
            <w:r>
              <w:rPr>
                <w:rFonts w:hint="eastAsia" w:ascii="宋体" w:hAnsi="宋体" w:eastAsia="宋体" w:cs="宋体"/>
                <w:b w:val="0"/>
                <w:bCs w:val="0"/>
                <w:color w:val="000000"/>
                <w:kern w:val="2"/>
                <w:sz w:val="24"/>
                <w:szCs w:val="22"/>
              </w:rPr>
              <w:t>注：现场考察过程中发生的费用或意外导致伤亡等一切责任和损失均由供应商自负</w:t>
            </w:r>
            <w:bookmarkEnd w:id="12"/>
          </w:p>
        </w:tc>
      </w:tr>
      <w:tr w14:paraId="37D8A2D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12CE64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1.12.1</w:t>
            </w:r>
          </w:p>
        </w:tc>
        <w:tc>
          <w:tcPr>
            <w:tcW w:w="2694" w:type="dxa"/>
            <w:noWrap/>
            <w:vAlign w:val="center"/>
          </w:tcPr>
          <w:p w14:paraId="76ED8167">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磋商前答疑会</w:t>
            </w:r>
          </w:p>
        </w:tc>
        <w:tc>
          <w:tcPr>
            <w:tcW w:w="5807" w:type="dxa"/>
            <w:noWrap/>
            <w:vAlign w:val="center"/>
          </w:tcPr>
          <w:p w14:paraId="7AAF6321">
            <w:pPr>
              <w:spacing w:line="276" w:lineRule="auto"/>
              <w:jc w:val="left"/>
              <w:rPr>
                <w:rFonts w:hint="eastAsia" w:ascii="宋体" w:hAnsi="宋体" w:eastAsia="宋体" w:cs="宋体"/>
                <w:bCs/>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bCs/>
                <w:color w:val="auto"/>
                <w:sz w:val="24"/>
                <w:highlight w:val="none"/>
              </w:rPr>
              <w:t>不召开</w:t>
            </w:r>
          </w:p>
          <w:p w14:paraId="41FB4F53">
            <w:pPr>
              <w:pStyle w:val="22"/>
              <w:ind w:left="0" w:leftChars="0" w:firstLine="0" w:firstLineChars="0"/>
              <w:rPr>
                <w:rFonts w:hint="eastAsia" w:ascii="宋体" w:hAnsi="宋体" w:eastAsia="宋体" w:cs="宋体"/>
                <w:bCs/>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bCs/>
                <w:color w:val="auto"/>
                <w:sz w:val="24"/>
                <w:highlight w:val="none"/>
              </w:rPr>
              <w:t>召开</w:t>
            </w:r>
          </w:p>
          <w:p w14:paraId="6EA94DBC">
            <w:pPr>
              <w:pStyle w:val="17"/>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本次答疑采用电子答疑方式进行，供应商须在截止时间前递交以下资料至邮箱（资料须加盖公章，扫描件）：</w:t>
            </w:r>
          </w:p>
          <w:p w14:paraId="3758AAC2">
            <w:pPr>
              <w:pStyle w:val="17"/>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①答疑文件</w:t>
            </w:r>
            <w:r>
              <w:rPr>
                <w:rFonts w:hint="eastAsia" w:ascii="宋体" w:hAnsi="宋体" w:cs="宋体"/>
                <w:bCs/>
                <w:sz w:val="24"/>
                <w:highlight w:val="none"/>
                <w:lang w:val="en-US" w:eastAsia="zh-CN"/>
              </w:rPr>
              <w:t>（标注联系人和联系方式）</w:t>
            </w:r>
          </w:p>
          <w:p w14:paraId="6B0154FE">
            <w:pPr>
              <w:pStyle w:val="17"/>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②下载磋商文件回执</w:t>
            </w:r>
          </w:p>
          <w:p w14:paraId="4B7DE952">
            <w:pPr>
              <w:spacing w:line="276" w:lineRule="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截止</w:t>
            </w:r>
            <w:r>
              <w:rPr>
                <w:rFonts w:hint="eastAsia" w:ascii="宋体" w:hAnsi="宋体" w:eastAsia="宋体" w:cs="宋体"/>
                <w:bCs/>
                <w:sz w:val="24"/>
                <w:highlight w:val="none"/>
              </w:rPr>
              <w:t>时间：</w:t>
            </w:r>
            <w:r>
              <w:rPr>
                <w:rFonts w:hint="eastAsia" w:ascii="宋体" w:hAnsi="宋体" w:cs="宋体"/>
                <w:bCs/>
                <w:sz w:val="24"/>
                <w:highlight w:val="none"/>
                <w:lang w:val="en-US" w:eastAsia="zh-CN"/>
              </w:rPr>
              <w:t>/</w:t>
            </w:r>
          </w:p>
          <w:p w14:paraId="5AE5930A">
            <w:pPr>
              <w:pStyle w:val="23"/>
              <w:ind w:left="0" w:leftChars="0" w:firstLine="0" w:firstLineChars="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邮箱</w:t>
            </w:r>
            <w:r>
              <w:rPr>
                <w:rFonts w:hint="eastAsia" w:ascii="宋体" w:hAnsi="宋体" w:eastAsia="宋体" w:cs="宋体"/>
                <w:bCs/>
                <w:sz w:val="24"/>
                <w:highlight w:val="none"/>
              </w:rPr>
              <w:t>：sxxygcxmglyxgs@163.com</w:t>
            </w:r>
          </w:p>
          <w:p w14:paraId="288C0ABF">
            <w:pPr>
              <w:pStyle w:val="23"/>
              <w:ind w:left="0" w:leftChars="0" w:firstLine="0" w:firstLineChars="0"/>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联系人：</w:t>
            </w:r>
            <w:r>
              <w:rPr>
                <w:rFonts w:hint="eastAsia" w:ascii="宋体" w:hAnsi="宋体" w:cs="宋体"/>
                <w:bCs/>
                <w:sz w:val="24"/>
                <w:highlight w:val="none"/>
                <w:lang w:val="en-US" w:eastAsia="zh-CN"/>
              </w:rPr>
              <w:t>勾通</w:t>
            </w:r>
          </w:p>
          <w:p w14:paraId="07FBB104">
            <w:pPr>
              <w:pStyle w:val="23"/>
              <w:ind w:left="0" w:leftChars="0" w:firstLine="0" w:firstLineChars="0"/>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联系方式：</w:t>
            </w:r>
            <w:r>
              <w:rPr>
                <w:rFonts w:hint="eastAsia" w:ascii="宋体" w:hAnsi="宋体" w:cs="宋体"/>
                <w:bCs/>
                <w:sz w:val="24"/>
                <w:highlight w:val="none"/>
                <w:lang w:val="en-US" w:eastAsia="zh-CN"/>
              </w:rPr>
              <w:t>0357-2031515、18636743673</w:t>
            </w:r>
          </w:p>
          <w:p w14:paraId="39352141">
            <w:pPr>
              <w:pStyle w:val="23"/>
              <w:ind w:left="0" w:leftChars="0" w:firstLine="0" w:firstLineChars="0"/>
              <w:rPr>
                <w:rFonts w:hint="eastAsia" w:ascii="宋体" w:hAnsi="宋体" w:eastAsia="宋体" w:cs="宋体"/>
              </w:rPr>
            </w:pPr>
            <w:r>
              <w:rPr>
                <w:rFonts w:hint="eastAsia" w:ascii="宋体" w:hAnsi="宋体" w:eastAsia="宋体" w:cs="宋体"/>
                <w:bCs/>
                <w:sz w:val="24"/>
                <w:highlight w:val="none"/>
              </w:rPr>
              <w:t>注：如无疑问，将加盖公章并标注联系人和联系方式的无疑问文件（注明无疑问）</w:t>
            </w:r>
            <w:r>
              <w:rPr>
                <w:rFonts w:hint="eastAsia" w:ascii="宋体" w:hAnsi="宋体" w:cs="宋体"/>
                <w:bCs/>
                <w:sz w:val="24"/>
                <w:highlight w:val="none"/>
                <w:lang w:val="en-US" w:eastAsia="zh-CN"/>
              </w:rPr>
              <w:t>及</w:t>
            </w:r>
            <w:r>
              <w:rPr>
                <w:rFonts w:hint="eastAsia" w:ascii="宋体" w:hAnsi="宋体" w:eastAsia="宋体" w:cs="宋体"/>
                <w:bCs/>
                <w:sz w:val="24"/>
                <w:highlight w:val="none"/>
                <w:lang w:val="en-US" w:eastAsia="zh-CN"/>
              </w:rPr>
              <w:t>下载磋商文件回执</w:t>
            </w:r>
            <w:r>
              <w:rPr>
                <w:rFonts w:hint="eastAsia" w:ascii="宋体" w:hAnsi="宋体" w:eastAsia="宋体" w:cs="宋体"/>
                <w:bCs/>
                <w:sz w:val="24"/>
                <w:highlight w:val="none"/>
              </w:rPr>
              <w:t>发送至邮箱，若因不按时发送而产生的所有后果由</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自行承担。我公司在收到</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疑问后，统一回复至各</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邮箱，请</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及时关注，不再另行通知。</w:t>
            </w:r>
          </w:p>
        </w:tc>
      </w:tr>
      <w:tr w14:paraId="610DDCA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FA4488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p>
        </w:tc>
        <w:tc>
          <w:tcPr>
            <w:tcW w:w="2694" w:type="dxa"/>
            <w:noWrap/>
            <w:vAlign w:val="center"/>
          </w:tcPr>
          <w:p w14:paraId="4A09653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是否具有行业特殊情况</w:t>
            </w:r>
          </w:p>
        </w:tc>
        <w:tc>
          <w:tcPr>
            <w:tcW w:w="5807" w:type="dxa"/>
            <w:noWrap/>
            <w:vAlign w:val="center"/>
          </w:tcPr>
          <w:p w14:paraId="1603AE7A">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否</w:t>
            </w:r>
          </w:p>
        </w:tc>
      </w:tr>
      <w:tr w14:paraId="17602AC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05FCE58">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1.15.2</w:t>
            </w:r>
          </w:p>
        </w:tc>
        <w:tc>
          <w:tcPr>
            <w:tcW w:w="2694" w:type="dxa"/>
            <w:noWrap/>
            <w:vAlign w:val="center"/>
          </w:tcPr>
          <w:p w14:paraId="4FA4BD3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5807" w:type="dxa"/>
            <w:noWrap/>
            <w:vAlign w:val="center"/>
          </w:tcPr>
          <w:p w14:paraId="243CF508">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lang w:val="zh-CN"/>
              </w:rPr>
              <w:t>本项目不接受合同分包；</w:t>
            </w:r>
          </w:p>
          <w:p w14:paraId="6B8DF475">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lang w:val="zh-CN"/>
              </w:rPr>
              <w:t>本项目接受合同分包，本项目分包履行的具体内容、金额或者比例、</w:t>
            </w:r>
            <w:r>
              <w:rPr>
                <w:rFonts w:hint="eastAsia" w:ascii="宋体" w:hAnsi="宋体" w:eastAsia="宋体" w:cs="宋体"/>
                <w:bCs/>
                <w:color w:val="auto"/>
                <w:sz w:val="24"/>
                <w:highlight w:val="none"/>
              </w:rPr>
              <w:t>分包人资质要求等</w:t>
            </w:r>
            <w:r>
              <w:rPr>
                <w:rFonts w:hint="eastAsia" w:ascii="宋体" w:hAnsi="宋体" w:eastAsia="宋体" w:cs="宋体"/>
                <w:bCs/>
                <w:color w:val="auto"/>
                <w:sz w:val="24"/>
                <w:highlight w:val="none"/>
                <w:lang w:val="zh-CN"/>
              </w:rPr>
              <w:t>。</w:t>
            </w:r>
          </w:p>
        </w:tc>
      </w:tr>
      <w:tr w14:paraId="0A7C6C1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35C8CD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p>
        </w:tc>
        <w:tc>
          <w:tcPr>
            <w:tcW w:w="2694" w:type="dxa"/>
            <w:noWrap/>
            <w:vAlign w:val="center"/>
          </w:tcPr>
          <w:p w14:paraId="6AAB3B3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5807" w:type="dxa"/>
            <w:noWrap/>
            <w:vAlign w:val="center"/>
          </w:tcPr>
          <w:p w14:paraId="471D1311">
            <w:pPr>
              <w:spacing w:line="276" w:lineRule="auto"/>
              <w:jc w:val="left"/>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本项目不要求提交保证金</w:t>
            </w:r>
          </w:p>
          <w:p w14:paraId="5CEF232E">
            <w:pPr>
              <w:wordWrap w:val="0"/>
              <w:snapToGrid w:val="0"/>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本项目要求提交保证金</w:t>
            </w:r>
          </w:p>
          <w:p w14:paraId="3D2ECB0D">
            <w:pPr>
              <w:wordWrap w:val="0"/>
              <w:snapToGrid w:val="0"/>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磋商供应商须在开标前规定的时间内提交保证金：</w:t>
            </w:r>
          </w:p>
          <w:p w14:paraId="0A9BA312">
            <w:pPr>
              <w:wordWrap w:val="0"/>
              <w:snapToGrid w:val="0"/>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人民币 </w:t>
            </w:r>
            <w:r>
              <w:rPr>
                <w:rFonts w:hint="eastAsia" w:ascii="宋体" w:hAnsi="宋体" w:eastAsia="宋体" w:cs="宋体"/>
                <w:b/>
                <w:bCs/>
                <w:kern w:val="2"/>
                <w:sz w:val="24"/>
                <w:szCs w:val="24"/>
                <w:highlight w:val="none"/>
                <w:lang w:val="en-US" w:eastAsia="zh-CN" w:bidi="ar-SA"/>
              </w:rPr>
              <w:t xml:space="preserve"> </w:t>
            </w:r>
            <w:r>
              <w:rPr>
                <w:rFonts w:hint="eastAsia" w:ascii="宋体" w:hAnsi="宋体" w:cs="宋体"/>
                <w:b/>
                <w:bCs/>
                <w:kern w:val="2"/>
                <w:sz w:val="24"/>
                <w:szCs w:val="24"/>
                <w:highlight w:val="none"/>
                <w:lang w:val="en-US" w:eastAsia="zh-CN" w:bidi="ar-SA"/>
              </w:rPr>
              <w:t>玖仟元整</w:t>
            </w:r>
            <w:r>
              <w:rPr>
                <w:rFonts w:hint="eastAsia" w:ascii="宋体" w:hAnsi="宋体" w:eastAsia="宋体" w:cs="宋体"/>
                <w:b w:val="0"/>
                <w:bCs w:val="0"/>
                <w:kern w:val="2"/>
                <w:sz w:val="24"/>
                <w:szCs w:val="24"/>
                <w:highlight w:val="none"/>
                <w:lang w:val="en-US" w:eastAsia="zh-CN" w:bidi="ar-SA"/>
              </w:rPr>
              <w:t xml:space="preserve">  </w:t>
            </w: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9000</w:t>
            </w:r>
            <w:r>
              <w:rPr>
                <w:rFonts w:hint="eastAsia" w:ascii="宋体" w:hAnsi="宋体" w:eastAsia="宋体" w:cs="宋体"/>
                <w:b/>
                <w:bCs/>
                <w:kern w:val="2"/>
                <w:sz w:val="24"/>
                <w:szCs w:val="24"/>
                <w:highlight w:val="none"/>
                <w:lang w:val="en-US" w:eastAsia="zh-CN" w:bidi="ar-SA"/>
              </w:rPr>
              <w:t xml:space="preserve">元 </w:t>
            </w:r>
            <w:r>
              <w:rPr>
                <w:rFonts w:hint="eastAsia" w:ascii="宋体" w:hAnsi="宋体" w:eastAsia="宋体" w:cs="宋体"/>
                <w:b w:val="0"/>
                <w:bCs w:val="0"/>
                <w:kern w:val="2"/>
                <w:sz w:val="24"/>
                <w:szCs w:val="24"/>
                <w:highlight w:val="none"/>
                <w:lang w:val="en-US" w:eastAsia="zh-CN" w:bidi="ar-SA"/>
              </w:rPr>
              <w:t xml:space="preserve"> 作为磋商</w:t>
            </w:r>
            <w:r>
              <w:rPr>
                <w:rFonts w:hint="eastAsia" w:ascii="宋体" w:hAnsi="宋体" w:eastAsia="宋体" w:cs="宋体"/>
                <w:b w:val="0"/>
                <w:bCs w:val="0"/>
                <w:kern w:val="2"/>
                <w:sz w:val="24"/>
                <w:szCs w:val="24"/>
                <w:lang w:val="en-US" w:eastAsia="zh-CN" w:bidi="ar-SA"/>
              </w:rPr>
              <w:t>保证金，保证金递交</w:t>
            </w:r>
            <w:r>
              <w:rPr>
                <w:rFonts w:hint="eastAsia" w:ascii="宋体" w:hAnsi="宋体" w:cs="宋体"/>
                <w:b w:val="0"/>
                <w:bCs w:val="0"/>
                <w:kern w:val="2"/>
                <w:sz w:val="24"/>
                <w:szCs w:val="24"/>
                <w:lang w:val="en-US" w:eastAsia="zh-CN" w:bidi="ar-SA"/>
              </w:rPr>
              <w:t>山西新昱工程项目管理有限公司</w:t>
            </w:r>
            <w:r>
              <w:rPr>
                <w:rFonts w:hint="eastAsia" w:ascii="宋体" w:hAnsi="宋体" w:eastAsia="宋体" w:cs="宋体"/>
                <w:b w:val="0"/>
                <w:bCs w:val="0"/>
                <w:kern w:val="2"/>
                <w:sz w:val="24"/>
                <w:szCs w:val="24"/>
                <w:lang w:val="en-US" w:eastAsia="zh-CN" w:bidi="ar-SA"/>
              </w:rPr>
              <w:t>。</w:t>
            </w:r>
          </w:p>
          <w:p w14:paraId="291C9636">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1、采用保函形式：保函应当是金融机构、担保机构出具的投标保函（含电子保函）、银行直接出具的保函或者第三方金融服务平台出具的银行保函，响应文件中附扫描件。</w:t>
            </w:r>
          </w:p>
          <w:p w14:paraId="5DCBF126">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2、采用银行汇款和支票：应当明确收款账号，投标文件中需附汇票存根或银行转账通知扫描件及其基本账户转出的证明，投标文件中附扫描件。</w:t>
            </w:r>
          </w:p>
          <w:p w14:paraId="2891CE06">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收款单位：山西新昱工程项目管理有限公司</w:t>
            </w:r>
          </w:p>
          <w:p w14:paraId="7713783D">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开户行：交通银行股份有限公司临汾分行营业部</w:t>
            </w:r>
          </w:p>
          <w:p w14:paraId="1B560467">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账号：146146701013000162877</w:t>
            </w:r>
          </w:p>
          <w:p w14:paraId="17D6B241">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行号：</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"https://www.chakahao.com/lhh/view/301177000017.html" \o "交通银行股份有限公司临汾分行联行号" \t "https://www.chakahao.com/lhh/list/_blank"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301177000017</w:t>
            </w:r>
            <w:r>
              <w:rPr>
                <w:rFonts w:hint="eastAsia" w:ascii="宋体" w:hAnsi="宋体" w:eastAsia="宋体" w:cs="宋体"/>
                <w:b w:val="0"/>
                <w:bCs w:val="0"/>
                <w:kern w:val="2"/>
                <w:sz w:val="24"/>
                <w:szCs w:val="24"/>
                <w:lang w:val="en-US" w:eastAsia="zh-CN" w:bidi="ar-SA"/>
              </w:rPr>
              <w:fldChar w:fldCharType="end"/>
            </w:r>
          </w:p>
          <w:p w14:paraId="2773D41C">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供应商在交付保证金时须在备注或附言中填写项目编号。</w:t>
            </w:r>
          </w:p>
          <w:p w14:paraId="56383B2B">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注：①项目分为多个包，投标保证金须按包逐笔支付。</w:t>
            </w:r>
          </w:p>
          <w:p w14:paraId="2C9C8979">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②供应商须在保证金缴纳截止时间之前将保证金电汇凭证或保函扫描件发送到代理机构电子邮箱（</w:t>
            </w:r>
            <w:r>
              <w:rPr>
                <w:rFonts w:hint="eastAsia" w:ascii="宋体" w:hAnsi="宋体" w:cs="宋体"/>
                <w:b w:val="0"/>
                <w:bCs w:val="0"/>
                <w:kern w:val="2"/>
                <w:sz w:val="24"/>
                <w:szCs w:val="24"/>
                <w:lang w:val="en-US" w:eastAsia="zh-CN" w:bidi="ar-SA"/>
              </w:rPr>
              <w:t>sxxygcxmglyxgs@163.com</w:t>
            </w:r>
            <w:r>
              <w:rPr>
                <w:rFonts w:hint="eastAsia" w:ascii="宋体" w:hAnsi="宋体" w:eastAsia="宋体" w:cs="宋体"/>
                <w:b w:val="0"/>
                <w:bCs w:val="0"/>
                <w:kern w:val="2"/>
                <w:sz w:val="24"/>
                <w:szCs w:val="24"/>
                <w:lang w:val="en-US" w:eastAsia="zh-CN" w:bidi="ar-SA"/>
              </w:rPr>
              <w:t>），邮件标题格式：公司名称+项目名称+“投标保证金金额”</w:t>
            </w:r>
          </w:p>
          <w:p w14:paraId="6102E6BE">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3、投标保证金退还方式：通过本单位银行帐户全额退还至供应商账户。</w:t>
            </w:r>
          </w:p>
          <w:p w14:paraId="084FD6A9">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4、投标保证金退还时间：详见磋商文件1.17.2。</w:t>
            </w:r>
          </w:p>
          <w:p w14:paraId="73F5C6EC">
            <w:pPr>
              <w:jc w:val="left"/>
              <w:rPr>
                <w:rFonts w:hint="eastAsia" w:ascii="宋体" w:hAnsi="宋体" w:eastAsia="宋体" w:cs="宋体"/>
                <w:bCs/>
                <w:color w:val="auto"/>
                <w:sz w:val="24"/>
                <w:highlight w:val="none"/>
                <w:lang w:val="zh-CN"/>
              </w:rPr>
            </w:pPr>
            <w:r>
              <w:rPr>
                <w:rFonts w:hint="eastAsia" w:ascii="宋体" w:hAnsi="宋体" w:eastAsia="宋体" w:cs="宋体"/>
                <w:b w:val="0"/>
                <w:bCs w:val="0"/>
                <w:kern w:val="2"/>
                <w:sz w:val="24"/>
                <w:szCs w:val="24"/>
                <w:lang w:val="en-US" w:eastAsia="zh-CN" w:bidi="ar-SA"/>
              </w:rPr>
              <w:t>5、交款时间：保证金缴纳截止时间同文件上传截止时间，逾期系统将自动关闭账户。</w:t>
            </w:r>
          </w:p>
        </w:tc>
      </w:tr>
      <w:tr w14:paraId="1FDA064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6C10147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694" w:type="dxa"/>
            <w:noWrap/>
            <w:vAlign w:val="center"/>
          </w:tcPr>
          <w:p w14:paraId="0494D5E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支持本国企业</w:t>
            </w:r>
          </w:p>
        </w:tc>
        <w:tc>
          <w:tcPr>
            <w:tcW w:w="5807" w:type="dxa"/>
            <w:noWrap/>
            <w:vAlign w:val="center"/>
          </w:tcPr>
          <w:p w14:paraId="526E97B4">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根据《中华人民共和国政府采购法》第十条的规定，政府采购应当采购本国货物、工程和服务。</w:t>
            </w:r>
          </w:p>
          <w:p w14:paraId="79A25167">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本项目只允许中国境内工程供应商参加</w:t>
            </w:r>
          </w:p>
        </w:tc>
      </w:tr>
      <w:tr w14:paraId="1559ECB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EF8CC8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p>
        </w:tc>
        <w:tc>
          <w:tcPr>
            <w:tcW w:w="2694" w:type="dxa"/>
            <w:noWrap/>
            <w:vAlign w:val="center"/>
          </w:tcPr>
          <w:p w14:paraId="2664E184">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w:t>
            </w:r>
          </w:p>
          <w:p w14:paraId="686C081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中小企业采购</w:t>
            </w:r>
          </w:p>
          <w:p w14:paraId="1AFE19C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（定向采购）</w:t>
            </w:r>
          </w:p>
        </w:tc>
        <w:tc>
          <w:tcPr>
            <w:tcW w:w="5807" w:type="dxa"/>
            <w:noWrap/>
            <w:vAlign w:val="center"/>
          </w:tcPr>
          <w:p w14:paraId="7AAA66DF">
            <w:pPr>
              <w:spacing w:line="276" w:lineRule="auto"/>
              <w:jc w:val="left"/>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本项目属于专门面向中小企业采购的项目,供应商应为中小微企业或监狱企业或残疾人福利性单位，提供相应证明材料。不执行支持中小企业发展、支持监狱企业发展、促进残疾人就业的价格优惠政策。</w:t>
            </w:r>
          </w:p>
          <w:p w14:paraId="660EAD81">
            <w:pPr>
              <w:spacing w:line="276" w:lineRule="auto"/>
              <w:jc w:val="left"/>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本项目不属于专门面向中小企业采购的项目。</w:t>
            </w:r>
          </w:p>
        </w:tc>
      </w:tr>
      <w:tr w14:paraId="0D8DCB7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AA067E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p>
        </w:tc>
        <w:tc>
          <w:tcPr>
            <w:tcW w:w="2694" w:type="dxa"/>
            <w:noWrap/>
            <w:vAlign w:val="center"/>
          </w:tcPr>
          <w:p w14:paraId="1AE5619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本项目中小企业划分标准所属行业</w:t>
            </w:r>
          </w:p>
        </w:tc>
        <w:tc>
          <w:tcPr>
            <w:tcW w:w="5807" w:type="dxa"/>
            <w:noWrap/>
            <w:vAlign w:val="center"/>
          </w:tcPr>
          <w:p w14:paraId="11C67D0D">
            <w:pPr>
              <w:spacing w:line="276" w:lineRule="auto"/>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lang w:val="en-US" w:eastAsia="zh-CN"/>
              </w:rPr>
              <w:t>建筑业</w:t>
            </w:r>
          </w:p>
        </w:tc>
      </w:tr>
      <w:tr w14:paraId="201192A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6BBF03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2.5.4</w:t>
            </w:r>
          </w:p>
          <w:p w14:paraId="6D804EA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2.5.5</w:t>
            </w:r>
          </w:p>
        </w:tc>
        <w:tc>
          <w:tcPr>
            <w:tcW w:w="2694" w:type="dxa"/>
            <w:noWrap/>
            <w:vAlign w:val="center"/>
          </w:tcPr>
          <w:p w14:paraId="328B2F4F">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支持中小企业发展价格优惠政策</w:t>
            </w:r>
          </w:p>
        </w:tc>
        <w:tc>
          <w:tcPr>
            <w:tcW w:w="5807" w:type="dxa"/>
            <w:noWrap/>
            <w:vAlign w:val="center"/>
          </w:tcPr>
          <w:p w14:paraId="18D039F6">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对于未预留份额专门面向中小企业采购的采购项目，以及预留份额项目中的非预留部分采购包，对小微企业报价给予</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rPr>
              <w:t>%的扣除，用扣除后的价格参加评审。</w:t>
            </w:r>
          </w:p>
        </w:tc>
      </w:tr>
      <w:tr w14:paraId="2F686E6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953BCF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2.1-2.10</w:t>
            </w:r>
          </w:p>
        </w:tc>
        <w:tc>
          <w:tcPr>
            <w:tcW w:w="2694" w:type="dxa"/>
            <w:noWrap/>
            <w:vAlign w:val="center"/>
          </w:tcPr>
          <w:p w14:paraId="5E5B6705">
            <w:pPr>
              <w:spacing w:line="276" w:lineRule="auto"/>
              <w:jc w:val="center"/>
              <w:rPr>
                <w:rFonts w:hint="eastAsia" w:ascii="宋体" w:hAnsi="宋体" w:eastAsia="宋体" w:cs="宋体"/>
                <w:color w:val="auto"/>
                <w:w w:val="90"/>
                <w:sz w:val="24"/>
                <w:highlight w:val="none"/>
              </w:rPr>
            </w:pPr>
            <w:r>
              <w:rPr>
                <w:rFonts w:hint="eastAsia" w:ascii="宋体" w:hAnsi="宋体" w:eastAsia="宋体" w:cs="宋体"/>
                <w:color w:val="auto"/>
                <w:sz w:val="24"/>
                <w:highlight w:val="none"/>
              </w:rPr>
              <w:t>是否落实政府采购相关政策要求</w:t>
            </w:r>
          </w:p>
        </w:tc>
        <w:tc>
          <w:tcPr>
            <w:tcW w:w="5807" w:type="dxa"/>
            <w:noWrap/>
            <w:vAlign w:val="center"/>
          </w:tcPr>
          <w:p w14:paraId="4D33A5BA">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是（详见第二章第2.1、2.2、2.3、2.4、2.5、2.6、2.7、2.8、2.9、2.10款相关规定）</w:t>
            </w:r>
          </w:p>
        </w:tc>
      </w:tr>
      <w:tr w14:paraId="126B4AB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D3AA3D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p>
        </w:tc>
        <w:tc>
          <w:tcPr>
            <w:tcW w:w="2694" w:type="dxa"/>
            <w:noWrap/>
            <w:vAlign w:val="center"/>
          </w:tcPr>
          <w:p w14:paraId="060F5868">
            <w:pPr>
              <w:spacing w:line="276" w:lineRule="auto"/>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竞争性磋商文件提疑截止时间</w:t>
            </w:r>
          </w:p>
        </w:tc>
        <w:tc>
          <w:tcPr>
            <w:tcW w:w="5807" w:type="dxa"/>
            <w:noWrap/>
            <w:vAlign w:val="center"/>
          </w:tcPr>
          <w:p w14:paraId="64FC9C19">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在知道或应知其权益受到损害之日起7个工作日内</w:t>
            </w:r>
          </w:p>
        </w:tc>
      </w:tr>
      <w:tr w14:paraId="46A2DD2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0F52EE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4.1.1</w:t>
            </w:r>
          </w:p>
        </w:tc>
        <w:tc>
          <w:tcPr>
            <w:tcW w:w="2694" w:type="dxa"/>
            <w:noWrap/>
            <w:vAlign w:val="center"/>
          </w:tcPr>
          <w:p w14:paraId="0F808FF8">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磋商响应文件的形式</w:t>
            </w:r>
          </w:p>
        </w:tc>
        <w:tc>
          <w:tcPr>
            <w:tcW w:w="5807" w:type="dxa"/>
            <w:noWrap/>
            <w:vAlign w:val="center"/>
          </w:tcPr>
          <w:p w14:paraId="67733406">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电子加密磋商响应文件</w:t>
            </w:r>
            <w:r>
              <w:rPr>
                <w:rFonts w:hint="eastAsia" w:ascii="宋体" w:hAnsi="宋体" w:eastAsia="宋体" w:cs="宋体"/>
                <w:bCs/>
                <w:color w:val="auto"/>
                <w:sz w:val="24"/>
                <w:highlight w:val="none"/>
              </w:rPr>
              <w:t>（是指通过“政采云电子交易客户端”完成磋商响应文件编制后生成并加密的数据电文形式的磋商响应文件，</w:t>
            </w:r>
            <w:r>
              <w:rPr>
                <w:rFonts w:hint="eastAsia" w:ascii="宋体" w:hAnsi="宋体" w:eastAsia="宋体" w:cs="宋体"/>
                <w:b/>
                <w:color w:val="auto"/>
                <w:sz w:val="24"/>
                <w:highlight w:val="none"/>
              </w:rPr>
              <w:t>文件格式“.jmbs”）</w:t>
            </w:r>
          </w:p>
        </w:tc>
      </w:tr>
      <w:tr w14:paraId="6842C38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4" w:hRule="atLeast"/>
          <w:jc w:val="center"/>
        </w:trPr>
        <w:tc>
          <w:tcPr>
            <w:tcW w:w="1020" w:type="dxa"/>
            <w:noWrap/>
            <w:vAlign w:val="center"/>
          </w:tcPr>
          <w:p w14:paraId="6CF847AC">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p>
        </w:tc>
        <w:tc>
          <w:tcPr>
            <w:tcW w:w="2694" w:type="dxa"/>
            <w:noWrap/>
            <w:vAlign w:val="center"/>
          </w:tcPr>
          <w:p w14:paraId="7959218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磋商响应文件的组成</w:t>
            </w:r>
          </w:p>
        </w:tc>
        <w:tc>
          <w:tcPr>
            <w:tcW w:w="5807" w:type="dxa"/>
            <w:noWrap/>
            <w:vAlign w:val="center"/>
          </w:tcPr>
          <w:p w14:paraId="02134D84">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完整的《磋商响应文件》由资格文件、商务技术文件和报价文件三个部分组成。</w:t>
            </w:r>
          </w:p>
          <w:p w14:paraId="5379296A">
            <w:pPr>
              <w:pStyle w:val="3"/>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一、资格文件</w:t>
            </w:r>
            <w:r>
              <w:rPr>
                <w:rFonts w:hint="eastAsia" w:ascii="宋体" w:hAnsi="宋体" w:eastAsia="宋体" w:cs="宋体"/>
                <w:b w:val="0"/>
                <w:color w:val="auto"/>
                <w:sz w:val="24"/>
                <w:szCs w:val="20"/>
                <w:highlight w:val="none"/>
              </w:rPr>
              <w:t>：以下</w:t>
            </w:r>
            <w:r>
              <w:rPr>
                <w:rFonts w:hint="eastAsia" w:ascii="宋体" w:hAnsi="宋体" w:eastAsia="宋体" w:cs="宋体"/>
                <w:color w:val="auto"/>
                <w:w w:val="90"/>
                <w:sz w:val="24"/>
                <w:highlight w:val="none"/>
              </w:rPr>
              <w:t>★</w:t>
            </w:r>
            <w:r>
              <w:rPr>
                <w:rFonts w:hint="eastAsia" w:ascii="宋体" w:hAnsi="宋体" w:eastAsia="宋体" w:cs="宋体"/>
                <w:b w:val="0"/>
                <w:color w:val="auto"/>
                <w:sz w:val="24"/>
                <w:szCs w:val="20"/>
                <w:highlight w:val="none"/>
              </w:rPr>
              <w:t>内容证明文件未提供或提供的证明材料不齐全的，资格审查作不通过处理，不得进入下一评审程序）</w:t>
            </w:r>
            <w:r>
              <w:rPr>
                <w:rFonts w:hint="eastAsia" w:ascii="宋体" w:hAnsi="宋体" w:eastAsia="宋体" w:cs="宋体"/>
                <w:color w:val="auto"/>
                <w:kern w:val="2"/>
                <w:sz w:val="24"/>
                <w:szCs w:val="22"/>
                <w:highlight w:val="none"/>
              </w:rPr>
              <w:t>：</w:t>
            </w:r>
          </w:p>
          <w:p w14:paraId="3629A759">
            <w:pPr>
              <w:spacing w:line="360" w:lineRule="auto"/>
              <w:ind w:firstLine="432" w:firstLineChars="200"/>
              <w:jc w:val="left"/>
              <w:rPr>
                <w:rFonts w:hint="eastAsia" w:ascii="宋体" w:hAnsi="宋体" w:eastAsia="宋体" w:cs="宋体"/>
                <w:b/>
                <w:color w:val="auto"/>
                <w:w w:val="90"/>
                <w:kern w:val="0"/>
                <w:sz w:val="24"/>
                <w:highlight w:val="none"/>
              </w:rPr>
            </w:pPr>
            <w:r>
              <w:rPr>
                <w:rFonts w:hint="eastAsia" w:ascii="宋体" w:hAnsi="宋体" w:eastAsia="宋体" w:cs="宋体"/>
                <w:color w:val="auto"/>
                <w:w w:val="90"/>
                <w:kern w:val="0"/>
                <w:sz w:val="24"/>
                <w:highlight w:val="none"/>
              </w:rPr>
              <w:t>★</w:t>
            </w:r>
            <w:r>
              <w:rPr>
                <w:rFonts w:hint="eastAsia" w:ascii="宋体" w:hAnsi="宋体" w:eastAsia="宋体" w:cs="宋体"/>
                <w:b/>
                <w:color w:val="auto"/>
                <w:w w:val="90"/>
                <w:kern w:val="0"/>
                <w:sz w:val="24"/>
                <w:highlight w:val="none"/>
              </w:rPr>
              <w:t>1-1“</w:t>
            </w:r>
            <w:r>
              <w:rPr>
                <w:rFonts w:hint="eastAsia" w:ascii="宋体" w:hAnsi="宋体" w:eastAsia="宋体" w:cs="宋体"/>
                <w:b/>
                <w:color w:val="auto"/>
                <w:w w:val="90"/>
                <w:kern w:val="0"/>
                <w:sz w:val="24"/>
                <w:highlight w:val="none"/>
                <w:u w:val="single"/>
              </w:rPr>
              <w:t>符合《中华人民共和国政府采购法》第二十二条的规定</w:t>
            </w:r>
            <w:r>
              <w:rPr>
                <w:rFonts w:hint="eastAsia" w:ascii="宋体" w:hAnsi="宋体" w:eastAsia="宋体" w:cs="宋体"/>
                <w:b/>
                <w:color w:val="auto"/>
                <w:w w:val="90"/>
                <w:kern w:val="0"/>
                <w:sz w:val="24"/>
                <w:highlight w:val="none"/>
              </w:rPr>
              <w:t>”</w:t>
            </w:r>
            <w:r>
              <w:rPr>
                <w:rFonts w:hint="eastAsia" w:ascii="宋体" w:hAnsi="宋体" w:eastAsia="宋体" w:cs="宋体"/>
                <w:color w:val="auto"/>
                <w:w w:val="90"/>
                <w:kern w:val="0"/>
                <w:sz w:val="24"/>
                <w:highlight w:val="none"/>
              </w:rPr>
              <w:t>的证明文件：</w:t>
            </w:r>
          </w:p>
          <w:p w14:paraId="30C45317">
            <w:pPr>
              <w:spacing w:line="360" w:lineRule="auto"/>
              <w:ind w:firstLine="432" w:firstLineChars="200"/>
              <w:jc w:val="left"/>
              <w:rPr>
                <w:rFonts w:hint="eastAsia" w:ascii="宋体" w:hAnsi="宋体" w:eastAsia="宋体" w:cs="宋体"/>
                <w:b/>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（1）</w:t>
            </w:r>
            <w:r>
              <w:rPr>
                <w:rFonts w:hint="eastAsia" w:ascii="宋体" w:hAnsi="宋体" w:eastAsia="宋体" w:cs="宋体"/>
                <w:b/>
                <w:color w:val="000000" w:themeColor="text1"/>
                <w:w w:val="90"/>
                <w:kern w:val="0"/>
                <w:sz w:val="24"/>
                <w:u w:val="single"/>
                <w14:textFill>
                  <w14:solidFill>
                    <w14:schemeClr w14:val="tx1"/>
                  </w14:solidFill>
                </w14:textFill>
              </w:rPr>
              <w:t>具有独立承担民事责任的能力</w:t>
            </w:r>
            <w:r>
              <w:rPr>
                <w:rFonts w:hint="eastAsia" w:ascii="宋体" w:hAnsi="宋体" w:eastAsia="宋体" w:cs="宋体"/>
                <w:b w:val="0"/>
                <w:bCs/>
                <w:color w:val="000000" w:themeColor="text1"/>
                <w:w w:val="90"/>
                <w:kern w:val="0"/>
                <w:sz w:val="24"/>
                <w:lang w:val="en-US" w:eastAsia="zh-CN"/>
                <w14:textFill>
                  <w14:solidFill>
                    <w14:schemeClr w14:val="tx1"/>
                  </w14:solidFill>
                </w14:textFill>
              </w:rPr>
              <w:t>的证明材料：</w:t>
            </w:r>
            <w:r>
              <w:rPr>
                <w:rFonts w:hint="eastAsia" w:ascii="宋体" w:hAnsi="宋体" w:eastAsia="宋体" w:cs="宋体"/>
                <w:b/>
                <w:color w:val="000000" w:themeColor="text1"/>
                <w:w w:val="90"/>
                <w:kern w:val="0"/>
                <w:sz w:val="24"/>
                <w:lang w:val="en-US" w:eastAsia="zh-CN"/>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5DEBFE9C">
            <w:pPr>
              <w:spacing w:line="360" w:lineRule="auto"/>
              <w:ind w:firstLine="432" w:firstLineChars="200"/>
              <w:jc w:val="left"/>
              <w:rPr>
                <w:rFonts w:hint="eastAsia" w:ascii="宋体" w:hAnsi="宋体" w:eastAsia="宋体" w:cs="宋体"/>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（2）</w:t>
            </w:r>
            <w:r>
              <w:rPr>
                <w:rFonts w:hint="eastAsia" w:ascii="宋体" w:hAnsi="宋体" w:eastAsia="宋体" w:cs="宋体"/>
                <w:b/>
                <w:color w:val="000000" w:themeColor="text1"/>
                <w:w w:val="90"/>
                <w:kern w:val="0"/>
                <w:sz w:val="24"/>
                <w:u w:val="single"/>
                <w14:textFill>
                  <w14:solidFill>
                    <w14:schemeClr w14:val="tx1"/>
                  </w14:solidFill>
                </w14:textFill>
              </w:rPr>
              <w:t>具有良好的商业信誉和健全的财务会计制度</w:t>
            </w:r>
            <w:r>
              <w:rPr>
                <w:rFonts w:hint="eastAsia" w:ascii="宋体" w:hAnsi="宋体" w:eastAsia="宋体" w:cs="宋体"/>
                <w:color w:val="000000" w:themeColor="text1"/>
                <w:w w:val="90"/>
                <w:kern w:val="0"/>
                <w:sz w:val="24"/>
                <w14:textFill>
                  <w14:solidFill>
                    <w14:schemeClr w14:val="tx1"/>
                  </w14:solidFill>
                </w14:textFill>
              </w:rPr>
              <w:t>的证明材料：</w:t>
            </w:r>
            <w:r>
              <w:rPr>
                <w:rFonts w:hint="eastAsia" w:ascii="宋体" w:hAnsi="宋体" w:eastAsia="宋体" w:cs="宋体"/>
                <w:b/>
                <w:color w:val="000000" w:themeColor="text1"/>
                <w:w w:val="90"/>
                <w:kern w:val="0"/>
                <w:sz w:val="24"/>
                <w:u w:val="single"/>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2CE0AFFC">
            <w:pPr>
              <w:spacing w:line="360" w:lineRule="auto"/>
              <w:ind w:firstLine="432" w:firstLineChars="200"/>
              <w:jc w:val="left"/>
              <w:rPr>
                <w:rFonts w:hint="eastAsia" w:ascii="宋体" w:hAnsi="宋体" w:eastAsia="宋体" w:cs="宋体"/>
                <w:b/>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（3）</w:t>
            </w:r>
            <w:r>
              <w:rPr>
                <w:rFonts w:hint="eastAsia" w:ascii="宋体" w:hAnsi="宋体" w:eastAsia="宋体" w:cs="宋体"/>
                <w:b/>
                <w:color w:val="000000" w:themeColor="text1"/>
                <w:w w:val="90"/>
                <w:kern w:val="0"/>
                <w:sz w:val="24"/>
                <w:u w:val="single"/>
                <w14:textFill>
                  <w14:solidFill>
                    <w14:schemeClr w14:val="tx1"/>
                  </w14:solidFill>
                </w14:textFill>
              </w:rPr>
              <w:t>具有履行合同所必需的设备和专业技术能力</w:t>
            </w:r>
            <w:r>
              <w:rPr>
                <w:rFonts w:hint="eastAsia" w:ascii="宋体" w:hAnsi="宋体" w:eastAsia="宋体" w:cs="宋体"/>
                <w:color w:val="000000" w:themeColor="text1"/>
                <w:w w:val="90"/>
                <w:kern w:val="0"/>
                <w:sz w:val="24"/>
                <w14:textFill>
                  <w14:solidFill>
                    <w14:schemeClr w14:val="tx1"/>
                  </w14:solidFill>
                </w14:textFill>
              </w:rPr>
              <w:t>的证明材料：</w:t>
            </w:r>
            <w:r>
              <w:rPr>
                <w:rFonts w:hint="eastAsia" w:ascii="宋体" w:hAnsi="宋体" w:eastAsia="宋体" w:cs="宋体"/>
                <w:b/>
                <w:color w:val="000000" w:themeColor="text1"/>
                <w:w w:val="90"/>
                <w:kern w:val="0"/>
                <w:sz w:val="24"/>
                <w:u w:val="single"/>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207E71DD">
            <w:pPr>
              <w:spacing w:line="360" w:lineRule="auto"/>
              <w:ind w:firstLine="432" w:firstLineChars="200"/>
              <w:jc w:val="left"/>
              <w:rPr>
                <w:rFonts w:hint="eastAsia" w:ascii="宋体" w:hAnsi="宋体" w:eastAsia="宋体" w:cs="宋体"/>
                <w:b/>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（4）</w:t>
            </w:r>
            <w:r>
              <w:rPr>
                <w:rFonts w:hint="eastAsia" w:ascii="宋体" w:hAnsi="宋体" w:eastAsia="宋体" w:cs="宋体"/>
                <w:b/>
                <w:color w:val="000000" w:themeColor="text1"/>
                <w:w w:val="90"/>
                <w:kern w:val="0"/>
                <w:sz w:val="24"/>
                <w:u w:val="single"/>
                <w14:textFill>
                  <w14:solidFill>
                    <w14:schemeClr w14:val="tx1"/>
                  </w14:solidFill>
                </w14:textFill>
              </w:rPr>
              <w:t>有依法缴纳税收和社会保障金的良好记录</w:t>
            </w:r>
            <w:r>
              <w:rPr>
                <w:rFonts w:hint="eastAsia" w:ascii="宋体" w:hAnsi="宋体" w:eastAsia="宋体" w:cs="宋体"/>
                <w:color w:val="000000" w:themeColor="text1"/>
                <w:w w:val="90"/>
                <w:kern w:val="0"/>
                <w:sz w:val="24"/>
                <w14:textFill>
                  <w14:solidFill>
                    <w14:schemeClr w14:val="tx1"/>
                  </w14:solidFill>
                </w14:textFill>
              </w:rPr>
              <w:t>的证明材料：</w:t>
            </w:r>
            <w:r>
              <w:rPr>
                <w:rFonts w:hint="eastAsia" w:ascii="宋体" w:hAnsi="宋体" w:eastAsia="宋体" w:cs="宋体"/>
                <w:b/>
                <w:color w:val="000000" w:themeColor="text1"/>
                <w:w w:val="90"/>
                <w:kern w:val="0"/>
                <w:sz w:val="24"/>
                <w:u w:val="single"/>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7E7C2BE1">
            <w:pPr>
              <w:spacing w:line="360" w:lineRule="auto"/>
              <w:ind w:firstLine="432" w:firstLineChars="200"/>
              <w:jc w:val="left"/>
              <w:rPr>
                <w:rFonts w:hint="eastAsia" w:ascii="宋体" w:hAnsi="宋体" w:eastAsia="宋体" w:cs="宋体"/>
                <w:b/>
                <w:color w:val="000000" w:themeColor="text1"/>
                <w:w w:val="90"/>
                <w:kern w:val="0"/>
                <w:sz w:val="24"/>
                <w:u w:val="single"/>
                <w14:textFill>
                  <w14:solidFill>
                    <w14:schemeClr w14:val="tx1"/>
                  </w14:solidFill>
                </w14:textFill>
              </w:rPr>
            </w:pPr>
            <w:r>
              <w:rPr>
                <w:rFonts w:hint="eastAsia" w:ascii="宋体" w:hAnsi="宋体" w:eastAsia="宋体" w:cs="宋体"/>
                <w:b w:val="0"/>
                <w:bCs/>
                <w:color w:val="000000" w:themeColor="text1"/>
                <w:w w:val="90"/>
                <w:kern w:val="0"/>
                <w:sz w:val="24"/>
                <w:u w:val="single"/>
                <w14:textFill>
                  <w14:solidFill>
                    <w14:schemeClr w14:val="tx1"/>
                  </w14:solidFill>
                </w14:textFill>
              </w:rPr>
              <w:t>（5）</w:t>
            </w:r>
            <w:r>
              <w:rPr>
                <w:rFonts w:hint="eastAsia" w:ascii="宋体" w:hAnsi="宋体" w:eastAsia="宋体" w:cs="宋体"/>
                <w:b/>
                <w:color w:val="000000" w:themeColor="text1"/>
                <w:w w:val="90"/>
                <w:kern w:val="0"/>
                <w:sz w:val="24"/>
                <w:u w:val="single"/>
                <w14:textFill>
                  <w14:solidFill>
                    <w14:schemeClr w14:val="tx1"/>
                  </w14:solidFill>
                </w14:textFill>
              </w:rPr>
              <w:t>参加本次采购活动前三年内在经营活动中没有重大违法记录的证明材料：承诺函（格式见第五章）；</w:t>
            </w:r>
          </w:p>
          <w:p w14:paraId="7527DCA9">
            <w:pPr>
              <w:spacing w:line="360" w:lineRule="auto"/>
              <w:ind w:firstLine="432" w:firstLineChars="200"/>
              <w:jc w:val="lef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w:t>
            </w:r>
            <w:r>
              <w:rPr>
                <w:rFonts w:hint="eastAsia" w:ascii="宋体" w:hAnsi="宋体" w:eastAsia="宋体" w:cs="宋体"/>
                <w:b/>
                <w:color w:val="000000" w:themeColor="text1"/>
                <w:w w:val="90"/>
                <w:kern w:val="0"/>
                <w:sz w:val="24"/>
                <w14:textFill>
                  <w14:solidFill>
                    <w14:schemeClr w14:val="tx1"/>
                  </w14:solidFill>
                </w14:textFill>
              </w:rPr>
              <w:t>1-2</w:t>
            </w:r>
            <w:r>
              <w:rPr>
                <w:rFonts w:hint="eastAsia" w:ascii="宋体" w:hAnsi="宋体" w:eastAsia="宋体" w:cs="宋体"/>
                <w:b/>
                <w:color w:val="000000" w:themeColor="text1"/>
                <w:w w:val="90"/>
                <w:kern w:val="0"/>
                <w:sz w:val="24"/>
                <w:u w:val="single"/>
                <w14:textFill>
                  <w14:solidFill>
                    <w14:schemeClr w14:val="tx1"/>
                  </w14:solidFill>
                </w14:textFill>
              </w:rPr>
              <w:t>未被“信用中国（www.creditchina.gov.cn）”中国政府采购网（www.ccgp.gov.cn）列入失信被执行人名单、</w:t>
            </w:r>
            <w:r>
              <w:rPr>
                <w:rFonts w:hint="eastAsia" w:ascii="宋体" w:hAnsi="宋体" w:eastAsia="宋体" w:cs="宋体"/>
                <w:b/>
                <w:color w:val="000000" w:themeColor="text1"/>
                <w:w w:val="90"/>
                <w:kern w:val="0"/>
                <w:sz w:val="24"/>
                <w:u w:val="single"/>
                <w:lang w:eastAsia="zh-CN"/>
                <w14:textFill>
                  <w14:solidFill>
                    <w14:schemeClr w14:val="tx1"/>
                  </w14:solidFill>
                </w14:textFill>
              </w:rPr>
              <w:t>重大税收违法失信主体</w:t>
            </w:r>
            <w:r>
              <w:rPr>
                <w:rFonts w:hint="eastAsia" w:ascii="宋体" w:hAnsi="宋体" w:eastAsia="宋体" w:cs="宋体"/>
                <w:b/>
                <w:color w:val="000000" w:themeColor="text1"/>
                <w:w w:val="90"/>
                <w:kern w:val="0"/>
                <w:sz w:val="24"/>
                <w:u w:val="single"/>
                <w14:textFill>
                  <w14:solidFill>
                    <w14:schemeClr w14:val="tx1"/>
                  </w14:solidFill>
                </w14:textFill>
              </w:rPr>
              <w:t>、政府采购严重违法失信行为记录名单</w:t>
            </w:r>
            <w:r>
              <w:rPr>
                <w:rFonts w:hint="eastAsia" w:ascii="宋体" w:hAnsi="宋体" w:eastAsia="宋体" w:cs="宋体"/>
                <w:bCs/>
                <w:color w:val="000000" w:themeColor="text1"/>
                <w:sz w:val="24"/>
                <w14:textFill>
                  <w14:solidFill>
                    <w14:schemeClr w14:val="tx1"/>
                  </w14:solidFill>
                </w14:textFill>
              </w:rPr>
              <w:t>的证明材料</w:t>
            </w:r>
            <w:r>
              <w:rPr>
                <w:rFonts w:hint="eastAsia" w:ascii="宋体" w:hAnsi="宋体" w:eastAsia="宋体" w:cs="宋体"/>
                <w:color w:val="000000" w:themeColor="text1"/>
                <w:w w:val="90"/>
                <w:kern w:val="0"/>
                <w:sz w:val="24"/>
                <w14:textFill>
                  <w14:solidFill>
                    <w14:schemeClr w14:val="tx1"/>
                  </w14:solidFill>
                </w14:textFill>
              </w:rPr>
              <w:t>：</w:t>
            </w:r>
            <w:r>
              <w:rPr>
                <w:rFonts w:hint="eastAsia" w:ascii="宋体" w:hAnsi="宋体" w:eastAsia="宋体" w:cs="宋体"/>
                <w:b/>
                <w:color w:val="000000" w:themeColor="text1"/>
                <w:w w:val="90"/>
                <w:kern w:val="0"/>
                <w:sz w:val="24"/>
                <w:u w:val="single"/>
                <w14:textFill>
                  <w14:solidFill>
                    <w14:schemeClr w14:val="tx1"/>
                  </w14:solidFill>
                </w14:textFill>
              </w:rPr>
              <w:t>《没有失信记录承诺函》</w:t>
            </w:r>
            <w:r>
              <w:rPr>
                <w:rFonts w:hint="eastAsia" w:ascii="宋体" w:hAnsi="宋体" w:eastAsia="宋体" w:cs="宋体"/>
                <w:bCs/>
                <w:color w:val="000000" w:themeColor="text1"/>
                <w:sz w:val="24"/>
                <w14:textFill>
                  <w14:solidFill>
                    <w14:schemeClr w14:val="tx1"/>
                  </w14:solidFill>
                </w14:textFill>
              </w:rPr>
              <w:t>（格式见第五章）</w:t>
            </w:r>
            <w:r>
              <w:rPr>
                <w:rFonts w:hint="eastAsia" w:ascii="宋体" w:hAnsi="宋体" w:eastAsia="宋体" w:cs="宋体"/>
                <w:bCs/>
                <w:color w:val="000000" w:themeColor="text1"/>
                <w:sz w:val="24"/>
                <w:lang w:eastAsia="zh-CN"/>
                <w14:textFill>
                  <w14:solidFill>
                    <w14:schemeClr w14:val="tx1"/>
                  </w14:solidFill>
                </w14:textFill>
              </w:rPr>
              <w:t>；</w:t>
            </w:r>
          </w:p>
          <w:p w14:paraId="6DE61A4A">
            <w:pPr>
              <w:spacing w:line="360" w:lineRule="auto"/>
              <w:ind w:firstLine="432" w:firstLineChars="200"/>
              <w:jc w:val="left"/>
              <w:rPr>
                <w:rFonts w:hint="eastAsia" w:ascii="宋体" w:hAnsi="宋体" w:eastAsia="宋体" w:cs="宋体"/>
                <w:bCs/>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w:t>
            </w:r>
            <w:r>
              <w:rPr>
                <w:rFonts w:hint="eastAsia" w:ascii="宋体" w:hAnsi="宋体" w:eastAsia="宋体" w:cs="宋体"/>
                <w:b/>
                <w:color w:val="000000" w:themeColor="text1"/>
                <w:w w:val="90"/>
                <w:kern w:val="0"/>
                <w:sz w:val="24"/>
                <w14:textFill>
                  <w14:solidFill>
                    <w14:schemeClr w14:val="tx1"/>
                  </w14:solidFill>
                </w14:textFill>
              </w:rPr>
              <w:t>1-3</w:t>
            </w:r>
            <w:r>
              <w:rPr>
                <w:rFonts w:hint="eastAsia" w:ascii="宋体" w:hAnsi="宋体" w:eastAsia="宋体" w:cs="宋体"/>
                <w:b/>
                <w:color w:val="000000" w:themeColor="text1"/>
                <w:w w:val="90"/>
                <w:kern w:val="0"/>
                <w:sz w:val="24"/>
                <w:u w:val="single"/>
                <w14:textFill>
                  <w14:solidFill>
                    <w14:schemeClr w14:val="tx1"/>
                  </w14:solidFill>
                </w14:textFill>
              </w:rPr>
              <w:t>非联合体的</w:t>
            </w:r>
            <w:r>
              <w:rPr>
                <w:rFonts w:hint="eastAsia" w:ascii="宋体" w:hAnsi="宋体" w:eastAsia="宋体" w:cs="宋体"/>
                <w:color w:val="000000" w:themeColor="text1"/>
                <w:w w:val="90"/>
                <w:kern w:val="0"/>
                <w:sz w:val="24"/>
                <w14:textFill>
                  <w14:solidFill>
                    <w14:schemeClr w14:val="tx1"/>
                  </w14:solidFill>
                </w14:textFill>
              </w:rPr>
              <w:t>证明材料：</w:t>
            </w:r>
            <w:r>
              <w:rPr>
                <w:rFonts w:hint="eastAsia" w:ascii="宋体" w:hAnsi="宋体" w:eastAsia="宋体" w:cs="宋体"/>
                <w:b/>
                <w:color w:val="000000" w:themeColor="text1"/>
                <w:w w:val="90"/>
                <w:kern w:val="0"/>
                <w:sz w:val="24"/>
                <w:u w:val="single"/>
                <w14:textFill>
                  <w14:solidFill>
                    <w14:schemeClr w14:val="tx1"/>
                  </w14:solidFill>
                </w14:textFill>
              </w:rPr>
              <w:t>非联合体声明书</w:t>
            </w:r>
            <w:r>
              <w:rPr>
                <w:rFonts w:hint="eastAsia" w:ascii="宋体" w:hAnsi="宋体" w:eastAsia="宋体" w:cs="宋体"/>
                <w:bCs/>
                <w:color w:val="000000" w:themeColor="text1"/>
                <w:w w:val="90"/>
                <w:kern w:val="0"/>
                <w:sz w:val="24"/>
                <w14:textFill>
                  <w14:solidFill>
                    <w14:schemeClr w14:val="tx1"/>
                  </w14:solidFill>
                </w14:textFill>
              </w:rPr>
              <w:t>（格式见第五章）；</w:t>
            </w:r>
          </w:p>
          <w:p w14:paraId="038241F1">
            <w:pPr>
              <w:widowControl/>
              <w:autoSpaceDE w:val="0"/>
              <w:autoSpaceDN w:val="0"/>
              <w:spacing w:line="360" w:lineRule="auto"/>
              <w:ind w:firstLine="432" w:firstLineChars="200"/>
              <w:jc w:val="left"/>
              <w:outlineLvl w:val="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w w:val="90"/>
                <w:kern w:val="0"/>
                <w:sz w:val="24"/>
                <w:highlight w:val="none"/>
                <w14:textFill>
                  <w14:solidFill>
                    <w14:schemeClr w14:val="tx1"/>
                  </w14:solidFill>
                </w14:textFill>
              </w:rPr>
              <w:t>★</w:t>
            </w:r>
            <w:r>
              <w:rPr>
                <w:rFonts w:hint="eastAsia" w:ascii="宋体" w:hAnsi="宋体" w:eastAsia="宋体" w:cs="宋体"/>
                <w:b/>
                <w:color w:val="000000" w:themeColor="text1"/>
                <w:w w:val="90"/>
                <w:kern w:val="0"/>
                <w:sz w:val="24"/>
                <w:highlight w:val="none"/>
                <w:u w:val="single"/>
                <w14:textFill>
                  <w14:solidFill>
                    <w14:schemeClr w14:val="tx1"/>
                  </w14:solidFill>
                </w14:textFill>
              </w:rPr>
              <w:t>1-4“落实政府采购政策需满足的资格要求”规定</w:t>
            </w:r>
            <w:r>
              <w:rPr>
                <w:rFonts w:hint="eastAsia" w:ascii="宋体" w:hAnsi="宋体" w:eastAsia="宋体" w:cs="宋体"/>
                <w:bCs/>
                <w:color w:val="000000" w:themeColor="text1"/>
                <w:sz w:val="24"/>
                <w:highlight w:val="none"/>
                <w14:textFill>
                  <w14:solidFill>
                    <w14:schemeClr w14:val="tx1"/>
                  </w14:solidFill>
                </w14:textFill>
              </w:rPr>
              <w:t>的证明文件：本项目是否专门面向中小企业、残疾人及监狱企业的规定已在第一章竞争性磋商公告中说明（格式见第五章）；</w:t>
            </w:r>
          </w:p>
          <w:p w14:paraId="5108F83A">
            <w:pPr>
              <w:spacing w:line="276"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w:t>
            </w:r>
            <w:r>
              <w:rPr>
                <w:rFonts w:hint="eastAsia" w:ascii="宋体" w:hAnsi="宋体" w:eastAsia="宋体" w:cs="宋体"/>
                <w:b/>
                <w:color w:val="000000" w:themeColor="text1"/>
                <w:w w:val="90"/>
                <w:kern w:val="0"/>
                <w:sz w:val="24"/>
                <w:highlight w:val="none"/>
                <w:u w:val="single"/>
                <w14:textFill>
                  <w14:solidFill>
                    <w14:schemeClr w14:val="tx1"/>
                  </w14:solidFill>
                </w14:textFill>
              </w:rPr>
              <w:t xml:space="preserve"> ★1-5以下为“符合本项目的特定资格要求”的证明文件：</w:t>
            </w:r>
          </w:p>
          <w:p w14:paraId="0FFA799A">
            <w:pPr>
              <w:pStyle w:val="21"/>
              <w:spacing w:before="60" w:beforeAutospacing="0" w:after="60" w:afterAutospacing="0"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供应商须具备建筑工程施工总承包叁级及以上资质；拟派往本工程的项目经理须具备建筑工程专业贰级及以上注册建造师执业资格，具备有效的安全生产考核合格证书，且未担任其他在建工程项目的项目经理；拟派往本工程项目技术负责人须具备相关专业的中级及以上职称证。</w:t>
            </w:r>
          </w:p>
          <w:p w14:paraId="11AE2252">
            <w:pPr>
              <w:pStyle w:val="21"/>
              <w:spacing w:before="60" w:beforeAutospacing="0" w:after="60" w:afterAutospacing="0"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提供证书复制件加盖磋商响应供应商公章</w:t>
            </w:r>
            <w:r>
              <w:rPr>
                <w:rFonts w:hint="eastAsia" w:ascii="宋体" w:hAnsi="宋体" w:eastAsia="宋体" w:cs="宋体"/>
                <w:bCs/>
                <w:color w:val="000000" w:themeColor="text1"/>
                <w:sz w:val="24"/>
                <w:highlight w:val="none"/>
                <w:lang w:val="en-US" w:eastAsia="zh-CN"/>
                <w14:textFill>
                  <w14:solidFill>
                    <w14:schemeClr w14:val="tx1"/>
                  </w14:solidFill>
                </w14:textFill>
              </w:rPr>
              <w:t>；</w:t>
            </w:r>
          </w:p>
          <w:p w14:paraId="0D004EA0">
            <w:pPr>
              <w:pStyle w:val="3"/>
              <w:ind w:firstLine="434" w:firstLineChars="200"/>
              <w:jc w:val="left"/>
              <w:rPr>
                <w:rFonts w:hint="eastAsia" w:ascii="宋体" w:hAnsi="宋体" w:eastAsia="宋体" w:cs="宋体"/>
                <w:bCs w:val="0"/>
                <w:w w:val="90"/>
                <w:sz w:val="24"/>
                <w:szCs w:val="22"/>
                <w:highlight w:val="none"/>
                <w:u w:val="single"/>
                <w:lang w:val="en-US" w:eastAsia="zh-CN"/>
              </w:rPr>
            </w:pPr>
            <w:r>
              <w:rPr>
                <w:rFonts w:hint="eastAsia" w:ascii="宋体" w:hAnsi="宋体" w:eastAsia="宋体" w:cs="宋体"/>
                <w:bCs w:val="0"/>
                <w:w w:val="90"/>
                <w:sz w:val="24"/>
                <w:szCs w:val="22"/>
                <w:u w:val="single"/>
              </w:rPr>
              <w:t>★</w:t>
            </w:r>
            <w:r>
              <w:rPr>
                <w:rFonts w:hint="eastAsia" w:ascii="宋体" w:hAnsi="宋体" w:eastAsia="宋体" w:cs="宋体"/>
                <w:bCs w:val="0"/>
                <w:w w:val="90"/>
                <w:sz w:val="24"/>
                <w:szCs w:val="22"/>
                <w:u w:val="single"/>
                <w:lang w:val="en-US" w:eastAsia="zh-CN"/>
              </w:rPr>
              <w:t xml:space="preserve">1-6 </w:t>
            </w:r>
            <w:r>
              <w:rPr>
                <w:rFonts w:hint="eastAsia" w:ascii="宋体" w:hAnsi="宋体" w:eastAsia="宋体" w:cs="宋体"/>
                <w:bCs w:val="0"/>
                <w:w w:val="90"/>
                <w:sz w:val="24"/>
                <w:szCs w:val="22"/>
                <w:highlight w:val="none"/>
                <w:u w:val="single"/>
                <w:lang w:val="en-US" w:eastAsia="zh-CN"/>
              </w:rPr>
              <w:t>外省企业入晋：</w:t>
            </w:r>
          </w:p>
          <w:p w14:paraId="189E0754">
            <w:pPr>
              <w:pStyle w:val="3"/>
              <w:ind w:firstLine="480" w:firstLineChars="200"/>
              <w:jc w:val="left"/>
              <w:rPr>
                <w:rFonts w:hint="default"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应符合晋建市字【2016】3号文件报送企业基本信息，并将公示的企业基本信息网页截图加盖单位公章，并附在响应文件中。</w:t>
            </w:r>
          </w:p>
          <w:p w14:paraId="51F48C96">
            <w:pPr>
              <w:pStyle w:val="3"/>
              <w:ind w:firstLine="434" w:firstLineChars="200"/>
              <w:jc w:val="left"/>
              <w:rPr>
                <w:rFonts w:hint="eastAsia" w:ascii="宋体" w:hAnsi="宋体" w:eastAsia="宋体" w:cs="宋体"/>
                <w:bCs w:val="0"/>
                <w:w w:val="90"/>
                <w:sz w:val="24"/>
                <w:szCs w:val="22"/>
                <w:u w:val="single"/>
              </w:rPr>
            </w:pPr>
            <w:r>
              <w:rPr>
                <w:rFonts w:hint="eastAsia" w:ascii="宋体" w:hAnsi="宋体" w:eastAsia="宋体" w:cs="宋体"/>
                <w:bCs w:val="0"/>
                <w:w w:val="90"/>
                <w:sz w:val="24"/>
                <w:szCs w:val="22"/>
                <w:u w:val="single"/>
              </w:rPr>
              <w:t>★1-</w:t>
            </w:r>
            <w:r>
              <w:rPr>
                <w:rFonts w:hint="eastAsia" w:ascii="宋体" w:hAnsi="宋体" w:eastAsia="宋体" w:cs="宋体"/>
                <w:bCs w:val="0"/>
                <w:w w:val="90"/>
                <w:sz w:val="24"/>
                <w:szCs w:val="22"/>
                <w:u w:val="single"/>
                <w:lang w:val="en-US" w:eastAsia="zh-CN"/>
              </w:rPr>
              <w:t>7</w:t>
            </w:r>
            <w:r>
              <w:rPr>
                <w:rFonts w:hint="eastAsia" w:ascii="宋体" w:hAnsi="宋体" w:eastAsia="宋体" w:cs="宋体"/>
                <w:bCs w:val="0"/>
                <w:w w:val="90"/>
                <w:sz w:val="24"/>
                <w:szCs w:val="22"/>
                <w:u w:val="single"/>
              </w:rPr>
              <w:t>保证金的交纳情况及</w:t>
            </w:r>
            <w:r>
              <w:rPr>
                <w:rFonts w:hint="eastAsia" w:ascii="宋体" w:hAnsi="宋体" w:eastAsia="宋体" w:cs="宋体"/>
                <w:bCs w:val="0"/>
                <w:color w:val="auto"/>
                <w:w w:val="90"/>
                <w:sz w:val="24"/>
                <w:szCs w:val="22"/>
                <w:highlight w:val="none"/>
                <w:u w:val="single"/>
              </w:rPr>
              <w:t>开户许可证</w:t>
            </w:r>
          </w:p>
          <w:p w14:paraId="3912F1CC">
            <w:pPr>
              <w:spacing w:line="360" w:lineRule="auto"/>
              <w:ind w:firstLine="480" w:firstLineChars="200"/>
              <w:jc w:val="left"/>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提供磋商供应商基本存款账户信息及保证金交纳回单或回执扫描件或保函扫描件加盖磋商响应供应商公章；</w:t>
            </w:r>
          </w:p>
          <w:p w14:paraId="3801A5B7">
            <w:pPr>
              <w:spacing w:line="360" w:lineRule="auto"/>
              <w:ind w:firstLine="432" w:firstLineChars="200"/>
              <w:jc w:val="left"/>
              <w:rPr>
                <w:rFonts w:hint="eastAsia"/>
              </w:rPr>
            </w:pPr>
            <w:r>
              <w:rPr>
                <w:rFonts w:hint="eastAsia" w:ascii="宋体" w:hAnsi="宋体" w:eastAsia="宋体" w:cs="宋体"/>
                <w:bCs w:val="0"/>
                <w:w w:val="90"/>
                <w:sz w:val="24"/>
                <w:szCs w:val="22"/>
                <w:u w:val="single"/>
              </w:rPr>
              <w:t>★</w:t>
            </w:r>
            <w:r>
              <w:rPr>
                <w:rFonts w:hint="eastAsia" w:ascii="宋体" w:hAnsi="宋体" w:eastAsia="宋体" w:cs="宋体"/>
                <w:b/>
                <w:bCs/>
                <w:w w:val="90"/>
                <w:sz w:val="24"/>
                <w:szCs w:val="22"/>
                <w:u w:val="single"/>
              </w:rPr>
              <w:t>1-</w:t>
            </w:r>
            <w:r>
              <w:rPr>
                <w:rFonts w:hint="eastAsia" w:ascii="宋体" w:hAnsi="宋体" w:cs="宋体"/>
                <w:b/>
                <w:bCs/>
                <w:w w:val="90"/>
                <w:sz w:val="24"/>
                <w:szCs w:val="22"/>
                <w:u w:val="single"/>
                <w:lang w:val="en-US" w:eastAsia="zh-CN"/>
              </w:rPr>
              <w:t>8</w:t>
            </w:r>
            <w:r>
              <w:rPr>
                <w:rFonts w:hint="eastAsia" w:ascii="宋体" w:hAnsi="宋体" w:eastAsia="宋体" w:cs="宋体"/>
                <w:b/>
                <w:color w:val="000000" w:themeColor="text1"/>
                <w:w w:val="90"/>
                <w:kern w:val="0"/>
                <w:sz w:val="24"/>
                <w:u w:val="single"/>
                <w14:textFill>
                  <w14:solidFill>
                    <w14:schemeClr w14:val="tx1"/>
                  </w14:solidFill>
                </w14:textFill>
              </w:rPr>
              <w:t>“与采购人不存在利害关系及其他违规行为”的证明材料（格式见第五章）</w:t>
            </w:r>
          </w:p>
          <w:p w14:paraId="005AFF12">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二、商务技术文件（</w:t>
            </w:r>
            <w:r>
              <w:rPr>
                <w:rFonts w:hint="eastAsia" w:ascii="宋体" w:hAnsi="宋体" w:eastAsia="宋体" w:cs="宋体"/>
                <w:b/>
                <w:color w:val="auto"/>
                <w:kern w:val="0"/>
                <w:sz w:val="24"/>
                <w:szCs w:val="20"/>
                <w:highlight w:val="none"/>
              </w:rPr>
              <w:t>带</w:t>
            </w:r>
            <w:r>
              <w:rPr>
                <w:rFonts w:hint="eastAsia" w:ascii="宋体" w:hAnsi="宋体" w:eastAsia="宋体" w:cs="宋体"/>
                <w:bCs/>
                <w:color w:val="auto"/>
                <w:w w:val="90"/>
                <w:kern w:val="0"/>
                <w:sz w:val="24"/>
                <w:highlight w:val="none"/>
              </w:rPr>
              <w:t>★</w:t>
            </w:r>
            <w:r>
              <w:rPr>
                <w:rFonts w:hint="eastAsia" w:ascii="宋体" w:hAnsi="宋体" w:eastAsia="宋体" w:cs="宋体"/>
                <w:b/>
                <w:color w:val="auto"/>
                <w:kern w:val="0"/>
                <w:sz w:val="24"/>
                <w:szCs w:val="20"/>
                <w:highlight w:val="none"/>
              </w:rPr>
              <w:t>内容证明文件未提供或提供的证明材料不齐全的，商务审查作不通过处理，不得进入评审程序，其余部分为技术打分内容）</w:t>
            </w:r>
            <w:r>
              <w:rPr>
                <w:rFonts w:hint="eastAsia" w:ascii="宋体" w:hAnsi="宋体" w:eastAsia="宋体" w:cs="宋体"/>
                <w:b/>
                <w:color w:val="auto"/>
                <w:sz w:val="24"/>
                <w:highlight w:val="none"/>
              </w:rPr>
              <w:t>：</w:t>
            </w:r>
          </w:p>
          <w:p w14:paraId="41E03B9B">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★（1）法定代表人资格证明书（格式见第五章）；</w:t>
            </w:r>
          </w:p>
          <w:p w14:paraId="089EF06E">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★（2）法定代表人授权委托书（法定代表人授权其公司员工签署及参加磋商响应的，在磋商响应文件中同时出具法定代表人资格证明书及此授权书）（格式见第五章）；</w:t>
            </w:r>
          </w:p>
          <w:p w14:paraId="0F6326C5">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★（3）节能、环保产品、商品包装承诺书（格式见第五章）</w:t>
            </w:r>
          </w:p>
          <w:p w14:paraId="639E3D5D">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（4）磋商供应商类似项目业绩情况（格式见第五章）；</w:t>
            </w:r>
          </w:p>
          <w:p w14:paraId="4552B7C5">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（5）拟派项目经理类似项目业绩情况（格式见第五章）；</w:t>
            </w:r>
          </w:p>
          <w:p w14:paraId="3445E563">
            <w:pPr>
              <w:spacing w:line="360" w:lineRule="auto"/>
              <w:ind w:firstLine="480" w:firstLineChars="200"/>
              <w:jc w:val="left"/>
              <w:rPr>
                <w:rFonts w:hint="eastAsia" w:ascii="宋体" w:hAnsi="宋体" w:eastAsia="宋体" w:cs="宋体"/>
                <w:bCs/>
                <w:color w:val="000000" w:themeColor="text1"/>
                <w:sz w:val="24"/>
                <w:highlight w:val="yellow"/>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）施工组织设计；</w:t>
            </w:r>
          </w:p>
          <w:p w14:paraId="105AAAC7">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a施工组织方案</w:t>
            </w:r>
          </w:p>
          <w:p w14:paraId="6BA30F77">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b施工进度计划方案</w:t>
            </w:r>
          </w:p>
          <w:p w14:paraId="3C46F58A">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c施工质量控制方案</w:t>
            </w:r>
          </w:p>
          <w:p w14:paraId="6840144C">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d安全文明施工保障措施方案</w:t>
            </w:r>
          </w:p>
          <w:p w14:paraId="007EE557">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e重、难点分析方案</w:t>
            </w:r>
          </w:p>
          <w:p w14:paraId="640395BF">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f应急预案和紧急事件处置措施</w:t>
            </w:r>
          </w:p>
          <w:p w14:paraId="1E1DD674">
            <w:pPr>
              <w:spacing w:line="360" w:lineRule="auto"/>
              <w:ind w:firstLine="480" w:firstLineChars="200"/>
              <w:jc w:val="left"/>
              <w:rPr>
                <w:rFonts w:hint="eastAsia" w:ascii="宋体" w:hAnsi="宋体" w:eastAsia="宋体" w:cs="宋体"/>
                <w:bCs/>
                <w:color w:val="auto"/>
                <w:sz w:val="24"/>
                <w:highlight w:val="yellow"/>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）其他资料（格式自拟）</w:t>
            </w:r>
          </w:p>
          <w:p w14:paraId="3ECB83FD">
            <w:pPr>
              <w:spacing w:line="360" w:lineRule="auto"/>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sz w:val="24"/>
                <w:highlight w:val="none"/>
              </w:rPr>
              <w:t>三、</w:t>
            </w:r>
            <w:r>
              <w:rPr>
                <w:rFonts w:hint="eastAsia" w:ascii="宋体" w:hAnsi="宋体" w:eastAsia="宋体" w:cs="宋体"/>
                <w:b/>
                <w:color w:val="auto"/>
                <w:kern w:val="0"/>
                <w:sz w:val="24"/>
                <w:szCs w:val="20"/>
                <w:highlight w:val="none"/>
              </w:rPr>
              <w:t>《报价文件》组成内容，</w:t>
            </w:r>
            <w:r>
              <w:rPr>
                <w:rFonts w:hint="eastAsia" w:ascii="宋体" w:hAnsi="宋体" w:eastAsia="宋体" w:cs="宋体"/>
                <w:b/>
                <w:color w:val="auto"/>
                <w:sz w:val="24"/>
                <w:szCs w:val="20"/>
                <w:highlight w:val="none"/>
              </w:rPr>
              <w:t>以下</w:t>
            </w:r>
            <w:r>
              <w:rPr>
                <w:rFonts w:hint="eastAsia" w:ascii="宋体" w:hAnsi="宋体" w:eastAsia="宋体" w:cs="宋体"/>
                <w:color w:val="auto"/>
                <w:w w:val="90"/>
                <w:sz w:val="24"/>
                <w:highlight w:val="none"/>
              </w:rPr>
              <w:t>★</w:t>
            </w:r>
            <w:r>
              <w:rPr>
                <w:rFonts w:hint="eastAsia" w:ascii="宋体" w:hAnsi="宋体" w:eastAsia="宋体" w:cs="宋体"/>
                <w:b/>
                <w:color w:val="auto"/>
                <w:sz w:val="24"/>
                <w:szCs w:val="20"/>
                <w:highlight w:val="none"/>
              </w:rPr>
              <w:t>内容文件未提供或提供的证明材料不齐全的，商务审查作不通过处理。</w:t>
            </w:r>
          </w:p>
          <w:p w14:paraId="3EE31588">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（1）响应函；</w:t>
            </w:r>
          </w:p>
          <w:p w14:paraId="482A384D">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（2）已标价工程量清单；</w:t>
            </w:r>
          </w:p>
          <w:p w14:paraId="30D77CAF">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（3）供应商认为其他需要提供的资料（格式自拟）。</w:t>
            </w:r>
          </w:p>
        </w:tc>
      </w:tr>
      <w:tr w14:paraId="21ADFA9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6A1B79D">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w:t>
            </w:r>
          </w:p>
        </w:tc>
        <w:tc>
          <w:tcPr>
            <w:tcW w:w="2694" w:type="dxa"/>
            <w:noWrap/>
            <w:vAlign w:val="center"/>
          </w:tcPr>
          <w:p w14:paraId="3C77029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磋商响应文件的编制</w:t>
            </w:r>
          </w:p>
        </w:tc>
        <w:tc>
          <w:tcPr>
            <w:tcW w:w="5807" w:type="dxa"/>
            <w:noWrap/>
            <w:vAlign w:val="center"/>
          </w:tcPr>
          <w:p w14:paraId="1FBB23F8">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本项目通过“山西省政府采购网”（电子交易平台，网址：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Style w:val="29"/>
                <w:rFonts w:hint="eastAsia" w:ascii="宋体" w:hAnsi="宋体" w:eastAsia="宋体" w:cs="宋体"/>
                <w:bCs/>
                <w:color w:val="auto"/>
                <w:sz w:val="24"/>
                <w:highlight w:val="none"/>
              </w:rPr>
              <w:t>http://www.ccgp-shanxi.gov.cn/home.html</w:t>
            </w:r>
            <w:r>
              <w:rPr>
                <w:rStyle w:val="29"/>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）实行电子交易（在线投标响应）。</w:t>
            </w:r>
            <w:r>
              <w:rPr>
                <w:rFonts w:hint="eastAsia" w:ascii="宋体" w:hAnsi="宋体" w:eastAsia="宋体" w:cs="宋体"/>
                <w:b/>
                <w:color w:val="auto"/>
                <w:sz w:val="24"/>
                <w:highlight w:val="none"/>
              </w:rPr>
              <w:t>供应商参加本项目电子交易应当安装“政采云电子交易客户端”，并按照本竞争性磋商文件和“山西省政府采购网”的要求编制并加密磋商响应文件（1份）。</w:t>
            </w:r>
            <w:r>
              <w:rPr>
                <w:rFonts w:hint="eastAsia" w:ascii="宋体" w:hAnsi="宋体" w:eastAsia="宋体" w:cs="宋体"/>
                <w:b/>
                <w:color w:val="auto"/>
                <w:sz w:val="24"/>
                <w:highlight w:val="none"/>
                <w:u w:val="single"/>
              </w:rPr>
              <w:t>供应商未按规定加密的磋商响应文件，“山西省政府采购网”将予以拒收并提示</w:t>
            </w:r>
            <w:r>
              <w:rPr>
                <w:rFonts w:hint="eastAsia" w:ascii="宋体" w:hAnsi="宋体" w:eastAsia="宋体" w:cs="宋体"/>
                <w:b/>
                <w:color w:val="auto"/>
                <w:sz w:val="24"/>
                <w:highlight w:val="none"/>
              </w:rPr>
              <w:t>。</w:t>
            </w:r>
          </w:p>
        </w:tc>
      </w:tr>
      <w:tr w14:paraId="3D05D44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jc w:val="center"/>
        </w:trPr>
        <w:tc>
          <w:tcPr>
            <w:tcW w:w="1020" w:type="dxa"/>
            <w:noWrap/>
            <w:vAlign w:val="center"/>
          </w:tcPr>
          <w:p w14:paraId="45CFC57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p>
        </w:tc>
        <w:tc>
          <w:tcPr>
            <w:tcW w:w="2694" w:type="dxa"/>
            <w:noWrap/>
            <w:vAlign w:val="center"/>
          </w:tcPr>
          <w:p w14:paraId="144FEDC4">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kern w:val="0"/>
                <w:sz w:val="24"/>
                <w:highlight w:val="none"/>
              </w:rPr>
              <w:t>磋商响应文件的签章形式</w:t>
            </w:r>
          </w:p>
        </w:tc>
        <w:tc>
          <w:tcPr>
            <w:tcW w:w="5807" w:type="dxa"/>
            <w:noWrap/>
            <w:vAlign w:val="center"/>
          </w:tcPr>
          <w:p w14:paraId="23A87972">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电子签章</w:t>
            </w:r>
            <w:r>
              <w:rPr>
                <w:rFonts w:hint="eastAsia" w:ascii="宋体" w:hAnsi="宋体" w:eastAsia="宋体" w:cs="宋体"/>
                <w:color w:val="auto"/>
                <w:sz w:val="24"/>
                <w:highlight w:val="none"/>
              </w:rPr>
              <w:t>。按《第二章磋商须知及前附表》和《第五章 响应文件格式》标注的要求进行盖章、签署（电子签章）。</w:t>
            </w:r>
          </w:p>
        </w:tc>
      </w:tr>
      <w:tr w14:paraId="3DC5BB8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91A3A7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4.6</w:t>
            </w:r>
          </w:p>
        </w:tc>
        <w:tc>
          <w:tcPr>
            <w:tcW w:w="2694" w:type="dxa"/>
            <w:noWrap/>
            <w:vAlign w:val="center"/>
          </w:tcPr>
          <w:p w14:paraId="7A82178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磋商响应文件有效期</w:t>
            </w:r>
          </w:p>
        </w:tc>
        <w:tc>
          <w:tcPr>
            <w:tcW w:w="5807" w:type="dxa"/>
            <w:noWrap/>
            <w:vAlign w:val="center"/>
          </w:tcPr>
          <w:p w14:paraId="1C80AD09">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自磋商响应文件提交截止之日起</w:t>
            </w:r>
            <w:r>
              <w:rPr>
                <w:rFonts w:hint="eastAsia" w:ascii="宋体" w:hAnsi="宋体" w:eastAsia="宋体" w:cs="宋体"/>
                <w:b/>
                <w:color w:val="auto"/>
                <w:sz w:val="24"/>
                <w:highlight w:val="none"/>
                <w:u w:val="single"/>
              </w:rPr>
              <w:t>90</w:t>
            </w:r>
            <w:r>
              <w:rPr>
                <w:rFonts w:hint="eastAsia" w:ascii="宋体" w:hAnsi="宋体" w:eastAsia="宋体" w:cs="宋体"/>
                <w:b/>
                <w:color w:val="auto"/>
                <w:sz w:val="24"/>
                <w:highlight w:val="none"/>
              </w:rPr>
              <w:t>日历天内保持有效，否则磋商响应无效。</w:t>
            </w:r>
          </w:p>
        </w:tc>
      </w:tr>
      <w:tr w14:paraId="75BE922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E720014">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4.7.1</w:t>
            </w:r>
          </w:p>
        </w:tc>
        <w:tc>
          <w:tcPr>
            <w:tcW w:w="2694" w:type="dxa"/>
            <w:noWrap/>
            <w:vAlign w:val="center"/>
          </w:tcPr>
          <w:p w14:paraId="7356AC67">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备份磋商响应文件的约定</w:t>
            </w:r>
          </w:p>
        </w:tc>
        <w:tc>
          <w:tcPr>
            <w:tcW w:w="5807" w:type="dxa"/>
            <w:noWrap/>
            <w:vAlign w:val="center"/>
          </w:tcPr>
          <w:p w14:paraId="24E50BE7">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本项目不需要供应商提交备份磋商响应文件。</w:t>
            </w:r>
          </w:p>
        </w:tc>
      </w:tr>
      <w:tr w14:paraId="389F618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3929CE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4.7.2</w:t>
            </w:r>
          </w:p>
        </w:tc>
        <w:tc>
          <w:tcPr>
            <w:tcW w:w="2694" w:type="dxa"/>
            <w:noWrap/>
            <w:vAlign w:val="center"/>
          </w:tcPr>
          <w:p w14:paraId="048BD172">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备份磋商响应文件的编制</w:t>
            </w:r>
          </w:p>
        </w:tc>
        <w:tc>
          <w:tcPr>
            <w:tcW w:w="5807" w:type="dxa"/>
            <w:noWrap/>
            <w:vAlign w:val="center"/>
          </w:tcPr>
          <w:p w14:paraId="6F6DD36E">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无</w:t>
            </w:r>
          </w:p>
        </w:tc>
      </w:tr>
      <w:tr w14:paraId="4CFBF5F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CF402D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4.7.3</w:t>
            </w:r>
          </w:p>
        </w:tc>
        <w:tc>
          <w:tcPr>
            <w:tcW w:w="2694" w:type="dxa"/>
            <w:noWrap/>
            <w:vAlign w:val="center"/>
          </w:tcPr>
          <w:p w14:paraId="6A09346C">
            <w:pPr>
              <w:spacing w:line="276" w:lineRule="auto"/>
              <w:jc w:val="center"/>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备份磋商响应文件的递交接收</w:t>
            </w:r>
          </w:p>
        </w:tc>
        <w:tc>
          <w:tcPr>
            <w:tcW w:w="5807" w:type="dxa"/>
            <w:noWrap/>
            <w:vAlign w:val="center"/>
          </w:tcPr>
          <w:p w14:paraId="6BAAD08E">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无</w:t>
            </w:r>
          </w:p>
        </w:tc>
      </w:tr>
      <w:tr w14:paraId="1CF76A3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64022ED">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4.7.4</w:t>
            </w:r>
          </w:p>
          <w:p w14:paraId="63D4C80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6.3.1</w:t>
            </w:r>
          </w:p>
        </w:tc>
        <w:tc>
          <w:tcPr>
            <w:tcW w:w="2694" w:type="dxa"/>
            <w:noWrap/>
            <w:vAlign w:val="center"/>
          </w:tcPr>
          <w:p w14:paraId="6E333539">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磋商响应文件解密异常情况处理办法</w:t>
            </w:r>
          </w:p>
        </w:tc>
        <w:tc>
          <w:tcPr>
            <w:tcW w:w="5807" w:type="dxa"/>
            <w:noWrap/>
            <w:vAlign w:val="center"/>
          </w:tcPr>
          <w:p w14:paraId="0158A490">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供应商传输递交至“山西省政府采购网”的电子加密“磋商响应文件”无法按时解密时，按以下规定处理：</w:t>
            </w:r>
          </w:p>
          <w:p w14:paraId="5E3161C5">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05AAC50E">
            <w:pPr>
              <w:spacing w:line="276"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u w:val="single"/>
              </w:rPr>
              <w:t>未按规定递交合格“备份磋商响应文件”的或递交的“备份磋商响应文件”无法成功上传的，视为磋商响应文件撤回。</w:t>
            </w:r>
          </w:p>
          <w:p w14:paraId="6F892BA3">
            <w:pPr>
              <w:spacing w:line="276" w:lineRule="auto"/>
              <w:jc w:val="left"/>
              <w:rPr>
                <w:rFonts w:hint="eastAsia" w:ascii="宋体" w:hAnsi="宋体" w:eastAsia="宋体" w:cs="宋体"/>
                <w:b/>
                <w:color w:val="auto"/>
                <w:kern w:val="0"/>
                <w:sz w:val="24"/>
                <w:highlight w:val="none"/>
              </w:rPr>
            </w:pPr>
            <w:r>
              <w:rPr>
                <w:rFonts w:hint="eastAsia" w:ascii="宋体" w:hAnsi="宋体" w:eastAsia="宋体" w:cs="宋体"/>
                <w:bCs/>
                <w:color w:val="auto"/>
                <w:sz w:val="24"/>
                <w:highlight w:val="none"/>
              </w:rPr>
              <w:t>（3）备份磋商响应文件上传成功后视为磋商响应文件解密成功，供应商可以进入后续评审。</w:t>
            </w:r>
          </w:p>
        </w:tc>
      </w:tr>
      <w:tr w14:paraId="68E170F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FA46A5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5.1.1</w:t>
            </w:r>
          </w:p>
        </w:tc>
        <w:tc>
          <w:tcPr>
            <w:tcW w:w="2694" w:type="dxa"/>
            <w:noWrap/>
            <w:vAlign w:val="center"/>
          </w:tcPr>
          <w:p w14:paraId="6FE35A19">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响应文件提交截止时间</w:t>
            </w:r>
          </w:p>
        </w:tc>
        <w:tc>
          <w:tcPr>
            <w:tcW w:w="5807" w:type="dxa"/>
            <w:noWrap/>
            <w:vAlign w:val="center"/>
          </w:tcPr>
          <w:p w14:paraId="22E8F10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见第一章竞争性磋商公告</w:t>
            </w:r>
          </w:p>
        </w:tc>
      </w:tr>
      <w:tr w14:paraId="4D45003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C9D7BD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5.2.1</w:t>
            </w:r>
          </w:p>
        </w:tc>
        <w:tc>
          <w:tcPr>
            <w:tcW w:w="2694" w:type="dxa"/>
            <w:noWrap/>
            <w:vAlign w:val="center"/>
          </w:tcPr>
          <w:p w14:paraId="1A30B9E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磋商响应文件提交地点</w:t>
            </w:r>
          </w:p>
        </w:tc>
        <w:tc>
          <w:tcPr>
            <w:tcW w:w="5807" w:type="dxa"/>
            <w:noWrap/>
            <w:vAlign w:val="center"/>
          </w:tcPr>
          <w:p w14:paraId="297187F1">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山西省政府采购网</w:t>
            </w:r>
            <w:r>
              <w:rPr>
                <w:rFonts w:hint="eastAsia" w:ascii="宋体" w:hAnsi="宋体" w:eastAsia="宋体" w:cs="宋体"/>
                <w:color w:val="auto"/>
                <w:sz w:val="24"/>
                <w:highlight w:val="none"/>
                <w:u w:val="single"/>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highlight w:val="none"/>
              </w:rPr>
              <w:t>http://www.ccgp-shanxi.gov.cn/home.html</w:t>
            </w:r>
            <w:r>
              <w:rPr>
                <w:rStyle w:val="29"/>
                <w:rFonts w:hint="eastAsia" w:ascii="宋体" w:hAnsi="宋体" w:eastAsia="宋体" w:cs="宋体"/>
                <w:color w:val="auto"/>
                <w:sz w:val="24"/>
                <w:highlight w:val="none"/>
              </w:rPr>
              <w:fldChar w:fldCharType="end"/>
            </w:r>
          </w:p>
        </w:tc>
      </w:tr>
      <w:tr w14:paraId="12631F1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6B6CAB8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5.3.1</w:t>
            </w:r>
          </w:p>
        </w:tc>
        <w:tc>
          <w:tcPr>
            <w:tcW w:w="2694" w:type="dxa"/>
            <w:noWrap/>
            <w:vAlign w:val="center"/>
          </w:tcPr>
          <w:p w14:paraId="663044E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磋商响应文件的传输递交</w:t>
            </w:r>
          </w:p>
        </w:tc>
        <w:tc>
          <w:tcPr>
            <w:tcW w:w="5807" w:type="dxa"/>
            <w:noWrap/>
            <w:vAlign w:val="center"/>
          </w:tcPr>
          <w:p w14:paraId="6F0770BC">
            <w:pPr>
              <w:spacing w:line="276"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u w:val="single"/>
              </w:rPr>
              <w:t>供应商应当在磋商响应文件提交截止时间前完成磋商响应文件的传输递交。磋商响应文件提交截止时间前未完成传输的，视为撤回磋商响应文件。磋商响应文件提交截止时间以后递交的磋商响应文件，“山西省政府采购网”将予以拒收。</w:t>
            </w:r>
          </w:p>
          <w:p w14:paraId="2E54C374">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（2）磋商响应文件成功传输递交后，供应商可自行打印磋商响应文件接收回执。</w:t>
            </w:r>
          </w:p>
          <w:p w14:paraId="17E99EA3">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（3）磋商响应文件提交截止时间前，除供应商补充、修改或者撤回磋商响应文件外，任何单位和个人不得解密或提取磋商响应文件。</w:t>
            </w:r>
          </w:p>
          <w:p w14:paraId="340C0EC2">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提示：</w:t>
            </w:r>
            <w:r>
              <w:rPr>
                <w:rFonts w:hint="eastAsia" w:ascii="宋体" w:hAnsi="宋体" w:eastAsia="宋体" w:cs="宋体"/>
                <w:b/>
                <w:color w:val="auto"/>
                <w:sz w:val="24"/>
                <w:highlight w:val="none"/>
                <w:u w:val="single"/>
              </w:rPr>
              <w:t>供应商传输递交的“磋商响应文件”应是通过“政采云电子交易客户端”，并按竞争性磋商文件和“山西省政府采购网”要求编制并加密的电子加密磋商响应文件。</w:t>
            </w:r>
          </w:p>
        </w:tc>
      </w:tr>
      <w:tr w14:paraId="7093D60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96AFDF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w:t>
            </w:r>
          </w:p>
        </w:tc>
        <w:tc>
          <w:tcPr>
            <w:tcW w:w="2694" w:type="dxa"/>
            <w:noWrap/>
            <w:vAlign w:val="center"/>
          </w:tcPr>
          <w:p w14:paraId="37EB951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w:t>
            </w:r>
          </w:p>
        </w:tc>
        <w:tc>
          <w:tcPr>
            <w:tcW w:w="5807" w:type="dxa"/>
            <w:noWrap/>
            <w:vAlign w:val="center"/>
          </w:tcPr>
          <w:p w14:paraId="43C0FABE">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同</w:t>
            </w:r>
            <w:r>
              <w:rPr>
                <w:rFonts w:hint="eastAsia" w:ascii="宋体" w:hAnsi="宋体" w:eastAsia="宋体" w:cs="宋体"/>
                <w:b/>
                <w:bCs/>
                <w:color w:val="auto"/>
                <w:kern w:val="0"/>
                <w:sz w:val="24"/>
                <w:highlight w:val="none"/>
              </w:rPr>
              <w:t>磋商响应文件提交截止</w:t>
            </w:r>
            <w:r>
              <w:rPr>
                <w:rFonts w:hint="eastAsia" w:ascii="宋体" w:hAnsi="宋体" w:eastAsia="宋体" w:cs="宋体"/>
                <w:b/>
                <w:color w:val="auto"/>
                <w:sz w:val="24"/>
                <w:highlight w:val="none"/>
              </w:rPr>
              <w:t>时间</w:t>
            </w:r>
          </w:p>
        </w:tc>
      </w:tr>
      <w:tr w14:paraId="0A23361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5C04B0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6.1.2</w:t>
            </w:r>
          </w:p>
        </w:tc>
        <w:tc>
          <w:tcPr>
            <w:tcW w:w="2694" w:type="dxa"/>
            <w:noWrap/>
            <w:vAlign w:val="center"/>
          </w:tcPr>
          <w:p w14:paraId="50BFAFB2">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磋商地点</w:t>
            </w:r>
          </w:p>
        </w:tc>
        <w:tc>
          <w:tcPr>
            <w:tcW w:w="5807" w:type="dxa"/>
            <w:noWrap/>
            <w:vAlign w:val="center"/>
          </w:tcPr>
          <w:p w14:paraId="62EDCABE">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山西省政府采购网</w:t>
            </w:r>
            <w:r>
              <w:rPr>
                <w:rFonts w:hint="eastAsia" w:ascii="宋体" w:hAnsi="宋体" w:eastAsia="宋体" w:cs="宋体"/>
                <w:color w:val="auto"/>
                <w:sz w:val="24"/>
                <w:highlight w:val="none"/>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http://www.ccgp-shanxi.gov.cn/home.html</w:t>
            </w:r>
            <w:r>
              <w:rPr>
                <w:rFonts w:hint="eastAsia" w:ascii="宋体" w:hAnsi="宋体" w:eastAsia="宋体" w:cs="宋体"/>
                <w:color w:val="auto"/>
                <w:sz w:val="24"/>
                <w:highlight w:val="none"/>
              </w:rPr>
              <w:fldChar w:fldCharType="end"/>
            </w:r>
          </w:p>
        </w:tc>
      </w:tr>
      <w:tr w14:paraId="5EA80A4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F791981">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6.2.2</w:t>
            </w:r>
          </w:p>
        </w:tc>
        <w:tc>
          <w:tcPr>
            <w:tcW w:w="2694" w:type="dxa"/>
            <w:noWrap/>
            <w:vAlign w:val="center"/>
          </w:tcPr>
          <w:p w14:paraId="7C1525B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磋商邀请</w:t>
            </w:r>
          </w:p>
        </w:tc>
        <w:tc>
          <w:tcPr>
            <w:tcW w:w="5807" w:type="dxa"/>
            <w:noWrap/>
            <w:vAlign w:val="center"/>
          </w:tcPr>
          <w:p w14:paraId="44CF317B">
            <w:pPr>
              <w:keepNext w:val="0"/>
              <w:keepLines w:val="0"/>
              <w:pageBreakBefore w:val="0"/>
              <w:widowControl w:val="0"/>
              <w:kinsoku/>
              <w:wordWrap w:val="0"/>
              <w:overflowPunct/>
              <w:topLinePunct/>
              <w:autoSpaceDE/>
              <w:autoSpaceDN/>
              <w:bidi w:val="0"/>
              <w:adjustRightInd/>
              <w:snapToGrid/>
              <w:spacing w:line="276" w:lineRule="auto"/>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本项目采用电子交易，采购组织机构将按照磋商文件规定的时间通过“山西省政府采购网”，网址：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4"/>
                <w:highlight w:val="none"/>
              </w:rPr>
              <w:t>http://www.ccgp-shanxi.gov.cn/home.html</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t>”组织开标、开启磋商响应文件，所有供应商均应当准时在线参加。</w:t>
            </w:r>
          </w:p>
        </w:tc>
      </w:tr>
      <w:tr w14:paraId="53DD635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25602F9">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6.3.1</w:t>
            </w:r>
          </w:p>
        </w:tc>
        <w:tc>
          <w:tcPr>
            <w:tcW w:w="2694" w:type="dxa"/>
            <w:noWrap/>
            <w:vAlign w:val="center"/>
          </w:tcPr>
          <w:p w14:paraId="33407DA3">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磋商响应文件的解密</w:t>
            </w:r>
          </w:p>
        </w:tc>
        <w:tc>
          <w:tcPr>
            <w:tcW w:w="5807" w:type="dxa"/>
            <w:noWrap/>
            <w:vAlign w:val="center"/>
          </w:tcPr>
          <w:p w14:paraId="2528308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开标后，采购组织机构在山西省政府采购网在线发出“磋商响应文件解密”通知，</w:t>
            </w:r>
            <w:r>
              <w:rPr>
                <w:rFonts w:hint="eastAsia" w:ascii="宋体" w:hAnsi="宋体" w:eastAsia="宋体" w:cs="宋体"/>
                <w:color w:val="auto"/>
                <w:kern w:val="0"/>
                <w:sz w:val="24"/>
                <w:highlight w:val="none"/>
              </w:rPr>
              <w:t>启动磋商响应文件的解密程序；</w:t>
            </w:r>
            <w:r>
              <w:rPr>
                <w:rFonts w:hint="eastAsia" w:ascii="宋体" w:hAnsi="宋体" w:eastAsia="宋体" w:cs="宋体"/>
                <w:color w:val="auto"/>
                <w:sz w:val="24"/>
                <w:highlight w:val="none"/>
              </w:rPr>
              <w:t>各</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应当在解密通知发出后30分钟内自行完成磋商响应文件的在线解密。供应商的磋商响应文件无法按时解密的，按磋商文件中“磋商响应文件解密异常情况处理办法进行处理。</w:t>
            </w:r>
          </w:p>
          <w:p w14:paraId="4D767C5F">
            <w:pPr>
              <w:spacing w:line="27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备注：磋商响应文件提交截止时间前，除供应商补充、修改或者撤回磋商响应文件外，任何单位和个人不得解密或提取磋商响应文件。</w:t>
            </w:r>
          </w:p>
        </w:tc>
      </w:tr>
      <w:tr w14:paraId="1CE6759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BF366E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7.7.1</w:t>
            </w:r>
          </w:p>
        </w:tc>
        <w:tc>
          <w:tcPr>
            <w:tcW w:w="2694" w:type="dxa"/>
            <w:noWrap/>
            <w:vAlign w:val="center"/>
          </w:tcPr>
          <w:p w14:paraId="0606E7B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w:t>
            </w:r>
          </w:p>
        </w:tc>
        <w:tc>
          <w:tcPr>
            <w:tcW w:w="5807" w:type="dxa"/>
            <w:noWrap/>
            <w:vAlign w:val="center"/>
          </w:tcPr>
          <w:p w14:paraId="50B1A30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综合评分法，详见竞争性磋商文件《第六章 评审方法》</w:t>
            </w:r>
          </w:p>
        </w:tc>
      </w:tr>
      <w:tr w14:paraId="1DD86FE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A474B08">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kern w:val="0"/>
                <w:sz w:val="24"/>
                <w:highlight w:val="none"/>
              </w:rPr>
              <w:t>7.7.2</w:t>
            </w:r>
          </w:p>
        </w:tc>
        <w:tc>
          <w:tcPr>
            <w:tcW w:w="2694" w:type="dxa"/>
            <w:noWrap/>
            <w:vAlign w:val="center"/>
          </w:tcPr>
          <w:p w14:paraId="5C5E9987">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供应商信用信息</w:t>
            </w:r>
          </w:p>
          <w:p w14:paraId="7189C2ED">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查询与使用</w:t>
            </w:r>
          </w:p>
        </w:tc>
        <w:tc>
          <w:tcPr>
            <w:tcW w:w="5807" w:type="dxa"/>
            <w:noWrap/>
            <w:vAlign w:val="center"/>
          </w:tcPr>
          <w:p w14:paraId="76AE41DE">
            <w:pPr>
              <w:keepNext w:val="0"/>
              <w:keepLines w:val="0"/>
              <w:pageBreakBefore w:val="0"/>
              <w:widowControl w:val="0"/>
              <w:kinsoku/>
              <w:wordWrap w:val="0"/>
              <w:overflowPunct/>
              <w:topLinePunct/>
              <w:autoSpaceDE/>
              <w:autoSpaceDN/>
              <w:bidi w:val="0"/>
              <w:adjustRightInd/>
              <w:snapToGrid/>
              <w:spacing w:line="276" w:lineRule="auto"/>
              <w:jc w:val="left"/>
              <w:textAlignment w:val="auto"/>
              <w:rPr>
                <w:rFonts w:hint="eastAsia" w:ascii="宋体" w:hAnsi="宋体" w:eastAsia="宋体" w:cs="宋体"/>
                <w:b/>
                <w:color w:val="auto"/>
                <w:sz w:val="24"/>
                <w:highlight w:val="none"/>
                <w:u w:val="single"/>
              </w:rPr>
            </w:pPr>
            <w:r>
              <w:rPr>
                <w:rFonts w:hint="eastAsia" w:ascii="宋体" w:hAnsi="宋体" w:eastAsia="宋体" w:cs="宋体"/>
                <w:bCs/>
                <w:color w:val="auto"/>
                <w:sz w:val="24"/>
                <w:highlight w:val="none"/>
              </w:rPr>
              <w:t>（1）根据《财政部关于在政府采购活动中查询及使用信用记录的通知》（财库〔2016〕125号）相关规定，</w:t>
            </w:r>
            <w:r>
              <w:rPr>
                <w:rFonts w:hint="eastAsia" w:ascii="宋体" w:hAnsi="宋体" w:eastAsia="宋体" w:cs="宋体"/>
                <w:bCs/>
                <w:color w:val="auto"/>
                <w:sz w:val="24"/>
                <w:highlight w:val="none"/>
                <w:lang w:val="en-US" w:eastAsia="zh-CN"/>
              </w:rPr>
              <w:t>磋商小组</w:t>
            </w:r>
            <w:r>
              <w:rPr>
                <w:rFonts w:hint="eastAsia" w:ascii="宋体" w:hAnsi="宋体" w:eastAsia="宋体" w:cs="宋体"/>
                <w:bCs/>
                <w:color w:val="auto"/>
                <w:sz w:val="24"/>
                <w:highlight w:val="none"/>
              </w:rPr>
              <w:t>将通过“信用中国”网站（www.creditchina.gov.cn）、中国政府采购网（www.ccgp.gov.cn）等渠道查询供应商信用记录，对供应商信用记录进行甄别。</w:t>
            </w:r>
            <w:r>
              <w:rPr>
                <w:rFonts w:hint="eastAsia" w:ascii="宋体" w:hAnsi="宋体" w:eastAsia="宋体" w:cs="宋体"/>
                <w:b/>
                <w:color w:val="auto"/>
                <w:sz w:val="24"/>
                <w:highlight w:val="none"/>
                <w:u w:val="single"/>
              </w:rPr>
              <w:t>凡是列入失信被执行人、</w:t>
            </w:r>
            <w:r>
              <w:rPr>
                <w:rFonts w:hint="eastAsia" w:ascii="宋体" w:hAnsi="宋体" w:eastAsia="宋体" w:cs="宋体"/>
                <w:b/>
                <w:color w:val="auto"/>
                <w:sz w:val="24"/>
                <w:highlight w:val="none"/>
                <w:u w:val="single"/>
                <w:lang w:eastAsia="zh-CN"/>
              </w:rPr>
              <w:t>重大税收违法失信主体</w:t>
            </w:r>
            <w:r>
              <w:rPr>
                <w:rFonts w:hint="eastAsia" w:ascii="宋体" w:hAnsi="宋体" w:eastAsia="宋体" w:cs="宋体"/>
                <w:b/>
                <w:color w:val="auto"/>
                <w:sz w:val="24"/>
                <w:highlight w:val="none"/>
                <w:u w:val="single"/>
              </w:rPr>
              <w:t>、政府采购严重违法失信行为记录名单及其他不符合《中华人民共和国政府采购法》第二十二条规定条件的供应商，一律拒绝其参加本次政府采购活动。</w:t>
            </w:r>
          </w:p>
          <w:p w14:paraId="545EC365">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（2）查询工作在资格审查时由</w:t>
            </w:r>
            <w:r>
              <w:rPr>
                <w:rFonts w:hint="eastAsia" w:ascii="宋体" w:hAnsi="宋体" w:eastAsia="宋体" w:cs="宋体"/>
                <w:b/>
                <w:color w:val="auto"/>
                <w:sz w:val="24"/>
                <w:highlight w:val="none"/>
                <w:lang w:val="en-US" w:eastAsia="zh-CN"/>
              </w:rPr>
              <w:t>磋商小组</w:t>
            </w:r>
            <w:r>
              <w:rPr>
                <w:rFonts w:hint="eastAsia" w:ascii="宋体" w:hAnsi="宋体" w:eastAsia="宋体" w:cs="宋体"/>
                <w:b/>
                <w:color w:val="auto"/>
                <w:sz w:val="24"/>
                <w:highlight w:val="none"/>
              </w:rPr>
              <w:t>进行。</w:t>
            </w:r>
          </w:p>
          <w:p w14:paraId="244F915D">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（3）以联合体形式参加采购活动的，联合体中任何一方存在“被拒绝情形”的视同联合体存在“被拒绝情形”。</w:t>
            </w:r>
          </w:p>
        </w:tc>
      </w:tr>
      <w:tr w14:paraId="2AB3795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7A6C0F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8.1.1</w:t>
            </w:r>
          </w:p>
        </w:tc>
        <w:tc>
          <w:tcPr>
            <w:tcW w:w="2694" w:type="dxa"/>
            <w:noWrap/>
            <w:vAlign w:val="center"/>
          </w:tcPr>
          <w:p w14:paraId="77F6BA65">
            <w:pPr>
              <w:spacing w:line="276"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确定成交供应商</w:t>
            </w:r>
          </w:p>
          <w:p w14:paraId="0CE0A58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采购结果确认</w:t>
            </w:r>
            <w:r>
              <w:rPr>
                <w:rFonts w:hint="eastAsia" w:ascii="宋体" w:hAnsi="宋体" w:eastAsia="宋体" w:cs="宋体"/>
                <w:color w:val="auto"/>
                <w:kern w:val="0"/>
                <w:sz w:val="24"/>
                <w:highlight w:val="none"/>
              </w:rPr>
              <w:t>）</w:t>
            </w:r>
          </w:p>
        </w:tc>
        <w:tc>
          <w:tcPr>
            <w:tcW w:w="5807" w:type="dxa"/>
            <w:noWrap/>
            <w:vAlign w:val="center"/>
          </w:tcPr>
          <w:p w14:paraId="53409C00">
            <w:pPr>
              <w:spacing w:line="276"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kern w:val="0"/>
                <w:sz w:val="24"/>
                <w:highlight w:val="none"/>
              </w:rPr>
              <w:t>本项目由采购人根据磋商小组递交的《评审报告》，通过“山西省政府采购网”依法确定成交供应商。</w:t>
            </w:r>
            <w:r>
              <w:rPr>
                <w:rFonts w:hint="eastAsia" w:ascii="宋体" w:hAnsi="宋体" w:eastAsia="宋体" w:cs="宋体"/>
                <w:bCs/>
                <w:color w:val="auto"/>
                <w:kern w:val="0"/>
                <w:sz w:val="24"/>
                <w:highlight w:val="none"/>
              </w:rPr>
              <w:t>具体流程见第二章第8.1.1款规定。</w:t>
            </w:r>
          </w:p>
        </w:tc>
      </w:tr>
      <w:tr w14:paraId="144525C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720F5AE">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8.2.1</w:t>
            </w:r>
          </w:p>
        </w:tc>
        <w:tc>
          <w:tcPr>
            <w:tcW w:w="2694" w:type="dxa"/>
            <w:noWrap/>
            <w:vAlign w:val="center"/>
          </w:tcPr>
          <w:p w14:paraId="4DAE5AC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结果公告及《成交通知书》签发</w:t>
            </w:r>
          </w:p>
        </w:tc>
        <w:tc>
          <w:tcPr>
            <w:tcW w:w="5807" w:type="dxa"/>
            <w:noWrap/>
            <w:vAlign w:val="center"/>
          </w:tcPr>
          <w:p w14:paraId="50C80B7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采购结果经采购人确认后2个工作日内，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将在“山西省政府采购网”公告采购结果，同时向成交供应商发出《成交通知书》。</w:t>
            </w:r>
          </w:p>
          <w:p w14:paraId="75157CBD">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成交公告期限为1个工作日。</w:t>
            </w:r>
          </w:p>
        </w:tc>
      </w:tr>
      <w:tr w14:paraId="199919F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E03D50C">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9.1.1</w:t>
            </w:r>
          </w:p>
        </w:tc>
        <w:tc>
          <w:tcPr>
            <w:tcW w:w="2694" w:type="dxa"/>
            <w:noWrap/>
            <w:vAlign w:val="center"/>
          </w:tcPr>
          <w:p w14:paraId="61E1F6D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采购代理服务费</w:t>
            </w:r>
          </w:p>
        </w:tc>
        <w:tc>
          <w:tcPr>
            <w:tcW w:w="5807" w:type="dxa"/>
            <w:noWrap/>
            <w:vAlign w:val="center"/>
          </w:tcPr>
          <w:p w14:paraId="300DC2A5">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服务费金额按国家发改委“计价格（2011）534号”文件规定收取。具体标准如下：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215"/>
              <w:gridCol w:w="1219"/>
              <w:gridCol w:w="1217"/>
            </w:tblGrid>
            <w:tr w14:paraId="2901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28" w:type="dxa"/>
                  <w:noWrap w:val="0"/>
                  <w:vAlign w:val="center"/>
                </w:tcPr>
                <w:p w14:paraId="25B88F8A">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成交金额（万元）</w:t>
                  </w:r>
                </w:p>
              </w:tc>
              <w:tc>
                <w:tcPr>
                  <w:tcW w:w="1215" w:type="dxa"/>
                  <w:noWrap w:val="0"/>
                  <w:vAlign w:val="center"/>
                </w:tcPr>
                <w:p w14:paraId="6ADBF77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货物招标</w:t>
                  </w:r>
                </w:p>
              </w:tc>
              <w:tc>
                <w:tcPr>
                  <w:tcW w:w="1219" w:type="dxa"/>
                  <w:noWrap w:val="0"/>
                  <w:vAlign w:val="center"/>
                </w:tcPr>
                <w:p w14:paraId="3AEE8DF0">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服务招标</w:t>
                  </w:r>
                </w:p>
              </w:tc>
              <w:tc>
                <w:tcPr>
                  <w:tcW w:w="1217" w:type="dxa"/>
                  <w:noWrap w:val="0"/>
                  <w:vAlign w:val="center"/>
                </w:tcPr>
                <w:p w14:paraId="7864EBB2">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工程招标</w:t>
                  </w:r>
                </w:p>
              </w:tc>
            </w:tr>
            <w:tr w14:paraId="19D8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28" w:type="dxa"/>
                  <w:noWrap w:val="0"/>
                  <w:vAlign w:val="center"/>
                </w:tcPr>
                <w:p w14:paraId="0FAA5CC8">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100以下</w:t>
                  </w:r>
                </w:p>
              </w:tc>
              <w:tc>
                <w:tcPr>
                  <w:tcW w:w="1215" w:type="dxa"/>
                  <w:noWrap w:val="0"/>
                  <w:vAlign w:val="center"/>
                </w:tcPr>
                <w:p w14:paraId="6A99D52A">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219" w:type="dxa"/>
                  <w:noWrap w:val="0"/>
                  <w:vAlign w:val="center"/>
                </w:tcPr>
                <w:p w14:paraId="55F67975">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217" w:type="dxa"/>
                  <w:noWrap w:val="0"/>
                  <w:vAlign w:val="center"/>
                </w:tcPr>
                <w:p w14:paraId="1CA9F9C1">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r>
            <w:tr w14:paraId="37E5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28" w:type="dxa"/>
                  <w:noWrap w:val="0"/>
                  <w:vAlign w:val="center"/>
                </w:tcPr>
                <w:p w14:paraId="70692F77">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100-500</w:t>
                  </w:r>
                </w:p>
              </w:tc>
              <w:tc>
                <w:tcPr>
                  <w:tcW w:w="1215" w:type="dxa"/>
                  <w:noWrap w:val="0"/>
                  <w:vAlign w:val="center"/>
                </w:tcPr>
                <w:p w14:paraId="11CD65C5">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219" w:type="dxa"/>
                  <w:noWrap w:val="0"/>
                  <w:vAlign w:val="center"/>
                </w:tcPr>
                <w:p w14:paraId="70408E19">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0.8%</w:t>
                  </w:r>
                </w:p>
              </w:tc>
              <w:tc>
                <w:tcPr>
                  <w:tcW w:w="1217" w:type="dxa"/>
                  <w:noWrap w:val="0"/>
                  <w:vAlign w:val="center"/>
                </w:tcPr>
                <w:p w14:paraId="46664259">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0.7%</w:t>
                  </w:r>
                </w:p>
              </w:tc>
            </w:tr>
            <w:tr w14:paraId="23C6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28" w:type="dxa"/>
                  <w:noWrap w:val="0"/>
                  <w:vAlign w:val="center"/>
                </w:tcPr>
                <w:p w14:paraId="4A888AFF">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500-1000</w:t>
                  </w:r>
                </w:p>
              </w:tc>
              <w:tc>
                <w:tcPr>
                  <w:tcW w:w="1215" w:type="dxa"/>
                  <w:noWrap w:val="0"/>
                  <w:vAlign w:val="center"/>
                </w:tcPr>
                <w:p w14:paraId="5C49872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0.8%</w:t>
                  </w:r>
                </w:p>
              </w:tc>
              <w:tc>
                <w:tcPr>
                  <w:tcW w:w="1219" w:type="dxa"/>
                  <w:noWrap w:val="0"/>
                  <w:vAlign w:val="center"/>
                </w:tcPr>
                <w:p w14:paraId="6AD29A5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0.45%</w:t>
                  </w:r>
                </w:p>
              </w:tc>
              <w:tc>
                <w:tcPr>
                  <w:tcW w:w="1217" w:type="dxa"/>
                  <w:noWrap w:val="0"/>
                  <w:vAlign w:val="center"/>
                </w:tcPr>
                <w:p w14:paraId="1378FFEA">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0.55%</w:t>
                  </w:r>
                </w:p>
              </w:tc>
            </w:tr>
            <w:tr w14:paraId="4B47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28" w:type="dxa"/>
                  <w:noWrap w:val="0"/>
                  <w:vAlign w:val="center"/>
                </w:tcPr>
                <w:p w14:paraId="4BEBB58D">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1000-5000</w:t>
                  </w:r>
                </w:p>
              </w:tc>
              <w:tc>
                <w:tcPr>
                  <w:tcW w:w="1215" w:type="dxa"/>
                  <w:noWrap w:val="0"/>
                  <w:vAlign w:val="center"/>
                </w:tcPr>
                <w:p w14:paraId="5F7540F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w:t>
                  </w:r>
                </w:p>
              </w:tc>
              <w:tc>
                <w:tcPr>
                  <w:tcW w:w="1219" w:type="dxa"/>
                  <w:noWrap w:val="0"/>
                  <w:vAlign w:val="center"/>
                </w:tcPr>
                <w:p w14:paraId="1CA3740C">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0.25%</w:t>
                  </w:r>
                </w:p>
              </w:tc>
              <w:tc>
                <w:tcPr>
                  <w:tcW w:w="1217" w:type="dxa"/>
                  <w:noWrap w:val="0"/>
                  <w:vAlign w:val="center"/>
                </w:tcPr>
                <w:p w14:paraId="00DA6BF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0.35%</w:t>
                  </w:r>
                </w:p>
              </w:tc>
            </w:tr>
          </w:tbl>
          <w:p w14:paraId="221D83E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例工程类中标服务费计算公式如下</w:t>
            </w:r>
          </w:p>
          <w:p w14:paraId="6ED22EF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 万元×1.00%= 1 万元</w:t>
            </w:r>
          </w:p>
          <w:p w14:paraId="50DE02B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500- 100）万元×0.70%= 2.8万元</w:t>
            </w:r>
          </w:p>
          <w:p w14:paraId="2AADDB9C">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（1000- 500）万元×0.55%= 2.75万元</w:t>
            </w:r>
          </w:p>
          <w:p w14:paraId="70F2A2CC">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（5000-1000）万元×0.35%=14万元</w:t>
            </w:r>
          </w:p>
          <w:p w14:paraId="1581430B">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（6000-5000）万元×0.20%= 2万元</w:t>
            </w:r>
          </w:p>
          <w:p w14:paraId="469E1B61">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合计收费=1+2.8+2.75+14+2=22.55（万元）。</w:t>
            </w:r>
          </w:p>
          <w:p w14:paraId="0EA3C92E">
            <w:pPr>
              <w:spacing w:line="276" w:lineRule="auto"/>
              <w:jc w:val="lef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成交</w:t>
            </w:r>
            <w:r>
              <w:rPr>
                <w:rFonts w:hint="eastAsia" w:ascii="宋体" w:hAnsi="宋体" w:eastAsia="宋体" w:cs="宋体"/>
                <w:b/>
                <w:bCs/>
                <w:color w:val="auto"/>
                <w:sz w:val="24"/>
                <w:highlight w:val="none"/>
              </w:rPr>
              <w:t>供应商在领取中标通知书时，一次性付清服务费。</w:t>
            </w:r>
          </w:p>
        </w:tc>
      </w:tr>
      <w:tr w14:paraId="14B7363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8573E54">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p>
        </w:tc>
        <w:tc>
          <w:tcPr>
            <w:tcW w:w="2694" w:type="dxa"/>
            <w:noWrap/>
            <w:vAlign w:val="center"/>
          </w:tcPr>
          <w:p w14:paraId="6B99F85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合同签订时间期限</w:t>
            </w:r>
          </w:p>
        </w:tc>
        <w:tc>
          <w:tcPr>
            <w:tcW w:w="5807" w:type="dxa"/>
            <w:noWrap/>
            <w:vAlign w:val="center"/>
          </w:tcPr>
          <w:p w14:paraId="2C5B617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《成交通知书》发出后30天内，成交供应商应持《成交通知书》与采购人签订《政府采购合同》。</w:t>
            </w:r>
          </w:p>
        </w:tc>
      </w:tr>
      <w:tr w14:paraId="53B6136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5768D1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p>
        </w:tc>
        <w:tc>
          <w:tcPr>
            <w:tcW w:w="2694" w:type="dxa"/>
            <w:noWrap/>
            <w:vAlign w:val="center"/>
          </w:tcPr>
          <w:p w14:paraId="73A8564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5807" w:type="dxa"/>
            <w:noWrap/>
            <w:vAlign w:val="center"/>
          </w:tcPr>
          <w:p w14:paraId="2A3B5F07">
            <w:pPr>
              <w:numPr>
                <w:ilvl w:val="0"/>
                <w:numId w:val="3"/>
              </w:numPr>
              <w:adjustRightInd w:val="0"/>
              <w:snapToGrid w:val="0"/>
              <w:spacing w:line="276" w:lineRule="auto"/>
              <w:ind w:left="0" w:hanging="3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无</w:t>
            </w:r>
          </w:p>
        </w:tc>
      </w:tr>
      <w:tr w14:paraId="37E1102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7606E1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10.3.1</w:t>
            </w:r>
          </w:p>
        </w:tc>
        <w:tc>
          <w:tcPr>
            <w:tcW w:w="2694" w:type="dxa"/>
            <w:noWrap/>
            <w:vAlign w:val="center"/>
          </w:tcPr>
          <w:p w14:paraId="7763F42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合同款支付方式</w:t>
            </w:r>
          </w:p>
        </w:tc>
        <w:tc>
          <w:tcPr>
            <w:tcW w:w="5807" w:type="dxa"/>
            <w:noWrap/>
            <w:vAlign w:val="center"/>
          </w:tcPr>
          <w:p w14:paraId="44AD7D63">
            <w:pPr>
              <w:adjustRightInd w:val="0"/>
              <w:snapToGrid w:val="0"/>
              <w:spacing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签订合同时双方约定</w:t>
            </w:r>
          </w:p>
        </w:tc>
      </w:tr>
      <w:tr w14:paraId="397480C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CA92C6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10.3.2</w:t>
            </w:r>
          </w:p>
        </w:tc>
        <w:tc>
          <w:tcPr>
            <w:tcW w:w="2694" w:type="dxa"/>
            <w:noWrap/>
            <w:vAlign w:val="center"/>
          </w:tcPr>
          <w:p w14:paraId="62D98EE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w:t>
            </w:r>
          </w:p>
        </w:tc>
        <w:tc>
          <w:tcPr>
            <w:tcW w:w="5807" w:type="dxa"/>
            <w:noWrap/>
            <w:vAlign w:val="center"/>
          </w:tcPr>
          <w:p w14:paraId="6361E1B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14:paraId="409155D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2601E4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10.3.3</w:t>
            </w:r>
          </w:p>
        </w:tc>
        <w:tc>
          <w:tcPr>
            <w:tcW w:w="2694" w:type="dxa"/>
            <w:noWrap/>
            <w:vAlign w:val="center"/>
          </w:tcPr>
          <w:p w14:paraId="7D2BA92B">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施工用水电费</w:t>
            </w:r>
          </w:p>
        </w:tc>
        <w:tc>
          <w:tcPr>
            <w:tcW w:w="5807" w:type="dxa"/>
            <w:noWrap/>
            <w:vAlign w:val="center"/>
          </w:tcPr>
          <w:p w14:paraId="3F881D5F">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无</w:t>
            </w:r>
          </w:p>
        </w:tc>
      </w:tr>
      <w:tr w14:paraId="12F9E6C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6C01EE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p>
        </w:tc>
        <w:tc>
          <w:tcPr>
            <w:tcW w:w="2694" w:type="dxa"/>
            <w:noWrap/>
            <w:vAlign w:val="center"/>
          </w:tcPr>
          <w:p w14:paraId="1730F04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w:t>
            </w:r>
          </w:p>
        </w:tc>
        <w:tc>
          <w:tcPr>
            <w:tcW w:w="5807" w:type="dxa"/>
            <w:noWrap/>
            <w:vAlign w:val="center"/>
          </w:tcPr>
          <w:p w14:paraId="5A357F62">
            <w:pPr>
              <w:spacing w:line="276" w:lineRule="auto"/>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highlight w:val="none"/>
              </w:rPr>
              <w:t>无</w:t>
            </w:r>
          </w:p>
        </w:tc>
      </w:tr>
      <w:tr w14:paraId="4BC3F8B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7750DC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11.1.1</w:t>
            </w:r>
          </w:p>
        </w:tc>
        <w:tc>
          <w:tcPr>
            <w:tcW w:w="2694" w:type="dxa"/>
            <w:noWrap/>
            <w:vAlign w:val="center"/>
          </w:tcPr>
          <w:p w14:paraId="5DF38F07">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政府采购信用融资</w:t>
            </w:r>
          </w:p>
        </w:tc>
        <w:tc>
          <w:tcPr>
            <w:tcW w:w="5807" w:type="dxa"/>
            <w:noWrap/>
            <w:vAlign w:val="center"/>
          </w:tcPr>
          <w:p w14:paraId="14335014">
            <w:pPr>
              <w:keepNext w:val="0"/>
              <w:keepLines w:val="0"/>
              <w:pageBreakBefore w:val="0"/>
              <w:widowControl w:val="0"/>
              <w:kinsoku/>
              <w:wordWrap w:val="0"/>
              <w:overflowPunct/>
              <w:topLinePunct/>
              <w:autoSpaceDE/>
              <w:autoSpaceDN/>
              <w:bidi w:val="0"/>
              <w:adjustRightInd/>
              <w:snapToGrid/>
              <w:spacing w:line="276"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http://www.ccgp-shanxi.gov.cn/）政府采购融资平台栏目了解相关信息。</w:t>
            </w:r>
          </w:p>
        </w:tc>
      </w:tr>
      <w:tr w14:paraId="044E468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DEA20A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11.2.1</w:t>
            </w:r>
          </w:p>
        </w:tc>
        <w:tc>
          <w:tcPr>
            <w:tcW w:w="2694" w:type="dxa"/>
            <w:noWrap/>
            <w:vAlign w:val="center"/>
          </w:tcPr>
          <w:p w14:paraId="692E4B21">
            <w:pPr>
              <w:spacing w:line="276"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重要提醒</w:t>
            </w:r>
          </w:p>
        </w:tc>
        <w:tc>
          <w:tcPr>
            <w:tcW w:w="5807" w:type="dxa"/>
            <w:noWrap/>
            <w:vAlign w:val="center"/>
          </w:tcPr>
          <w:p w14:paraId="5DD33C76">
            <w:pPr>
              <w:spacing w:line="276"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磋商供应商</w:t>
            </w:r>
            <w:r>
              <w:rPr>
                <w:rFonts w:hint="eastAsia" w:ascii="宋体" w:hAnsi="宋体" w:eastAsia="宋体" w:cs="宋体"/>
                <w:b/>
                <w:bCs/>
                <w:color w:val="auto"/>
                <w:sz w:val="24"/>
                <w:highlight w:val="none"/>
              </w:rPr>
              <w:t>应仔细对照磋商须知条款阅读本表，如本表与须知内容就同一事项规定不一致的，以本表为准；</w:t>
            </w:r>
          </w:p>
          <w:p w14:paraId="1ADACD1C">
            <w:pPr>
              <w:spacing w:line="276"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磋商供应商</w:t>
            </w:r>
            <w:r>
              <w:rPr>
                <w:rFonts w:hint="eastAsia" w:ascii="宋体" w:hAnsi="宋体" w:eastAsia="宋体" w:cs="宋体"/>
                <w:b/>
                <w:bCs/>
                <w:color w:val="auto"/>
                <w:sz w:val="24"/>
                <w:highlight w:val="none"/>
              </w:rPr>
              <w:t>在编制磋商响应文件时应作出符合客观事实的真实响应，采购人不接受任何不符客观事实的“响应”或者“应标”，情节严重的可视为“提供虚假材料”行为，并参照“提供虚假材料”进行处理；</w:t>
            </w:r>
          </w:p>
          <w:p w14:paraId="10207A0A">
            <w:pPr>
              <w:spacing w:line="276"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（3）竞争性磋商文件中标注“★”的技术或商务条款均为实质性要求条款，不满足实质性要求条款的磋商响应无效；</w:t>
            </w:r>
          </w:p>
          <w:p w14:paraId="466883C3">
            <w:pPr>
              <w:spacing w:line="276" w:lineRule="auto"/>
              <w:jc w:val="left"/>
              <w:rPr>
                <w:rFonts w:hint="eastAsia" w:ascii="宋体" w:hAnsi="宋体" w:eastAsia="宋体" w:cs="宋体"/>
                <w:color w:val="auto"/>
                <w:highlight w:val="none"/>
              </w:rPr>
            </w:pPr>
            <w:r>
              <w:rPr>
                <w:rFonts w:hint="eastAsia" w:ascii="宋体" w:hAnsi="宋体" w:eastAsia="宋体" w:cs="宋体"/>
                <w:b/>
                <w:bCs/>
                <w:color w:val="auto"/>
                <w:sz w:val="24"/>
                <w:highlight w:val="none"/>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tc>
      </w:tr>
      <w:tr w14:paraId="0A3DCB8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tcBorders>
              <w:bottom w:val="thickThinSmallGap" w:color="0070C0" w:sz="12" w:space="0"/>
            </w:tcBorders>
            <w:noWrap/>
            <w:vAlign w:val="center"/>
          </w:tcPr>
          <w:p w14:paraId="078E1D3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11.3.1</w:t>
            </w:r>
          </w:p>
        </w:tc>
        <w:tc>
          <w:tcPr>
            <w:tcW w:w="2694" w:type="dxa"/>
            <w:tcBorders>
              <w:bottom w:val="thickThinSmallGap" w:color="0070C0" w:sz="12" w:space="0"/>
            </w:tcBorders>
            <w:noWrap/>
            <w:vAlign w:val="center"/>
          </w:tcPr>
          <w:p w14:paraId="4E9B0B16">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竞争性磋商文件解释权</w:t>
            </w:r>
          </w:p>
        </w:tc>
        <w:tc>
          <w:tcPr>
            <w:tcW w:w="5807" w:type="dxa"/>
            <w:tcBorders>
              <w:bottom w:val="thickThinSmallGap" w:color="0070C0" w:sz="12" w:space="0"/>
            </w:tcBorders>
            <w:noWrap/>
            <w:vAlign w:val="center"/>
          </w:tcPr>
          <w:p w14:paraId="0A997D7C">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本文件的解释权属于</w:t>
            </w:r>
            <w:r>
              <w:rPr>
                <w:rFonts w:hint="eastAsia" w:ascii="宋体" w:hAnsi="宋体" w:cs="宋体"/>
                <w:bCs/>
                <w:color w:val="auto"/>
                <w:sz w:val="24"/>
                <w:highlight w:val="none"/>
                <w:lang w:eastAsia="zh-CN"/>
              </w:rPr>
              <w:t>山西新昱工程项目管理有限公司</w:t>
            </w:r>
            <w:r>
              <w:rPr>
                <w:rFonts w:hint="eastAsia" w:ascii="宋体" w:hAnsi="宋体" w:eastAsia="宋体" w:cs="宋体"/>
                <w:bCs/>
                <w:color w:val="auto"/>
                <w:sz w:val="24"/>
                <w:highlight w:val="none"/>
              </w:rPr>
              <w:t>所有。</w:t>
            </w:r>
          </w:p>
        </w:tc>
      </w:tr>
    </w:tbl>
    <w:p w14:paraId="398F094F">
      <w:pPr>
        <w:pStyle w:val="3"/>
        <w:jc w:val="left"/>
        <w:rPr>
          <w:rFonts w:hint="eastAsia" w:ascii="宋体" w:hAnsi="宋体" w:eastAsia="宋体" w:cs="宋体"/>
          <w:color w:val="auto"/>
          <w:sz w:val="28"/>
          <w:szCs w:val="28"/>
        </w:rPr>
      </w:pPr>
      <w:r>
        <w:rPr>
          <w:rFonts w:hint="eastAsia" w:ascii="宋体" w:hAnsi="宋体" w:eastAsia="宋体" w:cs="宋体"/>
          <w:color w:val="auto"/>
        </w:rPr>
        <w:br w:type="page"/>
      </w:r>
      <w:bookmarkEnd w:id="6"/>
      <w:bookmarkEnd w:id="7"/>
      <w:bookmarkEnd w:id="8"/>
      <w:bookmarkStart w:id="13" w:name="_Toc82338239"/>
      <w:bookmarkStart w:id="14" w:name="_Toc82873322"/>
      <w:bookmarkStart w:id="15" w:name="_Toc15936"/>
      <w:bookmarkStart w:id="16" w:name="_Toc81341318"/>
      <w:r>
        <w:rPr>
          <w:rFonts w:hint="eastAsia" w:ascii="宋体" w:hAnsi="宋体" w:eastAsia="宋体" w:cs="宋体"/>
          <w:color w:val="auto"/>
          <w:sz w:val="28"/>
          <w:szCs w:val="28"/>
        </w:rPr>
        <w:t>一、</w:t>
      </w:r>
      <w:bookmarkEnd w:id="13"/>
      <w:bookmarkEnd w:id="14"/>
      <w:r>
        <w:rPr>
          <w:rFonts w:hint="eastAsia" w:ascii="宋体" w:hAnsi="宋体" w:eastAsia="宋体" w:cs="宋体"/>
          <w:color w:val="auto"/>
          <w:sz w:val="28"/>
          <w:szCs w:val="28"/>
        </w:rPr>
        <w:t>总则</w:t>
      </w:r>
      <w:bookmarkEnd w:id="15"/>
      <w:bookmarkEnd w:id="16"/>
    </w:p>
    <w:p w14:paraId="0FF4CDA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17" w:name="_Toc82873323"/>
      <w:bookmarkStart w:id="18" w:name="_Toc82338240"/>
      <w:r>
        <w:rPr>
          <w:rFonts w:hint="eastAsia" w:ascii="宋体" w:hAnsi="宋体" w:eastAsia="宋体" w:cs="宋体"/>
          <w:b/>
          <w:bCs/>
          <w:color w:val="auto"/>
          <w:sz w:val="24"/>
          <w:szCs w:val="32"/>
        </w:rPr>
        <w:t>1.1、实施依据及适用范围</w:t>
      </w:r>
    </w:p>
    <w:p w14:paraId="03896416">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kern w:val="0"/>
          <w:sz w:val="24"/>
          <w:szCs w:val="20"/>
        </w:rPr>
        <w:t>1.1.1实施依据：本次采购工作按照《中华人民共和国政府采购法》、《中华人民共和国政府采购法实施条例》、财政部关于印发《政府采购竞争性磋商采购方式管理暂行办法》的通知（财库[2014]214号）等政府采购有关法律、法规、规章、文件的规定组织和实施；</w:t>
      </w:r>
    </w:p>
    <w:p w14:paraId="1D6DBB5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1.1.2本竞争性磋商文件适用于本项目的采购、响应、磋商、评标、定标、验收、合同履约、付款等（法律、法规另有规定的，从其规定）。</w:t>
      </w:r>
    </w:p>
    <w:p w14:paraId="4C670BA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1.2 项目基本信息</w:t>
      </w:r>
    </w:p>
    <w:p w14:paraId="595AE93C">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1.2.1项目名称：</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4D200D88">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1.2.2项目编号：</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3C239836">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1.2.3采购内容：</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7994BAAB">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1.2.4最高限价：</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18F4EC16">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1.2.5资金落实情况：</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5D1DC24C">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1.2.6采购人：</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5FB084AC">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1.2.7</w:t>
      </w:r>
      <w:r>
        <w:rPr>
          <w:rFonts w:hint="eastAsia" w:ascii="宋体" w:hAnsi="宋体" w:eastAsia="宋体" w:cs="宋体"/>
          <w:b/>
          <w:color w:val="auto"/>
          <w:sz w:val="24"/>
          <w:szCs w:val="20"/>
          <w:lang w:eastAsia="zh-CN"/>
        </w:rPr>
        <w:t>采购代理机构</w:t>
      </w:r>
      <w:r>
        <w:rPr>
          <w:rFonts w:hint="eastAsia" w:ascii="宋体" w:hAnsi="宋体" w:eastAsia="宋体" w:cs="宋体"/>
          <w:b/>
          <w:color w:val="auto"/>
          <w:sz w:val="24"/>
          <w:szCs w:val="20"/>
        </w:rPr>
        <w:t>：</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43F4CB76">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1.2.8交易方式：</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0E2DACEE">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1.2.9电子交易平台：</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285095B1">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1.2.10工期：</w:t>
      </w:r>
      <w:r>
        <w:rPr>
          <w:rFonts w:hint="eastAsia" w:ascii="宋体" w:hAnsi="宋体" w:eastAsia="宋体" w:cs="宋体"/>
          <w:b/>
          <w:color w:val="auto"/>
          <w:sz w:val="24"/>
          <w:szCs w:val="20"/>
          <w:u w:val="single"/>
        </w:rPr>
        <w:t>见《磋商须知前附表》。</w:t>
      </w:r>
    </w:p>
    <w:p w14:paraId="5E3B420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1.3 采购方式和采购组织类型</w:t>
      </w:r>
    </w:p>
    <w:p w14:paraId="4A686289">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1.3.1采购方式：</w:t>
      </w:r>
      <w:r>
        <w:rPr>
          <w:rFonts w:hint="eastAsia" w:ascii="宋体" w:hAnsi="宋体" w:eastAsia="宋体" w:cs="宋体"/>
          <w:b/>
          <w:color w:val="auto"/>
          <w:kern w:val="0"/>
          <w:sz w:val="24"/>
          <w:szCs w:val="20"/>
          <w:u w:val="single"/>
        </w:rPr>
        <w:t>见《磋商须知前附表》</w:t>
      </w:r>
      <w:r>
        <w:rPr>
          <w:rFonts w:hint="eastAsia" w:ascii="宋体" w:hAnsi="宋体" w:eastAsia="宋体" w:cs="宋体"/>
          <w:color w:val="auto"/>
          <w:sz w:val="24"/>
          <w:szCs w:val="20"/>
        </w:rPr>
        <w:t>；</w:t>
      </w:r>
    </w:p>
    <w:p w14:paraId="5586F791">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1.3.2采购组织类型：</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3B247A4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1.4 合格供应商资格要求</w:t>
      </w:r>
    </w:p>
    <w:p w14:paraId="794FAEA0">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1.4.1合格供应商“基本资格”要求：</w:t>
      </w:r>
      <w:r>
        <w:rPr>
          <w:rFonts w:hint="eastAsia" w:ascii="宋体" w:hAnsi="宋体" w:eastAsia="宋体" w:cs="宋体"/>
          <w:b/>
          <w:color w:val="auto"/>
          <w:kern w:val="0"/>
          <w:sz w:val="24"/>
          <w:szCs w:val="20"/>
          <w:u w:val="single"/>
        </w:rPr>
        <w:t>见《第一章 竞争性磋商公告》</w:t>
      </w:r>
      <w:r>
        <w:rPr>
          <w:rFonts w:hint="eastAsia" w:ascii="宋体" w:hAnsi="宋体" w:eastAsia="宋体" w:cs="宋体"/>
          <w:color w:val="auto"/>
          <w:kern w:val="0"/>
          <w:sz w:val="24"/>
          <w:szCs w:val="20"/>
        </w:rPr>
        <w:t>；</w:t>
      </w:r>
    </w:p>
    <w:p w14:paraId="49CA3AF6">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1.4.2合格供应商“特定资格”要求：</w:t>
      </w:r>
      <w:r>
        <w:rPr>
          <w:rFonts w:hint="eastAsia" w:ascii="宋体" w:hAnsi="宋体" w:eastAsia="宋体" w:cs="宋体"/>
          <w:b/>
          <w:color w:val="auto"/>
          <w:kern w:val="0"/>
          <w:sz w:val="24"/>
          <w:szCs w:val="20"/>
          <w:u w:val="single"/>
        </w:rPr>
        <w:t>见《第一章 竞争性磋商公告》</w:t>
      </w:r>
      <w:r>
        <w:rPr>
          <w:rFonts w:hint="eastAsia" w:ascii="宋体" w:hAnsi="宋体" w:eastAsia="宋体" w:cs="宋体"/>
          <w:color w:val="auto"/>
          <w:kern w:val="0"/>
          <w:sz w:val="24"/>
          <w:szCs w:val="20"/>
        </w:rPr>
        <w:t>。</w:t>
      </w:r>
    </w:p>
    <w:p w14:paraId="0CE9D7E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1.5 定义</w:t>
      </w:r>
    </w:p>
    <w:p w14:paraId="27033314">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1.5.1“采购人”：</w:t>
      </w:r>
      <w:r>
        <w:rPr>
          <w:rFonts w:hint="eastAsia" w:ascii="宋体" w:hAnsi="宋体" w:eastAsia="宋体" w:cs="宋体"/>
          <w:color w:val="auto"/>
          <w:sz w:val="24"/>
          <w:szCs w:val="20"/>
        </w:rPr>
        <w:t>是</w:t>
      </w:r>
      <w:r>
        <w:rPr>
          <w:rFonts w:hint="eastAsia" w:ascii="宋体" w:hAnsi="宋体" w:eastAsia="宋体" w:cs="宋体"/>
          <w:color w:val="auto"/>
          <w:kern w:val="0"/>
          <w:sz w:val="24"/>
          <w:szCs w:val="20"/>
        </w:rPr>
        <w:t>指依法进行政府采购的国家机关、事业单位、团体组织，即政府采购合同中的“甲方”；</w:t>
      </w:r>
    </w:p>
    <w:p w14:paraId="36835496">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1.5.2“</w:t>
      </w:r>
      <w:r>
        <w:rPr>
          <w:rFonts w:hint="eastAsia" w:ascii="宋体" w:hAnsi="宋体" w:eastAsia="宋体" w:cs="宋体"/>
          <w:b/>
          <w:color w:val="auto"/>
          <w:kern w:val="0"/>
          <w:sz w:val="24"/>
          <w:szCs w:val="20"/>
          <w:lang w:eastAsia="zh-CN"/>
        </w:rPr>
        <w:t>采购代理机构</w:t>
      </w:r>
      <w:r>
        <w:rPr>
          <w:rFonts w:hint="eastAsia" w:ascii="宋体" w:hAnsi="宋体" w:eastAsia="宋体" w:cs="宋体"/>
          <w:b/>
          <w:color w:val="auto"/>
          <w:kern w:val="0"/>
          <w:sz w:val="24"/>
          <w:szCs w:val="20"/>
        </w:rPr>
        <w:t>”：</w:t>
      </w:r>
      <w:r>
        <w:rPr>
          <w:rFonts w:hint="eastAsia" w:ascii="宋体" w:hAnsi="宋体" w:eastAsia="宋体" w:cs="宋体"/>
          <w:color w:val="auto"/>
          <w:sz w:val="24"/>
          <w:szCs w:val="20"/>
        </w:rPr>
        <w:t>是</w:t>
      </w:r>
      <w:r>
        <w:rPr>
          <w:rFonts w:hint="eastAsia" w:ascii="宋体" w:hAnsi="宋体" w:eastAsia="宋体" w:cs="宋体"/>
          <w:color w:val="auto"/>
          <w:kern w:val="0"/>
          <w:sz w:val="24"/>
          <w:szCs w:val="20"/>
        </w:rPr>
        <w:t>指受采购人委托，在委托的范围内办理采购事宜的机构；</w:t>
      </w:r>
    </w:p>
    <w:p w14:paraId="0BBF34B7">
      <w:pPr>
        <w:spacing w:line="360" w:lineRule="auto"/>
        <w:ind w:firstLine="426" w:firstLineChars="177"/>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1.5.3“采购组织机构”：</w:t>
      </w:r>
      <w:r>
        <w:rPr>
          <w:rFonts w:hint="eastAsia" w:ascii="宋体" w:hAnsi="宋体" w:eastAsia="宋体" w:cs="宋体"/>
          <w:color w:val="auto"/>
          <w:sz w:val="24"/>
          <w:szCs w:val="20"/>
          <w:highlight w:val="none"/>
        </w:rPr>
        <w:t>是</w:t>
      </w:r>
      <w:r>
        <w:rPr>
          <w:rFonts w:hint="eastAsia" w:ascii="宋体" w:hAnsi="宋体" w:eastAsia="宋体" w:cs="宋体"/>
          <w:color w:val="auto"/>
          <w:kern w:val="0"/>
          <w:sz w:val="24"/>
          <w:szCs w:val="20"/>
          <w:highlight w:val="none"/>
        </w:rPr>
        <w:t>指采购人和受采购人委托的</w:t>
      </w:r>
      <w:r>
        <w:rPr>
          <w:rFonts w:hint="eastAsia" w:ascii="宋体" w:hAnsi="宋体" w:eastAsia="宋体" w:cs="宋体"/>
          <w:color w:val="auto"/>
          <w:kern w:val="0"/>
          <w:sz w:val="24"/>
          <w:szCs w:val="20"/>
          <w:highlight w:val="none"/>
          <w:lang w:eastAsia="zh-CN"/>
        </w:rPr>
        <w:t>采购代理机构</w:t>
      </w:r>
      <w:r>
        <w:rPr>
          <w:rFonts w:hint="eastAsia" w:ascii="宋体" w:hAnsi="宋体" w:eastAsia="宋体" w:cs="宋体"/>
          <w:color w:val="auto"/>
          <w:kern w:val="0"/>
          <w:sz w:val="24"/>
          <w:szCs w:val="20"/>
          <w:highlight w:val="none"/>
        </w:rPr>
        <w:t>；</w:t>
      </w:r>
    </w:p>
    <w:p w14:paraId="3CF03CC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highlight w:val="none"/>
        </w:rPr>
        <w:t>1.5.4“</w:t>
      </w:r>
      <w:r>
        <w:rPr>
          <w:rFonts w:hint="eastAsia" w:ascii="宋体" w:hAnsi="宋体" w:eastAsia="宋体" w:cs="宋体"/>
          <w:b/>
          <w:color w:val="auto"/>
          <w:kern w:val="0"/>
          <w:sz w:val="24"/>
          <w:szCs w:val="20"/>
          <w:highlight w:val="none"/>
          <w:lang w:eastAsia="zh-CN"/>
        </w:rPr>
        <w:t>磋商供应商</w:t>
      </w:r>
      <w:r>
        <w:rPr>
          <w:rFonts w:hint="eastAsia" w:ascii="宋体" w:hAnsi="宋体" w:eastAsia="宋体" w:cs="宋体"/>
          <w:b/>
          <w:color w:val="auto"/>
          <w:kern w:val="0"/>
          <w:sz w:val="24"/>
          <w:szCs w:val="20"/>
          <w:highlight w:val="none"/>
        </w:rPr>
        <w:t>”（或供应商）：</w:t>
      </w:r>
      <w:r>
        <w:rPr>
          <w:rFonts w:hint="eastAsia" w:ascii="宋体" w:hAnsi="宋体" w:eastAsia="宋体" w:cs="宋体"/>
          <w:color w:val="auto"/>
          <w:sz w:val="24"/>
          <w:szCs w:val="20"/>
          <w:highlight w:val="none"/>
        </w:rPr>
        <w:t>是</w:t>
      </w:r>
      <w:r>
        <w:rPr>
          <w:rFonts w:hint="eastAsia" w:ascii="宋体" w:hAnsi="宋体" w:eastAsia="宋体" w:cs="宋体"/>
          <w:color w:val="auto"/>
          <w:kern w:val="0"/>
          <w:sz w:val="24"/>
          <w:szCs w:val="20"/>
        </w:rPr>
        <w:t>指响应采购、参加投标竞争的法人、其他组织或者自然人；</w:t>
      </w:r>
    </w:p>
    <w:p w14:paraId="3EDDEC20">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1.5.5“</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代表”：</w:t>
      </w:r>
      <w:r>
        <w:rPr>
          <w:rFonts w:hint="eastAsia" w:ascii="宋体" w:hAnsi="宋体" w:eastAsia="宋体" w:cs="宋体"/>
          <w:color w:val="auto"/>
          <w:sz w:val="24"/>
          <w:szCs w:val="20"/>
        </w:rPr>
        <w:t>是指参加本项目磋商活动的</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的法定代表人或法定代表人授权代表；</w:t>
      </w:r>
    </w:p>
    <w:p w14:paraId="453E8562">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1.5.6“</w:t>
      </w:r>
      <w:r>
        <w:rPr>
          <w:rFonts w:hint="eastAsia" w:ascii="宋体" w:hAnsi="宋体" w:eastAsia="宋体" w:cs="宋体"/>
          <w:b/>
          <w:color w:val="auto"/>
          <w:sz w:val="24"/>
          <w:szCs w:val="20"/>
        </w:rPr>
        <w:t>磋商联合体</w:t>
      </w:r>
      <w:r>
        <w:rPr>
          <w:rFonts w:hint="eastAsia" w:ascii="宋体" w:hAnsi="宋体" w:eastAsia="宋体" w:cs="宋体"/>
          <w:b/>
          <w:color w:val="auto"/>
          <w:kern w:val="0"/>
          <w:sz w:val="24"/>
          <w:szCs w:val="20"/>
        </w:rPr>
        <w:t>”</w:t>
      </w:r>
      <w:r>
        <w:rPr>
          <w:rFonts w:hint="eastAsia" w:ascii="宋体" w:hAnsi="宋体" w:eastAsia="宋体" w:cs="宋体"/>
          <w:b/>
          <w:color w:val="auto"/>
          <w:sz w:val="24"/>
          <w:szCs w:val="20"/>
        </w:rPr>
        <w:t>：</w:t>
      </w:r>
      <w:r>
        <w:rPr>
          <w:rFonts w:hint="eastAsia" w:ascii="宋体" w:hAnsi="宋体" w:eastAsia="宋体" w:cs="宋体"/>
          <w:color w:val="auto"/>
          <w:sz w:val="24"/>
          <w:szCs w:val="20"/>
        </w:rPr>
        <w:t>是指两个或以上供应商组成联合体，以一个</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的身份参加磋商响应；</w:t>
      </w:r>
    </w:p>
    <w:p w14:paraId="774EEEA9">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1.5.7“成交供应商”：</w:t>
      </w:r>
      <w:r>
        <w:rPr>
          <w:rFonts w:hint="eastAsia" w:ascii="宋体" w:hAnsi="宋体" w:eastAsia="宋体" w:cs="宋体"/>
          <w:color w:val="auto"/>
          <w:kern w:val="0"/>
          <w:sz w:val="24"/>
          <w:szCs w:val="20"/>
        </w:rPr>
        <w:t>是指经磋商小组推荐并经采购人确认的成交单位，</w:t>
      </w:r>
      <w:r>
        <w:rPr>
          <w:rFonts w:hint="eastAsia" w:ascii="宋体" w:hAnsi="宋体" w:eastAsia="宋体" w:cs="宋体"/>
          <w:b/>
          <w:color w:val="auto"/>
          <w:kern w:val="0"/>
          <w:sz w:val="24"/>
          <w:szCs w:val="20"/>
        </w:rPr>
        <w:t>即政府采购合同中的“乙方”</w:t>
      </w:r>
      <w:r>
        <w:rPr>
          <w:rFonts w:hint="eastAsia" w:ascii="宋体" w:hAnsi="宋体" w:eastAsia="宋体" w:cs="宋体"/>
          <w:color w:val="auto"/>
          <w:kern w:val="0"/>
          <w:sz w:val="24"/>
          <w:szCs w:val="20"/>
        </w:rPr>
        <w:t>；</w:t>
      </w:r>
    </w:p>
    <w:p w14:paraId="0BF70F9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1.5.8“同级政府采购监督管理部门”：</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75BFF9A1">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bCs/>
          <w:color w:val="auto"/>
          <w:sz w:val="24"/>
          <w:szCs w:val="20"/>
        </w:rPr>
        <w:t>1.5.9“中小企业（含中型、小型、微型）”：</w:t>
      </w:r>
      <w:r>
        <w:rPr>
          <w:rFonts w:hint="eastAsia" w:ascii="宋体" w:hAnsi="宋体" w:eastAsia="宋体" w:cs="宋体"/>
          <w:color w:val="auto"/>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26F503E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符合中小企业划分标准的个体工商户，在政府采购活动中视同中小企业。</w:t>
      </w:r>
    </w:p>
    <w:p w14:paraId="2CE2EB6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1.5.10“监狱企业”：</w:t>
      </w:r>
      <w:r>
        <w:rPr>
          <w:rFonts w:hint="eastAsia" w:ascii="宋体" w:hAnsi="宋体" w:eastAsia="宋体" w:cs="宋体"/>
          <w:color w:val="auto"/>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AF308C">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1.5.11“残疾人福利性单位”：</w:t>
      </w:r>
      <w:r>
        <w:rPr>
          <w:rFonts w:hint="eastAsia" w:ascii="宋体" w:hAnsi="宋体" w:eastAsia="宋体" w:cs="宋体"/>
          <w:color w:val="auto"/>
          <w:kern w:val="0"/>
          <w:sz w:val="24"/>
          <w:szCs w:val="20"/>
        </w:rPr>
        <w:t>是指符合《财政部 民政部 中国残疾人联合会关于促进残疾人就业政府采购政策的通知》（财库〔2017〕141号）的规定单位；</w:t>
      </w:r>
    </w:p>
    <w:p w14:paraId="755698C6">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1.5.12“项目”：</w:t>
      </w:r>
      <w:r>
        <w:rPr>
          <w:rFonts w:hint="eastAsia" w:ascii="宋体" w:hAnsi="宋体" w:eastAsia="宋体" w:cs="宋体"/>
          <w:color w:val="auto"/>
          <w:kern w:val="0"/>
          <w:sz w:val="24"/>
          <w:szCs w:val="20"/>
        </w:rPr>
        <w:t>是指</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按竞争性磋商文件规定向采购人提供的货物或服务或工程；</w:t>
      </w:r>
    </w:p>
    <w:p w14:paraId="5B03715E">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1.5.13“书面形式”：</w:t>
      </w:r>
      <w:r>
        <w:rPr>
          <w:rFonts w:hint="eastAsia" w:ascii="宋体" w:hAnsi="宋体" w:eastAsia="宋体" w:cs="宋体"/>
          <w:color w:val="auto"/>
          <w:kern w:val="0"/>
          <w:sz w:val="24"/>
          <w:szCs w:val="20"/>
        </w:rPr>
        <w:t>是指加盖有单位公章的信函、传真、电子扫描件等；</w:t>
      </w:r>
    </w:p>
    <w:p w14:paraId="0BC700D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1.5.14“个人有效身份证明”：</w:t>
      </w:r>
      <w:r>
        <w:rPr>
          <w:rFonts w:hint="eastAsia" w:ascii="宋体" w:hAnsi="宋体" w:eastAsia="宋体" w:cs="宋体"/>
          <w:color w:val="auto"/>
          <w:kern w:val="0"/>
          <w:sz w:val="24"/>
          <w:szCs w:val="20"/>
        </w:rPr>
        <w:t>是指有效的居民身份证、临时居民身份证、护照、驾驶证等，有期限规定的证件在有效期内方为有效；</w:t>
      </w:r>
    </w:p>
    <w:p w14:paraId="362A94E0">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1.5.15“制造商”：</w:t>
      </w:r>
      <w:r>
        <w:rPr>
          <w:rFonts w:hint="eastAsia" w:ascii="宋体" w:hAnsi="宋体" w:eastAsia="宋体" w:cs="宋体"/>
          <w:color w:val="auto"/>
          <w:kern w:val="0"/>
          <w:sz w:val="24"/>
          <w:szCs w:val="20"/>
        </w:rPr>
        <w:t>是指拥有投标产品自主知识产权的单位；</w:t>
      </w:r>
    </w:p>
    <w:p w14:paraId="7CCEC5E9">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1.5.16“竞争性磋商文件（或磋商文件或采购文件）”：</w:t>
      </w:r>
      <w:r>
        <w:rPr>
          <w:rFonts w:hint="eastAsia" w:ascii="宋体" w:hAnsi="宋体" w:eastAsia="宋体" w:cs="宋体"/>
          <w:color w:val="auto"/>
          <w:kern w:val="0"/>
          <w:sz w:val="24"/>
          <w:szCs w:val="20"/>
        </w:rPr>
        <w:t>是指本文件；</w:t>
      </w:r>
    </w:p>
    <w:p w14:paraId="567022A6">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1.5.17“进口产品”：</w:t>
      </w:r>
      <w:r>
        <w:rPr>
          <w:rFonts w:hint="eastAsia" w:ascii="宋体" w:hAnsi="宋体" w:eastAsia="宋体" w:cs="宋体"/>
          <w:color w:val="auto"/>
          <w:kern w:val="0"/>
          <w:sz w:val="24"/>
          <w:szCs w:val="20"/>
        </w:rPr>
        <w:t>是指通过中国海关报关验放进入中国境内且产自关境外的产品；</w:t>
      </w:r>
    </w:p>
    <w:p w14:paraId="2D5F57E8">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1.5.18“实质性条款（或要求）”：</w:t>
      </w:r>
      <w:r>
        <w:rPr>
          <w:rFonts w:hint="eastAsia" w:ascii="宋体" w:hAnsi="宋体" w:eastAsia="宋体" w:cs="宋体"/>
          <w:b/>
          <w:color w:val="auto"/>
          <w:kern w:val="0"/>
          <w:sz w:val="24"/>
          <w:szCs w:val="20"/>
          <w:u w:val="single"/>
        </w:rPr>
        <w:t>是指本文件《第三章 采购内容及技术要求》中标注“★”号的技术或商务条款（或要求），供应商磋商响应时应对所有“实质性条款（或要求）”作出实质性响应，且不得出现负偏离，否则磋商响应无效</w:t>
      </w:r>
      <w:r>
        <w:rPr>
          <w:rFonts w:hint="eastAsia" w:ascii="宋体" w:hAnsi="宋体" w:eastAsia="宋体" w:cs="宋体"/>
          <w:b/>
          <w:color w:val="auto"/>
          <w:kern w:val="0"/>
          <w:sz w:val="24"/>
          <w:szCs w:val="20"/>
        </w:rPr>
        <w:t>；</w:t>
      </w:r>
    </w:p>
    <w:p w14:paraId="287E8437">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1.5.19“活页装订”：</w:t>
      </w:r>
      <w:r>
        <w:rPr>
          <w:rFonts w:hint="eastAsia" w:ascii="宋体" w:hAnsi="宋体" w:eastAsia="宋体" w:cs="宋体"/>
          <w:color w:val="auto"/>
          <w:kern w:val="0"/>
          <w:sz w:val="24"/>
          <w:szCs w:val="20"/>
        </w:rPr>
        <w:t>是指不借助工具的情况下就随时可以拆卸替换复原或翻阅时容易自行脱落的装订方式。</w:t>
      </w:r>
    </w:p>
    <w:p w14:paraId="44768B87">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1.5.20“重大偏离”或“保留”：</w:t>
      </w:r>
      <w:r>
        <w:rPr>
          <w:rFonts w:hint="eastAsia" w:ascii="宋体" w:hAnsi="宋体" w:eastAsia="宋体" w:cs="宋体"/>
          <w:color w:val="auto"/>
          <w:sz w:val="24"/>
          <w:szCs w:val="20"/>
        </w:rPr>
        <w:t>是指将会影响到磋商文件规定的服务范围、质量标准，或会给合同中规定的采购人的权利和</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的责任造成实质性限制，而纠正这些偏离或保留将对其他递交了实质性响应的磋商响应文件的</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产生不公平影响的。</w:t>
      </w:r>
    </w:p>
    <w:p w14:paraId="767501A8">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sz w:val="24"/>
          <w:szCs w:val="20"/>
        </w:rPr>
        <w:t>1.5.21“细微偏离”</w:t>
      </w:r>
      <w:r>
        <w:rPr>
          <w:rFonts w:hint="eastAsia" w:ascii="宋体" w:hAnsi="宋体" w:eastAsia="宋体" w:cs="宋体"/>
          <w:color w:val="auto"/>
          <w:sz w:val="24"/>
          <w:szCs w:val="20"/>
        </w:rPr>
        <w:t>：是指磋商响应文件对磋商文件的非实质性内容存在不完全响应或不响应。</w:t>
      </w:r>
    </w:p>
    <w:p w14:paraId="150FB69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1.6 磋商响应委托</w:t>
      </w:r>
    </w:p>
    <w:p w14:paraId="03145410">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法定代表人可以授权其单位的其他在职员工全权代表其处理与本次磋商有关的事项，但其授权代表必须持有法定代表人出具的《法定代表人授权委托书》（格式见第五章磋商响应文件格式），《法定代表人授权委托书》</w:t>
      </w:r>
      <w:r>
        <w:rPr>
          <w:rFonts w:hint="eastAsia" w:ascii="宋体" w:hAnsi="宋体" w:eastAsia="宋体" w:cs="宋体"/>
          <w:b/>
          <w:color w:val="auto"/>
          <w:sz w:val="24"/>
          <w:szCs w:val="20"/>
        </w:rPr>
        <w:t>必须经法定代表人签字（或盖章），否则视为无效授权（等同未提供）。</w:t>
      </w:r>
    </w:p>
    <w:p w14:paraId="26B83166">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1.7是否接受联合体磋商响应：</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5924AAC6">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1.7.</w:t>
      </w:r>
      <w:r>
        <w:rPr>
          <w:rFonts w:hint="eastAsia" w:ascii="宋体" w:hAnsi="宋体" w:cs="宋体"/>
          <w:color w:val="auto"/>
          <w:kern w:val="0"/>
          <w:sz w:val="24"/>
          <w:szCs w:val="20"/>
          <w:lang w:val="en-US" w:eastAsia="zh-CN"/>
        </w:rPr>
        <w:t>1</w:t>
      </w:r>
      <w:r>
        <w:rPr>
          <w:rFonts w:hint="eastAsia" w:ascii="宋体" w:hAnsi="宋体" w:eastAsia="宋体" w:cs="宋体"/>
          <w:color w:val="auto"/>
          <w:kern w:val="0"/>
          <w:sz w:val="24"/>
          <w:szCs w:val="20"/>
        </w:rPr>
        <w:t>《磋商须知前附表》规定接受联合体磋商的，参加磋商的联合体应遵守以下规定：</w:t>
      </w:r>
    </w:p>
    <w:p w14:paraId="490AD95C">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（1）两个或以上供应商可以组成一个联合体，以一个</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的身份共同参加磋商；</w:t>
      </w:r>
    </w:p>
    <w:p w14:paraId="04A22FFB">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14:paraId="2513ADB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2E026006">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2BB251FA">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（5）联合体各方签订《联合投标协议书》后，不得再以自己名义单独在本项目中参加磋商，也不得组成新的联合体参加本项目磋商；</w:t>
      </w:r>
    </w:p>
    <w:p w14:paraId="6015890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（6）联合体各方共同与采购人签订采购合同，就采购合同约定的事项对采购人承担连带责任；</w:t>
      </w:r>
    </w:p>
    <w:p w14:paraId="34D84178">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（7）联合体磋商响应文件应由主办人按规定进行签章；</w:t>
      </w:r>
    </w:p>
    <w:p w14:paraId="1CF2D63D">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（8）采购代理服务费可由主办人一方缴纳，也可以由联合体各方共同缴纳（具体缴纳金额须在《联合投标协议书》中明确）。</w:t>
      </w:r>
    </w:p>
    <w:p w14:paraId="11AB2D3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1.8 进口产品磋商响应</w:t>
      </w:r>
    </w:p>
    <w:p w14:paraId="2B464E1E">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1.8.1是否允许进口产品磋商响应：</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545BB4B1">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1.8.2</w:t>
      </w:r>
      <w:r>
        <w:rPr>
          <w:rFonts w:hint="eastAsia" w:ascii="宋体" w:hAnsi="宋体" w:eastAsia="宋体" w:cs="宋体"/>
          <w:b/>
          <w:color w:val="auto"/>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eastAsia="宋体" w:cs="宋体"/>
          <w:b/>
          <w:color w:val="auto"/>
          <w:kern w:val="0"/>
          <w:sz w:val="24"/>
          <w:szCs w:val="20"/>
        </w:rPr>
        <w:t>。</w:t>
      </w:r>
    </w:p>
    <w:p w14:paraId="0C6EFF8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1.9 磋商费用</w:t>
      </w:r>
    </w:p>
    <w:p w14:paraId="2ECA4341">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1.9.1不论磋商结果如何，</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均应自行承担所有与投标有关的全部费用，采购组织机构概不负责；</w:t>
      </w:r>
    </w:p>
    <w:p w14:paraId="6A425A4A">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1.9.2合同实施过程中，成交供应商须与采购人积极配合。成交供应商自行承担本次采购活动中所发生的全部费用。</w:t>
      </w:r>
    </w:p>
    <w:p w14:paraId="4C1F5C8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1.10 语言文字及计量单位</w:t>
      </w:r>
    </w:p>
    <w:p w14:paraId="7FAA15F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1.10.1语言文字：</w:t>
      </w:r>
      <w:r>
        <w:rPr>
          <w:rFonts w:hint="eastAsia" w:ascii="宋体" w:hAnsi="宋体" w:eastAsia="宋体" w:cs="宋体"/>
          <w:color w:val="auto"/>
          <w:kern w:val="0"/>
          <w:sz w:val="24"/>
          <w:szCs w:val="20"/>
        </w:rPr>
        <w:t>除专业术语、签名、盖章、名称等特殊情形外，与本次采购工作有关的所有材料、来往函电语言均应使用中文，专业术语、名称应附有中文注释。</w:t>
      </w:r>
      <w:r>
        <w:rPr>
          <w:rFonts w:hint="eastAsia" w:ascii="宋体" w:hAnsi="宋体" w:eastAsia="宋体" w:cs="宋体"/>
          <w:b/>
          <w:color w:val="auto"/>
          <w:kern w:val="0"/>
          <w:sz w:val="24"/>
          <w:szCs w:val="20"/>
        </w:rPr>
        <w:t>仅以中文以外的文字表述的材料视同未提供。</w:t>
      </w:r>
    </w:p>
    <w:p w14:paraId="58D52A02">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1.10.2计量单位：</w:t>
      </w:r>
      <w:r>
        <w:rPr>
          <w:rFonts w:hint="eastAsia" w:ascii="宋体" w:hAnsi="宋体" w:eastAsia="宋体" w:cs="宋体"/>
          <w:color w:val="auto"/>
          <w:kern w:val="0"/>
          <w:sz w:val="24"/>
          <w:szCs w:val="20"/>
        </w:rPr>
        <w:t>竞争性磋商文件已有明确规定的，使用竞争性磋商文件规定的计量单位；</w:t>
      </w:r>
      <w:r>
        <w:rPr>
          <w:rFonts w:hint="eastAsia" w:ascii="宋体" w:hAnsi="宋体" w:eastAsia="宋体" w:cs="宋体"/>
          <w:b/>
          <w:color w:val="auto"/>
          <w:kern w:val="0"/>
          <w:sz w:val="24"/>
          <w:szCs w:val="20"/>
        </w:rPr>
        <w:t>竞争性磋商文件没有规定的，应采用中华人民共和国法定计量单位，否则视同未响应。</w:t>
      </w:r>
    </w:p>
    <w:p w14:paraId="7CDBA56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1.11 现场考察</w:t>
      </w:r>
    </w:p>
    <w:p w14:paraId="4799F4AC">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1.11.1现场考察时间、地点、联系人：</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2588D99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1.11.2《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4F08A711">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1.11.3供应商应自行前往规定的地点参加现场考察，因参加现场考察而发生的所有费用由供应商自行承担；</w:t>
      </w:r>
    </w:p>
    <w:p w14:paraId="04B3B523">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1.11.4现场考察过程中，供应商应注意考察安全，除采购人的原因外，供应商在踏勘现场中所发生的人员伤亡和财产损失由供应商自行承担；</w:t>
      </w:r>
    </w:p>
    <w:p w14:paraId="2523D34A">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1.11.5采购人在现场考察中介绍的场地和相关的周边环境情况，仅供供应商在编制磋商响应文件时参考，采购人不对供应商据此作出的判断和决策负责。</w:t>
      </w:r>
    </w:p>
    <w:p w14:paraId="44B330F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1.12 磋商前答疑会</w:t>
      </w:r>
    </w:p>
    <w:p w14:paraId="40685EC1">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1.12.1磋商前答疑会：</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70067B09">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1.12.2前附表规定召开磋商前答疑会的，采购组织机构按《磋商须知前附表》规定的时间和地点召开磋商前答疑会，澄清供应商提出的问题；</w:t>
      </w:r>
    </w:p>
    <w:p w14:paraId="0DD40EB4">
      <w:pPr>
        <w:spacing w:line="360" w:lineRule="auto"/>
        <w:ind w:firstLine="424" w:firstLineChars="177"/>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rPr>
        <w:t>1.12.3供应商应在答疑会</w:t>
      </w:r>
      <w:r>
        <w:rPr>
          <w:rFonts w:hint="eastAsia" w:ascii="宋体" w:hAnsi="宋体" w:eastAsia="宋体" w:cs="宋体"/>
          <w:color w:val="auto"/>
          <w:sz w:val="24"/>
          <w:szCs w:val="20"/>
          <w:lang w:val="en-US" w:eastAsia="zh-CN"/>
        </w:rPr>
        <w:t>规定的</w:t>
      </w:r>
      <w:r>
        <w:rPr>
          <w:rFonts w:hint="eastAsia" w:ascii="宋体" w:hAnsi="宋体" w:eastAsia="宋体" w:cs="宋体"/>
          <w:color w:val="auto"/>
          <w:sz w:val="24"/>
          <w:szCs w:val="20"/>
        </w:rPr>
        <w:t>时间</w:t>
      </w:r>
      <w:r>
        <w:rPr>
          <w:rFonts w:hint="eastAsia" w:ascii="宋体" w:hAnsi="宋体" w:eastAsia="宋体" w:cs="宋体"/>
          <w:color w:val="auto"/>
          <w:sz w:val="24"/>
          <w:szCs w:val="20"/>
          <w:highlight w:val="none"/>
        </w:rPr>
        <w:t>，以</w:t>
      </w:r>
      <w:r>
        <w:rPr>
          <w:rFonts w:hint="eastAsia" w:ascii="宋体" w:hAnsi="宋体" w:eastAsia="宋体" w:cs="宋体"/>
          <w:color w:val="auto"/>
          <w:sz w:val="24"/>
          <w:szCs w:val="20"/>
          <w:highlight w:val="none"/>
          <w:lang w:val="en-US" w:eastAsia="zh-CN"/>
        </w:rPr>
        <w:t>电子</w:t>
      </w:r>
      <w:r>
        <w:rPr>
          <w:rFonts w:hint="eastAsia" w:ascii="宋体" w:hAnsi="宋体" w:eastAsia="宋体" w:cs="宋体"/>
          <w:color w:val="auto"/>
          <w:sz w:val="24"/>
          <w:szCs w:val="20"/>
          <w:highlight w:val="none"/>
        </w:rPr>
        <w:t>形式将需要提出的问题</w:t>
      </w:r>
      <w:r>
        <w:rPr>
          <w:rFonts w:hint="eastAsia" w:ascii="宋体" w:hAnsi="宋体" w:eastAsia="宋体" w:cs="宋体"/>
          <w:color w:val="auto"/>
          <w:sz w:val="24"/>
          <w:szCs w:val="20"/>
          <w:highlight w:val="none"/>
          <w:lang w:val="en-US" w:eastAsia="zh-CN"/>
        </w:rPr>
        <w:t>发送至</w:t>
      </w:r>
      <w:r>
        <w:rPr>
          <w:rFonts w:hint="eastAsia" w:ascii="宋体" w:hAnsi="宋体" w:eastAsia="宋体" w:cs="宋体"/>
          <w:color w:val="auto"/>
          <w:sz w:val="24"/>
          <w:szCs w:val="20"/>
          <w:highlight w:val="none"/>
        </w:rPr>
        <w:t>采购组织机构</w:t>
      </w:r>
      <w:r>
        <w:rPr>
          <w:rFonts w:hint="eastAsia" w:ascii="宋体" w:hAnsi="宋体" w:eastAsia="宋体" w:cs="宋体"/>
          <w:color w:val="auto"/>
          <w:sz w:val="24"/>
          <w:szCs w:val="20"/>
          <w:highlight w:val="none"/>
          <w:lang w:val="en-US" w:eastAsia="zh-CN"/>
        </w:rPr>
        <w:t>电子邮箱</w:t>
      </w:r>
      <w:r>
        <w:rPr>
          <w:rFonts w:hint="eastAsia" w:ascii="宋体" w:hAnsi="宋体" w:eastAsia="宋体" w:cs="宋体"/>
          <w:color w:val="auto"/>
          <w:sz w:val="24"/>
          <w:szCs w:val="20"/>
          <w:highlight w:val="none"/>
        </w:rPr>
        <w:t>，以便采购组织机构在会议期间澄清；</w:t>
      </w:r>
    </w:p>
    <w:p w14:paraId="59A27C75">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1.12.4不召开磋商前答疑会或磋商前答疑会完成后的其他时间，采购组织机构将按本章第3.2款“竞争性磋商文件的提疑”、第3.3款“竞争性磋商文件的澄清、修改（更正）”相关规定对供应商所提问题进行澄清答复。</w:t>
      </w:r>
    </w:p>
    <w:p w14:paraId="731BBB5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1.13 关联供应商投标限制</w:t>
      </w:r>
    </w:p>
    <w:p w14:paraId="1968014F">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本竞争性磋商文件所称“关联企业”，是指存在关联关系的企业；“关联关系”的界定适用《中华人民共和国公司法》217条之规定。</w:t>
      </w:r>
    </w:p>
    <w:p w14:paraId="273C7D76">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1.13.1单位负责人为同一人或者存在直接控股、管理关系的不同供应商参加同一合同项下的政府采购活动的，相关</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均作资格无效处理。</w:t>
      </w:r>
    </w:p>
    <w:p w14:paraId="2DF45A44">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1.13.2不同供应商之间存在以下利害关系并且存在影响政府采购公平竞争行为的，不得参加同一合同项下的政府采购活动，相关</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的磋商响应均作无效处理：</w:t>
      </w:r>
    </w:p>
    <w:p w14:paraId="2FCD98A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（1）法定代表人或负责人或实际控制人是夫妻关系；</w:t>
      </w:r>
    </w:p>
    <w:p w14:paraId="399913F9">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（2）法定代表人或负责人或实际控制人是直系血亲关系；</w:t>
      </w:r>
    </w:p>
    <w:p w14:paraId="3CF29A7E">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（3）法定代表人或负责人或实际控制人存在三代以内旁系血亲关系；</w:t>
      </w:r>
    </w:p>
    <w:p w14:paraId="354E7114">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（4）法定代表人或负责人或实际控制人存在近姻亲关系；</w:t>
      </w:r>
    </w:p>
    <w:p w14:paraId="73A220E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（5）法定代表人或负责人或实际控制人存在股份控制或实际控制关系；</w:t>
      </w:r>
    </w:p>
    <w:p w14:paraId="62C4140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（6）存在共同直接或间接投资设立子公司、联营企业和合营企业情况；</w:t>
      </w:r>
    </w:p>
    <w:p w14:paraId="168903AB">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（7）存在分级代理或代销关系、同一生产制造商关系、管理关系、重要业务（占主营业务收入50%以上）或重要财务往来关系（如融资）等其他实质性控制关系。</w:t>
      </w:r>
    </w:p>
    <w:p w14:paraId="2C05B42B">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1.13.3除单一来源采购项目外，为采购项目提供整体设计、规范编制或者项目管理、监理、检测等服务的供应商，不得再参加该采购项目的其他采购活动，相关</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的磋商响应作无效处理。</w:t>
      </w:r>
    </w:p>
    <w:p w14:paraId="5E1414A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1.14 特殊供应商投标规定</w:t>
      </w:r>
    </w:p>
    <w:p w14:paraId="18698F7D">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0"/>
        </w:rPr>
        <w:t>银行、保险、石油石化、电力、电信等有行业特殊情况的，法人的分支机构</w:t>
      </w:r>
      <w:r>
        <w:rPr>
          <w:rFonts w:hint="eastAsia" w:ascii="宋体" w:hAnsi="宋体" w:eastAsia="宋体" w:cs="宋体"/>
          <w:b/>
          <w:color w:val="auto"/>
          <w:kern w:val="0"/>
          <w:sz w:val="24"/>
          <w:szCs w:val="20"/>
        </w:rPr>
        <w:t>获得法人授权后，允许法人的分支机构参加政府采购活动，采购组织机构按照其特点在采购文件中作出专门规定，允许其独立参加本次政府采购活动。</w:t>
      </w:r>
    </w:p>
    <w:p w14:paraId="41C226C9">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本项目是否具有行业特殊情况，见《磋商须知前附表》；</w:t>
      </w:r>
    </w:p>
    <w:p w14:paraId="74A393D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1.15 转包、分包</w:t>
      </w:r>
    </w:p>
    <w:p w14:paraId="782F2355">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3B1FDFA2">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成交供应商转包的，视同拒绝履行政府采购合同义务，将依法追究法律责任。</w:t>
      </w:r>
    </w:p>
    <w:p w14:paraId="3020623F">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1.15.2分包：</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47B4224F">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1.15.3《磋商须知前附表》中声明允许分包的，</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可以根据竞争性磋商文件的规定和采购项目的实际情况进行分包。</w:t>
      </w:r>
      <w:r>
        <w:rPr>
          <w:rFonts w:hint="eastAsia" w:ascii="宋体" w:hAnsi="宋体" w:eastAsia="宋体" w:cs="宋体"/>
          <w:b/>
          <w:color w:val="auto"/>
          <w:kern w:val="0"/>
          <w:sz w:val="24"/>
          <w:szCs w:val="20"/>
          <w:u w:val="single"/>
          <w:lang w:eastAsia="zh-CN"/>
        </w:rPr>
        <w:t>磋商供应商</w:t>
      </w:r>
      <w:r>
        <w:rPr>
          <w:rFonts w:hint="eastAsia" w:ascii="宋体" w:hAnsi="宋体" w:eastAsia="宋体" w:cs="宋体"/>
          <w:b/>
          <w:color w:val="auto"/>
          <w:kern w:val="0"/>
          <w:sz w:val="24"/>
          <w:szCs w:val="20"/>
          <w:u w:val="single"/>
        </w:rPr>
        <w:t>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宋体" w:hAnsi="宋体" w:eastAsia="宋体" w:cs="宋体"/>
          <w:color w:val="auto"/>
          <w:kern w:val="0"/>
          <w:sz w:val="24"/>
          <w:szCs w:val="20"/>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eastAsia="宋体" w:cs="宋体"/>
          <w:color w:val="auto"/>
          <w:kern w:val="0"/>
          <w:sz w:val="24"/>
          <w:szCs w:val="20"/>
        </w:rPr>
        <w:t>政府采购合同分包履行的，中标/成交供应商就采购项目和分包项目向采购人负责，分包供应商就分包项目承担责任。</w:t>
      </w:r>
    </w:p>
    <w:p w14:paraId="4650A6E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1.16 供应商询问、质疑和投诉</w:t>
      </w:r>
    </w:p>
    <w:p w14:paraId="2FCD28F8">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1.16.1询问：</w:t>
      </w:r>
      <w:r>
        <w:rPr>
          <w:rFonts w:hint="eastAsia" w:ascii="宋体" w:hAnsi="宋体" w:eastAsia="宋体" w:cs="宋体"/>
          <w:color w:val="auto"/>
          <w:kern w:val="0"/>
          <w:sz w:val="24"/>
          <w:szCs w:val="20"/>
        </w:rPr>
        <w:t>在采购活动中供应商可以就某一事项向采购组织机构发出“询问”，采购组织机构将在收到供应商“询问”后三个工作日内予以答复，但规定不予答复的内容除外。</w:t>
      </w:r>
    </w:p>
    <w:p w14:paraId="6AD2353F">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1.16.2质疑：供应商认为竞争性磋商文件、采购过程和采购结果使自己的合法权益受到损害的，应当在知道或者应知其权益受到损害之日起七个工作日内，以书面形式向采购人、</w:t>
      </w:r>
      <w:r>
        <w:rPr>
          <w:rFonts w:hint="eastAsia" w:ascii="宋体" w:hAnsi="宋体" w:eastAsia="宋体" w:cs="宋体"/>
          <w:b/>
          <w:color w:val="auto"/>
          <w:kern w:val="0"/>
          <w:sz w:val="24"/>
          <w:szCs w:val="20"/>
          <w:lang w:eastAsia="zh-CN"/>
        </w:rPr>
        <w:t>采购代理机构</w:t>
      </w:r>
      <w:r>
        <w:rPr>
          <w:rFonts w:hint="eastAsia" w:ascii="宋体" w:hAnsi="宋体" w:eastAsia="宋体" w:cs="宋体"/>
          <w:b/>
          <w:color w:val="auto"/>
          <w:kern w:val="0"/>
          <w:sz w:val="24"/>
          <w:szCs w:val="20"/>
        </w:rPr>
        <w:t>提出质疑。供应商须在法定质疑期内一次性提出针对同一采购程序环节的质疑。</w:t>
      </w:r>
    </w:p>
    <w:p w14:paraId="186B164E">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1.16.2.1上述所指“供应商应知其权益受到损害之日”，是指：</w:t>
      </w:r>
    </w:p>
    <w:p w14:paraId="2506FAE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kern w:val="0"/>
          <w:sz w:val="24"/>
          <w:szCs w:val="20"/>
          <w:u w:val="single"/>
        </w:rPr>
        <w:t>对</w:t>
      </w:r>
      <w:r>
        <w:rPr>
          <w:rFonts w:hint="eastAsia" w:ascii="宋体" w:hAnsi="宋体" w:eastAsia="宋体" w:cs="宋体"/>
          <w:color w:val="auto"/>
          <w:sz w:val="24"/>
          <w:szCs w:val="20"/>
          <w:u w:val="single"/>
        </w:rPr>
        <w:t>竞争性磋商文件</w:t>
      </w:r>
      <w:r>
        <w:rPr>
          <w:rFonts w:hint="eastAsia" w:ascii="宋体" w:hAnsi="宋体" w:eastAsia="宋体" w:cs="宋体"/>
          <w:color w:val="auto"/>
          <w:kern w:val="0"/>
          <w:sz w:val="24"/>
          <w:szCs w:val="20"/>
          <w:u w:val="single"/>
        </w:rPr>
        <w:t>提出质疑的，</w:t>
      </w:r>
      <w:r>
        <w:rPr>
          <w:rFonts w:hint="eastAsia" w:ascii="宋体" w:hAnsi="宋体" w:eastAsia="宋体" w:cs="宋体"/>
          <w:color w:val="auto"/>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eastAsia="宋体" w:cs="宋体"/>
          <w:b/>
          <w:bCs/>
          <w:color w:val="auto"/>
          <w:sz w:val="24"/>
          <w:szCs w:val="20"/>
          <w:u w:val="single"/>
        </w:rPr>
        <w:t>但</w:t>
      </w:r>
      <w:r>
        <w:rPr>
          <w:rFonts w:hint="eastAsia" w:ascii="宋体" w:hAnsi="宋体" w:eastAsia="宋体" w:cs="宋体"/>
          <w:b/>
          <w:color w:val="auto"/>
          <w:kern w:val="0"/>
          <w:sz w:val="24"/>
          <w:szCs w:val="20"/>
          <w:u w:val="single"/>
        </w:rPr>
        <w:t>须在磋商响应文件提交截止时间前提出</w:t>
      </w:r>
      <w:r>
        <w:rPr>
          <w:rFonts w:hint="eastAsia" w:ascii="宋体" w:hAnsi="宋体" w:eastAsia="宋体" w:cs="宋体"/>
          <w:color w:val="auto"/>
          <w:kern w:val="0"/>
          <w:sz w:val="24"/>
          <w:szCs w:val="20"/>
          <w:u w:val="single"/>
        </w:rPr>
        <w:t>；</w:t>
      </w:r>
    </w:p>
    <w:p w14:paraId="2A6F05DC">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r>
        <w:rPr>
          <w:rFonts w:hint="eastAsia" w:ascii="宋体" w:hAnsi="宋体" w:eastAsia="宋体" w:cs="宋体"/>
          <w:color w:val="auto"/>
          <w:kern w:val="0"/>
          <w:sz w:val="24"/>
          <w:szCs w:val="20"/>
          <w:u w:val="single"/>
        </w:rPr>
        <w:t>对采购过程提出质疑的，为各采购程序环节结束之日</w:t>
      </w:r>
      <w:r>
        <w:rPr>
          <w:rFonts w:hint="eastAsia" w:ascii="宋体" w:hAnsi="宋体" w:eastAsia="宋体" w:cs="宋体"/>
          <w:color w:val="auto"/>
          <w:kern w:val="0"/>
          <w:sz w:val="24"/>
          <w:szCs w:val="20"/>
        </w:rPr>
        <w:t>；</w:t>
      </w:r>
    </w:p>
    <w:p w14:paraId="1B1090E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w:t>
      </w:r>
      <w:r>
        <w:rPr>
          <w:rFonts w:hint="eastAsia" w:ascii="宋体" w:hAnsi="宋体" w:eastAsia="宋体" w:cs="宋体"/>
          <w:color w:val="auto"/>
          <w:kern w:val="0"/>
          <w:sz w:val="24"/>
          <w:szCs w:val="20"/>
          <w:u w:val="single"/>
        </w:rPr>
        <w:t>对成交结果提出质疑的，为成交结果公告期限届满之日</w:t>
      </w:r>
      <w:r>
        <w:rPr>
          <w:rFonts w:hint="eastAsia" w:ascii="宋体" w:hAnsi="宋体" w:eastAsia="宋体" w:cs="宋体"/>
          <w:color w:val="auto"/>
          <w:kern w:val="0"/>
          <w:sz w:val="24"/>
          <w:szCs w:val="20"/>
        </w:rPr>
        <w:t>。</w:t>
      </w:r>
    </w:p>
    <w:p w14:paraId="2189767D">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1.16.2.2</w:t>
      </w:r>
      <w:r>
        <w:rPr>
          <w:rFonts w:hint="eastAsia" w:ascii="宋体" w:hAnsi="宋体" w:eastAsia="宋体" w:cs="宋体"/>
          <w:b/>
          <w:color w:val="auto"/>
          <w:sz w:val="24"/>
          <w:szCs w:val="28"/>
        </w:rPr>
        <w:t>供应商提出质疑应当递交质疑函和必要的证明材料。</w:t>
      </w:r>
      <w:r>
        <w:rPr>
          <w:rFonts w:hint="eastAsia" w:ascii="宋体" w:hAnsi="宋体" w:eastAsia="宋体" w:cs="宋体"/>
          <w:color w:val="auto"/>
          <w:sz w:val="24"/>
          <w:szCs w:val="28"/>
        </w:rPr>
        <w:t>质疑函应当包括下列内容：</w:t>
      </w:r>
    </w:p>
    <w:p w14:paraId="59F5B506">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（1）供应商的姓名或者名称、地址、邮编、联系人及联系电话；</w:t>
      </w:r>
    </w:p>
    <w:p w14:paraId="0CF30B55">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（2）质疑项目的名称、编号；</w:t>
      </w:r>
    </w:p>
    <w:p w14:paraId="5FCD7619">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（3）具体、明确的质疑事项和与质疑事项相关的请求；</w:t>
      </w:r>
    </w:p>
    <w:p w14:paraId="740B2FC9">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（4）事实依据；</w:t>
      </w:r>
    </w:p>
    <w:p w14:paraId="27DE8CC0">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（5）必要的法律依据；</w:t>
      </w:r>
    </w:p>
    <w:p w14:paraId="50F1399E">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（6）提出质疑的日期。</w:t>
      </w:r>
    </w:p>
    <w:p w14:paraId="6F6ADD95">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8"/>
        </w:rPr>
        <w:t>供应商为自然人的，应当由本人签字并附上身份证明；供应商为法人或者其他组织的，应当由法定代表人或者其授权代表签字或者盖章，并加盖公章。</w:t>
      </w:r>
    </w:p>
    <w:p w14:paraId="01FB3EBF">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1.16.2.3供应商认可采购组织机构在质疑答复程序中启用的调查和重新评审等程序，在该程序操作过程未明显违反法律禁止性规定时，不得再提出异议；</w:t>
      </w:r>
    </w:p>
    <w:p w14:paraId="53C4FFAD">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eastAsia="宋体" w:cs="宋体"/>
          <w:b/>
          <w:color w:val="auto"/>
          <w:kern w:val="0"/>
          <w:sz w:val="24"/>
          <w:szCs w:val="20"/>
          <w:u w:val="single"/>
        </w:rPr>
        <w:t>即通过合法手段获得的能够证明供应商的诉求成立的必要材料</w:t>
      </w:r>
      <w:r>
        <w:rPr>
          <w:rFonts w:hint="eastAsia" w:ascii="宋体" w:hAnsi="宋体" w:eastAsia="宋体" w:cs="宋体"/>
          <w:b/>
          <w:color w:val="auto"/>
          <w:kern w:val="0"/>
          <w:sz w:val="24"/>
          <w:szCs w:val="20"/>
        </w:rPr>
        <w:t>）；</w:t>
      </w:r>
    </w:p>
    <w:p w14:paraId="117D315E">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1.16.3投诉：</w:t>
      </w:r>
      <w:r>
        <w:rPr>
          <w:rFonts w:hint="eastAsia" w:ascii="宋体" w:hAnsi="宋体" w:eastAsia="宋体" w:cs="宋体"/>
          <w:color w:val="auto"/>
          <w:kern w:val="0"/>
          <w:sz w:val="24"/>
          <w:szCs w:val="20"/>
        </w:rPr>
        <w:t>供应商对采购组织机构的质疑答复不满意或者采购组织机构未在规定时间内作出答复的，可以在答复期满后十五个工作日内向同级政府采购监督管理部门投诉。</w:t>
      </w:r>
    </w:p>
    <w:p w14:paraId="26CC49F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1.17 磋商保证金</w:t>
      </w:r>
    </w:p>
    <w:p w14:paraId="25D0FED6">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本项目是否要求</w:t>
      </w:r>
      <w:r>
        <w:rPr>
          <w:rFonts w:hint="eastAsia" w:ascii="宋体" w:hAnsi="宋体" w:eastAsia="宋体" w:cs="宋体"/>
          <w:bCs/>
          <w:color w:val="auto"/>
          <w:kern w:val="0"/>
          <w:sz w:val="24"/>
          <w:szCs w:val="20"/>
          <w:lang w:eastAsia="zh-CN"/>
        </w:rPr>
        <w:t>磋商供应商</w:t>
      </w:r>
      <w:r>
        <w:rPr>
          <w:rFonts w:hint="eastAsia" w:ascii="宋体" w:hAnsi="宋体" w:eastAsia="宋体" w:cs="宋体"/>
          <w:bCs/>
          <w:color w:val="auto"/>
          <w:kern w:val="0"/>
          <w:sz w:val="24"/>
          <w:szCs w:val="20"/>
        </w:rPr>
        <w:t>提交保证金，及要求</w:t>
      </w:r>
      <w:r>
        <w:rPr>
          <w:rFonts w:hint="eastAsia" w:ascii="宋体" w:hAnsi="宋体" w:eastAsia="宋体" w:cs="宋体"/>
          <w:bCs/>
          <w:color w:val="auto"/>
          <w:kern w:val="0"/>
          <w:sz w:val="24"/>
          <w:szCs w:val="20"/>
          <w:lang w:eastAsia="zh-CN"/>
        </w:rPr>
        <w:t>磋商供应商</w:t>
      </w:r>
      <w:r>
        <w:rPr>
          <w:rFonts w:hint="eastAsia" w:ascii="宋体" w:hAnsi="宋体" w:eastAsia="宋体" w:cs="宋体"/>
          <w:bCs/>
          <w:color w:val="auto"/>
          <w:kern w:val="0"/>
          <w:sz w:val="24"/>
          <w:szCs w:val="20"/>
        </w:rPr>
        <w:t>应提交的保证金金额及相关规定</w:t>
      </w:r>
      <w:r>
        <w:rPr>
          <w:rFonts w:hint="eastAsia" w:ascii="宋体" w:hAnsi="宋体" w:eastAsia="宋体" w:cs="宋体"/>
          <w:b/>
          <w:bCs/>
          <w:color w:val="auto"/>
          <w:sz w:val="24"/>
          <w:szCs w:val="20"/>
          <w:u w:val="single"/>
        </w:rPr>
        <w:t>见《磋商须知前附表》</w:t>
      </w:r>
      <w:r>
        <w:rPr>
          <w:rFonts w:hint="eastAsia" w:ascii="宋体" w:hAnsi="宋体" w:eastAsia="宋体" w:cs="宋体"/>
          <w:bCs/>
          <w:color w:val="auto"/>
          <w:kern w:val="0"/>
          <w:sz w:val="24"/>
          <w:szCs w:val="20"/>
        </w:rPr>
        <w:t>。</w:t>
      </w:r>
    </w:p>
    <w:p w14:paraId="295D983D">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1.17.1未按上述要求提交保证金或提交的保证金金额不足的，其响应文件无效。</w:t>
      </w:r>
    </w:p>
    <w:p w14:paraId="180DC914">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宋体" w:hAnsi="宋体" w:eastAsia="宋体" w:cs="宋体"/>
          <w:bCs/>
          <w:color w:val="auto"/>
          <w:kern w:val="0"/>
          <w:sz w:val="24"/>
          <w:szCs w:val="20"/>
        </w:rPr>
        <w:t>1.17.2</w:t>
      </w:r>
      <w:r>
        <w:rPr>
          <w:rFonts w:hint="eastAsia" w:ascii="华文中宋" w:hAnsi="华文中宋" w:eastAsia="华文中宋" w:cs="华文中宋"/>
          <w:bCs/>
          <w:kern w:val="0"/>
          <w:sz w:val="24"/>
          <w:szCs w:val="20"/>
        </w:rPr>
        <w:t>保证金的退还</w:t>
      </w:r>
    </w:p>
    <w:p w14:paraId="51F22280">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1）采购人因重大变故取消采购任务的，采购组织机构在财政部门指定的政府采购信息发布媒体上发布终止公告，并以发布公告的形式通知已经获取采购文件的潜在投标供应商，对已经交纳投标保证金的，采购组织机构在终止公告发布后5个工作日内予以退还。</w:t>
      </w:r>
    </w:p>
    <w:p w14:paraId="63147EE2">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（2）代理机构自中标（成交）通知书发出之日起5个工作日内退还未中标（成交）人的保证金。</w:t>
      </w:r>
    </w:p>
    <w:p w14:paraId="4E837BDA">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（3）代理机构在收取代理服务费且在山西政府采购平台查看到采购人与中标（成交）供应商已签订政府采购合同相关信息后，将在3个工作日内退还中标(成交)供应商的保证金。</w:t>
      </w:r>
    </w:p>
    <w:p w14:paraId="3653F65E">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（4）代理机构在收取代理服务费且中标通知书发出35天内，代理机构在山西政府采购平台未查看到采购人与中标（成交）供应商已签订政府采购合同相关信息的，将在第35天自动退付中标供应商的保证金。</w:t>
      </w:r>
    </w:p>
    <w:p w14:paraId="3B93B110">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1.17.3有下列情形之一的，保证金不予退还：</w:t>
      </w:r>
    </w:p>
    <w:p w14:paraId="085939F3">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A.供应商在提交响应文件截止时间后撤回响应文件的；</w:t>
      </w:r>
    </w:p>
    <w:p w14:paraId="146E97CA">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B.供应商在响应文件中提供虚假材料的；</w:t>
      </w:r>
    </w:p>
    <w:p w14:paraId="38743B40">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C.除因不可抗力或磋商文件认可的情形以外，成交供应商不与采购人签订合同的；</w:t>
      </w:r>
    </w:p>
    <w:p w14:paraId="5AAF295C">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D.供应商与采购人、其他供应商或者</w:t>
      </w:r>
      <w:r>
        <w:rPr>
          <w:rFonts w:hint="eastAsia" w:ascii="宋体" w:hAnsi="宋体" w:eastAsia="宋体" w:cs="宋体"/>
          <w:bCs/>
          <w:color w:val="auto"/>
          <w:kern w:val="0"/>
          <w:sz w:val="24"/>
          <w:szCs w:val="20"/>
          <w:lang w:eastAsia="zh-CN"/>
        </w:rPr>
        <w:t>采购代理机构</w:t>
      </w:r>
      <w:r>
        <w:rPr>
          <w:rFonts w:hint="eastAsia" w:ascii="宋体" w:hAnsi="宋体" w:eastAsia="宋体" w:cs="宋体"/>
          <w:bCs/>
          <w:color w:val="auto"/>
          <w:kern w:val="0"/>
          <w:sz w:val="24"/>
          <w:szCs w:val="20"/>
        </w:rPr>
        <w:t>恶意串通的；</w:t>
      </w:r>
    </w:p>
    <w:p w14:paraId="203159AF">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E.磋商文件规定的其他情形。</w:t>
      </w:r>
    </w:p>
    <w:p w14:paraId="23ECECAA">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1.17.4磋商保证金不予退还的，将按照有关规定上缴国库。逾期退还磋商保证金的，将依法承担法律责任，并赔偿供应商损失。</w:t>
      </w:r>
    </w:p>
    <w:p w14:paraId="69941B1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1.18 其他说明</w:t>
      </w:r>
    </w:p>
    <w:p w14:paraId="2877FCDD">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1.18.1</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磋商所使用的资格、信誉、荣誉、</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业绩与企业认证必须为本法人所拥有。</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磋商所使用的项目实施人员可以为其控股公司的工作人员。</w:t>
      </w:r>
      <w:r>
        <w:rPr>
          <w:rFonts w:hint="eastAsia" w:ascii="宋体" w:hAnsi="宋体" w:eastAsia="宋体" w:cs="宋体"/>
          <w:color w:val="auto"/>
          <w:kern w:val="0"/>
          <w:sz w:val="24"/>
          <w:szCs w:val="20"/>
        </w:rPr>
        <w:t>在组织资格审查、商务技术评审时，属于</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母公司（总机构）或者同一母公司下属的其他子公司（同一总机构下属的其他分支机构）的人员、业绩、荣誉、知识产权、项目案例等，不得作为该</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的资信文件予以确认或审查通过。</w:t>
      </w:r>
    </w:p>
    <w:p w14:paraId="2FF3C1F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1.18.2</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在磋商活动中提供任何虚假材料或从事其他违法活动的，其磋商响应无效，并报政府采购监督管理部门查处；成交后发现的，成交结果无效，并须依照相关规定双倍赔偿给采购人。且民事赔偿并不免除违法</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的行政与刑事责任。</w:t>
      </w:r>
    </w:p>
    <w:p w14:paraId="58EFE97B">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1.18.3</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应仔细阅读竞争性磋商文件的所有内容，按照竞争性磋商文件的要求递交《磋商响应文件》。</w:t>
      </w:r>
      <w:r>
        <w:rPr>
          <w:rFonts w:hint="eastAsia" w:ascii="宋体" w:hAnsi="宋体" w:eastAsia="宋体" w:cs="宋体"/>
          <w:bCs/>
          <w:color w:val="auto"/>
          <w:kern w:val="0"/>
          <w:sz w:val="24"/>
          <w:szCs w:val="20"/>
        </w:rPr>
        <w:t>《磋商响应文件》应对竞争性磋商文件的要求作出实质性响应，并对所提供的全部资料的真实性承担法律责任。</w:t>
      </w:r>
    </w:p>
    <w:p w14:paraId="23E7130D">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1.18.4竞争性磋商文件所涉及的产品品牌或型号为建议性要求或档次选择要求或为代替部分技术指标描述，</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可以自行选择其他品牌型号的产品参加磋商，但所投产品应当具有相等或更优于磋商文件要求的指标、性能、档次，否则，磋商小组将对其作出不利的评审。</w:t>
      </w:r>
    </w:p>
    <w:p w14:paraId="4953A77B">
      <w:pPr>
        <w:pStyle w:val="35"/>
        <w:spacing w:line="360" w:lineRule="auto"/>
        <w:ind w:firstLine="482"/>
        <w:jc w:val="left"/>
        <w:rPr>
          <w:rFonts w:hint="eastAsia" w:ascii="宋体" w:hAnsi="宋体" w:eastAsia="宋体" w:cs="宋体"/>
          <w:bCs/>
          <w:color w:val="auto"/>
          <w:sz w:val="24"/>
          <w:szCs w:val="24"/>
        </w:rPr>
      </w:pPr>
      <w:r>
        <w:rPr>
          <w:rFonts w:hint="eastAsia" w:ascii="宋体" w:hAnsi="宋体" w:eastAsia="宋体" w:cs="宋体"/>
          <w:b/>
          <w:bCs/>
          <w:color w:val="auto"/>
          <w:kern w:val="0"/>
          <w:sz w:val="24"/>
          <w:szCs w:val="24"/>
        </w:rPr>
        <w:t>1.18.5</w:t>
      </w:r>
      <w:r>
        <w:rPr>
          <w:rFonts w:hint="eastAsia" w:ascii="宋体" w:hAnsi="宋体" w:eastAsia="宋体" w:cs="宋体"/>
          <w:b/>
          <w:bCs/>
          <w:color w:val="auto"/>
          <w:sz w:val="24"/>
          <w:szCs w:val="24"/>
          <w:u w:val="single"/>
          <w:lang w:eastAsia="zh-CN"/>
        </w:rPr>
        <w:t>磋商供应商</w:t>
      </w:r>
      <w:r>
        <w:rPr>
          <w:rFonts w:hint="eastAsia" w:ascii="宋体" w:hAnsi="宋体" w:eastAsia="宋体" w:cs="宋体"/>
          <w:b/>
          <w:bCs/>
          <w:color w:val="auto"/>
          <w:sz w:val="24"/>
          <w:szCs w:val="24"/>
          <w:u w:val="single"/>
        </w:rPr>
        <w:t>对所响应项内的采购内容必须全部进行响应。</w:t>
      </w:r>
    </w:p>
    <w:p w14:paraId="1171442F">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rPr>
        <w:t>1.18.6</w:t>
      </w:r>
      <w:r>
        <w:rPr>
          <w:rFonts w:hint="eastAsia" w:ascii="宋体" w:hAnsi="宋体" w:eastAsia="宋体" w:cs="宋体"/>
          <w:bCs/>
          <w:color w:val="auto"/>
          <w:sz w:val="24"/>
          <w:szCs w:val="24"/>
        </w:rPr>
        <w:t>竞争性磋商文件中如有描述歧义或前后不一致的地方，磋商小组有权按公平、合理的原则进行评判，但对同一条款的评判适用于每个供应商。</w:t>
      </w:r>
    </w:p>
    <w:p w14:paraId="792179FE">
      <w:pPr>
        <w:pStyle w:val="35"/>
        <w:spacing w:line="360" w:lineRule="auto"/>
        <w:ind w:firstLine="480"/>
        <w:jc w:val="left"/>
        <w:rPr>
          <w:rFonts w:hint="eastAsia" w:ascii="宋体" w:hAnsi="宋体" w:eastAsia="宋体" w:cs="宋体"/>
          <w:bCs/>
          <w:color w:val="auto"/>
          <w:sz w:val="24"/>
          <w:szCs w:val="24"/>
          <w:u w:val="none"/>
          <w:lang w:eastAsia="zh-CN"/>
        </w:rPr>
      </w:pPr>
      <w:r>
        <w:rPr>
          <w:rFonts w:hint="eastAsia" w:ascii="宋体" w:hAnsi="宋体" w:eastAsia="宋体" w:cs="宋体"/>
          <w:color w:val="auto"/>
          <w:kern w:val="0"/>
          <w:sz w:val="24"/>
          <w:szCs w:val="24"/>
          <w:u w:val="none"/>
        </w:rPr>
        <w:t>1.18.7</w:t>
      </w:r>
      <w:r>
        <w:rPr>
          <w:rFonts w:hint="eastAsia" w:ascii="宋体" w:hAnsi="宋体" w:eastAsia="宋体" w:cs="宋体"/>
          <w:bCs/>
          <w:color w:val="auto"/>
          <w:sz w:val="24"/>
          <w:szCs w:val="24"/>
          <w:u w:val="none"/>
        </w:rPr>
        <w:t>响应文件的响应内容必须真实、明确、准确。否则，磋商小组将对其作出不利的评审</w:t>
      </w:r>
      <w:r>
        <w:rPr>
          <w:rFonts w:hint="eastAsia" w:ascii="宋体" w:hAnsi="宋体" w:eastAsia="宋体" w:cs="宋体"/>
          <w:bCs/>
          <w:color w:val="auto"/>
          <w:sz w:val="24"/>
          <w:szCs w:val="24"/>
          <w:u w:val="none"/>
          <w:lang w:eastAsia="zh-CN"/>
        </w:rPr>
        <w:t>。</w:t>
      </w:r>
    </w:p>
    <w:p w14:paraId="248CB83D">
      <w:pPr>
        <w:pStyle w:val="35"/>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kern w:val="0"/>
          <w:sz w:val="24"/>
          <w:szCs w:val="20"/>
        </w:rPr>
        <w:t>1.18.8</w:t>
      </w:r>
      <w:r>
        <w:rPr>
          <w:rFonts w:hint="eastAsia" w:ascii="宋体" w:hAnsi="宋体" w:eastAsia="宋体"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7"/>
    <w:bookmarkEnd w:id="18"/>
    <w:p w14:paraId="4000745E">
      <w:pPr>
        <w:pStyle w:val="4"/>
        <w:jc w:val="left"/>
        <w:rPr>
          <w:rFonts w:hint="eastAsia" w:ascii="宋体" w:hAnsi="宋体" w:eastAsia="宋体" w:cs="宋体"/>
          <w:color w:val="auto"/>
          <w:sz w:val="28"/>
          <w:szCs w:val="28"/>
        </w:rPr>
      </w:pPr>
      <w:bookmarkStart w:id="19" w:name="_Toc28352"/>
      <w:bookmarkStart w:id="20" w:name="_Toc81341319"/>
      <w:bookmarkStart w:id="21" w:name="_Toc29661"/>
      <w:bookmarkStart w:id="22" w:name="_Toc10168"/>
      <w:r>
        <w:rPr>
          <w:rFonts w:hint="eastAsia" w:ascii="宋体" w:hAnsi="宋体" w:eastAsia="宋体" w:cs="宋体"/>
          <w:color w:val="auto"/>
          <w:sz w:val="28"/>
          <w:szCs w:val="28"/>
        </w:rPr>
        <w:t>二、落实的政府采购政策</w:t>
      </w:r>
      <w:bookmarkEnd w:id="19"/>
      <w:bookmarkEnd w:id="20"/>
    </w:p>
    <w:p w14:paraId="22CCD2A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23" w:name="_Toc82338241"/>
      <w:bookmarkStart w:id="24" w:name="_Toc82873324"/>
      <w:r>
        <w:rPr>
          <w:rFonts w:hint="eastAsia" w:ascii="宋体" w:hAnsi="宋体" w:eastAsia="宋体" w:cs="宋体"/>
          <w:b/>
          <w:bCs/>
          <w:color w:val="auto"/>
          <w:sz w:val="24"/>
          <w:szCs w:val="32"/>
        </w:rPr>
        <w:t>2.1支持本国企业</w:t>
      </w:r>
    </w:p>
    <w:p w14:paraId="172C1B2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根据《中华人民共和国政府采购法》第十条的规定，政府采购应当采购本国货物、工程和服务。但有下列情形之一的除外：</w:t>
      </w:r>
    </w:p>
    <w:p w14:paraId="7164E6A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（一）需要采购的货物、工程或者服务在中国境内无法获取或者无法以合理的商业条件获取的； </w:t>
      </w:r>
    </w:p>
    <w:p w14:paraId="0E0D9268">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（二）为在中国境外使用而进行采购的； </w:t>
      </w:r>
    </w:p>
    <w:p w14:paraId="5C5CE7C6">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（三）其他法律、行政法规另有规定的。 </w:t>
      </w:r>
    </w:p>
    <w:p w14:paraId="07678A0F">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 前款所称本国货物、工程和服务的界定，依照国务院有关规定执行。</w:t>
      </w:r>
    </w:p>
    <w:p w14:paraId="45E7537B">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本项目是否允许中国境外工程供应商参加</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w:t>
      </w:r>
    </w:p>
    <w:p w14:paraId="26F5BEC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2.2节能、环保产品政府采购政策：</w:t>
      </w:r>
    </w:p>
    <w:p w14:paraId="26CE27A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5D89F5AC">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2.2.2《节能产品政府采购品目清单》详见《关于印发节能产品政府采购品目清单的通知（财库[2019]19号）》（如遇调整，按最新清单执行）。</w:t>
      </w:r>
    </w:p>
    <w:p w14:paraId="3C19EE8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2.2.3本次采购需落实《节能产品政府采购品目清单》中规定的</w:t>
      </w:r>
      <w:r>
        <w:rPr>
          <w:rFonts w:hint="eastAsia" w:ascii="宋体" w:hAnsi="宋体" w:eastAsia="宋体" w:cs="宋体"/>
          <w:color w:val="auto"/>
          <w:sz w:val="24"/>
        </w:rPr>
        <w:t>属于国家强制性采购的，</w:t>
      </w:r>
      <w:r>
        <w:rPr>
          <w:rFonts w:hint="eastAsia" w:ascii="宋体" w:hAnsi="宋体" w:eastAsia="宋体" w:cs="宋体"/>
          <w:color w:val="auto"/>
          <w:sz w:val="24"/>
          <w:szCs w:val="20"/>
        </w:rPr>
        <w:t>必须符合要求，并提供承诺书，未提供承诺书的，磋商响应文件无效。</w:t>
      </w:r>
    </w:p>
    <w:p w14:paraId="1D89187C">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2.2.4《环境标志产品政府采购品目清单》详见《关于印发环境标志产品政府采购品目清单的通知（财库[2019]18号）》（如遇调整，按最新清单执行）。</w:t>
      </w:r>
    </w:p>
    <w:p w14:paraId="754AFAF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2.2.5本次采购属于《环境标志产品政府采购品目清单》范围，但不属于政府强制采购产品的，实施优先采购，并提供承诺书，未承诺书的，磋商响应文件无效。</w:t>
      </w:r>
    </w:p>
    <w:p w14:paraId="00EBA632">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508E1E19">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2.2.7国家确定的认证机构以国家市场监管总局发布的参与实施政府采购节能产品、环境标志产品认证机构名录为准（如遇调整，请以最新公布的为准）。</w:t>
      </w:r>
    </w:p>
    <w:p w14:paraId="3BBFB51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2.3正版软件及信息安全产品政府采购政策：</w:t>
      </w:r>
    </w:p>
    <w:p w14:paraId="3121106A">
      <w:pPr>
        <w:keepNext/>
        <w:keepLines/>
        <w:spacing w:beforeLines="30" w:afterLines="30" w:line="360" w:lineRule="auto"/>
        <w:ind w:firstLine="283" w:firstLineChars="118"/>
        <w:jc w:val="left"/>
        <w:outlineLvl w:val="2"/>
        <w:rPr>
          <w:rFonts w:hint="eastAsia" w:ascii="宋体" w:hAnsi="宋体" w:eastAsia="宋体" w:cs="宋体"/>
          <w:color w:val="auto"/>
          <w:sz w:val="24"/>
          <w:szCs w:val="32"/>
        </w:rPr>
      </w:pPr>
      <w:r>
        <w:rPr>
          <w:rFonts w:hint="eastAsia" w:ascii="宋体" w:hAnsi="宋体" w:eastAsia="宋体" w:cs="宋体"/>
          <w:color w:val="auto"/>
          <w:sz w:val="24"/>
          <w:szCs w:val="32"/>
        </w:rPr>
        <w:t>（1）本项目涉及正版软件的要求：供应商需承诺投报的计算机产品预装正版操作系统，投报的硬件产品内的预装软件为正版软件。</w:t>
      </w:r>
    </w:p>
    <w:p w14:paraId="559417D5">
      <w:pPr>
        <w:keepNext/>
        <w:keepLines/>
        <w:spacing w:beforeLines="30" w:afterLines="30" w:line="360" w:lineRule="auto"/>
        <w:ind w:firstLine="283" w:firstLineChars="118"/>
        <w:jc w:val="left"/>
        <w:outlineLvl w:val="2"/>
        <w:rPr>
          <w:rFonts w:hint="eastAsia" w:ascii="宋体" w:hAnsi="宋体" w:eastAsia="宋体" w:cs="宋体"/>
          <w:color w:val="auto"/>
          <w:sz w:val="24"/>
          <w:szCs w:val="32"/>
        </w:rPr>
      </w:pPr>
      <w:r>
        <w:rPr>
          <w:rFonts w:hint="eastAsia" w:ascii="宋体" w:hAnsi="宋体" w:eastAsia="宋体" w:cs="宋体"/>
          <w:color w:val="auto"/>
          <w:sz w:val="24"/>
          <w:szCs w:val="32"/>
        </w:rPr>
        <w:t>（2）本项目涉及信息安全产品的要求：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143180B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2.4无线局域网产品政府采购政策：</w:t>
      </w:r>
    </w:p>
    <w:p w14:paraId="78407F30">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本项目采购的产品属于中国政府采购网公布的《无线局域网认证产品政府采购清单》且在有效期内的，提供《中国政府采购网》公布的无线局域网产品政府采购清单封面及对应页，实行优先采购。</w:t>
      </w:r>
    </w:p>
    <w:p w14:paraId="054ACC15">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2.5支持中小企业发展</w:t>
      </w:r>
    </w:p>
    <w:p w14:paraId="2FE9B99C">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2.5.1是否专门面向中小企业采购：</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w:t>
      </w:r>
    </w:p>
    <w:p w14:paraId="0D31A3C4">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2.5.2本项目对应的中小企业划分标准所属行业：</w:t>
      </w:r>
      <w:r>
        <w:rPr>
          <w:rFonts w:hint="eastAsia" w:ascii="宋体" w:hAnsi="宋体" w:eastAsia="宋体" w:cs="宋体"/>
          <w:b/>
          <w:color w:val="auto"/>
          <w:kern w:val="0"/>
          <w:sz w:val="24"/>
          <w:szCs w:val="20"/>
          <w:u w:val="single"/>
        </w:rPr>
        <w:t>见《磋商须知前附表》</w:t>
      </w:r>
      <w:r>
        <w:rPr>
          <w:rFonts w:hint="eastAsia" w:ascii="宋体" w:hAnsi="宋体" w:eastAsia="宋体" w:cs="宋体"/>
          <w:color w:val="auto"/>
          <w:sz w:val="24"/>
          <w:szCs w:val="20"/>
        </w:rPr>
        <w:t xml:space="preserve">：       </w:t>
      </w:r>
    </w:p>
    <w:p w14:paraId="79A4A021">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2.5.3在政府采购活动中，供应商提供的货物、工程或者服务符合下列情形的，享受中小企业扶持政策：</w:t>
      </w:r>
    </w:p>
    <w:p w14:paraId="0F6B7993">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7F117CB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（2）在工程采购项目中，工程由中小企业承建，即工程施工单位为中小企业；</w:t>
      </w:r>
    </w:p>
    <w:p w14:paraId="33800B7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（3）在服务采购项目中，服务由中小企业承接，即提供服务的人员为中小企业依照《中华人民共和国民法典》订立劳动合同的从业人员。</w:t>
      </w:r>
    </w:p>
    <w:p w14:paraId="6BA3EB6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以联合体形式参加政府采购活动，联合体各方均为中小企业的，联合体视同中小企业。其中，联合体各方均为小微企业的，联合体视同小微企业。</w:t>
      </w:r>
    </w:p>
    <w:p w14:paraId="5EF0AE8D">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2.5.4对于未预留份额专门面向中小企业采购的采购项目，以及预留份额项目中的非预留部分采购包，对小微企业报价给</w:t>
      </w:r>
      <w:r>
        <w:rPr>
          <w:rFonts w:hint="eastAsia" w:ascii="宋体" w:hAnsi="宋体" w:eastAsia="宋体" w:cs="宋体"/>
          <w:color w:val="auto"/>
          <w:sz w:val="24"/>
          <w:szCs w:val="20"/>
          <w:highlight w:val="none"/>
        </w:rPr>
        <w:t>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3  </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）的扣除，用扣除后的价格参加评审。</w:t>
      </w:r>
    </w:p>
    <w:p w14:paraId="47D5B1AF">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1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rPr>
        <w:t>%</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）的扣除，用扣除后的价格参加评审。组成联合体或者接受分包的小微企业与联合体内其他企业、分包企业之间存在直接控股、管理关系的，不享受价格扣除优惠政策。</w:t>
      </w:r>
    </w:p>
    <w:p w14:paraId="46BC1E4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2.5.6可享受中小企业扶持政策的供应商应按照磋商响应文件格式要求提供《中小企业声明函》。</w:t>
      </w:r>
    </w:p>
    <w:p w14:paraId="171D7561">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2.5.7中小企业享受扶持政策获得政府采购合同的，小微企业不得将合同分包给大中型企业，中型企业不得将合同分包给大型企业。</w:t>
      </w:r>
    </w:p>
    <w:p w14:paraId="2F2BF6CC">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2.6支持监狱企业发展</w:t>
      </w:r>
    </w:p>
    <w:p w14:paraId="767F7A0F">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2.6.1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6D9D5CE5">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2.6.2监狱企业证明文件：省级或以上监狱管理局、戒毒管理局（含新疆生产建设兵团）出具的属于监狱企业的证明文件。</w:t>
      </w:r>
    </w:p>
    <w:p w14:paraId="333C7E2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2.7促进残疾人就业</w:t>
      </w:r>
    </w:p>
    <w:p w14:paraId="61BDC0D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2.7.1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A341326">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2.7.2残疾人福利性单位证明材料：残疾人福利性单位声明函</w:t>
      </w:r>
      <w:r>
        <w:rPr>
          <w:rFonts w:hint="eastAsia" w:ascii="宋体" w:hAnsi="宋体" w:eastAsia="宋体" w:cs="宋体"/>
          <w:b/>
          <w:bCs/>
          <w:color w:val="auto"/>
          <w:sz w:val="24"/>
          <w:szCs w:val="20"/>
          <w:u w:val="single"/>
        </w:rPr>
        <w:t>（格式见第五章）</w:t>
      </w:r>
      <w:r>
        <w:rPr>
          <w:rFonts w:hint="eastAsia" w:ascii="宋体" w:hAnsi="宋体" w:eastAsia="宋体" w:cs="宋体"/>
          <w:color w:val="auto"/>
          <w:sz w:val="24"/>
          <w:szCs w:val="20"/>
        </w:rPr>
        <w:t>。</w:t>
      </w:r>
    </w:p>
    <w:p w14:paraId="1E07FC5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2.8创新产品、创新服务</w:t>
      </w:r>
    </w:p>
    <w:p w14:paraId="15755ADD">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2.8.1</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投报产品或服务属于《山西省创新产品和服务推荐清单》中创新产品或创新服务的，在评审时享受评审加分。</w:t>
      </w:r>
    </w:p>
    <w:p w14:paraId="7FA1509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2.8.2</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投报创新产品或创新服务的，应在响应文件中“施工设计”中提供《创新产品或创新服务明细表》。</w:t>
      </w:r>
    </w:p>
    <w:p w14:paraId="52B3830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2.9商品包装和快递包装</w:t>
      </w:r>
    </w:p>
    <w:p w14:paraId="06065C5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需填写商品包装和快递包装承诺函，承诺商品包装符合《商品包装政府采购需求标准（试行）》，快递包装符合《快递包装政府采购需求标准（试行）》</w:t>
      </w:r>
      <w:r>
        <w:rPr>
          <w:rFonts w:hint="eastAsia" w:ascii="宋体" w:hAnsi="宋体" w:eastAsia="宋体" w:cs="宋体"/>
          <w:b/>
          <w:bCs/>
          <w:color w:val="auto"/>
          <w:sz w:val="24"/>
          <w:szCs w:val="20"/>
          <w:u w:val="single"/>
        </w:rPr>
        <w:t>（格式见第五章）</w:t>
      </w:r>
      <w:r>
        <w:rPr>
          <w:rFonts w:hint="eastAsia" w:ascii="宋体" w:hAnsi="宋体" w:eastAsia="宋体" w:cs="宋体"/>
          <w:color w:val="auto"/>
          <w:sz w:val="24"/>
          <w:szCs w:val="20"/>
        </w:rPr>
        <w:t>，未提供承诺书的，磋商响应文件无效。</w:t>
      </w:r>
    </w:p>
    <w:p w14:paraId="39E5179F">
      <w:pPr>
        <w:spacing w:line="360" w:lineRule="auto"/>
        <w:ind w:firstLine="426" w:firstLineChars="177"/>
        <w:jc w:val="left"/>
        <w:rPr>
          <w:rFonts w:hint="eastAsia" w:ascii="宋体" w:hAnsi="宋体" w:eastAsia="宋体" w:cs="宋体"/>
          <w:b/>
          <w:bCs/>
          <w:color w:val="auto"/>
          <w:sz w:val="24"/>
          <w:szCs w:val="32"/>
        </w:rPr>
      </w:pPr>
      <w:r>
        <w:rPr>
          <w:rFonts w:hint="eastAsia" w:ascii="宋体" w:hAnsi="宋体" w:eastAsia="宋体" w:cs="宋体"/>
          <w:b/>
          <w:bCs/>
          <w:color w:val="auto"/>
          <w:sz w:val="24"/>
          <w:szCs w:val="32"/>
        </w:rPr>
        <w:t>2.10支持绿色建材促进建筑品质提升</w:t>
      </w:r>
    </w:p>
    <w:p w14:paraId="6DD26DD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2.10.1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"http://www.mof.gov.cn/" </w:instrText>
      </w:r>
      <w:r>
        <w:rPr>
          <w:rFonts w:hint="eastAsia" w:ascii="宋体" w:hAnsi="宋体" w:eastAsia="宋体" w:cs="宋体"/>
          <w:color w:val="auto"/>
        </w:rPr>
        <w:fldChar w:fldCharType="separate"/>
      </w:r>
      <w:r>
        <w:rPr>
          <w:rFonts w:hint="eastAsia" w:ascii="宋体" w:hAnsi="宋体" w:eastAsia="宋体" w:cs="宋体"/>
          <w:color w:val="auto"/>
          <w:sz w:val="24"/>
          <w:szCs w:val="20"/>
        </w:rPr>
        <w:t>www.mof.gov.cn</w:t>
      </w:r>
      <w:r>
        <w:rPr>
          <w:rFonts w:hint="eastAsia" w:ascii="宋体" w:hAnsi="宋体" w:eastAsia="宋体" w:cs="宋体"/>
          <w:color w:val="auto"/>
          <w:sz w:val="24"/>
          <w:szCs w:val="20"/>
        </w:rPr>
        <w:fldChar w:fldCharType="end"/>
      </w:r>
      <w:r>
        <w:rPr>
          <w:rFonts w:hint="eastAsia" w:ascii="宋体" w:hAnsi="宋体" w:eastAsia="宋体" w:cs="宋体"/>
          <w:color w:val="auto"/>
          <w:sz w:val="24"/>
          <w:szCs w:val="20"/>
        </w:rPr>
        <w:t>）、住房和城乡建设部网站（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"http://www.mohurd.gov.cn/" </w:instrText>
      </w:r>
      <w:r>
        <w:rPr>
          <w:rFonts w:hint="eastAsia" w:ascii="宋体" w:hAnsi="宋体" w:eastAsia="宋体" w:cs="宋体"/>
          <w:color w:val="auto"/>
        </w:rPr>
        <w:fldChar w:fldCharType="separate"/>
      </w:r>
      <w:r>
        <w:rPr>
          <w:rFonts w:hint="eastAsia" w:ascii="宋体" w:hAnsi="宋体" w:eastAsia="宋体" w:cs="宋体"/>
          <w:color w:val="auto"/>
          <w:sz w:val="24"/>
          <w:szCs w:val="20"/>
        </w:rPr>
        <w:t>www.mohurd.gov.cn</w:t>
      </w:r>
      <w:r>
        <w:rPr>
          <w:rFonts w:hint="eastAsia" w:ascii="宋体" w:hAnsi="宋体" w:eastAsia="宋体" w:cs="宋体"/>
          <w:color w:val="auto"/>
          <w:sz w:val="24"/>
          <w:szCs w:val="20"/>
        </w:rPr>
        <w:fldChar w:fldCharType="end"/>
      </w:r>
      <w:r>
        <w:rPr>
          <w:rFonts w:hint="eastAsia" w:ascii="宋体" w:hAnsi="宋体" w:eastAsia="宋体" w:cs="宋体"/>
          <w:color w:val="auto"/>
          <w:sz w:val="24"/>
          <w:szCs w:val="20"/>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Fonts w:hint="eastAsia" w:ascii="宋体" w:hAnsi="宋体" w:eastAsia="宋体" w:cs="宋体"/>
          <w:color w:val="auto"/>
          <w:sz w:val="24"/>
          <w:szCs w:val="20"/>
        </w:rPr>
        <w:t>www.ccgp.gov.cn</w:t>
      </w:r>
      <w:r>
        <w:rPr>
          <w:rFonts w:hint="eastAsia" w:ascii="宋体" w:hAnsi="宋体" w:eastAsia="宋体" w:cs="宋体"/>
          <w:color w:val="auto"/>
          <w:sz w:val="24"/>
          <w:szCs w:val="20"/>
        </w:rPr>
        <w:fldChar w:fldCharType="end"/>
      </w:r>
      <w:r>
        <w:rPr>
          <w:rFonts w:hint="eastAsia" w:ascii="宋体" w:hAnsi="宋体" w:eastAsia="宋体" w:cs="宋体"/>
          <w:color w:val="auto"/>
          <w:sz w:val="24"/>
          <w:szCs w:val="20"/>
        </w:rPr>
        <w:t>）发布。</w:t>
      </w:r>
    </w:p>
    <w:p w14:paraId="4FE63FD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2.10.2供应商须落实绿色建材采购要求，鼓励供应商提供获得绿色建材评价标识、认证或者获得环境标志产品认证的绿色建材产品，满足《基本要求》的有关规定。</w:t>
      </w:r>
    </w:p>
    <w:bookmarkEnd w:id="21"/>
    <w:bookmarkEnd w:id="23"/>
    <w:bookmarkEnd w:id="24"/>
    <w:p w14:paraId="11B2AC79">
      <w:pPr>
        <w:pStyle w:val="4"/>
        <w:ind w:firstLine="281" w:firstLineChars="100"/>
        <w:jc w:val="left"/>
        <w:rPr>
          <w:rFonts w:hint="eastAsia" w:ascii="宋体" w:hAnsi="宋体" w:eastAsia="宋体" w:cs="宋体"/>
          <w:color w:val="auto"/>
          <w:sz w:val="28"/>
          <w:szCs w:val="28"/>
        </w:rPr>
      </w:pPr>
      <w:bookmarkStart w:id="25" w:name="_Toc81341320"/>
      <w:bookmarkStart w:id="26" w:name="_Toc19320"/>
      <w:r>
        <w:rPr>
          <w:rFonts w:hint="eastAsia" w:ascii="宋体" w:hAnsi="宋体" w:eastAsia="宋体" w:cs="宋体"/>
          <w:color w:val="auto"/>
          <w:sz w:val="28"/>
          <w:szCs w:val="28"/>
        </w:rPr>
        <w:t>三、竞争性磋商文件</w:t>
      </w:r>
      <w:bookmarkEnd w:id="22"/>
      <w:bookmarkEnd w:id="25"/>
      <w:bookmarkEnd w:id="26"/>
    </w:p>
    <w:p w14:paraId="51A4F1F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3.1 竞争性磋商文件的组成</w:t>
      </w:r>
    </w:p>
    <w:p w14:paraId="47F4B5B0">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第一章 竞争性磋商公告；</w:t>
      </w:r>
    </w:p>
    <w:p w14:paraId="3F6B4ED1">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第二章 磋商须知及前附表；</w:t>
      </w:r>
    </w:p>
    <w:p w14:paraId="02FFDA52">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第三章 采购内容及技术要求；</w:t>
      </w:r>
    </w:p>
    <w:p w14:paraId="3BEE2C5B">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第四章 合同；</w:t>
      </w:r>
    </w:p>
    <w:p w14:paraId="05B645A5">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第五章 磋商响应文件格式；</w:t>
      </w:r>
    </w:p>
    <w:p w14:paraId="6A43E57A">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第六章 评审办法</w:t>
      </w:r>
    </w:p>
    <w:p w14:paraId="059E15D1">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竞争性磋商文件的澄清、修改文件以及磋商过程中对磋商文件作出的实质性变动（如有，另册）。</w:t>
      </w:r>
    </w:p>
    <w:p w14:paraId="2219AD1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3.2 竞争性磋商文件的提疑</w:t>
      </w:r>
    </w:p>
    <w:p w14:paraId="787A48A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3.2.1竞争性磋商文件提疑截止时间：</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21F10659">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3.2.2供应商应认真阅读通过“山西省政府采购网”获取的竞争性磋商文件，如发现竞争性磋商文件或清单中有前后不一致或不清楚或有误的内容，应在“竞争性磋商文件提疑截止时间”前以书面形式向采购组织机构提出，否则造成的一切后果由供应商自行承担，采购组织机构概不负责；</w:t>
      </w:r>
    </w:p>
    <w:p w14:paraId="403498B8">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3.2.3采购组织机构将在收到供应商递交的《疑问函》后三个工作日内以书面形式答复供应商提出的问题，并将不包含问题来源的答复通知所有已登记获取竞争性磋商文件的供应商。</w:t>
      </w:r>
    </w:p>
    <w:p w14:paraId="711DD22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3.3 竞争性磋商文件的澄清、修改（更正）</w:t>
      </w:r>
    </w:p>
    <w:p w14:paraId="3C29501F">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3.3.1采购人或者</w:t>
      </w:r>
      <w:r>
        <w:rPr>
          <w:rFonts w:hint="eastAsia" w:ascii="宋体" w:hAnsi="宋体" w:eastAsia="宋体" w:cs="宋体"/>
          <w:b/>
          <w:color w:val="auto"/>
          <w:kern w:val="0"/>
          <w:sz w:val="24"/>
          <w:szCs w:val="20"/>
          <w:lang w:eastAsia="zh-CN"/>
        </w:rPr>
        <w:t>采购代理机构</w:t>
      </w:r>
      <w:r>
        <w:rPr>
          <w:rFonts w:hint="eastAsia" w:ascii="宋体" w:hAnsi="宋体" w:eastAsia="宋体" w:cs="宋体"/>
          <w:b/>
          <w:color w:val="auto"/>
          <w:kern w:val="0"/>
          <w:sz w:val="24"/>
          <w:szCs w:val="20"/>
        </w:rPr>
        <w:t>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45A8D47A">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3.3.2竞争性磋商文件的澄清或者修改内容为竞争性磋商文件的组成部分，对所有参加本次采购活动的供应商均有约束力；</w:t>
      </w:r>
      <w:r>
        <w:rPr>
          <w:rFonts w:hint="eastAsia" w:ascii="宋体" w:hAnsi="宋体" w:eastAsia="宋体" w:cs="宋体"/>
          <w:color w:val="auto"/>
          <w:kern w:val="0"/>
          <w:sz w:val="24"/>
          <w:szCs w:val="20"/>
        </w:rPr>
        <w:t>当原竞争性磋商文件与澄清、修改的内容就同一事项的表述不一致时，以最后发出的文件为准；</w:t>
      </w:r>
    </w:p>
    <w:p w14:paraId="56629E1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3.3.3竞争性磋商文件的澄清、修改的内容影响到供应商磋商响应文件编制的，采购人或</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将按相关规定顺延磋商响应文件截止时间及开启时间，使之满足政府采购相关规定；</w:t>
      </w:r>
    </w:p>
    <w:p w14:paraId="3CBB7BFD">
      <w:pPr>
        <w:spacing w:line="360" w:lineRule="auto"/>
        <w:ind w:left="1"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3.3.4供应商收到采购组织机构发出的澄清、修改（更正）文件后，应在24小时内向采购组织机构递交书面回执；</w:t>
      </w:r>
    </w:p>
    <w:p w14:paraId="60F0A129">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3.3.5供应商对收到的澄清、修改（更正）文件内容有疑问的，应当同时在书面回执中加注说明并与采购人或</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确认，疑问内容应加盖单位公章、写明日期；</w:t>
      </w:r>
    </w:p>
    <w:p w14:paraId="7CFB4AAF">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3.3.6任何口头形式的答复、说明均不属于竞争性磋商文件的组成部分。</w:t>
      </w:r>
    </w:p>
    <w:p w14:paraId="59F3E09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3.4 竞争性磋商文件的质疑</w:t>
      </w:r>
    </w:p>
    <w:p w14:paraId="05FC2517">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供应商认为竞争性磋商文件使自己的合法权益受到损害的</w:t>
      </w:r>
      <w:r>
        <w:rPr>
          <w:rFonts w:hint="eastAsia" w:ascii="宋体" w:hAnsi="宋体" w:eastAsia="宋体" w:cs="宋体"/>
          <w:color w:val="auto"/>
          <w:kern w:val="0"/>
          <w:sz w:val="24"/>
          <w:szCs w:val="20"/>
          <w:highlight w:val="none"/>
        </w:rPr>
        <w:t>，应当以书面形式</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lang w:val="en-US" w:eastAsia="zh-CN"/>
        </w:rPr>
        <w:t>或系统中</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一次性向采</w:t>
      </w:r>
      <w:r>
        <w:rPr>
          <w:rFonts w:hint="eastAsia" w:ascii="宋体" w:hAnsi="宋体" w:eastAsia="宋体" w:cs="宋体"/>
          <w:color w:val="auto"/>
          <w:kern w:val="0"/>
          <w:sz w:val="24"/>
          <w:szCs w:val="20"/>
        </w:rPr>
        <w:t>购人、</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提出质疑</w:t>
      </w:r>
      <w:r>
        <w:rPr>
          <w:rFonts w:hint="eastAsia" w:ascii="宋体" w:hAnsi="宋体" w:eastAsia="宋体" w:cs="宋体"/>
          <w:color w:val="auto"/>
          <w:kern w:val="0"/>
          <w:sz w:val="24"/>
          <w:szCs w:val="20"/>
          <w:lang w:val="en-US" w:eastAsia="zh-CN"/>
        </w:rPr>
        <w:t>并电话告知</w:t>
      </w:r>
      <w:r>
        <w:rPr>
          <w:rFonts w:hint="eastAsia" w:ascii="宋体" w:hAnsi="宋体" w:eastAsia="宋体" w:cs="宋体"/>
          <w:color w:val="auto"/>
          <w:kern w:val="0"/>
          <w:sz w:val="24"/>
          <w:szCs w:val="20"/>
        </w:rPr>
        <w:t>。质疑供应商对采购人、</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的答复不满意或者采购人、</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未在规定的时间内作出答复的，可以在答复期满后15个工作日内向同级政府采购监督管理部门投诉。质疑函范本、投诉书范本请到山西省政府采购网下载专区下载。</w:t>
      </w:r>
    </w:p>
    <w:p w14:paraId="6AC54617">
      <w:pPr>
        <w:pStyle w:val="4"/>
        <w:ind w:firstLine="281" w:firstLineChars="100"/>
        <w:jc w:val="left"/>
        <w:rPr>
          <w:rFonts w:hint="eastAsia" w:ascii="宋体" w:hAnsi="宋体" w:eastAsia="宋体" w:cs="宋体"/>
          <w:color w:val="auto"/>
          <w:sz w:val="28"/>
          <w:szCs w:val="28"/>
        </w:rPr>
      </w:pPr>
      <w:bookmarkStart w:id="27" w:name="_Toc81341321"/>
      <w:bookmarkStart w:id="28" w:name="_Toc16412"/>
      <w:r>
        <w:rPr>
          <w:rFonts w:hint="eastAsia" w:ascii="宋体" w:hAnsi="宋体" w:eastAsia="宋体" w:cs="宋体"/>
          <w:color w:val="auto"/>
          <w:sz w:val="28"/>
          <w:szCs w:val="28"/>
        </w:rPr>
        <w:t>四、磋商响应文件</w:t>
      </w:r>
      <w:bookmarkEnd w:id="27"/>
      <w:bookmarkEnd w:id="28"/>
    </w:p>
    <w:p w14:paraId="342CEDD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4.1 磋商响应文件的形式</w:t>
      </w:r>
    </w:p>
    <w:p w14:paraId="11B28680">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4.1.1磋商响应文件的形式：</w:t>
      </w:r>
      <w:r>
        <w:rPr>
          <w:rFonts w:hint="eastAsia" w:ascii="宋体" w:hAnsi="宋体" w:eastAsia="宋体" w:cs="宋体"/>
          <w:b/>
          <w:color w:val="auto"/>
          <w:sz w:val="24"/>
          <w:szCs w:val="20"/>
          <w:u w:val="single"/>
        </w:rPr>
        <w:t>电子加密磋商响应文件</w:t>
      </w:r>
      <w:r>
        <w:rPr>
          <w:rFonts w:hint="eastAsia" w:ascii="宋体" w:hAnsi="宋体" w:eastAsia="宋体" w:cs="宋体"/>
          <w:b/>
          <w:color w:val="auto"/>
          <w:sz w:val="24"/>
          <w:szCs w:val="20"/>
        </w:rPr>
        <w:t>（是指通过“政采云电子交易客户端”完成磋商响应文件编制后生成并加密的数据电文形式的磋商响应文件，文件格式“.jmbs”）。</w:t>
      </w:r>
    </w:p>
    <w:p w14:paraId="40878DE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4.2 磋商响应文件的组成</w:t>
      </w:r>
    </w:p>
    <w:p w14:paraId="3AD3E723">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4.2.1</w:t>
      </w:r>
      <w:r>
        <w:rPr>
          <w:rFonts w:hint="eastAsia" w:ascii="宋体" w:hAnsi="宋体" w:eastAsia="宋体" w:cs="宋体"/>
          <w:b/>
          <w:color w:val="auto"/>
          <w:sz w:val="24"/>
          <w:szCs w:val="20"/>
        </w:rPr>
        <w:t>完整的磋商响应文件由《资格文件》、《商务技术文件》和《报价文件》三个部分组成</w:t>
      </w:r>
      <w:r>
        <w:rPr>
          <w:rFonts w:hint="eastAsia" w:ascii="宋体" w:hAnsi="宋体" w:eastAsia="宋体" w:cs="宋体"/>
          <w:b/>
          <w:color w:val="auto"/>
          <w:kern w:val="0"/>
          <w:sz w:val="24"/>
        </w:rPr>
        <w:t>（以下统称“磋商响应文件”）。</w:t>
      </w:r>
    </w:p>
    <w:p w14:paraId="4E019429">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4.2.2磋商响应文件内容组成</w:t>
      </w:r>
    </w:p>
    <w:p w14:paraId="2FEB6D2B">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第一部分：《资格文件》组成内容（资格证明文件未提供或提供的资格证明材料不齐全的，资格审查作不通过处理，不得进入下一评审程序。）</w:t>
      </w:r>
    </w:p>
    <w:p w14:paraId="40AC140A">
      <w:pPr>
        <w:spacing w:line="360" w:lineRule="auto"/>
        <w:ind w:firstLine="434" w:firstLineChars="200"/>
        <w:jc w:val="left"/>
        <w:rPr>
          <w:rFonts w:hint="eastAsia" w:ascii="宋体" w:hAnsi="宋体" w:eastAsia="宋体" w:cs="宋体"/>
          <w:b w:val="0"/>
          <w:color w:val="000000" w:themeColor="text1"/>
          <w:kern w:val="2"/>
          <w:sz w:val="24"/>
          <w:szCs w:val="22"/>
          <w:lang w:val="en-US" w:eastAsia="zh-CN"/>
          <w14:textFill>
            <w14:solidFill>
              <w14:schemeClr w14:val="tx1"/>
            </w14:solidFill>
          </w14:textFill>
        </w:rPr>
      </w:pPr>
      <w:r>
        <w:rPr>
          <w:rFonts w:hint="eastAsia" w:ascii="宋体" w:hAnsi="宋体" w:eastAsia="宋体" w:cs="宋体"/>
          <w:b/>
          <w:color w:val="auto"/>
          <w:w w:val="90"/>
          <w:kern w:val="0"/>
          <w:sz w:val="24"/>
        </w:rPr>
        <w:t>★1-1“</w:t>
      </w:r>
      <w:r>
        <w:rPr>
          <w:rFonts w:hint="eastAsia" w:ascii="宋体" w:hAnsi="宋体" w:eastAsia="宋体" w:cs="宋体"/>
          <w:b/>
          <w:color w:val="auto"/>
          <w:w w:val="90"/>
          <w:kern w:val="0"/>
          <w:sz w:val="24"/>
          <w:u w:val="single"/>
        </w:rPr>
        <w:t>符合《中华人民共和国政府采购法》第二十二条的规定</w:t>
      </w:r>
      <w:r>
        <w:rPr>
          <w:rFonts w:hint="eastAsia" w:ascii="宋体" w:hAnsi="宋体" w:eastAsia="宋体" w:cs="宋体"/>
          <w:b/>
          <w:color w:val="auto"/>
          <w:w w:val="90"/>
          <w:kern w:val="0"/>
          <w:sz w:val="24"/>
        </w:rPr>
        <w:t>”</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的证明文件：</w:t>
      </w:r>
    </w:p>
    <w:p w14:paraId="551B24E5">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★（1）</w:t>
      </w:r>
      <w:r>
        <w:rPr>
          <w:rFonts w:hint="eastAsia" w:ascii="宋体" w:hAnsi="宋体" w:eastAsia="宋体" w:cs="宋体"/>
          <w:b/>
          <w:bCs/>
          <w:color w:val="000000" w:themeColor="text1"/>
          <w:kern w:val="2"/>
          <w:sz w:val="24"/>
          <w:szCs w:val="22"/>
          <w:u w:val="single"/>
          <w14:textFill>
            <w14:solidFill>
              <w14:schemeClr w14:val="tx1"/>
            </w14:solidFill>
          </w14:textFill>
        </w:rPr>
        <w:t>具有独立承担民事责任的能力</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bCs/>
          <w:color w:val="000000" w:themeColor="text1"/>
          <w:kern w:val="2"/>
          <w:sz w:val="24"/>
          <w:szCs w:val="22"/>
          <w:u w:val="single"/>
          <w:lang w:val="en-US" w:eastAsia="zh-CN"/>
          <w14:textFill>
            <w14:solidFill>
              <w14:schemeClr w14:val="tx1"/>
            </w14:solidFill>
          </w14:textFill>
        </w:rPr>
        <w:t>承诺函（格式见第五章）</w:t>
      </w:r>
      <w:r>
        <w:rPr>
          <w:rFonts w:hint="eastAsia" w:ascii="宋体" w:hAnsi="宋体" w:eastAsia="宋体" w:cs="宋体"/>
          <w:b w:val="0"/>
          <w:color w:val="000000" w:themeColor="text1"/>
          <w:kern w:val="2"/>
          <w:sz w:val="24"/>
          <w:szCs w:val="22"/>
          <w14:textFill>
            <w14:solidFill>
              <w14:schemeClr w14:val="tx1"/>
            </w14:solidFill>
          </w14:textFill>
        </w:rPr>
        <w:t>；</w:t>
      </w:r>
    </w:p>
    <w:p w14:paraId="4DAAD139">
      <w:pPr>
        <w:spacing w:line="360" w:lineRule="auto"/>
        <w:ind w:firstLine="432" w:firstLineChars="200"/>
        <w:jc w:val="left"/>
        <w:rPr>
          <w:rFonts w:hint="eastAsia" w:ascii="宋体" w:hAnsi="宋体" w:eastAsia="宋体" w:cs="宋体"/>
          <w:color w:val="auto"/>
          <w:w w:val="90"/>
          <w:kern w:val="0"/>
          <w:sz w:val="24"/>
        </w:rPr>
      </w:pPr>
      <w:r>
        <w:rPr>
          <w:rFonts w:hint="eastAsia" w:ascii="宋体" w:hAnsi="宋体" w:eastAsia="宋体" w:cs="宋体"/>
          <w:color w:val="auto"/>
          <w:w w:val="90"/>
          <w:kern w:val="0"/>
          <w:sz w:val="24"/>
        </w:rPr>
        <w:t>★（2）</w:t>
      </w:r>
      <w:r>
        <w:rPr>
          <w:rFonts w:hint="eastAsia" w:ascii="宋体" w:hAnsi="宋体" w:eastAsia="宋体" w:cs="宋体"/>
          <w:b/>
          <w:color w:val="auto"/>
          <w:w w:val="90"/>
          <w:kern w:val="0"/>
          <w:sz w:val="24"/>
          <w:u w:val="single"/>
        </w:rPr>
        <w:t>具有良好的商业信誉和健全的财务会计制度</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color w:val="auto"/>
          <w:w w:val="90"/>
          <w:kern w:val="0"/>
          <w:sz w:val="24"/>
          <w:highlight w:val="none"/>
          <w:u w:val="single"/>
          <w:lang w:val="en-US" w:eastAsia="zh-CN"/>
        </w:rPr>
        <w:t>承诺函（格式见第五章）；</w:t>
      </w:r>
    </w:p>
    <w:p w14:paraId="1C9FF9FB">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★（3）</w:t>
      </w:r>
      <w:r>
        <w:rPr>
          <w:rFonts w:hint="eastAsia" w:ascii="宋体" w:hAnsi="宋体" w:eastAsia="宋体" w:cs="宋体"/>
          <w:b/>
          <w:color w:val="auto"/>
          <w:w w:val="90"/>
          <w:kern w:val="0"/>
          <w:sz w:val="24"/>
          <w:u w:val="single"/>
        </w:rPr>
        <w:t>具有履行合同所必需的设备和专业技术能力</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color w:val="auto"/>
          <w:w w:val="90"/>
          <w:kern w:val="0"/>
          <w:sz w:val="24"/>
          <w:u w:val="single"/>
        </w:rPr>
        <w:t>承诺函（格式见第五章）</w:t>
      </w:r>
      <w:r>
        <w:rPr>
          <w:rFonts w:hint="eastAsia" w:ascii="宋体" w:hAnsi="宋体" w:eastAsia="宋体" w:cs="宋体"/>
          <w:b/>
          <w:color w:val="auto"/>
          <w:w w:val="90"/>
          <w:kern w:val="0"/>
          <w:sz w:val="24"/>
        </w:rPr>
        <w:t>；</w:t>
      </w:r>
    </w:p>
    <w:p w14:paraId="62088B67">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★（4）</w:t>
      </w:r>
      <w:r>
        <w:rPr>
          <w:rFonts w:hint="eastAsia" w:ascii="宋体" w:hAnsi="宋体" w:eastAsia="宋体" w:cs="宋体"/>
          <w:b/>
          <w:color w:val="auto"/>
          <w:w w:val="90"/>
          <w:kern w:val="0"/>
          <w:sz w:val="24"/>
          <w:u w:val="single"/>
        </w:rPr>
        <w:t>有依法缴纳税收和社会保障金的良好记录</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color w:val="auto"/>
          <w:w w:val="90"/>
          <w:kern w:val="0"/>
          <w:sz w:val="24"/>
          <w:highlight w:val="none"/>
          <w:u w:val="single"/>
          <w:lang w:val="en-US" w:eastAsia="zh-CN"/>
        </w:rPr>
        <w:t>承诺函（格式见第五章）；</w:t>
      </w:r>
    </w:p>
    <w:p w14:paraId="7DED339B">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★（5）</w:t>
      </w:r>
      <w:r>
        <w:rPr>
          <w:rFonts w:hint="eastAsia" w:ascii="宋体" w:hAnsi="宋体" w:eastAsia="宋体" w:cs="宋体"/>
          <w:b/>
          <w:color w:val="auto"/>
          <w:w w:val="90"/>
          <w:kern w:val="0"/>
          <w:sz w:val="24"/>
          <w:u w:val="single"/>
        </w:rPr>
        <w:t>参加本次采购活动前三年内在经营活动中没有重大违法记录</w:t>
      </w:r>
      <w:r>
        <w:rPr>
          <w:rFonts w:hint="eastAsia" w:ascii="宋体" w:hAnsi="宋体" w:eastAsia="宋体" w:cs="宋体"/>
          <w:bCs/>
          <w:color w:val="000000" w:themeColor="text1"/>
          <w:sz w:val="24"/>
          <w14:textFill>
            <w14:solidFill>
              <w14:schemeClr w14:val="tx1"/>
            </w14:solidFill>
          </w14:textFill>
        </w:rPr>
        <w:t>的证明材料</w:t>
      </w:r>
      <w:r>
        <w:rPr>
          <w:rFonts w:hint="eastAsia" w:ascii="宋体" w:hAnsi="宋体" w:eastAsia="宋体" w:cs="宋体"/>
          <w:color w:val="auto"/>
          <w:w w:val="90"/>
          <w:kern w:val="0"/>
          <w:sz w:val="24"/>
        </w:rPr>
        <w:t>：</w:t>
      </w:r>
      <w:r>
        <w:rPr>
          <w:rFonts w:hint="eastAsia" w:ascii="宋体" w:hAnsi="宋体" w:eastAsia="宋体" w:cs="宋体"/>
          <w:b/>
          <w:color w:val="auto"/>
          <w:w w:val="90"/>
          <w:kern w:val="0"/>
          <w:sz w:val="24"/>
          <w:u w:val="single"/>
        </w:rPr>
        <w:t>承诺函（格式见第五章）</w:t>
      </w:r>
      <w:r>
        <w:rPr>
          <w:rFonts w:hint="eastAsia" w:ascii="宋体" w:hAnsi="宋体" w:eastAsia="宋体" w:cs="宋体"/>
          <w:b/>
          <w:color w:val="auto"/>
          <w:w w:val="90"/>
          <w:kern w:val="0"/>
          <w:sz w:val="24"/>
        </w:rPr>
        <w:t>；</w:t>
      </w:r>
    </w:p>
    <w:p w14:paraId="68770595">
      <w:pPr>
        <w:spacing w:line="360" w:lineRule="auto"/>
        <w:ind w:firstLine="432" w:firstLineChars="200"/>
        <w:jc w:val="left"/>
        <w:rPr>
          <w:rFonts w:hint="eastAsia" w:ascii="宋体" w:hAnsi="宋体" w:eastAsia="宋体" w:cs="宋体"/>
          <w:b/>
          <w:color w:val="auto"/>
          <w:w w:val="90"/>
          <w:kern w:val="0"/>
          <w:sz w:val="24"/>
          <w:highlight w:val="none"/>
        </w:rPr>
      </w:pPr>
      <w:r>
        <w:rPr>
          <w:rFonts w:hint="eastAsia" w:ascii="宋体" w:hAnsi="宋体" w:eastAsia="宋体" w:cs="宋体"/>
          <w:color w:val="auto"/>
          <w:w w:val="90"/>
          <w:kern w:val="0"/>
          <w:sz w:val="24"/>
          <w:highlight w:val="none"/>
        </w:rPr>
        <w:t>★</w:t>
      </w:r>
      <w:r>
        <w:rPr>
          <w:rFonts w:hint="eastAsia" w:ascii="宋体" w:hAnsi="宋体" w:eastAsia="宋体" w:cs="宋体"/>
          <w:b/>
          <w:color w:val="auto"/>
          <w:w w:val="90"/>
          <w:kern w:val="0"/>
          <w:sz w:val="24"/>
          <w:highlight w:val="none"/>
        </w:rPr>
        <w:t>1-2未被“信用中国（www.creditchina.gov.cn）”中国政府采购网（www.ccgp.gov.cn）列入失信被执行人名单、</w:t>
      </w:r>
      <w:r>
        <w:rPr>
          <w:rFonts w:hint="eastAsia" w:ascii="宋体" w:hAnsi="宋体" w:eastAsia="宋体" w:cs="宋体"/>
          <w:b/>
          <w:color w:val="auto"/>
          <w:w w:val="90"/>
          <w:kern w:val="0"/>
          <w:sz w:val="24"/>
          <w:highlight w:val="none"/>
          <w:lang w:eastAsia="zh-CN"/>
        </w:rPr>
        <w:t>重大税收违法失信主体</w:t>
      </w:r>
      <w:r>
        <w:rPr>
          <w:rFonts w:hint="eastAsia" w:ascii="宋体" w:hAnsi="宋体" w:eastAsia="宋体" w:cs="宋体"/>
          <w:b/>
          <w:color w:val="auto"/>
          <w:w w:val="90"/>
          <w:kern w:val="0"/>
          <w:sz w:val="24"/>
          <w:highlight w:val="none"/>
        </w:rPr>
        <w:t>、政府采购严重违法失信行为记录名单的证明材料：《没有失信记录承诺函》（格式见第五章）；</w:t>
      </w:r>
    </w:p>
    <w:p w14:paraId="61E8AC45">
      <w:pPr>
        <w:spacing w:line="360" w:lineRule="auto"/>
        <w:ind w:firstLine="432" w:firstLineChars="200"/>
        <w:jc w:val="left"/>
        <w:rPr>
          <w:rFonts w:hint="eastAsia" w:ascii="宋体" w:hAnsi="宋体" w:eastAsia="宋体" w:cs="宋体"/>
          <w:bCs/>
          <w:color w:val="auto"/>
          <w:w w:val="90"/>
          <w:kern w:val="0"/>
          <w:sz w:val="24"/>
          <w:highlight w:val="none"/>
        </w:rPr>
      </w:pPr>
      <w:r>
        <w:rPr>
          <w:rFonts w:hint="eastAsia" w:ascii="宋体" w:hAnsi="宋体" w:eastAsia="宋体" w:cs="宋体"/>
          <w:color w:val="auto"/>
          <w:w w:val="90"/>
          <w:kern w:val="0"/>
          <w:sz w:val="24"/>
          <w:highlight w:val="none"/>
        </w:rPr>
        <w:t xml:space="preserve">★ </w:t>
      </w:r>
      <w:r>
        <w:rPr>
          <w:rFonts w:hint="eastAsia" w:ascii="宋体" w:hAnsi="宋体" w:eastAsia="宋体" w:cs="宋体"/>
          <w:b/>
          <w:color w:val="auto"/>
          <w:w w:val="90"/>
          <w:kern w:val="0"/>
          <w:sz w:val="24"/>
          <w:highlight w:val="none"/>
        </w:rPr>
        <w:t>1-3</w:t>
      </w:r>
      <w:r>
        <w:rPr>
          <w:rFonts w:hint="eastAsia" w:ascii="宋体" w:hAnsi="宋体" w:eastAsia="宋体" w:cs="宋体"/>
          <w:b/>
          <w:color w:val="auto"/>
          <w:w w:val="90"/>
          <w:kern w:val="0"/>
          <w:sz w:val="24"/>
          <w:highlight w:val="none"/>
          <w:u w:val="single"/>
        </w:rPr>
        <w:t>非联合体的</w:t>
      </w:r>
      <w:r>
        <w:rPr>
          <w:rFonts w:hint="eastAsia" w:ascii="宋体" w:hAnsi="宋体" w:eastAsia="宋体" w:cs="宋体"/>
          <w:bCs/>
          <w:color w:val="000000" w:themeColor="text1"/>
          <w:sz w:val="24"/>
          <w14:textFill>
            <w14:solidFill>
              <w14:schemeClr w14:val="tx1"/>
            </w14:solidFill>
          </w14:textFill>
        </w:rPr>
        <w:t>证明材料：</w:t>
      </w:r>
      <w:r>
        <w:rPr>
          <w:rFonts w:hint="eastAsia" w:ascii="宋体" w:hAnsi="宋体" w:eastAsia="宋体" w:cs="宋体"/>
          <w:b/>
          <w:color w:val="auto"/>
          <w:w w:val="90"/>
          <w:kern w:val="0"/>
          <w:sz w:val="24"/>
          <w:highlight w:val="none"/>
          <w:u w:val="single"/>
        </w:rPr>
        <w:t>非联合体声明书</w:t>
      </w:r>
      <w:r>
        <w:rPr>
          <w:rFonts w:hint="eastAsia" w:ascii="宋体" w:hAnsi="宋体" w:eastAsia="宋体" w:cs="宋体"/>
          <w:bCs/>
          <w:color w:val="000000" w:themeColor="text1"/>
          <w:sz w:val="24"/>
          <w14:textFill>
            <w14:solidFill>
              <w14:schemeClr w14:val="tx1"/>
            </w14:solidFill>
          </w14:textFill>
        </w:rPr>
        <w:t>（格式见第五章）。</w:t>
      </w:r>
    </w:p>
    <w:p w14:paraId="5FD88F08">
      <w:pPr>
        <w:spacing w:line="360" w:lineRule="auto"/>
        <w:ind w:firstLine="432" w:firstLineChars="200"/>
        <w:jc w:val="left"/>
        <w:rPr>
          <w:rFonts w:hint="eastAsia" w:ascii="宋体" w:hAnsi="宋体" w:eastAsia="宋体" w:cs="宋体"/>
          <w:color w:val="auto"/>
          <w:w w:val="90"/>
          <w:kern w:val="0"/>
          <w:sz w:val="24"/>
          <w:highlight w:val="none"/>
        </w:rPr>
      </w:pPr>
      <w:r>
        <w:rPr>
          <w:rFonts w:hint="eastAsia" w:ascii="宋体" w:hAnsi="宋体" w:eastAsia="宋体" w:cs="宋体"/>
          <w:color w:val="auto"/>
          <w:w w:val="90"/>
          <w:kern w:val="0"/>
          <w:sz w:val="24"/>
          <w:highlight w:val="none"/>
        </w:rPr>
        <w:t xml:space="preserve">★ </w:t>
      </w:r>
      <w:r>
        <w:rPr>
          <w:rFonts w:hint="eastAsia" w:ascii="宋体" w:hAnsi="宋体" w:eastAsia="宋体" w:cs="宋体"/>
          <w:b/>
          <w:color w:val="auto"/>
          <w:w w:val="90"/>
          <w:kern w:val="0"/>
          <w:sz w:val="24"/>
          <w:highlight w:val="none"/>
          <w:u w:val="single"/>
        </w:rPr>
        <w:t>1-4“落实政府采购政策需满足的资格要求”规定</w:t>
      </w:r>
      <w:r>
        <w:rPr>
          <w:rFonts w:hint="eastAsia" w:ascii="宋体" w:hAnsi="宋体" w:eastAsia="宋体" w:cs="宋体"/>
          <w:bCs/>
          <w:color w:val="000000" w:themeColor="text1"/>
          <w:sz w:val="24"/>
          <w14:textFill>
            <w14:solidFill>
              <w14:schemeClr w14:val="tx1"/>
            </w14:solidFill>
          </w14:textFill>
        </w:rPr>
        <w:t>的证明文件</w:t>
      </w:r>
    </w:p>
    <w:p w14:paraId="0FB30B16">
      <w:pPr>
        <w:widowControl/>
        <w:autoSpaceDE w:val="0"/>
        <w:autoSpaceDN w:val="0"/>
        <w:spacing w:line="360" w:lineRule="auto"/>
        <w:ind w:firstLine="482" w:firstLineChars="200"/>
        <w:jc w:val="left"/>
        <w:outlineLvl w:val="2"/>
        <w:rPr>
          <w:rFonts w:hint="eastAsia" w:ascii="宋体" w:hAnsi="宋体" w:eastAsia="宋体" w:cs="宋体"/>
          <w:b/>
          <w:color w:val="auto"/>
          <w:w w:val="90"/>
          <w:kern w:val="0"/>
          <w:sz w:val="24"/>
          <w:u w:val="single"/>
        </w:rPr>
      </w:pPr>
      <w:r>
        <w:rPr>
          <w:rFonts w:hint="eastAsia" w:ascii="宋体" w:hAnsi="宋体" w:eastAsia="宋体" w:cs="宋体"/>
          <w:b/>
          <w:color w:val="auto"/>
          <w:sz w:val="24"/>
        </w:rPr>
        <w:t>提示和说明：</w:t>
      </w:r>
      <w:r>
        <w:rPr>
          <w:rFonts w:hint="eastAsia" w:ascii="宋体" w:hAnsi="宋体" w:eastAsia="宋体" w:cs="宋体"/>
          <w:b/>
          <w:color w:val="auto"/>
          <w:w w:val="90"/>
          <w:kern w:val="0"/>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69E5DBC6">
      <w:pPr>
        <w:widowControl/>
        <w:autoSpaceDE w:val="0"/>
        <w:autoSpaceDN w:val="0"/>
        <w:spacing w:line="360" w:lineRule="auto"/>
        <w:ind w:firstLine="432" w:firstLineChars="200"/>
        <w:jc w:val="left"/>
        <w:outlineLvl w:val="2"/>
        <w:rPr>
          <w:rFonts w:hint="eastAsia" w:ascii="宋体" w:hAnsi="宋体" w:eastAsia="宋体" w:cs="宋体"/>
          <w:b/>
          <w:color w:val="auto"/>
          <w:kern w:val="0"/>
          <w:sz w:val="24"/>
          <w:szCs w:val="20"/>
          <w:u w:val="single"/>
        </w:rPr>
      </w:pPr>
      <w:r>
        <w:rPr>
          <w:rFonts w:hint="eastAsia" w:ascii="宋体" w:hAnsi="宋体" w:eastAsia="宋体" w:cs="宋体"/>
          <w:bCs w:val="0"/>
          <w:color w:val="auto"/>
          <w:w w:val="90"/>
          <w:sz w:val="24"/>
          <w:szCs w:val="22"/>
        </w:rPr>
        <w:t xml:space="preserve"> </w:t>
      </w: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color w:val="auto"/>
          <w:w w:val="90"/>
          <w:kern w:val="0"/>
          <w:sz w:val="24"/>
          <w:highlight w:val="none"/>
        </w:rPr>
        <w:t xml:space="preserve"> </w:t>
      </w:r>
      <w:r>
        <w:rPr>
          <w:rFonts w:hint="eastAsia" w:ascii="宋体" w:hAnsi="宋体" w:eastAsia="宋体" w:cs="宋体"/>
          <w:b/>
          <w:bCs/>
          <w:color w:val="auto"/>
          <w:w w:val="90"/>
          <w:kern w:val="0"/>
          <w:sz w:val="24"/>
          <w:highlight w:val="none"/>
        </w:rPr>
        <w:t>1-</w:t>
      </w:r>
      <w:r>
        <w:rPr>
          <w:rFonts w:hint="eastAsia" w:ascii="宋体" w:hAnsi="宋体" w:eastAsia="宋体" w:cs="宋体"/>
          <w:b/>
          <w:bCs/>
          <w:color w:val="auto"/>
          <w:w w:val="90"/>
          <w:kern w:val="0"/>
          <w:sz w:val="24"/>
          <w:highlight w:val="none"/>
          <w:lang w:val="en-US" w:eastAsia="zh-CN"/>
        </w:rPr>
        <w:t>5</w:t>
      </w:r>
      <w:r>
        <w:rPr>
          <w:rFonts w:hint="eastAsia" w:ascii="宋体" w:hAnsi="宋体" w:eastAsia="宋体" w:cs="宋体"/>
          <w:b/>
          <w:bCs/>
          <w:color w:val="auto"/>
          <w:w w:val="90"/>
          <w:kern w:val="0"/>
          <w:sz w:val="24"/>
          <w:highlight w:val="none"/>
          <w:u w:val="single"/>
        </w:rPr>
        <w:t>“</w:t>
      </w:r>
      <w:r>
        <w:rPr>
          <w:rFonts w:hint="eastAsia" w:ascii="宋体" w:hAnsi="宋体" w:eastAsia="宋体" w:cs="宋体"/>
          <w:b/>
          <w:color w:val="auto"/>
          <w:w w:val="90"/>
          <w:kern w:val="0"/>
          <w:sz w:val="24"/>
          <w:u w:val="single"/>
        </w:rPr>
        <w:t>符合本项目的特定资格要求”</w:t>
      </w:r>
      <w:r>
        <w:rPr>
          <w:rFonts w:hint="eastAsia" w:ascii="宋体" w:hAnsi="宋体" w:eastAsia="宋体" w:cs="宋体"/>
          <w:bCs/>
          <w:color w:val="000000" w:themeColor="text1"/>
          <w:sz w:val="24"/>
          <w14:textFill>
            <w14:solidFill>
              <w14:schemeClr w14:val="tx1"/>
            </w14:solidFill>
          </w14:textFill>
        </w:rPr>
        <w:t>的证明文件：</w:t>
      </w:r>
      <w:r>
        <w:rPr>
          <w:rFonts w:hint="eastAsia" w:ascii="宋体" w:hAnsi="宋体" w:eastAsia="宋体" w:cs="宋体"/>
          <w:b/>
          <w:color w:val="auto"/>
          <w:kern w:val="0"/>
          <w:sz w:val="24"/>
          <w:szCs w:val="20"/>
          <w:u w:val="single"/>
        </w:rPr>
        <w:t>见《磋商须知前附表》</w:t>
      </w:r>
    </w:p>
    <w:p w14:paraId="01F7F474">
      <w:pPr>
        <w:pStyle w:val="3"/>
        <w:ind w:firstLine="434" w:firstLineChars="200"/>
        <w:jc w:val="left"/>
        <w:rPr>
          <w:rFonts w:hint="eastAsia" w:ascii="宋体" w:hAnsi="宋体" w:eastAsia="宋体" w:cs="宋体"/>
          <w:b w:val="0"/>
          <w:bCs/>
          <w:w w:val="90"/>
          <w:sz w:val="24"/>
          <w:szCs w:val="22"/>
          <w:u w:val="none"/>
          <w:lang w:val="en-US" w:eastAsia="zh-CN"/>
        </w:rPr>
      </w:pPr>
      <w:r>
        <w:rPr>
          <w:rFonts w:hint="eastAsia" w:ascii="宋体" w:hAnsi="宋体" w:eastAsia="宋体" w:cs="宋体"/>
          <w:bCs w:val="0"/>
          <w:color w:val="auto"/>
          <w:w w:val="90"/>
          <w:sz w:val="24"/>
          <w:szCs w:val="22"/>
          <w:highlight w:val="none"/>
        </w:rPr>
        <w:t xml:space="preserve"> </w:t>
      </w:r>
      <w:r>
        <w:rPr>
          <w:rFonts w:hint="eastAsia" w:ascii="宋体" w:hAnsi="宋体" w:eastAsia="宋体" w:cs="宋体"/>
          <w:bCs w:val="0"/>
          <w:w w:val="90"/>
          <w:sz w:val="24"/>
          <w:szCs w:val="22"/>
          <w:u w:val="single"/>
        </w:rPr>
        <w:t>★</w:t>
      </w:r>
      <w:r>
        <w:rPr>
          <w:rFonts w:hint="eastAsia" w:ascii="宋体" w:hAnsi="宋体" w:eastAsia="宋体" w:cs="宋体"/>
          <w:bCs w:val="0"/>
          <w:w w:val="90"/>
          <w:sz w:val="24"/>
          <w:szCs w:val="22"/>
          <w:u w:val="single"/>
          <w:lang w:val="en-US" w:eastAsia="zh-CN"/>
        </w:rPr>
        <w:t>1-6 外省企业入晋：</w:t>
      </w:r>
      <w:r>
        <w:rPr>
          <w:rFonts w:hint="eastAsia" w:ascii="宋体" w:hAnsi="宋体" w:eastAsia="宋体" w:cs="宋体"/>
          <w:b/>
          <w:bCs w:val="0"/>
          <w:w w:val="90"/>
          <w:sz w:val="24"/>
          <w:szCs w:val="22"/>
          <w:u w:val="none"/>
          <w:lang w:val="en-US" w:eastAsia="zh-CN"/>
        </w:rPr>
        <w:t>应符合晋建市字【2016】3号文件报送企业基本信息，并将公示的企业基本信息网页截图加盖单位公章，并附在响应文件中。</w:t>
      </w:r>
    </w:p>
    <w:p w14:paraId="4B7DE9C5">
      <w:pPr>
        <w:pStyle w:val="3"/>
        <w:ind w:firstLine="434" w:firstLineChars="200"/>
        <w:jc w:val="left"/>
        <w:rPr>
          <w:rFonts w:hint="eastAsia" w:ascii="宋体" w:hAnsi="宋体" w:eastAsia="宋体" w:cs="宋体"/>
          <w:bCs w:val="0"/>
          <w:color w:val="auto"/>
          <w:w w:val="90"/>
          <w:sz w:val="24"/>
          <w:szCs w:val="22"/>
          <w:highlight w:val="none"/>
          <w:u w:val="single"/>
        </w:rPr>
      </w:pPr>
      <w:r>
        <w:rPr>
          <w:rFonts w:hint="eastAsia" w:ascii="宋体" w:hAnsi="宋体" w:eastAsia="宋体" w:cs="宋体"/>
          <w:bCs w:val="0"/>
          <w:color w:val="auto"/>
          <w:w w:val="90"/>
          <w:sz w:val="24"/>
          <w:szCs w:val="22"/>
          <w:highlight w:val="none"/>
        </w:rPr>
        <w:t>★1-</w:t>
      </w:r>
      <w:r>
        <w:rPr>
          <w:rFonts w:hint="eastAsia" w:ascii="宋体" w:hAnsi="宋体" w:eastAsia="宋体" w:cs="宋体"/>
          <w:bCs w:val="0"/>
          <w:color w:val="auto"/>
          <w:w w:val="90"/>
          <w:sz w:val="24"/>
          <w:szCs w:val="22"/>
          <w:highlight w:val="none"/>
          <w:lang w:val="en-US" w:eastAsia="zh-CN"/>
        </w:rPr>
        <w:t>7</w:t>
      </w:r>
      <w:r>
        <w:rPr>
          <w:rFonts w:hint="eastAsia" w:ascii="宋体" w:hAnsi="宋体" w:eastAsia="宋体" w:cs="宋体"/>
          <w:bCs w:val="0"/>
          <w:color w:val="auto"/>
          <w:w w:val="90"/>
          <w:sz w:val="24"/>
          <w:szCs w:val="22"/>
          <w:highlight w:val="none"/>
          <w:u w:val="single"/>
        </w:rPr>
        <w:t>磋商保证金的交纳情况及开户许可证（提供磋商供应商基本存款账户信息及保证金交纳回单或回执扫描件或保函扫描件加盖磋商响应供应商公章；）扫描件</w:t>
      </w:r>
    </w:p>
    <w:p w14:paraId="38E022C2">
      <w:pPr>
        <w:spacing w:line="360" w:lineRule="auto"/>
        <w:ind w:firstLine="432" w:firstLineChars="199"/>
        <w:jc w:val="left"/>
        <w:rPr>
          <w:rFonts w:hint="eastAsia" w:ascii="宋体" w:hAnsi="宋体" w:eastAsia="宋体" w:cs="宋体"/>
          <w:color w:val="auto"/>
          <w:w w:val="90"/>
          <w:kern w:val="0"/>
          <w:sz w:val="24"/>
          <w:highlight w:val="yellow"/>
        </w:rPr>
      </w:pPr>
      <w:r>
        <w:rPr>
          <w:rFonts w:hint="eastAsia" w:ascii="宋体" w:hAnsi="宋体" w:eastAsia="宋体" w:cs="宋体"/>
          <w:b/>
          <w:bCs/>
          <w:color w:val="auto"/>
          <w:w w:val="90"/>
          <w:kern w:val="0"/>
          <w:sz w:val="24"/>
        </w:rPr>
        <w:t>★1-</w:t>
      </w:r>
      <w:r>
        <w:rPr>
          <w:rFonts w:hint="eastAsia" w:ascii="宋体" w:hAnsi="宋体" w:eastAsia="宋体" w:cs="宋体"/>
          <w:b/>
          <w:bCs/>
          <w:color w:val="auto"/>
          <w:w w:val="90"/>
          <w:kern w:val="0"/>
          <w:sz w:val="24"/>
          <w:lang w:val="en-US" w:eastAsia="zh-CN"/>
        </w:rPr>
        <w:t>8</w:t>
      </w:r>
      <w:r>
        <w:rPr>
          <w:rFonts w:hint="eastAsia" w:ascii="宋体" w:hAnsi="宋体" w:eastAsia="宋体" w:cs="宋体"/>
          <w:b/>
          <w:color w:val="auto"/>
          <w:w w:val="90"/>
          <w:kern w:val="0"/>
          <w:sz w:val="24"/>
          <w:u w:val="single"/>
        </w:rPr>
        <w:t>“与采购人不存在利害关系及其他违规行为”的证明材料（格式见第五章）</w:t>
      </w:r>
    </w:p>
    <w:p w14:paraId="47292A0C">
      <w:pPr>
        <w:rPr>
          <w:rFonts w:hint="eastAsia"/>
        </w:rPr>
      </w:pPr>
    </w:p>
    <w:p w14:paraId="6B3B0ED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第二部分：《商务技术文件》组成内容，带</w:t>
      </w:r>
      <w:r>
        <w:rPr>
          <w:rFonts w:hint="eastAsia" w:ascii="宋体" w:hAnsi="宋体" w:eastAsia="宋体" w:cs="宋体"/>
          <w:bCs/>
          <w:color w:val="auto"/>
          <w:w w:val="90"/>
          <w:kern w:val="0"/>
          <w:sz w:val="24"/>
        </w:rPr>
        <w:t>★</w:t>
      </w:r>
      <w:r>
        <w:rPr>
          <w:rFonts w:hint="eastAsia" w:ascii="宋体" w:hAnsi="宋体" w:eastAsia="宋体" w:cs="宋体"/>
          <w:b/>
          <w:color w:val="auto"/>
          <w:kern w:val="0"/>
          <w:sz w:val="24"/>
          <w:szCs w:val="20"/>
        </w:rPr>
        <w:t>内容证明文件未提供或提供的证明材料不齐全的，商务审查作不通过处理，不得进入评审程序。</w:t>
      </w:r>
    </w:p>
    <w:p w14:paraId="768CC89E">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★（1）法定代表人资格证明书（格式见第五章）；</w:t>
      </w:r>
    </w:p>
    <w:p w14:paraId="65D76DDA">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★（2）法定代表人授权委托书（法定代表人授权其公司员工签署及参加磋商响应的，在磋商响应文件中同时出具法定代表人资格证明书及此授权书）（格式见第五章）；</w:t>
      </w:r>
    </w:p>
    <w:p w14:paraId="0FF1120A">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★（3）节能、环保产品、商品包装承诺书（格式见第五章）</w:t>
      </w:r>
    </w:p>
    <w:p w14:paraId="5F547F7C">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（4）磋商供应商类似项目业绩情况（格式见第五章）；</w:t>
      </w:r>
    </w:p>
    <w:p w14:paraId="5FEC10BB">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（5）拟派项目经理类似项目业绩情况（格式见第五章）；</w:t>
      </w:r>
    </w:p>
    <w:p w14:paraId="47CE6CD0">
      <w:pPr>
        <w:spacing w:line="360" w:lineRule="auto"/>
        <w:ind w:firstLine="480" w:firstLineChars="200"/>
        <w:jc w:val="left"/>
        <w:rPr>
          <w:rFonts w:hint="eastAsia" w:ascii="宋体" w:hAnsi="宋体" w:eastAsia="宋体" w:cs="宋体"/>
          <w:bCs/>
          <w:color w:val="000000" w:themeColor="text1"/>
          <w:sz w:val="24"/>
          <w:highlight w:val="yellow"/>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）施工组织设计；</w:t>
      </w:r>
    </w:p>
    <w:p w14:paraId="3D84B1CD">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a施工组织方案</w:t>
      </w:r>
    </w:p>
    <w:p w14:paraId="549F706D">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b施工进度计划方案</w:t>
      </w:r>
    </w:p>
    <w:p w14:paraId="1AB49861">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c施工质量控制方案</w:t>
      </w:r>
    </w:p>
    <w:p w14:paraId="5B3FF0C7">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d安全文明施工保障措施方案</w:t>
      </w:r>
    </w:p>
    <w:p w14:paraId="31D5DA1B">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e重、难点分析方案</w:t>
      </w:r>
    </w:p>
    <w:p w14:paraId="748EE279">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f应急预案和紧急事件处置措施</w:t>
      </w:r>
    </w:p>
    <w:p w14:paraId="4681C8B0">
      <w:pPr>
        <w:spacing w:line="360" w:lineRule="auto"/>
        <w:ind w:firstLine="480" w:firstLineChars="200"/>
        <w:jc w:val="left"/>
        <w:rPr>
          <w:rFonts w:hint="eastAsia" w:ascii="宋体" w:hAnsi="宋体" w:eastAsia="宋体" w:cs="宋体"/>
          <w:bCs/>
          <w:color w:val="auto"/>
          <w:sz w:val="24"/>
          <w:highlight w:val="yellow"/>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）其他资料（格式自拟）</w:t>
      </w:r>
    </w:p>
    <w:p w14:paraId="6CF2EBFE">
      <w:pPr>
        <w:spacing w:line="360" w:lineRule="auto"/>
        <w:ind w:firstLine="482" w:firstLineChars="200"/>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 xml:space="preserve"> 第三部分：《报价文件》组成内容，</w:t>
      </w:r>
      <w:r>
        <w:rPr>
          <w:rFonts w:hint="eastAsia" w:ascii="宋体" w:hAnsi="宋体" w:eastAsia="宋体" w:cs="宋体"/>
          <w:b/>
          <w:color w:val="auto"/>
          <w:sz w:val="24"/>
          <w:szCs w:val="20"/>
        </w:rPr>
        <w:t>以下</w:t>
      </w:r>
      <w:r>
        <w:rPr>
          <w:rFonts w:hint="eastAsia" w:ascii="宋体" w:hAnsi="宋体" w:eastAsia="宋体" w:cs="宋体"/>
          <w:color w:val="auto"/>
          <w:w w:val="90"/>
          <w:sz w:val="24"/>
        </w:rPr>
        <w:t>★</w:t>
      </w:r>
      <w:r>
        <w:rPr>
          <w:rFonts w:hint="eastAsia" w:ascii="宋体" w:hAnsi="宋体" w:eastAsia="宋体" w:cs="宋体"/>
          <w:b/>
          <w:color w:val="auto"/>
          <w:sz w:val="24"/>
          <w:szCs w:val="20"/>
        </w:rPr>
        <w:t>内容文件未提供或提供的证明材料不齐全的，商务审查作不通过处理：</w:t>
      </w:r>
    </w:p>
    <w:p w14:paraId="1519808B">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（1）响应函；</w:t>
      </w:r>
    </w:p>
    <w:p w14:paraId="49624E98">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（2）已标价工程量清单；</w:t>
      </w:r>
    </w:p>
    <w:p w14:paraId="518548AE">
      <w:pPr>
        <w:pStyle w:val="12"/>
        <w:spacing w:line="360" w:lineRule="auto"/>
        <w:ind w:firstLine="480" w:firstLineChars="200"/>
        <w:rPr>
          <w:rFonts w:hint="eastAsia" w:ascii="宋体" w:hAnsi="宋体" w:eastAsia="宋体" w:cs="宋体"/>
          <w:bCs/>
          <w:color w:val="auto"/>
          <w:lang w:eastAsia="zh-CN"/>
        </w:rPr>
      </w:pPr>
      <w:r>
        <w:rPr>
          <w:rFonts w:hint="eastAsia" w:ascii="宋体" w:hAnsi="宋体" w:eastAsia="宋体" w:cs="宋体"/>
          <w:bCs/>
          <w:color w:val="auto"/>
          <w:sz w:val="24"/>
          <w:highlight w:val="none"/>
        </w:rPr>
        <w:t xml:space="preserve">   （3）供应商认为其他需要提供的资料（格式自拟）。</w:t>
      </w:r>
    </w:p>
    <w:p w14:paraId="75D341FE">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sz w:val="24"/>
        </w:rPr>
        <w:t>注：以上目录是编制响应文件的基本格式要求，各供应商可根据自身情况进一步细化。</w:t>
      </w:r>
    </w:p>
    <w:p w14:paraId="1E38ED3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4.3 磋商响应文件的编制</w:t>
      </w:r>
    </w:p>
    <w:p w14:paraId="2682C99D">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kern w:val="0"/>
          <w:sz w:val="24"/>
        </w:rPr>
        <w:t>4.3.1</w:t>
      </w:r>
      <w:r>
        <w:rPr>
          <w:rFonts w:hint="eastAsia" w:ascii="宋体" w:hAnsi="宋体" w:eastAsia="宋体" w:cs="宋体"/>
          <w:b/>
          <w:color w:val="auto"/>
          <w:sz w:val="24"/>
        </w:rPr>
        <w:t>本项目通过“山西省政府采购网”（网址http://www.ccgp-shanxi.gov.cn/home.html）实行电子交易（在线磋商响应）。供应商参加本项目电子交易应当安装“政采云电子交易客户端”，并按照本竞争性磋商文件和“山西省政府采购网”的要求编制并加密磋商响应文件。</w:t>
      </w:r>
      <w:r>
        <w:rPr>
          <w:rFonts w:hint="eastAsia" w:ascii="宋体" w:hAnsi="宋体" w:eastAsia="宋体" w:cs="宋体"/>
          <w:b/>
          <w:color w:val="auto"/>
          <w:sz w:val="24"/>
          <w:u w:val="single"/>
        </w:rPr>
        <w:t>供应商未按规定加密的磋商响应文件，“山西省政府采购网”将予以拒收</w:t>
      </w:r>
      <w:r>
        <w:rPr>
          <w:rFonts w:hint="eastAsia" w:ascii="宋体" w:hAnsi="宋体" w:eastAsia="宋体" w:cs="宋体"/>
          <w:b/>
          <w:color w:val="auto"/>
          <w:sz w:val="24"/>
        </w:rPr>
        <w:t>。</w:t>
      </w:r>
    </w:p>
    <w:p w14:paraId="7D9CE174">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4.3.2供应商应当按照本章节第4.2.2款规定的内容在“政采云电子交易客户端”编制磋商响应文件。</w:t>
      </w:r>
    </w:p>
    <w:p w14:paraId="0CFF79FC">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kern w:val="0"/>
          <w:sz w:val="24"/>
        </w:rPr>
        <w:t>4.3.3</w:t>
      </w:r>
      <w:r>
        <w:rPr>
          <w:rFonts w:hint="eastAsia" w:ascii="宋体" w:hAnsi="宋体" w:eastAsia="宋体" w:cs="宋体"/>
          <w:b/>
          <w:color w:val="auto"/>
          <w:sz w:val="24"/>
        </w:rPr>
        <w:t>本文件《第五章 磋商响应文件格式》中有提供格式的，供应商应按照格式进行编制（格式中要求提供相关证明材料的还需后附相关证明材料），并按格式要求在指定位置根据要求进行签章，否则视为未提供；本文件《第五章磋商响应文件格式》未提供格式的，请供应商自行拟定格式，并加盖单位公章，否则视为未提供。</w:t>
      </w:r>
    </w:p>
    <w:p w14:paraId="7D781BE1">
      <w:pPr>
        <w:spacing w:line="360" w:lineRule="auto"/>
        <w:ind w:firstLine="422" w:firstLineChars="175"/>
        <w:jc w:val="left"/>
        <w:rPr>
          <w:rFonts w:hint="eastAsia" w:ascii="宋体" w:hAnsi="宋体" w:eastAsia="宋体" w:cs="宋体"/>
          <w:color w:val="auto"/>
          <w:sz w:val="24"/>
        </w:rPr>
      </w:pPr>
      <w:r>
        <w:rPr>
          <w:rFonts w:hint="eastAsia" w:ascii="宋体" w:hAnsi="宋体" w:eastAsia="宋体" w:cs="宋体"/>
          <w:b/>
          <w:color w:val="auto"/>
          <w:sz w:val="24"/>
        </w:rPr>
        <w:t>4.3.4</w:t>
      </w:r>
      <w:r>
        <w:rPr>
          <w:rFonts w:hint="eastAsia" w:ascii="宋体" w:hAnsi="宋体" w:eastAsia="宋体" w:cs="宋体"/>
          <w:b/>
          <w:color w:val="auto"/>
          <w:kern w:val="0"/>
          <w:sz w:val="24"/>
        </w:rPr>
        <w:t>本章节第4.2.2款内容中约定</w:t>
      </w:r>
      <w:r>
        <w:rPr>
          <w:rFonts w:hint="eastAsia" w:ascii="宋体" w:hAnsi="宋体" w:eastAsia="宋体" w:cs="宋体"/>
          <w:b/>
          <w:color w:val="auto"/>
          <w:sz w:val="24"/>
        </w:rPr>
        <w:t>可以提供复印件（或复制件）的相关证明材料必须加盖供应商公章，否则视为未提供</w:t>
      </w:r>
      <w:r>
        <w:rPr>
          <w:rFonts w:hint="eastAsia" w:ascii="宋体" w:hAnsi="宋体" w:eastAsia="宋体" w:cs="宋体"/>
          <w:color w:val="auto"/>
          <w:sz w:val="24"/>
        </w:rPr>
        <w:t>（例如：各类资格资质证书、业绩材料、许可材料、荣誉证书、产品注册登记材料、产品检测材料、验收材料等）。</w:t>
      </w:r>
    </w:p>
    <w:p w14:paraId="52059EED">
      <w:pPr>
        <w:spacing w:line="360" w:lineRule="auto"/>
        <w:ind w:firstLine="422" w:firstLineChars="175"/>
        <w:jc w:val="lef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4.3.5</w:t>
      </w:r>
      <w:r>
        <w:rPr>
          <w:rFonts w:hint="eastAsia" w:ascii="宋体" w:hAnsi="宋体" w:eastAsia="宋体" w:cs="宋体"/>
          <w:b/>
          <w:color w:val="auto"/>
          <w:kern w:val="0"/>
          <w:sz w:val="24"/>
          <w:highlight w:val="none"/>
        </w:rPr>
        <w:t>本章节第4.2.2款内容中标注“★”的内容为必须提供的内容，未提供的磋商响应文件无效。</w:t>
      </w:r>
    </w:p>
    <w:p w14:paraId="03B2FCF0">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4.3.6《磋商响应文件》内容不完整、编排混乱导致《磋商响应文件》被误读、漏读或者查找不到相关内容的，是</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的责任。</w:t>
      </w:r>
    </w:p>
    <w:p w14:paraId="4196F400">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4.3.7《磋商响应文件》因字迹潦草或表达不清所引起的后果由</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负责。</w:t>
      </w:r>
    </w:p>
    <w:p w14:paraId="1933AA93">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4.3.8</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没有按照本章节第4.2.2款“磋商响应文件内容组成”要求提供全部资料，或者没有仔细阅读竞争性磋商文件，或者没有对竞争性磋商文件在各方面的要求作出实质性响应是</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的风险，由此造成的一切后果由</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自行承担。</w:t>
      </w:r>
    </w:p>
    <w:p w14:paraId="59DFF0C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4.4 磋商响应文件的签章</w:t>
      </w:r>
    </w:p>
    <w:p w14:paraId="6879532D">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4.4.1磋商响应文件的签章形式：</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7A452027">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4.4.2《磋商响应文件》内容应按</w:t>
      </w:r>
      <w:r>
        <w:rPr>
          <w:rFonts w:hint="eastAsia" w:ascii="宋体" w:hAnsi="宋体" w:eastAsia="宋体" w:cs="宋体"/>
          <w:b/>
          <w:color w:val="auto"/>
          <w:sz w:val="24"/>
        </w:rPr>
        <w:t>《第二章 磋商须知及前附表》规定和</w:t>
      </w:r>
      <w:r>
        <w:rPr>
          <w:rFonts w:hint="eastAsia" w:ascii="宋体" w:hAnsi="宋体" w:eastAsia="宋体" w:cs="宋体"/>
          <w:b/>
          <w:color w:val="auto"/>
          <w:kern w:val="0"/>
          <w:sz w:val="24"/>
        </w:rPr>
        <w:t>《第五章 磋商响应文件格式》</w:t>
      </w:r>
      <w:r>
        <w:rPr>
          <w:rFonts w:hint="eastAsia" w:ascii="宋体" w:hAnsi="宋体" w:eastAsia="宋体" w:cs="宋体"/>
          <w:b/>
          <w:color w:val="auto"/>
          <w:sz w:val="24"/>
        </w:rPr>
        <w:t>标注的要求进行盖章、签署</w:t>
      </w:r>
      <w:r>
        <w:rPr>
          <w:rFonts w:hint="eastAsia" w:ascii="宋体" w:hAnsi="宋体" w:eastAsia="宋体" w:cs="宋体"/>
          <w:b/>
          <w:color w:val="auto"/>
          <w:kern w:val="0"/>
          <w:sz w:val="24"/>
        </w:rPr>
        <w:t>，应签章而未签章的材料视为未提供。请各供应商详细查阅本章节第4.3款“磋商响应文件的编制”规定（</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为自然人的，须由自然人本人签字（或盖章），同时提供自然人本人有效身份证明材料，否则视为未提供）。</w:t>
      </w:r>
    </w:p>
    <w:p w14:paraId="7ADA9ECC">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4.5 磋商报价</w:t>
      </w:r>
    </w:p>
    <w:p w14:paraId="1FD68D1D">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4.5.1磋商报价应按《第五章 磋商响应文件格式》中提供的相关报价格式填写；</w:t>
      </w:r>
    </w:p>
    <w:p w14:paraId="1A714FA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sz w:val="24"/>
        </w:rPr>
        <w:t>4.5.2本项目最高限价：</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426D027D">
      <w:pPr>
        <w:spacing w:line="360" w:lineRule="auto"/>
        <w:ind w:firstLine="424" w:firstLineChars="176"/>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4.5.3《磋商响应文件》针对每个标项每一轮只允许有一个报价，不接受有选择报价的磋商响应（作无效标处理）；</w:t>
      </w:r>
    </w:p>
    <w:p w14:paraId="724C92DD">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4.5.5最低报价不是成交的保证，采购人及</w:t>
      </w:r>
      <w:r>
        <w:rPr>
          <w:rFonts w:hint="eastAsia" w:ascii="宋体" w:hAnsi="宋体" w:eastAsia="宋体" w:cs="宋体"/>
          <w:b/>
          <w:color w:val="auto"/>
          <w:kern w:val="0"/>
          <w:sz w:val="24"/>
          <w:lang w:eastAsia="zh-CN"/>
        </w:rPr>
        <w:t>采购代理机构</w:t>
      </w:r>
      <w:r>
        <w:rPr>
          <w:rFonts w:hint="eastAsia" w:ascii="宋体" w:hAnsi="宋体" w:eastAsia="宋体" w:cs="宋体"/>
          <w:b/>
          <w:color w:val="auto"/>
          <w:kern w:val="0"/>
          <w:sz w:val="24"/>
        </w:rPr>
        <w:t>不作任何落标解释。</w:t>
      </w:r>
    </w:p>
    <w:p w14:paraId="58063F20">
      <w:pPr>
        <w:pStyle w:val="35"/>
        <w:spacing w:line="360" w:lineRule="auto"/>
        <w:ind w:firstLine="480"/>
        <w:jc w:val="left"/>
        <w:rPr>
          <w:rFonts w:hint="eastAsia" w:ascii="宋体" w:hAnsi="宋体" w:eastAsia="宋体" w:cs="宋体"/>
          <w:b/>
          <w:color w:val="auto"/>
          <w:kern w:val="0"/>
          <w:sz w:val="24"/>
          <w:szCs w:val="22"/>
          <w:lang w:val="en-US" w:eastAsia="zh-CN" w:bidi="ar-SA"/>
        </w:rPr>
      </w:pPr>
      <w:r>
        <w:rPr>
          <w:rFonts w:hint="eastAsia" w:ascii="宋体" w:hAnsi="宋体" w:eastAsia="宋体" w:cs="宋体"/>
          <w:b/>
          <w:color w:val="auto"/>
          <w:kern w:val="0"/>
          <w:sz w:val="24"/>
          <w:szCs w:val="22"/>
          <w:lang w:val="en-US" w:eastAsia="zh-CN" w:bidi="ar-SA"/>
        </w:rPr>
        <w:t>4.5.6 ★本次磋商报价为含税人民币价。</w:t>
      </w:r>
    </w:p>
    <w:p w14:paraId="6E4DEF50">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4.5.7磋商报价为</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的磋商响应文件中提出的各项支付金额的总和。</w:t>
      </w:r>
    </w:p>
    <w:p w14:paraId="48A84641">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4.5.8采用工程量清单报价的，</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应按清单中列出的工程项目填报单价和合价。每一项目只允许有一个报价。任何有选择的报价将不予接受，</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未填单价或合价的工程项目，在实施后，采购人将不予以支付，并视作该项费用已包括在其它有价款的单价或合价内</w:t>
      </w:r>
      <w:r>
        <w:rPr>
          <w:rFonts w:hint="eastAsia" w:ascii="宋体" w:hAnsi="宋体" w:eastAsia="宋体" w:cs="宋体"/>
          <w:bCs/>
          <w:color w:val="auto"/>
          <w:sz w:val="24"/>
          <w:szCs w:val="24"/>
        </w:rPr>
        <w:t>。</w:t>
      </w:r>
    </w:p>
    <w:p w14:paraId="5D007521">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4.5.9</w:t>
      </w:r>
      <w:r>
        <w:rPr>
          <w:rFonts w:hint="eastAsia" w:ascii="宋体" w:hAnsi="宋体" w:eastAsia="宋体" w:cs="宋体"/>
          <w:bCs/>
          <w:color w:val="auto"/>
          <w:sz w:val="24"/>
          <w:szCs w:val="24"/>
        </w:rPr>
        <w:t>技术规范要求和设计施工图中所列的施工技术要求所产生的费用均应包括在磋商报价中。上述要求凡采购人提供的工程量清单中未列入的，由</w:t>
      </w:r>
      <w:r>
        <w:rPr>
          <w:rFonts w:hint="eastAsia" w:ascii="宋体" w:hAnsi="宋体" w:eastAsia="宋体" w:cs="宋体"/>
          <w:bCs/>
          <w:color w:val="auto"/>
          <w:sz w:val="24"/>
          <w:szCs w:val="24"/>
          <w:lang w:eastAsia="zh-CN"/>
        </w:rPr>
        <w:t>磋商供应商</w:t>
      </w:r>
      <w:r>
        <w:rPr>
          <w:rFonts w:hint="eastAsia" w:ascii="宋体" w:hAnsi="宋体" w:eastAsia="宋体" w:cs="宋体"/>
          <w:bCs/>
          <w:color w:val="auto"/>
          <w:sz w:val="24"/>
          <w:szCs w:val="24"/>
        </w:rPr>
        <w:t>在相应的分部分项工程量清单项目的综合单价中考虑，采购人不单独列项支付；</w:t>
      </w:r>
    </w:p>
    <w:p w14:paraId="5BDE26E7">
      <w:pPr>
        <w:pStyle w:val="35"/>
        <w:spacing w:line="360" w:lineRule="auto"/>
        <w:ind w:firstLine="480"/>
        <w:jc w:val="left"/>
        <w:rPr>
          <w:rFonts w:hint="eastAsia" w:ascii="宋体" w:hAnsi="宋体" w:eastAsia="宋体" w:cs="宋体"/>
          <w:b/>
          <w:color w:val="auto"/>
          <w:sz w:val="24"/>
        </w:rPr>
      </w:pPr>
      <w:r>
        <w:rPr>
          <w:rFonts w:hint="eastAsia" w:ascii="宋体" w:hAnsi="宋体" w:eastAsia="宋体" w:cs="宋体"/>
          <w:color w:val="auto"/>
          <w:sz w:val="24"/>
        </w:rPr>
        <w:t>4.5.10</w:t>
      </w:r>
      <w:r>
        <w:rPr>
          <w:rFonts w:hint="eastAsia" w:ascii="宋体" w:hAnsi="宋体" w:eastAsia="宋体" w:cs="宋体"/>
          <w:b/>
          <w:color w:val="auto"/>
          <w:sz w:val="24"/>
          <w:u w:val="single"/>
        </w:rPr>
        <w:t>凡在磋商报价中涉及到安全文明施工费、临时设施费、环境保护费费用、税金等国家、省、市强制性要求的费用，若</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报价不足或未报价，则视作优惠，一旦成交，</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自行承担该费用。竞争性磋商报价以最后报价为准，单价同比例调整（</w:t>
      </w:r>
      <w:r>
        <w:rPr>
          <w:rFonts w:hint="eastAsia" w:ascii="宋体" w:hAnsi="宋体" w:eastAsia="宋体" w:cs="宋体"/>
          <w:b/>
          <w:bCs/>
          <w:color w:val="auto"/>
          <w:sz w:val="24"/>
          <w:u w:val="single"/>
        </w:rPr>
        <w:t>不可竞争费含安全文明施工费费率、临时设施费费率、环境保护费费用费率、税率、暂列金及暂估价不下浮</w:t>
      </w:r>
      <w:r>
        <w:rPr>
          <w:rFonts w:hint="eastAsia" w:ascii="宋体" w:hAnsi="宋体" w:eastAsia="宋体" w:cs="宋体"/>
          <w:b/>
          <w:color w:val="auto"/>
          <w:sz w:val="24"/>
          <w:u w:val="single"/>
        </w:rPr>
        <w:t>）</w:t>
      </w:r>
      <w:r>
        <w:rPr>
          <w:rFonts w:hint="eastAsia" w:ascii="宋体" w:hAnsi="宋体" w:eastAsia="宋体" w:cs="宋体"/>
          <w:b/>
          <w:color w:val="auto"/>
          <w:sz w:val="24"/>
        </w:rPr>
        <w:t>。</w:t>
      </w:r>
    </w:p>
    <w:p w14:paraId="7D428A1B">
      <w:pPr>
        <w:pStyle w:val="35"/>
        <w:spacing w:line="360" w:lineRule="auto"/>
        <w:ind w:firstLine="48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4.5.11除非合同中另有规定，</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在磋商总价中的价格均包括完成该工程项目的直接费、间接费、利润、税金、风险费等所有费用；</w:t>
      </w:r>
    </w:p>
    <w:p w14:paraId="6FB4B72C">
      <w:pPr>
        <w:pStyle w:val="6"/>
        <w:spacing w:before="120" w:after="120" w:line="360" w:lineRule="auto"/>
        <w:ind w:leftChars="-200" w:hanging="420"/>
        <w:jc w:val="left"/>
        <w:rPr>
          <w:rFonts w:hint="eastAsia" w:ascii="宋体" w:hAnsi="宋体" w:eastAsia="宋体" w:cs="宋体"/>
          <w:color w:val="auto"/>
        </w:rPr>
      </w:pPr>
      <w:r>
        <w:rPr>
          <w:rFonts w:hint="eastAsia" w:ascii="宋体" w:hAnsi="宋体" w:eastAsia="宋体" w:cs="宋体"/>
          <w:color w:val="auto"/>
        </w:rPr>
        <w:t xml:space="preserve">       4.5.12</w:t>
      </w:r>
      <w:r>
        <w:rPr>
          <w:rFonts w:hint="eastAsia" w:ascii="宋体" w:hAnsi="宋体" w:eastAsia="宋体" w:cs="宋体"/>
          <w:color w:val="auto"/>
          <w:lang w:eastAsia="zh-CN"/>
        </w:rPr>
        <w:t>磋商供应商</w:t>
      </w:r>
      <w:r>
        <w:rPr>
          <w:rFonts w:hint="eastAsia" w:ascii="宋体" w:hAnsi="宋体" w:eastAsia="宋体" w:cs="宋体"/>
          <w:color w:val="auto"/>
        </w:rPr>
        <w:t>应先到工地踏勘以充分了解工地位置、情况、道路、储存空间、装卸限制及任何其它足以影响承包价的情况，任何因忽视或误解工地情况而导致的索赔或工期延长申请将不获批准；</w:t>
      </w:r>
    </w:p>
    <w:p w14:paraId="6BE498F7">
      <w:pPr>
        <w:pStyle w:val="36"/>
        <w:adjustRightInd w:val="0"/>
        <w:snapToGrid w:val="0"/>
        <w:spacing w:before="0"/>
        <w:ind w:firstLine="480"/>
        <w:jc w:val="left"/>
        <w:rPr>
          <w:rFonts w:hint="eastAsia" w:ascii="宋体" w:hAnsi="宋体" w:eastAsia="宋体" w:cs="宋体"/>
          <w:color w:val="auto"/>
          <w:szCs w:val="24"/>
        </w:rPr>
      </w:pPr>
      <w:r>
        <w:rPr>
          <w:rFonts w:hint="eastAsia" w:ascii="宋体" w:hAnsi="宋体" w:eastAsia="宋体" w:cs="宋体"/>
          <w:color w:val="auto"/>
          <w:szCs w:val="24"/>
        </w:rPr>
        <w:t>4.5.13除非本磋商文件对工程量清单编制和报价另有说明的，否则，</w:t>
      </w:r>
      <w:r>
        <w:rPr>
          <w:rFonts w:hint="eastAsia" w:ascii="宋体" w:hAnsi="宋体" w:eastAsia="宋体" w:cs="宋体"/>
          <w:color w:val="auto"/>
          <w:szCs w:val="24"/>
          <w:lang w:eastAsia="zh-CN"/>
        </w:rPr>
        <w:t>磋商供应商</w:t>
      </w:r>
      <w:r>
        <w:rPr>
          <w:rFonts w:hint="eastAsia" w:ascii="宋体" w:hAnsi="宋体" w:eastAsia="宋体" w:cs="宋体"/>
          <w:color w:val="auto"/>
          <w:szCs w:val="24"/>
        </w:rPr>
        <w:t>应按工程量清单中的项目和数量进行报价。</w:t>
      </w:r>
    </w:p>
    <w:p w14:paraId="6C7487DD">
      <w:pPr>
        <w:pStyle w:val="36"/>
        <w:adjustRightInd w:val="0"/>
        <w:snapToGrid w:val="0"/>
        <w:spacing w:before="0"/>
        <w:ind w:firstLine="480"/>
        <w:jc w:val="left"/>
        <w:rPr>
          <w:rFonts w:hint="eastAsia" w:ascii="宋体" w:hAnsi="宋体" w:eastAsia="宋体" w:cs="宋体"/>
          <w:color w:val="auto"/>
          <w:szCs w:val="24"/>
        </w:rPr>
      </w:pPr>
      <w:r>
        <w:rPr>
          <w:rFonts w:hint="eastAsia" w:ascii="宋体" w:hAnsi="宋体" w:eastAsia="宋体" w:cs="宋体"/>
          <w:color w:val="auto"/>
          <w:szCs w:val="24"/>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382ED8F9">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4.6 磋商响应文件的有效期</w:t>
      </w:r>
    </w:p>
    <w:p w14:paraId="7B866CAC">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4.6.1《磋商响应文件》有效期：</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，《磋商响应文件》有效期少于这个规定期限的投标将作无效标处理；</w:t>
      </w:r>
    </w:p>
    <w:p w14:paraId="5893B83D">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4.6.2在特殊情况下，采购人可与</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协商延长《磋商响应文件》的有效期，协商过程以书面形式进行；</w:t>
      </w:r>
    </w:p>
    <w:p w14:paraId="4C03B2B0">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4.6.3</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可拒绝接受延期要求，同意延长有效期的</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不能修改《磋商响应文件》；</w:t>
      </w:r>
    </w:p>
    <w:p w14:paraId="44689E25">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4.6.4成交供应商的《磋商响应文件》作为合同组成部分，其有效期自动延长至合同履行完毕止；</w:t>
      </w:r>
    </w:p>
    <w:p w14:paraId="7937DDE5">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4.6.5</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在《磋商响应文件》有效期内强行撤回（撤销）其磋商响应文件的，</w:t>
      </w:r>
      <w:r>
        <w:rPr>
          <w:rFonts w:hint="eastAsia" w:ascii="宋体" w:hAnsi="宋体" w:eastAsia="宋体" w:cs="宋体"/>
          <w:b/>
          <w:color w:val="auto"/>
          <w:sz w:val="24"/>
        </w:rPr>
        <w:t>采购组织机构将上报至同级政府采购监督管理部门依法处理。</w:t>
      </w:r>
    </w:p>
    <w:p w14:paraId="45C4293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4.7 备份磋商响应文件</w:t>
      </w:r>
    </w:p>
    <w:p w14:paraId="2DC3C636">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4.7.1备份磋商响应文件的约定：</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73E24A42">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4.7.2备份磋商响应文件的编制：</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2E804C8B">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4.7.3备份磋商响应文件的递交与接收</w:t>
      </w:r>
    </w:p>
    <w:p w14:paraId="79B9EF1A">
      <w:pPr>
        <w:spacing w:line="360" w:lineRule="auto"/>
        <w:ind w:firstLine="424" w:firstLineChars="176"/>
        <w:jc w:val="left"/>
        <w:rPr>
          <w:rFonts w:hint="eastAsia" w:ascii="宋体" w:hAnsi="宋体" w:eastAsia="宋体" w:cs="宋体"/>
          <w:color w:val="auto"/>
          <w:sz w:val="24"/>
        </w:rPr>
      </w:pPr>
      <w:r>
        <w:rPr>
          <w:rFonts w:hint="eastAsia" w:ascii="宋体" w:hAnsi="宋体" w:eastAsia="宋体" w:cs="宋体"/>
          <w:b/>
          <w:color w:val="auto"/>
          <w:sz w:val="24"/>
        </w:rPr>
        <w:t>（1）递交与接收：</w:t>
      </w:r>
      <w:r>
        <w:rPr>
          <w:rFonts w:hint="eastAsia" w:ascii="宋体" w:hAnsi="宋体" w:eastAsia="宋体" w:cs="宋体"/>
          <w:b/>
          <w:color w:val="auto"/>
          <w:kern w:val="0"/>
          <w:sz w:val="24"/>
          <w:u w:val="single"/>
        </w:rPr>
        <w:t>见《磋商须知前附表》，备份磋商响应文件逾期送达的视为未递交</w:t>
      </w:r>
      <w:r>
        <w:rPr>
          <w:rFonts w:hint="eastAsia" w:ascii="宋体" w:hAnsi="宋体" w:eastAsia="宋体" w:cs="宋体"/>
          <w:b/>
          <w:color w:val="auto"/>
          <w:sz w:val="24"/>
        </w:rPr>
        <w:t>。</w:t>
      </w:r>
    </w:p>
    <w:p w14:paraId="610BD296">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sz w:val="24"/>
        </w:rPr>
        <w:t>4.7.4备份磋商响应文件的使用与失效</w:t>
      </w:r>
    </w:p>
    <w:p w14:paraId="6667520D">
      <w:pPr>
        <w:spacing w:line="360" w:lineRule="auto"/>
        <w:ind w:firstLine="420" w:firstLineChars="175"/>
        <w:jc w:val="left"/>
        <w:rPr>
          <w:rFonts w:hint="eastAsia" w:ascii="宋体" w:hAnsi="宋体" w:eastAsia="宋体" w:cs="宋体"/>
          <w:color w:val="auto"/>
          <w:sz w:val="24"/>
        </w:rPr>
      </w:pPr>
      <w:r>
        <w:rPr>
          <w:rFonts w:hint="eastAsia" w:ascii="宋体" w:hAnsi="宋体" w:eastAsia="宋体" w:cs="宋体"/>
          <w:color w:val="auto"/>
          <w:sz w:val="24"/>
        </w:rPr>
        <w:t>合格的备份磋商响应文件在电子加密“磋商响应文件”解密异常时拆封、使用，电子加密“磋商响应文件”正常解密的，备份磋商响应文件自动失效，不再使用。</w:t>
      </w:r>
      <w:r>
        <w:rPr>
          <w:rFonts w:hint="eastAsia" w:ascii="宋体" w:hAnsi="宋体" w:eastAsia="宋体" w:cs="宋体"/>
          <w:b/>
          <w:color w:val="auto"/>
          <w:sz w:val="24"/>
        </w:rPr>
        <w:t>“磋商响应文件解密异常情况处理”办法见《磋商须知前附表》。</w:t>
      </w:r>
    </w:p>
    <w:p w14:paraId="6CEF1620">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4.7.5“备份磋商响应文件”与电子加密的“磋商响应文件”同时生成，不属于磋商响应备选（替代）方案。</w:t>
      </w:r>
    </w:p>
    <w:p w14:paraId="5C325588">
      <w:pPr>
        <w:pStyle w:val="4"/>
        <w:ind w:firstLine="281" w:firstLineChars="100"/>
        <w:jc w:val="left"/>
        <w:rPr>
          <w:rFonts w:hint="eastAsia" w:ascii="宋体" w:hAnsi="宋体" w:eastAsia="宋体" w:cs="宋体"/>
          <w:color w:val="auto"/>
          <w:sz w:val="28"/>
          <w:szCs w:val="28"/>
        </w:rPr>
      </w:pPr>
      <w:bookmarkStart w:id="29" w:name="_Toc82338242"/>
      <w:bookmarkStart w:id="30" w:name="_Toc82873325"/>
      <w:bookmarkStart w:id="31" w:name="_Toc81341322"/>
      <w:bookmarkStart w:id="32" w:name="_Toc379"/>
      <w:r>
        <w:rPr>
          <w:rFonts w:hint="eastAsia" w:ascii="宋体" w:hAnsi="宋体" w:eastAsia="宋体" w:cs="宋体"/>
          <w:color w:val="auto"/>
          <w:sz w:val="28"/>
          <w:szCs w:val="28"/>
        </w:rPr>
        <w:t>五、</w:t>
      </w:r>
      <w:bookmarkEnd w:id="29"/>
      <w:bookmarkEnd w:id="30"/>
      <w:r>
        <w:rPr>
          <w:rFonts w:hint="eastAsia" w:ascii="宋体" w:hAnsi="宋体" w:eastAsia="宋体" w:cs="宋体"/>
          <w:color w:val="auto"/>
          <w:sz w:val="28"/>
          <w:szCs w:val="28"/>
        </w:rPr>
        <w:t>磋商响应</w:t>
      </w:r>
      <w:bookmarkEnd w:id="31"/>
      <w:bookmarkEnd w:id="32"/>
    </w:p>
    <w:p w14:paraId="7326B6F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33" w:name="_Toc82338243"/>
      <w:bookmarkStart w:id="34" w:name="_Toc82873326"/>
      <w:r>
        <w:rPr>
          <w:rFonts w:hint="eastAsia" w:ascii="宋体" w:hAnsi="宋体" w:eastAsia="宋体" w:cs="宋体"/>
          <w:b/>
          <w:bCs/>
          <w:color w:val="auto"/>
          <w:sz w:val="24"/>
          <w:szCs w:val="32"/>
        </w:rPr>
        <w:t>5.1 磋商响应文件提交截止时间</w:t>
      </w:r>
    </w:p>
    <w:p w14:paraId="34254AE5">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sz w:val="24"/>
        </w:rPr>
        <w:t>5.1.1磋商响应文件提交截止时间：</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677B30EF">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5.2 磋商地点</w:t>
      </w:r>
    </w:p>
    <w:p w14:paraId="6F3A599F">
      <w:pPr>
        <w:spacing w:line="360" w:lineRule="auto"/>
        <w:ind w:firstLine="426" w:firstLineChars="177"/>
        <w:jc w:val="left"/>
        <w:rPr>
          <w:rFonts w:hint="eastAsia" w:ascii="宋体" w:hAnsi="宋体" w:eastAsia="宋体" w:cs="宋体"/>
          <w:color w:val="auto"/>
        </w:rPr>
      </w:pPr>
      <w:r>
        <w:rPr>
          <w:rFonts w:hint="eastAsia" w:ascii="宋体" w:hAnsi="宋体" w:eastAsia="宋体" w:cs="宋体"/>
          <w:b/>
          <w:color w:val="auto"/>
          <w:sz w:val="24"/>
        </w:rPr>
        <w:t>5.2.1磋商响应文件提交地点：</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7ECC5A1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5.3 磋商响应文件的传输递交</w:t>
      </w:r>
    </w:p>
    <w:p w14:paraId="38A5BD88">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kern w:val="0"/>
          <w:sz w:val="24"/>
        </w:rPr>
        <w:t>5.3.1电子加密“磋商响应文件”的传输递交：</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75704EA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5.4 磋商响应文件的补充、修改或撤回</w:t>
      </w:r>
    </w:p>
    <w:p w14:paraId="0B886A6A">
      <w:pPr>
        <w:spacing w:line="360" w:lineRule="auto"/>
        <w:ind w:firstLine="426" w:firstLineChars="177"/>
        <w:jc w:val="left"/>
        <w:rPr>
          <w:rFonts w:hint="eastAsia" w:ascii="宋体" w:hAnsi="宋体" w:eastAsia="宋体" w:cs="宋体"/>
          <w:color w:val="auto"/>
          <w:kern w:val="0"/>
          <w:sz w:val="24"/>
        </w:rPr>
      </w:pPr>
      <w:r>
        <w:rPr>
          <w:rFonts w:hint="eastAsia" w:ascii="宋体" w:hAnsi="宋体" w:eastAsia="宋体" w:cs="宋体"/>
          <w:b/>
          <w:color w:val="auto"/>
          <w:kern w:val="0"/>
          <w:sz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山西省政府采购网”将予以拒收。</w:t>
      </w:r>
    </w:p>
    <w:p w14:paraId="7664616E">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5.4.2磋商响应文件提交截止时间后，供应商不得对磋商响应文件进行补充、修改或撤回。</w:t>
      </w:r>
    </w:p>
    <w:p w14:paraId="28EE778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5.5 磋商响应文件的备选方案</w:t>
      </w:r>
    </w:p>
    <w:p w14:paraId="4038140F">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5.5.1</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不得递交任何的</w:t>
      </w:r>
      <w:r>
        <w:rPr>
          <w:rFonts w:hint="eastAsia" w:ascii="宋体" w:hAnsi="宋体" w:eastAsia="宋体" w:cs="宋体"/>
          <w:b/>
          <w:color w:val="auto"/>
          <w:kern w:val="0"/>
          <w:sz w:val="24"/>
        </w:rPr>
        <w:t>磋商响应备选（替代）方案</w:t>
      </w:r>
      <w:r>
        <w:rPr>
          <w:rFonts w:hint="eastAsia" w:ascii="宋体" w:hAnsi="宋体" w:eastAsia="宋体" w:cs="宋体"/>
          <w:b/>
          <w:color w:val="auto"/>
          <w:sz w:val="24"/>
        </w:rPr>
        <w:t>，否则作无效标处理。</w:t>
      </w:r>
    </w:p>
    <w:p w14:paraId="32F4B935">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5.5.2与“电子加密磋商响应文件”同时生成的“备份磋商响应文件”不是磋商响应备选（替代）方案。</w:t>
      </w:r>
    </w:p>
    <w:p w14:paraId="05C41910">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 xml:space="preserve">5.6 </w:t>
      </w:r>
      <w:r>
        <w:rPr>
          <w:rFonts w:hint="eastAsia" w:ascii="宋体" w:hAnsi="宋体" w:eastAsia="宋体" w:cs="宋体"/>
          <w:b/>
          <w:bCs/>
          <w:color w:val="auto"/>
          <w:sz w:val="24"/>
          <w:szCs w:val="32"/>
          <w:lang w:eastAsia="zh-CN"/>
        </w:rPr>
        <w:t>磋商供应商</w:t>
      </w:r>
      <w:r>
        <w:rPr>
          <w:rFonts w:hint="eastAsia" w:ascii="宋体" w:hAnsi="宋体" w:eastAsia="宋体" w:cs="宋体"/>
          <w:b/>
          <w:bCs/>
          <w:color w:val="auto"/>
          <w:sz w:val="24"/>
          <w:szCs w:val="32"/>
        </w:rPr>
        <w:t>不足法定数量的处理</w:t>
      </w:r>
    </w:p>
    <w:p w14:paraId="4AE1EB3F">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kern w:val="0"/>
          <w:sz w:val="24"/>
        </w:rPr>
        <w:t>5.6.1到磋商响应文件提交截止时间止，若某个标项成功解密（备份磋商响应文件成功上传的视为成功解密）《磋商响应文件》的供应商少于三家的，除采购任务取消情形外，采购人可选择以下方式之一处理：</w:t>
      </w:r>
    </w:p>
    <w:p w14:paraId="55A895A8">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（1）不再进行开标，将本标项作废标处理，重新组织采购；</w:t>
      </w:r>
    </w:p>
    <w:p w14:paraId="74FC2FF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（2）按同级政府采购监督管理部门的审批意见采用其他采购方式组织采购。</w:t>
      </w:r>
    </w:p>
    <w:p w14:paraId="4D3589EE">
      <w:pPr>
        <w:pStyle w:val="4"/>
        <w:ind w:firstLine="281" w:firstLineChars="100"/>
        <w:jc w:val="left"/>
        <w:rPr>
          <w:rFonts w:hint="eastAsia" w:ascii="宋体" w:hAnsi="宋体" w:eastAsia="宋体" w:cs="宋体"/>
          <w:color w:val="auto"/>
          <w:sz w:val="28"/>
          <w:szCs w:val="28"/>
        </w:rPr>
      </w:pPr>
      <w:bookmarkStart w:id="35" w:name="_Toc24682"/>
      <w:bookmarkStart w:id="36" w:name="_Toc81341323"/>
      <w:r>
        <w:rPr>
          <w:rFonts w:hint="eastAsia" w:ascii="宋体" w:hAnsi="宋体" w:eastAsia="宋体" w:cs="宋体"/>
          <w:color w:val="auto"/>
          <w:sz w:val="28"/>
          <w:szCs w:val="28"/>
        </w:rPr>
        <w:t>六、</w:t>
      </w:r>
      <w:bookmarkEnd w:id="33"/>
      <w:bookmarkEnd w:id="34"/>
      <w:r>
        <w:rPr>
          <w:rFonts w:hint="eastAsia" w:ascii="宋体" w:hAnsi="宋体" w:eastAsia="宋体" w:cs="宋体"/>
          <w:color w:val="auto"/>
          <w:sz w:val="28"/>
          <w:szCs w:val="28"/>
        </w:rPr>
        <w:t>开标</w:t>
      </w:r>
      <w:bookmarkEnd w:id="35"/>
      <w:bookmarkEnd w:id="36"/>
    </w:p>
    <w:p w14:paraId="7ED1BB0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6.1 磋商时间、地点</w:t>
      </w:r>
    </w:p>
    <w:p w14:paraId="3F78306A">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sz w:val="24"/>
        </w:rPr>
        <w:t>6.1.1磋商时间：</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335EA602">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sz w:val="24"/>
        </w:rPr>
        <w:t>6.1.2磋商地点：</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0D1CFE4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6.2 磋商组织与邀请</w:t>
      </w:r>
    </w:p>
    <w:p w14:paraId="540D703E">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kern w:val="0"/>
          <w:sz w:val="24"/>
        </w:rPr>
        <w:t>6.2.1磋商准备：</w:t>
      </w:r>
      <w:r>
        <w:rPr>
          <w:rFonts w:hint="eastAsia" w:ascii="宋体" w:hAnsi="宋体" w:eastAsia="宋体" w:cs="宋体"/>
          <w:color w:val="auto"/>
          <w:kern w:val="0"/>
          <w:sz w:val="24"/>
        </w:rPr>
        <w:t>本项目磋商现场活动由采购人或</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（以下简称“采购组织机构”）组织实施，准备工作由采购组织机构负责落实，磋商过程由采购组织机构负责记录，磋商现场由采购组织机构人员主持。</w:t>
      </w:r>
    </w:p>
    <w:p w14:paraId="7C2D181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6.2.2磋商邀请：本项目采用电子交易，采购组织机构将按照竞争性磋商文件规定的时间通过“山西省政府采购网，网址：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"http://www.zcygov.cn" </w:instrText>
      </w:r>
      <w:r>
        <w:rPr>
          <w:rFonts w:hint="eastAsia" w:ascii="宋体" w:hAnsi="宋体" w:eastAsia="宋体" w:cs="宋体"/>
          <w:color w:val="auto"/>
        </w:rPr>
        <w:fldChar w:fldCharType="separate"/>
      </w:r>
      <w:r>
        <w:rPr>
          <w:rStyle w:val="29"/>
          <w:rFonts w:hint="eastAsia" w:ascii="宋体" w:hAnsi="宋体" w:eastAsia="宋体" w:cs="宋体"/>
          <w:b/>
          <w:color w:val="auto"/>
          <w:kern w:val="0"/>
          <w:szCs w:val="21"/>
        </w:rPr>
        <w:t>http://www.ccgp-shanxi.gov.cn/home.html</w:t>
      </w:r>
      <w:r>
        <w:rPr>
          <w:rStyle w:val="29"/>
          <w:rFonts w:hint="eastAsia" w:ascii="宋体" w:hAnsi="宋体" w:eastAsia="宋体" w:cs="宋体"/>
          <w:b/>
          <w:color w:val="auto"/>
          <w:kern w:val="0"/>
          <w:szCs w:val="21"/>
        </w:rPr>
        <w:fldChar w:fldCharType="end"/>
      </w:r>
      <w:r>
        <w:rPr>
          <w:rFonts w:hint="eastAsia" w:ascii="宋体" w:hAnsi="宋体" w:eastAsia="宋体" w:cs="宋体"/>
          <w:b/>
          <w:color w:val="auto"/>
          <w:kern w:val="0"/>
          <w:sz w:val="24"/>
        </w:rPr>
        <w:t>”组织开标、开启磋商响应文件，所有供应商均应当准时在线参加。</w:t>
      </w:r>
    </w:p>
    <w:p w14:paraId="0F4BB6C4">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kern w:val="0"/>
          <w:sz w:val="24"/>
        </w:rPr>
        <w:t>6.2.3磋商响应文件开启顺序：</w:t>
      </w:r>
      <w:r>
        <w:rPr>
          <w:rFonts w:hint="eastAsia" w:ascii="宋体" w:hAnsi="宋体" w:eastAsia="宋体" w:cs="宋体"/>
          <w:b/>
          <w:color w:val="auto"/>
          <w:kern w:val="0"/>
          <w:sz w:val="24"/>
          <w:u w:val="single"/>
        </w:rPr>
        <w:t>资格文件、商务技术文件、报价文件</w:t>
      </w:r>
      <w:r>
        <w:rPr>
          <w:rFonts w:hint="eastAsia" w:ascii="宋体" w:hAnsi="宋体" w:eastAsia="宋体" w:cs="宋体"/>
          <w:color w:val="auto"/>
          <w:kern w:val="0"/>
          <w:sz w:val="24"/>
        </w:rPr>
        <w:t>。</w:t>
      </w:r>
    </w:p>
    <w:p w14:paraId="68CF3BA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6.2.4供应商对磋商过程和磋商记录有疑义，以及认为采购人、</w:t>
      </w:r>
      <w:r>
        <w:rPr>
          <w:rFonts w:hint="eastAsia" w:ascii="宋体" w:hAnsi="宋体" w:eastAsia="宋体" w:cs="宋体"/>
          <w:b/>
          <w:color w:val="auto"/>
          <w:kern w:val="0"/>
          <w:sz w:val="24"/>
          <w:lang w:eastAsia="zh-CN"/>
        </w:rPr>
        <w:t>采购代理机构</w:t>
      </w:r>
      <w:r>
        <w:rPr>
          <w:rFonts w:hint="eastAsia" w:ascii="宋体" w:hAnsi="宋体" w:eastAsia="宋体" w:cs="宋体"/>
          <w:b/>
          <w:color w:val="auto"/>
          <w:kern w:val="0"/>
          <w:sz w:val="24"/>
        </w:rPr>
        <w:t>相关工作人员有需要回避的情形的，应当场提出询问或回避申请。供应商未参加磋商的视同认可磋商结果。</w:t>
      </w:r>
    </w:p>
    <w:p w14:paraId="29E663B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6.3 开标流程（两阶段）</w:t>
      </w:r>
    </w:p>
    <w:p w14:paraId="31B1C1E8">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6.3.1开标流程：</w:t>
      </w:r>
    </w:p>
    <w:p w14:paraId="58D26468">
      <w:pPr>
        <w:numPr>
          <w:ilvl w:val="0"/>
          <w:numId w:val="5"/>
        </w:num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磋商响应文件提交截止时间止，由</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向各</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发出电子加密响应文件的【开始解密】通知，由供应商按磋商文件规定的时间内自行进行磋商响应文件的解密（</w:t>
      </w:r>
      <w:r>
        <w:rPr>
          <w:rFonts w:hint="eastAsia" w:ascii="宋体" w:hAnsi="宋体" w:eastAsia="宋体" w:cs="宋体"/>
          <w:b/>
          <w:color w:val="auto"/>
          <w:kern w:val="0"/>
          <w:sz w:val="24"/>
        </w:rPr>
        <w:t>解密规定见《磋商须知前附表》</w:t>
      </w:r>
      <w:r>
        <w:rPr>
          <w:rFonts w:hint="eastAsia" w:ascii="宋体" w:hAnsi="宋体" w:eastAsia="宋体" w:cs="宋体"/>
          <w:color w:val="auto"/>
          <w:kern w:val="0"/>
          <w:sz w:val="24"/>
        </w:rPr>
        <w:t>）。</w:t>
      </w:r>
    </w:p>
    <w:p w14:paraId="60037F33">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在规定的时间内无法完成已递交的“电子加密响应文件”解密的，按磋商响应文件解密异常情况处理（</w:t>
      </w:r>
      <w:r>
        <w:rPr>
          <w:rFonts w:hint="eastAsia" w:ascii="宋体" w:hAnsi="宋体" w:eastAsia="宋体" w:cs="宋体"/>
          <w:b/>
          <w:color w:val="auto"/>
          <w:kern w:val="0"/>
          <w:sz w:val="24"/>
        </w:rPr>
        <w:t>处理办法见《磋商须知前附表》</w:t>
      </w:r>
      <w:r>
        <w:rPr>
          <w:rFonts w:hint="eastAsia" w:ascii="宋体" w:hAnsi="宋体" w:eastAsia="宋体" w:cs="宋体"/>
          <w:color w:val="auto"/>
          <w:kern w:val="0"/>
          <w:sz w:val="24"/>
        </w:rPr>
        <w:t>）；</w:t>
      </w:r>
    </w:p>
    <w:p w14:paraId="2A37E91D">
      <w:pPr>
        <w:spacing w:line="360" w:lineRule="auto"/>
        <w:ind w:firstLine="424" w:firstLineChars="177"/>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（3）公布磋商响应文件解密情况（磋商响应文件成功解密的供应商名单等信息）</w:t>
      </w:r>
      <w:r>
        <w:rPr>
          <w:rFonts w:hint="eastAsia" w:ascii="宋体" w:hAnsi="宋体" w:eastAsia="宋体" w:cs="宋体"/>
          <w:color w:val="auto"/>
          <w:kern w:val="0"/>
          <w:sz w:val="24"/>
          <w:highlight w:val="none"/>
          <w:lang w:eastAsia="zh-CN"/>
        </w:rPr>
        <w:t>；</w:t>
      </w:r>
    </w:p>
    <w:p w14:paraId="47452072">
      <w:pPr>
        <w:spacing w:line="360" w:lineRule="auto"/>
        <w:ind w:firstLine="424" w:firstLineChars="177"/>
        <w:jc w:val="left"/>
        <w:rPr>
          <w:rFonts w:hint="eastAsia" w:ascii="宋体" w:hAnsi="宋体" w:eastAsia="宋体" w:cs="宋体"/>
          <w:b/>
          <w:bCs/>
          <w:color w:val="auto"/>
          <w:kern w:val="0"/>
          <w:sz w:val="24"/>
        </w:rPr>
      </w:pPr>
      <w:r>
        <w:rPr>
          <w:rFonts w:hint="eastAsia" w:ascii="宋体" w:hAnsi="宋体" w:eastAsia="宋体" w:cs="宋体"/>
          <w:color w:val="auto"/>
          <w:kern w:val="0"/>
          <w:sz w:val="24"/>
        </w:rPr>
        <w:t>（4）开启标书信息（资格文件、商务技术文件）。标书信息开启后，首先由磋商小组依法对</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的资格文件进行审查，审查</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的资格符合情况。资格审查结束后进入商务技术评审。</w:t>
      </w:r>
      <w:r>
        <w:rPr>
          <w:rFonts w:hint="eastAsia" w:ascii="宋体" w:hAnsi="宋体" w:eastAsia="宋体" w:cs="宋体"/>
          <w:b/>
          <w:bCs/>
          <w:color w:val="auto"/>
          <w:kern w:val="0"/>
          <w:sz w:val="24"/>
        </w:rPr>
        <w:t>资格审查合格的</w:t>
      </w:r>
      <w:r>
        <w:rPr>
          <w:rFonts w:hint="eastAsia" w:ascii="宋体" w:hAnsi="宋体" w:eastAsia="宋体" w:cs="宋体"/>
          <w:b/>
          <w:bCs/>
          <w:color w:val="auto"/>
          <w:kern w:val="0"/>
          <w:sz w:val="24"/>
          <w:lang w:eastAsia="zh-CN"/>
        </w:rPr>
        <w:t>磋商供应商</w:t>
      </w:r>
      <w:r>
        <w:rPr>
          <w:rFonts w:hint="eastAsia" w:ascii="宋体" w:hAnsi="宋体" w:eastAsia="宋体" w:cs="宋体"/>
          <w:b/>
          <w:bCs/>
          <w:color w:val="auto"/>
          <w:kern w:val="0"/>
          <w:sz w:val="24"/>
        </w:rPr>
        <w:t>数量不足三家的，项目不再进行评审。</w:t>
      </w:r>
    </w:p>
    <w:p w14:paraId="67A9E61D">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（5）商务技术磋商、评审结束后，公布商务技术评审无效供应商名称及理由及经商务技术评审的有效</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名单。</w:t>
      </w:r>
    </w:p>
    <w:p w14:paraId="39F095FD">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（6）开启有效</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的《报价文件》，由磋商小组对报价的合理性、准确性等进行审查核实。</w:t>
      </w:r>
    </w:p>
    <w:p w14:paraId="134A9B78">
      <w:pPr>
        <w:pStyle w:val="21"/>
        <w:widowControl w:val="0"/>
        <w:spacing w:before="0" w:beforeAutospacing="0" w:after="0" w:afterAutospacing="0" w:line="360" w:lineRule="auto"/>
        <w:ind w:left="420"/>
        <w:rPr>
          <w:rFonts w:hint="eastAsia" w:ascii="宋体" w:hAnsi="宋体" w:eastAsia="宋体" w:cs="宋体"/>
          <w:color w:val="auto"/>
        </w:rPr>
      </w:pPr>
      <w:r>
        <w:rPr>
          <w:rFonts w:hint="eastAsia" w:ascii="宋体" w:hAnsi="宋体" w:eastAsia="宋体" w:cs="宋体"/>
          <w:color w:val="auto"/>
        </w:rPr>
        <w:t>（7）经磋商小组对报价文件的评审及磋商后，要求供应商在规定的时间内提交最后报价，代理机构向各磋商响应供应商发出最后报价通知，由供应商在规定的时间内自行填写最后报价，未按磋商小组要求在规定的时间内提交最后报价的将作无效报价处理，所导致的不利后果，由供应商自行承担。</w:t>
      </w:r>
    </w:p>
    <w:p w14:paraId="5B9B9054">
      <w:pPr>
        <w:pStyle w:val="21"/>
        <w:widowControl w:val="0"/>
        <w:spacing w:before="0" w:beforeAutospacing="0" w:after="0" w:afterAutospacing="0" w:line="360" w:lineRule="auto"/>
        <w:ind w:left="420"/>
        <w:rPr>
          <w:rFonts w:hint="eastAsia" w:ascii="宋体" w:hAnsi="宋体" w:eastAsia="宋体" w:cs="宋体"/>
          <w:color w:val="auto"/>
          <w:kern w:val="2"/>
          <w:sz w:val="21"/>
          <w:szCs w:val="21"/>
        </w:rPr>
      </w:pPr>
      <w:r>
        <w:rPr>
          <w:rFonts w:hint="eastAsia" w:ascii="宋体" w:hAnsi="宋体" w:eastAsia="宋体" w:cs="宋体"/>
          <w:color w:val="auto"/>
        </w:rPr>
        <w:t>注：磋商小组认为供应商的报价明显低于其他通过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2A6894CC">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（8）已提交磋商响应文件的供应商，在提交最后报价之前，若因磋商文件实质性变动导致供应商无法满足采购需求的，允许供应商退出磋商。</w:t>
      </w:r>
    </w:p>
    <w:p w14:paraId="694A4A0E">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（9）由磋商小组采用综合评分法对提交最后报价的供应商的响应文件和最后报价进行综合评分。</w:t>
      </w:r>
    </w:p>
    <w:p w14:paraId="08B3C150">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10）磋商小组根据综合评分情况，按照评审得分由高到低顺序推荐3家以上（符合政府采购规定特殊情形的，可以推荐2家）成交候选供应商，并编写评审报告。评审得分相同的，按照最后报价由低到高的顺序推荐。评审得分且最后报价相同的，按照技术指标优劣顺序推荐。</w:t>
      </w:r>
    </w:p>
    <w:p w14:paraId="3BDF91E2">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6.3.2特殊情况说明</w:t>
      </w:r>
    </w:p>
    <w:p w14:paraId="7B24B074">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（1）本项目采用电子交易，如遇“山西省政府采购网”电子化开标或评审程序调整的，按调整后程序执行。</w:t>
      </w:r>
    </w:p>
    <w:p w14:paraId="3B4D3378">
      <w:pPr>
        <w:spacing w:line="360" w:lineRule="auto"/>
        <w:ind w:firstLine="426" w:firstLineChars="177"/>
        <w:jc w:val="left"/>
        <w:rPr>
          <w:rFonts w:hint="eastAsia" w:ascii="宋体" w:hAnsi="宋体" w:eastAsia="宋体" w:cs="宋体"/>
          <w:b/>
          <w:color w:val="auto"/>
          <w:kern w:val="0"/>
          <w:sz w:val="22"/>
        </w:rPr>
      </w:pPr>
      <w:r>
        <w:rPr>
          <w:rFonts w:hint="eastAsia" w:ascii="宋体" w:hAnsi="宋体" w:eastAsia="宋体" w:cs="宋体"/>
          <w:b/>
          <w:color w:val="auto"/>
          <w:kern w:val="0"/>
          <w:sz w:val="24"/>
        </w:rPr>
        <w:t>（2）磋商过程中需要相关当事人进行签字或盖章确认的材料将通过“山西省政府采购网”进行，若因“山西省政府采购网”技术问题无法进行签字或盖章确认的，采购组织机构将通过邮件、传真等形式予以确认。</w:t>
      </w:r>
    </w:p>
    <w:p w14:paraId="7BDBA201">
      <w:pPr>
        <w:pStyle w:val="4"/>
        <w:ind w:firstLine="281" w:firstLineChars="100"/>
        <w:jc w:val="left"/>
        <w:rPr>
          <w:rFonts w:hint="eastAsia" w:ascii="宋体" w:hAnsi="宋体" w:eastAsia="宋体" w:cs="宋体"/>
          <w:color w:val="auto"/>
          <w:sz w:val="28"/>
          <w:szCs w:val="28"/>
        </w:rPr>
      </w:pPr>
      <w:bookmarkStart w:id="37" w:name="_Toc6052"/>
      <w:bookmarkStart w:id="38" w:name="_Toc81341324"/>
      <w:r>
        <w:rPr>
          <w:rFonts w:hint="eastAsia" w:ascii="宋体" w:hAnsi="宋体" w:eastAsia="宋体" w:cs="宋体"/>
          <w:color w:val="auto"/>
          <w:sz w:val="28"/>
          <w:szCs w:val="28"/>
        </w:rPr>
        <w:t>七、评审</w:t>
      </w:r>
      <w:bookmarkEnd w:id="37"/>
      <w:bookmarkEnd w:id="38"/>
      <w:bookmarkStart w:id="39" w:name="_Toc298767927"/>
      <w:bookmarkStart w:id="40" w:name="_Toc294012141"/>
      <w:bookmarkStart w:id="41" w:name="_Toc82338245"/>
      <w:bookmarkStart w:id="42" w:name="_Toc211745569"/>
      <w:bookmarkStart w:id="43" w:name="_Toc82873328"/>
    </w:p>
    <w:p w14:paraId="7E8A13F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7.1 评审工作的组织</w:t>
      </w:r>
    </w:p>
    <w:p w14:paraId="1870E19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采购人或</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负责组织本项目的评审工作，并依据相关规定履行职责。</w:t>
      </w:r>
    </w:p>
    <w:p w14:paraId="5E3ADA7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7.2 磋商小组的组建</w:t>
      </w:r>
    </w:p>
    <w:p w14:paraId="2ED64CD8">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7.2.1磋商小组由采购人或</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依法组建，成员人数为三人或以上单数，其中评审专家不少于成员总数的三分之二。</w:t>
      </w:r>
    </w:p>
    <w:p w14:paraId="48B4E0C8">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7.2.2评审专家从省级或以上财政部门设立的政府采购评审专家库中通过随机方式抽取产生。磋商小组成员名单在采购结果公告前保密。</w:t>
      </w:r>
    </w:p>
    <w:p w14:paraId="27504EF5">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7.3 磋商小组的职责</w:t>
      </w:r>
    </w:p>
    <w:p w14:paraId="333BD10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7.3.1磋商小组负责具体评审事务，并独立履行下列职责：</w:t>
      </w:r>
    </w:p>
    <w:p w14:paraId="2740FAE5">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（1）审查、评价磋商响应文件是否符合竞争性磋商文件的资格、商务、技术等实质性要求；</w:t>
      </w:r>
    </w:p>
    <w:p w14:paraId="7E9A69C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（2）要求</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对磋商响应文件有关事项作出澄清或者说明；</w:t>
      </w:r>
    </w:p>
    <w:p w14:paraId="2CE2D11E">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（3）对磋商响应文件进行比较和评价；</w:t>
      </w:r>
    </w:p>
    <w:p w14:paraId="5FE292C7">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（4）确定成交候选供应商名单；</w:t>
      </w:r>
    </w:p>
    <w:p w14:paraId="4A5CF7C1">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（5）向采购人、</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或者有关部门报告评审中发现的违法行为。</w:t>
      </w:r>
    </w:p>
    <w:p w14:paraId="39B4DCE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7.4 评审原则</w:t>
      </w:r>
    </w:p>
    <w:p w14:paraId="07A8EBFB">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color w:val="auto"/>
          <w:sz w:val="24"/>
        </w:rPr>
        <w:t>7.4.1评审原则：</w:t>
      </w:r>
      <w:r>
        <w:rPr>
          <w:rFonts w:hint="eastAsia" w:ascii="宋体" w:hAnsi="宋体" w:eastAsia="宋体" w:cs="宋体"/>
          <w:color w:val="auto"/>
          <w:kern w:val="0"/>
          <w:sz w:val="24"/>
        </w:rPr>
        <w:t>磋商小组</w:t>
      </w:r>
      <w:r>
        <w:rPr>
          <w:rFonts w:hint="eastAsia" w:ascii="宋体" w:hAnsi="宋体" w:eastAsia="宋体" w:cs="宋体"/>
          <w:color w:val="auto"/>
          <w:sz w:val="24"/>
        </w:rPr>
        <w:t>按照客观、公正、审慎、择优的原则，根据竞争性磋商文件规定的评审程序、评审方法和评审标准进行独立评审。</w:t>
      </w:r>
    </w:p>
    <w:p w14:paraId="774CD0DF">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color w:val="auto"/>
          <w:sz w:val="24"/>
        </w:rPr>
        <w:t>7.4.2评审工作将依据</w:t>
      </w:r>
      <w:r>
        <w:rPr>
          <w:rFonts w:hint="eastAsia" w:ascii="宋体" w:hAnsi="宋体" w:eastAsia="宋体" w:cs="宋体"/>
          <w:color w:val="auto"/>
          <w:kern w:val="0"/>
          <w:sz w:val="24"/>
        </w:rPr>
        <w:t>竞争性磋商文件、磋商响应文件及竞争性磋商文件中事先已列明的内容进行（如现场方案讲解、演示、样品等）。</w:t>
      </w:r>
    </w:p>
    <w:p w14:paraId="7D2AB97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7.5 评审意见的争议处理</w:t>
      </w:r>
    </w:p>
    <w:p w14:paraId="764927C5">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sz w:val="24"/>
        </w:rPr>
        <w:t>磋商小组成员对需要共同认定的事项存在争议的，按照少数服从多数的原则作出结论。</w:t>
      </w:r>
      <w:r>
        <w:rPr>
          <w:rFonts w:hint="eastAsia" w:ascii="宋体" w:hAnsi="宋体" w:eastAsia="宋体" w:cs="宋体"/>
          <w:color w:val="auto"/>
          <w:sz w:val="24"/>
        </w:rPr>
        <w:t>持不同意见的磋商小组成员应当在评审报告上签署不同意见及理由，否则视为同意评审报告。</w:t>
      </w:r>
    </w:p>
    <w:p w14:paraId="5CEB1AE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7.6 评委纪律</w:t>
      </w:r>
    </w:p>
    <w:p w14:paraId="4DF1B3CF">
      <w:pPr>
        <w:spacing w:line="360" w:lineRule="auto"/>
        <w:ind w:firstLine="424" w:firstLineChars="177"/>
        <w:jc w:val="left"/>
        <w:rPr>
          <w:rFonts w:hint="eastAsia" w:ascii="宋体" w:hAnsi="宋体" w:eastAsia="宋体" w:cs="宋体"/>
          <w:color w:val="auto"/>
        </w:rPr>
      </w:pPr>
      <w:r>
        <w:rPr>
          <w:rFonts w:hint="eastAsia" w:ascii="宋体" w:hAnsi="宋体" w:eastAsia="宋体" w:cs="宋体"/>
          <w:color w:val="auto"/>
          <w:sz w:val="24"/>
        </w:rPr>
        <w:t>磋商小组成员必须严格遵守保密规定，不得泄露评审的有关情况</w:t>
      </w:r>
      <w:r>
        <w:rPr>
          <w:rFonts w:hint="eastAsia" w:ascii="宋体" w:hAnsi="宋体" w:eastAsia="宋体" w:cs="宋体"/>
          <w:color w:val="auto"/>
          <w:kern w:val="0"/>
          <w:sz w:val="24"/>
        </w:rPr>
        <w:t>，任何单位和个人不得干扰、影响评标的正常进行，磋商小组成员不得私下与</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接触，不得出现政府采购规定的其他禁止行为。</w:t>
      </w:r>
    </w:p>
    <w:p w14:paraId="257F254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7.7 评审方法和标准</w:t>
      </w:r>
    </w:p>
    <w:p w14:paraId="3AF70C6F">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7.7.1评审方法和标准：</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501C7096">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7.7.2标书信息开启后，磋商小组首先依法对</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的资格文件进行审查，审查各</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的资格符合情况。供应商</w:t>
      </w:r>
      <w:r>
        <w:rPr>
          <w:rFonts w:hint="eastAsia" w:ascii="宋体" w:hAnsi="宋体" w:eastAsia="宋体" w:cs="宋体"/>
          <w:b/>
          <w:color w:val="auto"/>
          <w:sz w:val="24"/>
        </w:rPr>
        <w:t>信用记录查询与使用：</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0849DDC3">
      <w:pPr>
        <w:spacing w:line="360" w:lineRule="auto"/>
        <w:ind w:firstLine="426" w:firstLineChars="177"/>
        <w:jc w:val="left"/>
        <w:rPr>
          <w:rFonts w:hint="eastAsia" w:ascii="宋体" w:hAnsi="宋体" w:eastAsia="宋体" w:cs="宋体"/>
          <w:color w:val="auto"/>
        </w:rPr>
      </w:pPr>
      <w:r>
        <w:rPr>
          <w:rFonts w:hint="eastAsia" w:ascii="宋体" w:hAnsi="宋体" w:eastAsia="宋体" w:cs="宋体"/>
          <w:b/>
          <w:color w:val="auto"/>
          <w:kern w:val="0"/>
          <w:sz w:val="24"/>
        </w:rPr>
        <w:t>7.7.3资格审查结束后，磋商小组将按照竞争性磋商文件中规定的评审方法和标准，对符合性审查合格的磋商响应文件进行商务和技术评估，综合比较与评价。</w:t>
      </w:r>
      <w:r>
        <w:rPr>
          <w:rFonts w:hint="eastAsia" w:ascii="宋体" w:hAnsi="宋体" w:eastAsia="宋体" w:cs="宋体"/>
          <w:color w:val="auto"/>
          <w:kern w:val="0"/>
          <w:sz w:val="24"/>
        </w:rPr>
        <w:t>详细评审方法和标准见本竞争性磋商文件第六章《评审办法》</w:t>
      </w:r>
      <w:r>
        <w:rPr>
          <w:rFonts w:hint="eastAsia" w:ascii="宋体" w:hAnsi="宋体" w:eastAsia="宋体" w:cs="宋体"/>
          <w:color w:val="auto"/>
          <w:kern w:val="0"/>
        </w:rPr>
        <w:t>。</w:t>
      </w:r>
    </w:p>
    <w:p w14:paraId="113594D0">
      <w:pPr>
        <w:pStyle w:val="4"/>
        <w:ind w:firstLine="281" w:firstLineChars="100"/>
        <w:jc w:val="left"/>
        <w:rPr>
          <w:rFonts w:hint="eastAsia" w:ascii="宋体" w:hAnsi="宋体" w:eastAsia="宋体" w:cs="宋体"/>
          <w:color w:val="auto"/>
        </w:rPr>
      </w:pPr>
      <w:bookmarkStart w:id="44" w:name="_Toc81341325"/>
      <w:bookmarkStart w:id="45" w:name="_Toc32337"/>
      <w:r>
        <w:rPr>
          <w:rFonts w:hint="eastAsia" w:ascii="宋体" w:hAnsi="宋体" w:eastAsia="宋体" w:cs="宋体"/>
          <w:color w:val="auto"/>
          <w:sz w:val="28"/>
          <w:szCs w:val="28"/>
        </w:rPr>
        <w:t>八、采购结果确认与公告</w:t>
      </w:r>
      <w:bookmarkEnd w:id="44"/>
      <w:bookmarkEnd w:id="45"/>
    </w:p>
    <w:p w14:paraId="4877DA0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8.1 采购结果确认（确定成交供应商）</w:t>
      </w:r>
    </w:p>
    <w:p w14:paraId="5234E29A">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8.1.1采购结果确认（确定成交供应商）：本项目由采购人根据磋商小组递交的《评审报告》，通过“山西省政府采购网”依法确认采购结果、确定成交供应商。</w:t>
      </w:r>
    </w:p>
    <w:p w14:paraId="64E0C056">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8.1.2采购组织机构不对评审结果做任何解释。</w:t>
      </w:r>
    </w:p>
    <w:p w14:paraId="241A497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8.2 采购结果公告和成交通知书签发</w:t>
      </w:r>
    </w:p>
    <w:p w14:paraId="7199B4C6">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8.2.1采购结果公告及《成交通知书》签发：</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39965753">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8.2.2成交公告期限为1个工作日；</w:t>
      </w:r>
    </w:p>
    <w:p w14:paraId="2A0D3ADF">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.2.3成交通知书发出后，成交供应商无正当理由不得放弃成交。</w:t>
      </w:r>
    </w:p>
    <w:p w14:paraId="7B7E354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46" w:name="_Toc35391900"/>
      <w:r>
        <w:rPr>
          <w:rFonts w:hint="eastAsia" w:ascii="宋体" w:hAnsi="宋体" w:eastAsia="宋体" w:cs="宋体"/>
          <w:b/>
          <w:bCs/>
          <w:color w:val="auto"/>
          <w:sz w:val="24"/>
          <w:szCs w:val="32"/>
        </w:rPr>
        <w:t>8.3 采购过程、采购结果的质疑</w:t>
      </w:r>
    </w:p>
    <w:p w14:paraId="1CD88D1D">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认为采购过程、采购结果使自己的合法权益受到损害的，应当按照本章节第1.16.2款规定，以书面形式一次性向采购人、</w:t>
      </w:r>
      <w:r>
        <w:rPr>
          <w:rFonts w:hint="eastAsia" w:ascii="宋体" w:hAnsi="宋体" w:eastAsia="宋体" w:cs="宋体"/>
          <w:b/>
          <w:color w:val="auto"/>
          <w:kern w:val="0"/>
          <w:sz w:val="24"/>
          <w:lang w:eastAsia="zh-CN"/>
        </w:rPr>
        <w:t>采购代理机构</w:t>
      </w:r>
      <w:r>
        <w:rPr>
          <w:rFonts w:hint="eastAsia" w:ascii="宋体" w:hAnsi="宋体" w:eastAsia="宋体" w:cs="宋体"/>
          <w:b/>
          <w:color w:val="auto"/>
          <w:kern w:val="0"/>
          <w:sz w:val="24"/>
        </w:rPr>
        <w:t>提出质疑。</w:t>
      </w:r>
      <w:r>
        <w:rPr>
          <w:rFonts w:hint="eastAsia" w:ascii="宋体" w:hAnsi="宋体" w:eastAsia="宋体" w:cs="宋体"/>
          <w:color w:val="auto"/>
          <w:sz w:val="24"/>
        </w:rPr>
        <w:t>质疑供应商对采购人、</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的答复不满意或者采购人、</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未在规定的时间内作出答复的，可以在答复期满后15个工作日内向同级政府采购监督管理部门投诉。质疑函范本、投诉书范本请到山西省政府采购网下载专区下载。</w:t>
      </w:r>
    </w:p>
    <w:p w14:paraId="3A87E27C">
      <w:pPr>
        <w:pStyle w:val="4"/>
        <w:ind w:firstLine="281" w:firstLineChars="100"/>
        <w:jc w:val="left"/>
        <w:rPr>
          <w:rFonts w:hint="eastAsia" w:ascii="宋体" w:hAnsi="宋体" w:eastAsia="宋体" w:cs="宋体"/>
          <w:color w:val="auto"/>
          <w:sz w:val="28"/>
          <w:szCs w:val="28"/>
        </w:rPr>
      </w:pPr>
      <w:bookmarkStart w:id="47" w:name="_Toc19436"/>
      <w:bookmarkStart w:id="48" w:name="_Toc81341326"/>
      <w:r>
        <w:rPr>
          <w:rFonts w:hint="eastAsia" w:ascii="宋体" w:hAnsi="宋体" w:eastAsia="宋体" w:cs="宋体"/>
          <w:color w:val="auto"/>
          <w:sz w:val="28"/>
          <w:szCs w:val="28"/>
        </w:rPr>
        <w:t>九、采购代理服务费</w:t>
      </w:r>
      <w:bookmarkEnd w:id="46"/>
      <w:bookmarkEnd w:id="47"/>
      <w:bookmarkEnd w:id="48"/>
    </w:p>
    <w:p w14:paraId="50A7C2FB">
      <w:pPr>
        <w:spacing w:line="360" w:lineRule="auto"/>
        <w:ind w:right="42" w:rightChars="20" w:firstLine="426" w:firstLineChars="177"/>
        <w:jc w:val="left"/>
        <w:rPr>
          <w:rFonts w:hint="eastAsia" w:ascii="宋体" w:hAnsi="宋体" w:eastAsia="宋体" w:cs="宋体"/>
          <w:bCs/>
          <w:color w:val="auto"/>
          <w:sz w:val="24"/>
        </w:rPr>
      </w:pPr>
      <w:r>
        <w:rPr>
          <w:rFonts w:hint="eastAsia" w:ascii="宋体" w:hAnsi="宋体" w:eastAsia="宋体" w:cs="宋体"/>
          <w:b/>
          <w:bCs w:val="0"/>
          <w:color w:val="auto"/>
          <w:sz w:val="24"/>
          <w:lang w:val="en-US" w:eastAsia="zh-CN"/>
        </w:rPr>
        <w:t>9.1</w:t>
      </w:r>
      <w:r>
        <w:rPr>
          <w:rFonts w:hint="eastAsia" w:ascii="宋体" w:hAnsi="宋体" w:eastAsia="宋体" w:cs="宋体"/>
          <w:bCs/>
          <w:color w:val="auto"/>
          <w:sz w:val="24"/>
        </w:rPr>
        <w:t>是否收取采购代理服务费，计费标准</w:t>
      </w:r>
      <w:r>
        <w:rPr>
          <w:rFonts w:hint="eastAsia" w:ascii="宋体" w:hAnsi="宋体" w:eastAsia="宋体" w:cs="宋体"/>
          <w:bCs/>
          <w:color w:val="auto"/>
          <w:sz w:val="24"/>
          <w:lang w:val="en-US" w:eastAsia="zh-CN"/>
        </w:rPr>
        <w:t>等内容</w:t>
      </w:r>
      <w:r>
        <w:rPr>
          <w:rFonts w:hint="eastAsia" w:ascii="宋体" w:hAnsi="宋体" w:eastAsia="宋体" w:cs="宋体"/>
          <w:b/>
          <w:color w:val="auto"/>
          <w:sz w:val="24"/>
          <w:u w:val="single"/>
        </w:rPr>
        <w:t>见《磋商须知前附表》</w:t>
      </w:r>
      <w:r>
        <w:rPr>
          <w:rFonts w:hint="eastAsia" w:ascii="宋体" w:hAnsi="宋体" w:eastAsia="宋体" w:cs="宋体"/>
          <w:bCs/>
          <w:color w:val="auto"/>
          <w:sz w:val="24"/>
        </w:rPr>
        <w:t>；</w:t>
      </w:r>
    </w:p>
    <w:p w14:paraId="65C0CB5D">
      <w:pPr>
        <w:spacing w:line="360" w:lineRule="auto"/>
        <w:ind w:right="42" w:rightChars="20" w:firstLine="426" w:firstLineChars="177"/>
        <w:jc w:val="left"/>
        <w:rPr>
          <w:rFonts w:hint="eastAsia" w:ascii="宋体" w:hAnsi="宋体" w:eastAsia="宋体" w:cs="宋体"/>
          <w:bCs/>
          <w:color w:val="auto"/>
          <w:sz w:val="24"/>
          <w:lang w:val="zh-CN"/>
        </w:rPr>
      </w:pPr>
      <w:r>
        <w:rPr>
          <w:rFonts w:hint="eastAsia" w:ascii="宋体" w:hAnsi="宋体" w:eastAsia="宋体" w:cs="宋体"/>
          <w:b/>
          <w:bCs w:val="0"/>
          <w:color w:val="auto"/>
          <w:sz w:val="24"/>
          <w:lang w:val="en-US" w:eastAsia="zh-CN"/>
        </w:rPr>
        <w:t>9.2</w:t>
      </w:r>
      <w:r>
        <w:rPr>
          <w:rFonts w:hint="eastAsia" w:ascii="宋体" w:hAnsi="宋体" w:eastAsia="宋体" w:cs="宋体"/>
          <w:bCs/>
          <w:color w:val="auto"/>
          <w:sz w:val="24"/>
          <w:lang w:val="zh-CN"/>
        </w:rPr>
        <w:t>中标（成交）通知书签发后，成交供应商因自身原因被取消成交资格或放弃成交的，仍须支付采购代理服务费。</w:t>
      </w:r>
    </w:p>
    <w:p w14:paraId="4D3DA251">
      <w:pPr>
        <w:spacing w:line="360" w:lineRule="auto"/>
        <w:ind w:right="42" w:rightChars="20" w:firstLine="426" w:firstLineChars="177"/>
        <w:jc w:val="left"/>
        <w:rPr>
          <w:rFonts w:hint="eastAsia" w:ascii="宋体" w:hAnsi="宋体" w:eastAsia="宋体" w:cs="宋体"/>
          <w:bCs/>
          <w:color w:val="auto"/>
          <w:sz w:val="24"/>
        </w:rPr>
      </w:pPr>
      <w:r>
        <w:rPr>
          <w:rFonts w:hint="eastAsia" w:ascii="宋体" w:hAnsi="宋体" w:eastAsia="宋体" w:cs="宋体"/>
          <w:b/>
          <w:bCs w:val="0"/>
          <w:color w:val="auto"/>
          <w:sz w:val="24"/>
          <w:lang w:val="en-US" w:eastAsia="zh-CN"/>
        </w:rPr>
        <w:t>9.3</w:t>
      </w:r>
      <w:r>
        <w:rPr>
          <w:rFonts w:hint="eastAsia" w:ascii="宋体" w:hAnsi="宋体" w:eastAsia="宋体" w:cs="宋体"/>
          <w:bCs/>
          <w:color w:val="auto"/>
          <w:sz w:val="24"/>
          <w:lang w:val="zh-CN"/>
        </w:rPr>
        <w:t>采购代理服务费缴纳凭证将作为采购人合同付款和验收的前提条件，成交供应商未按磋商文件规定和投标承诺缴纳采购代理服务费的，合同款不予支付、合同验收不予通过。</w:t>
      </w:r>
    </w:p>
    <w:p w14:paraId="481F787A">
      <w:pPr>
        <w:spacing w:line="360" w:lineRule="auto"/>
        <w:ind w:firstLine="426" w:firstLineChars="177"/>
        <w:jc w:val="left"/>
        <w:rPr>
          <w:rFonts w:hint="eastAsia" w:ascii="宋体" w:hAnsi="宋体" w:eastAsia="宋体" w:cs="宋体"/>
          <w:b w:val="0"/>
          <w:bCs/>
          <w:color w:val="auto"/>
          <w:kern w:val="0"/>
          <w:sz w:val="22"/>
          <w:highlight w:val="none"/>
        </w:rPr>
      </w:pPr>
      <w:r>
        <w:rPr>
          <w:rFonts w:hint="eastAsia" w:ascii="宋体" w:hAnsi="宋体" w:eastAsia="宋体" w:cs="宋体"/>
          <w:b/>
          <w:bCs w:val="0"/>
          <w:color w:val="auto"/>
          <w:sz w:val="24"/>
          <w:lang w:val="en-US" w:eastAsia="zh-CN"/>
        </w:rPr>
        <w:t>9.4</w:t>
      </w:r>
      <w:r>
        <w:rPr>
          <w:rFonts w:hint="eastAsia" w:ascii="宋体" w:hAnsi="宋体" w:eastAsia="宋体" w:cs="宋体"/>
          <w:b w:val="0"/>
          <w:bCs/>
          <w:color w:val="auto"/>
          <w:sz w:val="24"/>
          <w:highlight w:val="none"/>
        </w:rPr>
        <w:t>成交供应商确定后，成交供应商拒绝签订合同的，或因自身原因被取消成交资格或放弃成交的，已收取的采购代理服务费不予退还。</w:t>
      </w:r>
    </w:p>
    <w:p w14:paraId="193A25D9">
      <w:pPr>
        <w:pStyle w:val="4"/>
        <w:ind w:firstLine="281" w:firstLineChars="100"/>
        <w:jc w:val="left"/>
        <w:rPr>
          <w:rFonts w:hint="eastAsia" w:ascii="宋体" w:hAnsi="宋体" w:eastAsia="宋体" w:cs="宋体"/>
          <w:color w:val="auto"/>
          <w:sz w:val="28"/>
          <w:szCs w:val="28"/>
        </w:rPr>
      </w:pPr>
      <w:bookmarkStart w:id="49" w:name="_Toc440162792"/>
      <w:bookmarkStart w:id="50" w:name="_Toc424164160"/>
      <w:bookmarkStart w:id="51" w:name="_Toc35391901"/>
      <w:bookmarkStart w:id="52" w:name="_Toc81341327"/>
      <w:bookmarkStart w:id="53" w:name="_Toc10789"/>
      <w:r>
        <w:rPr>
          <w:rFonts w:hint="eastAsia" w:ascii="宋体" w:hAnsi="宋体" w:eastAsia="宋体" w:cs="宋体"/>
          <w:color w:val="auto"/>
          <w:sz w:val="28"/>
          <w:szCs w:val="28"/>
        </w:rPr>
        <w:t>十、</w:t>
      </w:r>
      <w:bookmarkEnd w:id="49"/>
      <w:bookmarkEnd w:id="50"/>
      <w:r>
        <w:rPr>
          <w:rFonts w:hint="eastAsia" w:ascii="宋体" w:hAnsi="宋体" w:eastAsia="宋体" w:cs="宋体"/>
          <w:color w:val="auto"/>
          <w:sz w:val="28"/>
          <w:szCs w:val="28"/>
        </w:rPr>
        <w:t>合同签订和履约担保</w:t>
      </w:r>
      <w:bookmarkEnd w:id="51"/>
      <w:bookmarkEnd w:id="52"/>
      <w:bookmarkEnd w:id="53"/>
    </w:p>
    <w:p w14:paraId="23140DB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10.1 签订合同</w:t>
      </w:r>
    </w:p>
    <w:p w14:paraId="7A83676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10.1.1合同签订时间期限：</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68BEF73C">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kern w:val="0"/>
          <w:sz w:val="24"/>
        </w:rPr>
        <w:t>10.1.2成交供应商应在《磋商须知前附表》中规定的时间内，与采购人通过“山西省政府采购网”签订政府采购合同。</w:t>
      </w:r>
      <w:r>
        <w:rPr>
          <w:rFonts w:hint="eastAsia" w:ascii="宋体" w:hAnsi="宋体" w:eastAsia="宋体" w:cs="宋体"/>
          <w:color w:val="auto"/>
          <w:kern w:val="0"/>
          <w:sz w:val="24"/>
        </w:rPr>
        <w:t>所签订的合同不得对竞争性磋商文件确定的事项和成交供应商磋商响应文件作实质性修改。</w:t>
      </w:r>
    </w:p>
    <w:p w14:paraId="79DFD080">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sz w:val="24"/>
        </w:rPr>
        <w:t>10.1.3</w:t>
      </w:r>
      <w:r>
        <w:rPr>
          <w:rFonts w:hint="eastAsia" w:ascii="宋体" w:hAnsi="宋体" w:eastAsia="宋体" w:cs="宋体"/>
          <w:b/>
          <w:color w:val="auto"/>
          <w:kern w:val="0"/>
          <w:sz w:val="24"/>
        </w:rPr>
        <w:t>成交供应商</w:t>
      </w:r>
      <w:r>
        <w:rPr>
          <w:rFonts w:hint="eastAsia" w:ascii="宋体" w:hAnsi="宋体" w:eastAsia="宋体" w:cs="宋体"/>
          <w:b/>
          <w:color w:val="auto"/>
          <w:sz w:val="24"/>
        </w:rPr>
        <w:t>拒绝与采购人签订合同的</w:t>
      </w:r>
      <w:r>
        <w:rPr>
          <w:rFonts w:hint="eastAsia" w:ascii="宋体" w:hAnsi="宋体" w:eastAsia="宋体" w:cs="宋体"/>
          <w:b/>
          <w:color w:val="auto"/>
          <w:kern w:val="0"/>
          <w:sz w:val="24"/>
        </w:rPr>
        <w:t>，</w:t>
      </w:r>
      <w:r>
        <w:rPr>
          <w:rFonts w:hint="eastAsia" w:ascii="宋体" w:hAnsi="宋体" w:eastAsia="宋体" w:cs="宋体"/>
          <w:b/>
          <w:color w:val="auto"/>
          <w:sz w:val="24"/>
        </w:rPr>
        <w:t>采购人、</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将对其失信行为上报至同级政府采购监督管理部门对其依法处理。</w:t>
      </w:r>
    </w:p>
    <w:p w14:paraId="0C4E5CE3">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kern w:val="0"/>
          <w:sz w:val="24"/>
        </w:rPr>
        <w:t>10.1.4原</w:t>
      </w:r>
      <w:r>
        <w:rPr>
          <w:rFonts w:hint="eastAsia" w:ascii="宋体" w:hAnsi="宋体" w:eastAsia="宋体" w:cs="宋体"/>
          <w:b/>
          <w:color w:val="auto"/>
          <w:sz w:val="24"/>
        </w:rPr>
        <w:t>成交供应商拒绝与采购人签订合同后，采购人可以按照评审报告推荐的成交候选人名单排序，确定下一候选人为成交供应商，也可以重新开展政府采购活动。</w:t>
      </w:r>
    </w:p>
    <w:p w14:paraId="4AEBF9D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10.2 履约担保（履约保证金）</w:t>
      </w:r>
    </w:p>
    <w:p w14:paraId="06420EF2">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10.2.1履约担保递交要求：</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；成交供应商应递交而未递交履约担保的，合同款不予支付、合同验收不予通过。</w:t>
      </w:r>
    </w:p>
    <w:p w14:paraId="5CD047FA">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03A24B0A">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（1）采购人已向成交供应商支付了合同款的，成交供应商须一次性退还采购人已支付的合同款，并向采购人支付等额违约金；</w:t>
      </w:r>
    </w:p>
    <w:p w14:paraId="1A3943F1">
      <w:pPr>
        <w:spacing w:line="360" w:lineRule="auto"/>
        <w:ind w:firstLine="424" w:firstLineChars="177"/>
        <w:jc w:val="left"/>
        <w:rPr>
          <w:rFonts w:hint="eastAsia" w:ascii="宋体" w:hAnsi="宋体" w:eastAsia="宋体" w:cs="宋体"/>
          <w:b/>
          <w:color w:val="auto"/>
          <w:kern w:val="0"/>
          <w:sz w:val="24"/>
        </w:rPr>
      </w:pPr>
      <w:r>
        <w:rPr>
          <w:rFonts w:hint="eastAsia" w:ascii="宋体" w:hAnsi="宋体" w:eastAsia="宋体" w:cs="宋体"/>
          <w:color w:val="auto"/>
          <w:kern w:val="0"/>
          <w:sz w:val="24"/>
        </w:rPr>
        <w:t>（2）采购人还未向成交供应商支付合同款的，成交供应商须一次性向采购人支付合同总额30%的违约金。</w:t>
      </w:r>
    </w:p>
    <w:p w14:paraId="055C1E0B">
      <w:pPr>
        <w:spacing w:line="360" w:lineRule="auto"/>
        <w:ind w:firstLine="424" w:firstLineChars="177"/>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10.2.3履约保证金在成交供应商按约定履约完毕后退还。</w:t>
      </w:r>
    </w:p>
    <w:p w14:paraId="69ADDF10">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10.3合同款支付方式等</w:t>
      </w:r>
    </w:p>
    <w:p w14:paraId="4E2BEDDE">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10.3.1合同款支付方式：</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43F8C5C4">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10.3.2质量保证金：</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63F803CE">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10.3.3施工用水电费：</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3273BC9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10.4预付款担保</w:t>
      </w:r>
    </w:p>
    <w:p w14:paraId="16C3BCAC">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预付款担保：见《磋商须知前附表》。</w:t>
      </w:r>
    </w:p>
    <w:p w14:paraId="0DDF658F">
      <w:pPr>
        <w:pStyle w:val="4"/>
        <w:ind w:firstLine="281" w:firstLineChars="100"/>
        <w:jc w:val="left"/>
        <w:rPr>
          <w:rFonts w:hint="eastAsia" w:ascii="宋体" w:hAnsi="宋体" w:eastAsia="宋体" w:cs="宋体"/>
          <w:color w:val="auto"/>
          <w:sz w:val="28"/>
          <w:szCs w:val="28"/>
        </w:rPr>
      </w:pPr>
      <w:bookmarkStart w:id="54" w:name="_Toc35391902"/>
      <w:bookmarkStart w:id="55" w:name="_Toc81341328"/>
      <w:bookmarkStart w:id="56" w:name="_Toc5774"/>
      <w:r>
        <w:rPr>
          <w:rFonts w:hint="eastAsia" w:ascii="宋体" w:hAnsi="宋体" w:eastAsia="宋体" w:cs="宋体"/>
          <w:color w:val="auto"/>
          <w:sz w:val="28"/>
          <w:szCs w:val="28"/>
        </w:rPr>
        <w:t>十一、其他事项说明</w:t>
      </w:r>
      <w:bookmarkEnd w:id="54"/>
      <w:bookmarkEnd w:id="55"/>
      <w:bookmarkEnd w:id="56"/>
    </w:p>
    <w:p w14:paraId="30ECBA4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11.1 政府采购信用融资</w:t>
      </w:r>
    </w:p>
    <w:p w14:paraId="6516A400">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0"/>
        </w:rPr>
        <w:t>11.1.1政府采购信用融资相关规定：</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0E7DB42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11.2 重要提醒</w:t>
      </w:r>
    </w:p>
    <w:p w14:paraId="6059FE1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0"/>
        </w:rPr>
        <w:t>11.2.1磋商重要提醒：</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6E44390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11.3 竞争性磋商文件解释权</w:t>
      </w:r>
    </w:p>
    <w:p w14:paraId="65466E5E">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11.3.1竞争性磋商文件解释权：</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2F249739">
      <w:pPr>
        <w:jc w:val="left"/>
        <w:rPr>
          <w:rFonts w:hint="eastAsia" w:ascii="宋体" w:hAnsi="宋体" w:eastAsia="宋体" w:cs="宋体"/>
          <w:color w:val="auto"/>
        </w:rPr>
      </w:pPr>
    </w:p>
    <w:p w14:paraId="38E4A6CC">
      <w:pPr>
        <w:pStyle w:val="12"/>
        <w:rPr>
          <w:rFonts w:hint="eastAsia" w:ascii="宋体" w:hAnsi="宋体" w:eastAsia="宋体" w:cs="宋体"/>
          <w:color w:val="auto"/>
        </w:rPr>
        <w:sectPr>
          <w:footerReference r:id="rId10" w:type="first"/>
          <w:footerReference r:id="rId9" w:type="default"/>
          <w:pgSz w:w="11906" w:h="16838"/>
          <w:pgMar w:top="1361" w:right="1021" w:bottom="1361" w:left="1021" w:header="720" w:footer="720" w:gutter="0"/>
          <w:pgNumType w:fmt="decimal" w:start="0"/>
          <w:cols w:space="720" w:num="1"/>
          <w:titlePg/>
          <w:docGrid w:linePitch="286" w:charSpace="-3831"/>
        </w:sectPr>
      </w:pPr>
    </w:p>
    <w:p w14:paraId="6796B814">
      <w:pPr>
        <w:pStyle w:val="3"/>
        <w:rPr>
          <w:rFonts w:hint="eastAsia" w:ascii="宋体" w:hAnsi="宋体" w:eastAsia="宋体" w:cs="宋体"/>
          <w:bCs w:val="0"/>
          <w:color w:val="auto"/>
          <w:kern w:val="44"/>
          <w:sz w:val="44"/>
          <w:szCs w:val="44"/>
        </w:rPr>
      </w:pPr>
      <w:bookmarkStart w:id="57" w:name="_Toc81341329"/>
      <w:bookmarkStart w:id="58" w:name="_Toc26503"/>
      <w:r>
        <w:rPr>
          <w:rFonts w:hint="eastAsia" w:ascii="宋体" w:hAnsi="宋体" w:eastAsia="宋体" w:cs="宋体"/>
          <w:color w:val="auto"/>
          <w:kern w:val="44"/>
          <w:sz w:val="44"/>
          <w:szCs w:val="44"/>
        </w:rPr>
        <w:t xml:space="preserve">第三章  </w:t>
      </w:r>
      <w:bookmarkEnd w:id="39"/>
      <w:bookmarkEnd w:id="40"/>
      <w:r>
        <w:rPr>
          <w:rFonts w:hint="eastAsia" w:ascii="宋体" w:hAnsi="宋体" w:eastAsia="宋体" w:cs="宋体"/>
          <w:color w:val="auto"/>
          <w:kern w:val="44"/>
          <w:sz w:val="44"/>
          <w:szCs w:val="44"/>
        </w:rPr>
        <w:t>采购内容</w:t>
      </w:r>
      <w:bookmarkEnd w:id="57"/>
      <w:bookmarkEnd w:id="58"/>
    </w:p>
    <w:p w14:paraId="1F9C829F">
      <w:pPr>
        <w:pStyle w:val="23"/>
        <w:keepNext w:val="0"/>
        <w:keepLines w:val="0"/>
        <w:pageBreakBefore w:val="0"/>
        <w:widowControl w:val="0"/>
        <w:kinsoku/>
        <w:wordWrap w:val="0"/>
        <w:overflowPunct/>
        <w:topLinePunct/>
        <w:autoSpaceDE/>
        <w:autoSpaceDN/>
        <w:bidi w:val="0"/>
        <w:adjustRightInd/>
        <w:snapToGrid/>
        <w:spacing w:after="0"/>
        <w:ind w:left="0" w:leftChars="0" w:firstLine="0" w:firstLineChars="0"/>
        <w:textAlignment w:val="auto"/>
        <w:outlineLvl w:val="9"/>
        <w:rPr>
          <w:rFonts w:hint="eastAsia" w:ascii="宋体" w:hAnsi="宋体" w:eastAsia="宋体" w:cs="宋体"/>
          <w:color w:val="auto"/>
          <w:sz w:val="28"/>
          <w:szCs w:val="21"/>
          <w:highlight w:val="yellow"/>
          <w:lang w:val="en-US" w:eastAsia="zh-CN"/>
        </w:rPr>
      </w:pPr>
      <w:bookmarkStart w:id="59" w:name="PO_TDCUS_ITEM_PB_REQ_FILE_1_1"/>
      <w:bookmarkEnd w:id="59"/>
    </w:p>
    <w:p w14:paraId="3CB530B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一、工程名称：</w:t>
      </w:r>
    </w:p>
    <w:p w14:paraId="6AD79E0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太古镇2026年蔬菜大棚新建改造项目</w:t>
      </w:r>
    </w:p>
    <w:p w14:paraId="0F4C715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二、采购方式：</w:t>
      </w:r>
    </w:p>
    <w:p w14:paraId="74190C6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竞争性磋商</w:t>
      </w:r>
    </w:p>
    <w:p w14:paraId="69B4C3BD">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三、预算总金额为：</w:t>
      </w:r>
    </w:p>
    <w:p w14:paraId="6AC9D94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972262.26元</w:t>
      </w:r>
    </w:p>
    <w:p w14:paraId="3237C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四、工期：自合同签订之日起60日历天；</w:t>
      </w:r>
    </w:p>
    <w:p w14:paraId="0A181AD5">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五、工程地点：</w:t>
      </w:r>
    </w:p>
    <w:p w14:paraId="1159D21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大宁县太古镇</w:t>
      </w:r>
    </w:p>
    <w:p w14:paraId="7D7F5E2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六、质量要求：</w:t>
      </w:r>
    </w:p>
    <w:p w14:paraId="3E1FB72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达到《工程施工质量验收规范》合格标准；</w:t>
      </w:r>
    </w:p>
    <w:p w14:paraId="68D7AE9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七、建设内容：</w:t>
      </w:r>
    </w:p>
    <w:p w14:paraId="5F06762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color w:val="auto"/>
          <w:sz w:val="28"/>
          <w:szCs w:val="21"/>
          <w:highlight w:val="none"/>
          <w:lang w:val="en-US" w:eastAsia="zh-CN"/>
        </w:rPr>
      </w:pPr>
      <w:r>
        <w:rPr>
          <w:rFonts w:hint="eastAsia" w:asciiTheme="minorEastAsia" w:hAnsiTheme="minorEastAsia" w:eastAsiaTheme="minorEastAsia" w:cstheme="minorEastAsia"/>
          <w:bCs/>
          <w:sz w:val="28"/>
          <w:szCs w:val="28"/>
          <w:highlight w:val="none"/>
          <w:lang w:val="en-US" w:eastAsia="zh-CN"/>
        </w:rPr>
        <w:t>太古镇2026年蔬菜大棚新建改造项目工程量清单及图纸中的全部内容</w:t>
      </w:r>
      <w:r>
        <w:rPr>
          <w:rFonts w:hint="eastAsia" w:ascii="宋体" w:hAnsi="宋体" w:eastAsia="宋体" w:cs="宋体"/>
          <w:color w:val="auto"/>
          <w:sz w:val="28"/>
          <w:szCs w:val="21"/>
          <w:highlight w:val="none"/>
          <w:lang w:val="en-US" w:eastAsia="zh-CN"/>
        </w:rPr>
        <w:t>。</w:t>
      </w:r>
    </w:p>
    <w:p w14:paraId="57F8196D">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kern w:val="2"/>
          <w:sz w:val="28"/>
          <w:szCs w:val="21"/>
          <w:highlight w:val="none"/>
          <w:lang w:val="en-US" w:eastAsia="zh-CN" w:bidi="ar-SA"/>
        </w:rPr>
      </w:pPr>
      <w:r>
        <w:rPr>
          <w:rFonts w:hint="eastAsia" w:asciiTheme="minorEastAsia" w:hAnsiTheme="minorEastAsia" w:eastAsiaTheme="minorEastAsia" w:cstheme="minorEastAsia"/>
          <w:bCs/>
          <w:sz w:val="28"/>
          <w:szCs w:val="28"/>
          <w:highlight w:val="none"/>
          <w:lang w:val="en-US" w:eastAsia="zh-CN"/>
        </w:rPr>
        <w:t>八、工程</w:t>
      </w:r>
      <w:r>
        <w:rPr>
          <w:rFonts w:hint="eastAsia" w:ascii="宋体" w:hAnsi="宋体" w:eastAsia="宋体" w:cs="宋体"/>
          <w:color w:val="auto"/>
          <w:spacing w:val="0"/>
          <w:kern w:val="2"/>
          <w:sz w:val="28"/>
          <w:szCs w:val="21"/>
          <w:highlight w:val="none"/>
          <w:lang w:val="en-US" w:eastAsia="zh-CN" w:bidi="ar-SA"/>
        </w:rPr>
        <w:t>量清单及图纸：</w:t>
      </w:r>
    </w:p>
    <w:p w14:paraId="012EEB2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pacing w:val="0"/>
          <w:kern w:val="2"/>
          <w:sz w:val="28"/>
          <w:szCs w:val="21"/>
          <w:highlight w:val="none"/>
          <w:lang w:val="en-US" w:eastAsia="zh-CN" w:bidi="ar-SA"/>
        </w:rPr>
      </w:pPr>
      <w:r>
        <w:rPr>
          <w:rFonts w:hint="eastAsia" w:ascii="宋体" w:hAnsi="宋体" w:eastAsia="宋体" w:cs="宋体"/>
          <w:color w:val="auto"/>
          <w:spacing w:val="0"/>
          <w:kern w:val="2"/>
          <w:sz w:val="28"/>
          <w:szCs w:val="21"/>
          <w:highlight w:val="none"/>
          <w:lang w:val="en-US" w:eastAsia="zh-CN" w:bidi="ar-SA"/>
        </w:rPr>
        <w:t>另附。</w:t>
      </w:r>
    </w:p>
    <w:p w14:paraId="29015DEC">
      <w:pPr>
        <w:adjustRightInd w:val="0"/>
        <w:snapToGrid w:val="0"/>
        <w:spacing w:line="300" w:lineRule="auto"/>
        <w:jc w:val="left"/>
        <w:rPr>
          <w:rFonts w:hint="eastAsia" w:ascii="宋体" w:hAnsi="宋体" w:eastAsia="宋体" w:cs="宋体"/>
          <w:b/>
          <w:color w:val="auto"/>
          <w:sz w:val="24"/>
          <w:szCs w:val="20"/>
        </w:rPr>
      </w:pPr>
    </w:p>
    <w:p w14:paraId="3420BF7F">
      <w:pPr>
        <w:adjustRightInd w:val="0"/>
        <w:snapToGrid w:val="0"/>
        <w:spacing w:line="300" w:lineRule="auto"/>
        <w:jc w:val="left"/>
        <w:rPr>
          <w:rFonts w:hint="eastAsia" w:ascii="宋体" w:hAnsi="宋体" w:eastAsia="宋体" w:cs="宋体"/>
          <w:b/>
          <w:color w:val="auto"/>
          <w:sz w:val="24"/>
          <w:szCs w:val="20"/>
        </w:rPr>
      </w:pPr>
    </w:p>
    <w:p w14:paraId="4ACEB273">
      <w:pPr>
        <w:adjustRightInd w:val="0"/>
        <w:snapToGrid w:val="0"/>
        <w:spacing w:line="300" w:lineRule="auto"/>
        <w:jc w:val="left"/>
        <w:rPr>
          <w:rFonts w:hint="eastAsia" w:ascii="宋体" w:hAnsi="宋体" w:eastAsia="宋体" w:cs="宋体"/>
          <w:b/>
          <w:color w:val="auto"/>
          <w:sz w:val="24"/>
          <w:szCs w:val="20"/>
        </w:rPr>
      </w:pPr>
    </w:p>
    <w:p w14:paraId="025F69A6">
      <w:pPr>
        <w:adjustRightInd w:val="0"/>
        <w:snapToGrid w:val="0"/>
        <w:spacing w:line="300" w:lineRule="auto"/>
        <w:jc w:val="left"/>
        <w:rPr>
          <w:rFonts w:hint="eastAsia" w:ascii="宋体" w:hAnsi="宋体" w:eastAsia="宋体" w:cs="宋体"/>
          <w:color w:val="auto"/>
          <w:sz w:val="24"/>
        </w:rPr>
      </w:pPr>
    </w:p>
    <w:p w14:paraId="6EAF9ABD">
      <w:pPr>
        <w:adjustRightInd w:val="0"/>
        <w:snapToGrid w:val="0"/>
        <w:spacing w:line="300" w:lineRule="auto"/>
        <w:jc w:val="left"/>
        <w:rPr>
          <w:rFonts w:hint="eastAsia" w:ascii="宋体" w:hAnsi="宋体" w:eastAsia="宋体" w:cs="宋体"/>
          <w:color w:val="auto"/>
          <w:sz w:val="24"/>
        </w:rPr>
      </w:pPr>
    </w:p>
    <w:p w14:paraId="1E62F106">
      <w:pPr>
        <w:adjustRightInd w:val="0"/>
        <w:snapToGrid w:val="0"/>
        <w:spacing w:line="300" w:lineRule="auto"/>
        <w:jc w:val="left"/>
        <w:rPr>
          <w:rFonts w:hint="eastAsia" w:ascii="宋体" w:hAnsi="宋体" w:eastAsia="宋体" w:cs="宋体"/>
          <w:color w:val="auto"/>
          <w:sz w:val="24"/>
        </w:rPr>
      </w:pPr>
    </w:p>
    <w:p w14:paraId="55624E9C">
      <w:pPr>
        <w:adjustRightInd w:val="0"/>
        <w:snapToGrid w:val="0"/>
        <w:spacing w:line="300" w:lineRule="auto"/>
        <w:jc w:val="left"/>
        <w:rPr>
          <w:rFonts w:hint="eastAsia" w:ascii="宋体" w:hAnsi="宋体" w:eastAsia="宋体" w:cs="宋体"/>
          <w:color w:val="auto"/>
          <w:sz w:val="24"/>
        </w:rPr>
      </w:pPr>
    </w:p>
    <w:p w14:paraId="1940640E">
      <w:pPr>
        <w:pStyle w:val="3"/>
        <w:jc w:val="left"/>
        <w:rPr>
          <w:rFonts w:hint="eastAsia" w:ascii="宋体" w:hAnsi="宋体" w:eastAsia="宋体" w:cs="宋体"/>
          <w:color w:val="auto"/>
        </w:rPr>
      </w:pPr>
    </w:p>
    <w:p w14:paraId="6AC98520">
      <w:pPr>
        <w:jc w:val="left"/>
        <w:rPr>
          <w:rFonts w:hint="eastAsia" w:ascii="宋体" w:hAnsi="宋体" w:eastAsia="宋体" w:cs="宋体"/>
          <w:color w:val="auto"/>
        </w:rPr>
      </w:pPr>
    </w:p>
    <w:p w14:paraId="62A0578A">
      <w:pPr>
        <w:pStyle w:val="3"/>
        <w:jc w:val="left"/>
        <w:rPr>
          <w:rFonts w:hint="eastAsia" w:ascii="宋体" w:hAnsi="宋体" w:eastAsia="宋体" w:cs="宋体"/>
          <w:color w:val="auto"/>
        </w:rPr>
      </w:pPr>
    </w:p>
    <w:p w14:paraId="681CF47A">
      <w:pPr>
        <w:jc w:val="left"/>
        <w:rPr>
          <w:rFonts w:hint="eastAsia" w:ascii="宋体" w:hAnsi="宋体" w:eastAsia="宋体" w:cs="宋体"/>
          <w:color w:val="auto"/>
        </w:rPr>
      </w:pPr>
    </w:p>
    <w:bookmarkEnd w:id="41"/>
    <w:bookmarkEnd w:id="42"/>
    <w:bookmarkEnd w:id="43"/>
    <w:p w14:paraId="22147FC1">
      <w:pPr>
        <w:pStyle w:val="3"/>
        <w:snapToGrid w:val="0"/>
        <w:spacing w:line="288" w:lineRule="auto"/>
        <w:rPr>
          <w:rFonts w:hint="eastAsia" w:ascii="宋体" w:hAnsi="宋体" w:eastAsia="宋体" w:cs="宋体"/>
          <w:color w:val="auto"/>
          <w:kern w:val="44"/>
          <w:sz w:val="44"/>
          <w:szCs w:val="44"/>
        </w:rPr>
      </w:pPr>
    </w:p>
    <w:p w14:paraId="18CB3177">
      <w:pPr>
        <w:pStyle w:val="3"/>
        <w:snapToGrid w:val="0"/>
        <w:spacing w:line="288" w:lineRule="auto"/>
        <w:rPr>
          <w:rFonts w:hint="eastAsia" w:ascii="宋体" w:hAnsi="宋体" w:eastAsia="宋体" w:cs="宋体"/>
          <w:color w:val="auto"/>
          <w:kern w:val="44"/>
          <w:sz w:val="44"/>
          <w:szCs w:val="44"/>
        </w:rPr>
      </w:pPr>
    </w:p>
    <w:p w14:paraId="52C626CE">
      <w:pPr>
        <w:pStyle w:val="3"/>
        <w:snapToGrid w:val="0"/>
        <w:spacing w:line="288" w:lineRule="auto"/>
        <w:rPr>
          <w:rFonts w:hint="eastAsia" w:ascii="宋体" w:hAnsi="宋体" w:eastAsia="宋体" w:cs="宋体"/>
          <w:color w:val="auto"/>
          <w:kern w:val="44"/>
          <w:sz w:val="44"/>
          <w:szCs w:val="44"/>
        </w:rPr>
      </w:pPr>
    </w:p>
    <w:p w14:paraId="438558A4">
      <w:pPr>
        <w:pStyle w:val="3"/>
        <w:snapToGrid w:val="0"/>
        <w:spacing w:line="288" w:lineRule="auto"/>
        <w:rPr>
          <w:rFonts w:hint="eastAsia" w:ascii="宋体" w:hAnsi="宋体" w:eastAsia="宋体" w:cs="宋体"/>
          <w:color w:val="auto"/>
          <w:kern w:val="44"/>
          <w:sz w:val="44"/>
          <w:szCs w:val="44"/>
        </w:rPr>
      </w:pPr>
    </w:p>
    <w:p w14:paraId="5C9DD00A">
      <w:pPr>
        <w:pStyle w:val="3"/>
        <w:snapToGrid w:val="0"/>
        <w:spacing w:line="288" w:lineRule="auto"/>
        <w:rPr>
          <w:rFonts w:hint="eastAsia" w:ascii="宋体" w:hAnsi="宋体" w:eastAsia="宋体" w:cs="宋体"/>
          <w:color w:val="auto"/>
          <w:kern w:val="44"/>
          <w:sz w:val="44"/>
          <w:szCs w:val="44"/>
        </w:rPr>
      </w:pPr>
    </w:p>
    <w:p w14:paraId="0BC27F42">
      <w:pPr>
        <w:pStyle w:val="3"/>
        <w:snapToGrid w:val="0"/>
        <w:spacing w:line="288" w:lineRule="auto"/>
        <w:rPr>
          <w:rFonts w:hint="eastAsia" w:ascii="宋体" w:hAnsi="宋体" w:eastAsia="宋体" w:cs="宋体"/>
          <w:color w:val="auto"/>
          <w:kern w:val="44"/>
          <w:sz w:val="44"/>
          <w:szCs w:val="44"/>
        </w:rPr>
      </w:pPr>
    </w:p>
    <w:p w14:paraId="7B113783">
      <w:pPr>
        <w:jc w:val="center"/>
        <w:rPr>
          <w:rFonts w:hint="eastAsia" w:ascii="宋体" w:hAnsi="宋体" w:eastAsia="宋体" w:cs="宋体"/>
          <w:b/>
          <w:bCs/>
          <w:color w:val="auto"/>
          <w:kern w:val="44"/>
          <w:sz w:val="44"/>
          <w:szCs w:val="44"/>
        </w:rPr>
      </w:pPr>
      <w:r>
        <w:rPr>
          <w:rFonts w:hint="eastAsia" w:ascii="宋体" w:hAnsi="宋体" w:eastAsia="宋体" w:cs="宋体"/>
          <w:b/>
          <w:bCs/>
          <w:color w:val="auto"/>
          <w:kern w:val="44"/>
          <w:sz w:val="44"/>
          <w:szCs w:val="44"/>
        </w:rPr>
        <w:t>第四章  合同</w:t>
      </w:r>
    </w:p>
    <w:p w14:paraId="1CDC7B8E">
      <w:pPr>
        <w:jc w:val="center"/>
        <w:rPr>
          <w:rFonts w:hint="eastAsia" w:ascii="宋体" w:hAnsi="宋体" w:eastAsia="宋体" w:cs="宋体"/>
          <w:b/>
          <w:bCs/>
          <w:sz w:val="48"/>
          <w:szCs w:val="48"/>
        </w:rPr>
      </w:pPr>
      <w:r>
        <w:rPr>
          <w:rFonts w:hint="eastAsia" w:ascii="宋体" w:hAnsi="宋体" w:eastAsia="宋体" w:cs="宋体"/>
          <w:sz w:val="48"/>
          <w:szCs w:val="48"/>
        </w:rPr>
        <w:t>《建设工程施工合同（示范文本）</w:t>
      </w:r>
      <w:r>
        <w:rPr>
          <w:rFonts w:hint="eastAsia" w:ascii="宋体" w:hAnsi="宋体" w:eastAsia="宋体" w:cs="宋体"/>
          <w:sz w:val="48"/>
          <w:szCs w:val="48"/>
          <w:lang w:eastAsia="zh-CN"/>
        </w:rPr>
        <w:t>》</w:t>
      </w:r>
      <w:r>
        <w:rPr>
          <w:rFonts w:hint="eastAsia" w:ascii="宋体" w:hAnsi="宋体" w:eastAsia="宋体" w:cs="宋体"/>
          <w:sz w:val="48"/>
          <w:szCs w:val="48"/>
        </w:rPr>
        <w:t>（GF-2017-0201）</w:t>
      </w:r>
    </w:p>
    <w:p w14:paraId="1F379A00">
      <w:pPr>
        <w:ind w:firstLine="2530" w:firstLineChars="900"/>
        <w:rPr>
          <w:rFonts w:hint="eastAsia" w:ascii="宋体" w:hAnsi="宋体" w:eastAsia="宋体" w:cs="宋体"/>
          <w:b/>
          <w:bCs/>
          <w:sz w:val="28"/>
          <w:szCs w:val="28"/>
        </w:rPr>
      </w:pPr>
    </w:p>
    <w:p w14:paraId="0ACA4FF4">
      <w:pPr>
        <w:ind w:firstLine="2530" w:firstLineChars="900"/>
        <w:rPr>
          <w:rFonts w:hint="eastAsia" w:ascii="宋体" w:hAnsi="宋体" w:eastAsia="宋体" w:cs="宋体"/>
          <w:b/>
          <w:bCs/>
          <w:sz w:val="28"/>
          <w:szCs w:val="28"/>
        </w:rPr>
      </w:pPr>
    </w:p>
    <w:p w14:paraId="295807E4">
      <w:pPr>
        <w:pStyle w:val="41"/>
        <w:jc w:val="center"/>
        <w:rPr>
          <w:rFonts w:hint="eastAsia" w:ascii="宋体" w:hAnsi="宋体" w:eastAsia="宋体" w:cs="宋体"/>
          <w:color w:val="000000"/>
          <w:lang w:val="zh-CN"/>
        </w:rPr>
      </w:pPr>
      <w:r>
        <w:rPr>
          <w:rFonts w:hint="eastAsia" w:ascii="宋体" w:hAnsi="宋体" w:eastAsia="宋体" w:cs="宋体"/>
          <w:b/>
          <w:bCs/>
          <w:sz w:val="28"/>
          <w:szCs w:val="28"/>
        </w:rPr>
        <w:br w:type="page"/>
      </w:r>
      <w:bookmarkStart w:id="60" w:name="_Toc296890982"/>
      <w:bookmarkStart w:id="61" w:name="_Toc296503025"/>
      <w:r>
        <w:rPr>
          <w:rFonts w:hint="eastAsia" w:ascii="宋体" w:hAnsi="宋体" w:eastAsia="宋体" w:cs="宋体"/>
          <w:color w:val="000000"/>
          <w:lang w:val="zh-CN"/>
        </w:rPr>
        <w:t>说    明</w:t>
      </w:r>
    </w:p>
    <w:p w14:paraId="7A271660">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4303CB9A">
      <w:pPr>
        <w:spacing w:line="540" w:lineRule="exact"/>
        <w:ind w:firstLine="480" w:firstLineChars="200"/>
        <w:outlineLvl w:val="0"/>
        <w:rPr>
          <w:rFonts w:hint="eastAsia" w:ascii="宋体" w:hAnsi="宋体" w:eastAsia="宋体" w:cs="宋体"/>
          <w:bCs/>
          <w:color w:val="000000"/>
          <w:sz w:val="24"/>
          <w:szCs w:val="24"/>
        </w:rPr>
      </w:pPr>
      <w:bookmarkStart w:id="62" w:name="_Toc375060690"/>
      <w:bookmarkStart w:id="63" w:name="_Toc375060639"/>
      <w:r>
        <w:rPr>
          <w:rFonts w:hint="eastAsia" w:ascii="宋体" w:hAnsi="宋体" w:eastAsia="宋体" w:cs="宋体"/>
          <w:bCs/>
          <w:color w:val="000000"/>
          <w:sz w:val="24"/>
          <w:szCs w:val="24"/>
        </w:rPr>
        <w:t>一、《示范文本》的组成</w:t>
      </w:r>
      <w:bookmarkEnd w:id="62"/>
      <w:bookmarkEnd w:id="63"/>
    </w:p>
    <w:p w14:paraId="160495BF">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《示范文本》由合同协议书、通用合同条款和专用合同条款三部分组成。</w:t>
      </w:r>
    </w:p>
    <w:p w14:paraId="372CDBE9">
      <w:pPr>
        <w:spacing w:line="540" w:lineRule="exact"/>
        <w:ind w:firstLine="480" w:firstLineChars="200"/>
        <w:outlineLvl w:val="0"/>
        <w:rPr>
          <w:rFonts w:hint="eastAsia" w:ascii="宋体" w:hAnsi="宋体" w:eastAsia="宋体" w:cs="宋体"/>
          <w:color w:val="000000"/>
          <w:sz w:val="24"/>
          <w:szCs w:val="24"/>
        </w:rPr>
      </w:pPr>
      <w:bookmarkStart w:id="64" w:name="_Toc375060691"/>
      <w:bookmarkStart w:id="65" w:name="_Toc375060640"/>
      <w:r>
        <w:rPr>
          <w:rFonts w:hint="eastAsia" w:ascii="宋体" w:hAnsi="宋体" w:eastAsia="宋体" w:cs="宋体"/>
          <w:color w:val="000000"/>
          <w:sz w:val="24"/>
          <w:szCs w:val="24"/>
        </w:rPr>
        <w:t>（一）合同协议书</w:t>
      </w:r>
      <w:bookmarkEnd w:id="64"/>
      <w:bookmarkEnd w:id="65"/>
    </w:p>
    <w:p w14:paraId="53721A66">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A0E3F5A">
      <w:pPr>
        <w:spacing w:line="540" w:lineRule="exact"/>
        <w:ind w:firstLine="480" w:firstLineChars="200"/>
        <w:outlineLvl w:val="0"/>
        <w:rPr>
          <w:rFonts w:hint="eastAsia" w:ascii="宋体" w:hAnsi="宋体" w:eastAsia="宋体" w:cs="宋体"/>
          <w:color w:val="000000"/>
          <w:sz w:val="24"/>
          <w:szCs w:val="24"/>
        </w:rPr>
      </w:pPr>
      <w:bookmarkStart w:id="66" w:name="_Toc375060641"/>
      <w:bookmarkStart w:id="67" w:name="_Toc375060692"/>
      <w:r>
        <w:rPr>
          <w:rFonts w:hint="eastAsia" w:ascii="宋体" w:hAnsi="宋体" w:eastAsia="宋体" w:cs="宋体"/>
          <w:color w:val="000000"/>
          <w:sz w:val="24"/>
          <w:szCs w:val="24"/>
        </w:rPr>
        <w:t>（二）通用合同条款</w:t>
      </w:r>
      <w:bookmarkEnd w:id="66"/>
      <w:bookmarkEnd w:id="67"/>
    </w:p>
    <w:p w14:paraId="011751D8">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通用合同条款是合同当事人根据《中华人民共和国建筑法》、《中华人民共和国合同法》等法律法规的规定，就工程建设的实施及相关事项，对合同当事人的权利义务作出的原则性约定。</w:t>
      </w:r>
    </w:p>
    <w:p w14:paraId="219DB1E4">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B614D25">
      <w:pPr>
        <w:spacing w:line="540" w:lineRule="exact"/>
        <w:ind w:firstLine="480" w:firstLineChars="200"/>
        <w:outlineLvl w:val="0"/>
        <w:rPr>
          <w:rFonts w:hint="eastAsia" w:ascii="宋体" w:hAnsi="宋体" w:eastAsia="宋体" w:cs="宋体"/>
          <w:color w:val="000000"/>
          <w:sz w:val="24"/>
          <w:szCs w:val="24"/>
        </w:rPr>
      </w:pPr>
      <w:bookmarkStart w:id="68" w:name="_Toc375060642"/>
      <w:bookmarkStart w:id="69" w:name="_Toc375060693"/>
      <w:r>
        <w:rPr>
          <w:rFonts w:hint="eastAsia" w:ascii="宋体" w:hAnsi="宋体" w:eastAsia="宋体" w:cs="宋体"/>
          <w:color w:val="000000"/>
          <w:sz w:val="24"/>
          <w:szCs w:val="24"/>
        </w:rPr>
        <w:t>（三）专用合同条款</w:t>
      </w:r>
      <w:bookmarkEnd w:id="68"/>
      <w:bookmarkEnd w:id="69"/>
    </w:p>
    <w:p w14:paraId="3002AE95">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426A9E0A">
      <w:pPr>
        <w:spacing w:line="540" w:lineRule="exact"/>
        <w:ind w:right="25" w:rightChars="1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1、专用合同条款的编号应与相应的通用合同条款的编号一致；</w:t>
      </w:r>
    </w:p>
    <w:p w14:paraId="59E72C43">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2、合同当事人可以通过对专用合同条款的修改，满足具体建设工程的特殊要求，避免直接修改通用合同条款；</w:t>
      </w:r>
    </w:p>
    <w:p w14:paraId="77834191">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3、在专用合同条款中有横道线的地方，合同当事人可针对相应的通用合同条款进行细化、完善、补充、修改或另行约定；如无细化、完善、补充、修改或另行约定，则填写“无”或划“/”。</w:t>
      </w:r>
    </w:p>
    <w:p w14:paraId="40049386">
      <w:pPr>
        <w:spacing w:line="540" w:lineRule="exact"/>
        <w:ind w:firstLine="480" w:firstLineChars="200"/>
        <w:outlineLvl w:val="0"/>
        <w:rPr>
          <w:rFonts w:hint="eastAsia" w:ascii="宋体" w:hAnsi="宋体" w:eastAsia="宋体" w:cs="宋体"/>
          <w:b/>
          <w:color w:val="000000"/>
          <w:sz w:val="24"/>
          <w:szCs w:val="24"/>
        </w:rPr>
      </w:pPr>
      <w:bookmarkStart w:id="70" w:name="_Toc375060694"/>
      <w:bookmarkStart w:id="71" w:name="_Toc375060643"/>
      <w:r>
        <w:rPr>
          <w:rFonts w:hint="eastAsia" w:ascii="宋体" w:hAnsi="宋体" w:eastAsia="宋体" w:cs="宋体"/>
          <w:bCs/>
          <w:color w:val="000000"/>
          <w:sz w:val="24"/>
          <w:szCs w:val="24"/>
        </w:rPr>
        <w:t>二、《示范文本》的性质和适用范围</w:t>
      </w:r>
      <w:bookmarkEnd w:id="70"/>
      <w:bookmarkEnd w:id="71"/>
    </w:p>
    <w:p w14:paraId="51CDEA72">
      <w:pPr>
        <w:spacing w:line="540" w:lineRule="exact"/>
        <w:ind w:firstLine="480" w:firstLineChars="200"/>
        <w:rPr>
          <w:rFonts w:hint="eastAsia" w:ascii="宋体" w:hAnsi="宋体" w:eastAsia="宋体" w:cs="宋体"/>
          <w:color w:val="000000"/>
          <w:sz w:val="24"/>
          <w:szCs w:val="24"/>
        </w:rPr>
        <w:sectPr>
          <w:footerReference r:id="rId13" w:type="first"/>
          <w:footerReference r:id="rId11" w:type="default"/>
          <w:footerReference r:id="rId12" w:type="even"/>
          <w:pgSz w:w="11906" w:h="16838"/>
          <w:pgMar w:top="1418" w:right="1555" w:bottom="1418" w:left="1531" w:header="851" w:footer="992" w:gutter="0"/>
          <w:pgNumType w:start="37"/>
          <w:cols w:space="720" w:num="1"/>
          <w:titlePg/>
          <w:docGrid w:type="lines" w:linePitch="312" w:charSpace="0"/>
        </w:sectPr>
      </w:pPr>
      <w:r>
        <w:rPr>
          <w:rFonts w:hint="eastAsia" w:ascii="宋体" w:hAnsi="宋体" w:eastAsia="宋体" w:cs="宋体"/>
          <w:color w:val="000000"/>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549579AE">
      <w:pPr>
        <w:spacing w:line="540" w:lineRule="exact"/>
        <w:jc w:val="center"/>
        <w:rPr>
          <w:rFonts w:hint="eastAsia" w:ascii="宋体" w:hAnsi="宋体" w:eastAsia="宋体" w:cs="宋体"/>
          <w:bCs w:val="0"/>
          <w:caps/>
          <w:color w:val="000000"/>
          <w:sz w:val="48"/>
          <w:szCs w:val="48"/>
        </w:rPr>
      </w:pPr>
      <w:r>
        <w:rPr>
          <w:rFonts w:hint="eastAsia" w:ascii="宋体" w:hAnsi="宋体" w:eastAsia="宋体" w:cs="宋体"/>
          <w:b/>
          <w:bCs/>
          <w:color w:val="000000"/>
          <w:kern w:val="44"/>
          <w:sz w:val="40"/>
          <w:szCs w:val="40"/>
          <w:lang w:val="zh-CN"/>
        </w:rPr>
        <w:t>目    录</w:t>
      </w:r>
      <w:r>
        <w:rPr>
          <w:rFonts w:hint="eastAsia" w:ascii="宋体" w:hAnsi="宋体" w:eastAsia="宋体" w:cs="宋体"/>
          <w:color w:val="000000"/>
          <w:sz w:val="48"/>
          <w:szCs w:val="48"/>
        </w:rPr>
        <w:fldChar w:fldCharType="begin"/>
      </w:r>
      <w:r>
        <w:rPr>
          <w:rFonts w:hint="eastAsia" w:ascii="宋体" w:hAnsi="宋体" w:eastAsia="宋体" w:cs="宋体"/>
          <w:color w:val="000000"/>
          <w:sz w:val="48"/>
          <w:szCs w:val="48"/>
        </w:rPr>
        <w:instrText xml:space="preserve"> TOC \o "1-5" \h \z \u </w:instrText>
      </w:r>
      <w:r>
        <w:rPr>
          <w:rFonts w:hint="eastAsia" w:ascii="宋体" w:hAnsi="宋体" w:eastAsia="宋体" w:cs="宋体"/>
          <w:color w:val="000000"/>
          <w:sz w:val="48"/>
          <w:szCs w:val="48"/>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"_Toc375060690"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end"/>
      </w:r>
    </w:p>
    <w:p w14:paraId="2817C8C2">
      <w:pPr>
        <w:pStyle w:val="16"/>
        <w:tabs>
          <w:tab w:val="right" w:leader="dot" w:pos="8810"/>
        </w:tabs>
        <w:spacing w:line="410" w:lineRule="auto"/>
        <w:ind w:left="105"/>
        <w:rPr>
          <w:rFonts w:hint="eastAsia" w:ascii="宋体" w:hAnsi="宋体" w:eastAsia="宋体" w:cs="宋体"/>
          <w:b/>
          <w:i w:val="0"/>
          <w:iC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"_Toc375060695" </w:instrText>
      </w:r>
      <w:r>
        <w:rPr>
          <w:rFonts w:hint="eastAsia" w:ascii="宋体" w:hAnsi="宋体" w:eastAsia="宋体" w:cs="宋体"/>
          <w:sz w:val="18"/>
          <w:szCs w:val="18"/>
        </w:rPr>
        <w:fldChar w:fldCharType="separate"/>
      </w:r>
      <w:r>
        <w:rPr>
          <w:rStyle w:val="29"/>
          <w:rFonts w:hint="eastAsia" w:ascii="宋体" w:hAnsi="宋体" w:eastAsia="宋体" w:cs="宋体"/>
          <w:b/>
          <w:i w:val="0"/>
          <w:color w:val="000000"/>
          <w:sz w:val="24"/>
          <w:szCs w:val="24"/>
        </w:rPr>
        <w:t>第一部分 合同协议</w:t>
      </w:r>
      <w:bookmarkStart w:id="72" w:name="_Hlt78989206"/>
      <w:r>
        <w:rPr>
          <w:rStyle w:val="29"/>
          <w:rFonts w:hint="eastAsia" w:ascii="宋体" w:hAnsi="宋体" w:eastAsia="宋体" w:cs="宋体"/>
          <w:b/>
          <w:i w:val="0"/>
          <w:color w:val="000000"/>
          <w:sz w:val="24"/>
          <w:szCs w:val="24"/>
        </w:rPr>
        <w:t>书</w:t>
      </w:r>
      <w:bookmarkEnd w:id="72"/>
      <w:r>
        <w:rPr>
          <w:rFonts w:hint="eastAsia" w:ascii="宋体" w:hAnsi="宋体" w:eastAsia="宋体" w:cs="宋体"/>
          <w:b/>
          <w:i w:val="0"/>
          <w:color w:val="000000"/>
          <w:sz w:val="24"/>
          <w:szCs w:val="24"/>
        </w:rPr>
        <w:tab/>
      </w:r>
      <w:r>
        <w:rPr>
          <w:rFonts w:hint="eastAsia" w:ascii="宋体" w:hAnsi="宋体" w:eastAsia="宋体" w:cs="宋体"/>
          <w:b/>
          <w:i w:val="0"/>
          <w:color w:val="000000"/>
          <w:sz w:val="24"/>
          <w:szCs w:val="24"/>
        </w:rPr>
        <w:fldChar w:fldCharType="begin"/>
      </w:r>
      <w:r>
        <w:rPr>
          <w:rFonts w:hint="eastAsia" w:ascii="宋体" w:hAnsi="宋体" w:eastAsia="宋体" w:cs="宋体"/>
          <w:b/>
          <w:i w:val="0"/>
          <w:color w:val="000000"/>
          <w:sz w:val="24"/>
          <w:szCs w:val="24"/>
        </w:rPr>
        <w:instrText xml:space="preserve"> PAGEREF _Toc375060695 \h </w:instrText>
      </w:r>
      <w:r>
        <w:rPr>
          <w:rFonts w:hint="eastAsia" w:ascii="宋体" w:hAnsi="宋体" w:eastAsia="宋体" w:cs="宋体"/>
          <w:b/>
          <w:i w:val="0"/>
          <w:color w:val="000000"/>
          <w:sz w:val="24"/>
          <w:szCs w:val="24"/>
        </w:rPr>
        <w:fldChar w:fldCharType="separate"/>
      </w:r>
      <w:r>
        <w:rPr>
          <w:rFonts w:hint="eastAsia" w:ascii="宋体" w:hAnsi="宋体" w:eastAsia="宋体" w:cs="宋体"/>
          <w:b/>
          <w:i w:val="0"/>
          <w:color w:val="000000"/>
          <w:sz w:val="24"/>
          <w:szCs w:val="24"/>
        </w:rPr>
        <w:t>48</w:t>
      </w:r>
      <w:r>
        <w:rPr>
          <w:rFonts w:hint="eastAsia" w:ascii="宋体" w:hAnsi="宋体" w:eastAsia="宋体" w:cs="宋体"/>
          <w:b/>
          <w:i w:val="0"/>
          <w:color w:val="000000"/>
          <w:sz w:val="24"/>
          <w:szCs w:val="24"/>
        </w:rPr>
        <w:fldChar w:fldCharType="end"/>
      </w:r>
      <w:r>
        <w:rPr>
          <w:rFonts w:hint="eastAsia" w:ascii="宋体" w:hAnsi="宋体" w:eastAsia="宋体" w:cs="宋体"/>
          <w:b/>
          <w:i w:val="0"/>
          <w:color w:val="000000"/>
          <w:sz w:val="24"/>
          <w:szCs w:val="24"/>
        </w:rPr>
        <w:fldChar w:fldCharType="end"/>
      </w:r>
    </w:p>
    <w:p w14:paraId="51522C9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一、工程概况</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788205">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二、合同工期</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5C2ED76">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三、质量标准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0D5B73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四、签约合同价与合同价格形式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8864309">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五、项目经理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A4A6DA6">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六、合同文件构成</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918980F">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七、承诺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96A707F">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八、词语含义</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66E7548">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九、签订时间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501B3EA">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十、签订地点</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C825260">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十一、补充协议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B4F7E1B">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十二、合同生效</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6ADBFEC">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十三、合同份数</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487B5BD">
      <w:pPr>
        <w:pStyle w:val="16"/>
        <w:tabs>
          <w:tab w:val="right" w:leader="dot" w:pos="8810"/>
        </w:tabs>
        <w:spacing w:line="410" w:lineRule="auto"/>
        <w:ind w:left="105"/>
        <w:rPr>
          <w:rFonts w:hint="eastAsia" w:ascii="宋体" w:hAnsi="宋体" w:eastAsia="宋体" w:cs="宋体"/>
          <w:b/>
          <w:i w:val="0"/>
          <w:iC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"_Toc375060709" </w:instrText>
      </w:r>
      <w:r>
        <w:rPr>
          <w:rFonts w:hint="eastAsia" w:ascii="宋体" w:hAnsi="宋体" w:eastAsia="宋体" w:cs="宋体"/>
          <w:sz w:val="18"/>
          <w:szCs w:val="18"/>
        </w:rPr>
        <w:fldChar w:fldCharType="separate"/>
      </w:r>
      <w:r>
        <w:rPr>
          <w:rStyle w:val="29"/>
          <w:rFonts w:hint="eastAsia" w:ascii="宋体" w:hAnsi="宋体" w:eastAsia="宋体" w:cs="宋体"/>
          <w:b/>
          <w:i w:val="0"/>
          <w:color w:val="000000"/>
          <w:sz w:val="24"/>
          <w:szCs w:val="24"/>
        </w:rPr>
        <w:t>第二部分 通用合同条款</w:t>
      </w:r>
      <w:r>
        <w:rPr>
          <w:rFonts w:hint="eastAsia" w:ascii="宋体" w:hAnsi="宋体" w:eastAsia="宋体" w:cs="宋体"/>
          <w:b/>
          <w:i w:val="0"/>
          <w:color w:val="000000"/>
          <w:sz w:val="24"/>
          <w:szCs w:val="24"/>
        </w:rPr>
        <w:tab/>
      </w:r>
      <w:r>
        <w:rPr>
          <w:rFonts w:hint="eastAsia" w:ascii="宋体" w:hAnsi="宋体" w:eastAsia="宋体" w:cs="宋体"/>
          <w:b/>
          <w:i w:val="0"/>
          <w:color w:val="000000"/>
          <w:sz w:val="24"/>
          <w:szCs w:val="24"/>
        </w:rPr>
        <w:fldChar w:fldCharType="begin"/>
      </w:r>
      <w:r>
        <w:rPr>
          <w:rFonts w:hint="eastAsia" w:ascii="宋体" w:hAnsi="宋体" w:eastAsia="宋体" w:cs="宋体"/>
          <w:b/>
          <w:i w:val="0"/>
          <w:color w:val="000000"/>
          <w:sz w:val="24"/>
          <w:szCs w:val="24"/>
        </w:rPr>
        <w:instrText xml:space="preserve"> PAGEREF _Toc375060709 \h </w:instrText>
      </w:r>
      <w:r>
        <w:rPr>
          <w:rFonts w:hint="eastAsia" w:ascii="宋体" w:hAnsi="宋体" w:eastAsia="宋体" w:cs="宋体"/>
          <w:b/>
          <w:i w:val="0"/>
          <w:color w:val="000000"/>
          <w:sz w:val="24"/>
          <w:szCs w:val="24"/>
        </w:rPr>
        <w:fldChar w:fldCharType="separate"/>
      </w:r>
      <w:r>
        <w:rPr>
          <w:rFonts w:hint="eastAsia" w:ascii="宋体" w:hAnsi="宋体" w:eastAsia="宋体" w:cs="宋体"/>
          <w:b/>
          <w:i w:val="0"/>
          <w:color w:val="000000"/>
          <w:sz w:val="24"/>
          <w:szCs w:val="24"/>
        </w:rPr>
        <w:t>52</w:t>
      </w:r>
      <w:r>
        <w:rPr>
          <w:rFonts w:hint="eastAsia" w:ascii="宋体" w:hAnsi="宋体" w:eastAsia="宋体" w:cs="宋体"/>
          <w:b/>
          <w:i w:val="0"/>
          <w:color w:val="000000"/>
          <w:sz w:val="24"/>
          <w:szCs w:val="24"/>
        </w:rPr>
        <w:fldChar w:fldCharType="end"/>
      </w:r>
      <w:r>
        <w:rPr>
          <w:rFonts w:hint="eastAsia" w:ascii="宋体" w:hAnsi="宋体" w:eastAsia="宋体" w:cs="宋体"/>
          <w:b/>
          <w:i w:val="0"/>
          <w:color w:val="000000"/>
          <w:sz w:val="24"/>
          <w:szCs w:val="24"/>
        </w:rPr>
        <w:fldChar w:fldCharType="end"/>
      </w:r>
    </w:p>
    <w:p w14:paraId="19961A51">
      <w:pPr>
        <w:pStyle w:val="20"/>
        <w:tabs>
          <w:tab w:val="right" w:leader="dot" w:pos="8810"/>
        </w:tabs>
        <w:spacing w:line="410" w:lineRule="auto"/>
        <w:ind w:leftChars="300" w:firstLine="80" w:firstLineChars="5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 一般约定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2AE26E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1.1词语定义与解释</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80BDE7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1.2语言文字</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1B40AE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1.3法律</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1C6740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 标准和规范</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152D63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 合同文件的优先顺序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9ED40F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1.6图纸和承包人文件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AFD7D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1.7联络</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29BDDE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1.8严禁贿赂</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BEB64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1.9化石、文物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182B0A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1.10交通运输</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67367F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1.11知识产权</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586051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1.12保密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86CE44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1.13工程量清单错误的修正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91A07EA">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 发包人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2F9A1F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2.1 许可或批准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1D056B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2.2 发包人代表</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EF4805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2.3 发包人人员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85723C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2.4 施工现场、施工条件和基础资料的提供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873889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2.5 资金来源证明及支付担保</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0A98C2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2.6 支付合同价款</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EE6563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2.7 组织竣工验收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3EFA53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2.8 现场统一管理协议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0465644">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 承包人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F716FB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3.1 承包人的一般义务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B4A82C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3.2 项目经理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D3B5A7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3.3 承包人人员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87943B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3.4 承包人现场查勘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1198C4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3.5 分包</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3F373D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3.6 工程照管与成品、半成品保护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33A0B5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3.7 履约担保</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CA311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3.8 联合体</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3872884">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 监理人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AB25C7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4.1监理人的一般规定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D4B512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4.2监理人员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8E03B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4.3监理人的指示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8941B8C">
      <w:pPr>
        <w:pStyle w:val="20"/>
        <w:tabs>
          <w:tab w:val="right" w:leader="dot" w:pos="8810"/>
        </w:tabs>
        <w:spacing w:line="410" w:lineRule="auto"/>
        <w:ind w:leftChars="300" w:firstLine="240" w:firstLineChars="15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4.4 商定或确定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A78E46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 工程质量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C677C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5.1质量要求</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213101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5.2质量保证措施</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911935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5.3 隐蔽工程检查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9739C9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5.4不合格工程的处理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D6E4C8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5.5 质量争议检测</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8C9AD44">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 安全文明施工与环境保护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6A533B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6.1安全文明施工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EFFE94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6.2 职业健康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8577A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6.3 环境保护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C5A2A9F">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 工期和进度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446B87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7.1施工组织设计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2F40F4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7.2 施工进度计划</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B29FAF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7.3 开工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2CD0A9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7.4测量放线</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4D7C0B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7.5 工期延误</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4A304D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7.6 不利物质条件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52C156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7.7 异常恶劣的气候条件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CBEB67E">
      <w:pPr>
        <w:pStyle w:val="19"/>
        <w:tabs>
          <w:tab w:val="right" w:leader="dot" w:pos="8810"/>
        </w:tabs>
        <w:spacing w:before="0" w:after="0" w:line="410" w:lineRule="auto"/>
        <w:ind w:firstLine="723" w:firstLineChars="400"/>
        <w:rPr>
          <w:rFonts w:hint="eastAsia" w:ascii="宋体" w:hAnsi="宋体" w:eastAsia="宋体" w:cs="宋体"/>
          <w:b w:val="0"/>
          <w:bCs w:val="0"/>
          <w:cap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"_Toc375060767" </w:instrText>
      </w:r>
      <w:r>
        <w:rPr>
          <w:rFonts w:hint="eastAsia" w:ascii="宋体" w:hAnsi="宋体" w:eastAsia="宋体" w:cs="宋体"/>
          <w:sz w:val="18"/>
          <w:szCs w:val="18"/>
        </w:rPr>
        <w:fldChar w:fldCharType="separate"/>
      </w:r>
      <w:r>
        <w:rPr>
          <w:rStyle w:val="29"/>
          <w:rFonts w:hint="eastAsia" w:ascii="宋体" w:hAnsi="宋体" w:eastAsia="宋体" w:cs="宋体"/>
          <w:b w:val="0"/>
          <w:color w:val="000000"/>
          <w:sz w:val="24"/>
          <w:szCs w:val="24"/>
        </w:rPr>
        <w:t>7.8 暂停施工</w:t>
      </w:r>
      <w:r>
        <w:rPr>
          <w:rFonts w:hint="eastAsia" w:ascii="宋体" w:hAnsi="宋体" w:eastAsia="宋体" w:cs="宋体"/>
          <w:b w:val="0"/>
          <w:color w:val="000000"/>
          <w:sz w:val="24"/>
          <w:szCs w:val="24"/>
        </w:rPr>
        <w:tab/>
      </w:r>
      <w:r>
        <w:rPr>
          <w:rFonts w:hint="eastAsia" w:ascii="宋体" w:hAnsi="宋体" w:eastAsia="宋体" w:cs="宋体"/>
          <w:b w:val="0"/>
          <w:color w:val="000000"/>
          <w:sz w:val="24"/>
          <w:szCs w:val="24"/>
        </w:rPr>
        <w:fldChar w:fldCharType="begin"/>
      </w:r>
      <w:r>
        <w:rPr>
          <w:rFonts w:hint="eastAsia" w:ascii="宋体" w:hAnsi="宋体" w:eastAsia="宋体" w:cs="宋体"/>
          <w:b w:val="0"/>
          <w:color w:val="000000"/>
          <w:sz w:val="24"/>
          <w:szCs w:val="24"/>
        </w:rPr>
        <w:instrText xml:space="preserve"> PAGEREF _Toc375060767 \h </w:instrText>
      </w:r>
      <w:r>
        <w:rPr>
          <w:rFonts w:hint="eastAsia" w:ascii="宋体" w:hAnsi="宋体" w:eastAsia="宋体" w:cs="宋体"/>
          <w:b w:val="0"/>
          <w:color w:val="000000"/>
          <w:sz w:val="24"/>
          <w:szCs w:val="24"/>
        </w:rPr>
        <w:fldChar w:fldCharType="separate"/>
      </w:r>
      <w:r>
        <w:rPr>
          <w:rFonts w:hint="eastAsia" w:ascii="宋体" w:hAnsi="宋体" w:eastAsia="宋体" w:cs="宋体"/>
          <w:b w:val="0"/>
          <w:color w:val="000000"/>
          <w:sz w:val="24"/>
          <w:szCs w:val="24"/>
        </w:rPr>
        <w:t>78</w:t>
      </w:r>
      <w:r>
        <w:rPr>
          <w:rFonts w:hint="eastAsia" w:ascii="宋体" w:hAnsi="宋体" w:eastAsia="宋体" w:cs="宋体"/>
          <w:b w:val="0"/>
          <w:color w:val="000000"/>
          <w:sz w:val="24"/>
          <w:szCs w:val="24"/>
        </w:rPr>
        <w:fldChar w:fldCharType="end"/>
      </w:r>
      <w:r>
        <w:rPr>
          <w:rFonts w:hint="eastAsia" w:ascii="宋体" w:hAnsi="宋体" w:eastAsia="宋体" w:cs="宋体"/>
          <w:b w:val="0"/>
          <w:color w:val="000000"/>
          <w:sz w:val="24"/>
          <w:szCs w:val="24"/>
        </w:rPr>
        <w:fldChar w:fldCharType="end"/>
      </w:r>
    </w:p>
    <w:p w14:paraId="3E5392D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7.9提前竣工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3F4FC63">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 材料与设备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46F5FD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8.1发包人供应材料与工程设备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26F612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8.2承包人采购材料与工程设备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AC027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8.3材料与工程设备的接收与拒收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5F915A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8.4材料与工程设备的保管与使用</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AF4344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8.5禁止使用不合格的材料和工程设备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EAE229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8.6 样品</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023E7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8.7材料与工程设备的替代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BE2872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8.8施工设备和临时设施</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CD5410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8.9材料与设备专用要求</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AB44776">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 试验与检验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37DA5E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9.1试验设备与试验人员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3A0784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9.2取样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42DEE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9.3材料、工程设备和工程的试验和检验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9BB346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9.4现场工艺试验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6D249A2">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 变更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BF4DF9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10.1变更的范围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D8C806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10.2变更权</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F98B3B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10.3变更程序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9CED73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10.4变更估价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747BC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10.5承包人的合理化建议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953B86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10.6变更引起的工期调整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364063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10.7暂估价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A411D7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10.8暂列金额</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3CDFA4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10.9计日工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51666D1">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 价格调整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031C3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11.1市场价格波动引起的调整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88520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11.2法律变化引起的调整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95BB7F1">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 合同价格、计量与支付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DB4FA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12.1 合同价格形式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DBC007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12.2预付款</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74814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12.3计量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E926DB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12.4工程进度款支付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A24832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12.5支付账户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8031ED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 验收和工程试车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18BA0D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13.1分部分项工程验收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ADF7A0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13.2竣工验收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100DEB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13.3工程试车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78C965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13.4提前交付单位工程的验收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B73E3E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13.5 施工期运行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8F798F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13.6 竣工退场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E889103">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 竣工结算</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9F8E58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14.1 竣工结算申请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9AE03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14.2 竣工结算审核</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B8A02F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14.3 甩项竣工协议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BA09E1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14.4 最终结清</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6FFE01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 缺陷责任与保修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F4B309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15.1 工程保修的原则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536B3F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15.2 缺陷责任期</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182C2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15.3 质量保证金</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E1A370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15.4 保修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6AB8CEC">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 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C38288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16.1 发包人违约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0CC7D2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16.2 承包人违约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AB3CCD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16.3 第三人造成的违约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CC7CB22">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 不可抗力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DC83E1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17.1 不可抗力的确认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495DF1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17.2 不可抗力的通知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3D67A2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17.3 不可抗力后果的承担</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350203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17.4 因不可抗力解除合同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90AF655">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 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09307A">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18.1 工程保险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1856B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18.2 工伤保险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600021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18.3其他保险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AFC72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18.4持续保险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AA3B86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18.5 保险凭证</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5737F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18.6 未按约定投保的补救</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B6EE01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18.7 通知义务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908D67B">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 索赔</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2463D6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19.1承包人的索赔</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0DAA55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19.2 对承包人索赔的处理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5185E8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19.3发包人的索赔</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CAFFF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19.4 对发包人索赔的处理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09250C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19.5 提出索赔的期限</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A560194">
      <w:pPr>
        <w:pStyle w:val="15"/>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20.争议解决</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B9CFA2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20.1和解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1D4C2B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20.2调解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C245AA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20.3争议评审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D0F73C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20.4仲裁或诉讼</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271EB7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20.5争议解决条款效力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28FA854">
      <w:pPr>
        <w:pStyle w:val="16"/>
        <w:tabs>
          <w:tab w:val="right" w:leader="dot" w:pos="8810"/>
        </w:tabs>
        <w:spacing w:line="410" w:lineRule="auto"/>
        <w:rPr>
          <w:rFonts w:hint="eastAsia" w:ascii="宋体" w:hAnsi="宋体" w:eastAsia="宋体" w:cs="宋体"/>
          <w:b/>
          <w:i w:val="0"/>
          <w:iC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"_Toc375060850" </w:instrText>
      </w:r>
      <w:r>
        <w:rPr>
          <w:rFonts w:hint="eastAsia" w:ascii="宋体" w:hAnsi="宋体" w:eastAsia="宋体" w:cs="宋体"/>
          <w:sz w:val="18"/>
          <w:szCs w:val="18"/>
        </w:rPr>
        <w:fldChar w:fldCharType="separate"/>
      </w:r>
      <w:r>
        <w:rPr>
          <w:rStyle w:val="29"/>
          <w:rFonts w:hint="eastAsia" w:ascii="宋体" w:hAnsi="宋体" w:eastAsia="宋体" w:cs="宋体"/>
          <w:b/>
          <w:i w:val="0"/>
          <w:color w:val="000000"/>
          <w:sz w:val="24"/>
          <w:szCs w:val="24"/>
        </w:rPr>
        <w:t>第三部分 专用合同条款</w:t>
      </w:r>
      <w:r>
        <w:rPr>
          <w:rFonts w:hint="eastAsia" w:ascii="宋体" w:hAnsi="宋体" w:eastAsia="宋体" w:cs="宋体"/>
          <w:b/>
          <w:i w:val="0"/>
          <w:color w:val="000000"/>
          <w:sz w:val="24"/>
          <w:szCs w:val="24"/>
        </w:rPr>
        <w:tab/>
      </w:r>
      <w:r>
        <w:rPr>
          <w:rFonts w:hint="eastAsia" w:ascii="宋体" w:hAnsi="宋体" w:eastAsia="宋体" w:cs="宋体"/>
          <w:b/>
          <w:i w:val="0"/>
          <w:color w:val="000000"/>
          <w:sz w:val="24"/>
          <w:szCs w:val="24"/>
        </w:rPr>
        <w:fldChar w:fldCharType="begin"/>
      </w:r>
      <w:r>
        <w:rPr>
          <w:rFonts w:hint="eastAsia" w:ascii="宋体" w:hAnsi="宋体" w:eastAsia="宋体" w:cs="宋体"/>
          <w:b/>
          <w:i w:val="0"/>
          <w:color w:val="000000"/>
          <w:sz w:val="24"/>
          <w:szCs w:val="24"/>
        </w:rPr>
        <w:instrText xml:space="preserve"> PAGEREF _Toc375060850 \h </w:instrText>
      </w:r>
      <w:r>
        <w:rPr>
          <w:rFonts w:hint="eastAsia" w:ascii="宋体" w:hAnsi="宋体" w:eastAsia="宋体" w:cs="宋体"/>
          <w:b/>
          <w:i w:val="0"/>
          <w:color w:val="000000"/>
          <w:sz w:val="24"/>
          <w:szCs w:val="24"/>
        </w:rPr>
        <w:fldChar w:fldCharType="separate"/>
      </w:r>
      <w:r>
        <w:rPr>
          <w:rFonts w:hint="eastAsia" w:ascii="宋体" w:hAnsi="宋体" w:eastAsia="宋体" w:cs="宋体"/>
          <w:b/>
          <w:i w:val="0"/>
          <w:color w:val="000000"/>
          <w:sz w:val="24"/>
          <w:szCs w:val="24"/>
        </w:rPr>
        <w:t>116</w:t>
      </w:r>
      <w:r>
        <w:rPr>
          <w:rFonts w:hint="eastAsia" w:ascii="宋体" w:hAnsi="宋体" w:eastAsia="宋体" w:cs="宋体"/>
          <w:b/>
          <w:i w:val="0"/>
          <w:color w:val="000000"/>
          <w:sz w:val="24"/>
          <w:szCs w:val="24"/>
        </w:rPr>
        <w:fldChar w:fldCharType="end"/>
      </w:r>
      <w:r>
        <w:rPr>
          <w:rFonts w:hint="eastAsia" w:ascii="宋体" w:hAnsi="宋体" w:eastAsia="宋体" w:cs="宋体"/>
          <w:b/>
          <w:i w:val="0"/>
          <w:color w:val="000000"/>
          <w:sz w:val="24"/>
          <w:szCs w:val="24"/>
        </w:rPr>
        <w:fldChar w:fldCharType="end"/>
      </w:r>
    </w:p>
    <w:p w14:paraId="5F1DB85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 一般约定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BF167B0">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 发包人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63600A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 承包人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D412A9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 监理人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36AC5C1">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 工程质量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AF68C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 安全文明施工与环境保护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06B849E">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 工期和进度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7754AEA">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 材料与设备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8BEEB3C">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 试验与检验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3AF774">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 变更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850934F">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 价格调整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E50D6D3">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 合同价格、计量与支付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C317437">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 验收和工程试车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1A33494">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 竣工结算</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633B116">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 缺陷责任期与保修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C535D8C">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 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7AB03E0">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 不可抗力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131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411B46D">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 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131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A23C246">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 争议解决</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131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1B3F375">
      <w:pPr>
        <w:pStyle w:val="19"/>
        <w:tabs>
          <w:tab w:val="right" w:leader="dot" w:pos="8810"/>
        </w:tabs>
        <w:spacing w:before="0" w:after="0" w:line="410" w:lineRule="auto"/>
        <w:ind w:firstLine="542" w:firstLineChars="300"/>
        <w:rPr>
          <w:rFonts w:hint="eastAsia" w:ascii="宋体" w:hAnsi="宋体" w:eastAsia="宋体" w:cs="宋体"/>
          <w:b w:val="0"/>
          <w:bCs w:val="0"/>
          <w:cap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"_Toc375060875" </w:instrText>
      </w:r>
      <w:r>
        <w:rPr>
          <w:rFonts w:hint="eastAsia" w:ascii="宋体" w:hAnsi="宋体" w:eastAsia="宋体" w:cs="宋体"/>
          <w:sz w:val="18"/>
          <w:szCs w:val="18"/>
        </w:rPr>
        <w:fldChar w:fldCharType="separate"/>
      </w:r>
      <w:r>
        <w:rPr>
          <w:rStyle w:val="29"/>
          <w:rFonts w:hint="eastAsia" w:ascii="宋体" w:hAnsi="宋体" w:eastAsia="宋体" w:cs="宋体"/>
          <w:b w:val="0"/>
          <w:color w:val="000000"/>
          <w:sz w:val="24"/>
          <w:szCs w:val="24"/>
        </w:rPr>
        <w:t>附件</w:t>
      </w:r>
      <w:r>
        <w:rPr>
          <w:rFonts w:hint="eastAsia" w:ascii="宋体" w:hAnsi="宋体" w:eastAsia="宋体" w:cs="宋体"/>
          <w:b w:val="0"/>
          <w:color w:val="000000"/>
          <w:sz w:val="24"/>
          <w:szCs w:val="24"/>
        </w:rPr>
        <w:tab/>
      </w:r>
      <w:r>
        <w:rPr>
          <w:rFonts w:hint="eastAsia" w:ascii="宋体" w:hAnsi="宋体" w:eastAsia="宋体" w:cs="宋体"/>
          <w:b w:val="0"/>
          <w:color w:val="000000"/>
          <w:sz w:val="24"/>
          <w:szCs w:val="24"/>
        </w:rPr>
        <w:t>94</w:t>
      </w:r>
      <w:r>
        <w:rPr>
          <w:rFonts w:hint="eastAsia" w:ascii="宋体" w:hAnsi="宋体" w:eastAsia="宋体" w:cs="宋体"/>
          <w:b w:val="0"/>
          <w:color w:val="000000"/>
          <w:sz w:val="24"/>
          <w:szCs w:val="24"/>
        </w:rPr>
        <w:fldChar w:fldCharType="end"/>
      </w:r>
    </w:p>
    <w:p w14:paraId="2674DB9D">
      <w:pPr>
        <w:pStyle w:val="5"/>
        <w:spacing w:line="576" w:lineRule="auto"/>
        <w:jc w:val="center"/>
        <w:rPr>
          <w:rFonts w:hint="eastAsia" w:ascii="宋体" w:hAnsi="宋体" w:eastAsia="宋体" w:cs="宋体"/>
          <w:color w:val="000000"/>
          <w:sz w:val="24"/>
          <w:szCs w:val="24"/>
        </w:rPr>
        <w:sectPr>
          <w:footerReference r:id="rId15" w:type="first"/>
          <w:footerReference r:id="rId14" w:type="default"/>
          <w:pgSz w:w="11906" w:h="16838"/>
          <w:pgMar w:top="1418" w:right="1555" w:bottom="1418" w:left="1531" w:header="851" w:footer="992" w:gutter="0"/>
          <w:pgNumType w:start="41"/>
          <w:cols w:space="720" w:num="1"/>
          <w:titlePg/>
          <w:docGrid w:linePitch="312" w:charSpace="0"/>
        </w:sectPr>
      </w:pPr>
      <w:r>
        <w:rPr>
          <w:rFonts w:hint="eastAsia" w:ascii="宋体" w:hAnsi="宋体" w:eastAsia="宋体" w:cs="宋体"/>
          <w:b w:val="0"/>
          <w:color w:val="000000"/>
          <w:sz w:val="24"/>
          <w:szCs w:val="24"/>
        </w:rPr>
        <w:fldChar w:fldCharType="end"/>
      </w:r>
    </w:p>
    <w:p w14:paraId="70F8B4D3">
      <w:pPr>
        <w:pStyle w:val="5"/>
        <w:spacing w:line="240" w:lineRule="auto"/>
        <w:jc w:val="center"/>
        <w:rPr>
          <w:rFonts w:hint="eastAsia" w:ascii="宋体" w:hAnsi="宋体" w:eastAsia="宋体" w:cs="宋体"/>
          <w:b w:val="0"/>
          <w:color w:val="000000"/>
          <w:sz w:val="40"/>
          <w:szCs w:val="40"/>
        </w:rPr>
      </w:pPr>
      <w:bookmarkStart w:id="73" w:name="_Toc375060644"/>
      <w:bookmarkStart w:id="74" w:name="_Toc375060695"/>
      <w:r>
        <w:rPr>
          <w:rFonts w:hint="eastAsia" w:ascii="宋体" w:hAnsi="宋体" w:eastAsia="宋体" w:cs="宋体"/>
          <w:b w:val="0"/>
          <w:color w:val="000000"/>
          <w:sz w:val="40"/>
          <w:szCs w:val="40"/>
        </w:rPr>
        <w:t>第一部分 合同协议书</w:t>
      </w:r>
      <w:bookmarkEnd w:id="60"/>
      <w:bookmarkEnd w:id="61"/>
      <w:bookmarkEnd w:id="73"/>
      <w:bookmarkEnd w:id="74"/>
    </w:p>
    <w:p w14:paraId="27289E89">
      <w:pPr>
        <w:spacing w:line="500" w:lineRule="exact"/>
        <w:ind w:firstLine="470" w:firstLineChars="196"/>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p>
    <w:p w14:paraId="00465A25">
      <w:pPr>
        <w:spacing w:line="500" w:lineRule="exact"/>
        <w:ind w:firstLine="470" w:firstLineChars="196"/>
        <w:rPr>
          <w:rFonts w:hint="eastAsia" w:ascii="宋体" w:hAnsi="宋体" w:eastAsia="宋体" w:cs="宋体"/>
          <w:bCs/>
          <w:color w:val="000000"/>
          <w:sz w:val="24"/>
          <w:szCs w:val="24"/>
          <w:u w:val="single"/>
          <w:lang w:val="en-US" w:eastAsia="zh-CN"/>
        </w:rPr>
      </w:pPr>
      <w:r>
        <w:rPr>
          <w:rFonts w:hint="eastAsia" w:ascii="宋体" w:hAnsi="宋体" w:eastAsia="宋体" w:cs="宋体"/>
          <w:color w:val="000000"/>
          <w:sz w:val="24"/>
          <w:szCs w:val="24"/>
        </w:rPr>
        <w:t>承包人（全称）：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p>
    <w:p w14:paraId="63E9070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施工及有关事项协商一致，共同达成如下协议：</w:t>
      </w:r>
    </w:p>
    <w:p w14:paraId="3D97ACC2">
      <w:pPr>
        <w:pStyle w:val="8"/>
        <w:spacing w:line="500" w:lineRule="exact"/>
        <w:ind w:firstLine="520" w:firstLineChars="186"/>
        <w:rPr>
          <w:rFonts w:hint="eastAsia" w:ascii="宋体" w:hAnsi="宋体" w:eastAsia="宋体" w:cs="宋体"/>
          <w:bCs w:val="0"/>
          <w:color w:val="000000"/>
          <w:sz w:val="28"/>
          <w:szCs w:val="28"/>
        </w:rPr>
      </w:pPr>
      <w:bookmarkStart w:id="75" w:name="_Toc375060696"/>
      <w:r>
        <w:rPr>
          <w:rFonts w:hint="eastAsia" w:ascii="宋体" w:hAnsi="宋体" w:eastAsia="宋体" w:cs="宋体"/>
          <w:b w:val="0"/>
          <w:color w:val="000000"/>
          <w:sz w:val="28"/>
          <w:szCs w:val="28"/>
        </w:rPr>
        <w:t>一、工程概况</w:t>
      </w:r>
      <w:bookmarkEnd w:id="75"/>
    </w:p>
    <w:p w14:paraId="2CFD142A">
      <w:pPr>
        <w:spacing w:line="500" w:lineRule="exact"/>
        <w:ind w:firstLine="480" w:firstLineChars="200"/>
        <w:rPr>
          <w:rFonts w:hint="eastAsia" w:ascii="宋体" w:hAnsi="宋体" w:eastAsia="宋体" w:cs="宋体"/>
          <w:b/>
          <w:sz w:val="24"/>
          <w:szCs w:val="24"/>
          <w:u w:val="single"/>
          <w:lang w:val="en-US" w:eastAsia="zh-CN"/>
        </w:rPr>
      </w:pPr>
      <w:r>
        <w:rPr>
          <w:rFonts w:hint="eastAsia" w:ascii="宋体" w:hAnsi="宋体" w:eastAsia="宋体" w:cs="宋体"/>
          <w:color w:val="000000"/>
          <w:sz w:val="24"/>
          <w:szCs w:val="24"/>
        </w:rPr>
        <w:t>1.工程名称：</w:t>
      </w:r>
      <w:r>
        <w:rPr>
          <w:rFonts w:hint="eastAsia" w:ascii="宋体" w:hAnsi="宋体" w:eastAsia="宋体" w:cs="宋体"/>
          <w:color w:val="000000"/>
          <w:sz w:val="24"/>
          <w:szCs w:val="24"/>
          <w:u w:val="single"/>
          <w:lang w:val="en-US" w:eastAsia="zh-CN"/>
        </w:rPr>
        <w:t xml:space="preserve">                               </w:t>
      </w:r>
    </w:p>
    <w:p w14:paraId="1FFADED8">
      <w:pPr>
        <w:spacing w:line="500" w:lineRule="exact"/>
        <w:ind w:firstLine="480" w:firstLineChars="200"/>
        <w:rPr>
          <w:rFonts w:hint="eastAsia" w:ascii="宋体" w:hAnsi="宋体" w:eastAsia="宋体" w:cs="宋体"/>
          <w:bCs/>
          <w:color w:val="000000"/>
          <w:sz w:val="24"/>
          <w:szCs w:val="24"/>
          <w:u w:val="single"/>
          <w:lang w:val="en-US" w:eastAsia="zh-CN"/>
        </w:rPr>
      </w:pPr>
      <w:r>
        <w:rPr>
          <w:rFonts w:hint="eastAsia" w:ascii="宋体" w:hAnsi="宋体" w:eastAsia="宋体" w:cs="宋体"/>
          <w:color w:val="000000"/>
          <w:sz w:val="24"/>
          <w:szCs w:val="24"/>
        </w:rPr>
        <w:t>2.工程地点：</w:t>
      </w:r>
      <w:r>
        <w:rPr>
          <w:rFonts w:hint="eastAsia" w:ascii="宋体" w:hAnsi="宋体" w:eastAsia="宋体" w:cs="宋体"/>
          <w:color w:val="000000"/>
          <w:sz w:val="24"/>
          <w:szCs w:val="24"/>
          <w:u w:val="single"/>
          <w:lang w:val="en-US" w:eastAsia="zh-CN"/>
        </w:rPr>
        <w:t xml:space="preserve">                               </w:t>
      </w:r>
    </w:p>
    <w:p w14:paraId="7C46C25C">
      <w:pPr>
        <w:spacing w:line="500" w:lineRule="exact"/>
        <w:ind w:firstLine="480" w:firstLineChars="200"/>
        <w:rPr>
          <w:rFonts w:hint="eastAsia" w:ascii="宋体" w:hAnsi="宋体" w:eastAsia="宋体" w:cs="宋体"/>
          <w:b/>
          <w:sz w:val="24"/>
          <w:szCs w:val="24"/>
          <w:u w:val="single"/>
        </w:rPr>
      </w:pPr>
      <w:r>
        <w:rPr>
          <w:rFonts w:hint="eastAsia" w:ascii="宋体" w:hAnsi="宋体" w:eastAsia="宋体" w:cs="宋体"/>
          <w:bCs/>
          <w:color w:val="000000"/>
          <w:sz w:val="24"/>
          <w:szCs w:val="24"/>
        </w:rPr>
        <w:t>3.工程立项批准文号：</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
          <w:sz w:val="24"/>
          <w:szCs w:val="24"/>
          <w:u w:val="single"/>
        </w:rPr>
        <w:t xml:space="preserve">   </w:t>
      </w:r>
    </w:p>
    <w:p w14:paraId="2926FD39">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4.资金来源：</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p>
    <w:p w14:paraId="479237DB">
      <w:pPr>
        <w:spacing w:line="560" w:lineRule="exact"/>
        <w:ind w:firstLine="480" w:firstLineChars="200"/>
        <w:rPr>
          <w:rFonts w:hint="eastAsia" w:ascii="宋体" w:hAnsi="宋体" w:eastAsia="宋体" w:cs="宋体"/>
          <w:b/>
          <w:sz w:val="24"/>
          <w:szCs w:val="24"/>
          <w:u w:val="single"/>
          <w:lang w:val="en-US" w:eastAsia="zh-CN"/>
        </w:rPr>
      </w:pPr>
      <w:r>
        <w:rPr>
          <w:rFonts w:hint="eastAsia" w:ascii="宋体" w:hAnsi="宋体" w:eastAsia="宋体" w:cs="宋体"/>
          <w:bCs/>
          <w:color w:val="000000"/>
          <w:sz w:val="24"/>
          <w:szCs w:val="24"/>
        </w:rPr>
        <w:t>5.工程内容：</w:t>
      </w:r>
      <w:r>
        <w:rPr>
          <w:rFonts w:hint="eastAsia" w:ascii="宋体" w:hAnsi="宋体" w:eastAsia="宋体" w:cs="宋体"/>
          <w:b/>
          <w:sz w:val="24"/>
          <w:szCs w:val="24"/>
          <w:u w:val="single"/>
          <w:lang w:val="en-US" w:eastAsia="zh-CN"/>
        </w:rPr>
        <w:t xml:space="preserve">                                              </w:t>
      </w:r>
    </w:p>
    <w:p w14:paraId="54612879">
      <w:pPr>
        <w:spacing w:line="500" w:lineRule="exact"/>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14:paraId="79A34C43">
      <w:pPr>
        <w:spacing w:line="5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r>
        <w:rPr>
          <w:rFonts w:hint="eastAsia" w:ascii="宋体" w:hAnsi="宋体" w:eastAsia="宋体" w:cs="宋体"/>
          <w:bCs/>
          <w:color w:val="000000"/>
          <w:sz w:val="24"/>
          <w:szCs w:val="24"/>
          <w:u w:val="single"/>
          <w:lang w:val="en-US" w:eastAsia="zh-CN"/>
        </w:rPr>
        <w:t xml:space="preserve">                       </w:t>
      </w:r>
    </w:p>
    <w:p w14:paraId="00D894DB">
      <w:pPr>
        <w:pStyle w:val="8"/>
        <w:spacing w:line="500" w:lineRule="exact"/>
        <w:ind w:firstLine="560" w:firstLineChars="200"/>
        <w:rPr>
          <w:rFonts w:hint="eastAsia" w:ascii="宋体" w:hAnsi="宋体" w:eastAsia="宋体" w:cs="宋体"/>
          <w:b w:val="0"/>
          <w:color w:val="000000"/>
          <w:sz w:val="28"/>
          <w:szCs w:val="28"/>
        </w:rPr>
      </w:pPr>
      <w:bookmarkStart w:id="76" w:name="_Toc375060697"/>
      <w:r>
        <w:rPr>
          <w:rFonts w:hint="eastAsia" w:ascii="宋体" w:hAnsi="宋体" w:eastAsia="宋体" w:cs="宋体"/>
          <w:b w:val="0"/>
          <w:color w:val="000000"/>
          <w:sz w:val="28"/>
          <w:szCs w:val="28"/>
        </w:rPr>
        <w:t>二、合同工期</w:t>
      </w:r>
      <w:bookmarkEnd w:id="76"/>
    </w:p>
    <w:p w14:paraId="1E73C921">
      <w:pPr>
        <w:spacing w:line="500" w:lineRule="exact"/>
        <w:ind w:firstLine="480" w:firstLineChars="200"/>
        <w:rPr>
          <w:rFonts w:hint="eastAsia" w:ascii="宋体" w:hAnsi="宋体" w:eastAsia="宋体" w:cs="宋体"/>
          <w:color w:val="FF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日。</w:t>
      </w:r>
    </w:p>
    <w:p w14:paraId="0053241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日。</w:t>
      </w:r>
    </w:p>
    <w:p w14:paraId="6163FEF4">
      <w:pPr>
        <w:spacing w:line="500" w:lineRule="exact"/>
        <w:ind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天。工期总日历天数与根据前述计划开竣工日期计算的工期天数不一致的，以工期总日历天数为准。</w:t>
      </w:r>
    </w:p>
    <w:p w14:paraId="3ECF7F97">
      <w:pPr>
        <w:pStyle w:val="8"/>
        <w:spacing w:line="500" w:lineRule="exact"/>
        <w:ind w:firstLine="560" w:firstLineChars="200"/>
        <w:rPr>
          <w:rFonts w:hint="eastAsia" w:ascii="宋体" w:hAnsi="宋体" w:eastAsia="宋体" w:cs="宋体"/>
          <w:bCs w:val="0"/>
          <w:color w:val="000000"/>
          <w:sz w:val="28"/>
          <w:szCs w:val="28"/>
        </w:rPr>
      </w:pPr>
      <w:bookmarkStart w:id="77" w:name="_Toc375060698"/>
      <w:r>
        <w:rPr>
          <w:rFonts w:hint="eastAsia" w:ascii="宋体" w:hAnsi="宋体" w:eastAsia="宋体" w:cs="宋体"/>
          <w:b w:val="0"/>
          <w:color w:val="000000"/>
          <w:sz w:val="28"/>
          <w:szCs w:val="28"/>
        </w:rPr>
        <w:t>三、质量标准</w:t>
      </w:r>
      <w:bookmarkEnd w:id="77"/>
    </w:p>
    <w:p w14:paraId="1C5A667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工程质量</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标准。</w:t>
      </w:r>
    </w:p>
    <w:p w14:paraId="39D52093">
      <w:pPr>
        <w:pStyle w:val="8"/>
        <w:spacing w:line="500" w:lineRule="exact"/>
        <w:ind w:firstLine="560" w:firstLineChars="200"/>
        <w:rPr>
          <w:rFonts w:hint="eastAsia" w:ascii="宋体" w:hAnsi="宋体" w:eastAsia="宋体" w:cs="宋体"/>
          <w:bCs w:val="0"/>
          <w:color w:val="000000"/>
          <w:sz w:val="28"/>
          <w:szCs w:val="28"/>
        </w:rPr>
      </w:pPr>
      <w:bookmarkStart w:id="78" w:name="_Toc375060699"/>
      <w:r>
        <w:rPr>
          <w:rFonts w:hint="eastAsia" w:ascii="宋体" w:hAnsi="宋体" w:eastAsia="宋体" w:cs="宋体"/>
          <w:b w:val="0"/>
          <w:color w:val="000000"/>
          <w:sz w:val="28"/>
          <w:szCs w:val="28"/>
        </w:rPr>
        <w:t>四、签约合同价与合同价格形式</w:t>
      </w:r>
      <w:bookmarkEnd w:id="78"/>
      <w:r>
        <w:rPr>
          <w:rFonts w:hint="eastAsia" w:ascii="宋体" w:hAnsi="宋体" w:eastAsia="宋体" w:cs="宋体"/>
          <w:b w:val="0"/>
          <w:color w:val="000000"/>
          <w:sz w:val="28"/>
          <w:szCs w:val="28"/>
        </w:rPr>
        <w:tab/>
      </w:r>
    </w:p>
    <w:p w14:paraId="6EC2AA3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14:paraId="6B26DFF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bCs/>
          <w:color w:val="000000"/>
          <w:sz w:val="24"/>
          <w:szCs w:val="24"/>
        </w:rPr>
        <w:t>其中，不含税价款为</w:t>
      </w:r>
      <w:r>
        <w:rPr>
          <w:rFonts w:hint="eastAsia" w:ascii="宋体" w:hAnsi="宋体" w:eastAsia="宋体" w:cs="宋体"/>
          <w:color w:val="000000"/>
          <w:sz w:val="24"/>
          <w:szCs w:val="24"/>
        </w:rPr>
        <w:t>¥</w:t>
      </w:r>
      <w:r>
        <w:rPr>
          <w:rFonts w:hint="eastAsia" w:ascii="宋体" w:hAnsi="宋体" w:eastAsia="宋体" w:cs="宋体"/>
          <w:bCs/>
          <w:color w:val="000000"/>
          <w:sz w:val="24"/>
          <w:szCs w:val="24"/>
        </w:rPr>
        <w:t>：</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Cs/>
          <w:color w:val="000000"/>
          <w:sz w:val="24"/>
          <w:szCs w:val="24"/>
        </w:rPr>
        <w:t>元</w:t>
      </w:r>
      <w:r>
        <w:rPr>
          <w:rFonts w:hint="eastAsia" w:ascii="宋体" w:hAnsi="宋体" w:eastAsia="宋体" w:cs="宋体"/>
          <w:bCs/>
          <w:color w:val="000000"/>
          <w:kern w:val="0"/>
          <w:sz w:val="24"/>
          <w:szCs w:val="24"/>
        </w:rPr>
        <w:t>；</w:t>
      </w:r>
      <w:r>
        <w:rPr>
          <w:rFonts w:hint="eastAsia" w:ascii="宋体" w:hAnsi="宋体" w:eastAsia="宋体" w:cs="宋体"/>
          <w:bCs/>
          <w:color w:val="000000"/>
          <w:sz w:val="24"/>
          <w:szCs w:val="24"/>
        </w:rPr>
        <w:t>增值税税率：</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%，增值税税额为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元</w:t>
      </w:r>
      <w:r>
        <w:rPr>
          <w:rFonts w:hint="eastAsia" w:ascii="宋体" w:hAnsi="宋体" w:eastAsia="宋体" w:cs="宋体"/>
          <w:color w:val="000000"/>
          <w:sz w:val="24"/>
          <w:szCs w:val="24"/>
        </w:rPr>
        <w:t>。</w:t>
      </w:r>
    </w:p>
    <w:p w14:paraId="5D9A1A8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14:paraId="5A0CB2E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14:paraId="28104B2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元）；</w:t>
      </w:r>
    </w:p>
    <w:p w14:paraId="47ABA88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14:paraId="7AECD3A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bCs/>
          <w:sz w:val="24"/>
          <w:szCs w:val="24"/>
        </w:rPr>
        <w:t>）</w:t>
      </w:r>
      <w:r>
        <w:rPr>
          <w:rFonts w:hint="eastAsia" w:ascii="宋体" w:hAnsi="宋体" w:eastAsia="宋体" w:cs="宋体"/>
          <w:bCs/>
          <w:color w:val="000000"/>
          <w:sz w:val="24"/>
          <w:szCs w:val="24"/>
        </w:rPr>
        <w:t>；</w:t>
      </w:r>
    </w:p>
    <w:p w14:paraId="60015DA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14:paraId="1EBA2EC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Style w:val="42"/>
          <w:rFonts w:hint="eastAsia" w:ascii="宋体" w:hAnsi="宋体" w:eastAsia="宋体" w:cs="宋体"/>
          <w:b/>
          <w:bCs/>
          <w:color w:val="000000"/>
          <w:sz w:val="24"/>
          <w:szCs w:val="24"/>
          <w:u w:val="single"/>
        </w:rPr>
        <w:t xml:space="preserve"> </w:t>
      </w:r>
      <w:r>
        <w:rPr>
          <w:rStyle w:val="42"/>
          <w:rFonts w:hint="eastAsia" w:ascii="宋体" w:hAnsi="宋体" w:eastAsia="宋体" w:cs="宋体"/>
          <w:b/>
          <w:bCs/>
          <w:color w:val="000000"/>
          <w:sz w:val="24"/>
          <w:szCs w:val="24"/>
          <w:u w:val="single"/>
          <w:lang w:val="en-US"/>
        </w:rPr>
        <w:t xml:space="preserve">   </w:t>
      </w:r>
      <w:r>
        <w:rPr>
          <w:rStyle w:val="42"/>
          <w:rFonts w:hint="eastAsia" w:ascii="宋体" w:hAnsi="宋体" w:eastAsia="宋体" w:cs="宋体"/>
          <w:b/>
          <w:bCs/>
          <w:color w:val="000000"/>
          <w:sz w:val="24"/>
          <w:szCs w:val="24"/>
          <w:u w:val="single"/>
        </w:rPr>
        <w:t xml:space="preserve">   </w:t>
      </w:r>
      <w:r>
        <w:rPr>
          <w:rStyle w:val="42"/>
          <w:rFonts w:hint="eastAsia" w:ascii="宋体" w:hAnsi="宋体" w:eastAsia="宋体" w:cs="宋体"/>
          <w:b/>
          <w:bCs/>
          <w:color w:val="000000"/>
          <w:sz w:val="24"/>
          <w:szCs w:val="24"/>
          <w:u w:val="single" w:color="000000"/>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Style w:val="42"/>
          <w:rFonts w:hint="eastAsia" w:ascii="宋体" w:hAnsi="宋体" w:eastAsia="宋体" w:cs="宋体"/>
          <w:b/>
          <w:bCs/>
          <w:color w:val="000000"/>
          <w:sz w:val="24"/>
          <w:szCs w:val="24"/>
          <w:u w:val="single" w:color="000000"/>
        </w:rPr>
        <w:t xml:space="preserve"> </w:t>
      </w:r>
      <w:r>
        <w:rPr>
          <w:rFonts w:hint="eastAsia" w:ascii="宋体" w:hAnsi="宋体" w:eastAsia="宋体" w:cs="宋体"/>
          <w:color w:val="000000"/>
          <w:sz w:val="24"/>
          <w:szCs w:val="24"/>
        </w:rPr>
        <w:t>元）；</w:t>
      </w:r>
    </w:p>
    <w:p w14:paraId="3AC3ADA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14:paraId="3A68C5B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170432A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6B5F382">
      <w:pPr>
        <w:pStyle w:val="8"/>
        <w:spacing w:line="500" w:lineRule="exact"/>
        <w:ind w:firstLine="560" w:firstLineChars="200"/>
        <w:rPr>
          <w:rFonts w:hint="eastAsia" w:ascii="宋体" w:hAnsi="宋体" w:eastAsia="宋体" w:cs="宋体"/>
          <w:b w:val="0"/>
          <w:color w:val="000000"/>
          <w:sz w:val="28"/>
          <w:szCs w:val="28"/>
        </w:rPr>
      </w:pPr>
      <w:bookmarkStart w:id="79" w:name="_Toc375060700"/>
      <w:r>
        <w:rPr>
          <w:rFonts w:hint="eastAsia" w:ascii="宋体" w:hAnsi="宋体" w:eastAsia="宋体" w:cs="宋体"/>
          <w:b w:val="0"/>
          <w:color w:val="000000"/>
          <w:sz w:val="28"/>
          <w:szCs w:val="28"/>
        </w:rPr>
        <w:t>五、项目经理</w:t>
      </w:r>
      <w:bookmarkEnd w:id="79"/>
    </w:p>
    <w:p w14:paraId="5F9CB7FC">
      <w:pPr>
        <w:spacing w:line="500" w:lineRule="exact"/>
        <w:ind w:firstLine="480" w:firstLineChars="200"/>
        <w:rPr>
          <w:rFonts w:hint="eastAsia" w:ascii="宋体" w:hAnsi="宋体" w:eastAsia="宋体" w:cs="宋体"/>
          <w:color w:val="000000"/>
          <w:sz w:val="24"/>
          <w:szCs w:val="24"/>
          <w:highlight w:val="cyan"/>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5C2A784">
      <w:pPr>
        <w:pStyle w:val="8"/>
        <w:spacing w:line="500" w:lineRule="exact"/>
        <w:ind w:firstLine="560" w:firstLineChars="200"/>
        <w:rPr>
          <w:rFonts w:hint="eastAsia" w:ascii="宋体" w:hAnsi="宋体" w:eastAsia="宋体" w:cs="宋体"/>
          <w:bCs w:val="0"/>
          <w:color w:val="000000"/>
          <w:sz w:val="28"/>
          <w:szCs w:val="28"/>
        </w:rPr>
      </w:pPr>
      <w:bookmarkStart w:id="80" w:name="_Toc375060701"/>
      <w:r>
        <w:rPr>
          <w:rFonts w:hint="eastAsia" w:ascii="宋体" w:hAnsi="宋体" w:eastAsia="宋体" w:cs="宋体"/>
          <w:b w:val="0"/>
          <w:color w:val="000000"/>
          <w:sz w:val="28"/>
          <w:szCs w:val="28"/>
        </w:rPr>
        <w:t>六、合同文件构成</w:t>
      </w:r>
      <w:bookmarkEnd w:id="80"/>
    </w:p>
    <w:p w14:paraId="53A41D4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本协议书与下列文件一起构成合同文件：</w:t>
      </w:r>
    </w:p>
    <w:p w14:paraId="0863B96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14:paraId="737E10D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14:paraId="0A9BA65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14:paraId="5D2D393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14:paraId="52F328B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14:paraId="5D0BB60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14:paraId="26ED61C7">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14:paraId="176DF462">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14:paraId="3B57228F">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22F7702F">
      <w:pPr>
        <w:spacing w:line="510" w:lineRule="exact"/>
        <w:ind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76D06F35">
      <w:pPr>
        <w:pStyle w:val="8"/>
        <w:spacing w:line="510" w:lineRule="exact"/>
        <w:ind w:firstLine="560" w:firstLineChars="200"/>
        <w:rPr>
          <w:rFonts w:hint="eastAsia" w:ascii="宋体" w:hAnsi="宋体" w:eastAsia="宋体" w:cs="宋体"/>
          <w:b w:val="0"/>
          <w:bCs w:val="0"/>
          <w:color w:val="000000"/>
          <w:sz w:val="28"/>
          <w:szCs w:val="28"/>
        </w:rPr>
      </w:pPr>
      <w:bookmarkStart w:id="81" w:name="_Toc375060702"/>
      <w:r>
        <w:rPr>
          <w:rFonts w:hint="eastAsia" w:ascii="宋体" w:hAnsi="宋体" w:eastAsia="宋体" w:cs="宋体"/>
          <w:b w:val="0"/>
          <w:color w:val="000000"/>
          <w:sz w:val="28"/>
          <w:szCs w:val="28"/>
        </w:rPr>
        <w:t>七、承诺</w:t>
      </w:r>
      <w:bookmarkEnd w:id="81"/>
    </w:p>
    <w:p w14:paraId="03AD0B45">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1.发包人承诺筹集工程建设资金并按照合同约定的期限和方式支付合同价款。</w:t>
      </w:r>
    </w:p>
    <w:p w14:paraId="4EFD1115">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4E1EA916">
      <w:pPr>
        <w:spacing w:line="510" w:lineRule="exact"/>
        <w:ind w:firstLine="480" w:firstLineChars="200"/>
        <w:rPr>
          <w:rFonts w:hint="eastAsia" w:ascii="宋体" w:hAnsi="宋体" w:eastAsia="宋体" w:cs="宋体"/>
          <w:bCs/>
          <w:color w:val="000000"/>
          <w:sz w:val="28"/>
          <w:szCs w:val="28"/>
        </w:rPr>
      </w:pPr>
      <w:r>
        <w:rPr>
          <w:rFonts w:hint="eastAsia" w:ascii="宋体" w:hAnsi="宋体" w:eastAsia="宋体" w:cs="宋体"/>
          <w:color w:val="000000"/>
          <w:sz w:val="24"/>
          <w:szCs w:val="24"/>
        </w:rPr>
        <w:t>3.发包人和承包人通过招投标形式签订合同的，双方理解并承诺不再就同一工程另行签订与合同实质性内容相背离的协议。</w:t>
      </w:r>
    </w:p>
    <w:p w14:paraId="344D9F51">
      <w:pPr>
        <w:pStyle w:val="8"/>
        <w:spacing w:line="510" w:lineRule="exact"/>
        <w:ind w:firstLine="560" w:firstLineChars="200"/>
        <w:rPr>
          <w:rFonts w:hint="eastAsia" w:ascii="宋体" w:hAnsi="宋体" w:eastAsia="宋体" w:cs="宋体"/>
          <w:bCs w:val="0"/>
          <w:color w:val="000000"/>
          <w:sz w:val="28"/>
          <w:szCs w:val="28"/>
        </w:rPr>
      </w:pPr>
      <w:bookmarkStart w:id="82" w:name="_Toc375060703"/>
      <w:r>
        <w:rPr>
          <w:rFonts w:hint="eastAsia" w:ascii="宋体" w:hAnsi="宋体" w:eastAsia="宋体" w:cs="宋体"/>
          <w:b w:val="0"/>
          <w:color w:val="000000"/>
          <w:sz w:val="28"/>
          <w:szCs w:val="28"/>
        </w:rPr>
        <w:t>八、词语含义</w:t>
      </w:r>
      <w:bookmarkEnd w:id="82"/>
    </w:p>
    <w:p w14:paraId="23789168">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本协议书中词语含义与第二部分通用合同条款中赋予的含义相同。</w:t>
      </w:r>
    </w:p>
    <w:p w14:paraId="4E502471">
      <w:pPr>
        <w:pStyle w:val="8"/>
        <w:spacing w:line="510" w:lineRule="exact"/>
        <w:ind w:firstLine="560" w:firstLineChars="200"/>
        <w:rPr>
          <w:rFonts w:hint="eastAsia" w:ascii="宋体" w:hAnsi="宋体" w:eastAsia="宋体" w:cs="宋体"/>
          <w:bCs w:val="0"/>
          <w:color w:val="000000"/>
          <w:sz w:val="28"/>
          <w:szCs w:val="28"/>
        </w:rPr>
      </w:pPr>
      <w:bookmarkStart w:id="83" w:name="_Toc375060704"/>
      <w:r>
        <w:rPr>
          <w:rFonts w:hint="eastAsia" w:ascii="宋体" w:hAnsi="宋体" w:eastAsia="宋体" w:cs="宋体"/>
          <w:b w:val="0"/>
          <w:color w:val="000000"/>
          <w:sz w:val="28"/>
          <w:szCs w:val="28"/>
        </w:rPr>
        <w:t>九、签订时间</w:t>
      </w:r>
      <w:bookmarkEnd w:id="83"/>
    </w:p>
    <w:p w14:paraId="0219F74A">
      <w:pPr>
        <w:spacing w:line="51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日签订。</w:t>
      </w:r>
    </w:p>
    <w:p w14:paraId="466BDC9F">
      <w:pPr>
        <w:pStyle w:val="8"/>
        <w:spacing w:line="510" w:lineRule="exact"/>
        <w:ind w:firstLine="560" w:firstLineChars="200"/>
        <w:rPr>
          <w:rFonts w:hint="eastAsia" w:ascii="宋体" w:hAnsi="宋体" w:eastAsia="宋体" w:cs="宋体"/>
          <w:bCs w:val="0"/>
          <w:color w:val="000000"/>
          <w:sz w:val="28"/>
          <w:szCs w:val="28"/>
        </w:rPr>
      </w:pPr>
      <w:bookmarkStart w:id="84" w:name="_Toc375060705"/>
      <w:r>
        <w:rPr>
          <w:rFonts w:hint="eastAsia" w:ascii="宋体" w:hAnsi="宋体" w:eastAsia="宋体" w:cs="宋体"/>
          <w:b w:val="0"/>
          <w:color w:val="000000"/>
          <w:sz w:val="28"/>
          <w:szCs w:val="28"/>
        </w:rPr>
        <w:t>十、签订地点</w:t>
      </w:r>
      <w:bookmarkEnd w:id="84"/>
    </w:p>
    <w:p w14:paraId="523C6ACA">
      <w:pPr>
        <w:spacing w:line="510" w:lineRule="exact"/>
        <w:ind w:firstLine="480" w:firstLineChars="200"/>
        <w:rPr>
          <w:rFonts w:hint="eastAsia" w:ascii="宋体" w:hAnsi="宋体" w:eastAsia="宋体" w:cs="宋体"/>
          <w:bCs/>
          <w:color w:val="000000"/>
          <w:sz w:val="28"/>
          <w:szCs w:val="28"/>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签订。</w:t>
      </w:r>
    </w:p>
    <w:p w14:paraId="1ABCAD24">
      <w:pPr>
        <w:pStyle w:val="8"/>
        <w:spacing w:line="510" w:lineRule="exact"/>
        <w:ind w:firstLine="560" w:firstLineChars="200"/>
        <w:rPr>
          <w:rFonts w:hint="eastAsia" w:ascii="宋体" w:hAnsi="宋体" w:eastAsia="宋体" w:cs="宋体"/>
          <w:bCs w:val="0"/>
          <w:color w:val="000000"/>
          <w:sz w:val="28"/>
          <w:szCs w:val="28"/>
        </w:rPr>
      </w:pPr>
      <w:bookmarkStart w:id="85" w:name="_Toc375060706"/>
      <w:r>
        <w:rPr>
          <w:rFonts w:hint="eastAsia" w:ascii="宋体" w:hAnsi="宋体" w:eastAsia="宋体" w:cs="宋体"/>
          <w:b w:val="0"/>
          <w:color w:val="000000"/>
          <w:sz w:val="28"/>
          <w:szCs w:val="28"/>
        </w:rPr>
        <w:t>十一、补充协议</w:t>
      </w:r>
      <w:bookmarkEnd w:id="85"/>
    </w:p>
    <w:p w14:paraId="781A6C40">
      <w:pPr>
        <w:spacing w:line="510" w:lineRule="exact"/>
        <w:ind w:firstLine="480" w:firstLineChars="200"/>
        <w:rPr>
          <w:rFonts w:hint="eastAsia" w:ascii="宋体" w:hAnsi="宋体" w:eastAsia="宋体" w:cs="宋体"/>
          <w:b/>
          <w:bCs/>
          <w:color w:val="000000"/>
          <w:sz w:val="28"/>
          <w:szCs w:val="28"/>
        </w:rPr>
      </w:pPr>
      <w:r>
        <w:rPr>
          <w:rFonts w:hint="eastAsia" w:ascii="宋体" w:hAnsi="宋体" w:eastAsia="宋体" w:cs="宋体"/>
          <w:bCs/>
          <w:color w:val="000000"/>
          <w:sz w:val="24"/>
          <w:szCs w:val="24"/>
        </w:rPr>
        <w:t>合同未尽事宜，合同当事人另行签订补充协议，补充协议是合同的组成部分。</w:t>
      </w:r>
    </w:p>
    <w:p w14:paraId="090C7C7F">
      <w:pPr>
        <w:pStyle w:val="8"/>
        <w:spacing w:line="510" w:lineRule="exact"/>
        <w:ind w:firstLine="560" w:firstLineChars="200"/>
        <w:rPr>
          <w:rFonts w:hint="eastAsia" w:ascii="宋体" w:hAnsi="宋体" w:eastAsia="宋体" w:cs="宋体"/>
          <w:bCs w:val="0"/>
          <w:color w:val="000000"/>
          <w:sz w:val="28"/>
          <w:szCs w:val="28"/>
        </w:rPr>
      </w:pPr>
      <w:bookmarkStart w:id="86" w:name="_Toc375060707"/>
      <w:r>
        <w:rPr>
          <w:rFonts w:hint="eastAsia" w:ascii="宋体" w:hAnsi="宋体" w:eastAsia="宋体" w:cs="宋体"/>
          <w:b w:val="0"/>
          <w:color w:val="000000"/>
          <w:sz w:val="28"/>
          <w:szCs w:val="28"/>
        </w:rPr>
        <w:t>十二、合同生效</w:t>
      </w:r>
      <w:bookmarkEnd w:id="86"/>
    </w:p>
    <w:p w14:paraId="124E0F49">
      <w:pPr>
        <w:spacing w:line="51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生效。</w:t>
      </w:r>
    </w:p>
    <w:p w14:paraId="2F6A08B9">
      <w:pPr>
        <w:pStyle w:val="8"/>
        <w:spacing w:line="486" w:lineRule="exact"/>
        <w:ind w:firstLine="560" w:firstLineChars="200"/>
        <w:rPr>
          <w:rFonts w:hint="eastAsia" w:ascii="宋体" w:hAnsi="宋体" w:eastAsia="宋体" w:cs="宋体"/>
          <w:bCs w:val="0"/>
          <w:color w:val="000000"/>
          <w:sz w:val="28"/>
          <w:szCs w:val="28"/>
        </w:rPr>
      </w:pPr>
      <w:bookmarkStart w:id="87" w:name="_Toc375060708"/>
      <w:r>
        <w:rPr>
          <w:rFonts w:hint="eastAsia" w:ascii="宋体" w:hAnsi="宋体" w:eastAsia="宋体" w:cs="宋体"/>
          <w:b w:val="0"/>
          <w:color w:val="000000"/>
          <w:sz w:val="28"/>
          <w:szCs w:val="28"/>
        </w:rPr>
        <w:t>十三、合同份数</w:t>
      </w:r>
      <w:bookmarkEnd w:id="87"/>
    </w:p>
    <w:p w14:paraId="5C20920C">
      <w:pPr>
        <w:spacing w:line="486"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份。</w:t>
      </w:r>
    </w:p>
    <w:p w14:paraId="0D38E388">
      <w:pPr>
        <w:spacing w:line="486"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（正本</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份，双方各执</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份，副本</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份，发包人执</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份，承包人执</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w:t>
      </w:r>
    </w:p>
    <w:p w14:paraId="418F22B1">
      <w:pPr>
        <w:spacing w:afterLines="100" w:line="486"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（本页以下无正文内容）</w:t>
      </w:r>
    </w:p>
    <w:p w14:paraId="36327913">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49BD20B4">
      <w:pPr>
        <w:spacing w:afterLines="100" w:line="486" w:lineRule="exact"/>
        <w:ind w:firstLine="482" w:firstLineChars="200"/>
        <w:rPr>
          <w:rFonts w:hint="eastAsia" w:ascii="宋体" w:hAnsi="宋体" w:eastAsia="宋体" w:cs="宋体"/>
          <w:b/>
          <w:bCs/>
          <w:color w:val="000000"/>
          <w:sz w:val="24"/>
          <w:szCs w:val="24"/>
        </w:rPr>
      </w:pPr>
    </w:p>
    <w:tbl>
      <w:tblPr>
        <w:tblStyle w:val="24"/>
        <w:tblW w:w="10021" w:type="dxa"/>
        <w:jc w:val="center"/>
        <w:tblLayout w:type="autofit"/>
        <w:tblCellMar>
          <w:top w:w="0" w:type="dxa"/>
          <w:left w:w="108" w:type="dxa"/>
          <w:bottom w:w="0" w:type="dxa"/>
          <w:right w:w="108" w:type="dxa"/>
        </w:tblCellMar>
      </w:tblPr>
      <w:tblGrid>
        <w:gridCol w:w="1379"/>
        <w:gridCol w:w="283"/>
        <w:gridCol w:w="654"/>
        <w:gridCol w:w="2286"/>
        <w:gridCol w:w="1414"/>
        <w:gridCol w:w="265"/>
        <w:gridCol w:w="532"/>
        <w:gridCol w:w="3208"/>
      </w:tblGrid>
      <w:tr w14:paraId="547891E1">
        <w:tblPrEx>
          <w:tblCellMar>
            <w:top w:w="0" w:type="dxa"/>
            <w:left w:w="108" w:type="dxa"/>
            <w:bottom w:w="0" w:type="dxa"/>
            <w:right w:w="108" w:type="dxa"/>
          </w:tblCellMar>
        </w:tblPrEx>
        <w:trPr>
          <w:trHeight w:val="595" w:hRule="atLeast"/>
          <w:jc w:val="center"/>
        </w:trPr>
        <w:tc>
          <w:tcPr>
            <w:tcW w:w="2316" w:type="dxa"/>
            <w:gridSpan w:val="3"/>
            <w:vAlign w:val="center"/>
          </w:tcPr>
          <w:p w14:paraId="5A5395C4">
            <w:pPr>
              <w:rPr>
                <w:rFonts w:hint="eastAsia" w:ascii="宋体" w:hAnsi="宋体" w:eastAsia="宋体" w:cs="宋体"/>
                <w:color w:val="000000"/>
                <w:sz w:val="20"/>
                <w:szCs w:val="21"/>
              </w:rPr>
            </w:pPr>
            <w:r>
              <w:rPr>
                <w:rFonts w:hint="eastAsia" w:ascii="宋体" w:hAnsi="宋体" w:eastAsia="宋体" w:cs="宋体"/>
                <w:color w:val="000000"/>
                <w:sz w:val="24"/>
                <w:szCs w:val="24"/>
              </w:rPr>
              <w:t>发包人：（公章）</w:t>
            </w:r>
          </w:p>
        </w:tc>
        <w:tc>
          <w:tcPr>
            <w:tcW w:w="2286" w:type="dxa"/>
            <w:vAlign w:val="center"/>
          </w:tcPr>
          <w:p w14:paraId="60834A1B">
            <w:pPr>
              <w:rPr>
                <w:rFonts w:hint="eastAsia" w:ascii="宋体" w:hAnsi="宋体" w:eastAsia="宋体" w:cs="宋体"/>
                <w:color w:val="000000"/>
                <w:sz w:val="20"/>
                <w:szCs w:val="21"/>
              </w:rPr>
            </w:pPr>
          </w:p>
        </w:tc>
        <w:tc>
          <w:tcPr>
            <w:tcW w:w="2211" w:type="dxa"/>
            <w:gridSpan w:val="3"/>
            <w:vAlign w:val="center"/>
          </w:tcPr>
          <w:p w14:paraId="13E3A132">
            <w:pPr>
              <w:rPr>
                <w:rFonts w:hint="eastAsia" w:ascii="宋体" w:hAnsi="宋体" w:eastAsia="宋体" w:cs="宋体"/>
                <w:color w:val="000000"/>
                <w:sz w:val="20"/>
                <w:szCs w:val="21"/>
              </w:rPr>
            </w:pPr>
            <w:r>
              <w:rPr>
                <w:rFonts w:hint="eastAsia" w:ascii="宋体" w:hAnsi="宋体" w:eastAsia="宋体" w:cs="宋体"/>
                <w:color w:val="000000"/>
                <w:sz w:val="24"/>
                <w:szCs w:val="24"/>
              </w:rPr>
              <w:t>承包人：（公章）</w:t>
            </w:r>
          </w:p>
        </w:tc>
        <w:tc>
          <w:tcPr>
            <w:tcW w:w="3208" w:type="dxa"/>
            <w:vAlign w:val="center"/>
          </w:tcPr>
          <w:p w14:paraId="486DA8E6">
            <w:pPr>
              <w:rPr>
                <w:rFonts w:hint="eastAsia" w:ascii="宋体" w:hAnsi="宋体" w:eastAsia="宋体" w:cs="宋体"/>
                <w:color w:val="000000"/>
                <w:sz w:val="20"/>
                <w:szCs w:val="21"/>
              </w:rPr>
            </w:pPr>
          </w:p>
        </w:tc>
      </w:tr>
      <w:tr w14:paraId="6D9B8BAA">
        <w:tblPrEx>
          <w:tblCellMar>
            <w:top w:w="0" w:type="dxa"/>
            <w:left w:w="108" w:type="dxa"/>
            <w:bottom w:w="0" w:type="dxa"/>
            <w:right w:w="108" w:type="dxa"/>
          </w:tblCellMar>
        </w:tblPrEx>
        <w:trPr>
          <w:trHeight w:val="1238" w:hRule="atLeast"/>
          <w:jc w:val="center"/>
        </w:trPr>
        <w:tc>
          <w:tcPr>
            <w:tcW w:w="4602" w:type="dxa"/>
            <w:gridSpan w:val="4"/>
            <w:vAlign w:val="center"/>
          </w:tcPr>
          <w:p w14:paraId="5758667D">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p>
          <w:p w14:paraId="11503B08">
            <w:pPr>
              <w:spacing w:line="560" w:lineRule="exact"/>
              <w:rPr>
                <w:rFonts w:hint="eastAsia" w:ascii="宋体" w:hAnsi="宋体" w:eastAsia="宋体" w:cs="宋体"/>
                <w:color w:val="000000"/>
                <w:sz w:val="20"/>
                <w:szCs w:val="21"/>
              </w:rPr>
            </w:pPr>
            <w:r>
              <w:rPr>
                <w:rFonts w:hint="eastAsia" w:ascii="宋体" w:hAnsi="宋体" w:eastAsia="宋体" w:cs="宋体"/>
                <w:color w:val="000000"/>
                <w:sz w:val="24"/>
                <w:szCs w:val="24"/>
              </w:rPr>
              <w:t>（签字）</w:t>
            </w:r>
          </w:p>
        </w:tc>
        <w:tc>
          <w:tcPr>
            <w:tcW w:w="5419" w:type="dxa"/>
            <w:gridSpan w:val="4"/>
            <w:vAlign w:val="center"/>
          </w:tcPr>
          <w:p w14:paraId="17B29116">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p>
          <w:p w14:paraId="561C6EE1">
            <w:pPr>
              <w:spacing w:line="560" w:lineRule="exact"/>
              <w:rPr>
                <w:rFonts w:hint="eastAsia" w:ascii="宋体" w:hAnsi="宋体" w:eastAsia="宋体" w:cs="宋体"/>
                <w:color w:val="000000"/>
                <w:sz w:val="20"/>
                <w:szCs w:val="21"/>
              </w:rPr>
            </w:pPr>
            <w:r>
              <w:rPr>
                <w:rFonts w:hint="eastAsia" w:ascii="宋体" w:hAnsi="宋体" w:eastAsia="宋体" w:cs="宋体"/>
                <w:color w:val="000000"/>
                <w:sz w:val="24"/>
                <w:szCs w:val="24"/>
              </w:rPr>
              <w:t>（签字）</w:t>
            </w:r>
          </w:p>
        </w:tc>
      </w:tr>
      <w:tr w14:paraId="4D79863E">
        <w:tblPrEx>
          <w:tblCellMar>
            <w:top w:w="0" w:type="dxa"/>
            <w:left w:w="108" w:type="dxa"/>
            <w:bottom w:w="0" w:type="dxa"/>
            <w:right w:w="108" w:type="dxa"/>
          </w:tblCellMar>
        </w:tblPrEx>
        <w:trPr>
          <w:trHeight w:val="794" w:hRule="atLeast"/>
          <w:jc w:val="center"/>
        </w:trPr>
        <w:tc>
          <w:tcPr>
            <w:tcW w:w="1379" w:type="dxa"/>
            <w:vAlign w:val="center"/>
          </w:tcPr>
          <w:p w14:paraId="1AA69A24">
            <w:pPr>
              <w:ind w:right="-134" w:rightChars="-64"/>
              <w:rPr>
                <w:rFonts w:hint="eastAsia" w:ascii="宋体" w:hAnsi="宋体" w:eastAsia="宋体" w:cs="宋体"/>
                <w:color w:val="000000"/>
                <w:sz w:val="24"/>
                <w:szCs w:val="24"/>
              </w:rPr>
            </w:pPr>
            <w:r>
              <w:rPr>
                <w:rFonts w:hint="eastAsia" w:ascii="宋体" w:hAnsi="宋体" w:eastAsia="宋体" w:cs="宋体"/>
                <w:color w:val="000000"/>
                <w:sz w:val="24"/>
                <w:szCs w:val="24"/>
              </w:rPr>
              <w:t>统一社会</w:t>
            </w:r>
          </w:p>
          <w:p w14:paraId="692AA5E8">
            <w:pPr>
              <w:ind w:right="-134" w:rightChars="-64"/>
              <w:rPr>
                <w:rFonts w:hint="eastAsia" w:ascii="宋体" w:hAnsi="宋体" w:eastAsia="宋体" w:cs="宋体"/>
                <w:color w:val="000000"/>
                <w:sz w:val="24"/>
                <w:szCs w:val="24"/>
              </w:rPr>
            </w:pPr>
            <w:r>
              <w:rPr>
                <w:rFonts w:hint="eastAsia" w:ascii="宋体" w:hAnsi="宋体" w:eastAsia="宋体" w:cs="宋体"/>
                <w:color w:val="000000"/>
                <w:sz w:val="24"/>
                <w:szCs w:val="24"/>
              </w:rPr>
              <w:t>信用代码：</w:t>
            </w:r>
          </w:p>
        </w:tc>
        <w:tc>
          <w:tcPr>
            <w:tcW w:w="3223" w:type="dxa"/>
            <w:gridSpan w:val="3"/>
            <w:vAlign w:val="center"/>
          </w:tcPr>
          <w:p w14:paraId="07523B3F">
            <w:pPr>
              <w:ind w:left="-109" w:leftChars="-52" w:right="-111" w:rightChars="-53"/>
              <w:rPr>
                <w:rFonts w:hint="eastAsia" w:ascii="宋体" w:hAnsi="宋体" w:eastAsia="宋体" w:cs="宋体"/>
                <w:b/>
                <w:color w:val="000000"/>
                <w:sz w:val="20"/>
                <w:szCs w:val="21"/>
              </w:rPr>
            </w:pPr>
          </w:p>
        </w:tc>
        <w:tc>
          <w:tcPr>
            <w:tcW w:w="1414" w:type="dxa"/>
            <w:vAlign w:val="center"/>
          </w:tcPr>
          <w:p w14:paraId="3E7D5D3E">
            <w:pPr>
              <w:ind w:right="-134" w:rightChars="-64"/>
              <w:rPr>
                <w:rFonts w:hint="eastAsia" w:ascii="宋体" w:hAnsi="宋体" w:eastAsia="宋体" w:cs="宋体"/>
                <w:color w:val="000000"/>
                <w:sz w:val="24"/>
                <w:szCs w:val="24"/>
              </w:rPr>
            </w:pPr>
            <w:r>
              <w:rPr>
                <w:rFonts w:hint="eastAsia" w:ascii="宋体" w:hAnsi="宋体" w:eastAsia="宋体" w:cs="宋体"/>
                <w:color w:val="000000"/>
                <w:sz w:val="24"/>
                <w:szCs w:val="24"/>
              </w:rPr>
              <w:t>统一社会</w:t>
            </w:r>
          </w:p>
          <w:p w14:paraId="354B94C9">
            <w:pPr>
              <w:ind w:right="-107" w:rightChars="-51"/>
              <w:rPr>
                <w:rFonts w:hint="eastAsia" w:ascii="宋体" w:hAnsi="宋体" w:eastAsia="宋体" w:cs="宋体"/>
                <w:color w:val="000000"/>
                <w:sz w:val="20"/>
                <w:szCs w:val="21"/>
              </w:rPr>
            </w:pPr>
            <w:r>
              <w:rPr>
                <w:rFonts w:hint="eastAsia" w:ascii="宋体" w:hAnsi="宋体" w:eastAsia="宋体" w:cs="宋体"/>
                <w:color w:val="000000"/>
                <w:sz w:val="24"/>
                <w:szCs w:val="24"/>
              </w:rPr>
              <w:t>信用代码：</w:t>
            </w:r>
          </w:p>
        </w:tc>
        <w:tc>
          <w:tcPr>
            <w:tcW w:w="4005" w:type="dxa"/>
            <w:gridSpan w:val="3"/>
            <w:vAlign w:val="center"/>
          </w:tcPr>
          <w:p w14:paraId="7AF52FE0">
            <w:pPr>
              <w:ind w:left="-109" w:leftChars="-52" w:right="-111" w:rightChars="-53"/>
              <w:rPr>
                <w:rFonts w:hint="eastAsia" w:ascii="宋体" w:hAnsi="宋体" w:eastAsia="宋体" w:cs="宋体"/>
                <w:b/>
                <w:color w:val="000000"/>
                <w:sz w:val="24"/>
                <w:szCs w:val="21"/>
              </w:rPr>
            </w:pPr>
          </w:p>
        </w:tc>
      </w:tr>
      <w:tr w14:paraId="6EA50DC3">
        <w:tblPrEx>
          <w:tblCellMar>
            <w:top w:w="0" w:type="dxa"/>
            <w:left w:w="108" w:type="dxa"/>
            <w:bottom w:w="0" w:type="dxa"/>
            <w:right w:w="108" w:type="dxa"/>
          </w:tblCellMar>
        </w:tblPrEx>
        <w:trPr>
          <w:trHeight w:val="781" w:hRule="exact"/>
          <w:jc w:val="center"/>
        </w:trPr>
        <w:tc>
          <w:tcPr>
            <w:tcW w:w="1379" w:type="dxa"/>
            <w:vAlign w:val="center"/>
          </w:tcPr>
          <w:p w14:paraId="3A229DED">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tc>
        <w:tc>
          <w:tcPr>
            <w:tcW w:w="3223" w:type="dxa"/>
            <w:gridSpan w:val="3"/>
            <w:vAlign w:val="center"/>
          </w:tcPr>
          <w:p w14:paraId="31445A18">
            <w:pPr>
              <w:spacing w:line="360" w:lineRule="exact"/>
              <w:rPr>
                <w:rFonts w:hint="eastAsia" w:ascii="宋体" w:hAnsi="宋体" w:eastAsia="宋体" w:cs="宋体"/>
                <w:color w:val="000000"/>
                <w:sz w:val="20"/>
                <w:szCs w:val="21"/>
              </w:rPr>
            </w:pPr>
          </w:p>
        </w:tc>
        <w:tc>
          <w:tcPr>
            <w:tcW w:w="1414" w:type="dxa"/>
            <w:vAlign w:val="center"/>
          </w:tcPr>
          <w:p w14:paraId="567BB464">
            <w:pPr>
              <w:ind w:right="-107" w:rightChars="-51"/>
              <w:rPr>
                <w:rFonts w:hint="eastAsia" w:ascii="宋体" w:hAnsi="宋体" w:eastAsia="宋体" w:cs="宋体"/>
                <w:color w:val="000000"/>
                <w:sz w:val="20"/>
                <w:szCs w:val="21"/>
              </w:rPr>
            </w:pPr>
            <w:r>
              <w:rPr>
                <w:rFonts w:hint="eastAsia" w:ascii="宋体" w:hAnsi="宋体" w:eastAsia="宋体" w:cs="宋体"/>
                <w:color w:val="000000"/>
                <w:sz w:val="24"/>
                <w:szCs w:val="24"/>
              </w:rPr>
              <w:t>地    址：</w:t>
            </w:r>
          </w:p>
        </w:tc>
        <w:tc>
          <w:tcPr>
            <w:tcW w:w="4005" w:type="dxa"/>
            <w:gridSpan w:val="3"/>
            <w:vAlign w:val="center"/>
          </w:tcPr>
          <w:p w14:paraId="5E763DFF">
            <w:pPr>
              <w:spacing w:line="360" w:lineRule="exact"/>
              <w:ind w:left="-113" w:leftChars="-54"/>
              <w:rPr>
                <w:rFonts w:hint="eastAsia" w:ascii="宋体" w:hAnsi="宋体" w:eastAsia="宋体" w:cs="宋体"/>
                <w:b/>
                <w:color w:val="000000"/>
                <w:sz w:val="24"/>
                <w:szCs w:val="21"/>
              </w:rPr>
            </w:pPr>
          </w:p>
        </w:tc>
      </w:tr>
      <w:tr w14:paraId="17FBE1D5">
        <w:tblPrEx>
          <w:tblCellMar>
            <w:top w:w="0" w:type="dxa"/>
            <w:left w:w="108" w:type="dxa"/>
            <w:bottom w:w="0" w:type="dxa"/>
            <w:right w:w="108" w:type="dxa"/>
          </w:tblCellMar>
        </w:tblPrEx>
        <w:trPr>
          <w:trHeight w:val="549" w:hRule="atLeast"/>
          <w:jc w:val="center"/>
        </w:trPr>
        <w:tc>
          <w:tcPr>
            <w:tcW w:w="1379" w:type="dxa"/>
            <w:vAlign w:val="center"/>
          </w:tcPr>
          <w:p w14:paraId="516C3C85">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3223" w:type="dxa"/>
            <w:gridSpan w:val="3"/>
            <w:vAlign w:val="center"/>
          </w:tcPr>
          <w:p w14:paraId="0181F063">
            <w:pPr>
              <w:ind w:left="-70" w:leftChars="-37" w:hanging="8" w:hangingChars="4"/>
              <w:rPr>
                <w:rFonts w:hint="eastAsia" w:ascii="宋体" w:hAnsi="宋体" w:eastAsia="宋体" w:cs="宋体"/>
                <w:color w:val="000000"/>
                <w:sz w:val="20"/>
                <w:szCs w:val="21"/>
              </w:rPr>
            </w:pPr>
          </w:p>
        </w:tc>
        <w:tc>
          <w:tcPr>
            <w:tcW w:w="1414" w:type="dxa"/>
            <w:vAlign w:val="center"/>
          </w:tcPr>
          <w:p w14:paraId="0674F4D3">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4005" w:type="dxa"/>
            <w:gridSpan w:val="3"/>
            <w:vAlign w:val="center"/>
          </w:tcPr>
          <w:p w14:paraId="3377668C">
            <w:pPr>
              <w:ind w:left="-70" w:leftChars="-37" w:hanging="8" w:hangingChars="4"/>
              <w:rPr>
                <w:rFonts w:hint="eastAsia" w:ascii="宋体" w:hAnsi="宋体" w:eastAsia="宋体" w:cs="宋体"/>
                <w:color w:val="000000"/>
                <w:sz w:val="20"/>
                <w:szCs w:val="21"/>
              </w:rPr>
            </w:pPr>
          </w:p>
        </w:tc>
      </w:tr>
      <w:tr w14:paraId="70830655">
        <w:tblPrEx>
          <w:tblCellMar>
            <w:top w:w="0" w:type="dxa"/>
            <w:left w:w="108" w:type="dxa"/>
            <w:bottom w:w="0" w:type="dxa"/>
            <w:right w:w="108" w:type="dxa"/>
          </w:tblCellMar>
        </w:tblPrEx>
        <w:trPr>
          <w:trHeight w:val="575" w:hRule="atLeast"/>
          <w:jc w:val="center"/>
        </w:trPr>
        <w:tc>
          <w:tcPr>
            <w:tcW w:w="1662" w:type="dxa"/>
            <w:gridSpan w:val="2"/>
            <w:vAlign w:val="center"/>
          </w:tcPr>
          <w:p w14:paraId="3309603B">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2940" w:type="dxa"/>
            <w:gridSpan w:val="2"/>
            <w:vAlign w:val="center"/>
          </w:tcPr>
          <w:p w14:paraId="74FDE0BC">
            <w:pPr>
              <w:rPr>
                <w:rFonts w:hint="eastAsia" w:ascii="宋体" w:hAnsi="宋体" w:eastAsia="宋体" w:cs="宋体"/>
                <w:b/>
                <w:bCs/>
                <w:color w:val="000000"/>
                <w:sz w:val="24"/>
                <w:szCs w:val="21"/>
              </w:rPr>
            </w:pPr>
          </w:p>
        </w:tc>
        <w:tc>
          <w:tcPr>
            <w:tcW w:w="1679" w:type="dxa"/>
            <w:gridSpan w:val="2"/>
            <w:vAlign w:val="center"/>
          </w:tcPr>
          <w:p w14:paraId="13FABB71">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3740" w:type="dxa"/>
            <w:gridSpan w:val="2"/>
            <w:vAlign w:val="center"/>
          </w:tcPr>
          <w:p w14:paraId="0016B81D">
            <w:pPr>
              <w:ind w:left="-68" w:leftChars="-37" w:hanging="10" w:hangingChars="4"/>
              <w:rPr>
                <w:rFonts w:hint="eastAsia" w:ascii="宋体" w:hAnsi="宋体" w:eastAsia="宋体" w:cs="宋体"/>
                <w:b/>
                <w:bCs/>
                <w:color w:val="000000"/>
                <w:sz w:val="24"/>
                <w:szCs w:val="21"/>
              </w:rPr>
            </w:pPr>
          </w:p>
        </w:tc>
      </w:tr>
      <w:tr w14:paraId="16DE3375">
        <w:tblPrEx>
          <w:tblCellMar>
            <w:top w:w="0" w:type="dxa"/>
            <w:left w:w="108" w:type="dxa"/>
            <w:bottom w:w="0" w:type="dxa"/>
            <w:right w:w="108" w:type="dxa"/>
          </w:tblCellMar>
        </w:tblPrEx>
        <w:trPr>
          <w:trHeight w:val="603" w:hRule="atLeast"/>
          <w:jc w:val="center"/>
        </w:trPr>
        <w:tc>
          <w:tcPr>
            <w:tcW w:w="1662" w:type="dxa"/>
            <w:gridSpan w:val="2"/>
            <w:vAlign w:val="center"/>
          </w:tcPr>
          <w:p w14:paraId="10F8093F">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p>
        </w:tc>
        <w:tc>
          <w:tcPr>
            <w:tcW w:w="2940" w:type="dxa"/>
            <w:gridSpan w:val="2"/>
            <w:vAlign w:val="center"/>
          </w:tcPr>
          <w:p w14:paraId="1A13848F">
            <w:pPr>
              <w:rPr>
                <w:rFonts w:hint="eastAsia" w:ascii="宋体" w:hAnsi="宋体" w:eastAsia="宋体" w:cs="宋体"/>
                <w:b/>
                <w:bCs/>
                <w:color w:val="000000"/>
                <w:sz w:val="24"/>
                <w:szCs w:val="21"/>
              </w:rPr>
            </w:pPr>
          </w:p>
        </w:tc>
        <w:tc>
          <w:tcPr>
            <w:tcW w:w="1679" w:type="dxa"/>
            <w:gridSpan w:val="2"/>
            <w:vAlign w:val="center"/>
          </w:tcPr>
          <w:p w14:paraId="485FB399">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p>
        </w:tc>
        <w:tc>
          <w:tcPr>
            <w:tcW w:w="3740" w:type="dxa"/>
            <w:gridSpan w:val="2"/>
            <w:vAlign w:val="center"/>
          </w:tcPr>
          <w:p w14:paraId="7FC45150">
            <w:pPr>
              <w:ind w:left="-68" w:leftChars="-37" w:hanging="10" w:hangingChars="4"/>
              <w:rPr>
                <w:rFonts w:hint="eastAsia" w:ascii="宋体" w:hAnsi="宋体" w:eastAsia="宋体" w:cs="宋体"/>
                <w:b/>
                <w:bCs/>
                <w:color w:val="000000"/>
                <w:sz w:val="24"/>
                <w:szCs w:val="21"/>
              </w:rPr>
            </w:pPr>
          </w:p>
        </w:tc>
      </w:tr>
      <w:tr w14:paraId="482BD83B">
        <w:tblPrEx>
          <w:tblCellMar>
            <w:top w:w="0" w:type="dxa"/>
            <w:left w:w="108" w:type="dxa"/>
            <w:bottom w:w="0" w:type="dxa"/>
            <w:right w:w="108" w:type="dxa"/>
          </w:tblCellMar>
        </w:tblPrEx>
        <w:trPr>
          <w:trHeight w:val="438" w:hRule="atLeast"/>
          <w:jc w:val="center"/>
        </w:trPr>
        <w:tc>
          <w:tcPr>
            <w:tcW w:w="1379" w:type="dxa"/>
            <w:vAlign w:val="center"/>
          </w:tcPr>
          <w:p w14:paraId="17BC9914">
            <w:pPr>
              <w:ind w:right="-107" w:rightChars="-51"/>
              <w:rPr>
                <w:rFonts w:hint="eastAsia" w:ascii="宋体" w:hAnsi="宋体" w:eastAsia="宋体" w:cs="宋体"/>
                <w:color w:val="000000"/>
                <w:sz w:val="20"/>
                <w:szCs w:val="21"/>
              </w:rPr>
            </w:pPr>
            <w:r>
              <w:rPr>
                <w:rFonts w:hint="eastAsia" w:ascii="宋体" w:hAnsi="宋体" w:eastAsia="宋体" w:cs="宋体"/>
                <w:color w:val="000000"/>
                <w:sz w:val="24"/>
                <w:szCs w:val="24"/>
              </w:rPr>
              <w:t>电    话：</w:t>
            </w:r>
          </w:p>
        </w:tc>
        <w:tc>
          <w:tcPr>
            <w:tcW w:w="3223" w:type="dxa"/>
            <w:gridSpan w:val="3"/>
            <w:vAlign w:val="center"/>
          </w:tcPr>
          <w:p w14:paraId="1D5A816A">
            <w:pPr>
              <w:ind w:left="-63" w:leftChars="-30"/>
              <w:rPr>
                <w:rFonts w:hint="eastAsia" w:ascii="宋体" w:hAnsi="宋体" w:eastAsia="宋体" w:cs="宋体"/>
                <w:b/>
                <w:bCs/>
                <w:color w:val="000000"/>
                <w:sz w:val="24"/>
                <w:szCs w:val="21"/>
              </w:rPr>
            </w:pPr>
          </w:p>
        </w:tc>
        <w:tc>
          <w:tcPr>
            <w:tcW w:w="1414" w:type="dxa"/>
            <w:vAlign w:val="center"/>
          </w:tcPr>
          <w:p w14:paraId="624333EE">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tc>
        <w:tc>
          <w:tcPr>
            <w:tcW w:w="4005" w:type="dxa"/>
            <w:gridSpan w:val="3"/>
            <w:vAlign w:val="center"/>
          </w:tcPr>
          <w:p w14:paraId="181F6433">
            <w:pPr>
              <w:ind w:left="-63" w:leftChars="-30"/>
              <w:rPr>
                <w:rFonts w:hint="eastAsia" w:ascii="宋体" w:hAnsi="宋体" w:eastAsia="宋体" w:cs="宋体"/>
                <w:b/>
                <w:bCs/>
                <w:color w:val="000000"/>
                <w:sz w:val="24"/>
                <w:szCs w:val="21"/>
              </w:rPr>
            </w:pPr>
          </w:p>
        </w:tc>
      </w:tr>
      <w:tr w14:paraId="1B00027F">
        <w:tblPrEx>
          <w:tblCellMar>
            <w:top w:w="0" w:type="dxa"/>
            <w:left w:w="108" w:type="dxa"/>
            <w:bottom w:w="0" w:type="dxa"/>
            <w:right w:w="108" w:type="dxa"/>
          </w:tblCellMar>
        </w:tblPrEx>
        <w:trPr>
          <w:trHeight w:val="398" w:hRule="atLeast"/>
          <w:jc w:val="center"/>
        </w:trPr>
        <w:tc>
          <w:tcPr>
            <w:tcW w:w="1379" w:type="dxa"/>
            <w:vAlign w:val="center"/>
          </w:tcPr>
          <w:p w14:paraId="271C39A6">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tc>
        <w:tc>
          <w:tcPr>
            <w:tcW w:w="3223" w:type="dxa"/>
            <w:gridSpan w:val="3"/>
            <w:vAlign w:val="center"/>
          </w:tcPr>
          <w:p w14:paraId="0BC62D02">
            <w:pPr>
              <w:ind w:left="-63" w:leftChars="-30"/>
              <w:rPr>
                <w:rFonts w:hint="eastAsia" w:ascii="宋体" w:hAnsi="宋体" w:eastAsia="宋体" w:cs="宋体"/>
                <w:b/>
                <w:bCs/>
                <w:color w:val="000000"/>
                <w:sz w:val="24"/>
                <w:szCs w:val="21"/>
              </w:rPr>
            </w:pPr>
          </w:p>
        </w:tc>
        <w:tc>
          <w:tcPr>
            <w:tcW w:w="1414" w:type="dxa"/>
            <w:vAlign w:val="center"/>
          </w:tcPr>
          <w:p w14:paraId="02C1151A">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tc>
        <w:tc>
          <w:tcPr>
            <w:tcW w:w="4005" w:type="dxa"/>
            <w:gridSpan w:val="3"/>
            <w:vAlign w:val="center"/>
          </w:tcPr>
          <w:p w14:paraId="7C0A3BC5">
            <w:pPr>
              <w:ind w:left="-63" w:leftChars="-30"/>
              <w:rPr>
                <w:rFonts w:hint="eastAsia" w:ascii="宋体" w:hAnsi="宋体" w:eastAsia="宋体" w:cs="宋体"/>
                <w:b/>
                <w:bCs/>
                <w:color w:val="000000"/>
                <w:sz w:val="24"/>
                <w:szCs w:val="21"/>
              </w:rPr>
            </w:pPr>
          </w:p>
        </w:tc>
      </w:tr>
      <w:tr w14:paraId="21B67FC8">
        <w:tblPrEx>
          <w:tblCellMar>
            <w:top w:w="0" w:type="dxa"/>
            <w:left w:w="108" w:type="dxa"/>
            <w:bottom w:w="0" w:type="dxa"/>
            <w:right w:w="108" w:type="dxa"/>
          </w:tblCellMar>
        </w:tblPrEx>
        <w:trPr>
          <w:trHeight w:val="399" w:hRule="atLeast"/>
          <w:jc w:val="center"/>
        </w:trPr>
        <w:tc>
          <w:tcPr>
            <w:tcW w:w="1379" w:type="dxa"/>
            <w:vAlign w:val="center"/>
          </w:tcPr>
          <w:p w14:paraId="674692D4">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8"/>
                <w:szCs w:val="28"/>
              </w:rPr>
              <w:t>：</w:t>
            </w:r>
          </w:p>
        </w:tc>
        <w:tc>
          <w:tcPr>
            <w:tcW w:w="3223" w:type="dxa"/>
            <w:gridSpan w:val="3"/>
            <w:vAlign w:val="center"/>
          </w:tcPr>
          <w:p w14:paraId="10199F82">
            <w:pPr>
              <w:ind w:left="-63" w:leftChars="-30"/>
              <w:rPr>
                <w:rFonts w:hint="eastAsia" w:ascii="宋体" w:hAnsi="宋体" w:eastAsia="宋体" w:cs="宋体"/>
                <w:b/>
                <w:bCs/>
                <w:color w:val="000000"/>
                <w:sz w:val="24"/>
                <w:szCs w:val="21"/>
              </w:rPr>
            </w:pPr>
          </w:p>
        </w:tc>
        <w:tc>
          <w:tcPr>
            <w:tcW w:w="1414" w:type="dxa"/>
            <w:vAlign w:val="center"/>
          </w:tcPr>
          <w:p w14:paraId="7099E9A7">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8"/>
                <w:szCs w:val="28"/>
              </w:rPr>
              <w:t>：</w:t>
            </w:r>
          </w:p>
        </w:tc>
        <w:tc>
          <w:tcPr>
            <w:tcW w:w="4005" w:type="dxa"/>
            <w:gridSpan w:val="3"/>
            <w:vAlign w:val="center"/>
          </w:tcPr>
          <w:p w14:paraId="2CBAF35A">
            <w:pPr>
              <w:ind w:left="-63" w:leftChars="-30"/>
              <w:rPr>
                <w:rFonts w:hint="eastAsia" w:ascii="宋体" w:hAnsi="宋体" w:eastAsia="宋体" w:cs="宋体"/>
                <w:b/>
                <w:bCs/>
                <w:color w:val="000000"/>
                <w:sz w:val="24"/>
                <w:szCs w:val="21"/>
              </w:rPr>
            </w:pPr>
          </w:p>
        </w:tc>
      </w:tr>
      <w:tr w14:paraId="190E2ED4">
        <w:tblPrEx>
          <w:tblCellMar>
            <w:top w:w="0" w:type="dxa"/>
            <w:left w:w="108" w:type="dxa"/>
            <w:bottom w:w="0" w:type="dxa"/>
            <w:right w:w="108" w:type="dxa"/>
          </w:tblCellMar>
        </w:tblPrEx>
        <w:trPr>
          <w:trHeight w:val="869" w:hRule="atLeast"/>
          <w:jc w:val="center"/>
        </w:trPr>
        <w:tc>
          <w:tcPr>
            <w:tcW w:w="1379" w:type="dxa"/>
            <w:vAlign w:val="center"/>
          </w:tcPr>
          <w:p w14:paraId="7E5D9846">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c>
          <w:tcPr>
            <w:tcW w:w="3223" w:type="dxa"/>
            <w:gridSpan w:val="3"/>
            <w:vAlign w:val="center"/>
          </w:tcPr>
          <w:p w14:paraId="4B1C4969">
            <w:pPr>
              <w:spacing w:line="360" w:lineRule="exact"/>
              <w:ind w:left="-113" w:leftChars="-54"/>
              <w:rPr>
                <w:rFonts w:hint="eastAsia" w:ascii="宋体" w:hAnsi="宋体" w:eastAsia="宋体" w:cs="宋体"/>
                <w:color w:val="000000"/>
                <w:sz w:val="20"/>
                <w:szCs w:val="21"/>
              </w:rPr>
            </w:pPr>
          </w:p>
        </w:tc>
        <w:tc>
          <w:tcPr>
            <w:tcW w:w="1414" w:type="dxa"/>
            <w:vAlign w:val="center"/>
          </w:tcPr>
          <w:p w14:paraId="03ED024E">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c>
          <w:tcPr>
            <w:tcW w:w="4005" w:type="dxa"/>
            <w:gridSpan w:val="3"/>
            <w:vAlign w:val="center"/>
          </w:tcPr>
          <w:p w14:paraId="1B113A87">
            <w:pPr>
              <w:spacing w:line="360" w:lineRule="exact"/>
              <w:ind w:left="-113" w:leftChars="-54"/>
              <w:rPr>
                <w:rFonts w:hint="eastAsia" w:ascii="宋体" w:hAnsi="宋体" w:eastAsia="宋体" w:cs="宋体"/>
                <w:b/>
                <w:color w:val="000000"/>
                <w:sz w:val="24"/>
                <w:szCs w:val="21"/>
              </w:rPr>
            </w:pPr>
          </w:p>
        </w:tc>
      </w:tr>
      <w:tr w14:paraId="45EB075E">
        <w:tblPrEx>
          <w:tblCellMar>
            <w:top w:w="0" w:type="dxa"/>
            <w:left w:w="108" w:type="dxa"/>
            <w:bottom w:w="0" w:type="dxa"/>
            <w:right w:w="108" w:type="dxa"/>
          </w:tblCellMar>
        </w:tblPrEx>
        <w:trPr>
          <w:trHeight w:val="556" w:hRule="atLeast"/>
          <w:jc w:val="center"/>
        </w:trPr>
        <w:tc>
          <w:tcPr>
            <w:tcW w:w="1379" w:type="dxa"/>
            <w:vAlign w:val="center"/>
          </w:tcPr>
          <w:p w14:paraId="6B9C1AAF">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tc>
        <w:tc>
          <w:tcPr>
            <w:tcW w:w="3223" w:type="dxa"/>
            <w:gridSpan w:val="3"/>
            <w:vAlign w:val="center"/>
          </w:tcPr>
          <w:p w14:paraId="3479B446">
            <w:pPr>
              <w:ind w:left="-67" w:leftChars="-32"/>
              <w:rPr>
                <w:rFonts w:hint="eastAsia" w:ascii="宋体" w:hAnsi="宋体" w:eastAsia="宋体" w:cs="宋体"/>
                <w:b/>
                <w:bCs/>
                <w:color w:val="000000"/>
                <w:sz w:val="24"/>
                <w:szCs w:val="21"/>
              </w:rPr>
            </w:pPr>
          </w:p>
        </w:tc>
        <w:tc>
          <w:tcPr>
            <w:tcW w:w="1414" w:type="dxa"/>
            <w:vAlign w:val="center"/>
          </w:tcPr>
          <w:p w14:paraId="52E07F14">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tc>
        <w:tc>
          <w:tcPr>
            <w:tcW w:w="4005" w:type="dxa"/>
            <w:gridSpan w:val="3"/>
            <w:vAlign w:val="center"/>
          </w:tcPr>
          <w:p w14:paraId="2462585C">
            <w:pPr>
              <w:ind w:left="-67" w:leftChars="-32"/>
              <w:rPr>
                <w:rFonts w:hint="eastAsia" w:ascii="宋体" w:hAnsi="宋体" w:eastAsia="宋体" w:cs="宋体"/>
                <w:b/>
                <w:bCs/>
                <w:color w:val="000000"/>
                <w:sz w:val="24"/>
                <w:szCs w:val="21"/>
              </w:rPr>
            </w:pPr>
          </w:p>
        </w:tc>
      </w:tr>
    </w:tbl>
    <w:p w14:paraId="7FAFD4C3">
      <w:pPr>
        <w:pStyle w:val="5"/>
        <w:jc w:val="center"/>
        <w:rPr>
          <w:rFonts w:hint="eastAsia" w:ascii="宋体" w:hAnsi="宋体" w:eastAsia="宋体" w:cs="宋体"/>
          <w:color w:val="000000"/>
          <w:sz w:val="40"/>
          <w:szCs w:val="40"/>
        </w:rPr>
      </w:pPr>
      <w:r>
        <w:rPr>
          <w:rFonts w:hint="eastAsia" w:ascii="宋体" w:hAnsi="宋体" w:eastAsia="宋体" w:cs="宋体"/>
          <w:color w:val="000000"/>
          <w:sz w:val="28"/>
          <w:szCs w:val="28"/>
        </w:rPr>
        <w:br w:type="page"/>
      </w:r>
      <w:bookmarkStart w:id="88" w:name="_Toc375060709"/>
      <w:bookmarkStart w:id="89" w:name="_Toc375060645"/>
      <w:r>
        <w:rPr>
          <w:rFonts w:hint="eastAsia" w:ascii="宋体" w:hAnsi="宋体" w:eastAsia="宋体" w:cs="宋体"/>
          <w:b w:val="0"/>
          <w:color w:val="000000"/>
          <w:sz w:val="40"/>
          <w:szCs w:val="40"/>
        </w:rPr>
        <w:t>第二部分 通用合同条款</w:t>
      </w:r>
      <w:bookmarkEnd w:id="88"/>
      <w:bookmarkEnd w:id="89"/>
      <w:bookmarkStart w:id="90" w:name="_Toc337558727"/>
    </w:p>
    <w:p w14:paraId="05286949">
      <w:pPr>
        <w:pStyle w:val="8"/>
        <w:spacing w:line="490" w:lineRule="exact"/>
        <w:rPr>
          <w:rFonts w:hint="eastAsia" w:ascii="宋体" w:hAnsi="宋体" w:eastAsia="宋体" w:cs="宋体"/>
          <w:b w:val="0"/>
          <w:color w:val="000000"/>
          <w:sz w:val="24"/>
          <w:szCs w:val="24"/>
        </w:rPr>
      </w:pPr>
      <w:bookmarkStart w:id="91" w:name="_Toc375060710"/>
      <w:r>
        <w:rPr>
          <w:rFonts w:hint="eastAsia" w:ascii="宋体" w:hAnsi="宋体" w:eastAsia="宋体" w:cs="宋体"/>
          <w:b w:val="0"/>
          <w:color w:val="000000"/>
          <w:sz w:val="24"/>
          <w:szCs w:val="24"/>
        </w:rPr>
        <w:t>1.</w:t>
      </w:r>
      <w:bookmarkStart w:id="92" w:name="_Toc303538972"/>
      <w:bookmarkEnd w:id="92"/>
      <w:bookmarkStart w:id="93" w:name="_Toc303538975"/>
      <w:bookmarkEnd w:id="93"/>
      <w:bookmarkStart w:id="94" w:name="_Toc303538976"/>
      <w:bookmarkEnd w:id="94"/>
      <w:bookmarkStart w:id="95" w:name="_Toc303538974"/>
      <w:bookmarkEnd w:id="95"/>
      <w:bookmarkStart w:id="96" w:name="_Toc303538973"/>
      <w:bookmarkEnd w:id="96"/>
      <w:bookmarkStart w:id="97" w:name="_Toc296503027"/>
      <w:bookmarkStart w:id="98" w:name="_Toc296346528"/>
      <w:r>
        <w:rPr>
          <w:rFonts w:hint="eastAsia" w:ascii="宋体" w:hAnsi="宋体" w:eastAsia="宋体" w:cs="宋体"/>
          <w:b w:val="0"/>
          <w:color w:val="000000"/>
          <w:sz w:val="24"/>
          <w:szCs w:val="24"/>
        </w:rPr>
        <w:t xml:space="preserve"> 一般约定</w:t>
      </w:r>
      <w:bookmarkEnd w:id="90"/>
      <w:bookmarkEnd w:id="91"/>
      <w:bookmarkEnd w:id="97"/>
      <w:bookmarkEnd w:id="98"/>
    </w:p>
    <w:p w14:paraId="4BA47B4F">
      <w:pPr>
        <w:pStyle w:val="9"/>
        <w:spacing w:line="490" w:lineRule="exact"/>
        <w:ind w:firstLine="440" w:firstLineChars="200"/>
        <w:rPr>
          <w:rFonts w:hint="eastAsia" w:ascii="宋体" w:hAnsi="宋体" w:eastAsia="宋体" w:cs="宋体"/>
          <w:b w:val="0"/>
          <w:color w:val="000000"/>
          <w:sz w:val="22"/>
          <w:szCs w:val="18"/>
        </w:rPr>
      </w:pPr>
      <w:bookmarkStart w:id="99" w:name="_Toc296503028"/>
      <w:bookmarkStart w:id="100" w:name="_Toc337558728"/>
      <w:bookmarkStart w:id="101" w:name="_Toc296346529"/>
      <w:bookmarkStart w:id="102" w:name="_Toc375060711"/>
      <w:r>
        <w:rPr>
          <w:rFonts w:hint="eastAsia" w:ascii="宋体" w:hAnsi="宋体" w:eastAsia="宋体" w:cs="宋体"/>
          <w:b w:val="0"/>
          <w:color w:val="000000"/>
          <w:sz w:val="22"/>
          <w:szCs w:val="18"/>
        </w:rPr>
        <w:t>1.1词语定义</w:t>
      </w:r>
      <w:bookmarkEnd w:id="99"/>
      <w:bookmarkEnd w:id="100"/>
      <w:bookmarkEnd w:id="101"/>
      <w:r>
        <w:rPr>
          <w:rFonts w:hint="eastAsia" w:ascii="宋体" w:hAnsi="宋体" w:eastAsia="宋体" w:cs="宋体"/>
          <w:b w:val="0"/>
          <w:color w:val="000000"/>
          <w:sz w:val="22"/>
          <w:szCs w:val="18"/>
        </w:rPr>
        <w:t>与解释</w:t>
      </w:r>
      <w:bookmarkEnd w:id="102"/>
    </w:p>
    <w:p w14:paraId="7591C8B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合同协议书、通用合同条款、专用合同条款中的下列词语具有本款所赋予的含义：</w:t>
      </w:r>
    </w:p>
    <w:p w14:paraId="0389318D">
      <w:pPr>
        <w:autoSpaceDE w:val="0"/>
        <w:autoSpaceDN w:val="0"/>
        <w:adjustRightInd w:val="0"/>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1.1.1 合同</w:t>
      </w:r>
    </w:p>
    <w:p w14:paraId="341D98C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、通用合同条款、技术标准和要求、图纸、已标价工程量清单或预算书以及其他合同文件。</w:t>
      </w:r>
    </w:p>
    <w:p w14:paraId="405A578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合同协议书：是指构成合同的由发包人和承包人共同签署的称为“合同协议书”的书面文件。</w:t>
      </w:r>
    </w:p>
    <w:p w14:paraId="2D4175A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中标通知书：是指构成合同的由发包人通知承包人中标的书面文件。</w:t>
      </w:r>
    </w:p>
    <w:p w14:paraId="7DF4355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投标函：是指构成合同的由承包人填写并签署的用于投标的称为“投标函”的文件。</w:t>
      </w:r>
    </w:p>
    <w:p w14:paraId="2A77809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1.1.1.5 投标函附录：是指构成合同的附在投标函后的称为“投标函附录”的文件。</w:t>
      </w:r>
    </w:p>
    <w:p w14:paraId="799E67C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1.1.1.6 技术标准和要求：是指构成合同的施工应当遵守的或指导施工的国家、行业或地方的技术标准和要求，以及合同约定的技术标准和要求。</w:t>
      </w:r>
    </w:p>
    <w:p w14:paraId="7FBB062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7DFE04D7">
      <w:pPr>
        <w:autoSpaceDE w:val="0"/>
        <w:autoSpaceDN w:val="0"/>
        <w:adjustRightInd w:val="0"/>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1.1.1.8 已标价工程量清单：是指构成合同的由承包人按照规定的格式和要求填写并标明价格的工程量清单，包括说明和表格。</w:t>
      </w:r>
    </w:p>
    <w:p w14:paraId="4E6BB0C8">
      <w:pPr>
        <w:autoSpaceDE w:val="0"/>
        <w:autoSpaceDN w:val="0"/>
        <w:adjustRightInd w:val="0"/>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 预算书：是指构成合同的由承包人按照发包人规定的格式和要求编制的工程预算文件。</w:t>
      </w:r>
    </w:p>
    <w:p w14:paraId="74C160E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 其他合同文件：是指经合同当事人约定的与工程施工有关的具有合同约束力的文件或书面协议。合同当事人可以在专用合同条款中进行约定。</w:t>
      </w:r>
    </w:p>
    <w:p w14:paraId="029762DF">
      <w:pPr>
        <w:autoSpaceDE w:val="0"/>
        <w:autoSpaceDN w:val="0"/>
        <w:adjustRightInd w:val="0"/>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1.1.2 合同当事人及其他相关方</w:t>
      </w:r>
    </w:p>
    <w:p w14:paraId="4732D06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1.1.2.1 合同当事人：是指发包人和（或）承包人。</w:t>
      </w:r>
    </w:p>
    <w:p w14:paraId="4FFB97B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 发包人：是指与承包人签订合同协议书的当事人及取得该当事人资格的合法继承人。</w:t>
      </w:r>
    </w:p>
    <w:p w14:paraId="47B974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1.1.2.3 承包人：是指与发包人签订合同协议书的，具有相应工程施工承包资质的当事人及取得该当事人资格的合法继承人。</w:t>
      </w:r>
    </w:p>
    <w:p w14:paraId="51E3935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1.1.2.4 监理人：是指在专用合同条款中指明的，受发包人委托按照法律规定进行工程监督管理的法人或其他组织。</w:t>
      </w:r>
    </w:p>
    <w:p w14:paraId="158B626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1.1.2.5 设计人：是指在专用合同条款中指明的，受发包人委托负责工程设计并具备相应工程设计资质的法人或其他组织。</w:t>
      </w:r>
    </w:p>
    <w:p w14:paraId="2F56E4D3">
      <w:pPr>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1.1.2.6 分包人：</w:t>
      </w:r>
      <w:bookmarkStart w:id="103" w:name="#go5"/>
      <w:bookmarkEnd w:id="103"/>
      <w:r>
        <w:rPr>
          <w:rFonts w:hint="eastAsia" w:ascii="宋体" w:hAnsi="宋体" w:eastAsia="宋体" w:cs="宋体"/>
          <w:color w:val="000000"/>
          <w:kern w:val="0"/>
          <w:sz w:val="24"/>
          <w:szCs w:val="24"/>
        </w:rPr>
        <w:t>是指按照法律规定和合同约定，分包部分工程或工作，并与承包人签订分包合同的具有相应资质的法人。</w:t>
      </w:r>
    </w:p>
    <w:p w14:paraId="6F13EA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1.1.2.7 发包人代表：是指由发包人任命并派驻施工现场在发包人授权范围内行使发包人权利的人。</w:t>
      </w:r>
    </w:p>
    <w:p w14:paraId="2C0AB1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1.1.2.8 项目经理：是指由承包人任命并派驻施工现场，在承包人授权范围内负责合同履行，且按照法律规定具有相应资格的项目负责人。</w:t>
      </w:r>
    </w:p>
    <w:p w14:paraId="3D5A3E8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1.1.2.9 总监理工程师：是指由监理人任命并派驻施工现场进行工程监理的总负责人。</w:t>
      </w:r>
    </w:p>
    <w:p w14:paraId="2184EBC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 工程和设备</w:t>
      </w:r>
    </w:p>
    <w:p w14:paraId="48F9463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工程：是指与合同协议书中工程承包范围对应的永久工程和（或）临时工程。</w:t>
      </w:r>
    </w:p>
    <w:p w14:paraId="1ED1825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1.1.3.2 永久工程：是指按合同约定建造并移交给发包人的工程，包括工程设备。</w:t>
      </w:r>
    </w:p>
    <w:p w14:paraId="2AFAB8E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1.1.3.3 临时工程：是指为完成合同约定的永久工程所修建的各类临时性工程，不包括施工设备。</w:t>
      </w:r>
    </w:p>
    <w:p w14:paraId="550E45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 单位工程：是指在合同协议书中指明的，具备独立施工条件并能形成独立使用功能的永久工程。</w:t>
      </w:r>
    </w:p>
    <w:p w14:paraId="6758B81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1.1.3.5 工程设备：是指构成永久工程的机电设备、金属结构设备、仪器及其他类似的设备和装置。</w:t>
      </w:r>
    </w:p>
    <w:p w14:paraId="5504359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1.1.3.6 施工设备：是指为完成合同约定的各项工作所需的设备、器具和其他物品，但不包括工程设备、临时工程和材料。</w:t>
      </w:r>
    </w:p>
    <w:p w14:paraId="4F47E3A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1.1.3.7 施工现场：是指用于工程施工的场所，以及在专用合同条款中指明作为施工场所组成部分的其他场所，包括永久占地和临时占地。</w:t>
      </w:r>
    </w:p>
    <w:p w14:paraId="10E0DAF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 临时设施：是指为完成合同约定的各项工作所服务的临时性生产和生活设施。</w:t>
      </w:r>
    </w:p>
    <w:p w14:paraId="7F94ACC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永久占地：是指专用合同条款中指明为实施工程需永久占用的土地。</w:t>
      </w:r>
    </w:p>
    <w:p w14:paraId="7646A8B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1.1.3.10 临时占地：是指专用合同条款中指明为实施工程需要临时占用的土地。</w:t>
      </w:r>
    </w:p>
    <w:p w14:paraId="48CA6A2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 日期和期限</w:t>
      </w:r>
    </w:p>
    <w:p w14:paraId="00778C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CD4107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1.1.4.2 竣工日期：包括计划竣工日期和实际竣工日期。计划竣工日期是指合同协议书约定的竣工日期；实际竣工日期按照第13.2.3项〔竣工日期〕的约定确定。 </w:t>
      </w:r>
    </w:p>
    <w:p w14:paraId="3C9FD476">
      <w:pPr>
        <w:spacing w:line="490" w:lineRule="exact"/>
        <w:ind w:firstLine="487" w:firstLineChars="203"/>
        <w:rPr>
          <w:rFonts w:hint="eastAsia" w:ascii="宋体" w:hAnsi="宋体" w:eastAsia="宋体" w:cs="宋体"/>
          <w:color w:val="000000"/>
          <w:sz w:val="24"/>
          <w:szCs w:val="24"/>
        </w:rPr>
      </w:pPr>
      <w:r>
        <w:rPr>
          <w:rFonts w:hint="eastAsia" w:ascii="宋体" w:hAnsi="宋体" w:eastAsia="宋体" w:cs="宋体"/>
          <w:color w:val="000000"/>
          <w:kern w:val="0"/>
          <w:sz w:val="24"/>
          <w:szCs w:val="24"/>
        </w:rPr>
        <w:t>1.1.4.3 工期：是指在合同协议书约定的承包人完成工程所需的期限，包括按照合同约定所作的期限变更。</w:t>
      </w:r>
    </w:p>
    <w:p w14:paraId="11F682C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1.1.4.4 缺陷责任期：是指承包人按照合同约定承担缺陷修复义务，且发包人预留质量保证金（已缴纳履约保证金的除外）的期限，自工程实际竣工日期起计算。</w:t>
      </w:r>
    </w:p>
    <w:p w14:paraId="4EBD367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1.1.4.5 保修期：是指承包人按照合同约定对工程承担保修责任的期限，从工程竣工验收合格之日起计算。</w:t>
      </w:r>
    </w:p>
    <w:p w14:paraId="5032BF5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1.1.4.6 基准日期：招标发包的工程以投标截止日前28天的日期为基准日期，直接发包的工程以合同签订日前28天的日期为基准日期。</w:t>
      </w:r>
    </w:p>
    <w:p w14:paraId="086170B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 天：除特别指明外，均指日历天。合同中按天计算时间的，开始当天不计入，从次日开始计算，期限最后一天的截止时间为当天24∶00时。</w:t>
      </w:r>
    </w:p>
    <w:p w14:paraId="2685534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 合同价格和费用</w:t>
      </w:r>
    </w:p>
    <w:p w14:paraId="34521952">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1.1.5.1 签约合同价：是指</w:t>
      </w:r>
      <w:r>
        <w:rPr>
          <w:rFonts w:hint="eastAsia" w:ascii="宋体" w:hAnsi="宋体" w:eastAsia="宋体" w:cs="宋体"/>
          <w:color w:val="000000"/>
          <w:sz w:val="24"/>
          <w:szCs w:val="24"/>
        </w:rPr>
        <w:t>发包人和承包人在合同协议书中确定的总金额，包括安全文明施工费、暂估价及暂列金额等。</w:t>
      </w:r>
    </w:p>
    <w:p w14:paraId="4CEA323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1.1.5.2 合同价格：是指发包人用于支付承包人按照合同约定完成承包范围内全部工作的金额，包括合同履行过程中按合同约定发生的价格变化。</w:t>
      </w:r>
    </w:p>
    <w:p w14:paraId="03DC3C7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1.1.5.3 费用：是指为履行合同所发生的或将要发生的所有必需的开支，包括管理费和应分摊的其他费用，但不包括利润。</w:t>
      </w:r>
    </w:p>
    <w:p w14:paraId="05D7D0C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14:paraId="1679F2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B9C0BD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1.1.5.6 计日工：是指合同履行过程中，承包人完成发包人提出的零星工作或需要采用计日工计价的变更工作时，按合同中约定的单价计价的一种方式。</w:t>
      </w:r>
    </w:p>
    <w:p w14:paraId="2474EF4E">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1.1.5.7 质量保证金</w:t>
      </w:r>
      <w:bookmarkStart w:id="104" w:name="#go2"/>
      <w:bookmarkEnd w:id="104"/>
      <w:r>
        <w:rPr>
          <w:rFonts w:hint="eastAsia" w:ascii="宋体" w:hAnsi="宋体" w:eastAsia="宋体" w:cs="宋体"/>
          <w:color w:val="000000"/>
          <w:kern w:val="0"/>
          <w:sz w:val="24"/>
          <w:szCs w:val="24"/>
        </w:rPr>
        <w:t>：是指按照第15.3款〔质量保证金〕约定承包人用于保证其在缺陷责任期内履行缺陷修补义务的担保</w:t>
      </w:r>
      <w:r>
        <w:rPr>
          <w:rFonts w:hint="eastAsia" w:ascii="宋体" w:hAnsi="宋体" w:eastAsia="宋体" w:cs="宋体"/>
          <w:color w:val="000000"/>
          <w:sz w:val="24"/>
          <w:szCs w:val="24"/>
        </w:rPr>
        <w:t>。</w:t>
      </w:r>
    </w:p>
    <w:p w14:paraId="5311E0A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1.1.5.8 总价项目：是指在现行国家、行业以及地方的计量规则中无工程量计算规则，在已标价工程量清单或预算书中以总价或以费率形式计算的项目。</w:t>
      </w:r>
    </w:p>
    <w:p w14:paraId="346ABD91">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 其他</w:t>
      </w:r>
    </w:p>
    <w:p w14:paraId="34ACB3A1">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1.1.6.1 书面形式：是指合同文件、信函、电报、传真等可以有形地表现所载内容的形式。</w:t>
      </w:r>
    </w:p>
    <w:p w14:paraId="3642D208">
      <w:pPr>
        <w:pStyle w:val="9"/>
        <w:spacing w:line="490" w:lineRule="exact"/>
        <w:rPr>
          <w:rFonts w:hint="eastAsia" w:ascii="宋体" w:hAnsi="宋体" w:eastAsia="宋体" w:cs="宋体"/>
          <w:b w:val="0"/>
          <w:color w:val="000000"/>
          <w:sz w:val="22"/>
          <w:szCs w:val="18"/>
        </w:rPr>
      </w:pPr>
      <w:r>
        <w:rPr>
          <w:rFonts w:hint="eastAsia" w:ascii="宋体" w:hAnsi="宋体" w:eastAsia="宋体" w:cs="宋体"/>
          <w:b w:val="0"/>
          <w:color w:val="000000"/>
          <w:sz w:val="22"/>
          <w:szCs w:val="18"/>
        </w:rPr>
        <w:t xml:space="preserve">    </w:t>
      </w:r>
      <w:bookmarkStart w:id="105" w:name="_Toc296503029"/>
      <w:bookmarkStart w:id="106" w:name="_Toc296346530"/>
      <w:bookmarkStart w:id="107" w:name="_Toc337558729"/>
      <w:bookmarkStart w:id="108" w:name="_Toc375060712"/>
      <w:r>
        <w:rPr>
          <w:rFonts w:hint="eastAsia" w:ascii="宋体" w:hAnsi="宋体" w:eastAsia="宋体" w:cs="宋体"/>
          <w:b w:val="0"/>
          <w:color w:val="000000"/>
          <w:sz w:val="22"/>
          <w:szCs w:val="18"/>
        </w:rPr>
        <w:t>1.2语言文字</w:t>
      </w:r>
      <w:bookmarkEnd w:id="105"/>
      <w:bookmarkEnd w:id="106"/>
      <w:bookmarkEnd w:id="107"/>
      <w:bookmarkEnd w:id="108"/>
    </w:p>
    <w:p w14:paraId="2AB137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合同以中国的汉语简体文字编写、解释和说明。合同当事人在专用合同条款中约定使用两种以上语言时，汉语为优先解释和说明合同的语言。</w:t>
      </w:r>
    </w:p>
    <w:p w14:paraId="52B6D41A">
      <w:pPr>
        <w:pStyle w:val="9"/>
        <w:spacing w:line="490" w:lineRule="exact"/>
        <w:ind w:firstLine="440" w:firstLineChars="200"/>
        <w:rPr>
          <w:rFonts w:hint="eastAsia" w:ascii="宋体" w:hAnsi="宋体" w:eastAsia="宋体" w:cs="宋体"/>
          <w:b w:val="0"/>
          <w:color w:val="000000"/>
          <w:sz w:val="22"/>
          <w:szCs w:val="18"/>
        </w:rPr>
      </w:pPr>
      <w:bookmarkStart w:id="109" w:name="_Toc296503030"/>
      <w:bookmarkStart w:id="110" w:name="_Toc296346531"/>
      <w:bookmarkStart w:id="111" w:name="_Toc375060713"/>
      <w:bookmarkStart w:id="112" w:name="_Toc337558730"/>
      <w:r>
        <w:rPr>
          <w:rFonts w:hint="eastAsia" w:ascii="宋体" w:hAnsi="宋体" w:eastAsia="宋体" w:cs="宋体"/>
          <w:b w:val="0"/>
          <w:color w:val="000000"/>
          <w:sz w:val="22"/>
          <w:szCs w:val="18"/>
        </w:rPr>
        <w:t>1.3法律</w:t>
      </w:r>
      <w:bookmarkEnd w:id="109"/>
      <w:bookmarkEnd w:id="110"/>
      <w:bookmarkEnd w:id="111"/>
      <w:bookmarkEnd w:id="112"/>
    </w:p>
    <w:p w14:paraId="4B1032D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合同所称法律是指中华人民共和国法律、行政法规、部门规章，以及工程所在地的地方性法规、自治条例、单行条例和地方政府规章等。</w:t>
      </w:r>
    </w:p>
    <w:p w14:paraId="585E153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合同当事人可以在专用合同条款中约定合同适用的其他规范性文件。</w:t>
      </w:r>
    </w:p>
    <w:p w14:paraId="4422EF3A">
      <w:pPr>
        <w:pStyle w:val="9"/>
        <w:spacing w:line="490" w:lineRule="exact"/>
        <w:ind w:firstLine="440" w:firstLineChars="200"/>
        <w:rPr>
          <w:rFonts w:hint="eastAsia" w:ascii="宋体" w:hAnsi="宋体" w:eastAsia="宋体" w:cs="宋体"/>
          <w:b w:val="0"/>
          <w:color w:val="000000"/>
          <w:sz w:val="22"/>
          <w:szCs w:val="18"/>
        </w:rPr>
      </w:pPr>
      <w:bookmarkStart w:id="113" w:name="_Toc375060714"/>
      <w:r>
        <w:rPr>
          <w:rFonts w:hint="eastAsia" w:ascii="宋体" w:hAnsi="宋体" w:eastAsia="宋体" w:cs="宋体"/>
          <w:b w:val="0"/>
          <w:color w:val="000000"/>
          <w:sz w:val="22"/>
          <w:szCs w:val="18"/>
        </w:rPr>
        <w:t>1.4 标准和规范</w:t>
      </w:r>
      <w:bookmarkEnd w:id="113"/>
    </w:p>
    <w:p w14:paraId="7BAB0228">
      <w:pPr>
        <w:autoSpaceDE w:val="0"/>
        <w:autoSpaceDN w:val="0"/>
        <w:adjustRightInd w:val="0"/>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 适用于工程的国家标准、行业标准、工程所在地的地方性标准，以及相应的规范、规程等，合同当事人有特别要求的，应在专用合同条款中约定。</w:t>
      </w:r>
    </w:p>
    <w:p w14:paraId="5E0C46E9">
      <w:pPr>
        <w:autoSpaceDE w:val="0"/>
        <w:autoSpaceDN w:val="0"/>
        <w:adjustRightInd w:val="0"/>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发包人要求使用国外标准、规范的，发包人负责提供原文版本和中文译本，并在专用合同条款中约定提供标准规范的名称、份数和时间。</w:t>
      </w:r>
    </w:p>
    <w:p w14:paraId="7D1CBEB7">
      <w:pPr>
        <w:autoSpaceDE w:val="0"/>
        <w:autoSpaceDN w:val="0"/>
        <w:adjustRightInd w:val="0"/>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6C544E2">
      <w:pPr>
        <w:pStyle w:val="9"/>
        <w:spacing w:line="490" w:lineRule="exact"/>
        <w:ind w:firstLine="440" w:firstLineChars="200"/>
        <w:rPr>
          <w:rFonts w:hint="eastAsia" w:ascii="宋体" w:hAnsi="宋体" w:eastAsia="宋体" w:cs="宋体"/>
          <w:b w:val="0"/>
          <w:color w:val="000000"/>
          <w:sz w:val="22"/>
          <w:szCs w:val="18"/>
        </w:rPr>
      </w:pPr>
      <w:bookmarkStart w:id="114" w:name="_Toc375060715"/>
      <w:r>
        <w:rPr>
          <w:rFonts w:hint="eastAsia" w:ascii="宋体" w:hAnsi="宋体" w:eastAsia="宋体" w:cs="宋体"/>
          <w:b w:val="0"/>
          <w:color w:val="000000"/>
          <w:sz w:val="22"/>
          <w:szCs w:val="18"/>
        </w:rPr>
        <w:t>1</w:t>
      </w:r>
      <w:bookmarkStart w:id="115" w:name="_Toc337558731"/>
      <w:bookmarkStart w:id="116" w:name="_Toc296346532"/>
      <w:bookmarkStart w:id="117" w:name="_Toc296503031"/>
      <w:r>
        <w:rPr>
          <w:rFonts w:hint="eastAsia" w:ascii="宋体" w:hAnsi="宋体" w:eastAsia="宋体" w:cs="宋体"/>
          <w:b w:val="0"/>
          <w:color w:val="000000"/>
          <w:sz w:val="22"/>
          <w:szCs w:val="18"/>
        </w:rPr>
        <w:t>.5 合同文件的优先顺序</w:t>
      </w:r>
      <w:bookmarkEnd w:id="114"/>
    </w:p>
    <w:bookmarkEnd w:id="115"/>
    <w:bookmarkEnd w:id="116"/>
    <w:bookmarkEnd w:id="117"/>
    <w:p w14:paraId="1800E54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组成合同的各项文件应互相解释，互为说明。除专用合同条款另有约定外，解释合同文件的优先顺序如下：</w:t>
      </w:r>
    </w:p>
    <w:p w14:paraId="47A8FD2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（1）合同协议书；</w:t>
      </w:r>
    </w:p>
    <w:p w14:paraId="3E104E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（2）中标通知书（如果有）；</w:t>
      </w:r>
    </w:p>
    <w:p w14:paraId="7F3A555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（3）投标函及其附录（如果有）；</w:t>
      </w:r>
    </w:p>
    <w:p w14:paraId="18B653E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w:t>
      </w:r>
    </w:p>
    <w:p w14:paraId="077B5F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（5）通用合同条款；</w:t>
      </w:r>
    </w:p>
    <w:p w14:paraId="7C3E85E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（6）技术标准和要求；</w:t>
      </w:r>
    </w:p>
    <w:p w14:paraId="159C80D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（7）图纸；</w:t>
      </w:r>
    </w:p>
    <w:p w14:paraId="49D1AC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（8）已标价工程量清单或预算书；</w:t>
      </w:r>
    </w:p>
    <w:p w14:paraId="58882A4B">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（9）其他合同文件。</w:t>
      </w:r>
    </w:p>
    <w:p w14:paraId="30154787">
      <w:pPr>
        <w:spacing w:line="490" w:lineRule="exact"/>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w:t>
      </w:r>
    </w:p>
    <w:p w14:paraId="6BF1F89C">
      <w:pPr>
        <w:spacing w:line="490" w:lineRule="exact"/>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在合同订立及履行过程中形成的与合同有关的文件均构成合同文件组成部分，并根据其性质确定优先解释顺序。</w:t>
      </w:r>
    </w:p>
    <w:p w14:paraId="377E5A10">
      <w:pPr>
        <w:pStyle w:val="9"/>
        <w:spacing w:line="490" w:lineRule="exact"/>
        <w:ind w:firstLine="440" w:firstLineChars="200"/>
        <w:rPr>
          <w:rFonts w:hint="eastAsia" w:ascii="宋体" w:hAnsi="宋体" w:eastAsia="宋体" w:cs="宋体"/>
          <w:b w:val="0"/>
          <w:color w:val="000000"/>
          <w:sz w:val="22"/>
          <w:szCs w:val="18"/>
        </w:rPr>
      </w:pPr>
      <w:bookmarkStart w:id="118" w:name="_Toc375060716"/>
      <w:r>
        <w:rPr>
          <w:rFonts w:hint="eastAsia" w:ascii="宋体" w:hAnsi="宋体" w:eastAsia="宋体" w:cs="宋体"/>
          <w:b w:val="0"/>
          <w:color w:val="000000"/>
          <w:sz w:val="22"/>
          <w:szCs w:val="18"/>
        </w:rPr>
        <w:t>1</w:t>
      </w:r>
      <w:bookmarkStart w:id="119" w:name="_Toc296346533"/>
      <w:bookmarkStart w:id="120" w:name="_Toc337558732"/>
      <w:bookmarkStart w:id="121" w:name="_Toc296503032"/>
      <w:r>
        <w:rPr>
          <w:rFonts w:hint="eastAsia" w:ascii="宋体" w:hAnsi="宋体" w:eastAsia="宋体" w:cs="宋体"/>
          <w:b w:val="0"/>
          <w:color w:val="000000"/>
          <w:sz w:val="22"/>
          <w:szCs w:val="18"/>
        </w:rPr>
        <w:t>.6图纸和承包人文件</w:t>
      </w:r>
      <w:bookmarkEnd w:id="118"/>
    </w:p>
    <w:bookmarkEnd w:id="119"/>
    <w:bookmarkEnd w:id="120"/>
    <w:bookmarkEnd w:id="121"/>
    <w:p w14:paraId="1F536EA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 图纸的提供和交底</w:t>
      </w:r>
    </w:p>
    <w:p w14:paraId="33C07C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56B3FE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因发包人未按合同约定提供图纸导致承包人费用增加和（或）工期延误的，按照第7.5.1项〔因发包人原因导致工期延误〕约定办理。</w:t>
      </w:r>
    </w:p>
    <w:p w14:paraId="381738A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 图纸的错误</w:t>
      </w:r>
    </w:p>
    <w:p w14:paraId="46085E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AEC0C1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 图纸的修改和补充</w:t>
      </w:r>
    </w:p>
    <w:p w14:paraId="29535E7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25B376A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 承包人文件</w:t>
      </w:r>
    </w:p>
    <w:p w14:paraId="0E793E4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14:paraId="1ACA9AB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E95EDD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 图纸和承包人文件的保管</w:t>
      </w:r>
    </w:p>
    <w:p w14:paraId="241420B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除专用合同条款另有约定外，承包人应在施工现场另外保存一套完整的图纸和承包人文件，供发包人、监理人及有关人员进行工程检查时使用。</w:t>
      </w:r>
    </w:p>
    <w:p w14:paraId="424DFE0B">
      <w:pPr>
        <w:pStyle w:val="9"/>
        <w:spacing w:line="490" w:lineRule="exact"/>
        <w:ind w:firstLine="440" w:firstLineChars="200"/>
        <w:rPr>
          <w:rFonts w:hint="eastAsia" w:ascii="宋体" w:hAnsi="宋体" w:eastAsia="宋体" w:cs="宋体"/>
          <w:b w:val="0"/>
          <w:color w:val="000000"/>
          <w:sz w:val="22"/>
          <w:szCs w:val="18"/>
        </w:rPr>
      </w:pPr>
      <w:bookmarkStart w:id="122" w:name="_Toc375060717"/>
      <w:r>
        <w:rPr>
          <w:rFonts w:hint="eastAsia" w:ascii="宋体" w:hAnsi="宋体" w:eastAsia="宋体" w:cs="宋体"/>
          <w:b w:val="0"/>
          <w:color w:val="000000"/>
          <w:sz w:val="22"/>
          <w:szCs w:val="18"/>
        </w:rPr>
        <w:t>1</w:t>
      </w:r>
      <w:bookmarkStart w:id="123" w:name="_Toc296503033"/>
      <w:bookmarkStart w:id="124" w:name="_Toc296346534"/>
      <w:bookmarkStart w:id="125" w:name="_Toc337558733"/>
      <w:r>
        <w:rPr>
          <w:rFonts w:hint="eastAsia" w:ascii="宋体" w:hAnsi="宋体" w:eastAsia="宋体" w:cs="宋体"/>
          <w:b w:val="0"/>
          <w:color w:val="000000"/>
          <w:sz w:val="22"/>
          <w:szCs w:val="18"/>
        </w:rPr>
        <w:t>.7联络</w:t>
      </w:r>
      <w:bookmarkEnd w:id="122"/>
    </w:p>
    <w:bookmarkEnd w:id="123"/>
    <w:bookmarkEnd w:id="124"/>
    <w:bookmarkEnd w:id="125"/>
    <w:p w14:paraId="7A8D743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 与合同有关的通知、批准、证明、证书、指示、指令、要求、请求、同意、意见、确定和决定等，均应采用书面形式，并应在合同约定的期限内送达接收人和送达地点。</w:t>
      </w:r>
    </w:p>
    <w:p w14:paraId="6449D98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14:paraId="4CBFC70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 发包人和承包人应当及时签收另一方送达至送达地点和指定接收人的来往信函。拒不签收的，由此增加的费用和（或）延误的工期由拒绝接收一方承担。</w:t>
      </w:r>
    </w:p>
    <w:p w14:paraId="63572C6A">
      <w:pPr>
        <w:pStyle w:val="9"/>
        <w:spacing w:line="490" w:lineRule="exact"/>
        <w:ind w:firstLine="440" w:firstLineChars="200"/>
        <w:rPr>
          <w:rFonts w:hint="eastAsia" w:ascii="宋体" w:hAnsi="宋体" w:eastAsia="宋体" w:cs="宋体"/>
          <w:b w:val="0"/>
          <w:color w:val="000000"/>
          <w:sz w:val="22"/>
          <w:szCs w:val="18"/>
        </w:rPr>
      </w:pPr>
      <w:bookmarkStart w:id="126" w:name="_Toc375060718"/>
      <w:r>
        <w:rPr>
          <w:rFonts w:hint="eastAsia" w:ascii="宋体" w:hAnsi="宋体" w:eastAsia="宋体" w:cs="宋体"/>
          <w:b w:val="0"/>
          <w:color w:val="000000"/>
          <w:sz w:val="22"/>
          <w:szCs w:val="18"/>
        </w:rPr>
        <w:t>1</w:t>
      </w:r>
      <w:bookmarkStart w:id="127" w:name="_Toc296503035"/>
      <w:bookmarkStart w:id="128" w:name="_Toc296346536"/>
      <w:bookmarkStart w:id="129" w:name="_Toc337558734"/>
      <w:r>
        <w:rPr>
          <w:rFonts w:hint="eastAsia" w:ascii="宋体" w:hAnsi="宋体" w:eastAsia="宋体" w:cs="宋体"/>
          <w:b w:val="0"/>
          <w:color w:val="000000"/>
          <w:sz w:val="22"/>
          <w:szCs w:val="18"/>
        </w:rPr>
        <w:t>.8严禁贿赂</w:t>
      </w:r>
      <w:bookmarkEnd w:id="126"/>
    </w:p>
    <w:bookmarkEnd w:id="127"/>
    <w:bookmarkEnd w:id="128"/>
    <w:bookmarkEnd w:id="129"/>
    <w:p w14:paraId="3D39635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合同当事人不得以贿赂或变相贿赂的方式，谋取非法利益或损害对方权益。因一方合同当事人的贿赂造成对方损失的，应赔偿损失，并承担相应的法律责任。</w:t>
      </w:r>
    </w:p>
    <w:p w14:paraId="2495BE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0E460F2C">
      <w:pPr>
        <w:pStyle w:val="9"/>
        <w:spacing w:line="490" w:lineRule="exact"/>
        <w:ind w:firstLine="440" w:firstLineChars="200"/>
        <w:rPr>
          <w:rFonts w:hint="eastAsia" w:ascii="宋体" w:hAnsi="宋体" w:eastAsia="宋体" w:cs="宋体"/>
          <w:b w:val="0"/>
          <w:color w:val="000000"/>
          <w:sz w:val="22"/>
          <w:szCs w:val="18"/>
        </w:rPr>
      </w:pPr>
      <w:bookmarkStart w:id="130" w:name="_Toc375060719"/>
      <w:r>
        <w:rPr>
          <w:rFonts w:hint="eastAsia" w:ascii="宋体" w:hAnsi="宋体" w:eastAsia="宋体" w:cs="宋体"/>
          <w:b w:val="0"/>
          <w:color w:val="000000"/>
          <w:sz w:val="22"/>
          <w:szCs w:val="18"/>
        </w:rPr>
        <w:t>1</w:t>
      </w:r>
      <w:bookmarkStart w:id="131" w:name="_Toc296503036"/>
      <w:bookmarkStart w:id="132" w:name="_Toc296346537"/>
      <w:bookmarkStart w:id="133" w:name="_Toc337558735"/>
      <w:r>
        <w:rPr>
          <w:rFonts w:hint="eastAsia" w:ascii="宋体" w:hAnsi="宋体" w:eastAsia="宋体" w:cs="宋体"/>
          <w:b w:val="0"/>
          <w:color w:val="000000"/>
          <w:sz w:val="22"/>
          <w:szCs w:val="18"/>
        </w:rPr>
        <w:t>.9化石、文物</w:t>
      </w:r>
      <w:bookmarkEnd w:id="130"/>
    </w:p>
    <w:bookmarkEnd w:id="131"/>
    <w:bookmarkEnd w:id="132"/>
    <w:bookmarkEnd w:id="133"/>
    <w:p w14:paraId="12D3E01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A4A709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发包人、监理人和承包人应按有关政府行政管理部门要求采取妥善的保护措施，由此增加的费用和（或）延误的工期由发包人承担。</w:t>
      </w:r>
    </w:p>
    <w:p w14:paraId="50A02C4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承包人发现文物后不及时报告或隐瞒不报，致使文物丢失或损坏的，应赔偿损失，并承担相应的法律责任。</w:t>
      </w:r>
    </w:p>
    <w:p w14:paraId="1F1B68CC">
      <w:pPr>
        <w:pStyle w:val="9"/>
        <w:spacing w:line="490" w:lineRule="exact"/>
        <w:ind w:firstLine="440" w:firstLineChars="200"/>
        <w:rPr>
          <w:rFonts w:hint="eastAsia" w:ascii="宋体" w:hAnsi="宋体" w:eastAsia="宋体" w:cs="宋体"/>
          <w:b w:val="0"/>
          <w:color w:val="000000"/>
          <w:sz w:val="22"/>
          <w:szCs w:val="18"/>
        </w:rPr>
      </w:pPr>
      <w:bookmarkStart w:id="134" w:name="_Toc375060720"/>
      <w:r>
        <w:rPr>
          <w:rFonts w:hint="eastAsia" w:ascii="宋体" w:hAnsi="宋体" w:eastAsia="宋体" w:cs="宋体"/>
          <w:b w:val="0"/>
          <w:color w:val="000000"/>
          <w:sz w:val="22"/>
          <w:szCs w:val="18"/>
        </w:rPr>
        <w:t>1</w:t>
      </w:r>
      <w:bookmarkStart w:id="135" w:name="_Toc337558736"/>
      <w:r>
        <w:rPr>
          <w:rFonts w:hint="eastAsia" w:ascii="宋体" w:hAnsi="宋体" w:eastAsia="宋体" w:cs="宋体"/>
          <w:b w:val="0"/>
          <w:color w:val="000000"/>
          <w:sz w:val="22"/>
          <w:szCs w:val="18"/>
        </w:rPr>
        <w:t>.10交通运输</w:t>
      </w:r>
      <w:bookmarkEnd w:id="134"/>
    </w:p>
    <w:bookmarkEnd w:id="135"/>
    <w:p w14:paraId="7B05895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1.10.1 出入现场的权利</w:t>
      </w:r>
    </w:p>
    <w:p w14:paraId="489F7DC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2209AC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CE50A1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 场外交通</w:t>
      </w:r>
    </w:p>
    <w:p w14:paraId="36989B2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C35B74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1.10.3场内交通</w:t>
      </w:r>
    </w:p>
    <w:p w14:paraId="2FF78A4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BD5E66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B4CB58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场外交通和场内交通的边界由合同当事人在专用合同条款中约定。</w:t>
      </w:r>
    </w:p>
    <w:p w14:paraId="504051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1.10.4 超大件和超重件的运输</w:t>
      </w:r>
    </w:p>
    <w:p w14:paraId="548C886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698968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1.10.5 道路和桥梁的损坏责任</w:t>
      </w:r>
    </w:p>
    <w:p w14:paraId="74E3AA9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因承包人运输造成施工场地内外公共道路和桥梁损坏的，由承包人承担修复损坏的全部费用和可能引起的赔偿。</w:t>
      </w:r>
    </w:p>
    <w:p w14:paraId="1400613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1.10.6 水路和航空运输</w:t>
      </w:r>
    </w:p>
    <w:p w14:paraId="3C6625B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12389847">
      <w:pPr>
        <w:pStyle w:val="9"/>
        <w:spacing w:line="490" w:lineRule="exact"/>
        <w:ind w:firstLine="440" w:firstLineChars="200"/>
        <w:rPr>
          <w:rFonts w:hint="eastAsia" w:ascii="宋体" w:hAnsi="宋体" w:eastAsia="宋体" w:cs="宋体"/>
          <w:b w:val="0"/>
          <w:color w:val="000000"/>
          <w:sz w:val="22"/>
          <w:szCs w:val="18"/>
        </w:rPr>
      </w:pPr>
      <w:bookmarkStart w:id="136" w:name="_Toc375060721"/>
      <w:r>
        <w:rPr>
          <w:rFonts w:hint="eastAsia" w:ascii="宋体" w:hAnsi="宋体" w:eastAsia="宋体" w:cs="宋体"/>
          <w:b w:val="0"/>
          <w:color w:val="000000"/>
          <w:sz w:val="22"/>
          <w:szCs w:val="18"/>
        </w:rPr>
        <w:t>1</w:t>
      </w:r>
      <w:bookmarkStart w:id="137" w:name="_Toc337558737"/>
      <w:bookmarkStart w:id="138" w:name="_Toc296503037"/>
      <w:bookmarkStart w:id="139" w:name="_Toc296346538"/>
      <w:r>
        <w:rPr>
          <w:rFonts w:hint="eastAsia" w:ascii="宋体" w:hAnsi="宋体" w:eastAsia="宋体" w:cs="宋体"/>
          <w:b w:val="0"/>
          <w:color w:val="000000"/>
          <w:sz w:val="22"/>
          <w:szCs w:val="18"/>
        </w:rPr>
        <w:t>.11知识产权</w:t>
      </w:r>
      <w:bookmarkEnd w:id="136"/>
      <w:r>
        <w:rPr>
          <w:rFonts w:hint="eastAsia" w:ascii="宋体" w:hAnsi="宋体" w:eastAsia="宋体" w:cs="宋体"/>
          <w:b w:val="0"/>
          <w:color w:val="000000"/>
          <w:sz w:val="22"/>
          <w:szCs w:val="18"/>
        </w:rPr>
        <w:t xml:space="preserve"> </w:t>
      </w:r>
      <w:bookmarkEnd w:id="137"/>
    </w:p>
    <w:bookmarkEnd w:id="138"/>
    <w:bookmarkEnd w:id="139"/>
    <w:p w14:paraId="44EFD30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4F0AFE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3D2CDB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1749DC3">
      <w:pPr>
        <w:spacing w:line="49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sz w:val="24"/>
          <w:szCs w:val="24"/>
        </w:rPr>
        <w:t>1.11.4 除专用合同条款另有约定外，承包人在合同签订前和签订时已确定采用的专利、专有技术、技术秘密的使用费已包含在签约合同价中。</w:t>
      </w:r>
    </w:p>
    <w:p w14:paraId="713B81FD">
      <w:pPr>
        <w:pStyle w:val="9"/>
        <w:spacing w:line="490" w:lineRule="exact"/>
        <w:ind w:firstLine="440" w:firstLineChars="200"/>
        <w:rPr>
          <w:rFonts w:hint="eastAsia" w:ascii="宋体" w:hAnsi="宋体" w:eastAsia="宋体" w:cs="宋体"/>
          <w:b w:val="0"/>
          <w:color w:val="000000"/>
          <w:sz w:val="22"/>
          <w:szCs w:val="18"/>
        </w:rPr>
      </w:pPr>
      <w:bookmarkStart w:id="140" w:name="_Toc375060722"/>
      <w:r>
        <w:rPr>
          <w:rFonts w:hint="eastAsia" w:ascii="宋体" w:hAnsi="宋体" w:eastAsia="宋体" w:cs="宋体"/>
          <w:b w:val="0"/>
          <w:color w:val="000000"/>
          <w:sz w:val="22"/>
          <w:szCs w:val="18"/>
        </w:rPr>
        <w:t>1</w:t>
      </w:r>
      <w:bookmarkStart w:id="141" w:name="_Toc337558738"/>
      <w:r>
        <w:rPr>
          <w:rFonts w:hint="eastAsia" w:ascii="宋体" w:hAnsi="宋体" w:eastAsia="宋体" w:cs="宋体"/>
          <w:b w:val="0"/>
          <w:color w:val="000000"/>
          <w:sz w:val="22"/>
          <w:szCs w:val="18"/>
        </w:rPr>
        <w:t>.12保密</w:t>
      </w:r>
      <w:bookmarkEnd w:id="140"/>
    </w:p>
    <w:bookmarkEnd w:id="141"/>
    <w:p w14:paraId="5DDD0C3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除法律规定或合同另有约定外，未经发包人同意，承包人不得将发包人提供的图纸、文件以及声明需要保密的资料信息等商业秘密泄露给第三方。</w:t>
      </w:r>
    </w:p>
    <w:p w14:paraId="72F7794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除法律规定或合同另有约定外，未经承包人同意，发包人不得将承包人提供的技术秘密及声明需要保密的资料信息等商业秘密泄露给第三方。</w:t>
      </w:r>
    </w:p>
    <w:p w14:paraId="55C8D135">
      <w:pPr>
        <w:pStyle w:val="9"/>
        <w:spacing w:line="490" w:lineRule="exact"/>
        <w:ind w:firstLine="440" w:firstLineChars="200"/>
        <w:rPr>
          <w:rFonts w:hint="eastAsia" w:ascii="宋体" w:hAnsi="宋体" w:eastAsia="宋体" w:cs="宋体"/>
          <w:b w:val="0"/>
          <w:color w:val="000000"/>
          <w:sz w:val="22"/>
          <w:szCs w:val="18"/>
        </w:rPr>
      </w:pPr>
      <w:bookmarkStart w:id="142" w:name="_Toc375060723"/>
      <w:r>
        <w:rPr>
          <w:rFonts w:hint="eastAsia" w:ascii="宋体" w:hAnsi="宋体" w:eastAsia="宋体" w:cs="宋体"/>
          <w:b w:val="0"/>
          <w:color w:val="000000"/>
          <w:sz w:val="22"/>
          <w:szCs w:val="18"/>
        </w:rPr>
        <w:t>1.13工程量清单错误的修正</w:t>
      </w:r>
      <w:bookmarkEnd w:id="142"/>
    </w:p>
    <w:p w14:paraId="014C464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除专用合同条款另有约定外，发包人提供的工程量清单，应被认为是准确的和完整的。出现下列情形之一时，发包人应予以修正，并相应调整合同价格：</w:t>
      </w:r>
    </w:p>
    <w:p w14:paraId="18A7915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（1）工程量清单存在缺项、漏项的；</w:t>
      </w:r>
    </w:p>
    <w:p w14:paraId="65DB89F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（2）工程量清单偏差超出专用合同条款约定的工程量偏差范围的；</w:t>
      </w:r>
    </w:p>
    <w:p w14:paraId="558DED6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（3）未按照国家现行计量规范强制性规定计量的。</w:t>
      </w:r>
    </w:p>
    <w:p w14:paraId="56C8297E">
      <w:pPr>
        <w:pStyle w:val="8"/>
        <w:spacing w:line="490" w:lineRule="exact"/>
        <w:rPr>
          <w:rFonts w:hint="eastAsia" w:ascii="宋体" w:hAnsi="宋体" w:eastAsia="宋体" w:cs="宋体"/>
          <w:b w:val="0"/>
          <w:color w:val="000000"/>
          <w:sz w:val="24"/>
          <w:szCs w:val="24"/>
        </w:rPr>
      </w:pPr>
      <w:bookmarkStart w:id="143" w:name="_Toc375060724"/>
      <w:r>
        <w:rPr>
          <w:rFonts w:hint="eastAsia" w:ascii="宋体" w:hAnsi="宋体" w:eastAsia="宋体" w:cs="宋体"/>
          <w:b w:val="0"/>
          <w:color w:val="000000"/>
          <w:sz w:val="24"/>
          <w:szCs w:val="24"/>
        </w:rPr>
        <w:t>2</w:t>
      </w:r>
      <w:bookmarkStart w:id="144" w:name="_Toc296503038"/>
      <w:bookmarkStart w:id="145" w:name="_Toc296346539"/>
      <w:bookmarkStart w:id="146" w:name="_Toc337558739"/>
      <w:bookmarkStart w:id="147" w:name="OLE_LINK2"/>
      <w:bookmarkStart w:id="148" w:name="OLE_LINK1"/>
      <w:r>
        <w:rPr>
          <w:rFonts w:hint="eastAsia" w:ascii="宋体" w:hAnsi="宋体" w:eastAsia="宋体" w:cs="宋体"/>
          <w:b w:val="0"/>
          <w:color w:val="000000"/>
          <w:sz w:val="24"/>
          <w:szCs w:val="24"/>
        </w:rPr>
        <w:t>. 发包人</w:t>
      </w:r>
      <w:bookmarkEnd w:id="143"/>
    </w:p>
    <w:bookmarkEnd w:id="144"/>
    <w:bookmarkEnd w:id="145"/>
    <w:bookmarkEnd w:id="146"/>
    <w:p w14:paraId="5A621905">
      <w:pPr>
        <w:pStyle w:val="9"/>
        <w:spacing w:line="490" w:lineRule="exact"/>
        <w:ind w:firstLine="440" w:firstLineChars="200"/>
        <w:rPr>
          <w:rFonts w:hint="eastAsia" w:ascii="宋体" w:hAnsi="宋体" w:eastAsia="宋体" w:cs="宋体"/>
          <w:b w:val="0"/>
          <w:color w:val="000000"/>
          <w:sz w:val="22"/>
          <w:szCs w:val="18"/>
        </w:rPr>
      </w:pPr>
      <w:bookmarkStart w:id="149" w:name="_Toc375060725"/>
      <w:r>
        <w:rPr>
          <w:rFonts w:hint="eastAsia" w:ascii="宋体" w:hAnsi="宋体" w:eastAsia="宋体" w:cs="宋体"/>
          <w:b w:val="0"/>
          <w:color w:val="000000"/>
          <w:sz w:val="22"/>
          <w:szCs w:val="18"/>
        </w:rPr>
        <w:t>2</w:t>
      </w:r>
      <w:bookmarkStart w:id="150" w:name="_Toc296503039"/>
      <w:bookmarkStart w:id="151" w:name="_Toc337558740"/>
      <w:bookmarkStart w:id="152" w:name="_Toc296346540"/>
      <w:r>
        <w:rPr>
          <w:rFonts w:hint="eastAsia" w:ascii="宋体" w:hAnsi="宋体" w:eastAsia="宋体" w:cs="宋体"/>
          <w:b w:val="0"/>
          <w:color w:val="000000"/>
          <w:sz w:val="22"/>
          <w:szCs w:val="18"/>
        </w:rPr>
        <w:t>.1 许可或批准</w:t>
      </w:r>
      <w:bookmarkEnd w:id="149"/>
    </w:p>
    <w:p w14:paraId="5F826EF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4797E9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因发包人原因未能及时办理完毕前述许可、批准或备案，由发包人承担由此增加的费用和（或）延误的工期，并支付承包人合理的利润。</w:t>
      </w:r>
    </w:p>
    <w:p w14:paraId="1AA408D6">
      <w:pPr>
        <w:pStyle w:val="9"/>
        <w:spacing w:line="490" w:lineRule="exact"/>
        <w:ind w:firstLine="440" w:firstLineChars="200"/>
        <w:rPr>
          <w:rFonts w:hint="eastAsia" w:ascii="宋体" w:hAnsi="宋体" w:eastAsia="宋体" w:cs="宋体"/>
          <w:b w:val="0"/>
          <w:color w:val="000000"/>
          <w:sz w:val="22"/>
          <w:szCs w:val="18"/>
        </w:rPr>
      </w:pPr>
      <w:bookmarkStart w:id="153" w:name="_Toc375060726"/>
      <w:r>
        <w:rPr>
          <w:rFonts w:hint="eastAsia" w:ascii="宋体" w:hAnsi="宋体" w:eastAsia="宋体" w:cs="宋体"/>
          <w:b w:val="0"/>
          <w:color w:val="000000"/>
          <w:sz w:val="22"/>
          <w:szCs w:val="18"/>
        </w:rPr>
        <w:t>2.2 发包人代表</w:t>
      </w:r>
      <w:bookmarkEnd w:id="153"/>
    </w:p>
    <w:p w14:paraId="7518C7B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7DE398C">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发包人代表不能按照合同约定履行其职责及义务，并导致合同无法继续正常履行的，承包人可以要求发包人撤换发包人代表。</w:t>
      </w:r>
    </w:p>
    <w:p w14:paraId="19644126">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不属于法定必须监理的工程，监理人的职权可以由发包人代表或发包人指定的其他人员行使。</w:t>
      </w:r>
    </w:p>
    <w:p w14:paraId="2DF280C8">
      <w:pPr>
        <w:pStyle w:val="9"/>
        <w:spacing w:line="490" w:lineRule="exact"/>
        <w:ind w:firstLine="440" w:firstLineChars="200"/>
        <w:rPr>
          <w:rFonts w:hint="eastAsia" w:ascii="宋体" w:hAnsi="宋体" w:eastAsia="宋体" w:cs="宋体"/>
          <w:b w:val="0"/>
          <w:color w:val="000000"/>
          <w:sz w:val="22"/>
          <w:szCs w:val="18"/>
        </w:rPr>
      </w:pPr>
      <w:bookmarkStart w:id="154" w:name="_Toc375060727"/>
      <w:r>
        <w:rPr>
          <w:rFonts w:hint="eastAsia" w:ascii="宋体" w:hAnsi="宋体" w:eastAsia="宋体" w:cs="宋体"/>
          <w:b w:val="0"/>
          <w:color w:val="000000"/>
          <w:sz w:val="22"/>
          <w:szCs w:val="18"/>
        </w:rPr>
        <w:t>2.3 发包人人员</w:t>
      </w:r>
      <w:bookmarkEnd w:id="154"/>
    </w:p>
    <w:p w14:paraId="4FDABC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1CE0D83C">
      <w:pPr>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发包人人员包括发包人代表及其他由发包人派驻施工现场的人员。</w:t>
      </w:r>
      <w:bookmarkEnd w:id="150"/>
      <w:bookmarkEnd w:id="151"/>
      <w:bookmarkEnd w:id="152"/>
    </w:p>
    <w:p w14:paraId="700C6B8E">
      <w:pPr>
        <w:pStyle w:val="9"/>
        <w:spacing w:line="490" w:lineRule="exact"/>
        <w:ind w:firstLine="440" w:firstLineChars="200"/>
        <w:rPr>
          <w:rFonts w:hint="eastAsia" w:ascii="宋体" w:hAnsi="宋体" w:eastAsia="宋体" w:cs="宋体"/>
          <w:b w:val="0"/>
          <w:color w:val="000000"/>
          <w:sz w:val="22"/>
          <w:szCs w:val="18"/>
        </w:rPr>
      </w:pPr>
      <w:bookmarkStart w:id="155" w:name="_Toc375060728"/>
      <w:r>
        <w:rPr>
          <w:rFonts w:hint="eastAsia" w:ascii="宋体" w:hAnsi="宋体" w:eastAsia="宋体" w:cs="宋体"/>
          <w:b w:val="0"/>
          <w:color w:val="000000"/>
          <w:sz w:val="22"/>
          <w:szCs w:val="18"/>
        </w:rPr>
        <w:t>2</w:t>
      </w:r>
      <w:bookmarkStart w:id="156" w:name="_Toc296503040"/>
      <w:bookmarkStart w:id="157" w:name="_Toc296346541"/>
      <w:bookmarkStart w:id="158" w:name="_Toc337558741"/>
      <w:r>
        <w:rPr>
          <w:rFonts w:hint="eastAsia" w:ascii="宋体" w:hAnsi="宋体" w:eastAsia="宋体" w:cs="宋体"/>
          <w:b w:val="0"/>
          <w:color w:val="000000"/>
          <w:sz w:val="22"/>
          <w:szCs w:val="18"/>
        </w:rPr>
        <w:t>.4 施工现场、施工条件和基础资料的提供</w:t>
      </w:r>
      <w:bookmarkEnd w:id="155"/>
      <w:r>
        <w:rPr>
          <w:rFonts w:hint="eastAsia" w:ascii="宋体" w:hAnsi="宋体" w:eastAsia="宋体" w:cs="宋体"/>
          <w:b w:val="0"/>
          <w:color w:val="000000"/>
          <w:sz w:val="22"/>
          <w:szCs w:val="18"/>
        </w:rPr>
        <w:t xml:space="preserve"> </w:t>
      </w:r>
      <w:bookmarkEnd w:id="156"/>
      <w:bookmarkEnd w:id="157"/>
      <w:bookmarkEnd w:id="158"/>
      <w:r>
        <w:rPr>
          <w:rFonts w:hint="eastAsia" w:ascii="宋体" w:hAnsi="宋体" w:eastAsia="宋体" w:cs="宋体"/>
          <w:b w:val="0"/>
          <w:color w:val="000000"/>
          <w:sz w:val="22"/>
          <w:szCs w:val="18"/>
        </w:rPr>
        <w:t xml:space="preserve"> </w:t>
      </w:r>
    </w:p>
    <w:p w14:paraId="36023FA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2.4.1 提供施工现场</w:t>
      </w:r>
    </w:p>
    <w:p w14:paraId="424732B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w:t>
      </w:r>
      <w:bookmarkEnd w:id="147"/>
      <w:bookmarkEnd w:id="148"/>
      <w:r>
        <w:rPr>
          <w:rFonts w:hint="eastAsia" w:ascii="宋体" w:hAnsi="宋体" w:eastAsia="宋体" w:cs="宋体"/>
          <w:color w:val="000000"/>
          <w:kern w:val="0"/>
          <w:sz w:val="24"/>
          <w:szCs w:val="24"/>
        </w:rPr>
        <w:t>专用合同条款另有约定外，发包人应最迟于开工日期7天前向承包人移交施工现场。</w:t>
      </w:r>
    </w:p>
    <w:p w14:paraId="5432412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 提供施工条件</w:t>
      </w:r>
    </w:p>
    <w:p w14:paraId="5D676B0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除专用合同条款另有约定外，发包人应负责提供施工所需要的条件，包括：</w:t>
      </w:r>
    </w:p>
    <w:p w14:paraId="0B87AF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（1）将施工用水、电力、通讯线路等施工所必需的条件接至施工现场内；</w:t>
      </w:r>
    </w:p>
    <w:p w14:paraId="42AE514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（2）保证向承包人提供正常施工所需要的进入施工现场的交通条件；</w:t>
      </w:r>
    </w:p>
    <w:p w14:paraId="6A18258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（3）协调处理施工现场周围地下管线和邻近建筑物、构筑物、古树名木的保护工作，并承担相关费用；</w:t>
      </w:r>
    </w:p>
    <w:p w14:paraId="77FB505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（4）按照专用合同条款约定应提供的其他设施和条件。</w:t>
      </w:r>
    </w:p>
    <w:p w14:paraId="0D484949">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2.4.3 提供基础资料</w:t>
      </w:r>
    </w:p>
    <w:p w14:paraId="3A4E105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D9F14C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14:paraId="1141768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 逾期提供的责任</w:t>
      </w:r>
    </w:p>
    <w:p w14:paraId="49DD317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因发包人原因未能按合同约定及时向承包人提供施工现场、施工条件、基础资料的，由发包人承担由此增加的费用和（或）延误的工期。</w:t>
      </w:r>
    </w:p>
    <w:p w14:paraId="5B28F49E">
      <w:pPr>
        <w:pStyle w:val="9"/>
        <w:spacing w:line="490" w:lineRule="exact"/>
        <w:ind w:firstLine="440" w:firstLineChars="200"/>
        <w:rPr>
          <w:rFonts w:hint="eastAsia" w:ascii="宋体" w:hAnsi="宋体" w:eastAsia="宋体" w:cs="宋体"/>
          <w:b w:val="0"/>
          <w:color w:val="000000"/>
          <w:sz w:val="22"/>
          <w:szCs w:val="18"/>
        </w:rPr>
      </w:pPr>
      <w:bookmarkStart w:id="159" w:name="_Toc375060729"/>
      <w:r>
        <w:rPr>
          <w:rFonts w:hint="eastAsia" w:ascii="宋体" w:hAnsi="宋体" w:eastAsia="宋体" w:cs="宋体"/>
          <w:b w:val="0"/>
          <w:color w:val="000000"/>
          <w:sz w:val="22"/>
          <w:szCs w:val="18"/>
        </w:rPr>
        <w:t>2</w:t>
      </w:r>
      <w:bookmarkStart w:id="160" w:name="_Toc337558745"/>
      <w:bookmarkStart w:id="161" w:name="_Toc296346543"/>
      <w:bookmarkStart w:id="162" w:name="_Toc296503042"/>
      <w:r>
        <w:rPr>
          <w:rFonts w:hint="eastAsia" w:ascii="宋体" w:hAnsi="宋体" w:eastAsia="宋体" w:cs="宋体"/>
          <w:b w:val="0"/>
          <w:color w:val="000000"/>
          <w:sz w:val="22"/>
          <w:szCs w:val="18"/>
        </w:rPr>
        <w:t>.5 资</w:t>
      </w:r>
      <w:bookmarkEnd w:id="160"/>
      <w:bookmarkEnd w:id="161"/>
      <w:bookmarkEnd w:id="162"/>
      <w:r>
        <w:rPr>
          <w:rFonts w:hint="eastAsia" w:ascii="宋体" w:hAnsi="宋体" w:eastAsia="宋体" w:cs="宋体"/>
          <w:b w:val="0"/>
          <w:color w:val="000000"/>
          <w:sz w:val="22"/>
          <w:szCs w:val="18"/>
        </w:rPr>
        <w:t>金来源证明及支付担保</w:t>
      </w:r>
      <w:bookmarkEnd w:id="159"/>
    </w:p>
    <w:p w14:paraId="5E18CC9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14:paraId="3F2BD61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1109C81A">
      <w:pPr>
        <w:pStyle w:val="9"/>
        <w:spacing w:line="490" w:lineRule="exact"/>
        <w:ind w:firstLine="440" w:firstLineChars="200"/>
        <w:rPr>
          <w:rFonts w:hint="eastAsia" w:ascii="宋体" w:hAnsi="宋体" w:eastAsia="宋体" w:cs="宋体"/>
          <w:b w:val="0"/>
          <w:color w:val="000000"/>
          <w:sz w:val="22"/>
          <w:szCs w:val="18"/>
        </w:rPr>
      </w:pPr>
      <w:bookmarkStart w:id="163" w:name="_Toc375060730"/>
      <w:r>
        <w:rPr>
          <w:rFonts w:hint="eastAsia" w:ascii="宋体" w:hAnsi="宋体" w:eastAsia="宋体" w:cs="宋体"/>
          <w:b w:val="0"/>
          <w:color w:val="000000"/>
          <w:sz w:val="22"/>
          <w:szCs w:val="18"/>
        </w:rPr>
        <w:t>2.6 支付合同价款</w:t>
      </w:r>
      <w:bookmarkEnd w:id="163"/>
    </w:p>
    <w:p w14:paraId="4E5B971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发包人应按合同约定向承包人及时支付合同价款。</w:t>
      </w:r>
    </w:p>
    <w:p w14:paraId="3C1EB88C">
      <w:pPr>
        <w:pStyle w:val="9"/>
        <w:spacing w:line="490" w:lineRule="exact"/>
        <w:ind w:firstLine="440" w:firstLineChars="200"/>
        <w:rPr>
          <w:rFonts w:hint="eastAsia" w:ascii="宋体" w:hAnsi="宋体" w:eastAsia="宋体" w:cs="宋体"/>
          <w:b w:val="0"/>
          <w:color w:val="000000"/>
          <w:sz w:val="22"/>
          <w:szCs w:val="18"/>
        </w:rPr>
      </w:pPr>
      <w:bookmarkStart w:id="164" w:name="_Toc375060731"/>
      <w:r>
        <w:rPr>
          <w:rFonts w:hint="eastAsia" w:ascii="宋体" w:hAnsi="宋体" w:eastAsia="宋体" w:cs="宋体"/>
          <w:b w:val="0"/>
          <w:color w:val="000000"/>
          <w:sz w:val="22"/>
          <w:szCs w:val="18"/>
        </w:rPr>
        <w:t>2.7 组织竣工验收</w:t>
      </w:r>
      <w:bookmarkEnd w:id="164"/>
    </w:p>
    <w:p w14:paraId="32BBF5B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发包人应按合同约定及时组织竣工验收。</w:t>
      </w:r>
    </w:p>
    <w:p w14:paraId="39105E98">
      <w:pPr>
        <w:pStyle w:val="9"/>
        <w:spacing w:line="490" w:lineRule="exact"/>
        <w:ind w:firstLine="440" w:firstLineChars="200"/>
        <w:rPr>
          <w:rFonts w:hint="eastAsia" w:ascii="宋体" w:hAnsi="宋体" w:eastAsia="宋体" w:cs="宋体"/>
          <w:b w:val="0"/>
          <w:color w:val="000000"/>
          <w:sz w:val="22"/>
          <w:szCs w:val="18"/>
        </w:rPr>
      </w:pPr>
      <w:bookmarkStart w:id="165" w:name="_Toc375060732"/>
      <w:r>
        <w:rPr>
          <w:rFonts w:hint="eastAsia" w:ascii="宋体" w:hAnsi="宋体" w:eastAsia="宋体" w:cs="宋体"/>
          <w:b w:val="0"/>
          <w:color w:val="000000"/>
          <w:sz w:val="22"/>
          <w:szCs w:val="18"/>
        </w:rPr>
        <w:t>2.8 现场统一管理协议</w:t>
      </w:r>
      <w:bookmarkEnd w:id="165"/>
    </w:p>
    <w:p w14:paraId="4C3F5E9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14:paraId="79BC59C2">
      <w:pPr>
        <w:pStyle w:val="8"/>
        <w:spacing w:line="490" w:lineRule="exact"/>
        <w:rPr>
          <w:rFonts w:hint="eastAsia" w:ascii="宋体" w:hAnsi="宋体" w:eastAsia="宋体" w:cs="宋体"/>
          <w:b w:val="0"/>
          <w:color w:val="000000"/>
          <w:sz w:val="24"/>
          <w:szCs w:val="24"/>
        </w:rPr>
      </w:pPr>
      <w:bookmarkStart w:id="166" w:name="_Toc375060733"/>
      <w:r>
        <w:rPr>
          <w:rFonts w:hint="eastAsia" w:ascii="宋体" w:hAnsi="宋体" w:eastAsia="宋体" w:cs="宋体"/>
          <w:b w:val="0"/>
          <w:color w:val="000000"/>
          <w:sz w:val="24"/>
          <w:szCs w:val="24"/>
        </w:rPr>
        <w:t>3</w:t>
      </w:r>
      <w:bookmarkStart w:id="167" w:name="_Toc296346546"/>
      <w:bookmarkStart w:id="168" w:name="_Toc296503045"/>
      <w:bookmarkStart w:id="169" w:name="_Toc337558746"/>
      <w:r>
        <w:rPr>
          <w:rFonts w:hint="eastAsia" w:ascii="宋体" w:hAnsi="宋体" w:eastAsia="宋体" w:cs="宋体"/>
          <w:b w:val="0"/>
          <w:color w:val="000000"/>
          <w:sz w:val="24"/>
          <w:szCs w:val="24"/>
        </w:rPr>
        <w:t>. 承包人</w:t>
      </w:r>
      <w:bookmarkEnd w:id="166"/>
    </w:p>
    <w:bookmarkEnd w:id="167"/>
    <w:bookmarkEnd w:id="168"/>
    <w:bookmarkEnd w:id="169"/>
    <w:p w14:paraId="3AE0DE88">
      <w:pPr>
        <w:pStyle w:val="9"/>
        <w:spacing w:line="490" w:lineRule="exact"/>
        <w:ind w:firstLine="440" w:firstLineChars="200"/>
        <w:rPr>
          <w:rFonts w:hint="eastAsia" w:ascii="宋体" w:hAnsi="宋体" w:eastAsia="宋体" w:cs="宋体"/>
          <w:b w:val="0"/>
          <w:color w:val="000000"/>
          <w:sz w:val="22"/>
          <w:szCs w:val="18"/>
        </w:rPr>
      </w:pPr>
      <w:bookmarkStart w:id="170" w:name="_Toc375060734"/>
      <w:r>
        <w:rPr>
          <w:rFonts w:hint="eastAsia" w:ascii="宋体" w:hAnsi="宋体" w:eastAsia="宋体" w:cs="宋体"/>
          <w:b w:val="0"/>
          <w:color w:val="000000"/>
          <w:sz w:val="22"/>
          <w:szCs w:val="18"/>
        </w:rPr>
        <w:t>3</w:t>
      </w:r>
      <w:bookmarkStart w:id="171" w:name="_Toc337558747"/>
      <w:bookmarkStart w:id="172" w:name="_Toc296346547"/>
      <w:bookmarkStart w:id="173" w:name="_Toc296503046"/>
      <w:r>
        <w:rPr>
          <w:rFonts w:hint="eastAsia" w:ascii="宋体" w:hAnsi="宋体" w:eastAsia="宋体" w:cs="宋体"/>
          <w:b w:val="0"/>
          <w:color w:val="000000"/>
          <w:sz w:val="22"/>
          <w:szCs w:val="18"/>
        </w:rPr>
        <w:t>.1 承包人的一般义务</w:t>
      </w:r>
      <w:bookmarkEnd w:id="170"/>
    </w:p>
    <w:bookmarkEnd w:id="171"/>
    <w:bookmarkEnd w:id="172"/>
    <w:bookmarkEnd w:id="173"/>
    <w:p w14:paraId="3B520DC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承包人在履行合同过程中应遵守法律和工程建设标准规范，并履行以下义务：</w:t>
      </w:r>
    </w:p>
    <w:p w14:paraId="2BEBC33A">
      <w:pPr>
        <w:numPr>
          <w:ilvl w:val="0"/>
          <w:numId w:val="6"/>
        </w:num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办理法律规定应由承包人办理的许可和批准，并将办理结果书面报送发包人留存；</w:t>
      </w:r>
    </w:p>
    <w:p w14:paraId="3F7464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（2）按法律规定和合同约定完成工程，并在保修期内承担保修义务；</w:t>
      </w:r>
    </w:p>
    <w:p w14:paraId="5CC1CFA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（3）按法律规定和合同约定采取施工安全和环境保护措施，办理工伤保险，确保工程及人员、材料、设备和设施的安全；</w:t>
      </w:r>
    </w:p>
    <w:p w14:paraId="0EBAE8E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（4）按合同约定的工作内容和施工进度要求，编制施工组织设计和施工措施计划，并对所有施工作业和施工方法的完备性和安全可靠性负责；</w:t>
      </w:r>
    </w:p>
    <w:p w14:paraId="3EA762D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2CA9B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（6）按照第6.3款〔环境保护〕约定负责施工场地及其周边环境与生态的保护工作；</w:t>
      </w:r>
    </w:p>
    <w:p w14:paraId="729218A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（7）按第6.1款〔安全文明施工〕约定采取施工安全措施，确保工程及其人员、材料、设备和设施的安全，防止因工程施工造成的人身伤害和财产损失；</w:t>
      </w:r>
    </w:p>
    <w:p w14:paraId="4FDEC97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（8）将发包人按合同约定支付的各项价款专用于合同工程，且应及时支付其雇用人员工资，并及时向分包人支付合同价款；</w:t>
      </w:r>
    </w:p>
    <w:p w14:paraId="25C2B34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（9）按照法律规定和合同约定编制竣工资料，完成竣工资料立卷及归档，并按专用合同条款约定的竣工资料的套数、内容、时间等要求移交发包人；</w:t>
      </w:r>
    </w:p>
    <w:p w14:paraId="69F5AF1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（10）应履行的其他义务。</w:t>
      </w:r>
    </w:p>
    <w:p w14:paraId="19B17827">
      <w:pPr>
        <w:pStyle w:val="9"/>
        <w:spacing w:line="490" w:lineRule="exact"/>
        <w:ind w:firstLine="440" w:firstLineChars="200"/>
        <w:rPr>
          <w:rFonts w:hint="eastAsia" w:ascii="宋体" w:hAnsi="宋体" w:eastAsia="宋体" w:cs="宋体"/>
          <w:b w:val="0"/>
          <w:color w:val="000000"/>
          <w:sz w:val="22"/>
          <w:szCs w:val="18"/>
        </w:rPr>
      </w:pPr>
      <w:bookmarkStart w:id="174" w:name="_Toc375060735"/>
      <w:r>
        <w:rPr>
          <w:rFonts w:hint="eastAsia" w:ascii="宋体" w:hAnsi="宋体" w:eastAsia="宋体" w:cs="宋体"/>
          <w:b w:val="0"/>
          <w:color w:val="000000"/>
          <w:sz w:val="22"/>
          <w:szCs w:val="18"/>
        </w:rPr>
        <w:t>3</w:t>
      </w:r>
      <w:bookmarkStart w:id="175" w:name="_Toc337558748"/>
      <w:bookmarkStart w:id="176" w:name="_Toc296346548"/>
      <w:bookmarkStart w:id="177" w:name="_Toc296503047"/>
      <w:r>
        <w:rPr>
          <w:rFonts w:hint="eastAsia" w:ascii="宋体" w:hAnsi="宋体" w:eastAsia="宋体" w:cs="宋体"/>
          <w:b w:val="0"/>
          <w:color w:val="000000"/>
          <w:sz w:val="22"/>
          <w:szCs w:val="18"/>
        </w:rPr>
        <w:t>.2 项目经理</w:t>
      </w:r>
      <w:bookmarkEnd w:id="174"/>
    </w:p>
    <w:bookmarkEnd w:id="175"/>
    <w:bookmarkEnd w:id="176"/>
    <w:bookmarkEnd w:id="177"/>
    <w:p w14:paraId="6C748DC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B01511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D2BE38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承包人违反上述约定的，应按照专用合同条款的约定，承担违约责任。</w:t>
      </w:r>
    </w:p>
    <w:p w14:paraId="41D88BE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CE9EAF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60C446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AFF69E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6908DDF4">
      <w:pPr>
        <w:pStyle w:val="9"/>
        <w:spacing w:line="490" w:lineRule="exact"/>
        <w:ind w:firstLine="440" w:firstLineChars="200"/>
        <w:rPr>
          <w:rFonts w:hint="eastAsia" w:ascii="宋体" w:hAnsi="宋体" w:eastAsia="宋体" w:cs="宋体"/>
          <w:b w:val="0"/>
          <w:color w:val="000000"/>
          <w:sz w:val="22"/>
          <w:szCs w:val="18"/>
        </w:rPr>
      </w:pPr>
      <w:bookmarkStart w:id="178" w:name="_Toc375060736"/>
      <w:r>
        <w:rPr>
          <w:rFonts w:hint="eastAsia" w:ascii="宋体" w:hAnsi="宋体" w:eastAsia="宋体" w:cs="宋体"/>
          <w:b w:val="0"/>
          <w:color w:val="000000"/>
          <w:sz w:val="22"/>
          <w:szCs w:val="18"/>
        </w:rPr>
        <w:t>3</w:t>
      </w:r>
      <w:bookmarkStart w:id="179" w:name="_Toc296346549"/>
      <w:bookmarkStart w:id="180" w:name="_Toc296503048"/>
      <w:bookmarkStart w:id="181" w:name="_Toc337558749"/>
      <w:r>
        <w:rPr>
          <w:rFonts w:hint="eastAsia" w:ascii="宋体" w:hAnsi="宋体" w:eastAsia="宋体" w:cs="宋体"/>
          <w:b w:val="0"/>
          <w:color w:val="000000"/>
          <w:sz w:val="22"/>
          <w:szCs w:val="18"/>
        </w:rPr>
        <w:t xml:space="preserve">.3 </w:t>
      </w:r>
      <w:bookmarkEnd w:id="179"/>
      <w:bookmarkEnd w:id="180"/>
      <w:r>
        <w:rPr>
          <w:rFonts w:hint="eastAsia" w:ascii="宋体" w:hAnsi="宋体" w:eastAsia="宋体" w:cs="宋体"/>
          <w:b w:val="0"/>
          <w:color w:val="000000"/>
          <w:sz w:val="22"/>
          <w:szCs w:val="18"/>
        </w:rPr>
        <w:t>承包人人员</w:t>
      </w:r>
      <w:bookmarkEnd w:id="178"/>
    </w:p>
    <w:bookmarkEnd w:id="181"/>
    <w:p w14:paraId="7F32F0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838A5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AE893F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特殊工种作业人员均应持有相应的资格证明，监理人可以随时检查。</w:t>
      </w:r>
    </w:p>
    <w:p w14:paraId="35F896C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A3362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DF5F2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3.3.5 承包人擅自更换主要施工管理人员，或前述人员未经监理人或发包人同意擅自离开施工现场的，应按照专用合同条款约定承担违约责任。</w:t>
      </w:r>
    </w:p>
    <w:p w14:paraId="5856D67D">
      <w:pPr>
        <w:pStyle w:val="9"/>
        <w:spacing w:line="490" w:lineRule="exact"/>
        <w:ind w:firstLine="440" w:firstLineChars="200"/>
        <w:rPr>
          <w:rFonts w:hint="eastAsia" w:ascii="宋体" w:hAnsi="宋体" w:eastAsia="宋体" w:cs="宋体"/>
          <w:b w:val="0"/>
          <w:color w:val="000000"/>
          <w:sz w:val="22"/>
          <w:szCs w:val="18"/>
        </w:rPr>
      </w:pPr>
      <w:bookmarkStart w:id="182" w:name="_Toc375060737"/>
      <w:r>
        <w:rPr>
          <w:rFonts w:hint="eastAsia" w:ascii="宋体" w:hAnsi="宋体" w:eastAsia="宋体" w:cs="宋体"/>
          <w:b w:val="0"/>
          <w:color w:val="000000"/>
          <w:sz w:val="22"/>
          <w:szCs w:val="18"/>
        </w:rPr>
        <w:t>3</w:t>
      </w:r>
      <w:bookmarkStart w:id="183" w:name="_Toc296503050"/>
      <w:bookmarkStart w:id="184" w:name="_Toc337558750"/>
      <w:bookmarkStart w:id="185" w:name="_Toc296346551"/>
      <w:r>
        <w:rPr>
          <w:rFonts w:hint="eastAsia" w:ascii="宋体" w:hAnsi="宋体" w:eastAsia="宋体" w:cs="宋体"/>
          <w:b w:val="0"/>
          <w:color w:val="000000"/>
          <w:sz w:val="22"/>
          <w:szCs w:val="18"/>
        </w:rPr>
        <w:t>.4 承包人现场查勘</w:t>
      </w:r>
      <w:bookmarkEnd w:id="182"/>
    </w:p>
    <w:bookmarkEnd w:id="183"/>
    <w:bookmarkEnd w:id="184"/>
    <w:bookmarkEnd w:id="185"/>
    <w:p w14:paraId="0BB0BE18">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14:paraId="503E0EB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50E8F0F">
      <w:pPr>
        <w:pStyle w:val="9"/>
        <w:spacing w:line="490" w:lineRule="exact"/>
        <w:ind w:firstLine="440" w:firstLineChars="200"/>
        <w:rPr>
          <w:rFonts w:hint="eastAsia" w:ascii="宋体" w:hAnsi="宋体" w:eastAsia="宋体" w:cs="宋体"/>
          <w:b w:val="0"/>
          <w:color w:val="000000"/>
          <w:sz w:val="22"/>
          <w:szCs w:val="18"/>
        </w:rPr>
      </w:pPr>
      <w:bookmarkStart w:id="186" w:name="_Toc375060738"/>
      <w:r>
        <w:rPr>
          <w:rFonts w:hint="eastAsia" w:ascii="宋体" w:hAnsi="宋体" w:eastAsia="宋体" w:cs="宋体"/>
          <w:b w:val="0"/>
          <w:color w:val="000000"/>
          <w:sz w:val="22"/>
          <w:szCs w:val="18"/>
        </w:rPr>
        <w:t>3</w:t>
      </w:r>
      <w:bookmarkStart w:id="187" w:name="_Toc337558751"/>
      <w:bookmarkStart w:id="188" w:name="_Toc296503051"/>
      <w:bookmarkStart w:id="189" w:name="_Toc296346552"/>
      <w:r>
        <w:rPr>
          <w:rFonts w:hint="eastAsia" w:ascii="宋体" w:hAnsi="宋体" w:eastAsia="宋体" w:cs="宋体"/>
          <w:b w:val="0"/>
          <w:color w:val="000000"/>
          <w:sz w:val="22"/>
          <w:szCs w:val="18"/>
        </w:rPr>
        <w:t>.5 分包</w:t>
      </w:r>
      <w:bookmarkEnd w:id="186"/>
    </w:p>
    <w:bookmarkEnd w:id="187"/>
    <w:bookmarkEnd w:id="188"/>
    <w:bookmarkEnd w:id="189"/>
    <w:p w14:paraId="320C871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 分包的一般约定</w:t>
      </w:r>
    </w:p>
    <w:p w14:paraId="345C088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972FA0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承包人不得以劳务分包的名义转包或违法分包工程。</w:t>
      </w:r>
    </w:p>
    <w:p w14:paraId="014479A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3.5.2 分包的确定</w:t>
      </w:r>
    </w:p>
    <w:p w14:paraId="3255223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083D00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 分包管理</w:t>
      </w:r>
    </w:p>
    <w:p w14:paraId="7C7DF43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14:paraId="3D774EB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3.5.4 分包合同价款</w:t>
      </w:r>
    </w:p>
    <w:p w14:paraId="1FD3849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（1）除本项第（2）目约定的情况或专用合同条款另有约定外，分包合同价款由承包人与分包人结算，未经承包人同意，发包人不得向分包人支付分包工程价款；</w:t>
      </w:r>
    </w:p>
    <w:p w14:paraId="7ADCE46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（2）生效法律文书要求发包人向分包人支付分包合同价款的，发包人有权从应付承包人工程款中扣除该部分款项。</w:t>
      </w:r>
    </w:p>
    <w:p w14:paraId="78A30A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3.5.5 分包合同权益的转让</w:t>
      </w:r>
    </w:p>
    <w:p w14:paraId="52CE8A3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406B5DF7">
      <w:pPr>
        <w:pStyle w:val="9"/>
        <w:spacing w:line="490" w:lineRule="exact"/>
        <w:ind w:firstLine="440" w:firstLineChars="200"/>
        <w:rPr>
          <w:rFonts w:hint="eastAsia" w:ascii="宋体" w:hAnsi="宋体" w:eastAsia="宋体" w:cs="宋体"/>
          <w:b w:val="0"/>
          <w:color w:val="000000"/>
          <w:sz w:val="22"/>
          <w:szCs w:val="18"/>
        </w:rPr>
      </w:pPr>
      <w:bookmarkStart w:id="190" w:name="_Toc375060739"/>
      <w:r>
        <w:rPr>
          <w:rFonts w:hint="eastAsia" w:ascii="宋体" w:hAnsi="宋体" w:eastAsia="宋体" w:cs="宋体"/>
          <w:b w:val="0"/>
          <w:color w:val="000000"/>
          <w:sz w:val="22"/>
          <w:szCs w:val="18"/>
        </w:rPr>
        <w:t>3.6 工程照管与成品、半成品保护</w:t>
      </w:r>
      <w:bookmarkEnd w:id="190"/>
    </w:p>
    <w:p w14:paraId="3F3B7B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（1）除专用合同条款另有约定外，自发包人向承包人移交施工现场之日起，承包人应负责照管工程及工程相关的材料、工程设备，直到颁发工程接收证书之日止。</w:t>
      </w:r>
    </w:p>
    <w:p w14:paraId="7BA1460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（2）在承包人负责照管期间，因承包人原因造成工程、材料、工程设备损坏的，由承包人负责修复或更换，并承担由此增加的费用和（或）延误的工期。</w:t>
      </w:r>
    </w:p>
    <w:p w14:paraId="54D4720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7982FF55">
      <w:pPr>
        <w:pStyle w:val="9"/>
        <w:spacing w:line="490" w:lineRule="exact"/>
        <w:ind w:firstLine="440" w:firstLineChars="200"/>
        <w:rPr>
          <w:rFonts w:hint="eastAsia" w:ascii="宋体" w:hAnsi="宋体" w:eastAsia="宋体" w:cs="宋体"/>
          <w:b w:val="0"/>
          <w:color w:val="000000"/>
          <w:sz w:val="22"/>
          <w:szCs w:val="18"/>
        </w:rPr>
      </w:pPr>
      <w:bookmarkStart w:id="191" w:name="_Toc375060740"/>
      <w:r>
        <w:rPr>
          <w:rFonts w:hint="eastAsia" w:ascii="宋体" w:hAnsi="宋体" w:eastAsia="宋体" w:cs="宋体"/>
          <w:b w:val="0"/>
          <w:color w:val="000000"/>
          <w:sz w:val="22"/>
          <w:szCs w:val="18"/>
        </w:rPr>
        <w:t>3</w:t>
      </w:r>
      <w:bookmarkStart w:id="192" w:name="_Toc337558752"/>
      <w:bookmarkStart w:id="193" w:name="_Toc296346553"/>
      <w:bookmarkStart w:id="194" w:name="_Toc296503052"/>
      <w:r>
        <w:rPr>
          <w:rFonts w:hint="eastAsia" w:ascii="宋体" w:hAnsi="宋体" w:eastAsia="宋体" w:cs="宋体"/>
          <w:b w:val="0"/>
          <w:color w:val="000000"/>
          <w:sz w:val="22"/>
          <w:szCs w:val="18"/>
        </w:rPr>
        <w:t>.7 履约担保</w:t>
      </w:r>
      <w:bookmarkEnd w:id="191"/>
    </w:p>
    <w:bookmarkEnd w:id="192"/>
    <w:bookmarkEnd w:id="193"/>
    <w:bookmarkEnd w:id="194"/>
    <w:p w14:paraId="745BCE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C19DF4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14:paraId="7E34619A">
      <w:pPr>
        <w:pStyle w:val="9"/>
        <w:spacing w:line="490" w:lineRule="exact"/>
        <w:ind w:firstLine="440" w:firstLineChars="200"/>
        <w:rPr>
          <w:rFonts w:hint="eastAsia" w:ascii="宋体" w:hAnsi="宋体" w:eastAsia="宋体" w:cs="宋体"/>
          <w:b w:val="0"/>
          <w:color w:val="000000"/>
          <w:sz w:val="22"/>
          <w:szCs w:val="18"/>
        </w:rPr>
      </w:pPr>
      <w:bookmarkStart w:id="195" w:name="_Toc375060741"/>
      <w:r>
        <w:rPr>
          <w:rFonts w:hint="eastAsia" w:ascii="宋体" w:hAnsi="宋体" w:eastAsia="宋体" w:cs="宋体"/>
          <w:b w:val="0"/>
          <w:color w:val="000000"/>
          <w:sz w:val="22"/>
          <w:szCs w:val="18"/>
        </w:rPr>
        <w:t>3.8 联合体</w:t>
      </w:r>
      <w:bookmarkEnd w:id="195"/>
    </w:p>
    <w:p w14:paraId="2E49719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3.8.1 联合体各方应共同与发包人签订合同协议书。联合体各方应为履行合同向发包人承担连带责任。</w:t>
      </w:r>
    </w:p>
    <w:p w14:paraId="248B2B6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 联合体协议经发包人确认后作为合同附件。在履行合同过程中，未经发包人同意，不得修改联合体协议。</w:t>
      </w:r>
    </w:p>
    <w:p w14:paraId="575EB5E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3.8.3 联合体牵头人负责与发包人和监理人联系，并接受指示，负责组织联合体各成员全面履行合同。</w:t>
      </w:r>
    </w:p>
    <w:p w14:paraId="243F307D">
      <w:pPr>
        <w:pStyle w:val="8"/>
        <w:spacing w:line="490" w:lineRule="exact"/>
        <w:rPr>
          <w:rFonts w:hint="eastAsia" w:ascii="宋体" w:hAnsi="宋体" w:eastAsia="宋体" w:cs="宋体"/>
          <w:b w:val="0"/>
          <w:color w:val="000000"/>
          <w:sz w:val="24"/>
          <w:szCs w:val="24"/>
        </w:rPr>
      </w:pPr>
      <w:bookmarkStart w:id="196" w:name="_Toc375060742"/>
      <w:r>
        <w:rPr>
          <w:rFonts w:hint="eastAsia" w:ascii="宋体" w:hAnsi="宋体" w:eastAsia="宋体" w:cs="宋体"/>
          <w:b w:val="0"/>
          <w:color w:val="000000"/>
          <w:sz w:val="24"/>
          <w:szCs w:val="24"/>
        </w:rPr>
        <w:t>4</w:t>
      </w:r>
      <w:bookmarkStart w:id="197" w:name="_Toc296503053"/>
      <w:bookmarkStart w:id="198" w:name="_Toc296346554"/>
      <w:bookmarkStart w:id="199" w:name="_Toc337558753"/>
      <w:r>
        <w:rPr>
          <w:rFonts w:hint="eastAsia" w:ascii="宋体" w:hAnsi="宋体" w:eastAsia="宋体" w:cs="宋体"/>
          <w:b w:val="0"/>
          <w:color w:val="000000"/>
          <w:sz w:val="24"/>
          <w:szCs w:val="24"/>
        </w:rPr>
        <w:t>. 监</w:t>
      </w:r>
      <w:bookmarkEnd w:id="197"/>
      <w:bookmarkEnd w:id="198"/>
      <w:r>
        <w:rPr>
          <w:rFonts w:hint="eastAsia" w:ascii="宋体" w:hAnsi="宋体" w:eastAsia="宋体" w:cs="宋体"/>
          <w:b w:val="0"/>
          <w:color w:val="000000"/>
          <w:sz w:val="24"/>
          <w:szCs w:val="24"/>
        </w:rPr>
        <w:t>理人</w:t>
      </w:r>
      <w:bookmarkEnd w:id="196"/>
    </w:p>
    <w:bookmarkEnd w:id="199"/>
    <w:p w14:paraId="1903569A">
      <w:pPr>
        <w:pStyle w:val="9"/>
        <w:spacing w:line="490" w:lineRule="exact"/>
        <w:ind w:firstLine="440" w:firstLineChars="200"/>
        <w:rPr>
          <w:rFonts w:hint="eastAsia" w:ascii="宋体" w:hAnsi="宋体" w:eastAsia="宋体" w:cs="宋体"/>
          <w:b w:val="0"/>
          <w:color w:val="000000"/>
          <w:sz w:val="22"/>
          <w:szCs w:val="18"/>
        </w:rPr>
      </w:pPr>
      <w:bookmarkStart w:id="200" w:name="_Toc375060743"/>
      <w:r>
        <w:rPr>
          <w:rFonts w:hint="eastAsia" w:ascii="宋体" w:hAnsi="宋体" w:eastAsia="宋体" w:cs="宋体"/>
          <w:b w:val="0"/>
          <w:color w:val="000000"/>
          <w:sz w:val="22"/>
          <w:szCs w:val="18"/>
        </w:rPr>
        <w:t>4</w:t>
      </w:r>
      <w:bookmarkStart w:id="201" w:name="_Toc296346555"/>
      <w:bookmarkStart w:id="202" w:name="_Toc296503054"/>
      <w:bookmarkStart w:id="203" w:name="_Toc337558754"/>
      <w:r>
        <w:rPr>
          <w:rFonts w:hint="eastAsia" w:ascii="宋体" w:hAnsi="宋体" w:eastAsia="宋体" w:cs="宋体"/>
          <w:b w:val="0"/>
          <w:color w:val="000000"/>
          <w:sz w:val="22"/>
          <w:szCs w:val="18"/>
        </w:rPr>
        <w:t>.1监理人的一般规定</w:t>
      </w:r>
      <w:bookmarkEnd w:id="200"/>
    </w:p>
    <w:bookmarkEnd w:id="201"/>
    <w:bookmarkEnd w:id="202"/>
    <w:bookmarkEnd w:id="203"/>
    <w:p w14:paraId="4EFAB0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52E278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除专用合同条款另有约定外，监理人在施工现场的办公场所、生活场所由承包人提供，所发生的费用由发包人承担。</w:t>
      </w:r>
    </w:p>
    <w:p w14:paraId="6C4AFDBD">
      <w:pPr>
        <w:pStyle w:val="9"/>
        <w:spacing w:line="490" w:lineRule="exact"/>
        <w:ind w:firstLine="440" w:firstLineChars="200"/>
        <w:rPr>
          <w:rFonts w:hint="eastAsia" w:ascii="宋体" w:hAnsi="宋体" w:eastAsia="宋体" w:cs="宋体"/>
          <w:b w:val="0"/>
          <w:color w:val="000000"/>
          <w:sz w:val="22"/>
          <w:szCs w:val="18"/>
        </w:rPr>
      </w:pPr>
      <w:bookmarkStart w:id="204" w:name="_Toc375060744"/>
      <w:r>
        <w:rPr>
          <w:rFonts w:hint="eastAsia" w:ascii="宋体" w:hAnsi="宋体" w:eastAsia="宋体" w:cs="宋体"/>
          <w:b w:val="0"/>
          <w:color w:val="000000"/>
          <w:sz w:val="22"/>
          <w:szCs w:val="18"/>
        </w:rPr>
        <w:t>4</w:t>
      </w:r>
      <w:bookmarkStart w:id="205" w:name="_Toc337558755"/>
      <w:r>
        <w:rPr>
          <w:rFonts w:hint="eastAsia" w:ascii="宋体" w:hAnsi="宋体" w:eastAsia="宋体" w:cs="宋体"/>
          <w:b w:val="0"/>
          <w:color w:val="000000"/>
          <w:sz w:val="22"/>
          <w:szCs w:val="18"/>
        </w:rPr>
        <w:t>.2监理人员</w:t>
      </w:r>
      <w:bookmarkEnd w:id="204"/>
    </w:p>
    <w:bookmarkEnd w:id="205"/>
    <w:p w14:paraId="29319E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33B24D4">
      <w:pPr>
        <w:pStyle w:val="9"/>
        <w:spacing w:line="490" w:lineRule="exact"/>
        <w:ind w:firstLine="440" w:firstLineChars="200"/>
        <w:rPr>
          <w:rFonts w:hint="eastAsia" w:ascii="宋体" w:hAnsi="宋体" w:eastAsia="宋体" w:cs="宋体"/>
          <w:b w:val="0"/>
          <w:color w:val="000000"/>
          <w:sz w:val="22"/>
          <w:szCs w:val="18"/>
        </w:rPr>
      </w:pPr>
      <w:bookmarkStart w:id="206" w:name="_Toc375060745"/>
      <w:r>
        <w:rPr>
          <w:rFonts w:hint="eastAsia" w:ascii="宋体" w:hAnsi="宋体" w:eastAsia="宋体" w:cs="宋体"/>
          <w:b w:val="0"/>
          <w:color w:val="000000"/>
          <w:sz w:val="22"/>
          <w:szCs w:val="18"/>
        </w:rPr>
        <w:t>4</w:t>
      </w:r>
      <w:bookmarkStart w:id="207" w:name="_Toc296503055"/>
      <w:bookmarkStart w:id="208" w:name="_Toc296346556"/>
      <w:bookmarkStart w:id="209" w:name="_Toc337558756"/>
      <w:r>
        <w:rPr>
          <w:rFonts w:hint="eastAsia" w:ascii="宋体" w:hAnsi="宋体" w:eastAsia="宋体" w:cs="宋体"/>
          <w:b w:val="0"/>
          <w:color w:val="000000"/>
          <w:sz w:val="22"/>
          <w:szCs w:val="18"/>
        </w:rPr>
        <w:t>.3</w:t>
      </w:r>
      <w:bookmarkEnd w:id="207"/>
      <w:bookmarkEnd w:id="208"/>
      <w:r>
        <w:rPr>
          <w:rFonts w:hint="eastAsia" w:ascii="宋体" w:hAnsi="宋体" w:eastAsia="宋体" w:cs="宋体"/>
          <w:b w:val="0"/>
          <w:color w:val="000000"/>
          <w:sz w:val="22"/>
          <w:szCs w:val="18"/>
        </w:rPr>
        <w:t>监理人的指</w:t>
      </w:r>
      <w:bookmarkEnd w:id="209"/>
      <w:r>
        <w:rPr>
          <w:rFonts w:hint="eastAsia" w:ascii="宋体" w:hAnsi="宋体" w:eastAsia="宋体" w:cs="宋体"/>
          <w:b w:val="0"/>
          <w:color w:val="000000"/>
          <w:sz w:val="22"/>
          <w:szCs w:val="18"/>
        </w:rPr>
        <w:t>示</w:t>
      </w:r>
      <w:bookmarkEnd w:id="206"/>
    </w:p>
    <w:p w14:paraId="2B39B61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66EA0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45DD50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14:paraId="449CC76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0BBF8593">
      <w:pPr>
        <w:pStyle w:val="8"/>
        <w:spacing w:line="490" w:lineRule="exact"/>
        <w:ind w:firstLine="480" w:firstLineChars="200"/>
        <w:rPr>
          <w:rFonts w:hint="eastAsia" w:ascii="宋体" w:hAnsi="宋体" w:eastAsia="宋体" w:cs="宋体"/>
          <w:b w:val="0"/>
          <w:color w:val="000000"/>
          <w:sz w:val="24"/>
          <w:szCs w:val="24"/>
        </w:rPr>
      </w:pPr>
      <w:bookmarkStart w:id="210" w:name="_Toc375060746"/>
      <w:r>
        <w:rPr>
          <w:rFonts w:hint="eastAsia" w:ascii="宋体" w:hAnsi="宋体" w:eastAsia="宋体" w:cs="宋体"/>
          <w:b w:val="0"/>
          <w:color w:val="000000"/>
          <w:sz w:val="24"/>
          <w:szCs w:val="24"/>
        </w:rPr>
        <w:t>4</w:t>
      </w:r>
      <w:bookmarkStart w:id="211" w:name="_Toc337558757"/>
      <w:bookmarkStart w:id="212" w:name="_Toc296503057"/>
      <w:bookmarkStart w:id="213" w:name="_Toc296346558"/>
      <w:r>
        <w:rPr>
          <w:rFonts w:hint="eastAsia" w:ascii="宋体" w:hAnsi="宋体" w:eastAsia="宋体" w:cs="宋体"/>
          <w:b w:val="0"/>
          <w:color w:val="000000"/>
          <w:sz w:val="24"/>
          <w:szCs w:val="24"/>
        </w:rPr>
        <w:t>.4 商定或确定</w:t>
      </w:r>
      <w:bookmarkEnd w:id="210"/>
    </w:p>
    <w:bookmarkEnd w:id="211"/>
    <w:bookmarkEnd w:id="212"/>
    <w:bookmarkEnd w:id="213"/>
    <w:p w14:paraId="5CDF44F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合同当事人进行商定或确定时，总监理工程师应当会同合同当事人尽量通过协商达成一致，不能达成一致的，由总监理工程师按照合同约定审慎做出公正的确定。</w:t>
      </w:r>
    </w:p>
    <w:p w14:paraId="0B80CAB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EEEC91A">
      <w:pPr>
        <w:pStyle w:val="8"/>
        <w:spacing w:line="490" w:lineRule="exact"/>
        <w:rPr>
          <w:rFonts w:hint="eastAsia" w:ascii="宋体" w:hAnsi="宋体" w:eastAsia="宋体" w:cs="宋体"/>
          <w:b w:val="0"/>
          <w:color w:val="000000"/>
          <w:sz w:val="24"/>
          <w:szCs w:val="24"/>
        </w:rPr>
      </w:pPr>
      <w:bookmarkStart w:id="214" w:name="_Toc375060747"/>
      <w:r>
        <w:rPr>
          <w:rFonts w:hint="eastAsia" w:ascii="宋体" w:hAnsi="宋体" w:eastAsia="宋体" w:cs="宋体"/>
          <w:b w:val="0"/>
          <w:color w:val="000000"/>
          <w:sz w:val="24"/>
          <w:szCs w:val="24"/>
        </w:rPr>
        <w:t>5</w:t>
      </w:r>
      <w:bookmarkStart w:id="215" w:name="_Toc337558758"/>
      <w:r>
        <w:rPr>
          <w:rFonts w:hint="eastAsia" w:ascii="宋体" w:hAnsi="宋体" w:eastAsia="宋体" w:cs="宋体"/>
          <w:b w:val="0"/>
          <w:color w:val="000000"/>
          <w:sz w:val="24"/>
          <w:szCs w:val="24"/>
        </w:rPr>
        <w:t>. 工程质量</w:t>
      </w:r>
      <w:bookmarkEnd w:id="214"/>
    </w:p>
    <w:bookmarkEnd w:id="215"/>
    <w:p w14:paraId="71EC752B">
      <w:pPr>
        <w:pStyle w:val="9"/>
        <w:spacing w:line="490" w:lineRule="exact"/>
        <w:ind w:firstLine="440" w:firstLineChars="200"/>
        <w:rPr>
          <w:rFonts w:hint="eastAsia" w:ascii="宋体" w:hAnsi="宋体" w:eastAsia="宋体" w:cs="宋体"/>
          <w:b w:val="0"/>
          <w:color w:val="000000"/>
          <w:sz w:val="22"/>
          <w:szCs w:val="18"/>
        </w:rPr>
      </w:pPr>
      <w:bookmarkStart w:id="216" w:name="_Toc375060748"/>
      <w:r>
        <w:rPr>
          <w:rFonts w:hint="eastAsia" w:ascii="宋体" w:hAnsi="宋体" w:eastAsia="宋体" w:cs="宋体"/>
          <w:b w:val="0"/>
          <w:color w:val="000000"/>
          <w:sz w:val="22"/>
          <w:szCs w:val="18"/>
        </w:rPr>
        <w:t>5</w:t>
      </w:r>
      <w:bookmarkStart w:id="217" w:name="_Toc337558759"/>
      <w:r>
        <w:rPr>
          <w:rFonts w:hint="eastAsia" w:ascii="宋体" w:hAnsi="宋体" w:eastAsia="宋体" w:cs="宋体"/>
          <w:b w:val="0"/>
          <w:color w:val="000000"/>
          <w:sz w:val="22"/>
          <w:szCs w:val="18"/>
        </w:rPr>
        <w:t>.1质量要求</w:t>
      </w:r>
      <w:bookmarkEnd w:id="216"/>
    </w:p>
    <w:bookmarkEnd w:id="217"/>
    <w:p w14:paraId="3DFFE74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 工程质量标准必须符合现行国家有关工程施工质量验收规范和标准的要求。有关工程质量的特殊标准或要求由合同当事人在专用合同条款中约定。</w:t>
      </w:r>
    </w:p>
    <w:p w14:paraId="68946C8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5.1.2 因发包人原因造成工程质量未达到合同约定标准的，由发包人承担由此增加的费用和（或）延误的工期，并支付承包人合理的利润。</w:t>
      </w:r>
    </w:p>
    <w:p w14:paraId="1BD58AA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0393EAAD">
      <w:pPr>
        <w:pStyle w:val="9"/>
        <w:spacing w:line="490" w:lineRule="exact"/>
        <w:ind w:firstLine="440" w:firstLineChars="200"/>
        <w:rPr>
          <w:rFonts w:hint="eastAsia" w:ascii="宋体" w:hAnsi="宋体" w:eastAsia="宋体" w:cs="宋体"/>
          <w:b w:val="0"/>
          <w:color w:val="000000"/>
          <w:sz w:val="22"/>
          <w:szCs w:val="18"/>
        </w:rPr>
      </w:pPr>
      <w:bookmarkStart w:id="218" w:name="_Toc375060749"/>
      <w:r>
        <w:rPr>
          <w:rFonts w:hint="eastAsia" w:ascii="宋体" w:hAnsi="宋体" w:eastAsia="宋体" w:cs="宋体"/>
          <w:b w:val="0"/>
          <w:color w:val="000000"/>
          <w:sz w:val="22"/>
          <w:szCs w:val="18"/>
        </w:rPr>
        <w:t>5</w:t>
      </w:r>
      <w:bookmarkStart w:id="219" w:name="_Toc337558760"/>
      <w:r>
        <w:rPr>
          <w:rFonts w:hint="eastAsia" w:ascii="宋体" w:hAnsi="宋体" w:eastAsia="宋体" w:cs="宋体"/>
          <w:b w:val="0"/>
          <w:color w:val="000000"/>
          <w:sz w:val="22"/>
          <w:szCs w:val="18"/>
        </w:rPr>
        <w:t>.2质量保证措施</w:t>
      </w:r>
      <w:bookmarkEnd w:id="218"/>
    </w:p>
    <w:bookmarkEnd w:id="219"/>
    <w:p w14:paraId="77867EF7">
      <w:pPr>
        <w:autoSpaceDE w:val="0"/>
        <w:autoSpaceDN w:val="0"/>
        <w:adjustRightInd w:val="0"/>
        <w:spacing w:line="490" w:lineRule="exact"/>
        <w:ind w:firstLine="480" w:firstLineChars="200"/>
        <w:jc w:val="left"/>
        <w:outlineLvl w:val="0"/>
        <w:rPr>
          <w:rFonts w:hint="eastAsia" w:ascii="宋体" w:hAnsi="宋体" w:eastAsia="宋体" w:cs="宋体"/>
          <w:color w:val="000000"/>
          <w:kern w:val="0"/>
          <w:sz w:val="24"/>
          <w:szCs w:val="24"/>
        </w:rPr>
      </w:pPr>
      <w:bookmarkStart w:id="220" w:name="_Toc375060646"/>
      <w:bookmarkStart w:id="221" w:name="_Toc375060750"/>
      <w:r>
        <w:rPr>
          <w:rFonts w:hint="eastAsia" w:ascii="宋体" w:hAnsi="宋体" w:eastAsia="宋体" w:cs="宋体"/>
          <w:color w:val="000000"/>
          <w:kern w:val="0"/>
          <w:sz w:val="24"/>
          <w:szCs w:val="24"/>
        </w:rPr>
        <w:t>5.2.1 发包人的质量管理</w:t>
      </w:r>
      <w:bookmarkEnd w:id="220"/>
      <w:bookmarkEnd w:id="221"/>
    </w:p>
    <w:p w14:paraId="42E57FA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发包人应按照法律规定及合同约定完成与工程质量有关的各项工作。</w:t>
      </w:r>
    </w:p>
    <w:p w14:paraId="4201B82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5.2.2 承包人的质量管理</w:t>
      </w:r>
    </w:p>
    <w:p w14:paraId="69551D0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73A743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承包人应对施工人员进行质量教育和技术培训，定期考核施工人员的劳动技能，严格执行施工规范和操作规程。</w:t>
      </w:r>
    </w:p>
    <w:p w14:paraId="02B6C43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579A3DC">
      <w:pPr>
        <w:autoSpaceDE w:val="0"/>
        <w:autoSpaceDN w:val="0"/>
        <w:adjustRightInd w:val="0"/>
        <w:spacing w:line="490" w:lineRule="exact"/>
        <w:ind w:firstLine="480" w:firstLineChars="200"/>
        <w:jc w:val="left"/>
        <w:outlineLvl w:val="0"/>
        <w:rPr>
          <w:rFonts w:hint="eastAsia" w:ascii="宋体" w:hAnsi="宋体" w:eastAsia="宋体" w:cs="宋体"/>
          <w:color w:val="000000"/>
          <w:kern w:val="0"/>
          <w:sz w:val="24"/>
          <w:szCs w:val="24"/>
        </w:rPr>
      </w:pPr>
      <w:bookmarkStart w:id="222" w:name="_Toc375060647"/>
      <w:bookmarkStart w:id="223" w:name="_Toc375060751"/>
      <w:r>
        <w:rPr>
          <w:rFonts w:hint="eastAsia" w:ascii="宋体" w:hAnsi="宋体" w:eastAsia="宋体" w:cs="宋体"/>
          <w:color w:val="000000"/>
          <w:kern w:val="0"/>
          <w:sz w:val="24"/>
          <w:szCs w:val="24"/>
        </w:rPr>
        <w:t>5.2.3 监理人的质量检查和检验</w:t>
      </w:r>
      <w:bookmarkEnd w:id="222"/>
      <w:bookmarkEnd w:id="223"/>
    </w:p>
    <w:p w14:paraId="74ADA9E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8FBC53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5C3CE72">
      <w:pPr>
        <w:pStyle w:val="9"/>
        <w:spacing w:line="490" w:lineRule="exact"/>
        <w:ind w:firstLine="440" w:firstLineChars="200"/>
        <w:rPr>
          <w:rFonts w:hint="eastAsia" w:ascii="宋体" w:hAnsi="宋体" w:eastAsia="宋体" w:cs="宋体"/>
          <w:b w:val="0"/>
          <w:color w:val="000000"/>
          <w:sz w:val="22"/>
          <w:szCs w:val="18"/>
        </w:rPr>
      </w:pPr>
      <w:bookmarkStart w:id="224" w:name="_Toc375060752"/>
      <w:r>
        <w:rPr>
          <w:rFonts w:hint="eastAsia" w:ascii="宋体" w:hAnsi="宋体" w:eastAsia="宋体" w:cs="宋体"/>
          <w:b w:val="0"/>
          <w:color w:val="000000"/>
          <w:sz w:val="22"/>
          <w:szCs w:val="18"/>
        </w:rPr>
        <w:t>5</w:t>
      </w:r>
      <w:bookmarkStart w:id="225" w:name="_Toc337558761"/>
      <w:r>
        <w:rPr>
          <w:rFonts w:hint="eastAsia" w:ascii="宋体" w:hAnsi="宋体" w:eastAsia="宋体" w:cs="宋体"/>
          <w:b w:val="0"/>
          <w:color w:val="000000"/>
          <w:sz w:val="22"/>
          <w:szCs w:val="18"/>
        </w:rPr>
        <w:t>.3 隐蔽工程检查</w:t>
      </w:r>
      <w:bookmarkEnd w:id="224"/>
    </w:p>
    <w:bookmarkEnd w:id="225"/>
    <w:p w14:paraId="7DEDAB5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5.3.1承包人自检</w:t>
      </w:r>
    </w:p>
    <w:p w14:paraId="4BC4DB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承包人应当对工程隐蔽部位进行自检，并经自检确认是否具备覆盖条件。</w:t>
      </w:r>
    </w:p>
    <w:p w14:paraId="3C62601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5.3.2检查程序</w:t>
      </w:r>
    </w:p>
    <w:p w14:paraId="2A680E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E148A7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705910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371C60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 重新检查</w:t>
      </w:r>
    </w:p>
    <w:p w14:paraId="255B90F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0CCEAC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5.3.4 承包人私自覆盖</w:t>
      </w:r>
    </w:p>
    <w:p w14:paraId="151E2C37">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06D1FFC1">
      <w:pPr>
        <w:pStyle w:val="9"/>
        <w:spacing w:line="490" w:lineRule="exact"/>
        <w:ind w:firstLine="440" w:firstLineChars="200"/>
        <w:rPr>
          <w:rFonts w:hint="eastAsia" w:ascii="宋体" w:hAnsi="宋体" w:eastAsia="宋体" w:cs="宋体"/>
          <w:b w:val="0"/>
          <w:color w:val="000000"/>
          <w:sz w:val="22"/>
          <w:szCs w:val="18"/>
        </w:rPr>
      </w:pPr>
      <w:bookmarkStart w:id="226" w:name="_Toc375060753"/>
      <w:r>
        <w:rPr>
          <w:rFonts w:hint="eastAsia" w:ascii="宋体" w:hAnsi="宋体" w:eastAsia="宋体" w:cs="宋体"/>
          <w:b w:val="0"/>
          <w:color w:val="000000"/>
          <w:sz w:val="22"/>
          <w:szCs w:val="18"/>
        </w:rPr>
        <w:t>5</w:t>
      </w:r>
      <w:bookmarkStart w:id="227" w:name="_Toc337558762"/>
      <w:r>
        <w:rPr>
          <w:rFonts w:hint="eastAsia" w:ascii="宋体" w:hAnsi="宋体" w:eastAsia="宋体" w:cs="宋体"/>
          <w:b w:val="0"/>
          <w:color w:val="000000"/>
          <w:sz w:val="22"/>
          <w:szCs w:val="18"/>
        </w:rPr>
        <w:t>.4不合格工程的处理</w:t>
      </w:r>
      <w:bookmarkEnd w:id="226"/>
    </w:p>
    <w:bookmarkEnd w:id="227"/>
    <w:p w14:paraId="47314BC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4570EB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5.4.2 因发包人原因造成工程不合格的，由此增加的费用和（或）延误的工期由发包人承担，并支付承包人合理的利润。</w:t>
      </w:r>
    </w:p>
    <w:p w14:paraId="7D39776D">
      <w:pPr>
        <w:pStyle w:val="9"/>
        <w:spacing w:line="490" w:lineRule="exact"/>
        <w:ind w:firstLine="440" w:firstLineChars="200"/>
        <w:rPr>
          <w:rFonts w:hint="eastAsia" w:ascii="宋体" w:hAnsi="宋体" w:eastAsia="宋体" w:cs="宋体"/>
          <w:b w:val="0"/>
          <w:color w:val="000000"/>
          <w:sz w:val="22"/>
          <w:szCs w:val="18"/>
        </w:rPr>
      </w:pPr>
      <w:bookmarkStart w:id="228" w:name="_Toc375060754"/>
      <w:r>
        <w:rPr>
          <w:rFonts w:hint="eastAsia" w:ascii="宋体" w:hAnsi="宋体" w:eastAsia="宋体" w:cs="宋体"/>
          <w:b w:val="0"/>
          <w:color w:val="000000"/>
          <w:sz w:val="22"/>
          <w:szCs w:val="18"/>
        </w:rPr>
        <w:t>5.5 质量争议检测</w:t>
      </w:r>
      <w:bookmarkEnd w:id="228"/>
    </w:p>
    <w:p w14:paraId="4FDB6C8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合同当事人对工程质量有争议的，由双方协商确定的工程质量检测机构鉴定，由此产生的费用及因此造成的损失，由责任方承担。</w:t>
      </w:r>
    </w:p>
    <w:p w14:paraId="6E51DAF0">
      <w:pPr>
        <w:autoSpaceDE w:val="0"/>
        <w:autoSpaceDN w:val="0"/>
        <w:adjustRightInd w:val="0"/>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合同当事人均有责任的，由双方根据其责任分别承担。合同当事人无法达成一致的，按照第4.4款〔商定或确定〕执行。</w:t>
      </w:r>
    </w:p>
    <w:p w14:paraId="3323B3B4">
      <w:pPr>
        <w:pStyle w:val="8"/>
        <w:spacing w:line="490" w:lineRule="exact"/>
        <w:rPr>
          <w:rFonts w:hint="eastAsia" w:ascii="宋体" w:hAnsi="宋体" w:eastAsia="宋体" w:cs="宋体"/>
          <w:b w:val="0"/>
          <w:color w:val="000000"/>
          <w:sz w:val="24"/>
          <w:szCs w:val="24"/>
        </w:rPr>
      </w:pPr>
      <w:bookmarkStart w:id="229" w:name="_Toc375060755"/>
      <w:r>
        <w:rPr>
          <w:rFonts w:hint="eastAsia" w:ascii="宋体" w:hAnsi="宋体" w:eastAsia="宋体" w:cs="宋体"/>
          <w:b w:val="0"/>
          <w:color w:val="000000"/>
          <w:sz w:val="24"/>
          <w:szCs w:val="24"/>
        </w:rPr>
        <w:t>6</w:t>
      </w:r>
      <w:bookmarkStart w:id="230" w:name="_Toc337558763"/>
      <w:r>
        <w:rPr>
          <w:rFonts w:hint="eastAsia" w:ascii="宋体" w:hAnsi="宋体" w:eastAsia="宋体" w:cs="宋体"/>
          <w:b w:val="0"/>
          <w:color w:val="000000"/>
          <w:sz w:val="24"/>
          <w:szCs w:val="24"/>
        </w:rPr>
        <w:t>. 安全文明施工与环境保护</w:t>
      </w:r>
      <w:bookmarkEnd w:id="229"/>
    </w:p>
    <w:bookmarkEnd w:id="230"/>
    <w:p w14:paraId="68FBA246">
      <w:pPr>
        <w:pStyle w:val="9"/>
        <w:spacing w:line="490" w:lineRule="exact"/>
        <w:ind w:firstLine="440" w:firstLineChars="200"/>
        <w:rPr>
          <w:rFonts w:hint="eastAsia" w:ascii="宋体" w:hAnsi="宋体" w:eastAsia="宋体" w:cs="宋体"/>
          <w:b w:val="0"/>
          <w:color w:val="000000"/>
          <w:sz w:val="22"/>
          <w:szCs w:val="18"/>
        </w:rPr>
      </w:pPr>
      <w:bookmarkStart w:id="231" w:name="_Toc375060756"/>
      <w:r>
        <w:rPr>
          <w:rFonts w:hint="eastAsia" w:ascii="宋体" w:hAnsi="宋体" w:eastAsia="宋体" w:cs="宋体"/>
          <w:b w:val="0"/>
          <w:color w:val="000000"/>
          <w:sz w:val="22"/>
          <w:szCs w:val="18"/>
        </w:rPr>
        <w:t>6</w:t>
      </w:r>
      <w:bookmarkStart w:id="232" w:name="_Toc337558764"/>
      <w:r>
        <w:rPr>
          <w:rFonts w:hint="eastAsia" w:ascii="宋体" w:hAnsi="宋体" w:eastAsia="宋体" w:cs="宋体"/>
          <w:b w:val="0"/>
          <w:color w:val="000000"/>
          <w:sz w:val="22"/>
          <w:szCs w:val="18"/>
        </w:rPr>
        <w:t>.1安全文明施工</w:t>
      </w:r>
      <w:bookmarkEnd w:id="231"/>
    </w:p>
    <w:bookmarkEnd w:id="232"/>
    <w:p w14:paraId="78B169E9">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6.1.1安全生产要求</w:t>
      </w:r>
    </w:p>
    <w:p w14:paraId="2B326E88">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1FC8178">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rPr>
        <w:t>政府有关行政管理部门</w:t>
      </w:r>
      <w:r>
        <w:rPr>
          <w:rFonts w:hint="eastAsia" w:ascii="宋体" w:hAnsi="宋体" w:eastAsia="宋体" w:cs="宋体"/>
          <w:color w:val="000000"/>
          <w:sz w:val="24"/>
          <w:szCs w:val="24"/>
        </w:rPr>
        <w:t>采取应急措施。</w:t>
      </w:r>
    </w:p>
    <w:p w14:paraId="36B6722F">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因安全生产需要暂停施工的，按照第7.8款〔暂停施工〕的约定执行。</w:t>
      </w:r>
    </w:p>
    <w:p w14:paraId="46E887B7">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6.1.2 安全生产保证措施</w:t>
      </w:r>
    </w:p>
    <w:p w14:paraId="62DDEE3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承包人应当按照有关</w:t>
      </w:r>
      <w:r>
        <w:rPr>
          <w:rFonts w:hint="eastAsia" w:ascii="宋体" w:hAnsi="宋体" w:eastAsia="宋体" w:cs="宋体"/>
          <w:color w:val="000000"/>
          <w:kern w:val="0"/>
          <w:sz w:val="24"/>
          <w:szCs w:val="24"/>
        </w:rPr>
        <w:t>规定编制安全技术措施或者专项施工方案，</w:t>
      </w:r>
      <w:r>
        <w:rPr>
          <w:rFonts w:hint="eastAsia" w:ascii="宋体" w:hAnsi="宋体" w:eastAsia="宋体" w:cs="宋体"/>
          <w:color w:val="000000"/>
          <w:sz w:val="24"/>
          <w:szCs w:val="24"/>
        </w:rPr>
        <w:t>建立安全生产责任制度、治安保卫制度及安全生产教育培训制度，并</w:t>
      </w:r>
      <w:r>
        <w:rPr>
          <w:rFonts w:hint="eastAsia" w:ascii="宋体" w:hAnsi="宋体" w:eastAsia="宋体" w:cs="宋体"/>
          <w:color w:val="000000"/>
          <w:kern w:val="0"/>
          <w:sz w:val="24"/>
          <w:szCs w:val="24"/>
        </w:rPr>
        <w:t>按安全生产法律规定及合同约定履行安全职责，如实</w:t>
      </w:r>
      <w:r>
        <w:rPr>
          <w:rFonts w:hint="eastAsia" w:ascii="宋体" w:hAnsi="宋体" w:eastAsia="宋体" w:cs="宋体"/>
          <w:color w:val="000000"/>
          <w:sz w:val="24"/>
          <w:szCs w:val="24"/>
        </w:rPr>
        <w:t>编制工程安全生产的有关记录，</w:t>
      </w:r>
      <w:r>
        <w:rPr>
          <w:rFonts w:hint="eastAsia" w:ascii="宋体" w:hAnsi="宋体" w:eastAsia="宋体" w:cs="宋体"/>
          <w:color w:val="000000"/>
          <w:kern w:val="0"/>
          <w:sz w:val="24"/>
          <w:szCs w:val="24"/>
        </w:rPr>
        <w:t>接受发包人、监理人及政府安全监督部门的检查与监督。</w:t>
      </w:r>
    </w:p>
    <w:p w14:paraId="4A775767">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6.1.3特别安全生产事项</w:t>
      </w:r>
    </w:p>
    <w:p w14:paraId="16A755CB">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56CDFC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74481B0B">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7F4838AC">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需单独编制危险性较大分部分项专项工程施工方案的，及要求进行专家论证的超过一定规模的危险性较大的分部分项工程，承包人应及时编制和组织论证。</w:t>
      </w:r>
    </w:p>
    <w:p w14:paraId="211B19B9">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6.1.4 治安保卫</w:t>
      </w:r>
    </w:p>
    <w:p w14:paraId="74F77F23">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14:paraId="1F85A98D">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发包人和承包人除应协助现场治安管理机构或联防组织维护施工场地的社会治安外，还应做好包括生活区在内的各自管辖区的治安保卫工作。</w:t>
      </w:r>
    </w:p>
    <w:p w14:paraId="5850DA5E">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60DA586">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6.1.5 文明施工</w:t>
      </w:r>
    </w:p>
    <w:p w14:paraId="18207E9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B83ECF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91F19EF">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6.1.6 安全文明施工费</w:t>
      </w:r>
    </w:p>
    <w:p w14:paraId="0B54141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14:paraId="13E3728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BB10F1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开工后28天内预付安全文明施工费。发包人逾期支付安全文明施工费超过7天的，承包人有权向发包人发出要求预付的催告通知，发包人收到通知后7天内仍未支付的，承包人有权暂停施工，并按第16.1.1项〔发包人违约的情形〕执行。</w:t>
      </w:r>
    </w:p>
    <w:p w14:paraId="2BE5B2E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14B368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6.1.7 紧急情况处理</w:t>
      </w:r>
    </w:p>
    <w:p w14:paraId="122BE1C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F953D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6.1.8 事故处理</w:t>
      </w:r>
    </w:p>
    <w:p w14:paraId="017157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D94948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 安全生产责任</w:t>
      </w:r>
    </w:p>
    <w:p w14:paraId="75E7F37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6.1.9.1 承包人的安全责任</w:t>
      </w:r>
    </w:p>
    <w:p w14:paraId="785EB36B">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由于承包人原因在施工场地内及其毗邻地带造成的发包人、监理人以及第三者人员伤亡和财产损失，由承包人负责赔偿。</w:t>
      </w:r>
    </w:p>
    <w:p w14:paraId="6F44D355">
      <w:pPr>
        <w:pStyle w:val="9"/>
        <w:spacing w:line="490" w:lineRule="exact"/>
        <w:ind w:firstLine="440" w:firstLineChars="200"/>
        <w:rPr>
          <w:rFonts w:hint="eastAsia" w:ascii="宋体" w:hAnsi="宋体" w:eastAsia="宋体" w:cs="宋体"/>
          <w:b w:val="0"/>
          <w:color w:val="000000"/>
          <w:sz w:val="22"/>
          <w:szCs w:val="18"/>
        </w:rPr>
      </w:pPr>
      <w:bookmarkStart w:id="233" w:name="_Toc375060757"/>
      <w:r>
        <w:rPr>
          <w:rFonts w:hint="eastAsia" w:ascii="宋体" w:hAnsi="宋体" w:eastAsia="宋体" w:cs="宋体"/>
          <w:b w:val="0"/>
          <w:color w:val="000000"/>
          <w:sz w:val="22"/>
          <w:szCs w:val="18"/>
        </w:rPr>
        <w:t>6</w:t>
      </w:r>
      <w:bookmarkStart w:id="234" w:name="_Toc337558765"/>
      <w:r>
        <w:rPr>
          <w:rFonts w:hint="eastAsia" w:ascii="宋体" w:hAnsi="宋体" w:eastAsia="宋体" w:cs="宋体"/>
          <w:b w:val="0"/>
          <w:color w:val="000000"/>
          <w:sz w:val="22"/>
          <w:szCs w:val="18"/>
        </w:rPr>
        <w:t>.2 职业健康</w:t>
      </w:r>
      <w:bookmarkEnd w:id="233"/>
    </w:p>
    <w:bookmarkEnd w:id="234"/>
    <w:p w14:paraId="14E2637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6.2.1 劳动保护</w:t>
      </w:r>
    </w:p>
    <w:p w14:paraId="6B29A4C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A5162F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FFB5D8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46D197D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6.2.2 生活条件</w:t>
      </w:r>
    </w:p>
    <w:p w14:paraId="14C43FA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A99F17B">
      <w:pPr>
        <w:pStyle w:val="9"/>
        <w:spacing w:line="490" w:lineRule="exact"/>
        <w:ind w:firstLine="440" w:firstLineChars="200"/>
        <w:rPr>
          <w:rFonts w:hint="eastAsia" w:ascii="宋体" w:hAnsi="宋体" w:eastAsia="宋体" w:cs="宋体"/>
          <w:b w:val="0"/>
          <w:color w:val="000000"/>
          <w:sz w:val="22"/>
          <w:szCs w:val="18"/>
        </w:rPr>
      </w:pPr>
      <w:bookmarkStart w:id="235" w:name="_Toc375060758"/>
      <w:r>
        <w:rPr>
          <w:rFonts w:hint="eastAsia" w:ascii="宋体" w:hAnsi="宋体" w:eastAsia="宋体" w:cs="宋体"/>
          <w:b w:val="0"/>
          <w:color w:val="000000"/>
          <w:sz w:val="22"/>
          <w:szCs w:val="18"/>
        </w:rPr>
        <w:t>6</w:t>
      </w:r>
      <w:bookmarkStart w:id="236" w:name="_Toc337558766"/>
      <w:r>
        <w:rPr>
          <w:rFonts w:hint="eastAsia" w:ascii="宋体" w:hAnsi="宋体" w:eastAsia="宋体" w:cs="宋体"/>
          <w:b w:val="0"/>
          <w:color w:val="000000"/>
          <w:sz w:val="22"/>
          <w:szCs w:val="18"/>
        </w:rPr>
        <w:t>.3 环境保护</w:t>
      </w:r>
      <w:bookmarkEnd w:id="235"/>
    </w:p>
    <w:bookmarkEnd w:id="236"/>
    <w:p w14:paraId="58E7EFB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660930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14:paraId="23934857">
      <w:pPr>
        <w:pStyle w:val="8"/>
        <w:spacing w:line="490" w:lineRule="exact"/>
        <w:rPr>
          <w:rFonts w:hint="eastAsia" w:ascii="宋体" w:hAnsi="宋体" w:eastAsia="宋体" w:cs="宋体"/>
          <w:b w:val="0"/>
          <w:color w:val="000000"/>
          <w:sz w:val="24"/>
          <w:szCs w:val="24"/>
        </w:rPr>
      </w:pPr>
      <w:bookmarkStart w:id="237" w:name="_Toc375060759"/>
      <w:r>
        <w:rPr>
          <w:rFonts w:hint="eastAsia" w:ascii="宋体" w:hAnsi="宋体" w:eastAsia="宋体" w:cs="宋体"/>
          <w:b w:val="0"/>
          <w:color w:val="000000"/>
          <w:sz w:val="24"/>
          <w:szCs w:val="24"/>
        </w:rPr>
        <w:t>7</w:t>
      </w:r>
      <w:bookmarkStart w:id="238" w:name="_Toc337558767"/>
      <w:r>
        <w:rPr>
          <w:rFonts w:hint="eastAsia" w:ascii="宋体" w:hAnsi="宋体" w:eastAsia="宋体" w:cs="宋体"/>
          <w:b w:val="0"/>
          <w:color w:val="000000"/>
          <w:sz w:val="24"/>
          <w:szCs w:val="24"/>
        </w:rPr>
        <w:t>. 工期和进度</w:t>
      </w:r>
      <w:bookmarkEnd w:id="237"/>
    </w:p>
    <w:bookmarkEnd w:id="238"/>
    <w:p w14:paraId="0D4548B3">
      <w:pPr>
        <w:pStyle w:val="9"/>
        <w:spacing w:line="490" w:lineRule="exact"/>
        <w:ind w:firstLine="440" w:firstLineChars="200"/>
        <w:rPr>
          <w:rFonts w:hint="eastAsia" w:ascii="宋体" w:hAnsi="宋体" w:eastAsia="宋体" w:cs="宋体"/>
          <w:b w:val="0"/>
          <w:color w:val="000000"/>
          <w:sz w:val="22"/>
          <w:szCs w:val="18"/>
        </w:rPr>
      </w:pPr>
      <w:bookmarkStart w:id="239" w:name="_Toc375060760"/>
      <w:r>
        <w:rPr>
          <w:rFonts w:hint="eastAsia" w:ascii="宋体" w:hAnsi="宋体" w:eastAsia="宋体" w:cs="宋体"/>
          <w:b w:val="0"/>
          <w:color w:val="000000"/>
          <w:sz w:val="22"/>
          <w:szCs w:val="18"/>
        </w:rPr>
        <w:t>7</w:t>
      </w:r>
      <w:bookmarkStart w:id="240" w:name="_Toc337558768"/>
      <w:bookmarkStart w:id="241" w:name="_Toc296346567"/>
      <w:bookmarkStart w:id="242" w:name="_Toc296503066"/>
      <w:r>
        <w:rPr>
          <w:rFonts w:hint="eastAsia" w:ascii="宋体" w:hAnsi="宋体" w:eastAsia="宋体" w:cs="宋体"/>
          <w:b w:val="0"/>
          <w:color w:val="000000"/>
          <w:sz w:val="22"/>
          <w:szCs w:val="18"/>
        </w:rPr>
        <w:t>.1施工组织设计</w:t>
      </w:r>
      <w:bookmarkEnd w:id="239"/>
    </w:p>
    <w:bookmarkEnd w:id="240"/>
    <w:p w14:paraId="533CB0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7.1.1 </w:t>
      </w:r>
      <w:r>
        <w:rPr>
          <w:rFonts w:hint="eastAsia" w:ascii="宋体" w:hAnsi="宋体" w:eastAsia="宋体" w:cs="宋体"/>
          <w:color w:val="000000"/>
          <w:kern w:val="0"/>
          <w:sz w:val="24"/>
          <w:szCs w:val="24"/>
        </w:rPr>
        <w:t>施工组织设计的内容</w:t>
      </w:r>
    </w:p>
    <w:p w14:paraId="0E4E840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施工组织设计应包含以下内容：</w:t>
      </w:r>
    </w:p>
    <w:p w14:paraId="18E359D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（1）施工方案； </w:t>
      </w:r>
    </w:p>
    <w:p w14:paraId="4C303C4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（2）施工现场平面布置图；</w:t>
      </w:r>
    </w:p>
    <w:p w14:paraId="51FCFAB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（3）施工进度计划和保证措施； </w:t>
      </w:r>
    </w:p>
    <w:p w14:paraId="628BE32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（4）劳动力及材料供应计划；</w:t>
      </w:r>
    </w:p>
    <w:p w14:paraId="47B555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（5）施工机械设备的选用；</w:t>
      </w:r>
    </w:p>
    <w:p w14:paraId="0E487A3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（6）质量保证体系及措施；</w:t>
      </w:r>
    </w:p>
    <w:p w14:paraId="64465B1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（7）安全生产、文明施工措施；</w:t>
      </w:r>
    </w:p>
    <w:p w14:paraId="67D1DDB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（8）环境保护、成本控制措施；</w:t>
      </w:r>
    </w:p>
    <w:p w14:paraId="56B0CD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（9）合同当事人约定的其他内容。</w:t>
      </w:r>
    </w:p>
    <w:p w14:paraId="1CB149D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7.1.2 </w:t>
      </w:r>
      <w:r>
        <w:rPr>
          <w:rFonts w:hint="eastAsia" w:ascii="宋体" w:hAnsi="宋体" w:eastAsia="宋体" w:cs="宋体"/>
          <w:color w:val="000000"/>
          <w:kern w:val="0"/>
          <w:sz w:val="24"/>
          <w:szCs w:val="24"/>
        </w:rPr>
        <w:t>施工组织设计的提交和修改</w:t>
      </w:r>
    </w:p>
    <w:p w14:paraId="6D6339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BAEB84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施工进度计划的编制和修改按照第7.2款〔施工进度计划〕执行。</w:t>
      </w:r>
    </w:p>
    <w:p w14:paraId="650DE15F">
      <w:pPr>
        <w:pStyle w:val="9"/>
        <w:spacing w:line="490" w:lineRule="exact"/>
        <w:ind w:firstLine="440" w:firstLineChars="200"/>
        <w:rPr>
          <w:rFonts w:hint="eastAsia" w:ascii="宋体" w:hAnsi="宋体" w:eastAsia="宋体" w:cs="宋体"/>
          <w:b w:val="0"/>
          <w:color w:val="000000"/>
          <w:sz w:val="22"/>
          <w:szCs w:val="18"/>
        </w:rPr>
      </w:pPr>
      <w:bookmarkStart w:id="243" w:name="_Toc375060761"/>
      <w:r>
        <w:rPr>
          <w:rFonts w:hint="eastAsia" w:ascii="宋体" w:hAnsi="宋体" w:eastAsia="宋体" w:cs="宋体"/>
          <w:b w:val="0"/>
          <w:color w:val="000000"/>
          <w:sz w:val="22"/>
          <w:szCs w:val="18"/>
        </w:rPr>
        <w:t>7</w:t>
      </w:r>
      <w:bookmarkStart w:id="244" w:name="_Toc337558769"/>
      <w:r>
        <w:rPr>
          <w:rFonts w:hint="eastAsia" w:ascii="宋体" w:hAnsi="宋体" w:eastAsia="宋体" w:cs="宋体"/>
          <w:b w:val="0"/>
          <w:color w:val="000000"/>
          <w:sz w:val="22"/>
          <w:szCs w:val="18"/>
        </w:rPr>
        <w:t>.2 施工进度计划</w:t>
      </w:r>
      <w:bookmarkEnd w:id="243"/>
    </w:p>
    <w:bookmarkEnd w:id="244"/>
    <w:p w14:paraId="420E54D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7.2.1 施工进度计划的编制</w:t>
      </w:r>
    </w:p>
    <w:p w14:paraId="1D9AC7E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EC6850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7.2.2 施工进度计划的修订</w:t>
      </w:r>
    </w:p>
    <w:p w14:paraId="0978320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F6E3B9F">
      <w:pPr>
        <w:pStyle w:val="9"/>
        <w:spacing w:line="490" w:lineRule="exact"/>
        <w:ind w:firstLine="440" w:firstLineChars="200"/>
        <w:rPr>
          <w:rFonts w:hint="eastAsia" w:ascii="宋体" w:hAnsi="宋体" w:eastAsia="宋体" w:cs="宋体"/>
          <w:b w:val="0"/>
          <w:color w:val="000000"/>
          <w:sz w:val="22"/>
          <w:szCs w:val="18"/>
        </w:rPr>
      </w:pPr>
      <w:bookmarkStart w:id="245" w:name="_Toc375060762"/>
      <w:r>
        <w:rPr>
          <w:rFonts w:hint="eastAsia" w:ascii="宋体" w:hAnsi="宋体" w:eastAsia="宋体" w:cs="宋体"/>
          <w:b w:val="0"/>
          <w:color w:val="000000"/>
          <w:sz w:val="22"/>
          <w:szCs w:val="18"/>
        </w:rPr>
        <w:t>7</w:t>
      </w:r>
      <w:bookmarkStart w:id="246" w:name="_Toc337558770"/>
      <w:r>
        <w:rPr>
          <w:rFonts w:hint="eastAsia" w:ascii="宋体" w:hAnsi="宋体" w:eastAsia="宋体" w:cs="宋体"/>
          <w:b w:val="0"/>
          <w:color w:val="000000"/>
          <w:sz w:val="22"/>
          <w:szCs w:val="18"/>
        </w:rPr>
        <w:t>.3 开工</w:t>
      </w:r>
      <w:bookmarkEnd w:id="245"/>
    </w:p>
    <w:p w14:paraId="1D8FEF3F">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7.3.1 开工准备</w:t>
      </w:r>
    </w:p>
    <w:p w14:paraId="293DAF3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6E20CD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除专用合同条款另有约定外，合同当事人应按约定完成开工准备工作。</w:t>
      </w:r>
    </w:p>
    <w:p w14:paraId="309A6C2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7.3.2 开工通知</w:t>
      </w:r>
    </w:p>
    <w:bookmarkEnd w:id="246"/>
    <w:p w14:paraId="536ABAE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经发包人同意后，监理人发出的开工通知应符合法律规定。监理人应在计划开工日期7天前向承包人发出开工通知，工期自开工通知中载明的开工日期起算。</w:t>
      </w:r>
    </w:p>
    <w:p w14:paraId="0621DF9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5A3F84D">
      <w:pPr>
        <w:pStyle w:val="9"/>
        <w:spacing w:line="490" w:lineRule="exact"/>
        <w:ind w:firstLine="440" w:firstLineChars="200"/>
        <w:rPr>
          <w:rFonts w:hint="eastAsia" w:ascii="宋体" w:hAnsi="宋体" w:eastAsia="宋体" w:cs="宋体"/>
          <w:b w:val="0"/>
          <w:color w:val="000000"/>
          <w:sz w:val="22"/>
          <w:szCs w:val="18"/>
        </w:rPr>
      </w:pPr>
      <w:bookmarkStart w:id="247" w:name="_Toc375060763"/>
      <w:r>
        <w:rPr>
          <w:rFonts w:hint="eastAsia" w:ascii="宋体" w:hAnsi="宋体" w:eastAsia="宋体" w:cs="宋体"/>
          <w:b w:val="0"/>
          <w:color w:val="000000"/>
          <w:sz w:val="22"/>
          <w:szCs w:val="18"/>
        </w:rPr>
        <w:t>7.4测量放线</w:t>
      </w:r>
      <w:bookmarkEnd w:id="247"/>
    </w:p>
    <w:p w14:paraId="73AEA2C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F51784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37F852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FE7D86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施工过程中对施工现场内水准点等测量标志物的保护工作由承包人负责。</w:t>
      </w:r>
    </w:p>
    <w:p w14:paraId="109F54FE">
      <w:pPr>
        <w:pStyle w:val="9"/>
        <w:spacing w:line="490" w:lineRule="exact"/>
        <w:ind w:firstLine="440" w:firstLineChars="200"/>
        <w:rPr>
          <w:rFonts w:hint="eastAsia" w:ascii="宋体" w:hAnsi="宋体" w:eastAsia="宋体" w:cs="宋体"/>
          <w:b w:val="0"/>
          <w:color w:val="000000"/>
          <w:sz w:val="22"/>
          <w:szCs w:val="18"/>
        </w:rPr>
      </w:pPr>
      <w:bookmarkStart w:id="248" w:name="_Toc375060764"/>
      <w:r>
        <w:rPr>
          <w:rFonts w:hint="eastAsia" w:ascii="宋体" w:hAnsi="宋体" w:eastAsia="宋体" w:cs="宋体"/>
          <w:b w:val="0"/>
          <w:color w:val="000000"/>
          <w:sz w:val="22"/>
          <w:szCs w:val="18"/>
        </w:rPr>
        <w:t>7</w:t>
      </w:r>
      <w:bookmarkEnd w:id="241"/>
      <w:bookmarkEnd w:id="242"/>
      <w:bookmarkStart w:id="249" w:name="_Toc296503073"/>
      <w:bookmarkStart w:id="250" w:name="_Toc337558772"/>
      <w:bookmarkStart w:id="251" w:name="_Toc296346574"/>
      <w:r>
        <w:rPr>
          <w:rFonts w:hint="eastAsia" w:ascii="宋体" w:hAnsi="宋体" w:eastAsia="宋体" w:cs="宋体"/>
          <w:b w:val="0"/>
          <w:color w:val="000000"/>
          <w:sz w:val="22"/>
          <w:szCs w:val="18"/>
        </w:rPr>
        <w:t>.5 工期延误</w:t>
      </w:r>
      <w:bookmarkEnd w:id="248"/>
    </w:p>
    <w:bookmarkEnd w:id="249"/>
    <w:bookmarkEnd w:id="250"/>
    <w:bookmarkEnd w:id="251"/>
    <w:p w14:paraId="722D8CF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7.5.1 因发包人原因导致工期延误</w:t>
      </w:r>
    </w:p>
    <w:p w14:paraId="589C1CB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14:paraId="679BA03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（1）发包人未能按合同约定提供图纸或所提供图纸不符合合同约定的；</w:t>
      </w:r>
    </w:p>
    <w:p w14:paraId="49DCFB8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（2）发包人未能按合同约定提供施工现场、施工条件、基础资料、许可、批准等开工条件的；</w:t>
      </w:r>
    </w:p>
    <w:p w14:paraId="0719F3A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（3）发包人提供的测量基准点、基准线和水准点及其书面资料存在错误或疏漏的；</w:t>
      </w:r>
    </w:p>
    <w:p w14:paraId="083824C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（4）发包人未能在计划开工日期之日起7天内同意下达开工通知的；</w:t>
      </w:r>
    </w:p>
    <w:p w14:paraId="7D82CF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（5）发包人未能按合同约定日期支付工程预付款、进度款或竣工结算款的；</w:t>
      </w:r>
    </w:p>
    <w:p w14:paraId="69DBF89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（6）监理人未按合同约定发出指示、批准等文件的；</w:t>
      </w:r>
    </w:p>
    <w:p w14:paraId="3310500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（7）专用合同条款中约定的其他情形。</w:t>
      </w:r>
    </w:p>
    <w:p w14:paraId="2B30E70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5BA85F5">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7.5.2 因承包人原因导致工期延误</w:t>
      </w:r>
    </w:p>
    <w:p w14:paraId="6711FB3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bookmarkStart w:id="252" w:name="_Toc296346577"/>
      <w:bookmarkStart w:id="253" w:name="_Toc296503076"/>
      <w:r>
        <w:rPr>
          <w:rFonts w:hint="eastAsia" w:ascii="宋体" w:hAnsi="宋体" w:eastAsia="宋体" w:cs="宋体"/>
          <w:color w:val="000000"/>
          <w:kern w:val="0"/>
          <w:sz w:val="24"/>
          <w:szCs w:val="24"/>
        </w:rPr>
        <w:t>因</w:t>
      </w:r>
      <w:bookmarkEnd w:id="252"/>
      <w:bookmarkEnd w:id="253"/>
      <w:r>
        <w:rPr>
          <w:rFonts w:hint="eastAsia" w:ascii="宋体" w:hAnsi="宋体" w:eastAsia="宋体" w:cs="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0A25D51F">
      <w:pPr>
        <w:pStyle w:val="9"/>
        <w:spacing w:line="490" w:lineRule="exact"/>
        <w:ind w:firstLine="440" w:firstLineChars="200"/>
        <w:rPr>
          <w:rFonts w:hint="eastAsia" w:ascii="宋体" w:hAnsi="宋体" w:eastAsia="宋体" w:cs="宋体"/>
          <w:b w:val="0"/>
          <w:color w:val="000000"/>
          <w:sz w:val="22"/>
          <w:szCs w:val="18"/>
        </w:rPr>
      </w:pPr>
      <w:bookmarkStart w:id="254" w:name="_Toc375060765"/>
      <w:r>
        <w:rPr>
          <w:rFonts w:hint="eastAsia" w:ascii="宋体" w:hAnsi="宋体" w:eastAsia="宋体" w:cs="宋体"/>
          <w:b w:val="0"/>
          <w:color w:val="000000"/>
          <w:sz w:val="22"/>
          <w:szCs w:val="18"/>
        </w:rPr>
        <w:t>7</w:t>
      </w:r>
      <w:bookmarkStart w:id="255" w:name="_Toc296503074"/>
      <w:bookmarkStart w:id="256" w:name="_Toc337558773"/>
      <w:bookmarkStart w:id="257" w:name="_Toc296346575"/>
      <w:bookmarkStart w:id="258" w:name="_Toc296346578"/>
      <w:bookmarkStart w:id="259" w:name="_Toc296503077"/>
      <w:r>
        <w:rPr>
          <w:rFonts w:hint="eastAsia" w:ascii="宋体" w:hAnsi="宋体" w:eastAsia="宋体" w:cs="宋体"/>
          <w:b w:val="0"/>
          <w:color w:val="000000"/>
          <w:sz w:val="22"/>
          <w:szCs w:val="18"/>
        </w:rPr>
        <w:t>.6 不利物质条件</w:t>
      </w:r>
      <w:bookmarkEnd w:id="254"/>
    </w:p>
    <w:bookmarkEnd w:id="255"/>
    <w:bookmarkEnd w:id="256"/>
    <w:bookmarkEnd w:id="257"/>
    <w:p w14:paraId="07C415B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E0D282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1C31927">
      <w:pPr>
        <w:pStyle w:val="9"/>
        <w:spacing w:line="490" w:lineRule="exact"/>
        <w:ind w:firstLine="440" w:firstLineChars="200"/>
        <w:rPr>
          <w:rFonts w:hint="eastAsia" w:ascii="宋体" w:hAnsi="宋体" w:eastAsia="宋体" w:cs="宋体"/>
          <w:b w:val="0"/>
          <w:color w:val="000000"/>
          <w:sz w:val="22"/>
          <w:szCs w:val="18"/>
        </w:rPr>
      </w:pPr>
      <w:bookmarkStart w:id="260" w:name="_Toc375060766"/>
      <w:r>
        <w:rPr>
          <w:rFonts w:hint="eastAsia" w:ascii="宋体" w:hAnsi="宋体" w:eastAsia="宋体" w:cs="宋体"/>
          <w:b w:val="0"/>
          <w:color w:val="000000"/>
          <w:sz w:val="22"/>
          <w:szCs w:val="18"/>
        </w:rPr>
        <w:t>7</w:t>
      </w:r>
      <w:bookmarkStart w:id="261" w:name="_Toc296503075"/>
      <w:bookmarkStart w:id="262" w:name="_Toc337558774"/>
      <w:bookmarkStart w:id="263" w:name="_Toc296346576"/>
      <w:r>
        <w:rPr>
          <w:rFonts w:hint="eastAsia" w:ascii="宋体" w:hAnsi="宋体" w:eastAsia="宋体" w:cs="宋体"/>
          <w:b w:val="0"/>
          <w:color w:val="000000"/>
          <w:sz w:val="22"/>
          <w:szCs w:val="18"/>
        </w:rPr>
        <w:t>.7 异常恶劣的气候条件</w:t>
      </w:r>
      <w:bookmarkEnd w:id="260"/>
    </w:p>
    <w:bookmarkEnd w:id="261"/>
    <w:bookmarkEnd w:id="262"/>
    <w:bookmarkEnd w:id="263"/>
    <w:p w14:paraId="348F995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6522B9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6B2E2D8D">
      <w:pPr>
        <w:autoSpaceDE w:val="0"/>
        <w:autoSpaceDN w:val="0"/>
        <w:adjustRightInd w:val="0"/>
        <w:spacing w:line="490" w:lineRule="exact"/>
        <w:ind w:firstLine="480" w:firstLineChars="200"/>
        <w:jc w:val="left"/>
        <w:outlineLvl w:val="0"/>
        <w:rPr>
          <w:rFonts w:hint="eastAsia" w:ascii="宋体" w:hAnsi="宋体" w:eastAsia="宋体" w:cs="宋体"/>
          <w:bCs/>
          <w:color w:val="000000"/>
          <w:sz w:val="24"/>
          <w:szCs w:val="24"/>
        </w:rPr>
      </w:pPr>
      <w:bookmarkStart w:id="264" w:name="_Toc375060648"/>
      <w:bookmarkStart w:id="265" w:name="_Toc375060767"/>
      <w:r>
        <w:rPr>
          <w:rFonts w:hint="eastAsia" w:ascii="宋体" w:hAnsi="宋体" w:eastAsia="宋体" w:cs="宋体"/>
          <w:bCs/>
          <w:color w:val="000000"/>
          <w:sz w:val="24"/>
          <w:szCs w:val="24"/>
        </w:rPr>
        <w:t>7</w:t>
      </w:r>
      <w:bookmarkStart w:id="266" w:name="_Toc337558775"/>
      <w:r>
        <w:rPr>
          <w:rFonts w:hint="eastAsia" w:ascii="宋体" w:hAnsi="宋体" w:eastAsia="宋体" w:cs="宋体"/>
          <w:bCs/>
          <w:color w:val="000000"/>
          <w:sz w:val="24"/>
          <w:szCs w:val="24"/>
        </w:rPr>
        <w:t>.8 暂停施工</w:t>
      </w:r>
      <w:bookmarkEnd w:id="264"/>
      <w:bookmarkEnd w:id="265"/>
    </w:p>
    <w:bookmarkEnd w:id="258"/>
    <w:bookmarkEnd w:id="259"/>
    <w:bookmarkEnd w:id="266"/>
    <w:p w14:paraId="0A866E1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7.8.1发包人原因引起的暂停施工</w:t>
      </w:r>
    </w:p>
    <w:p w14:paraId="45A2058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14:paraId="351BD30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因发包人原因引起的暂停施工，发包人应承担由此增加的费用和（或）延误的工期，并支付承包人合理的利润。</w:t>
      </w:r>
    </w:p>
    <w:p w14:paraId="4B60260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7.8.2 承包人原因引起的暂停施工</w:t>
      </w:r>
    </w:p>
    <w:p w14:paraId="2A867DD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FD367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7.8.3 指示暂停施工</w:t>
      </w:r>
    </w:p>
    <w:p w14:paraId="75E99FD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监理人认为有必要时，并经发包人批准后，可向承包人作出暂停施工的指示，承包人应按监理人指示暂停施工。</w:t>
      </w:r>
    </w:p>
    <w:p w14:paraId="2121142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7.8.4 紧急情况下的暂停施工</w:t>
      </w:r>
    </w:p>
    <w:p w14:paraId="3C54411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B5FCF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7.8.5 暂停施工后的复工</w:t>
      </w:r>
    </w:p>
    <w:p w14:paraId="325E8E0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DC6B91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14:paraId="0714F38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7.8.6 暂停施工持续56天以上</w:t>
      </w:r>
    </w:p>
    <w:p w14:paraId="59A9BD48">
      <w:pPr>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DBE5F35">
      <w:pPr>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3195A46">
      <w:pPr>
        <w:spacing w:line="490" w:lineRule="exact"/>
        <w:ind w:left="16"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7.8.7 暂停施工期间的工程照管</w:t>
      </w:r>
    </w:p>
    <w:p w14:paraId="1EE9384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暂停施工期间，承包人应负责妥善照管工程并提供安全保障，由此增加的费用由责任方承担。</w:t>
      </w:r>
    </w:p>
    <w:p w14:paraId="4E0703D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7.8.8 暂停施工的措施</w:t>
      </w:r>
    </w:p>
    <w:p w14:paraId="3DEBC1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暂停施工期间，发包人和承包人均应采取必要的措施确保工程质量及安全，防止因暂停施工扩大损失。</w:t>
      </w:r>
    </w:p>
    <w:p w14:paraId="2CDBAA0F">
      <w:pPr>
        <w:pStyle w:val="9"/>
        <w:spacing w:line="490" w:lineRule="exact"/>
        <w:ind w:firstLine="440" w:firstLineChars="200"/>
        <w:rPr>
          <w:rFonts w:hint="eastAsia" w:ascii="宋体" w:hAnsi="宋体" w:eastAsia="宋体" w:cs="宋体"/>
          <w:b w:val="0"/>
          <w:color w:val="000000"/>
          <w:sz w:val="22"/>
          <w:szCs w:val="18"/>
        </w:rPr>
      </w:pPr>
      <w:bookmarkStart w:id="267" w:name="_Toc375060768"/>
      <w:r>
        <w:rPr>
          <w:rFonts w:hint="eastAsia" w:ascii="宋体" w:hAnsi="宋体" w:eastAsia="宋体" w:cs="宋体"/>
          <w:b w:val="0"/>
          <w:color w:val="000000"/>
          <w:sz w:val="22"/>
          <w:szCs w:val="18"/>
        </w:rPr>
        <w:t>7.9提前竣工</w:t>
      </w:r>
      <w:bookmarkEnd w:id="267"/>
    </w:p>
    <w:p w14:paraId="7FA1235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512C06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7.9.2 发包人要求承包人提前竣工，或承包人提出提前竣工的建议能够给发包人带来效益的，合同当事人可以在专用合同条款中约定提前竣工的奖励。</w:t>
      </w:r>
    </w:p>
    <w:p w14:paraId="2245B539">
      <w:pPr>
        <w:pStyle w:val="8"/>
        <w:spacing w:line="490" w:lineRule="exact"/>
        <w:rPr>
          <w:rFonts w:hint="eastAsia" w:ascii="宋体" w:hAnsi="宋体" w:eastAsia="宋体" w:cs="宋体"/>
          <w:b w:val="0"/>
          <w:color w:val="000000"/>
          <w:sz w:val="24"/>
          <w:szCs w:val="24"/>
        </w:rPr>
      </w:pPr>
      <w:bookmarkStart w:id="268" w:name="_Toc375060769"/>
      <w:r>
        <w:rPr>
          <w:rFonts w:hint="eastAsia" w:ascii="宋体" w:hAnsi="宋体" w:eastAsia="宋体" w:cs="宋体"/>
          <w:b w:val="0"/>
          <w:color w:val="000000"/>
          <w:sz w:val="24"/>
          <w:szCs w:val="24"/>
        </w:rPr>
        <w:t>8</w:t>
      </w:r>
      <w:bookmarkStart w:id="269" w:name="_Toc337558776"/>
      <w:bookmarkStart w:id="270" w:name="_Toc296346559"/>
      <w:bookmarkStart w:id="271" w:name="_Toc296503058"/>
      <w:r>
        <w:rPr>
          <w:rFonts w:hint="eastAsia" w:ascii="宋体" w:hAnsi="宋体" w:eastAsia="宋体" w:cs="宋体"/>
          <w:b w:val="0"/>
          <w:color w:val="000000"/>
          <w:sz w:val="24"/>
          <w:szCs w:val="24"/>
        </w:rPr>
        <w:t>. 材料与设备</w:t>
      </w:r>
      <w:bookmarkEnd w:id="268"/>
    </w:p>
    <w:bookmarkEnd w:id="269"/>
    <w:bookmarkEnd w:id="270"/>
    <w:bookmarkEnd w:id="271"/>
    <w:p w14:paraId="59EB4925">
      <w:pPr>
        <w:pStyle w:val="9"/>
        <w:spacing w:line="490" w:lineRule="exact"/>
        <w:ind w:firstLine="440" w:firstLineChars="200"/>
        <w:rPr>
          <w:rFonts w:hint="eastAsia" w:ascii="宋体" w:hAnsi="宋体" w:eastAsia="宋体" w:cs="宋体"/>
          <w:b w:val="0"/>
          <w:color w:val="000000"/>
          <w:sz w:val="22"/>
          <w:szCs w:val="18"/>
        </w:rPr>
      </w:pPr>
      <w:bookmarkStart w:id="272" w:name="_Toc375060770"/>
      <w:r>
        <w:rPr>
          <w:rFonts w:hint="eastAsia" w:ascii="宋体" w:hAnsi="宋体" w:eastAsia="宋体" w:cs="宋体"/>
          <w:b w:val="0"/>
          <w:color w:val="000000"/>
          <w:sz w:val="22"/>
          <w:szCs w:val="18"/>
        </w:rPr>
        <w:t>8</w:t>
      </w:r>
      <w:bookmarkStart w:id="273" w:name="_Toc337558777"/>
      <w:bookmarkStart w:id="274" w:name="_Toc296346560"/>
      <w:bookmarkStart w:id="275" w:name="_Toc296503059"/>
      <w:bookmarkStart w:id="276" w:name="_Toc468936960"/>
      <w:r>
        <w:rPr>
          <w:rFonts w:hint="eastAsia" w:ascii="宋体" w:hAnsi="宋体" w:eastAsia="宋体" w:cs="宋体"/>
          <w:b w:val="0"/>
          <w:color w:val="000000"/>
          <w:sz w:val="22"/>
          <w:szCs w:val="18"/>
        </w:rPr>
        <w:t>.1发包人供应材料与工程设备</w:t>
      </w:r>
      <w:bookmarkEnd w:id="272"/>
    </w:p>
    <w:bookmarkEnd w:id="273"/>
    <w:bookmarkEnd w:id="274"/>
    <w:bookmarkEnd w:id="275"/>
    <w:p w14:paraId="7250B4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14:paraId="5E555A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0962026">
      <w:pPr>
        <w:pStyle w:val="9"/>
        <w:spacing w:line="490" w:lineRule="exact"/>
        <w:ind w:firstLine="440" w:firstLineChars="200"/>
        <w:rPr>
          <w:rFonts w:hint="eastAsia" w:ascii="宋体" w:hAnsi="宋体" w:eastAsia="宋体" w:cs="宋体"/>
          <w:color w:val="000000"/>
          <w:sz w:val="22"/>
          <w:szCs w:val="18"/>
        </w:rPr>
      </w:pPr>
      <w:bookmarkStart w:id="277" w:name="_Toc375060771"/>
      <w:r>
        <w:rPr>
          <w:rFonts w:hint="eastAsia" w:ascii="宋体" w:hAnsi="宋体" w:eastAsia="宋体" w:cs="宋体"/>
          <w:b w:val="0"/>
          <w:color w:val="000000"/>
          <w:sz w:val="22"/>
          <w:szCs w:val="18"/>
        </w:rPr>
        <w:t>8</w:t>
      </w:r>
      <w:bookmarkStart w:id="278" w:name="_Toc296346561"/>
      <w:bookmarkStart w:id="279" w:name="_Toc296503060"/>
      <w:bookmarkStart w:id="280" w:name="_Toc337558778"/>
      <w:r>
        <w:rPr>
          <w:rFonts w:hint="eastAsia" w:ascii="宋体" w:hAnsi="宋体" w:eastAsia="宋体" w:cs="宋体"/>
          <w:b w:val="0"/>
          <w:color w:val="000000"/>
          <w:sz w:val="22"/>
          <w:szCs w:val="18"/>
        </w:rPr>
        <w:t>.2承包人采购材料与工程设备</w:t>
      </w:r>
      <w:bookmarkEnd w:id="277"/>
    </w:p>
    <w:bookmarkEnd w:id="278"/>
    <w:bookmarkEnd w:id="279"/>
    <w:bookmarkEnd w:id="280"/>
    <w:p w14:paraId="66B21F2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B649325">
      <w:pPr>
        <w:pStyle w:val="9"/>
        <w:spacing w:line="490" w:lineRule="exact"/>
        <w:ind w:firstLine="440" w:firstLineChars="200"/>
        <w:rPr>
          <w:rFonts w:hint="eastAsia" w:ascii="宋体" w:hAnsi="宋体" w:eastAsia="宋体" w:cs="宋体"/>
          <w:b w:val="0"/>
          <w:color w:val="000000"/>
          <w:sz w:val="22"/>
          <w:szCs w:val="18"/>
        </w:rPr>
      </w:pPr>
      <w:bookmarkStart w:id="281" w:name="_Toc375060772"/>
      <w:r>
        <w:rPr>
          <w:rFonts w:hint="eastAsia" w:ascii="宋体" w:hAnsi="宋体" w:eastAsia="宋体" w:cs="宋体"/>
          <w:b w:val="0"/>
          <w:color w:val="000000"/>
          <w:sz w:val="22"/>
          <w:szCs w:val="18"/>
        </w:rPr>
        <w:t>8</w:t>
      </w:r>
      <w:bookmarkStart w:id="282" w:name="_Toc296346562"/>
      <w:bookmarkStart w:id="283" w:name="_Toc296503061"/>
      <w:bookmarkStart w:id="284" w:name="_Toc337558779"/>
      <w:r>
        <w:rPr>
          <w:rFonts w:hint="eastAsia" w:ascii="宋体" w:hAnsi="宋体" w:eastAsia="宋体" w:cs="宋体"/>
          <w:b w:val="0"/>
          <w:color w:val="000000"/>
          <w:sz w:val="22"/>
          <w:szCs w:val="18"/>
        </w:rPr>
        <w:t>.3材料与工程设备的接收与拒收</w:t>
      </w:r>
      <w:bookmarkEnd w:id="281"/>
    </w:p>
    <w:bookmarkEnd w:id="282"/>
    <w:bookmarkEnd w:id="283"/>
    <w:bookmarkEnd w:id="284"/>
    <w:p w14:paraId="3796BA3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81C0B6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14:paraId="74E375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8.3.2 承包人采购的材料和工程设备，应保证产品质量合格，承包人应在材料和工程设备到货前24小时通知监理人检验。承</w:t>
      </w:r>
      <w:bookmarkStart w:id="285" w:name="_Toc250655469"/>
      <w:r>
        <w:rPr>
          <w:rFonts w:hint="eastAsia" w:ascii="宋体" w:hAnsi="宋体" w:eastAsia="宋体" w:cs="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285"/>
    <w:p w14:paraId="67206CA0">
      <w:pPr>
        <w:autoSpaceDE w:val="0"/>
        <w:autoSpaceDN w:val="0"/>
        <w:adjustRightInd w:val="0"/>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CAA1BB3">
      <w:pPr>
        <w:pStyle w:val="9"/>
        <w:spacing w:line="490" w:lineRule="exact"/>
        <w:ind w:firstLine="440" w:firstLineChars="200"/>
        <w:rPr>
          <w:rFonts w:hint="eastAsia" w:ascii="宋体" w:hAnsi="宋体" w:eastAsia="宋体" w:cs="宋体"/>
          <w:b w:val="0"/>
          <w:color w:val="000000"/>
          <w:sz w:val="22"/>
          <w:szCs w:val="18"/>
        </w:rPr>
      </w:pPr>
      <w:bookmarkStart w:id="286" w:name="_Toc375060773"/>
      <w:r>
        <w:rPr>
          <w:rFonts w:hint="eastAsia" w:ascii="宋体" w:hAnsi="宋体" w:eastAsia="宋体" w:cs="宋体"/>
          <w:b w:val="0"/>
          <w:color w:val="000000"/>
          <w:sz w:val="22"/>
          <w:szCs w:val="18"/>
        </w:rPr>
        <w:t>8</w:t>
      </w:r>
      <w:bookmarkStart w:id="287" w:name="_Toc337558780"/>
      <w:bookmarkStart w:id="288" w:name="_Toc296503062"/>
      <w:bookmarkStart w:id="289" w:name="_Toc296346563"/>
      <w:r>
        <w:rPr>
          <w:rFonts w:hint="eastAsia" w:ascii="宋体" w:hAnsi="宋体" w:eastAsia="宋体" w:cs="宋体"/>
          <w:b w:val="0"/>
          <w:color w:val="000000"/>
          <w:sz w:val="22"/>
          <w:szCs w:val="18"/>
        </w:rPr>
        <w:t>.4材料与工程设备的保管与使用</w:t>
      </w:r>
      <w:bookmarkEnd w:id="286"/>
    </w:p>
    <w:bookmarkEnd w:id="287"/>
    <w:bookmarkEnd w:id="288"/>
    <w:bookmarkEnd w:id="289"/>
    <w:p w14:paraId="21D6818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8.4.1 发包人供应</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14:paraId="5D2DEA6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983633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发包人供应的材料和工程设备使用前，由承包人负责检验，检验费用由发包人承担，不合格的不得使用。</w:t>
      </w:r>
    </w:p>
    <w:p w14:paraId="3FB362A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8.4.2 承包人采购</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14:paraId="3570BE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40E442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245A3886">
      <w:pPr>
        <w:pStyle w:val="9"/>
        <w:spacing w:line="490" w:lineRule="exact"/>
        <w:ind w:firstLine="440" w:firstLineChars="200"/>
        <w:rPr>
          <w:rFonts w:hint="eastAsia" w:ascii="宋体" w:hAnsi="宋体" w:eastAsia="宋体" w:cs="宋体"/>
          <w:b w:val="0"/>
          <w:color w:val="000000"/>
          <w:sz w:val="22"/>
          <w:szCs w:val="18"/>
        </w:rPr>
      </w:pPr>
      <w:bookmarkStart w:id="290" w:name="_Toc375060774"/>
      <w:r>
        <w:rPr>
          <w:rFonts w:hint="eastAsia" w:ascii="宋体" w:hAnsi="宋体" w:eastAsia="宋体" w:cs="宋体"/>
          <w:b w:val="0"/>
          <w:color w:val="000000"/>
          <w:sz w:val="22"/>
          <w:szCs w:val="18"/>
        </w:rPr>
        <w:t>8.5禁止使用不合格的材料和工程设备</w:t>
      </w:r>
      <w:bookmarkEnd w:id="290"/>
    </w:p>
    <w:p w14:paraId="74BF089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14:paraId="07FCE9B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8.5.2 监理人发现承包人使用了不合格的材料和工程设备，承包人应按照监理人的指示立即改正，并禁止在工程中继续使用不合格的材料和工程设备。</w:t>
      </w:r>
    </w:p>
    <w:p w14:paraId="29A5E14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14:paraId="018EB476">
      <w:pPr>
        <w:pStyle w:val="9"/>
        <w:spacing w:line="490" w:lineRule="exact"/>
        <w:ind w:firstLine="440" w:firstLineChars="200"/>
        <w:rPr>
          <w:rFonts w:hint="eastAsia" w:ascii="宋体" w:hAnsi="宋体" w:eastAsia="宋体" w:cs="宋体"/>
          <w:b w:val="0"/>
          <w:color w:val="000000"/>
          <w:sz w:val="22"/>
          <w:szCs w:val="18"/>
        </w:rPr>
      </w:pPr>
      <w:bookmarkStart w:id="291" w:name="_Toc375060775"/>
      <w:r>
        <w:rPr>
          <w:rFonts w:hint="eastAsia" w:ascii="宋体" w:hAnsi="宋体" w:eastAsia="宋体" w:cs="宋体"/>
          <w:b w:val="0"/>
          <w:color w:val="000000"/>
          <w:sz w:val="22"/>
          <w:szCs w:val="18"/>
        </w:rPr>
        <w:t>8.6 样品</w:t>
      </w:r>
      <w:bookmarkEnd w:id="291"/>
    </w:p>
    <w:p w14:paraId="7E2B385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6AEE07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需要承包人报送样品的材料或工程设备，样品的种类、名称、规格、数量等要求均应在专用合同条款中约定。样品的报送程序如下：</w:t>
      </w:r>
    </w:p>
    <w:p w14:paraId="5A6012A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6450FD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91CEBD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14:paraId="711F0AE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EECE2D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8.6.2 样品的保管</w:t>
      </w:r>
    </w:p>
    <w:p w14:paraId="7650E61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经批准的样品应由监理人负责封存于现场，承包人应在现场为保存样品提供适当和固定的场所并保持适当和良好的存储环境条件。</w:t>
      </w:r>
    </w:p>
    <w:p w14:paraId="4336F17D">
      <w:pPr>
        <w:pStyle w:val="9"/>
        <w:spacing w:line="490" w:lineRule="exact"/>
        <w:ind w:firstLine="440" w:firstLineChars="200"/>
        <w:rPr>
          <w:rFonts w:hint="eastAsia" w:ascii="宋体" w:hAnsi="宋体" w:eastAsia="宋体" w:cs="宋体"/>
          <w:b w:val="0"/>
          <w:color w:val="000000"/>
          <w:sz w:val="22"/>
          <w:szCs w:val="18"/>
        </w:rPr>
      </w:pPr>
      <w:bookmarkStart w:id="292" w:name="_Toc375060776"/>
      <w:r>
        <w:rPr>
          <w:rFonts w:hint="eastAsia" w:ascii="宋体" w:hAnsi="宋体" w:eastAsia="宋体" w:cs="宋体"/>
          <w:b w:val="0"/>
          <w:color w:val="000000"/>
          <w:sz w:val="22"/>
          <w:szCs w:val="18"/>
        </w:rPr>
        <w:t>8.7材料与工程设备的替代</w:t>
      </w:r>
      <w:bookmarkEnd w:id="292"/>
    </w:p>
    <w:p w14:paraId="68D64BF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8.7.1 出现下列情况需要使用替代材料和工程设备的，承包人应按照第8.7.2项约定的程序执行：</w:t>
      </w:r>
    </w:p>
    <w:p w14:paraId="6462D88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（1）基准日期后生效的法律规定禁止使用的；</w:t>
      </w:r>
    </w:p>
    <w:p w14:paraId="41F94C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（2）发包人要求使用替代品的；</w:t>
      </w:r>
    </w:p>
    <w:p w14:paraId="2003ED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（3）因其他原因必须使用替代品的。</w:t>
      </w:r>
    </w:p>
    <w:p w14:paraId="1939E5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8.7.2 承包人应在使用替代材料和工程设备28天前书面通知监理人，并附下列文件：</w:t>
      </w:r>
    </w:p>
    <w:p w14:paraId="136129D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（1）被替代的材料和工程设备的名称、数量、规格、型号、品牌、性能、价格及其他相关资料；</w:t>
      </w:r>
    </w:p>
    <w:p w14:paraId="21BC43D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（2）替代品的名称、数量、规格、型号、品牌、性能、价格及其他相关资料；</w:t>
      </w:r>
    </w:p>
    <w:p w14:paraId="285280B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（3）替代品与被替代产品之间的差异以及使用替代品可能对工程产生的影响；</w:t>
      </w:r>
    </w:p>
    <w:p w14:paraId="070A1BE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（4）替代品与被替代产品的价格差异；</w:t>
      </w:r>
    </w:p>
    <w:p w14:paraId="54F5B58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（5）使用替代品的理由和原因说明；</w:t>
      </w:r>
    </w:p>
    <w:p w14:paraId="5FB4E6E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（6）监理人要求的其他文件。</w:t>
      </w:r>
    </w:p>
    <w:p w14:paraId="70E8D87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监理人应在收到通知后14天内向承包人发出经发包人签认的书面指示；监理人逾期发出书面指示的，视为发包人和监理人同意使用替代品。</w:t>
      </w:r>
    </w:p>
    <w:p w14:paraId="40C3A5B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AB954CA">
      <w:pPr>
        <w:pStyle w:val="9"/>
        <w:spacing w:line="490" w:lineRule="exact"/>
        <w:ind w:firstLine="440" w:firstLineChars="200"/>
        <w:rPr>
          <w:rFonts w:hint="eastAsia" w:ascii="宋体" w:hAnsi="宋体" w:eastAsia="宋体" w:cs="宋体"/>
          <w:b w:val="0"/>
          <w:color w:val="000000"/>
          <w:sz w:val="22"/>
          <w:szCs w:val="18"/>
        </w:rPr>
      </w:pPr>
      <w:bookmarkStart w:id="293" w:name="_Toc375060777"/>
      <w:r>
        <w:rPr>
          <w:rFonts w:hint="eastAsia" w:ascii="宋体" w:hAnsi="宋体" w:eastAsia="宋体" w:cs="宋体"/>
          <w:b w:val="0"/>
          <w:color w:val="000000"/>
          <w:sz w:val="22"/>
          <w:szCs w:val="18"/>
        </w:rPr>
        <w:t>8.8施工设备和临时设施</w:t>
      </w:r>
      <w:bookmarkEnd w:id="293"/>
    </w:p>
    <w:p w14:paraId="74A2D02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8.8.1 承包人提供的施工设备和临时设施</w:t>
      </w:r>
    </w:p>
    <w:p w14:paraId="74069D2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656AFA4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除专用合同条款另有约定外，承包人应自行承担修建临时设施的费用，需要临时占地的，应由发包人办理申请手续并承担相应费用。</w:t>
      </w:r>
    </w:p>
    <w:p w14:paraId="3DB9451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8.8.2发包人提供的施工设备和临时设施</w:t>
      </w:r>
    </w:p>
    <w:p w14:paraId="03DAA5E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发包人提供的施工设备或临时设施在专用合同条款中约定。</w:t>
      </w:r>
    </w:p>
    <w:p w14:paraId="49C3FDC9">
      <w:pPr>
        <w:autoSpaceDE w:val="0"/>
        <w:autoSpaceDN w:val="0"/>
        <w:adjustRightInd w:val="0"/>
        <w:spacing w:line="490" w:lineRule="exact"/>
        <w:ind w:firstLine="480" w:firstLineChars="200"/>
        <w:jc w:val="left"/>
        <w:outlineLvl w:val="0"/>
        <w:rPr>
          <w:rFonts w:hint="eastAsia" w:ascii="宋体" w:hAnsi="宋体" w:eastAsia="宋体" w:cs="宋体"/>
          <w:color w:val="000000"/>
          <w:kern w:val="0"/>
          <w:sz w:val="24"/>
          <w:szCs w:val="24"/>
        </w:rPr>
      </w:pPr>
      <w:bookmarkStart w:id="294" w:name="_Toc375060778"/>
      <w:bookmarkStart w:id="295" w:name="_Toc375060649"/>
      <w:r>
        <w:rPr>
          <w:rFonts w:hint="eastAsia" w:ascii="宋体" w:hAnsi="宋体" w:eastAsia="宋体" w:cs="宋体"/>
          <w:color w:val="000000"/>
          <w:kern w:val="0"/>
          <w:sz w:val="24"/>
          <w:szCs w:val="24"/>
        </w:rPr>
        <w:t>8.8.3要求承包人增加或更换施工设备</w:t>
      </w:r>
      <w:bookmarkEnd w:id="294"/>
      <w:bookmarkEnd w:id="295"/>
    </w:p>
    <w:p w14:paraId="4528C5F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38BFE753">
      <w:pPr>
        <w:pStyle w:val="9"/>
        <w:spacing w:line="490" w:lineRule="exact"/>
        <w:ind w:firstLine="440" w:firstLineChars="200"/>
        <w:rPr>
          <w:rFonts w:hint="eastAsia" w:ascii="宋体" w:hAnsi="宋体" w:eastAsia="宋体" w:cs="宋体"/>
          <w:b w:val="0"/>
          <w:color w:val="000000"/>
          <w:sz w:val="22"/>
          <w:szCs w:val="18"/>
        </w:rPr>
      </w:pPr>
      <w:bookmarkStart w:id="296" w:name="_Toc375060779"/>
      <w:r>
        <w:rPr>
          <w:rFonts w:hint="eastAsia" w:ascii="宋体" w:hAnsi="宋体" w:eastAsia="宋体" w:cs="宋体"/>
          <w:b w:val="0"/>
          <w:color w:val="000000"/>
          <w:sz w:val="22"/>
          <w:szCs w:val="18"/>
        </w:rPr>
        <w:t>8</w:t>
      </w:r>
      <w:bookmarkStart w:id="297" w:name="_Toc296346564"/>
      <w:bookmarkStart w:id="298" w:name="_Toc296503063"/>
      <w:bookmarkStart w:id="299" w:name="_Toc337558781"/>
      <w:r>
        <w:rPr>
          <w:rFonts w:hint="eastAsia" w:ascii="宋体" w:hAnsi="宋体" w:eastAsia="宋体" w:cs="宋体"/>
          <w:b w:val="0"/>
          <w:color w:val="000000"/>
          <w:sz w:val="22"/>
          <w:szCs w:val="18"/>
        </w:rPr>
        <w:t>.9材料与设备专用要求</w:t>
      </w:r>
      <w:bookmarkEnd w:id="296"/>
    </w:p>
    <w:bookmarkEnd w:id="297"/>
    <w:bookmarkEnd w:id="298"/>
    <w:bookmarkEnd w:id="299"/>
    <w:p w14:paraId="425C85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76"/>
      <w:r>
        <w:rPr>
          <w:rFonts w:hint="eastAsia" w:ascii="宋体" w:hAnsi="宋体" w:eastAsia="宋体" w:cs="宋体"/>
          <w:color w:val="000000"/>
          <w:kern w:val="0"/>
          <w:sz w:val="24"/>
          <w:szCs w:val="24"/>
        </w:rPr>
        <w:t>经发包人批准，承包人可以根据施工进度计划撤走闲置的施工设备和其他物品。</w:t>
      </w:r>
    </w:p>
    <w:p w14:paraId="13E6F414">
      <w:pPr>
        <w:pStyle w:val="8"/>
        <w:spacing w:line="490" w:lineRule="exact"/>
        <w:rPr>
          <w:rFonts w:hint="eastAsia" w:ascii="宋体" w:hAnsi="宋体" w:eastAsia="宋体" w:cs="宋体"/>
          <w:b w:val="0"/>
          <w:color w:val="000000"/>
          <w:sz w:val="24"/>
          <w:szCs w:val="24"/>
        </w:rPr>
      </w:pPr>
      <w:bookmarkStart w:id="300" w:name="_Toc375060780"/>
      <w:r>
        <w:rPr>
          <w:rFonts w:hint="eastAsia" w:ascii="宋体" w:hAnsi="宋体" w:eastAsia="宋体" w:cs="宋体"/>
          <w:b w:val="0"/>
          <w:color w:val="000000"/>
          <w:sz w:val="24"/>
          <w:szCs w:val="24"/>
        </w:rPr>
        <w:t>9</w:t>
      </w:r>
      <w:bookmarkStart w:id="301" w:name="_Toc337558782"/>
      <w:bookmarkStart w:id="302" w:name="_Toc296346584"/>
      <w:bookmarkStart w:id="303" w:name="_Toc296503083"/>
      <w:r>
        <w:rPr>
          <w:rFonts w:hint="eastAsia" w:ascii="宋体" w:hAnsi="宋体" w:eastAsia="宋体" w:cs="宋体"/>
          <w:b w:val="0"/>
          <w:color w:val="000000"/>
          <w:sz w:val="24"/>
          <w:szCs w:val="24"/>
        </w:rPr>
        <w:t>. 试验与检验</w:t>
      </w:r>
      <w:bookmarkEnd w:id="300"/>
    </w:p>
    <w:bookmarkEnd w:id="301"/>
    <w:p w14:paraId="32AAA11C">
      <w:pPr>
        <w:pStyle w:val="9"/>
        <w:spacing w:line="490" w:lineRule="exact"/>
        <w:ind w:firstLine="440" w:firstLineChars="200"/>
        <w:rPr>
          <w:rFonts w:hint="eastAsia" w:ascii="宋体" w:hAnsi="宋体" w:eastAsia="宋体" w:cs="宋体"/>
          <w:b w:val="0"/>
          <w:color w:val="000000"/>
          <w:sz w:val="22"/>
          <w:szCs w:val="18"/>
        </w:rPr>
      </w:pPr>
      <w:bookmarkStart w:id="304" w:name="_Toc375060781"/>
      <w:r>
        <w:rPr>
          <w:rFonts w:hint="eastAsia" w:ascii="宋体" w:hAnsi="宋体" w:eastAsia="宋体" w:cs="宋体"/>
          <w:b w:val="0"/>
          <w:color w:val="000000"/>
          <w:sz w:val="22"/>
          <w:szCs w:val="18"/>
        </w:rPr>
        <w:t>9</w:t>
      </w:r>
      <w:bookmarkStart w:id="305" w:name="_Toc337558783"/>
      <w:r>
        <w:rPr>
          <w:rFonts w:hint="eastAsia" w:ascii="宋体" w:hAnsi="宋体" w:eastAsia="宋体" w:cs="宋体"/>
          <w:b w:val="0"/>
          <w:color w:val="000000"/>
          <w:sz w:val="22"/>
          <w:szCs w:val="18"/>
        </w:rPr>
        <w:t>.1试验设备与试验人员</w:t>
      </w:r>
      <w:bookmarkEnd w:id="304"/>
    </w:p>
    <w:bookmarkEnd w:id="305"/>
    <w:p w14:paraId="38D0270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FC4A35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9.1.2 承包人应按专用合同条款的约定提供试验设备、取样装置、试验场所和试验条件，并向监理人提交相应进场计划表。</w:t>
      </w:r>
    </w:p>
    <w:p w14:paraId="14801CA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14:paraId="39C7796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08AA5067">
      <w:pPr>
        <w:pStyle w:val="9"/>
        <w:spacing w:line="490" w:lineRule="exact"/>
        <w:ind w:firstLine="440" w:firstLineChars="200"/>
        <w:rPr>
          <w:rFonts w:hint="eastAsia" w:ascii="宋体" w:hAnsi="宋体" w:eastAsia="宋体" w:cs="宋体"/>
          <w:b w:val="0"/>
          <w:color w:val="000000"/>
          <w:sz w:val="22"/>
          <w:szCs w:val="18"/>
        </w:rPr>
      </w:pPr>
      <w:bookmarkStart w:id="306" w:name="_Toc375060782"/>
      <w:r>
        <w:rPr>
          <w:rFonts w:hint="eastAsia" w:ascii="宋体" w:hAnsi="宋体" w:eastAsia="宋体" w:cs="宋体"/>
          <w:b w:val="0"/>
          <w:color w:val="000000"/>
          <w:sz w:val="22"/>
          <w:szCs w:val="18"/>
        </w:rPr>
        <w:t>9</w:t>
      </w:r>
      <w:bookmarkStart w:id="307" w:name="_Toc337558784"/>
      <w:r>
        <w:rPr>
          <w:rFonts w:hint="eastAsia" w:ascii="宋体" w:hAnsi="宋体" w:eastAsia="宋体" w:cs="宋体"/>
          <w:b w:val="0"/>
          <w:color w:val="000000"/>
          <w:sz w:val="22"/>
          <w:szCs w:val="18"/>
        </w:rPr>
        <w:t>.2取样</w:t>
      </w:r>
      <w:bookmarkEnd w:id="306"/>
    </w:p>
    <w:bookmarkEnd w:id="307"/>
    <w:p w14:paraId="4C1C6FB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试验属于自检性质的，承包人可以单独取样。试验属于监理人抽检性质的，可由监理人取样，也可由承包人的试验人员在监理人的监督下取样。</w:t>
      </w:r>
    </w:p>
    <w:p w14:paraId="73E1957E">
      <w:pPr>
        <w:pStyle w:val="9"/>
        <w:spacing w:line="490" w:lineRule="exact"/>
        <w:ind w:firstLine="440" w:firstLineChars="200"/>
        <w:rPr>
          <w:rFonts w:hint="eastAsia" w:ascii="宋体" w:hAnsi="宋体" w:eastAsia="宋体" w:cs="宋体"/>
          <w:b w:val="0"/>
          <w:color w:val="000000"/>
          <w:sz w:val="22"/>
          <w:szCs w:val="18"/>
        </w:rPr>
      </w:pPr>
      <w:bookmarkStart w:id="308" w:name="_Toc375060783"/>
      <w:r>
        <w:rPr>
          <w:rFonts w:hint="eastAsia" w:ascii="宋体" w:hAnsi="宋体" w:eastAsia="宋体" w:cs="宋体"/>
          <w:b w:val="0"/>
          <w:color w:val="000000"/>
          <w:sz w:val="22"/>
          <w:szCs w:val="18"/>
        </w:rPr>
        <w:t>9</w:t>
      </w:r>
      <w:bookmarkStart w:id="309" w:name="_Toc337558785"/>
      <w:r>
        <w:rPr>
          <w:rFonts w:hint="eastAsia" w:ascii="宋体" w:hAnsi="宋体" w:eastAsia="宋体" w:cs="宋体"/>
          <w:b w:val="0"/>
          <w:color w:val="000000"/>
          <w:sz w:val="22"/>
          <w:szCs w:val="18"/>
        </w:rPr>
        <w:t>.3材料、工程设备和工程的试验和检验</w:t>
      </w:r>
      <w:bookmarkEnd w:id="308"/>
    </w:p>
    <w:bookmarkEnd w:id="309"/>
    <w:p w14:paraId="6FA6DE6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48008B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3573D8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EB79A56">
      <w:pPr>
        <w:pStyle w:val="9"/>
        <w:spacing w:line="490" w:lineRule="exact"/>
        <w:ind w:firstLine="440" w:firstLineChars="200"/>
        <w:rPr>
          <w:rFonts w:hint="eastAsia" w:ascii="宋体" w:hAnsi="宋体" w:eastAsia="宋体" w:cs="宋体"/>
          <w:b w:val="0"/>
          <w:color w:val="000000"/>
          <w:sz w:val="22"/>
          <w:szCs w:val="18"/>
        </w:rPr>
      </w:pPr>
      <w:bookmarkStart w:id="310" w:name="_Toc375060784"/>
      <w:r>
        <w:rPr>
          <w:rFonts w:hint="eastAsia" w:ascii="宋体" w:hAnsi="宋体" w:eastAsia="宋体" w:cs="宋体"/>
          <w:b w:val="0"/>
          <w:color w:val="000000"/>
          <w:sz w:val="22"/>
          <w:szCs w:val="18"/>
        </w:rPr>
        <w:t>9</w:t>
      </w:r>
      <w:bookmarkStart w:id="311" w:name="_Toc337558786"/>
      <w:r>
        <w:rPr>
          <w:rFonts w:hint="eastAsia" w:ascii="宋体" w:hAnsi="宋体" w:eastAsia="宋体" w:cs="宋体"/>
          <w:b w:val="0"/>
          <w:color w:val="000000"/>
          <w:sz w:val="22"/>
          <w:szCs w:val="18"/>
        </w:rPr>
        <w:t>.4现场工艺试验</w:t>
      </w:r>
      <w:bookmarkEnd w:id="310"/>
    </w:p>
    <w:bookmarkEnd w:id="311"/>
    <w:p w14:paraId="7973D5A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261E1DB9">
      <w:pPr>
        <w:pStyle w:val="8"/>
        <w:spacing w:line="490" w:lineRule="exact"/>
        <w:rPr>
          <w:rFonts w:hint="eastAsia" w:ascii="宋体" w:hAnsi="宋体" w:eastAsia="宋体" w:cs="宋体"/>
          <w:b w:val="0"/>
          <w:color w:val="000000"/>
          <w:sz w:val="24"/>
          <w:szCs w:val="24"/>
        </w:rPr>
      </w:pPr>
      <w:bookmarkStart w:id="312" w:name="_Toc375060785"/>
      <w:r>
        <w:rPr>
          <w:rFonts w:hint="eastAsia" w:ascii="宋体" w:hAnsi="宋体" w:eastAsia="宋体" w:cs="宋体"/>
          <w:b w:val="0"/>
          <w:color w:val="000000"/>
          <w:sz w:val="24"/>
          <w:szCs w:val="24"/>
        </w:rPr>
        <w:t>1</w:t>
      </w:r>
      <w:bookmarkStart w:id="313" w:name="_Toc337558787"/>
      <w:r>
        <w:rPr>
          <w:rFonts w:hint="eastAsia" w:ascii="宋体" w:hAnsi="宋体" w:eastAsia="宋体" w:cs="宋体"/>
          <w:b w:val="0"/>
          <w:color w:val="000000"/>
          <w:sz w:val="24"/>
          <w:szCs w:val="24"/>
        </w:rPr>
        <w:t>0. 变更</w:t>
      </w:r>
      <w:bookmarkEnd w:id="302"/>
      <w:bookmarkEnd w:id="303"/>
      <w:bookmarkEnd w:id="312"/>
    </w:p>
    <w:bookmarkEnd w:id="313"/>
    <w:p w14:paraId="28AA9535">
      <w:pPr>
        <w:pStyle w:val="9"/>
        <w:spacing w:line="490" w:lineRule="exact"/>
        <w:ind w:firstLine="440" w:firstLineChars="200"/>
        <w:rPr>
          <w:rFonts w:hint="eastAsia" w:ascii="宋体" w:hAnsi="宋体" w:eastAsia="宋体" w:cs="宋体"/>
          <w:b w:val="0"/>
          <w:color w:val="000000"/>
          <w:sz w:val="22"/>
          <w:szCs w:val="18"/>
        </w:rPr>
      </w:pPr>
      <w:bookmarkStart w:id="314" w:name="_Toc375060786"/>
      <w:r>
        <w:rPr>
          <w:rFonts w:hint="eastAsia" w:ascii="宋体" w:hAnsi="宋体" w:eastAsia="宋体" w:cs="宋体"/>
          <w:b w:val="0"/>
          <w:color w:val="000000"/>
          <w:sz w:val="22"/>
          <w:szCs w:val="18"/>
        </w:rPr>
        <w:t>1</w:t>
      </w:r>
      <w:bookmarkStart w:id="315" w:name="_Toc337558788"/>
      <w:bookmarkStart w:id="316" w:name="_Toc296503084"/>
      <w:bookmarkStart w:id="317" w:name="_Toc296346585"/>
      <w:r>
        <w:rPr>
          <w:rFonts w:hint="eastAsia" w:ascii="宋体" w:hAnsi="宋体" w:eastAsia="宋体" w:cs="宋体"/>
          <w:b w:val="0"/>
          <w:color w:val="000000"/>
          <w:sz w:val="22"/>
          <w:szCs w:val="18"/>
        </w:rPr>
        <w:t>0.1变更的范围</w:t>
      </w:r>
      <w:bookmarkEnd w:id="314"/>
    </w:p>
    <w:bookmarkEnd w:id="315"/>
    <w:bookmarkEnd w:id="316"/>
    <w:bookmarkEnd w:id="317"/>
    <w:p w14:paraId="0F8FC8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除专用合同条款另有约定外，合同履行过程中发生以下情形的，应按照本条约定进行变更：</w:t>
      </w:r>
    </w:p>
    <w:p w14:paraId="3F2A326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（1）增加或减少合同中任何工作，或追加额外的工作；</w:t>
      </w:r>
    </w:p>
    <w:p w14:paraId="39989E6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（2）取消合同中任何工作，但转由他人实施的工作除外；</w:t>
      </w:r>
    </w:p>
    <w:p w14:paraId="576070A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（3）改变合同中任何工作的质量标准或其他特性；</w:t>
      </w:r>
    </w:p>
    <w:p w14:paraId="625A2F8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（4）改变工程的基线、标高、位置和尺寸；</w:t>
      </w:r>
    </w:p>
    <w:p w14:paraId="068536E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（5）改变工程的时间安排或实施顺序。</w:t>
      </w:r>
    </w:p>
    <w:p w14:paraId="1F1939B9">
      <w:pPr>
        <w:pStyle w:val="9"/>
        <w:spacing w:line="490" w:lineRule="exact"/>
        <w:ind w:firstLine="440" w:firstLineChars="200"/>
        <w:rPr>
          <w:rFonts w:hint="eastAsia" w:ascii="宋体" w:hAnsi="宋体" w:eastAsia="宋体" w:cs="宋体"/>
          <w:b w:val="0"/>
          <w:color w:val="000000"/>
          <w:sz w:val="22"/>
          <w:szCs w:val="18"/>
        </w:rPr>
      </w:pPr>
      <w:bookmarkStart w:id="318" w:name="_Toc375060787"/>
      <w:r>
        <w:rPr>
          <w:rFonts w:hint="eastAsia" w:ascii="宋体" w:hAnsi="宋体" w:eastAsia="宋体" w:cs="宋体"/>
          <w:b w:val="0"/>
          <w:color w:val="000000"/>
          <w:sz w:val="22"/>
          <w:szCs w:val="18"/>
        </w:rPr>
        <w:t>1</w:t>
      </w:r>
      <w:bookmarkStart w:id="319" w:name="_Toc337558789"/>
      <w:bookmarkStart w:id="320" w:name="_Toc296503085"/>
      <w:bookmarkStart w:id="321" w:name="_Toc296346586"/>
      <w:r>
        <w:rPr>
          <w:rFonts w:hint="eastAsia" w:ascii="宋体" w:hAnsi="宋体" w:eastAsia="宋体" w:cs="宋体"/>
          <w:b w:val="0"/>
          <w:color w:val="000000"/>
          <w:sz w:val="22"/>
          <w:szCs w:val="18"/>
        </w:rPr>
        <w:t>0.2变更权</w:t>
      </w:r>
      <w:bookmarkEnd w:id="318"/>
    </w:p>
    <w:bookmarkEnd w:id="319"/>
    <w:bookmarkEnd w:id="320"/>
    <w:bookmarkEnd w:id="321"/>
    <w:p w14:paraId="65A7519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C17006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涉及设计变更的，应由设计人提供变更后的图纸和说明。如变更超过原设计标准或批准的建设规模时，发包人应及时办理规划、设计变更等审批手续。</w:t>
      </w:r>
    </w:p>
    <w:p w14:paraId="4A2A7300">
      <w:pPr>
        <w:pStyle w:val="9"/>
        <w:spacing w:line="490" w:lineRule="exact"/>
        <w:ind w:firstLine="440" w:firstLineChars="200"/>
        <w:rPr>
          <w:rFonts w:hint="eastAsia" w:ascii="宋体" w:hAnsi="宋体" w:eastAsia="宋体" w:cs="宋体"/>
          <w:b w:val="0"/>
          <w:color w:val="000000"/>
          <w:sz w:val="22"/>
          <w:szCs w:val="18"/>
        </w:rPr>
      </w:pPr>
      <w:bookmarkStart w:id="322" w:name="_Toc375060788"/>
      <w:r>
        <w:rPr>
          <w:rFonts w:hint="eastAsia" w:ascii="宋体" w:hAnsi="宋体" w:eastAsia="宋体" w:cs="宋体"/>
          <w:b w:val="0"/>
          <w:color w:val="000000"/>
          <w:sz w:val="22"/>
          <w:szCs w:val="18"/>
        </w:rPr>
        <w:t>1</w:t>
      </w:r>
      <w:bookmarkStart w:id="323" w:name="_Toc337558790"/>
      <w:bookmarkStart w:id="324" w:name="_Toc296346587"/>
      <w:bookmarkStart w:id="325" w:name="_Toc296503086"/>
      <w:r>
        <w:rPr>
          <w:rFonts w:hint="eastAsia" w:ascii="宋体" w:hAnsi="宋体" w:eastAsia="宋体" w:cs="宋体"/>
          <w:b w:val="0"/>
          <w:color w:val="000000"/>
          <w:sz w:val="22"/>
          <w:szCs w:val="18"/>
        </w:rPr>
        <w:t>0.3变更程序</w:t>
      </w:r>
      <w:bookmarkEnd w:id="322"/>
    </w:p>
    <w:bookmarkEnd w:id="323"/>
    <w:bookmarkEnd w:id="324"/>
    <w:bookmarkEnd w:id="325"/>
    <w:p w14:paraId="581096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.3.1 发包人提出变更</w:t>
      </w:r>
    </w:p>
    <w:p w14:paraId="37F32FF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发包人提出变更的，应通过监理人向承包人发出变更指示，变更指示应说明计划变更的工程范围和变更的内容。</w:t>
      </w:r>
    </w:p>
    <w:p w14:paraId="22F7713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.3.2 监理人提出变更建议</w:t>
      </w:r>
    </w:p>
    <w:p w14:paraId="0FE2F1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CF4280E">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10.3.3 变更执行</w:t>
      </w:r>
    </w:p>
    <w:p w14:paraId="36476E1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76874B7">
      <w:pPr>
        <w:pStyle w:val="9"/>
        <w:spacing w:line="490" w:lineRule="exact"/>
        <w:ind w:firstLine="440" w:firstLineChars="200"/>
        <w:rPr>
          <w:rFonts w:hint="eastAsia" w:ascii="宋体" w:hAnsi="宋体" w:eastAsia="宋体" w:cs="宋体"/>
          <w:b w:val="0"/>
          <w:color w:val="000000"/>
          <w:sz w:val="22"/>
          <w:szCs w:val="18"/>
        </w:rPr>
      </w:pPr>
      <w:bookmarkStart w:id="326" w:name="_Toc375060789"/>
      <w:r>
        <w:rPr>
          <w:rFonts w:hint="eastAsia" w:ascii="宋体" w:hAnsi="宋体" w:eastAsia="宋体" w:cs="宋体"/>
          <w:b w:val="0"/>
          <w:color w:val="000000"/>
          <w:sz w:val="22"/>
          <w:szCs w:val="18"/>
        </w:rPr>
        <w:t>1</w:t>
      </w:r>
      <w:bookmarkStart w:id="327" w:name="_Toc296503087"/>
      <w:bookmarkStart w:id="328" w:name="_Toc337558791"/>
      <w:bookmarkStart w:id="329" w:name="_Toc296346588"/>
      <w:r>
        <w:rPr>
          <w:rFonts w:hint="eastAsia" w:ascii="宋体" w:hAnsi="宋体" w:eastAsia="宋体" w:cs="宋体"/>
          <w:b w:val="0"/>
          <w:color w:val="000000"/>
          <w:sz w:val="22"/>
          <w:szCs w:val="18"/>
        </w:rPr>
        <w:t>0.4变更估价</w:t>
      </w:r>
      <w:bookmarkEnd w:id="326"/>
    </w:p>
    <w:bookmarkEnd w:id="327"/>
    <w:bookmarkEnd w:id="328"/>
    <w:bookmarkEnd w:id="329"/>
    <w:p w14:paraId="5938D82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10.4.1 变更估价原则</w:t>
      </w:r>
    </w:p>
    <w:p w14:paraId="1AF2DD6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除专用合同条款另有约定外，变更估价按照本款约定处理：</w:t>
      </w:r>
    </w:p>
    <w:p w14:paraId="598F043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（1）已标价工程量清单或预算书有相同项目的，按照相同项目单价认定；</w:t>
      </w:r>
    </w:p>
    <w:p w14:paraId="4ECB29B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（2）已标价工程量清单或预算书中无相同项目，但有类似项目的，参照类似项目的单价认定；</w:t>
      </w:r>
    </w:p>
    <w:p w14:paraId="20E5D16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248F28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10.4.2 变更估价程序</w:t>
      </w:r>
    </w:p>
    <w:p w14:paraId="70863AB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40A51D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因变更引起的价格调整应计入最近一期的进度款中支付。</w:t>
      </w:r>
    </w:p>
    <w:p w14:paraId="2868282B">
      <w:pPr>
        <w:pStyle w:val="9"/>
        <w:spacing w:line="490" w:lineRule="exact"/>
        <w:ind w:firstLine="440" w:firstLineChars="200"/>
        <w:rPr>
          <w:rFonts w:hint="eastAsia" w:ascii="宋体" w:hAnsi="宋体" w:eastAsia="宋体" w:cs="宋体"/>
          <w:b w:val="0"/>
          <w:color w:val="000000"/>
          <w:sz w:val="22"/>
          <w:szCs w:val="18"/>
        </w:rPr>
      </w:pPr>
      <w:bookmarkStart w:id="330" w:name="_Toc375060790"/>
      <w:r>
        <w:rPr>
          <w:rFonts w:hint="eastAsia" w:ascii="宋体" w:hAnsi="宋体" w:eastAsia="宋体" w:cs="宋体"/>
          <w:b w:val="0"/>
          <w:color w:val="000000"/>
          <w:sz w:val="22"/>
          <w:szCs w:val="18"/>
        </w:rPr>
        <w:t>1</w:t>
      </w:r>
      <w:bookmarkStart w:id="331" w:name="_Toc337558792"/>
      <w:bookmarkStart w:id="332" w:name="_Toc296346595"/>
      <w:bookmarkStart w:id="333" w:name="_Toc296503094"/>
      <w:r>
        <w:rPr>
          <w:rFonts w:hint="eastAsia" w:ascii="宋体" w:hAnsi="宋体" w:eastAsia="宋体" w:cs="宋体"/>
          <w:b w:val="0"/>
          <w:color w:val="000000"/>
          <w:sz w:val="22"/>
          <w:szCs w:val="18"/>
        </w:rPr>
        <w:t>0.5承包人的合理化建议</w:t>
      </w:r>
      <w:bookmarkEnd w:id="330"/>
    </w:p>
    <w:bookmarkEnd w:id="331"/>
    <w:bookmarkEnd w:id="332"/>
    <w:bookmarkEnd w:id="333"/>
    <w:p w14:paraId="2F8B280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承包人提出合理化建议的，应向监理人提交合理化建议说明，说明建议的内容和理由，以及实施该建议对合同价格和工期的影响。</w:t>
      </w:r>
    </w:p>
    <w:p w14:paraId="530D28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CA5F6C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合理化建议降低了合同价格或者提高了工程经济效益的，发包人可对承包人给予奖励，奖励的方法和金额在专用合同条款中约定。</w:t>
      </w:r>
    </w:p>
    <w:p w14:paraId="346447F6">
      <w:pPr>
        <w:pStyle w:val="9"/>
        <w:spacing w:line="490" w:lineRule="exact"/>
        <w:ind w:firstLine="440" w:firstLineChars="200"/>
        <w:rPr>
          <w:rFonts w:hint="eastAsia" w:ascii="宋体" w:hAnsi="宋体" w:eastAsia="宋体" w:cs="宋体"/>
          <w:color w:val="000000"/>
          <w:sz w:val="22"/>
          <w:szCs w:val="18"/>
        </w:rPr>
      </w:pPr>
      <w:bookmarkStart w:id="334" w:name="_Toc375060791"/>
      <w:r>
        <w:rPr>
          <w:rFonts w:hint="eastAsia" w:ascii="宋体" w:hAnsi="宋体" w:eastAsia="宋体" w:cs="宋体"/>
          <w:b w:val="0"/>
          <w:color w:val="000000"/>
          <w:sz w:val="22"/>
          <w:szCs w:val="18"/>
        </w:rPr>
        <w:t>1</w:t>
      </w:r>
      <w:bookmarkStart w:id="335" w:name="_Toc337558793"/>
      <w:r>
        <w:rPr>
          <w:rFonts w:hint="eastAsia" w:ascii="宋体" w:hAnsi="宋体" w:eastAsia="宋体" w:cs="宋体"/>
          <w:b w:val="0"/>
          <w:color w:val="000000"/>
          <w:sz w:val="22"/>
          <w:szCs w:val="18"/>
        </w:rPr>
        <w:t>0.6变更引起的工期调整</w:t>
      </w:r>
      <w:bookmarkEnd w:id="334"/>
      <w:r>
        <w:rPr>
          <w:rFonts w:hint="eastAsia" w:ascii="宋体" w:hAnsi="宋体" w:eastAsia="宋体" w:cs="宋体"/>
          <w:b w:val="0"/>
          <w:color w:val="000000"/>
          <w:sz w:val="22"/>
          <w:szCs w:val="18"/>
        </w:rPr>
        <w:t xml:space="preserve"> </w:t>
      </w:r>
      <w:bookmarkEnd w:id="335"/>
      <w:r>
        <w:rPr>
          <w:rFonts w:hint="eastAsia" w:ascii="宋体" w:hAnsi="宋体" w:eastAsia="宋体" w:cs="宋体"/>
          <w:b w:val="0"/>
          <w:color w:val="000000"/>
          <w:sz w:val="22"/>
          <w:szCs w:val="18"/>
        </w:rPr>
        <w:t xml:space="preserve"> </w:t>
      </w:r>
      <w:r>
        <w:rPr>
          <w:rFonts w:hint="eastAsia" w:ascii="宋体" w:hAnsi="宋体" w:eastAsia="宋体" w:cs="宋体"/>
          <w:color w:val="000000"/>
          <w:sz w:val="22"/>
          <w:szCs w:val="18"/>
        </w:rPr>
        <w:t xml:space="preserve"> </w:t>
      </w:r>
    </w:p>
    <w:p w14:paraId="59C3D7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因变更引起工期变化的，合同当事人均可要求调整合同工期，由合同当事人按照第4.4款〔商定或确定〕并参考工程所在地的工期定额标准确定增减工期天数。</w:t>
      </w:r>
    </w:p>
    <w:p w14:paraId="6122C11E">
      <w:pPr>
        <w:pStyle w:val="9"/>
        <w:spacing w:line="490" w:lineRule="exact"/>
        <w:ind w:firstLine="440" w:firstLineChars="200"/>
        <w:rPr>
          <w:rFonts w:hint="eastAsia" w:ascii="宋体" w:hAnsi="宋体" w:eastAsia="宋体" w:cs="宋体"/>
          <w:b w:val="0"/>
          <w:color w:val="000000"/>
          <w:sz w:val="22"/>
          <w:szCs w:val="18"/>
        </w:rPr>
      </w:pPr>
      <w:bookmarkStart w:id="336" w:name="_Toc375060792"/>
      <w:r>
        <w:rPr>
          <w:rFonts w:hint="eastAsia" w:ascii="宋体" w:hAnsi="宋体" w:eastAsia="宋体" w:cs="宋体"/>
          <w:b w:val="0"/>
          <w:color w:val="000000"/>
          <w:sz w:val="22"/>
          <w:szCs w:val="18"/>
        </w:rPr>
        <w:t>10.7暂估价</w:t>
      </w:r>
      <w:bookmarkEnd w:id="336"/>
    </w:p>
    <w:p w14:paraId="66B5CB7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暂估价专业分包工程、服务、材料和工程设备的明细由合同当事人在专用合同条款中约定。</w:t>
      </w:r>
    </w:p>
    <w:p w14:paraId="3450AAA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10.7.1</w:t>
      </w:r>
      <w:r>
        <w:rPr>
          <w:rFonts w:hint="eastAsia" w:ascii="宋体" w:hAnsi="宋体" w:eastAsia="宋体" w:cs="宋体"/>
          <w:color w:val="000000"/>
          <w:kern w:val="0"/>
          <w:sz w:val="24"/>
          <w:szCs w:val="24"/>
        </w:rPr>
        <w:t xml:space="preserve"> 依法必须招标的暂估价项目</w:t>
      </w:r>
    </w:p>
    <w:p w14:paraId="24A06C2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对于依法必须招标的暂估价项目，采取以下第1种方式确定。合同当事人也可以在专用合同条款中选择其他招标方式。</w:t>
      </w:r>
    </w:p>
    <w:p w14:paraId="303763A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第1种方式：对于依法必须招标的暂估价项目，由承包人招标，对该暂估价项目的确认和批准按照以下约定执行：</w:t>
      </w:r>
    </w:p>
    <w:p w14:paraId="436C21B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7E03A7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DC41EB0">
      <w:pPr>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239066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D893A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10.7.2</w:t>
      </w:r>
      <w:r>
        <w:rPr>
          <w:rFonts w:hint="eastAsia" w:ascii="宋体" w:hAnsi="宋体" w:eastAsia="宋体" w:cs="宋体"/>
          <w:color w:val="000000"/>
          <w:kern w:val="0"/>
          <w:sz w:val="24"/>
          <w:szCs w:val="24"/>
        </w:rPr>
        <w:t>不属于依法必须招标的暂估价项目</w:t>
      </w:r>
    </w:p>
    <w:p w14:paraId="785A883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除专用合同条款另有约定外，对于不属于依法必须招标的暂估价项目，采取以下第1种方式确定： </w:t>
      </w:r>
    </w:p>
    <w:p w14:paraId="5EF14F6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第1种方式：对于不属于依法必须招标的暂估价项目，按本项约定确认和批准：</w:t>
      </w:r>
    </w:p>
    <w:p w14:paraId="6C8ECCD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73A207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（2）发包人认为承包人确定的供应商、分包人无法满足工程质量或合同要求的，发包人可以要求承包人重新确定暂估价项目的供应商、分包人;</w:t>
      </w:r>
    </w:p>
    <w:p w14:paraId="1D5DBB3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（3）承包人应当在签订暂估价合同后7天内，将暂估价合同副本报送发包人留存。</w:t>
      </w:r>
    </w:p>
    <w:p w14:paraId="422E575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第2种方式：承包人按照第10.7.1项〔依法必须招标的暂估价项目〕约定的第1种方式确定暂估价项目。</w:t>
      </w:r>
    </w:p>
    <w:p w14:paraId="3E4402D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36C1780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14:paraId="4C5C546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5FD3968">
      <w:pPr>
        <w:pStyle w:val="9"/>
        <w:spacing w:line="490" w:lineRule="exact"/>
        <w:ind w:firstLine="440" w:firstLineChars="200"/>
        <w:rPr>
          <w:rFonts w:hint="eastAsia" w:ascii="宋体" w:hAnsi="宋体" w:eastAsia="宋体" w:cs="宋体"/>
          <w:b w:val="0"/>
          <w:color w:val="000000"/>
          <w:sz w:val="22"/>
          <w:szCs w:val="18"/>
        </w:rPr>
      </w:pPr>
      <w:bookmarkStart w:id="337" w:name="_Toc375060793"/>
      <w:r>
        <w:rPr>
          <w:rFonts w:hint="eastAsia" w:ascii="宋体" w:hAnsi="宋体" w:eastAsia="宋体" w:cs="宋体"/>
          <w:b w:val="0"/>
          <w:color w:val="000000"/>
          <w:sz w:val="22"/>
          <w:szCs w:val="18"/>
        </w:rPr>
        <w:t>1</w:t>
      </w:r>
      <w:bookmarkStart w:id="338" w:name="_Toc337558794"/>
      <w:bookmarkStart w:id="339" w:name="_Toc296346591"/>
      <w:bookmarkStart w:id="340" w:name="_Toc322522561"/>
      <w:bookmarkStart w:id="341" w:name="_Toc296503090"/>
      <w:r>
        <w:rPr>
          <w:rFonts w:hint="eastAsia" w:ascii="宋体" w:hAnsi="宋体" w:eastAsia="宋体" w:cs="宋体"/>
          <w:b w:val="0"/>
          <w:color w:val="000000"/>
          <w:sz w:val="22"/>
          <w:szCs w:val="18"/>
        </w:rPr>
        <w:t>0.8暂列金额</w:t>
      </w:r>
      <w:bookmarkEnd w:id="337"/>
    </w:p>
    <w:bookmarkEnd w:id="338"/>
    <w:p w14:paraId="34AB46A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暂列金额应按照发包人的要求使用，发包人的要求应通过监理人发出。合同当事人可以在专用合同条款中协商确定有关事项。</w:t>
      </w:r>
    </w:p>
    <w:bookmarkEnd w:id="339"/>
    <w:bookmarkEnd w:id="340"/>
    <w:bookmarkEnd w:id="341"/>
    <w:p w14:paraId="2A202D95">
      <w:pPr>
        <w:pStyle w:val="9"/>
        <w:spacing w:line="490" w:lineRule="exact"/>
        <w:ind w:firstLine="440" w:firstLineChars="200"/>
        <w:rPr>
          <w:rFonts w:hint="eastAsia" w:ascii="宋体" w:hAnsi="宋体" w:eastAsia="宋体" w:cs="宋体"/>
          <w:b w:val="0"/>
          <w:color w:val="000000"/>
          <w:sz w:val="22"/>
          <w:szCs w:val="18"/>
        </w:rPr>
      </w:pPr>
      <w:bookmarkStart w:id="342" w:name="_Toc375060794"/>
      <w:r>
        <w:rPr>
          <w:rFonts w:hint="eastAsia" w:ascii="宋体" w:hAnsi="宋体" w:eastAsia="宋体" w:cs="宋体"/>
          <w:b w:val="0"/>
          <w:color w:val="000000"/>
          <w:sz w:val="22"/>
          <w:szCs w:val="18"/>
        </w:rPr>
        <w:t>1</w:t>
      </w:r>
      <w:bookmarkStart w:id="343" w:name="_Toc296503091"/>
      <w:bookmarkStart w:id="344" w:name="_Toc337558796"/>
      <w:bookmarkStart w:id="345" w:name="_Toc296346592"/>
      <w:r>
        <w:rPr>
          <w:rFonts w:hint="eastAsia" w:ascii="宋体" w:hAnsi="宋体" w:eastAsia="宋体" w:cs="宋体"/>
          <w:b w:val="0"/>
          <w:color w:val="000000"/>
          <w:sz w:val="22"/>
          <w:szCs w:val="18"/>
        </w:rPr>
        <w:t>0.9计日工</w:t>
      </w:r>
      <w:bookmarkEnd w:id="342"/>
      <w:r>
        <w:rPr>
          <w:rFonts w:hint="eastAsia" w:ascii="宋体" w:hAnsi="宋体" w:eastAsia="宋体" w:cs="宋体"/>
          <w:b w:val="0"/>
          <w:color w:val="000000"/>
          <w:sz w:val="22"/>
          <w:szCs w:val="18"/>
        </w:rPr>
        <w:t xml:space="preserve"> </w:t>
      </w:r>
      <w:bookmarkEnd w:id="343"/>
      <w:bookmarkEnd w:id="344"/>
      <w:bookmarkEnd w:id="345"/>
    </w:p>
    <w:p w14:paraId="10CC753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C8480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采用计日工计价的任何一项工作，承包人应在该项工作实施过程中，每天提交以下报表和有关凭证报送监理人审查：</w:t>
      </w:r>
    </w:p>
    <w:p w14:paraId="419CDEB2">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（1）工作名称、内容和数量；</w:t>
      </w:r>
    </w:p>
    <w:p w14:paraId="159EDC01">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（2）投入该工作的所有人员的姓名、专业、工种、级别和耗用工时；</w:t>
      </w:r>
    </w:p>
    <w:p w14:paraId="7EB7A2D2">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（3）投入该工作的材料类别和数量；</w:t>
      </w:r>
    </w:p>
    <w:p w14:paraId="3D40E066">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（4）投入该工作的施工设备型号、台数和耗用台时；</w:t>
      </w:r>
    </w:p>
    <w:p w14:paraId="08AC534B">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（5）其他有关资料和凭证。</w:t>
      </w:r>
    </w:p>
    <w:p w14:paraId="6E673ED1">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计日工由承包人汇总后，列入最近一期进度付款申请单，由监理人审查并经发包人批准后列入进度付款。</w:t>
      </w:r>
    </w:p>
    <w:p w14:paraId="41063722">
      <w:pPr>
        <w:pStyle w:val="8"/>
        <w:spacing w:line="490" w:lineRule="exact"/>
        <w:rPr>
          <w:rFonts w:hint="eastAsia" w:ascii="宋体" w:hAnsi="宋体" w:eastAsia="宋体" w:cs="宋体"/>
          <w:b w:val="0"/>
          <w:color w:val="000000"/>
          <w:sz w:val="24"/>
          <w:szCs w:val="24"/>
        </w:rPr>
      </w:pPr>
      <w:bookmarkStart w:id="346" w:name="_Toc375060795"/>
      <w:r>
        <w:rPr>
          <w:rFonts w:hint="eastAsia" w:ascii="宋体" w:hAnsi="宋体" w:eastAsia="宋体" w:cs="宋体"/>
          <w:b w:val="0"/>
          <w:color w:val="000000"/>
          <w:sz w:val="24"/>
          <w:szCs w:val="24"/>
        </w:rPr>
        <w:t>11. 价格调整</w:t>
      </w:r>
      <w:bookmarkEnd w:id="346"/>
    </w:p>
    <w:p w14:paraId="24AAA719">
      <w:pPr>
        <w:pStyle w:val="9"/>
        <w:spacing w:line="490" w:lineRule="exact"/>
        <w:ind w:firstLine="440" w:firstLineChars="200"/>
        <w:rPr>
          <w:rFonts w:hint="eastAsia" w:ascii="宋体" w:hAnsi="宋体" w:eastAsia="宋体" w:cs="宋体"/>
          <w:b w:val="0"/>
          <w:color w:val="000000"/>
          <w:sz w:val="22"/>
          <w:szCs w:val="18"/>
        </w:rPr>
      </w:pPr>
      <w:bookmarkStart w:id="347" w:name="_Toc375060796"/>
      <w:bookmarkStart w:id="348" w:name="_Toc296503092"/>
      <w:bookmarkStart w:id="349" w:name="_Toc296346593"/>
      <w:bookmarkStart w:id="350" w:name="_Toc337558797"/>
      <w:r>
        <w:rPr>
          <w:rFonts w:hint="eastAsia" w:ascii="宋体" w:hAnsi="宋体" w:eastAsia="宋体" w:cs="宋体"/>
          <w:b w:val="0"/>
          <w:color w:val="000000"/>
          <w:sz w:val="22"/>
          <w:szCs w:val="18"/>
        </w:rPr>
        <w:t>11.1市场价格波动引起的调整</w:t>
      </w:r>
      <w:bookmarkEnd w:id="347"/>
    </w:p>
    <w:bookmarkEnd w:id="348"/>
    <w:bookmarkEnd w:id="349"/>
    <w:bookmarkEnd w:id="350"/>
    <w:p w14:paraId="17F94DD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14:paraId="7758643C">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0021429F">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（1）价格调整公式</w:t>
      </w:r>
    </w:p>
    <w:p w14:paraId="3B47B003">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因人工、材料和设备等价格波动影响合同价格时，根据专用合同条款中约定的数据，按以下公式计算差额并调整合同价格：</w:t>
      </w:r>
    </w:p>
    <w:p w14:paraId="1BD5FBAD">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3.45pt;width:360pt;" o:ole="t" filled="f" o:preferrelative="t" stroked="f" coordsize="21600,21600">
            <v:path/>
            <v:fill on="f" focussize="0,0"/>
            <v:stroke on="f" joinstyle="miter"/>
            <v:imagedata r:id="rId24" o:title=""/>
            <o:lock v:ext="edit" aspectratio="t"/>
            <w10:wrap type="none"/>
            <w10:anchorlock/>
          </v:shape>
          <o:OLEObject Type="Embed" ProgID="Equations" ShapeID="_x0000_i1025" DrawAspect="Content" ObjectID="_1468075725" r:id="rId23">
            <o:LockedField>false</o:LockedField>
          </o:OLEObject>
        </w:object>
      </w:r>
    </w:p>
    <w:p w14:paraId="4D1D4EEE">
      <w:pPr>
        <w:tabs>
          <w:tab w:val="left" w:pos="0"/>
          <w:tab w:val="left" w:pos="360"/>
          <w:tab w:val="left" w:pos="540"/>
        </w:tabs>
        <w:spacing w:line="49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公式中：ΔP——需调整的价格差额；</w:t>
      </w:r>
    </w:p>
    <w:p w14:paraId="3EA597D8">
      <w:pPr>
        <w:tabs>
          <w:tab w:val="left" w:pos="0"/>
          <w:tab w:val="left" w:pos="360"/>
          <w:tab w:val="left" w:pos="540"/>
        </w:tabs>
        <w:spacing w:line="490" w:lineRule="exact"/>
        <w:ind w:firstLine="1440" w:firstLineChars="600"/>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7.4pt;width:17.4pt;" o:ole="t" filled="f" o:preferrelative="t" stroked="f" coordsize="21600,21600">
            <v:path/>
            <v:fill on="f" focussize="0,0"/>
            <v:stroke on="f" joinstyle="miter"/>
            <v:imagedata r:id="rId26" o:title=""/>
            <o:lock v:ext="edit" aspectratio="t"/>
            <w10:wrap type="none"/>
            <w10:anchorlock/>
          </v:shape>
          <o:OLEObject Type="Embed" ProgID="Equations" ShapeID="_x0000_i1026" DrawAspect="Content" ObjectID="_1468075726" r:id="rId25">
            <o:LockedField>false</o:LockedField>
          </o:OLEObject>
        </w:object>
      </w:r>
      <w:r>
        <w:rPr>
          <w:rFonts w:hint="eastAsia" w:ascii="宋体" w:hAnsi="宋体" w:eastAsia="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64803A0C">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A——定值权重（即不调部分的权重）；</w:t>
      </w:r>
    </w:p>
    <w:p w14:paraId="1F058EDB">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1pt;width:100.55pt;" o:ole="t" filled="f" o:preferrelative="t" stroked="f" coordsize="21600,21600">
            <v:path/>
            <v:fill on="f" focussize="0,0"/>
            <v:stroke on="f" joinstyle="miter"/>
            <v:imagedata r:id="rId28" o:title=""/>
            <o:lock v:ext="edit" aspectratio="t"/>
            <w10:wrap type="none"/>
            <w10:anchorlock/>
          </v:shape>
          <o:OLEObject Type="Embed" ProgID="Equations" ShapeID="_x0000_i1027" DrawAspect="Content" ObjectID="_1468075727" r:id="rId27">
            <o:LockedField>false</o:LockedField>
          </o:OLEObject>
        </w:object>
      </w:r>
      <w:r>
        <w:rPr>
          <w:rFonts w:hint="eastAsia" w:ascii="宋体" w:hAnsi="宋体" w:eastAsia="宋体" w:cs="宋体"/>
          <w:color w:val="000000"/>
          <w:sz w:val="24"/>
          <w:szCs w:val="24"/>
        </w:rPr>
        <w:t>——各可调因子的变值权重（即可调部分的权重），为各可调因子在签约合同价中所占的比例；</w:t>
      </w:r>
    </w:p>
    <w:p w14:paraId="6C96C7D9">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1.1pt;width:101.8pt;" o:ole="t" filled="f" o:preferrelative="t" stroked="f" coordsize="21600,21600">
            <v:path/>
            <v:fill on="f" focussize="0,0"/>
            <v:stroke on="f" joinstyle="miter"/>
            <v:imagedata r:id="rId30" o:title=""/>
            <o:lock v:ext="edit" aspectratio="t"/>
            <w10:wrap type="none"/>
            <w10:anchorlock/>
          </v:shape>
          <o:OLEObject Type="Embed" ProgID="Equations" ShapeID="_x0000_i1028" DrawAspect="Content" ObjectID="_1468075728" r:id="rId29">
            <o:LockedField>false</o:LockedField>
          </o:OLEObject>
        </w:object>
      </w:r>
      <w:r>
        <w:rPr>
          <w:rFonts w:hint="eastAsia" w:ascii="宋体" w:hAnsi="宋体" w:eastAsia="宋体" w:cs="宋体"/>
          <w:color w:val="000000"/>
          <w:sz w:val="24"/>
          <w:szCs w:val="24"/>
        </w:rPr>
        <w:t>——各可调因子的现行价格指数，指约定的付款证书相关周期最后一天的前42天的各可调因子的价格指数；</w:t>
      </w:r>
    </w:p>
    <w:p w14:paraId="3ED25BCE">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19.85pt;width:108pt;" o:ole="t" filled="f" o:preferrelative="t" stroked="f" coordsize="21600,21600">
            <v:path/>
            <v:fill on="f" focussize="0,0"/>
            <v:stroke on="f" joinstyle="miter"/>
            <v:imagedata r:id="rId32" o:title=""/>
            <o:lock v:ext="edit" aspectratio="t"/>
            <w10:wrap type="none"/>
            <w10:anchorlock/>
          </v:shape>
          <o:OLEObject Type="Embed" ProgID="Equations" ShapeID="_x0000_i1029" DrawAspect="Content" ObjectID="_1468075729" r:id="rId31">
            <o:LockedField>false</o:LockedField>
          </o:OLEObject>
        </w:object>
      </w:r>
      <w:r>
        <w:rPr>
          <w:rFonts w:hint="eastAsia" w:ascii="宋体" w:hAnsi="宋体" w:eastAsia="宋体" w:cs="宋体"/>
          <w:color w:val="000000"/>
          <w:sz w:val="24"/>
          <w:szCs w:val="24"/>
        </w:rPr>
        <w:t>——各可调因子的基本价格指数，指基准日期的各可调因子的价格指数。</w:t>
      </w:r>
    </w:p>
    <w:p w14:paraId="1C300428">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576FADE">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（2）暂时确定调整差额</w:t>
      </w:r>
    </w:p>
    <w:p w14:paraId="32CB29AB">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在计算调整差额时无现行价格指数的，合同当事人同意暂用前次价格指数计算。实际价格指数有调整的，合同当事人进行相应调整。</w:t>
      </w:r>
    </w:p>
    <w:p w14:paraId="63F86D63">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（3）权重的调整</w:t>
      </w:r>
    </w:p>
    <w:p w14:paraId="14373BB9">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因变更导致合同约定的权重不合理时，按照第4.4款〔商定或确定〕执行。</w:t>
      </w:r>
    </w:p>
    <w:p w14:paraId="0C78BFB5">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（4）因承包人原因工期延误后的价格调整</w:t>
      </w:r>
    </w:p>
    <w:p w14:paraId="56F4E604">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0216253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30E470E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1FCA79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33EA3C4">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（2）材料、工程设备价格变化的价款调整按照发包人提供的基准价格，按以下风险范围规定执行:</w:t>
      </w:r>
    </w:p>
    <w:p w14:paraId="3174B993">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280065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40B133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04F2D206">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E4FC892">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64F1280C">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（3）施工机械台班单价或施工机械使用费发生变化超过省级或行业建设主管部门或其授权的工程造价管理机构规定的范围时，按规定调整合同价格。</w:t>
      </w:r>
    </w:p>
    <w:p w14:paraId="4637B186">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第3种方式：专用合同条款约定的其他方式。</w:t>
      </w:r>
    </w:p>
    <w:p w14:paraId="4B8377BE">
      <w:pPr>
        <w:pStyle w:val="9"/>
        <w:spacing w:line="490" w:lineRule="exact"/>
        <w:ind w:firstLine="440" w:firstLineChars="200"/>
        <w:rPr>
          <w:rFonts w:hint="eastAsia" w:ascii="宋体" w:hAnsi="宋体" w:eastAsia="宋体" w:cs="宋体"/>
          <w:b w:val="0"/>
          <w:color w:val="000000"/>
          <w:sz w:val="22"/>
          <w:szCs w:val="18"/>
        </w:rPr>
      </w:pPr>
      <w:bookmarkStart w:id="351" w:name="_Toc375060797"/>
      <w:bookmarkStart w:id="352" w:name="_Toc296503093"/>
      <w:bookmarkStart w:id="353" w:name="_Toc337558798"/>
      <w:bookmarkStart w:id="354" w:name="_Toc296346594"/>
      <w:r>
        <w:rPr>
          <w:rFonts w:hint="eastAsia" w:ascii="宋体" w:hAnsi="宋体" w:eastAsia="宋体" w:cs="宋体"/>
          <w:b w:val="0"/>
          <w:color w:val="000000"/>
          <w:sz w:val="22"/>
          <w:szCs w:val="18"/>
        </w:rPr>
        <w:t>11.2法律变化引起的调整</w:t>
      </w:r>
      <w:bookmarkEnd w:id="351"/>
    </w:p>
    <w:bookmarkEnd w:id="352"/>
    <w:bookmarkEnd w:id="353"/>
    <w:bookmarkEnd w:id="354"/>
    <w:p w14:paraId="4FE34E08">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B087312">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因法律变化引起的合同价格和工期调整，合同当事人无法达成一致的，由总监理工程师按第4.4款〔商定或确定〕的约定处理。</w:t>
      </w:r>
    </w:p>
    <w:p w14:paraId="5BAFFD7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因承包人原因造成工期延误，在工期延误期间出现法律变化的，由此增加的费用和（或）延误的工期由承包人承担。</w:t>
      </w:r>
    </w:p>
    <w:p w14:paraId="793F269A">
      <w:pPr>
        <w:pStyle w:val="8"/>
        <w:spacing w:line="490" w:lineRule="exact"/>
        <w:rPr>
          <w:rFonts w:hint="eastAsia" w:ascii="宋体" w:hAnsi="宋体" w:eastAsia="宋体" w:cs="宋体"/>
          <w:b w:val="0"/>
          <w:color w:val="000000"/>
          <w:sz w:val="24"/>
          <w:szCs w:val="24"/>
        </w:rPr>
      </w:pPr>
      <w:bookmarkStart w:id="355" w:name="_Toc375060798"/>
      <w:bookmarkStart w:id="356" w:name="_Toc337558799"/>
      <w:bookmarkStart w:id="357" w:name="_Toc296503096"/>
      <w:bookmarkStart w:id="358" w:name="_Toc296346597"/>
      <w:r>
        <w:rPr>
          <w:rFonts w:hint="eastAsia" w:ascii="宋体" w:hAnsi="宋体" w:eastAsia="宋体" w:cs="宋体"/>
          <w:b w:val="0"/>
          <w:color w:val="000000"/>
          <w:sz w:val="24"/>
          <w:szCs w:val="24"/>
        </w:rPr>
        <w:t>12. 合同价格、计量与支付</w:t>
      </w:r>
      <w:bookmarkEnd w:id="355"/>
    </w:p>
    <w:bookmarkEnd w:id="356"/>
    <w:p w14:paraId="1F4E4FB4">
      <w:pPr>
        <w:pStyle w:val="9"/>
        <w:spacing w:line="490" w:lineRule="exact"/>
        <w:ind w:firstLine="440" w:firstLineChars="200"/>
        <w:rPr>
          <w:rFonts w:hint="eastAsia" w:ascii="宋体" w:hAnsi="宋体" w:eastAsia="宋体" w:cs="宋体"/>
          <w:b w:val="0"/>
          <w:color w:val="000000"/>
          <w:sz w:val="22"/>
          <w:szCs w:val="18"/>
        </w:rPr>
      </w:pPr>
      <w:bookmarkStart w:id="359" w:name="_Toc375060799"/>
      <w:bookmarkStart w:id="360" w:name="_Toc337558800"/>
      <w:r>
        <w:rPr>
          <w:rFonts w:hint="eastAsia" w:ascii="宋体" w:hAnsi="宋体" w:eastAsia="宋体" w:cs="宋体"/>
          <w:b w:val="0"/>
          <w:color w:val="000000"/>
          <w:sz w:val="22"/>
          <w:szCs w:val="18"/>
        </w:rPr>
        <w:t>12.1 合同价</w:t>
      </w:r>
      <w:bookmarkEnd w:id="357"/>
      <w:bookmarkEnd w:id="358"/>
      <w:r>
        <w:rPr>
          <w:rFonts w:hint="eastAsia" w:ascii="宋体" w:hAnsi="宋体" w:eastAsia="宋体" w:cs="宋体"/>
          <w:b w:val="0"/>
          <w:color w:val="000000"/>
          <w:sz w:val="22"/>
          <w:szCs w:val="18"/>
        </w:rPr>
        <w:t>格形式</w:t>
      </w:r>
      <w:bookmarkEnd w:id="359"/>
    </w:p>
    <w:bookmarkEnd w:id="360"/>
    <w:p w14:paraId="1A2DF06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发包人和承包人应在合同协议书中选择下列一种合同价格形式： </w:t>
      </w:r>
    </w:p>
    <w:p w14:paraId="6601DFA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w:t>
      </w:r>
    </w:p>
    <w:p w14:paraId="10271A0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eastAsia="宋体" w:cs="宋体"/>
          <w:color w:val="000000"/>
          <w:sz w:val="24"/>
          <w:szCs w:val="24"/>
        </w:rPr>
        <w:t>在约定的范围内合同单价不作调整</w:t>
      </w:r>
      <w:r>
        <w:rPr>
          <w:rFonts w:hint="eastAsia" w:ascii="宋体" w:hAnsi="宋体" w:eastAsia="宋体" w:cs="宋体"/>
          <w:color w:val="000000"/>
          <w:kern w:val="0"/>
          <w:sz w:val="24"/>
          <w:szCs w:val="24"/>
        </w:rPr>
        <w:t>。合同当事人应在专用合同条款中约定综合单价包含的风险范围和风险费用的计算方法</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并约定风险范围以外的合同价格的调整方法，其中因市场价格波动引起的调整按第11.1款〔市场价格波动引起的调整〕约定执行。</w:t>
      </w:r>
    </w:p>
    <w:p w14:paraId="2E35AF9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w:t>
      </w:r>
    </w:p>
    <w:p w14:paraId="0FE0FB9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eastAsia="宋体" w:cs="宋体"/>
          <w:color w:val="000000"/>
          <w:sz w:val="24"/>
          <w:szCs w:val="24"/>
        </w:rPr>
        <w:t>在约定的范围内合同总价不作调整</w:t>
      </w:r>
      <w:r>
        <w:rPr>
          <w:rFonts w:hint="eastAsia" w:ascii="宋体" w:hAnsi="宋体" w:eastAsia="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30B917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3、其它价格形式</w:t>
      </w:r>
    </w:p>
    <w:p w14:paraId="6ED5CE2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合同当事人可在专用合同条款中约定其他合同价格形式。</w:t>
      </w:r>
    </w:p>
    <w:p w14:paraId="4807057E">
      <w:pPr>
        <w:pStyle w:val="9"/>
        <w:spacing w:line="490" w:lineRule="exact"/>
        <w:ind w:firstLine="440" w:firstLineChars="200"/>
        <w:rPr>
          <w:rFonts w:hint="eastAsia" w:ascii="宋体" w:hAnsi="宋体" w:eastAsia="宋体" w:cs="宋体"/>
          <w:b w:val="0"/>
          <w:color w:val="000000"/>
          <w:sz w:val="22"/>
          <w:szCs w:val="18"/>
        </w:rPr>
      </w:pPr>
      <w:bookmarkStart w:id="361" w:name="_Toc296503097"/>
      <w:bookmarkStart w:id="362" w:name="_Toc296346598"/>
      <w:bookmarkStart w:id="363" w:name="_Toc375060800"/>
      <w:bookmarkStart w:id="364" w:name="_Toc337558801"/>
      <w:r>
        <w:rPr>
          <w:rFonts w:hint="eastAsia" w:ascii="宋体" w:hAnsi="宋体" w:eastAsia="宋体" w:cs="宋体"/>
          <w:b w:val="0"/>
          <w:color w:val="000000"/>
          <w:sz w:val="22"/>
          <w:szCs w:val="18"/>
        </w:rPr>
        <w:t>12.2预</w:t>
      </w:r>
      <w:bookmarkEnd w:id="361"/>
      <w:bookmarkEnd w:id="362"/>
      <w:bookmarkStart w:id="365" w:name="_Toc296503100"/>
      <w:bookmarkStart w:id="366" w:name="_Toc296346601"/>
      <w:r>
        <w:rPr>
          <w:rFonts w:hint="eastAsia" w:ascii="宋体" w:hAnsi="宋体" w:eastAsia="宋体" w:cs="宋体"/>
          <w:b w:val="0"/>
          <w:color w:val="000000"/>
          <w:sz w:val="22"/>
          <w:szCs w:val="18"/>
        </w:rPr>
        <w:t>付款</w:t>
      </w:r>
      <w:bookmarkEnd w:id="363"/>
    </w:p>
    <w:bookmarkEnd w:id="364"/>
    <w:bookmarkEnd w:id="365"/>
    <w:bookmarkEnd w:id="366"/>
    <w:p w14:paraId="04F282C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12.2.</w:t>
      </w:r>
      <w:r>
        <w:rPr>
          <w:rFonts w:hint="eastAsia" w:ascii="宋体" w:hAnsi="宋体" w:eastAsia="宋体" w:cs="宋体"/>
          <w:color w:val="000000"/>
          <w:kern w:val="0"/>
          <w:sz w:val="24"/>
          <w:szCs w:val="24"/>
        </w:rPr>
        <w:t>1预付款的支付</w:t>
      </w:r>
    </w:p>
    <w:p w14:paraId="1CF25EE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14:paraId="275C33F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除专用合同条款另有约定外，预付款在进度付款中同比例扣回。在颁发工程接收证书前，提前解除合同的，尚未扣完的预付款应与合同价款一并结算。</w:t>
      </w:r>
    </w:p>
    <w:p w14:paraId="74E968A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14:paraId="35335E1D">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2F11AA2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91A77B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发包人在工程款中逐期扣回预付款后，预付款担保额度应相应减少，但剩余的预付款担保金额不得低于未被扣回的预付款金额。</w:t>
      </w:r>
    </w:p>
    <w:p w14:paraId="5E89C968">
      <w:pPr>
        <w:pStyle w:val="9"/>
        <w:spacing w:line="490" w:lineRule="exact"/>
        <w:ind w:firstLine="440" w:firstLineChars="200"/>
        <w:rPr>
          <w:rFonts w:hint="eastAsia" w:ascii="宋体" w:hAnsi="宋体" w:eastAsia="宋体" w:cs="宋体"/>
          <w:b w:val="0"/>
          <w:color w:val="000000"/>
          <w:sz w:val="22"/>
          <w:szCs w:val="18"/>
        </w:rPr>
      </w:pPr>
      <w:bookmarkStart w:id="367" w:name="_Toc375060801"/>
      <w:bookmarkStart w:id="368" w:name="_Toc337558802"/>
      <w:r>
        <w:rPr>
          <w:rFonts w:hint="eastAsia" w:ascii="宋体" w:hAnsi="宋体" w:eastAsia="宋体" w:cs="宋体"/>
          <w:b w:val="0"/>
          <w:color w:val="000000"/>
          <w:sz w:val="22"/>
          <w:szCs w:val="18"/>
        </w:rPr>
        <w:t>12.3计量</w:t>
      </w:r>
      <w:bookmarkEnd w:id="367"/>
    </w:p>
    <w:bookmarkEnd w:id="368"/>
    <w:p w14:paraId="281B5B8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12.3.1 计量原则</w:t>
      </w:r>
    </w:p>
    <w:p w14:paraId="494B199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14:paraId="47BB1DB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12.3.2 计量周期</w:t>
      </w:r>
    </w:p>
    <w:p w14:paraId="158CED3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除专用合同条款另有约定外，工程量的计量按月进行。</w:t>
      </w:r>
    </w:p>
    <w:p w14:paraId="2E48E83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12.3.3 单价合同的计量</w:t>
      </w:r>
    </w:p>
    <w:p w14:paraId="5031325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除专用合同条款另有约定外，单价合同的计量按照本项约定执行：</w:t>
      </w:r>
    </w:p>
    <w:p w14:paraId="3711E68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14:paraId="7F54771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E81B4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（3）监理人未在收到承包人提交的工程量报表后的7天内完成审核的，承包人报送的工程量报告中的工程量视为承包人实际完成的工程量，据此计算工程价款。</w:t>
      </w:r>
    </w:p>
    <w:p w14:paraId="048ED2D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12.3.4 总价合同的计量</w:t>
      </w:r>
    </w:p>
    <w:p w14:paraId="6A7A34E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除专用合同条款另有约定外，按月计量支付的总价合同，按照本项约定执行：</w:t>
      </w:r>
    </w:p>
    <w:p w14:paraId="643CBC2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14:paraId="2EB775D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A94DCD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（3）监理人未在收到承包人提交的工程量报表后的7天内完成复核的，承包人提交的工程量报告中的工程量视为承包人实际完成的工程量。</w:t>
      </w:r>
    </w:p>
    <w:p w14:paraId="355C1BC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12.3.5 总价合同采用支付分解表计量支付的，可以按照第12.3.4项〔总价合同的计量〕约定进行计量，但合同价款按照支付分解表进行支付。</w:t>
      </w:r>
    </w:p>
    <w:p w14:paraId="3B5B8E8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12.3.6 其他价格形式合同的计量</w:t>
      </w:r>
    </w:p>
    <w:p w14:paraId="74BD57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合同当事人可在专用合同条款中约定其他价格形式合同的计量方式和程序。</w:t>
      </w:r>
    </w:p>
    <w:p w14:paraId="62D5B299">
      <w:pPr>
        <w:pStyle w:val="9"/>
        <w:spacing w:line="490" w:lineRule="exact"/>
        <w:ind w:firstLine="440" w:firstLineChars="200"/>
        <w:rPr>
          <w:rFonts w:hint="eastAsia" w:ascii="宋体" w:hAnsi="宋体" w:eastAsia="宋体" w:cs="宋体"/>
          <w:b w:val="0"/>
          <w:color w:val="000000"/>
          <w:sz w:val="22"/>
          <w:szCs w:val="18"/>
        </w:rPr>
      </w:pPr>
      <w:bookmarkStart w:id="369" w:name="_Toc296503101"/>
      <w:bookmarkStart w:id="370" w:name="_Toc296346602"/>
      <w:bookmarkStart w:id="371" w:name="_Toc375060802"/>
      <w:bookmarkStart w:id="372" w:name="_Toc337558803"/>
      <w:r>
        <w:rPr>
          <w:rFonts w:hint="eastAsia" w:ascii="宋体" w:hAnsi="宋体" w:eastAsia="宋体" w:cs="宋体"/>
          <w:b w:val="0"/>
          <w:color w:val="000000"/>
          <w:sz w:val="22"/>
          <w:szCs w:val="18"/>
        </w:rPr>
        <w:t>12.4工程进度款支</w:t>
      </w:r>
      <w:bookmarkEnd w:id="369"/>
      <w:bookmarkEnd w:id="370"/>
      <w:r>
        <w:rPr>
          <w:rFonts w:hint="eastAsia" w:ascii="宋体" w:hAnsi="宋体" w:eastAsia="宋体" w:cs="宋体"/>
          <w:b w:val="0"/>
          <w:color w:val="000000"/>
          <w:sz w:val="22"/>
          <w:szCs w:val="18"/>
        </w:rPr>
        <w:t>付</w:t>
      </w:r>
      <w:bookmarkEnd w:id="371"/>
    </w:p>
    <w:bookmarkEnd w:id="372"/>
    <w:p w14:paraId="62594E5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.1 付款周期</w:t>
      </w:r>
    </w:p>
    <w:p w14:paraId="16897DE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除专用合同条款另有约定外，付款周期应按照第12.3.2项〔计量周期〕的约定与计量周期保持一致。</w:t>
      </w:r>
    </w:p>
    <w:p w14:paraId="682900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.2 进度付款申请单的编制</w:t>
      </w:r>
    </w:p>
    <w:p w14:paraId="674042A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除专用合同条款另有约定外，进度付款申请单应包括下列内容：</w:t>
      </w:r>
    </w:p>
    <w:p w14:paraId="5DD7CCE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（1）截至本次付款周期已完成工作对应的金额；</w:t>
      </w:r>
    </w:p>
    <w:p w14:paraId="1DE814F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（2）根据第10条〔变更〕应增加和扣减的变更金额；</w:t>
      </w:r>
    </w:p>
    <w:p w14:paraId="76ACA48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（3）根据第12.2款〔预付款〕约定应支付的预付款和扣减的返还预付款；</w:t>
      </w:r>
    </w:p>
    <w:p w14:paraId="70956EE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（4）根据第15.3款〔质量保证金〕约定应扣减的质量保证金；</w:t>
      </w:r>
    </w:p>
    <w:p w14:paraId="1C20F90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（5）根据第19条〔索赔〕应增加和扣减的索赔金额；</w:t>
      </w:r>
    </w:p>
    <w:p w14:paraId="6E5CB90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（6）对已签发的进度款支付证书中出现错误的修正，应在本次进度付款中支付或扣除的金额；</w:t>
      </w:r>
    </w:p>
    <w:p w14:paraId="719A01E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（7）根据合同约定应增加和扣减的其他金额。</w:t>
      </w:r>
    </w:p>
    <w:p w14:paraId="6A0EA18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12.4.3 进度付款申请单的提交</w:t>
      </w:r>
    </w:p>
    <w:p w14:paraId="32444F7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（1）单价合同进度付款申请单的提交</w:t>
      </w:r>
    </w:p>
    <w:p w14:paraId="6401942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8C9DCC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（2）总价合同进度付款申请单的提交</w:t>
      </w:r>
    </w:p>
    <w:p w14:paraId="70F3A26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总价合同按月计量支付的，承包人按照第12.3.4项〔总价合同的计量〕约定的时间按月向监理人提交进度付款申请单，并附上已完成工程量报表和有关资料。</w:t>
      </w:r>
    </w:p>
    <w:p w14:paraId="13FFC03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总价合同按支付分解表支付的，承包人应按照第12.4.6项〔支付分解表〕及第12.4.2项〔进度付款申请单的编制〕的约定向监理人提交进度付款申请单。</w:t>
      </w:r>
    </w:p>
    <w:p w14:paraId="053B170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（3）其他价格形式合同的进度付款申请单的提交</w:t>
      </w:r>
    </w:p>
    <w:p w14:paraId="1C7D1EE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合同当事人可在专用合同条款中约定其他价格形式合同的进度付款申请单的编制和提交程序。</w:t>
      </w:r>
    </w:p>
    <w:p w14:paraId="4794953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.4 进度款审核和支付</w:t>
      </w:r>
    </w:p>
    <w:p w14:paraId="0F80FD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07B872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972978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168E098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（3）发包人签发进度款支付证书或临时进度款支付证书，不表明发包人已同意、批准或接受了承包人完成的相应部分的工作。</w:t>
      </w:r>
    </w:p>
    <w:p w14:paraId="50757E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12.4.5 进度付款的修正</w:t>
      </w:r>
    </w:p>
    <w:p w14:paraId="3D5A54D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3546C23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12.4.6 支付分解表</w:t>
      </w:r>
    </w:p>
    <w:p w14:paraId="5FEEF0D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1、支付分解表的编制要求</w:t>
      </w:r>
    </w:p>
    <w:p w14:paraId="53D6394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（1）支付分解表中所列的每期付款金额，应为第12.4.2项〔进度付款申请单的编制〕第（1）目的估算金额；</w:t>
      </w:r>
    </w:p>
    <w:p w14:paraId="555D22E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（2）实际进度与施工进度计划不一致的，合同当事人可按照第4.4款〔商定或确定〕修改支付分解表；</w:t>
      </w:r>
    </w:p>
    <w:p w14:paraId="64AF07D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（3）不采用支付分解表的，承包人应向发包人和监理人提交按季度编制的支付估算分解表，用于支付参考。</w:t>
      </w:r>
    </w:p>
    <w:p w14:paraId="3FFC313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2、总价合同支付分解表的编制与审批</w:t>
      </w:r>
    </w:p>
    <w:p w14:paraId="474D10C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615CDA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14:paraId="2D8FB19A">
      <w:pPr>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（3）发包人逾期未完成支付分解表审批的，也未及时要求承包人进行修正和提供补充资料的，则承包人提交的支付分解表视为已经获得发包人批准。</w:t>
      </w:r>
    </w:p>
    <w:p w14:paraId="47A8F73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3、单价合同的总价项目支付分解表的编制与审批</w:t>
      </w:r>
    </w:p>
    <w:p w14:paraId="3B70C0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50E91E8">
      <w:pPr>
        <w:pStyle w:val="9"/>
        <w:spacing w:line="490" w:lineRule="exact"/>
        <w:ind w:firstLine="440" w:firstLineChars="200"/>
        <w:rPr>
          <w:rFonts w:hint="eastAsia" w:ascii="宋体" w:hAnsi="宋体" w:eastAsia="宋体" w:cs="宋体"/>
          <w:b w:val="0"/>
          <w:color w:val="000000"/>
          <w:sz w:val="22"/>
          <w:szCs w:val="18"/>
        </w:rPr>
      </w:pPr>
      <w:bookmarkStart w:id="373" w:name="_Toc375060803"/>
      <w:r>
        <w:rPr>
          <w:rFonts w:hint="eastAsia" w:ascii="宋体" w:hAnsi="宋体" w:eastAsia="宋体" w:cs="宋体"/>
          <w:b w:val="0"/>
          <w:color w:val="000000"/>
          <w:sz w:val="22"/>
          <w:szCs w:val="18"/>
        </w:rPr>
        <w:t>12.5支付账户</w:t>
      </w:r>
      <w:bookmarkEnd w:id="373"/>
    </w:p>
    <w:p w14:paraId="5086BDC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发包人应将合同价款支付至合同协议书中约定的承包人账户。</w:t>
      </w:r>
    </w:p>
    <w:p w14:paraId="439149BD">
      <w:pPr>
        <w:pStyle w:val="8"/>
        <w:spacing w:line="490" w:lineRule="exact"/>
        <w:rPr>
          <w:rFonts w:hint="eastAsia" w:ascii="宋体" w:hAnsi="宋体" w:eastAsia="宋体" w:cs="宋体"/>
          <w:b w:val="0"/>
          <w:color w:val="000000"/>
          <w:sz w:val="24"/>
          <w:szCs w:val="24"/>
        </w:rPr>
      </w:pPr>
      <w:bookmarkStart w:id="374" w:name="_Toc375060804"/>
      <w:bookmarkStart w:id="375" w:name="_Toc337558804"/>
      <w:bookmarkStart w:id="376" w:name="_Toc296503106"/>
      <w:bookmarkStart w:id="377" w:name="_Toc322522574"/>
      <w:bookmarkStart w:id="378" w:name="_Toc296346607"/>
      <w:r>
        <w:rPr>
          <w:rFonts w:hint="eastAsia" w:ascii="宋体" w:hAnsi="宋体" w:eastAsia="宋体" w:cs="宋体"/>
          <w:b w:val="0"/>
          <w:color w:val="000000"/>
          <w:sz w:val="24"/>
          <w:szCs w:val="24"/>
        </w:rPr>
        <w:t>13. 验收和工程试车</w:t>
      </w:r>
      <w:bookmarkEnd w:id="374"/>
    </w:p>
    <w:bookmarkEnd w:id="375"/>
    <w:bookmarkEnd w:id="376"/>
    <w:bookmarkEnd w:id="377"/>
    <w:bookmarkEnd w:id="378"/>
    <w:p w14:paraId="318CCFA3">
      <w:pPr>
        <w:pStyle w:val="9"/>
        <w:spacing w:line="490" w:lineRule="exact"/>
        <w:ind w:firstLine="440" w:firstLineChars="200"/>
        <w:rPr>
          <w:rFonts w:hint="eastAsia" w:ascii="宋体" w:hAnsi="宋体" w:eastAsia="宋体" w:cs="宋体"/>
          <w:b w:val="0"/>
          <w:color w:val="000000"/>
          <w:sz w:val="22"/>
          <w:szCs w:val="18"/>
        </w:rPr>
      </w:pPr>
      <w:bookmarkStart w:id="379" w:name="_Toc375060805"/>
      <w:bookmarkStart w:id="380" w:name="_Toc337558805"/>
      <w:bookmarkStart w:id="381" w:name="_Toc296346611"/>
      <w:bookmarkStart w:id="382" w:name="_Toc296503110"/>
      <w:r>
        <w:rPr>
          <w:rFonts w:hint="eastAsia" w:ascii="宋体" w:hAnsi="宋体" w:eastAsia="宋体" w:cs="宋体"/>
          <w:b w:val="0"/>
          <w:color w:val="000000"/>
          <w:sz w:val="22"/>
          <w:szCs w:val="18"/>
        </w:rPr>
        <w:t>13.1分部分项工程验收</w:t>
      </w:r>
      <w:bookmarkEnd w:id="379"/>
    </w:p>
    <w:bookmarkEnd w:id="380"/>
    <w:p w14:paraId="4E26CB6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13.1.1 分部分项工程质量应符合国家有关工程施工验收规范、标准及合同约定，承包人应按照施工组织设计的要求完成分部分项工程施工。</w:t>
      </w:r>
    </w:p>
    <w:p w14:paraId="6DE0E292">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rPr>
        <w:t>分部分项工程未经验收的，不得进入下一道工序施工。</w:t>
      </w:r>
    </w:p>
    <w:p w14:paraId="4B3542B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分部分项工程的验收资料应当作为竣工资料的组成部分。</w:t>
      </w:r>
    </w:p>
    <w:p w14:paraId="3F03524F">
      <w:pPr>
        <w:pStyle w:val="9"/>
        <w:spacing w:line="490" w:lineRule="exact"/>
        <w:ind w:firstLine="440" w:firstLineChars="200"/>
        <w:rPr>
          <w:rFonts w:hint="eastAsia" w:ascii="宋体" w:hAnsi="宋体" w:eastAsia="宋体" w:cs="宋体"/>
          <w:b w:val="0"/>
          <w:color w:val="000000"/>
          <w:sz w:val="22"/>
          <w:szCs w:val="18"/>
        </w:rPr>
      </w:pPr>
      <w:bookmarkStart w:id="383" w:name="_Toc375060806"/>
      <w:bookmarkStart w:id="384" w:name="_Toc337558806"/>
      <w:r>
        <w:rPr>
          <w:rFonts w:hint="eastAsia" w:ascii="宋体" w:hAnsi="宋体" w:eastAsia="宋体" w:cs="宋体"/>
          <w:b w:val="0"/>
          <w:color w:val="000000"/>
          <w:sz w:val="22"/>
          <w:szCs w:val="18"/>
        </w:rPr>
        <w:t>13.2竣工验收</w:t>
      </w:r>
      <w:bookmarkEnd w:id="383"/>
    </w:p>
    <w:bookmarkEnd w:id="381"/>
    <w:bookmarkEnd w:id="382"/>
    <w:bookmarkEnd w:id="384"/>
    <w:p w14:paraId="16ADF75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13.2.1竣工验收条件</w:t>
      </w:r>
    </w:p>
    <w:p w14:paraId="1591282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工程具备以下条件的，承包人可以申请竣工验收：</w:t>
      </w:r>
    </w:p>
    <w:p w14:paraId="3183DF0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（1）除发包人同意的甩项工作和缺陷修补工作外，合同范围内的全部工程以及有关工作，包括合同要求的试验、试运行以及检验均已完成，并符合合同要求；</w:t>
      </w:r>
    </w:p>
    <w:p w14:paraId="41400F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（2）已按合同约定编制了甩项工作和缺陷修补工作清单以及相应的施工计划；</w:t>
      </w:r>
    </w:p>
    <w:p w14:paraId="5D3F4A2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（3）已按合同约定的内容和份数备齐竣工资料。</w:t>
      </w:r>
    </w:p>
    <w:p w14:paraId="13CCC8E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13.2.2竣工验收程序</w:t>
      </w:r>
    </w:p>
    <w:p w14:paraId="38B4222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除专用合同条款另有约定外，承包人申请竣工验收的，应当按照以下程序进行：</w:t>
      </w:r>
    </w:p>
    <w:p w14:paraId="4FFC5A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F2684A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17EF92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14:paraId="1970B9F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827D4C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D11DEA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07E614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13.2.3竣工日期</w:t>
      </w:r>
    </w:p>
    <w:p w14:paraId="5FD3ADC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85" w:name="#go14"/>
      <w:bookmarkEnd w:id="385"/>
      <w:r>
        <w:rPr>
          <w:rFonts w:hint="eastAsia" w:ascii="宋体" w:hAnsi="宋体" w:eastAsia="宋体" w:cs="宋体"/>
          <w:color w:val="000000"/>
          <w:kern w:val="0"/>
          <w:sz w:val="24"/>
          <w:szCs w:val="24"/>
        </w:rPr>
        <w:t>收申请报告的日期为实际竣工日期；工程未经竣工验收，发包人擅自使用的，以转移占有工程之日为实际竣工日期。</w:t>
      </w:r>
    </w:p>
    <w:p w14:paraId="3570F7F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 拒绝接收全部或部分工程</w:t>
      </w:r>
    </w:p>
    <w:p w14:paraId="67FA65F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12BEA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 移交、接收全部与部分工程</w:t>
      </w:r>
    </w:p>
    <w:p w14:paraId="69AD13E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除专用合同条款另有约定外，合同当事人应当在颁发工程接收证书后7天内完成工程的移交。</w:t>
      </w:r>
    </w:p>
    <w:p w14:paraId="46E41D3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04CFCFF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12B56685">
      <w:pPr>
        <w:pStyle w:val="9"/>
        <w:spacing w:line="490" w:lineRule="exact"/>
        <w:ind w:firstLine="440" w:firstLineChars="200"/>
        <w:rPr>
          <w:rFonts w:hint="eastAsia" w:ascii="宋体" w:hAnsi="宋体" w:eastAsia="宋体" w:cs="宋体"/>
          <w:b w:val="0"/>
          <w:color w:val="000000"/>
          <w:sz w:val="22"/>
          <w:szCs w:val="18"/>
        </w:rPr>
      </w:pPr>
      <w:bookmarkStart w:id="386" w:name="_Toc375060807"/>
      <w:bookmarkStart w:id="387" w:name="_Toc337558807"/>
      <w:bookmarkStart w:id="388" w:name="_Toc296346612"/>
      <w:bookmarkStart w:id="389" w:name="_Toc296503111"/>
      <w:r>
        <w:rPr>
          <w:rFonts w:hint="eastAsia" w:ascii="宋体" w:hAnsi="宋体" w:eastAsia="宋体" w:cs="宋体"/>
          <w:b w:val="0"/>
          <w:color w:val="000000"/>
          <w:sz w:val="22"/>
          <w:szCs w:val="18"/>
        </w:rPr>
        <w:t>13.3工程试车</w:t>
      </w:r>
      <w:bookmarkEnd w:id="386"/>
    </w:p>
    <w:bookmarkEnd w:id="387"/>
    <w:bookmarkEnd w:id="388"/>
    <w:bookmarkEnd w:id="389"/>
    <w:p w14:paraId="4A454FB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13.3.1试车程序</w:t>
      </w:r>
    </w:p>
    <w:p w14:paraId="0D27995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工程需要试车的，除专用合同条款另有约定外，试车内容应与承包人承包范围相一致，试车费用由承包人承担。工程试车应按如下程序进行：</w:t>
      </w:r>
    </w:p>
    <w:p w14:paraId="4F62E62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D0B5A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A42510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68DD9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13.3.2 试车中的责任</w:t>
      </w:r>
    </w:p>
    <w:p w14:paraId="1C9CAD2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C6DEA6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4F2E43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1C8B9CB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14:paraId="79EE5A5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F6873CA">
      <w:pPr>
        <w:pStyle w:val="9"/>
        <w:spacing w:line="490" w:lineRule="exact"/>
        <w:rPr>
          <w:rFonts w:hint="eastAsia" w:ascii="宋体" w:hAnsi="宋体" w:eastAsia="宋体" w:cs="宋体"/>
          <w:b w:val="0"/>
          <w:color w:val="000000"/>
          <w:sz w:val="22"/>
          <w:szCs w:val="18"/>
        </w:rPr>
      </w:pPr>
      <w:bookmarkStart w:id="390" w:name="_Toc337558808"/>
      <w:r>
        <w:rPr>
          <w:rFonts w:hint="eastAsia" w:ascii="宋体" w:hAnsi="宋体" w:eastAsia="宋体" w:cs="宋体"/>
          <w:b w:val="0"/>
          <w:color w:val="000000"/>
          <w:sz w:val="22"/>
          <w:szCs w:val="18"/>
        </w:rPr>
        <w:t xml:space="preserve">    </w:t>
      </w:r>
      <w:bookmarkStart w:id="391" w:name="_Toc375060808"/>
      <w:r>
        <w:rPr>
          <w:rFonts w:hint="eastAsia" w:ascii="宋体" w:hAnsi="宋体" w:eastAsia="宋体" w:cs="宋体"/>
          <w:b w:val="0"/>
          <w:color w:val="000000"/>
          <w:sz w:val="22"/>
          <w:szCs w:val="18"/>
        </w:rPr>
        <w:t>13.4提前交付单位工程的验收</w:t>
      </w:r>
      <w:bookmarkEnd w:id="391"/>
    </w:p>
    <w:bookmarkEnd w:id="390"/>
    <w:p w14:paraId="2695DB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14:paraId="0688292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466A774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14:paraId="27946DD9">
      <w:pPr>
        <w:pStyle w:val="9"/>
        <w:spacing w:line="490" w:lineRule="exact"/>
        <w:ind w:firstLine="440" w:firstLineChars="200"/>
        <w:rPr>
          <w:rFonts w:hint="eastAsia" w:ascii="宋体" w:hAnsi="宋体" w:eastAsia="宋体" w:cs="宋体"/>
          <w:b w:val="0"/>
          <w:color w:val="000000"/>
          <w:sz w:val="22"/>
          <w:szCs w:val="18"/>
        </w:rPr>
      </w:pPr>
      <w:bookmarkStart w:id="392" w:name="_Toc375060809"/>
      <w:r>
        <w:rPr>
          <w:rFonts w:hint="eastAsia" w:ascii="宋体" w:hAnsi="宋体" w:eastAsia="宋体" w:cs="宋体"/>
          <w:b w:val="0"/>
          <w:color w:val="000000"/>
          <w:sz w:val="22"/>
          <w:szCs w:val="18"/>
        </w:rPr>
        <w:t>13.5 施工期运行</w:t>
      </w:r>
      <w:bookmarkEnd w:id="392"/>
    </w:p>
    <w:p w14:paraId="66CCA25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502A3B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13.5.2 在施工期运行中发现工程或工程设备损坏或存在缺陷的，由承包人按第15.2款〔缺陷责任期〕约定进行修复。</w:t>
      </w:r>
    </w:p>
    <w:p w14:paraId="4CEE2478">
      <w:pPr>
        <w:pStyle w:val="9"/>
        <w:spacing w:line="490" w:lineRule="exact"/>
        <w:ind w:firstLine="440" w:firstLineChars="200"/>
        <w:rPr>
          <w:rFonts w:hint="eastAsia" w:ascii="宋体" w:hAnsi="宋体" w:eastAsia="宋体" w:cs="宋体"/>
          <w:b w:val="0"/>
          <w:color w:val="000000"/>
          <w:sz w:val="22"/>
          <w:szCs w:val="18"/>
        </w:rPr>
      </w:pPr>
      <w:bookmarkStart w:id="393" w:name="_Toc296346613"/>
      <w:bookmarkStart w:id="394" w:name="_Toc296503112"/>
      <w:bookmarkStart w:id="395" w:name="_Toc375060810"/>
      <w:bookmarkStart w:id="396" w:name="_Toc337558809"/>
      <w:r>
        <w:rPr>
          <w:rFonts w:hint="eastAsia" w:ascii="宋体" w:hAnsi="宋体" w:eastAsia="宋体" w:cs="宋体"/>
          <w:b w:val="0"/>
          <w:color w:val="000000"/>
          <w:sz w:val="22"/>
          <w:szCs w:val="18"/>
        </w:rPr>
        <w:t>13.6 竣工退</w:t>
      </w:r>
      <w:bookmarkEnd w:id="393"/>
      <w:bookmarkEnd w:id="394"/>
      <w:r>
        <w:rPr>
          <w:rFonts w:hint="eastAsia" w:ascii="宋体" w:hAnsi="宋体" w:eastAsia="宋体" w:cs="宋体"/>
          <w:b w:val="0"/>
          <w:color w:val="000000"/>
          <w:sz w:val="22"/>
          <w:szCs w:val="18"/>
        </w:rPr>
        <w:t>场</w:t>
      </w:r>
      <w:bookmarkEnd w:id="395"/>
    </w:p>
    <w:bookmarkEnd w:id="396"/>
    <w:p w14:paraId="777AAE4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791F1ED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颁发工程接收证书后，承包人应按以下要求对施工现场进行清理：</w:t>
      </w:r>
    </w:p>
    <w:p w14:paraId="494D1E0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（1）施工现场内残留的垃圾已全部清除出场；</w:t>
      </w:r>
    </w:p>
    <w:p w14:paraId="44D2E6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（2）临时工程已拆除，场地已进行清理、平整或复原；</w:t>
      </w:r>
    </w:p>
    <w:p w14:paraId="2BE628D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（3）按合同约定应撤离的人员、承包人施工设备和剩余的材料，包括废弃的施工设备和材料，已按计划撤离施工现场；</w:t>
      </w:r>
    </w:p>
    <w:p w14:paraId="1FA0836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（4）施工现场周边及其附近道路、河道的施工堆积物，已全部清理；</w:t>
      </w:r>
    </w:p>
    <w:p w14:paraId="4A375BD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（5）施工现场其他场地清理工作已全部完成。</w:t>
      </w:r>
    </w:p>
    <w:p w14:paraId="53BF1F5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A161E0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13.6.2 地表还原</w:t>
      </w:r>
    </w:p>
    <w:p w14:paraId="07D06F7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3A50CF72">
      <w:pPr>
        <w:pStyle w:val="8"/>
        <w:spacing w:line="490" w:lineRule="exact"/>
        <w:rPr>
          <w:rFonts w:hint="eastAsia" w:ascii="宋体" w:hAnsi="宋体" w:eastAsia="宋体" w:cs="宋体"/>
          <w:b w:val="0"/>
          <w:color w:val="000000"/>
          <w:sz w:val="24"/>
          <w:szCs w:val="24"/>
        </w:rPr>
      </w:pPr>
      <w:bookmarkStart w:id="397" w:name="_Toc375060811"/>
      <w:bookmarkStart w:id="398" w:name="_Toc337558810"/>
      <w:bookmarkStart w:id="399" w:name="_Toc296346614"/>
      <w:bookmarkStart w:id="400" w:name="_Toc296503113"/>
      <w:r>
        <w:rPr>
          <w:rFonts w:hint="eastAsia" w:ascii="宋体" w:hAnsi="宋体" w:eastAsia="宋体" w:cs="宋体"/>
          <w:b w:val="0"/>
          <w:color w:val="000000"/>
          <w:sz w:val="24"/>
          <w:szCs w:val="24"/>
        </w:rPr>
        <w:t>14. 竣工结算</w:t>
      </w:r>
      <w:bookmarkEnd w:id="397"/>
    </w:p>
    <w:bookmarkEnd w:id="398"/>
    <w:p w14:paraId="6E1AC952">
      <w:pPr>
        <w:pStyle w:val="9"/>
        <w:spacing w:line="490" w:lineRule="exact"/>
        <w:ind w:firstLine="440" w:firstLineChars="200"/>
        <w:rPr>
          <w:rFonts w:hint="eastAsia" w:ascii="宋体" w:hAnsi="宋体" w:eastAsia="宋体" w:cs="宋体"/>
          <w:b w:val="0"/>
          <w:color w:val="000000"/>
          <w:sz w:val="22"/>
          <w:szCs w:val="18"/>
        </w:rPr>
      </w:pPr>
      <w:bookmarkStart w:id="401" w:name="_Toc375060812"/>
      <w:bookmarkStart w:id="402" w:name="_Toc337558811"/>
      <w:r>
        <w:rPr>
          <w:rFonts w:hint="eastAsia" w:ascii="宋体" w:hAnsi="宋体" w:eastAsia="宋体" w:cs="宋体"/>
          <w:b w:val="0"/>
          <w:color w:val="000000"/>
          <w:sz w:val="22"/>
          <w:szCs w:val="18"/>
        </w:rPr>
        <w:t>14.1 竣工结算申请</w:t>
      </w:r>
      <w:bookmarkEnd w:id="401"/>
    </w:p>
    <w:bookmarkEnd w:id="402"/>
    <w:p w14:paraId="4DA688CF">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除专用合同条款另有约定外，</w:t>
      </w:r>
      <w:r>
        <w:rPr>
          <w:rFonts w:hint="eastAsia" w:ascii="宋体" w:hAnsi="宋体" w:eastAsia="宋体" w:cs="宋体"/>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14:paraId="2EA0E2C9">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除专用合同条款另有约定外，竣工结算申请单应包括以下内容：</w:t>
      </w:r>
    </w:p>
    <w:p w14:paraId="526B00C2">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（1）竣工结算合同价格；</w:t>
      </w:r>
    </w:p>
    <w:p w14:paraId="3E81F393">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（2）发包人已支付承包人的款项；</w:t>
      </w:r>
    </w:p>
    <w:p w14:paraId="7E627480">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（3）应扣留的质量保证金。已缴纳履约保证金的或提供其他工程质量担保方式的除外； </w:t>
      </w:r>
    </w:p>
    <w:p w14:paraId="44581AF3">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（4）发包人应支付承包人的合同价款。</w:t>
      </w:r>
    </w:p>
    <w:p w14:paraId="57CB9C72">
      <w:pPr>
        <w:pStyle w:val="9"/>
        <w:spacing w:line="490" w:lineRule="exact"/>
        <w:ind w:firstLine="440" w:firstLineChars="200"/>
        <w:rPr>
          <w:rFonts w:hint="eastAsia" w:ascii="宋体" w:hAnsi="宋体" w:eastAsia="宋体" w:cs="宋体"/>
          <w:b w:val="0"/>
          <w:color w:val="000000"/>
          <w:sz w:val="22"/>
          <w:szCs w:val="18"/>
        </w:rPr>
      </w:pPr>
      <w:bookmarkStart w:id="403" w:name="_Toc375060813"/>
      <w:bookmarkStart w:id="404" w:name="_Toc337558812"/>
      <w:r>
        <w:rPr>
          <w:rFonts w:hint="eastAsia" w:ascii="宋体" w:hAnsi="宋体" w:eastAsia="宋体" w:cs="宋体"/>
          <w:b w:val="0"/>
          <w:color w:val="000000"/>
          <w:sz w:val="22"/>
          <w:szCs w:val="18"/>
        </w:rPr>
        <w:t>14.2 竣工结算审核</w:t>
      </w:r>
      <w:bookmarkEnd w:id="403"/>
    </w:p>
    <w:bookmarkEnd w:id="404"/>
    <w:p w14:paraId="18C137A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rPr>
        <w:t>发包人对竣工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申请单有异议的，有权要求承包人进行修正和提供补充资料，承包人应提交修正后的竣工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w:t>
      </w:r>
    </w:p>
    <w:p w14:paraId="4A81A2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A0838A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B0E83D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298E1E1">
      <w:pPr>
        <w:pStyle w:val="9"/>
        <w:spacing w:line="490" w:lineRule="exact"/>
        <w:ind w:firstLine="440" w:firstLineChars="200"/>
        <w:rPr>
          <w:rFonts w:hint="eastAsia" w:ascii="宋体" w:hAnsi="宋体" w:eastAsia="宋体" w:cs="宋体"/>
          <w:b w:val="0"/>
          <w:color w:val="000000"/>
          <w:sz w:val="22"/>
          <w:szCs w:val="18"/>
        </w:rPr>
      </w:pPr>
      <w:bookmarkStart w:id="405" w:name="_Toc375060814"/>
      <w:bookmarkStart w:id="406" w:name="_Toc337558813"/>
      <w:r>
        <w:rPr>
          <w:rFonts w:hint="eastAsia" w:ascii="宋体" w:hAnsi="宋体" w:eastAsia="宋体" w:cs="宋体"/>
          <w:b w:val="0"/>
          <w:color w:val="000000"/>
          <w:sz w:val="22"/>
          <w:szCs w:val="18"/>
        </w:rPr>
        <w:t>14.3 甩项竣工协议</w:t>
      </w:r>
      <w:bookmarkEnd w:id="405"/>
    </w:p>
    <w:bookmarkEnd w:id="406"/>
    <w:p w14:paraId="21B801EA">
      <w:pPr>
        <w:autoSpaceDE w:val="0"/>
        <w:autoSpaceDN w:val="0"/>
        <w:adjustRightInd w:val="0"/>
        <w:spacing w:line="490" w:lineRule="exact"/>
        <w:ind w:firstLine="470" w:firstLineChars="196"/>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5687B685">
      <w:pPr>
        <w:pStyle w:val="9"/>
        <w:spacing w:line="490" w:lineRule="exact"/>
        <w:ind w:firstLine="440" w:firstLineChars="200"/>
        <w:rPr>
          <w:rFonts w:hint="eastAsia" w:ascii="宋体" w:hAnsi="宋体" w:eastAsia="宋体" w:cs="宋体"/>
          <w:b w:val="0"/>
          <w:color w:val="000000"/>
          <w:sz w:val="22"/>
          <w:szCs w:val="18"/>
        </w:rPr>
      </w:pPr>
      <w:bookmarkStart w:id="407" w:name="_Toc375060815"/>
      <w:bookmarkStart w:id="408" w:name="_Toc337558814"/>
      <w:r>
        <w:rPr>
          <w:rFonts w:hint="eastAsia" w:ascii="宋体" w:hAnsi="宋体" w:eastAsia="宋体" w:cs="宋体"/>
          <w:b w:val="0"/>
          <w:color w:val="000000"/>
          <w:sz w:val="22"/>
          <w:szCs w:val="18"/>
        </w:rPr>
        <w:t>14.4 最终结清</w:t>
      </w:r>
      <w:bookmarkEnd w:id="407"/>
    </w:p>
    <w:bookmarkEnd w:id="408"/>
    <w:p w14:paraId="7385CD0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22833A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（1）除专用合同条款另有约定外，承包人应在缺陷责任期终止证书颁发后7天内，按专用合同条款约定的份数向发包人提交最终结清申请单，并提供相关证明材料。</w:t>
      </w:r>
    </w:p>
    <w:p w14:paraId="2913BA77">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w:t>
      </w:r>
      <w:r>
        <w:rPr>
          <w:rFonts w:hint="eastAsia" w:ascii="宋体" w:hAnsi="宋体" w:eastAsia="宋体" w:cs="宋体"/>
          <w:color w:val="000000"/>
          <w:kern w:val="0"/>
          <w:sz w:val="24"/>
          <w:szCs w:val="24"/>
        </w:rPr>
        <w:t>最终结清申请单</w:t>
      </w:r>
      <w:r>
        <w:rPr>
          <w:rFonts w:hint="eastAsia" w:ascii="宋体" w:hAnsi="宋体" w:eastAsia="宋体" w:cs="宋体"/>
          <w:color w:val="000000"/>
          <w:sz w:val="24"/>
          <w:szCs w:val="24"/>
        </w:rPr>
        <w:t>应列明质量保证金、应扣除的质量保证金、缺陷责任期内发生的增减费用。</w:t>
      </w:r>
    </w:p>
    <w:p w14:paraId="1B171E9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（2）发包人对最终结清申请单内容有异议的，有权要求承包人进行修正和提供补充资料，承包人应向发包人提交修正后的最终结清申请单。</w:t>
      </w:r>
    </w:p>
    <w:p w14:paraId="076828F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14.4.2 最终结清证书和支付</w:t>
      </w:r>
    </w:p>
    <w:p w14:paraId="39F9CF6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D3CFFE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3103A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（3）承包人对发包人颁发的最终结清证书有异议的，按第20条〔争议解决〕的约定办理。</w:t>
      </w:r>
    </w:p>
    <w:p w14:paraId="0A9299C2">
      <w:pPr>
        <w:pStyle w:val="8"/>
        <w:spacing w:line="490" w:lineRule="exact"/>
        <w:rPr>
          <w:rFonts w:hint="eastAsia" w:ascii="宋体" w:hAnsi="宋体" w:eastAsia="宋体" w:cs="宋体"/>
          <w:b w:val="0"/>
          <w:color w:val="000000"/>
          <w:sz w:val="24"/>
          <w:szCs w:val="24"/>
        </w:rPr>
      </w:pPr>
      <w:bookmarkStart w:id="409" w:name="_Toc375060816"/>
      <w:bookmarkStart w:id="410" w:name="_Toc337558815"/>
      <w:r>
        <w:rPr>
          <w:rFonts w:hint="eastAsia" w:ascii="宋体" w:hAnsi="宋体" w:eastAsia="宋体" w:cs="宋体"/>
          <w:b w:val="0"/>
          <w:color w:val="000000"/>
          <w:sz w:val="24"/>
          <w:szCs w:val="24"/>
        </w:rPr>
        <w:t>15. 缺陷责任与保修</w:t>
      </w:r>
      <w:bookmarkEnd w:id="409"/>
    </w:p>
    <w:bookmarkEnd w:id="399"/>
    <w:bookmarkEnd w:id="400"/>
    <w:bookmarkEnd w:id="410"/>
    <w:p w14:paraId="219683C4">
      <w:pPr>
        <w:pStyle w:val="9"/>
        <w:spacing w:line="490" w:lineRule="exact"/>
        <w:ind w:firstLine="440" w:firstLineChars="200"/>
        <w:rPr>
          <w:rFonts w:hint="eastAsia" w:ascii="宋体" w:hAnsi="宋体" w:eastAsia="宋体" w:cs="宋体"/>
          <w:b w:val="0"/>
          <w:color w:val="000000"/>
          <w:sz w:val="22"/>
          <w:szCs w:val="18"/>
        </w:rPr>
      </w:pPr>
      <w:bookmarkStart w:id="411" w:name="_Toc375060817"/>
      <w:bookmarkStart w:id="412" w:name="_Toc337558816"/>
      <w:bookmarkStart w:id="413" w:name="_Toc296503114"/>
      <w:bookmarkStart w:id="414" w:name="_Toc296346615"/>
      <w:r>
        <w:rPr>
          <w:rFonts w:hint="eastAsia" w:ascii="宋体" w:hAnsi="宋体" w:eastAsia="宋体" w:cs="宋体"/>
          <w:b w:val="0"/>
          <w:color w:val="000000"/>
          <w:sz w:val="22"/>
          <w:szCs w:val="18"/>
        </w:rPr>
        <w:t>15.1 工程保修的原则</w:t>
      </w:r>
      <w:bookmarkEnd w:id="411"/>
    </w:p>
    <w:bookmarkEnd w:id="412"/>
    <w:p w14:paraId="1955AFC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14:paraId="15831510">
      <w:pPr>
        <w:pStyle w:val="9"/>
        <w:spacing w:line="490" w:lineRule="exact"/>
        <w:ind w:firstLine="440" w:firstLineChars="200"/>
        <w:rPr>
          <w:rFonts w:hint="eastAsia" w:ascii="宋体" w:hAnsi="宋体" w:eastAsia="宋体" w:cs="宋体"/>
          <w:b w:val="0"/>
          <w:color w:val="000000"/>
          <w:sz w:val="22"/>
          <w:szCs w:val="18"/>
        </w:rPr>
      </w:pPr>
      <w:bookmarkStart w:id="415" w:name="_Toc375060818"/>
      <w:bookmarkStart w:id="416" w:name="_Toc337558817"/>
      <w:r>
        <w:rPr>
          <w:rFonts w:hint="eastAsia" w:ascii="宋体" w:hAnsi="宋体" w:eastAsia="宋体" w:cs="宋体"/>
          <w:b w:val="0"/>
          <w:color w:val="000000"/>
          <w:sz w:val="22"/>
          <w:szCs w:val="18"/>
        </w:rPr>
        <w:t>15.2 缺陷责任期</w:t>
      </w:r>
      <w:bookmarkEnd w:id="413"/>
      <w:bookmarkEnd w:id="414"/>
      <w:bookmarkEnd w:id="415"/>
    </w:p>
    <w:bookmarkEnd w:id="416"/>
    <w:p w14:paraId="2590936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15.2.1 缺陷责任期从工程通过竣工验收之日起计算，合同当事人应在专用合同条款约定缺陷责任期的具体期限，但该期限最长不超过24个月。</w:t>
      </w:r>
    </w:p>
    <w:p w14:paraId="7E9687B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AF5017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C10F9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由他人原因造成的缺陷，发包人负责组织维修，承包人不承担费用，且发包人不得从保证金中扣除费用。</w:t>
      </w:r>
    </w:p>
    <w:p w14:paraId="3F5D36B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65CE053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09C9D4C">
      <w:pPr>
        <w:pStyle w:val="9"/>
        <w:spacing w:line="490" w:lineRule="exact"/>
        <w:ind w:firstLine="440" w:firstLineChars="200"/>
        <w:rPr>
          <w:rFonts w:hint="eastAsia" w:ascii="宋体" w:hAnsi="宋体" w:eastAsia="宋体" w:cs="宋体"/>
          <w:b w:val="0"/>
          <w:color w:val="000000"/>
          <w:sz w:val="22"/>
          <w:szCs w:val="18"/>
        </w:rPr>
      </w:pPr>
      <w:bookmarkStart w:id="417" w:name="_Toc375060819"/>
      <w:bookmarkStart w:id="418" w:name="_Toc337558818"/>
      <w:bookmarkStart w:id="419" w:name="_Toc296346616"/>
      <w:bookmarkStart w:id="420" w:name="_Toc296503115"/>
      <w:r>
        <w:rPr>
          <w:rFonts w:hint="eastAsia" w:ascii="宋体" w:hAnsi="宋体" w:eastAsia="宋体" w:cs="宋体"/>
          <w:b w:val="0"/>
          <w:color w:val="000000"/>
          <w:sz w:val="22"/>
          <w:szCs w:val="18"/>
        </w:rPr>
        <w:t>15.3 质量保证金</w:t>
      </w:r>
      <w:bookmarkEnd w:id="417"/>
    </w:p>
    <w:bookmarkEnd w:id="418"/>
    <w:p w14:paraId="0F9FA42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经合同当事人协商一致扣留质量保证金的，应在专用合同条款中予以明确。</w:t>
      </w:r>
    </w:p>
    <w:p w14:paraId="5C0DE60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在工程项目竣工前，承包人已经提供履约担保的，发包人不得同时预留工程质量保证金。</w:t>
      </w:r>
    </w:p>
    <w:p w14:paraId="575CC1B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15.3.1 承包人提供质量保证金的方式</w:t>
      </w:r>
    </w:p>
    <w:p w14:paraId="76B3DD0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承包人提供质量保证金有以下三种方式：</w:t>
      </w:r>
    </w:p>
    <w:p w14:paraId="138AE2B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（1）质量保证金保函； </w:t>
      </w:r>
    </w:p>
    <w:p w14:paraId="01B41EF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（2）相应比例的工程款；</w:t>
      </w:r>
    </w:p>
    <w:p w14:paraId="634470C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（3）双方约定的其他方式。</w:t>
      </w:r>
    </w:p>
    <w:p w14:paraId="2A1A4FF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除专用合同条款另有约定外，质量保证金原则上采用上述第（1）种方式。</w:t>
      </w:r>
    </w:p>
    <w:p w14:paraId="72BA969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15.3.2 质量保证金的扣留</w:t>
      </w:r>
    </w:p>
    <w:p w14:paraId="7921C79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质量保证金的扣留有以下三种方式：</w:t>
      </w:r>
    </w:p>
    <w:p w14:paraId="1DA5C06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074E6D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w:t>
      </w:r>
      <w:bookmarkStart w:id="421" w:name="#go6"/>
      <w:bookmarkEnd w:id="421"/>
      <w:r>
        <w:rPr>
          <w:rFonts w:hint="eastAsia" w:ascii="宋体" w:hAnsi="宋体" w:eastAsia="宋体" w:cs="宋体"/>
          <w:color w:val="000000"/>
          <w:kern w:val="0"/>
          <w:sz w:val="24"/>
          <w:szCs w:val="24"/>
        </w:rPr>
        <w:t>程竣工结算时一次性扣留质量保证金；</w:t>
      </w:r>
    </w:p>
    <w:p w14:paraId="280E35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（3）双方约定的其他扣留方式。</w:t>
      </w:r>
    </w:p>
    <w:p w14:paraId="32E963A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除专用合同条款另有约定外，质量保证金的扣留原则上采用上述第（1）种方式。</w:t>
      </w:r>
    </w:p>
    <w:p w14:paraId="501B758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w:t>
      </w:r>
      <w:bookmarkStart w:id="422" w:name="#go4"/>
      <w:bookmarkEnd w:id="422"/>
      <w:r>
        <w:rPr>
          <w:rFonts w:hint="eastAsia" w:ascii="宋体" w:hAnsi="宋体" w:eastAsia="宋体" w:cs="宋体"/>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D8C9C3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发包人在退还质量保证金的同时按照中国人民银行发布的同期同类贷款基准利率支付利息。</w:t>
      </w:r>
    </w:p>
    <w:p w14:paraId="6A156D4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15.3.3 </w:t>
      </w:r>
      <w:r>
        <w:rPr>
          <w:rFonts w:hint="eastAsia" w:ascii="宋体" w:hAnsi="宋体" w:eastAsia="宋体" w:cs="宋体"/>
          <w:color w:val="000000"/>
          <w:sz w:val="24"/>
          <w:szCs w:val="24"/>
        </w:rPr>
        <w:t>质量保证金</w:t>
      </w:r>
      <w:r>
        <w:rPr>
          <w:rFonts w:hint="eastAsia" w:ascii="宋体" w:hAnsi="宋体" w:eastAsia="宋体" w:cs="宋体"/>
          <w:color w:val="000000"/>
          <w:kern w:val="0"/>
          <w:sz w:val="24"/>
          <w:szCs w:val="24"/>
        </w:rPr>
        <w:t>的退还</w:t>
      </w:r>
    </w:p>
    <w:p w14:paraId="7AB4B65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缺陷责任期内，承包人认真履行合同约定的责任，到期后，承包人可向发包人申请返还保证金。</w:t>
      </w:r>
    </w:p>
    <w:p w14:paraId="693E198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58D2C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发包人和承包人对保证金预留、返还以及工程维修质量、费用有争议的，按本合同第20条约定的争议和纠纷解决程序处理。</w:t>
      </w:r>
    </w:p>
    <w:p w14:paraId="13EFC14E">
      <w:pPr>
        <w:pStyle w:val="9"/>
        <w:spacing w:line="490" w:lineRule="exact"/>
        <w:ind w:firstLine="440" w:firstLineChars="200"/>
        <w:rPr>
          <w:rFonts w:hint="eastAsia" w:ascii="宋体" w:hAnsi="宋体" w:eastAsia="宋体" w:cs="宋体"/>
          <w:b w:val="0"/>
          <w:color w:val="000000"/>
          <w:sz w:val="22"/>
          <w:szCs w:val="18"/>
        </w:rPr>
      </w:pPr>
      <w:bookmarkStart w:id="423" w:name="_Toc375060820"/>
      <w:bookmarkStart w:id="424" w:name="_Toc337558819"/>
      <w:r>
        <w:rPr>
          <w:rFonts w:hint="eastAsia" w:ascii="宋体" w:hAnsi="宋体" w:eastAsia="宋体" w:cs="宋体"/>
          <w:b w:val="0"/>
          <w:color w:val="000000"/>
          <w:sz w:val="22"/>
          <w:szCs w:val="18"/>
        </w:rPr>
        <w:t>15.4 保修</w:t>
      </w:r>
      <w:bookmarkEnd w:id="423"/>
    </w:p>
    <w:bookmarkEnd w:id="419"/>
    <w:bookmarkEnd w:id="420"/>
    <w:bookmarkEnd w:id="424"/>
    <w:p w14:paraId="0424C6F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15.4.1保修责任</w:t>
      </w:r>
    </w:p>
    <w:p w14:paraId="7604974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6FA4B75">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发包人未经竣工验收擅自使用工程的，保修期自</w:t>
      </w:r>
      <w:r>
        <w:rPr>
          <w:rFonts w:hint="eastAsia" w:ascii="宋体" w:hAnsi="宋体" w:eastAsia="宋体" w:cs="宋体"/>
          <w:color w:val="000000"/>
          <w:kern w:val="0"/>
          <w:sz w:val="24"/>
          <w:szCs w:val="24"/>
        </w:rPr>
        <w:t>转移占有之日起算</w:t>
      </w:r>
      <w:r>
        <w:rPr>
          <w:rFonts w:hint="eastAsia" w:ascii="宋体" w:hAnsi="宋体" w:eastAsia="宋体" w:cs="宋体"/>
          <w:color w:val="000000"/>
          <w:sz w:val="24"/>
          <w:szCs w:val="24"/>
        </w:rPr>
        <w:t>。</w:t>
      </w:r>
    </w:p>
    <w:p w14:paraId="301EBC5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15.4.2 修复费用</w:t>
      </w:r>
    </w:p>
    <w:p w14:paraId="3669D3D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保修期内，修复的费用按照以下约定处理：</w:t>
      </w:r>
    </w:p>
    <w:p w14:paraId="23D95DB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（1）保修期内，因承包人原因造成工程的缺陷、损坏，承包人应负责修复，并承担修复的费用以及因工程的缺陷、损坏造成的人身伤害和财产损失；</w:t>
      </w:r>
    </w:p>
    <w:p w14:paraId="69FB609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（2）保修期内，因发包人使用不当造成工程的缺陷、损坏，可以委托承包人修复，但发包人应承担修复的费用，并支付承包人合理利润；</w:t>
      </w:r>
    </w:p>
    <w:p w14:paraId="3B07B68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14:paraId="09A728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15.4.3 修复通知</w:t>
      </w:r>
    </w:p>
    <w:p w14:paraId="0ABE869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8C0434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15.4.4 未能修复</w:t>
      </w:r>
    </w:p>
    <w:p w14:paraId="72B375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C51E9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15.4.5 承包人出入权</w:t>
      </w:r>
    </w:p>
    <w:p w14:paraId="424D3E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5B9E851">
      <w:pPr>
        <w:pStyle w:val="8"/>
        <w:spacing w:line="490" w:lineRule="exact"/>
        <w:rPr>
          <w:rFonts w:hint="eastAsia" w:ascii="宋体" w:hAnsi="宋体" w:eastAsia="宋体" w:cs="宋体"/>
          <w:b w:val="0"/>
          <w:color w:val="000000"/>
          <w:sz w:val="24"/>
          <w:szCs w:val="24"/>
        </w:rPr>
      </w:pPr>
      <w:bookmarkStart w:id="425" w:name="_Toc375060821"/>
      <w:bookmarkStart w:id="426" w:name="_Toc337558820"/>
      <w:r>
        <w:rPr>
          <w:rFonts w:hint="eastAsia" w:ascii="宋体" w:hAnsi="宋体" w:eastAsia="宋体" w:cs="宋体"/>
          <w:b w:val="0"/>
          <w:color w:val="000000"/>
          <w:sz w:val="24"/>
          <w:szCs w:val="24"/>
        </w:rPr>
        <w:t>16. 违约</w:t>
      </w:r>
      <w:bookmarkEnd w:id="425"/>
    </w:p>
    <w:bookmarkEnd w:id="426"/>
    <w:p w14:paraId="707E1C60">
      <w:pPr>
        <w:pStyle w:val="9"/>
        <w:spacing w:line="490" w:lineRule="exact"/>
        <w:ind w:firstLine="440" w:firstLineChars="200"/>
        <w:rPr>
          <w:rFonts w:hint="eastAsia" w:ascii="宋体" w:hAnsi="宋体" w:eastAsia="宋体" w:cs="宋体"/>
          <w:b w:val="0"/>
          <w:color w:val="000000"/>
          <w:sz w:val="22"/>
          <w:szCs w:val="18"/>
        </w:rPr>
      </w:pPr>
      <w:bookmarkStart w:id="427" w:name="_Toc296346630"/>
      <w:bookmarkStart w:id="428" w:name="_Toc296503129"/>
      <w:bookmarkStart w:id="429" w:name="_Toc375060822"/>
      <w:bookmarkStart w:id="430" w:name="_Toc337558821"/>
      <w:r>
        <w:rPr>
          <w:rFonts w:hint="eastAsia" w:ascii="宋体" w:hAnsi="宋体" w:eastAsia="宋体" w:cs="宋体"/>
          <w:b w:val="0"/>
          <w:color w:val="000000"/>
          <w:sz w:val="22"/>
          <w:szCs w:val="18"/>
        </w:rPr>
        <w:t>16.1 发</w:t>
      </w:r>
      <w:bookmarkEnd w:id="427"/>
      <w:bookmarkEnd w:id="428"/>
      <w:r>
        <w:rPr>
          <w:rFonts w:hint="eastAsia" w:ascii="宋体" w:hAnsi="宋体" w:eastAsia="宋体" w:cs="宋体"/>
          <w:b w:val="0"/>
          <w:color w:val="000000"/>
          <w:sz w:val="22"/>
          <w:szCs w:val="18"/>
        </w:rPr>
        <w:t>包人违约</w:t>
      </w:r>
      <w:bookmarkEnd w:id="429"/>
    </w:p>
    <w:bookmarkEnd w:id="430"/>
    <w:p w14:paraId="042D54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16.1.1 发包人违约的情形</w:t>
      </w:r>
    </w:p>
    <w:p w14:paraId="79353AC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在合同履行过程中发生的下列情形，属于发包人违约：</w:t>
      </w:r>
    </w:p>
    <w:p w14:paraId="2112AA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（1）因发包人原因未能在计划开工日期前7天内下达开工通知的；</w:t>
      </w:r>
    </w:p>
    <w:p w14:paraId="715F0B6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w:t>
      </w:r>
    </w:p>
    <w:p w14:paraId="1D0222D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w:t>
      </w:r>
    </w:p>
    <w:p w14:paraId="3A2F3A5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w:t>
      </w:r>
    </w:p>
    <w:p w14:paraId="6382F54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w:t>
      </w:r>
    </w:p>
    <w:p w14:paraId="1416C9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w:t>
      </w:r>
    </w:p>
    <w:p w14:paraId="5087DF0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（7）发包人明确表示或者以其行为表明不履行合同主要义务的；</w:t>
      </w:r>
    </w:p>
    <w:p w14:paraId="2D705B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（8）发包人未能按照合同约定履行其他义务的。</w:t>
      </w:r>
    </w:p>
    <w:p w14:paraId="6CBF7D8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8757F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14:paraId="2ADC130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44588DD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16.1.3 因发包人违约解除合同</w:t>
      </w:r>
    </w:p>
    <w:p w14:paraId="6700BF6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606EAFD">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16.1.4 因发包人违约解除合同后的付款</w:t>
      </w:r>
    </w:p>
    <w:p w14:paraId="609E739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承包人按照本款约定解除合同的，发包人应在解除合同后28天内支付下列款项，并解除履约担保：</w:t>
      </w:r>
    </w:p>
    <w:p w14:paraId="57BEB31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（1）合同解除前所完成工作的价款；</w:t>
      </w:r>
    </w:p>
    <w:p w14:paraId="6A9280D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（2）承包人为工程施工订购并已付款的材料、工程设备和其他物品的价款；</w:t>
      </w:r>
    </w:p>
    <w:p w14:paraId="5D542B9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（3）承包人撤离施工现场以及遣散承包人人员的款项；</w:t>
      </w:r>
    </w:p>
    <w:p w14:paraId="1228855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（4）按照合同约定在合同解除前应支付的违约金；</w:t>
      </w:r>
    </w:p>
    <w:p w14:paraId="5CF511F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（5）按照合同约定应当支付给承包人的其他款项；</w:t>
      </w:r>
    </w:p>
    <w:p w14:paraId="60B20ED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（6）按照合同约定应退还的质量保证金；</w:t>
      </w:r>
    </w:p>
    <w:p w14:paraId="353B77A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（7）因解除合同给承包人造成的损失。</w:t>
      </w:r>
    </w:p>
    <w:p w14:paraId="0ECCF4E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合同当事人未能就解除合同后的结清达成一致的，按照第20条〔争议解决〕的约定处理。</w:t>
      </w:r>
    </w:p>
    <w:p w14:paraId="57972B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14:paraId="5A2D7EFC">
      <w:pPr>
        <w:pStyle w:val="9"/>
        <w:spacing w:line="490" w:lineRule="exact"/>
        <w:ind w:firstLine="440" w:firstLineChars="200"/>
        <w:rPr>
          <w:rFonts w:hint="eastAsia" w:ascii="宋体" w:hAnsi="宋体" w:eastAsia="宋体" w:cs="宋体"/>
          <w:b w:val="0"/>
          <w:color w:val="000000"/>
          <w:sz w:val="22"/>
          <w:szCs w:val="18"/>
        </w:rPr>
      </w:pPr>
      <w:bookmarkStart w:id="431" w:name="_Toc375060823"/>
      <w:bookmarkStart w:id="432" w:name="_Toc337558822"/>
      <w:bookmarkStart w:id="433" w:name="_Toc296503131"/>
      <w:bookmarkStart w:id="434" w:name="_Toc296346632"/>
      <w:r>
        <w:rPr>
          <w:rFonts w:hint="eastAsia" w:ascii="宋体" w:hAnsi="宋体" w:eastAsia="宋体" w:cs="宋体"/>
          <w:b w:val="0"/>
          <w:color w:val="000000"/>
          <w:sz w:val="22"/>
          <w:szCs w:val="18"/>
        </w:rPr>
        <w:t>16.2 承包人违约</w:t>
      </w:r>
      <w:bookmarkEnd w:id="431"/>
    </w:p>
    <w:bookmarkEnd w:id="432"/>
    <w:bookmarkEnd w:id="433"/>
    <w:bookmarkEnd w:id="434"/>
    <w:p w14:paraId="7090A72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6826B52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在合同履行过程中发生的下列情形，属于承包人违约：</w:t>
      </w:r>
    </w:p>
    <w:p w14:paraId="6BE4079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（1）承包人违反合同约定进行转包或违法分包的；</w:t>
      </w:r>
    </w:p>
    <w:p w14:paraId="24B4C1C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（2）承包人违反合同约定采购和使用不合格的材料和工程设备的；</w:t>
      </w:r>
    </w:p>
    <w:p w14:paraId="3373E98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（3）因承包人原因导致工程质量不符合合同要求的； </w:t>
      </w:r>
    </w:p>
    <w:p w14:paraId="594404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（4）承包人违反第8.9款〔材料与设备专用要求〕的约定，未经批准，私自将已按照合同约定进入施工现场的材料或设备撤离施工现场的；</w:t>
      </w:r>
    </w:p>
    <w:p w14:paraId="398924F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（5）承包人未能按施工进度计划及时完成合同约定的工作，造成工期延误的；</w:t>
      </w:r>
    </w:p>
    <w:p w14:paraId="58FAF6D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（6）承包人在缺陷责任期及保修期内，未能在合理期限对工程缺陷进行修复，或拒绝按发包人要求进行修复的；</w:t>
      </w:r>
    </w:p>
    <w:p w14:paraId="008A52C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（7）承包人明确表示或者以其行为表明不履行合同主要义务的；</w:t>
      </w:r>
    </w:p>
    <w:p w14:paraId="3764C83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（8）承包人未能按照合同约定履行其他义务的。</w:t>
      </w:r>
    </w:p>
    <w:p w14:paraId="08454E8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承包人发生除本项第（7）目约定以外的其他违约情况时，监理人可向承包人发出整改通知，要求其在指定的期限内改正。</w:t>
      </w:r>
    </w:p>
    <w:p w14:paraId="6DCC5C0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 承包人违约的责任</w:t>
      </w:r>
    </w:p>
    <w:p w14:paraId="02892FE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承包人应承担因其违约行为而增加的费用和（或）延误的工期。此外，合同当事人可在专用合同条款中另行约定承包人违约责任的承担方式和计算方法。</w:t>
      </w:r>
    </w:p>
    <w:p w14:paraId="1198965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16.2.3 因承包人违约解除合同</w:t>
      </w:r>
    </w:p>
    <w:p w14:paraId="4FD7F00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A73F6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16.2.4因承包人违约解除合同后的处理</w:t>
      </w:r>
    </w:p>
    <w:p w14:paraId="07CEBC9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因承包人原因导致合同解除的，则合同当事人应在合同解除后28天内完成估价、付款和清算，并按以下约定执行：</w:t>
      </w:r>
    </w:p>
    <w:p w14:paraId="288FF48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14:paraId="36266F5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（2）合同解除后，承包人应支付的违约金；</w:t>
      </w:r>
    </w:p>
    <w:p w14:paraId="66DF720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（3）合同解除后，因解除合同给发包人造成的损失；</w:t>
      </w:r>
    </w:p>
    <w:p w14:paraId="51BC21D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（4）合同解除后，承包人应按照发包人要求和监理人的指示完成现场的清理和撤离；</w:t>
      </w:r>
    </w:p>
    <w:p w14:paraId="655A9D8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（5）发包人和承包人应在合同解除后进行清算，出具最终结清付款证书，结清全部款项。</w:t>
      </w:r>
    </w:p>
    <w:p w14:paraId="137A0CE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6CE3341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16.2.5采购合同权益转让</w:t>
      </w:r>
    </w:p>
    <w:p w14:paraId="654A72C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F08D1CC">
      <w:pPr>
        <w:pStyle w:val="9"/>
        <w:spacing w:line="490" w:lineRule="exact"/>
        <w:ind w:firstLine="440" w:firstLineChars="200"/>
        <w:rPr>
          <w:rFonts w:hint="eastAsia" w:ascii="宋体" w:hAnsi="宋体" w:eastAsia="宋体" w:cs="宋体"/>
          <w:b w:val="0"/>
          <w:color w:val="000000"/>
          <w:sz w:val="22"/>
          <w:szCs w:val="18"/>
        </w:rPr>
      </w:pPr>
      <w:bookmarkStart w:id="435" w:name="_Toc375060824"/>
      <w:r>
        <w:rPr>
          <w:rFonts w:hint="eastAsia" w:ascii="宋体" w:hAnsi="宋体" w:eastAsia="宋体" w:cs="宋体"/>
          <w:b w:val="0"/>
          <w:color w:val="000000"/>
          <w:sz w:val="22"/>
          <w:szCs w:val="18"/>
        </w:rPr>
        <w:t>16.3 第三人造成的违约</w:t>
      </w:r>
      <w:bookmarkEnd w:id="435"/>
    </w:p>
    <w:p w14:paraId="73A822F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14:paraId="4616F842">
      <w:pPr>
        <w:pStyle w:val="8"/>
        <w:spacing w:line="490" w:lineRule="exact"/>
        <w:rPr>
          <w:rFonts w:hint="eastAsia" w:ascii="宋体" w:hAnsi="宋体" w:eastAsia="宋体" w:cs="宋体"/>
          <w:b w:val="0"/>
          <w:color w:val="000000"/>
          <w:sz w:val="24"/>
          <w:szCs w:val="24"/>
        </w:rPr>
      </w:pPr>
      <w:bookmarkStart w:id="436" w:name="_Toc375060825"/>
      <w:bookmarkStart w:id="437" w:name="_Toc296346617"/>
      <w:bookmarkStart w:id="438" w:name="_Toc296503116"/>
      <w:bookmarkStart w:id="439" w:name="_Toc337558823"/>
      <w:r>
        <w:rPr>
          <w:rFonts w:hint="eastAsia" w:ascii="宋体" w:hAnsi="宋体" w:eastAsia="宋体" w:cs="宋体"/>
          <w:b w:val="0"/>
          <w:color w:val="000000"/>
          <w:sz w:val="24"/>
          <w:szCs w:val="24"/>
        </w:rPr>
        <w:t>17. 不可抗力</w:t>
      </w:r>
      <w:bookmarkEnd w:id="436"/>
      <w:r>
        <w:rPr>
          <w:rFonts w:hint="eastAsia" w:ascii="宋体" w:hAnsi="宋体" w:eastAsia="宋体" w:cs="宋体"/>
          <w:b w:val="0"/>
          <w:color w:val="000000"/>
          <w:sz w:val="24"/>
          <w:szCs w:val="24"/>
        </w:rPr>
        <w:t xml:space="preserve"> </w:t>
      </w:r>
      <w:bookmarkEnd w:id="437"/>
      <w:bookmarkEnd w:id="438"/>
      <w:bookmarkEnd w:id="439"/>
    </w:p>
    <w:p w14:paraId="7DCD99C8">
      <w:pPr>
        <w:pStyle w:val="9"/>
        <w:spacing w:line="490" w:lineRule="exact"/>
        <w:ind w:firstLine="440" w:firstLineChars="200"/>
        <w:rPr>
          <w:rFonts w:hint="eastAsia" w:ascii="宋体" w:hAnsi="宋体" w:eastAsia="宋体" w:cs="宋体"/>
          <w:b w:val="0"/>
          <w:color w:val="000000"/>
          <w:sz w:val="22"/>
          <w:szCs w:val="18"/>
        </w:rPr>
      </w:pPr>
      <w:bookmarkStart w:id="440" w:name="_Toc375060826"/>
      <w:bookmarkStart w:id="441" w:name="_Toc296503117"/>
      <w:bookmarkStart w:id="442" w:name="_Toc337558824"/>
      <w:bookmarkStart w:id="443" w:name="_Toc296346618"/>
      <w:r>
        <w:rPr>
          <w:rFonts w:hint="eastAsia" w:ascii="宋体" w:hAnsi="宋体" w:eastAsia="宋体" w:cs="宋体"/>
          <w:b w:val="0"/>
          <w:color w:val="000000"/>
          <w:sz w:val="22"/>
          <w:szCs w:val="18"/>
        </w:rPr>
        <w:t>17.1 不可抗力的确认</w:t>
      </w:r>
      <w:bookmarkEnd w:id="440"/>
    </w:p>
    <w:bookmarkEnd w:id="441"/>
    <w:bookmarkEnd w:id="442"/>
    <w:bookmarkEnd w:id="443"/>
    <w:p w14:paraId="260C3E5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0A0CBC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190B3E3">
      <w:pPr>
        <w:pStyle w:val="9"/>
        <w:spacing w:line="490" w:lineRule="exact"/>
        <w:ind w:firstLine="440" w:firstLineChars="200"/>
        <w:rPr>
          <w:rFonts w:hint="eastAsia" w:ascii="宋体" w:hAnsi="宋体" w:eastAsia="宋体" w:cs="宋体"/>
          <w:b w:val="0"/>
          <w:color w:val="000000"/>
          <w:sz w:val="22"/>
          <w:szCs w:val="18"/>
        </w:rPr>
      </w:pPr>
      <w:bookmarkStart w:id="444" w:name="_Toc375060827"/>
      <w:bookmarkStart w:id="445" w:name="_Toc296503118"/>
      <w:bookmarkStart w:id="446" w:name="_Toc337558825"/>
      <w:bookmarkStart w:id="447" w:name="_Toc296346619"/>
      <w:r>
        <w:rPr>
          <w:rFonts w:hint="eastAsia" w:ascii="宋体" w:hAnsi="宋体" w:eastAsia="宋体" w:cs="宋体"/>
          <w:b w:val="0"/>
          <w:color w:val="000000"/>
          <w:sz w:val="22"/>
          <w:szCs w:val="18"/>
        </w:rPr>
        <w:t>17.2 不可抗力的通知</w:t>
      </w:r>
      <w:bookmarkEnd w:id="444"/>
    </w:p>
    <w:bookmarkEnd w:id="445"/>
    <w:bookmarkEnd w:id="446"/>
    <w:bookmarkEnd w:id="447"/>
    <w:p w14:paraId="42865AD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14:paraId="0B55CF7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35361046">
      <w:pPr>
        <w:pStyle w:val="9"/>
        <w:spacing w:line="490" w:lineRule="exact"/>
        <w:ind w:firstLine="440" w:firstLineChars="200"/>
        <w:rPr>
          <w:rFonts w:hint="eastAsia" w:ascii="宋体" w:hAnsi="宋体" w:eastAsia="宋体" w:cs="宋体"/>
          <w:b w:val="0"/>
          <w:color w:val="000000"/>
          <w:sz w:val="22"/>
          <w:szCs w:val="18"/>
        </w:rPr>
      </w:pPr>
      <w:bookmarkStart w:id="448" w:name="_Toc375060828"/>
      <w:bookmarkStart w:id="449" w:name="_Toc296503119"/>
      <w:bookmarkStart w:id="450" w:name="_Toc337558826"/>
      <w:bookmarkStart w:id="451" w:name="_Toc296346620"/>
      <w:r>
        <w:rPr>
          <w:rFonts w:hint="eastAsia" w:ascii="宋体" w:hAnsi="宋体" w:eastAsia="宋体" w:cs="宋体"/>
          <w:b w:val="0"/>
          <w:color w:val="000000"/>
          <w:sz w:val="22"/>
          <w:szCs w:val="18"/>
        </w:rPr>
        <w:t>17.3 不可抗力后果的承担</w:t>
      </w:r>
      <w:bookmarkEnd w:id="448"/>
    </w:p>
    <w:bookmarkEnd w:id="449"/>
    <w:bookmarkEnd w:id="450"/>
    <w:bookmarkEnd w:id="451"/>
    <w:p w14:paraId="10511AE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17.3.1 不可抗力引起的后果及造成的损失由合同当事人按照法律规定及合同约定各自承担。不可抗力发生前已完成的工程应当按照合同约定进行计量支付。</w:t>
      </w:r>
    </w:p>
    <w:p w14:paraId="3FACA8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17.3.2 不可抗力导致的人员伤亡、财产损失、费用增加和（或）工期延误等后果，由合同当事人按以下原则承担：</w:t>
      </w:r>
    </w:p>
    <w:p w14:paraId="4FD74AC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（1）永久工程、已运至施工现场的材料和工程设备的损坏，以及因工程损坏造成的第三人人员伤亡和财产损失由发包人承担；</w:t>
      </w:r>
    </w:p>
    <w:p w14:paraId="380B379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（2）承包人施工设备的损坏由承包人承担；</w:t>
      </w:r>
    </w:p>
    <w:p w14:paraId="23AC34B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（3）发包人和承包人承担各自人员伤亡和财产的损失；</w:t>
      </w:r>
    </w:p>
    <w:p w14:paraId="41CE75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0AAD32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（5）因不可抗力引起或将引起工期延误，发包人要求赶工的，由此增加的赶工费用由发包人承担；</w:t>
      </w:r>
    </w:p>
    <w:p w14:paraId="5AA095D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（6）承包人在停工期间按照发包人要求照管、清理和修复工程的费用由发包人承担。</w:t>
      </w:r>
    </w:p>
    <w:p w14:paraId="43D5D74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14:paraId="7A5546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因合同一方迟延履行合同义务，在迟延履行期间遭遇不可抗力的，不免除其违约责任。</w:t>
      </w:r>
    </w:p>
    <w:p w14:paraId="15A5B8BE">
      <w:pPr>
        <w:pStyle w:val="9"/>
        <w:spacing w:line="490" w:lineRule="exact"/>
        <w:ind w:firstLine="440" w:firstLineChars="200"/>
        <w:rPr>
          <w:rFonts w:hint="eastAsia" w:ascii="宋体" w:hAnsi="宋体" w:eastAsia="宋体" w:cs="宋体"/>
          <w:b w:val="0"/>
          <w:color w:val="000000"/>
          <w:sz w:val="22"/>
          <w:szCs w:val="18"/>
        </w:rPr>
      </w:pPr>
      <w:bookmarkStart w:id="452" w:name="_Toc375060829"/>
      <w:bookmarkStart w:id="453" w:name="_Toc337558827"/>
      <w:r>
        <w:rPr>
          <w:rFonts w:hint="eastAsia" w:ascii="宋体" w:hAnsi="宋体" w:eastAsia="宋体" w:cs="宋体"/>
          <w:b w:val="0"/>
          <w:color w:val="000000"/>
          <w:sz w:val="22"/>
          <w:szCs w:val="18"/>
        </w:rPr>
        <w:t>17.4 因不可抗力解除合同</w:t>
      </w:r>
      <w:bookmarkEnd w:id="452"/>
    </w:p>
    <w:bookmarkEnd w:id="453"/>
    <w:p w14:paraId="56475A8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461790C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（1）合同解除前承包人已完成工作的价款；</w:t>
      </w:r>
    </w:p>
    <w:p w14:paraId="599CA2F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（2）承包人为工程订购的并已交付给承包人，或承包人有责任接受交付的材料、工程设备和其他物品的价款；</w:t>
      </w:r>
    </w:p>
    <w:p w14:paraId="3AAF4F9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（3）发包人要求承包人退货或解除订货合同而产生的费用，或因不能退货或解除合同而产生的损失；</w:t>
      </w:r>
    </w:p>
    <w:p w14:paraId="15DC78C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（4）承包人撤离施工现场以及遣散承包人人员的费用；</w:t>
      </w:r>
    </w:p>
    <w:p w14:paraId="2200ABB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（5）按照合同约定在合同解除前应支付给承包人的其他款项；</w:t>
      </w:r>
    </w:p>
    <w:p w14:paraId="6707213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（6）扣减承包人按照合同约定应向发包人支付的款项；</w:t>
      </w:r>
    </w:p>
    <w:p w14:paraId="7A17D8C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（7）双方商定或确定的其他款项。</w:t>
      </w:r>
    </w:p>
    <w:p w14:paraId="6C382C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除专用合同条款另有约定外，合同解除后，发包人应在商定或确定上述款项后28天内完成上述款项的支付。</w:t>
      </w:r>
    </w:p>
    <w:p w14:paraId="53D88260">
      <w:pPr>
        <w:pStyle w:val="8"/>
        <w:spacing w:line="490" w:lineRule="exact"/>
        <w:rPr>
          <w:rFonts w:hint="eastAsia" w:ascii="宋体" w:hAnsi="宋体" w:eastAsia="宋体" w:cs="宋体"/>
          <w:b w:val="0"/>
          <w:color w:val="000000"/>
          <w:sz w:val="24"/>
          <w:szCs w:val="24"/>
        </w:rPr>
      </w:pPr>
      <w:bookmarkStart w:id="454" w:name="_Toc375060830"/>
      <w:bookmarkStart w:id="455" w:name="_Toc337558828"/>
      <w:bookmarkStart w:id="456" w:name="_Toc296503120"/>
      <w:bookmarkStart w:id="457" w:name="_Toc296346621"/>
      <w:r>
        <w:rPr>
          <w:rFonts w:hint="eastAsia" w:ascii="宋体" w:hAnsi="宋体" w:eastAsia="宋体" w:cs="宋体"/>
          <w:b w:val="0"/>
          <w:color w:val="000000"/>
          <w:sz w:val="24"/>
          <w:szCs w:val="24"/>
        </w:rPr>
        <w:t>18. 保险</w:t>
      </w:r>
      <w:bookmarkEnd w:id="454"/>
    </w:p>
    <w:bookmarkEnd w:id="455"/>
    <w:bookmarkEnd w:id="456"/>
    <w:bookmarkEnd w:id="457"/>
    <w:p w14:paraId="6C335747">
      <w:pPr>
        <w:pStyle w:val="9"/>
        <w:spacing w:line="490" w:lineRule="exact"/>
        <w:ind w:firstLine="440" w:firstLineChars="200"/>
        <w:rPr>
          <w:rFonts w:hint="eastAsia" w:ascii="宋体" w:hAnsi="宋体" w:eastAsia="宋体" w:cs="宋体"/>
          <w:b w:val="0"/>
          <w:color w:val="000000"/>
          <w:sz w:val="22"/>
          <w:szCs w:val="18"/>
        </w:rPr>
      </w:pPr>
      <w:bookmarkStart w:id="458" w:name="_Toc375060831"/>
      <w:bookmarkStart w:id="459" w:name="_Toc337558829"/>
      <w:bookmarkStart w:id="460" w:name="_Toc296346622"/>
      <w:bookmarkStart w:id="461" w:name="_Toc296503121"/>
      <w:r>
        <w:rPr>
          <w:rFonts w:hint="eastAsia" w:ascii="宋体" w:hAnsi="宋体" w:eastAsia="宋体" w:cs="宋体"/>
          <w:b w:val="0"/>
          <w:color w:val="000000"/>
          <w:sz w:val="22"/>
          <w:szCs w:val="18"/>
        </w:rPr>
        <w:t>18.1 工程保险</w:t>
      </w:r>
      <w:bookmarkEnd w:id="458"/>
    </w:p>
    <w:bookmarkEnd w:id="459"/>
    <w:bookmarkEnd w:id="460"/>
    <w:bookmarkEnd w:id="461"/>
    <w:p w14:paraId="4C9D1C1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除专用合同条款另有约定外，发包人应投保建筑工程一切险或安装工程一切险；发包人委托承包人投保的，因投保产生的保险费和其他相关费用由发包人承担。</w:t>
      </w:r>
    </w:p>
    <w:p w14:paraId="74F7D481">
      <w:pPr>
        <w:pStyle w:val="9"/>
        <w:spacing w:line="490" w:lineRule="exact"/>
        <w:ind w:firstLine="440" w:firstLineChars="200"/>
        <w:rPr>
          <w:rFonts w:hint="eastAsia" w:ascii="宋体" w:hAnsi="宋体" w:eastAsia="宋体" w:cs="宋体"/>
          <w:b w:val="0"/>
          <w:color w:val="000000"/>
          <w:sz w:val="22"/>
          <w:szCs w:val="18"/>
        </w:rPr>
      </w:pPr>
      <w:bookmarkStart w:id="462" w:name="_Toc375060832"/>
      <w:bookmarkStart w:id="463" w:name="_Toc296503122"/>
      <w:bookmarkStart w:id="464" w:name="_Toc337558830"/>
      <w:bookmarkStart w:id="465" w:name="_Toc296346623"/>
      <w:r>
        <w:rPr>
          <w:rFonts w:hint="eastAsia" w:ascii="宋体" w:hAnsi="宋体" w:eastAsia="宋体" w:cs="宋体"/>
          <w:b w:val="0"/>
          <w:color w:val="000000"/>
          <w:sz w:val="22"/>
          <w:szCs w:val="18"/>
        </w:rPr>
        <w:t>18.2 工伤保险</w:t>
      </w:r>
      <w:bookmarkEnd w:id="462"/>
    </w:p>
    <w:bookmarkEnd w:id="463"/>
    <w:bookmarkEnd w:id="464"/>
    <w:bookmarkEnd w:id="465"/>
    <w:p w14:paraId="7CF05D1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18.2.1 承包人应依照法律规定参加工伤保险，并为其履行合同的全部员工办理工伤保险，缴纳工伤保险费，并要求分包人及由承包人为履行合同聘请的第三方依法参加工伤保险。</w:t>
      </w:r>
    </w:p>
    <w:p w14:paraId="65A1E10B">
      <w:pPr>
        <w:pStyle w:val="9"/>
        <w:spacing w:line="490" w:lineRule="exact"/>
        <w:ind w:firstLine="440" w:firstLineChars="200"/>
        <w:rPr>
          <w:rFonts w:hint="eastAsia" w:ascii="宋体" w:hAnsi="宋体" w:eastAsia="宋体" w:cs="宋体"/>
          <w:b w:val="0"/>
          <w:color w:val="000000"/>
          <w:sz w:val="22"/>
          <w:szCs w:val="18"/>
        </w:rPr>
      </w:pPr>
      <w:bookmarkStart w:id="466" w:name="_Toc375060833"/>
      <w:bookmarkStart w:id="467" w:name="_Toc337558831"/>
      <w:bookmarkStart w:id="468" w:name="_Toc296503125"/>
      <w:bookmarkStart w:id="469" w:name="_Toc296346626"/>
      <w:r>
        <w:rPr>
          <w:rFonts w:hint="eastAsia" w:ascii="宋体" w:hAnsi="宋体" w:eastAsia="宋体" w:cs="宋体"/>
          <w:b w:val="0"/>
          <w:color w:val="000000"/>
          <w:sz w:val="22"/>
          <w:szCs w:val="18"/>
        </w:rPr>
        <w:t>18.3其他保险</w:t>
      </w:r>
      <w:bookmarkEnd w:id="466"/>
    </w:p>
    <w:bookmarkEnd w:id="467"/>
    <w:bookmarkEnd w:id="468"/>
    <w:bookmarkEnd w:id="469"/>
    <w:p w14:paraId="30511B2C">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14:paraId="1552B459">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除专用合同条款另有约定外，承包人应为其施工设备等办理财产保险。</w:t>
      </w:r>
    </w:p>
    <w:p w14:paraId="119E19A8">
      <w:pPr>
        <w:pStyle w:val="9"/>
        <w:spacing w:line="490" w:lineRule="exact"/>
        <w:ind w:firstLine="440" w:firstLineChars="200"/>
        <w:rPr>
          <w:rFonts w:hint="eastAsia" w:ascii="宋体" w:hAnsi="宋体" w:eastAsia="宋体" w:cs="宋体"/>
          <w:b w:val="0"/>
          <w:color w:val="000000"/>
          <w:sz w:val="22"/>
          <w:szCs w:val="18"/>
        </w:rPr>
      </w:pPr>
      <w:bookmarkStart w:id="470" w:name="_Toc375060834"/>
      <w:r>
        <w:rPr>
          <w:rFonts w:hint="eastAsia" w:ascii="宋体" w:hAnsi="宋体" w:eastAsia="宋体" w:cs="宋体"/>
          <w:b w:val="0"/>
          <w:color w:val="000000"/>
          <w:sz w:val="22"/>
          <w:szCs w:val="18"/>
        </w:rPr>
        <w:t>18.4持续保险</w:t>
      </w:r>
      <w:bookmarkEnd w:id="470"/>
    </w:p>
    <w:p w14:paraId="023F86A9">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合同当事人应与保险人保持联系，使保险人能够随时了解工程实施中的变动，并确保按保险合同条款要求持续保险。</w:t>
      </w:r>
    </w:p>
    <w:p w14:paraId="33D37A75">
      <w:pPr>
        <w:pStyle w:val="9"/>
        <w:spacing w:line="490" w:lineRule="exact"/>
        <w:ind w:firstLine="440" w:firstLineChars="200"/>
        <w:rPr>
          <w:rFonts w:hint="eastAsia" w:ascii="宋体" w:hAnsi="宋体" w:eastAsia="宋体" w:cs="宋体"/>
          <w:b w:val="0"/>
          <w:color w:val="000000"/>
          <w:sz w:val="22"/>
          <w:szCs w:val="18"/>
        </w:rPr>
      </w:pPr>
      <w:bookmarkStart w:id="471" w:name="_Toc375060835"/>
      <w:bookmarkStart w:id="472" w:name="_Toc296503126"/>
      <w:bookmarkStart w:id="473" w:name="_Toc337558832"/>
      <w:bookmarkStart w:id="474" w:name="_Toc296346627"/>
      <w:r>
        <w:rPr>
          <w:rFonts w:hint="eastAsia" w:ascii="宋体" w:hAnsi="宋体" w:eastAsia="宋体" w:cs="宋体"/>
          <w:b w:val="0"/>
          <w:color w:val="000000"/>
          <w:sz w:val="22"/>
          <w:szCs w:val="18"/>
        </w:rPr>
        <w:t>18.5 保险凭证</w:t>
      </w:r>
      <w:bookmarkEnd w:id="471"/>
    </w:p>
    <w:bookmarkEnd w:id="472"/>
    <w:bookmarkEnd w:id="473"/>
    <w:bookmarkEnd w:id="474"/>
    <w:p w14:paraId="6F5101B5">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合同当事人应及时向另一方当事人提交其已投保的各项保险的凭证和保险单复印件。</w:t>
      </w:r>
    </w:p>
    <w:p w14:paraId="1B79F6A4">
      <w:pPr>
        <w:pStyle w:val="9"/>
        <w:spacing w:line="490" w:lineRule="exact"/>
        <w:ind w:firstLine="440" w:firstLineChars="200"/>
        <w:rPr>
          <w:rFonts w:hint="eastAsia" w:ascii="宋体" w:hAnsi="宋体" w:eastAsia="宋体" w:cs="宋体"/>
          <w:b w:val="0"/>
          <w:color w:val="000000"/>
          <w:sz w:val="22"/>
          <w:szCs w:val="18"/>
        </w:rPr>
      </w:pPr>
      <w:bookmarkStart w:id="475" w:name="_Toc375060836"/>
      <w:bookmarkStart w:id="476" w:name="_Toc296346628"/>
      <w:bookmarkStart w:id="477" w:name="_Toc337558833"/>
      <w:bookmarkStart w:id="478" w:name="_Toc296503127"/>
      <w:r>
        <w:rPr>
          <w:rFonts w:hint="eastAsia" w:ascii="宋体" w:hAnsi="宋体" w:eastAsia="宋体" w:cs="宋体"/>
          <w:b w:val="0"/>
          <w:color w:val="000000"/>
          <w:sz w:val="22"/>
          <w:szCs w:val="18"/>
        </w:rPr>
        <w:t>18.6 未按约定投保的补救</w:t>
      </w:r>
      <w:bookmarkEnd w:id="475"/>
    </w:p>
    <w:bookmarkEnd w:id="476"/>
    <w:bookmarkEnd w:id="477"/>
    <w:bookmarkEnd w:id="478"/>
    <w:p w14:paraId="4EFCC4A5">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5063F1FA">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14301C7A">
      <w:pPr>
        <w:pStyle w:val="9"/>
        <w:spacing w:line="490" w:lineRule="exact"/>
        <w:ind w:firstLine="440" w:firstLineChars="200"/>
        <w:rPr>
          <w:rFonts w:hint="eastAsia" w:ascii="宋体" w:hAnsi="宋体" w:eastAsia="宋体" w:cs="宋体"/>
          <w:b w:val="0"/>
          <w:color w:val="000000"/>
          <w:sz w:val="22"/>
          <w:szCs w:val="18"/>
        </w:rPr>
      </w:pPr>
      <w:bookmarkStart w:id="479" w:name="_Toc375060837"/>
      <w:bookmarkStart w:id="480" w:name="_Toc337558834"/>
      <w:r>
        <w:rPr>
          <w:rFonts w:hint="eastAsia" w:ascii="宋体" w:hAnsi="宋体" w:eastAsia="宋体" w:cs="宋体"/>
          <w:b w:val="0"/>
          <w:color w:val="000000"/>
          <w:sz w:val="22"/>
          <w:szCs w:val="18"/>
        </w:rPr>
        <w:t>18.7 通知义务</w:t>
      </w:r>
      <w:bookmarkEnd w:id="479"/>
    </w:p>
    <w:bookmarkEnd w:id="480"/>
    <w:p w14:paraId="57A02253">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2DFDC81E">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保险事故发生时，投保人应按照保险合同规定的条件和期限及时向保险人报告。发包人和承包人应当在知道保险事故发生后及时通知对方。</w:t>
      </w:r>
    </w:p>
    <w:p w14:paraId="11CD5401">
      <w:pPr>
        <w:pStyle w:val="8"/>
        <w:spacing w:line="490" w:lineRule="exact"/>
        <w:rPr>
          <w:rFonts w:hint="eastAsia" w:ascii="宋体" w:hAnsi="宋体" w:eastAsia="宋体" w:cs="宋体"/>
          <w:b w:val="0"/>
          <w:color w:val="000000"/>
          <w:sz w:val="24"/>
          <w:szCs w:val="24"/>
        </w:rPr>
      </w:pPr>
      <w:bookmarkStart w:id="481" w:name="_Toc375060838"/>
      <w:bookmarkStart w:id="482" w:name="_Toc296503140"/>
      <w:bookmarkStart w:id="483" w:name="_Toc337558835"/>
      <w:bookmarkStart w:id="484" w:name="_Toc296346641"/>
      <w:r>
        <w:rPr>
          <w:rFonts w:hint="eastAsia" w:ascii="宋体" w:hAnsi="宋体" w:eastAsia="宋体" w:cs="宋体"/>
          <w:b w:val="0"/>
          <w:color w:val="000000"/>
          <w:sz w:val="24"/>
          <w:szCs w:val="24"/>
        </w:rPr>
        <w:t>19. 索赔</w:t>
      </w:r>
      <w:bookmarkEnd w:id="481"/>
    </w:p>
    <w:bookmarkEnd w:id="482"/>
    <w:bookmarkEnd w:id="483"/>
    <w:bookmarkEnd w:id="484"/>
    <w:p w14:paraId="630EB7A5">
      <w:pPr>
        <w:pStyle w:val="9"/>
        <w:spacing w:line="490" w:lineRule="exact"/>
        <w:ind w:firstLine="440" w:firstLineChars="200"/>
        <w:rPr>
          <w:rFonts w:hint="eastAsia" w:ascii="宋体" w:hAnsi="宋体" w:eastAsia="宋体" w:cs="宋体"/>
          <w:b w:val="0"/>
          <w:color w:val="000000"/>
          <w:sz w:val="22"/>
          <w:szCs w:val="18"/>
        </w:rPr>
      </w:pPr>
      <w:bookmarkStart w:id="485" w:name="_Toc375060839"/>
      <w:bookmarkStart w:id="486" w:name="_Toc337558836"/>
      <w:bookmarkStart w:id="487" w:name="_Toc296346642"/>
      <w:bookmarkStart w:id="488" w:name="_Toc296503141"/>
      <w:r>
        <w:rPr>
          <w:rFonts w:hint="eastAsia" w:ascii="宋体" w:hAnsi="宋体" w:eastAsia="宋体" w:cs="宋体"/>
          <w:b w:val="0"/>
          <w:color w:val="000000"/>
          <w:sz w:val="22"/>
          <w:szCs w:val="18"/>
        </w:rPr>
        <w:t>19.1承包人的索赔</w:t>
      </w:r>
      <w:bookmarkEnd w:id="485"/>
    </w:p>
    <w:bookmarkEnd w:id="486"/>
    <w:bookmarkEnd w:id="487"/>
    <w:bookmarkEnd w:id="488"/>
    <w:p w14:paraId="6EC8FED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根据合同约定，承包人认为有权得到追加付款和（或）延长工期的，应按以下程序向发包人提出索赔：</w:t>
      </w:r>
    </w:p>
    <w:p w14:paraId="26664EB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4CEED3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14:paraId="2D360E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14:paraId="5C4964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（4）在索赔事件影响结束后28天内，承包人应向监理人递交最终索赔报告，说明最终要求索赔的追加付款金额和（或）延长的工期，并附必要的记录和证明材料。</w:t>
      </w:r>
    </w:p>
    <w:p w14:paraId="69596290">
      <w:pPr>
        <w:pStyle w:val="9"/>
        <w:spacing w:line="490" w:lineRule="exact"/>
        <w:ind w:firstLine="440" w:firstLineChars="200"/>
        <w:rPr>
          <w:rFonts w:hint="eastAsia" w:ascii="宋体" w:hAnsi="宋体" w:eastAsia="宋体" w:cs="宋体"/>
          <w:b w:val="0"/>
          <w:color w:val="000000"/>
          <w:sz w:val="22"/>
          <w:szCs w:val="18"/>
        </w:rPr>
      </w:pPr>
      <w:bookmarkStart w:id="489" w:name="_Toc375060840"/>
      <w:bookmarkStart w:id="490" w:name="_Toc337558837"/>
      <w:bookmarkStart w:id="491" w:name="_Toc296503142"/>
      <w:bookmarkStart w:id="492" w:name="_Toc296346643"/>
      <w:r>
        <w:rPr>
          <w:rFonts w:hint="eastAsia" w:ascii="宋体" w:hAnsi="宋体" w:eastAsia="宋体" w:cs="宋体"/>
          <w:b w:val="0"/>
          <w:color w:val="000000"/>
          <w:sz w:val="22"/>
          <w:szCs w:val="18"/>
        </w:rPr>
        <w:t>19.2 对承包人索赔的处理</w:t>
      </w:r>
      <w:bookmarkEnd w:id="489"/>
    </w:p>
    <w:bookmarkEnd w:id="490"/>
    <w:bookmarkEnd w:id="491"/>
    <w:bookmarkEnd w:id="492"/>
    <w:p w14:paraId="4B917FA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对承包人索赔的处理如下：</w:t>
      </w:r>
    </w:p>
    <w:p w14:paraId="15EB57F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（1）监理人应在收到索赔报告后14天内完成审查并报送发包人。监理人对索赔报告存在异议的，有权要求承包人提交全部原始记录副本；</w:t>
      </w:r>
    </w:p>
    <w:p w14:paraId="5609A6C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43B5D89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（3）承包人接受索赔处理结果的，索赔款项在当期进度款中进行支付；承包人不接受索赔处理结果的，按照第20条〔争议解决〕约定处理。</w:t>
      </w:r>
    </w:p>
    <w:p w14:paraId="5B00EEF7">
      <w:pPr>
        <w:pStyle w:val="9"/>
        <w:spacing w:line="490" w:lineRule="exact"/>
        <w:ind w:firstLine="440" w:firstLineChars="200"/>
        <w:rPr>
          <w:rFonts w:hint="eastAsia" w:ascii="宋体" w:hAnsi="宋体" w:eastAsia="宋体" w:cs="宋体"/>
          <w:b w:val="0"/>
          <w:color w:val="000000"/>
          <w:sz w:val="22"/>
          <w:szCs w:val="18"/>
        </w:rPr>
      </w:pPr>
      <w:bookmarkStart w:id="493" w:name="_Toc375060841"/>
      <w:bookmarkStart w:id="494" w:name="_Toc337558838"/>
      <w:bookmarkStart w:id="495" w:name="_Toc296346644"/>
      <w:bookmarkStart w:id="496" w:name="_Toc296503143"/>
      <w:r>
        <w:rPr>
          <w:rFonts w:hint="eastAsia" w:ascii="宋体" w:hAnsi="宋体" w:eastAsia="宋体" w:cs="宋体"/>
          <w:b w:val="0"/>
          <w:color w:val="000000"/>
          <w:sz w:val="22"/>
          <w:szCs w:val="18"/>
        </w:rPr>
        <w:t>19.3发包人的索赔</w:t>
      </w:r>
      <w:bookmarkEnd w:id="493"/>
    </w:p>
    <w:bookmarkEnd w:id="494"/>
    <w:bookmarkEnd w:id="495"/>
    <w:bookmarkEnd w:id="496"/>
    <w:p w14:paraId="7E46007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根据合同约定，发包人认为有权得到赔付金额和（或）延长缺陷责任期的，监理人应向承包人发出通知并附有详细的证明。</w:t>
      </w:r>
    </w:p>
    <w:p w14:paraId="06E942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AE7516A">
      <w:pPr>
        <w:pStyle w:val="9"/>
        <w:spacing w:line="490" w:lineRule="exact"/>
        <w:ind w:firstLine="440" w:firstLineChars="200"/>
        <w:rPr>
          <w:rFonts w:hint="eastAsia" w:ascii="宋体" w:hAnsi="宋体" w:eastAsia="宋体" w:cs="宋体"/>
          <w:b w:val="0"/>
          <w:color w:val="000000"/>
          <w:sz w:val="22"/>
          <w:szCs w:val="18"/>
        </w:rPr>
      </w:pPr>
      <w:bookmarkStart w:id="497" w:name="_Toc375060842"/>
      <w:bookmarkStart w:id="498" w:name="_Toc337558839"/>
      <w:bookmarkStart w:id="499" w:name="_Toc296503144"/>
      <w:bookmarkStart w:id="500" w:name="_Toc296346645"/>
      <w:r>
        <w:rPr>
          <w:rFonts w:hint="eastAsia" w:ascii="宋体" w:hAnsi="宋体" w:eastAsia="宋体" w:cs="宋体"/>
          <w:b w:val="0"/>
          <w:color w:val="000000"/>
          <w:sz w:val="22"/>
          <w:szCs w:val="18"/>
        </w:rPr>
        <w:t>19.4 对发包人索赔的处理</w:t>
      </w:r>
      <w:bookmarkEnd w:id="497"/>
    </w:p>
    <w:bookmarkEnd w:id="498"/>
    <w:bookmarkEnd w:id="499"/>
    <w:bookmarkEnd w:id="500"/>
    <w:p w14:paraId="5B62A7F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对发包人索赔的处理如下：</w:t>
      </w:r>
    </w:p>
    <w:p w14:paraId="28529D2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（1）承包人收到发包人提交的索赔报告后，应及时审查索赔报告的内容、查验发包人证明材料；</w:t>
      </w:r>
    </w:p>
    <w:p w14:paraId="7860C67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14:paraId="49719EE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14:paraId="5E418CD5">
      <w:pPr>
        <w:pStyle w:val="9"/>
        <w:spacing w:line="490" w:lineRule="exact"/>
        <w:ind w:firstLine="440" w:firstLineChars="200"/>
        <w:rPr>
          <w:rFonts w:hint="eastAsia" w:ascii="宋体" w:hAnsi="宋体" w:eastAsia="宋体" w:cs="宋体"/>
          <w:b w:val="0"/>
          <w:color w:val="000000"/>
          <w:sz w:val="22"/>
          <w:szCs w:val="18"/>
        </w:rPr>
      </w:pPr>
      <w:bookmarkStart w:id="501" w:name="_Toc375060843"/>
      <w:r>
        <w:rPr>
          <w:rFonts w:hint="eastAsia" w:ascii="宋体" w:hAnsi="宋体" w:eastAsia="宋体" w:cs="宋体"/>
          <w:b w:val="0"/>
          <w:color w:val="000000"/>
          <w:sz w:val="22"/>
          <w:szCs w:val="18"/>
        </w:rPr>
        <w:t>19.5 提出索赔的期限</w:t>
      </w:r>
      <w:bookmarkEnd w:id="501"/>
    </w:p>
    <w:p w14:paraId="1AF3168A">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（1）承包人按第14.2款〔竣工结算审核〕约定接收竣工付款证书后，应被视为已无权再提出在工程接收证书颁发前所发生的任何索赔。</w:t>
      </w:r>
    </w:p>
    <w:p w14:paraId="5924E147">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（2）承包人按第14.4款〔最终结清〕提交的最终结清申请单中，只限于提出工程接收证书颁发后发生的索赔。提出索赔的期限自接受最终结清证书时终止。</w:t>
      </w:r>
    </w:p>
    <w:p w14:paraId="733F53F4">
      <w:pPr>
        <w:pStyle w:val="9"/>
        <w:spacing w:line="490" w:lineRule="exact"/>
        <w:ind w:firstLine="440" w:firstLineChars="200"/>
        <w:rPr>
          <w:rFonts w:hint="eastAsia" w:ascii="宋体" w:hAnsi="宋体" w:eastAsia="宋体" w:cs="宋体"/>
          <w:b w:val="0"/>
          <w:color w:val="000000"/>
          <w:sz w:val="22"/>
          <w:szCs w:val="18"/>
        </w:rPr>
      </w:pPr>
      <w:bookmarkStart w:id="502" w:name="_Toc375060844"/>
      <w:bookmarkStart w:id="503" w:name="_Toc337558840"/>
      <w:bookmarkStart w:id="504" w:name="_Toc296503146"/>
      <w:bookmarkStart w:id="505" w:name="_Toc296346647"/>
      <w:r>
        <w:rPr>
          <w:rFonts w:hint="eastAsia" w:ascii="宋体" w:hAnsi="宋体" w:eastAsia="宋体" w:cs="宋体"/>
          <w:b w:val="0"/>
          <w:color w:val="000000"/>
          <w:sz w:val="22"/>
          <w:szCs w:val="18"/>
        </w:rPr>
        <w:t>20.争议解决</w:t>
      </w:r>
      <w:bookmarkEnd w:id="502"/>
    </w:p>
    <w:bookmarkEnd w:id="503"/>
    <w:bookmarkEnd w:id="504"/>
    <w:bookmarkEnd w:id="505"/>
    <w:p w14:paraId="7D5C510F">
      <w:pPr>
        <w:pStyle w:val="9"/>
        <w:spacing w:line="490" w:lineRule="exact"/>
        <w:ind w:firstLine="440" w:firstLineChars="200"/>
        <w:rPr>
          <w:rFonts w:hint="eastAsia" w:ascii="宋体" w:hAnsi="宋体" w:eastAsia="宋体" w:cs="宋体"/>
          <w:b w:val="0"/>
          <w:color w:val="000000"/>
          <w:sz w:val="22"/>
          <w:szCs w:val="18"/>
        </w:rPr>
      </w:pPr>
      <w:bookmarkStart w:id="506" w:name="_Toc375060845"/>
      <w:bookmarkStart w:id="507" w:name="_Toc337558841"/>
      <w:bookmarkStart w:id="508" w:name="_Toc296346648"/>
      <w:bookmarkStart w:id="509" w:name="_Toc296503147"/>
      <w:r>
        <w:rPr>
          <w:rFonts w:hint="eastAsia" w:ascii="宋体" w:hAnsi="宋体" w:eastAsia="宋体" w:cs="宋体"/>
          <w:b w:val="0"/>
          <w:color w:val="000000"/>
          <w:sz w:val="22"/>
          <w:szCs w:val="18"/>
        </w:rPr>
        <w:t>20.1和解</w:t>
      </w:r>
      <w:bookmarkEnd w:id="506"/>
    </w:p>
    <w:bookmarkEnd w:id="507"/>
    <w:bookmarkEnd w:id="508"/>
    <w:bookmarkEnd w:id="509"/>
    <w:p w14:paraId="253ECB8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合同当事人可以就争议自行和解，自行和解达成协议的经双方签字并盖章后作为合同补充文件，双方均应遵照执行。</w:t>
      </w:r>
    </w:p>
    <w:p w14:paraId="2F693D1A">
      <w:pPr>
        <w:pStyle w:val="9"/>
        <w:spacing w:line="490" w:lineRule="exact"/>
        <w:ind w:firstLine="440" w:firstLineChars="200"/>
        <w:rPr>
          <w:rFonts w:hint="eastAsia" w:ascii="宋体" w:hAnsi="宋体" w:eastAsia="宋体" w:cs="宋体"/>
          <w:b w:val="0"/>
          <w:color w:val="000000"/>
          <w:sz w:val="22"/>
          <w:szCs w:val="18"/>
        </w:rPr>
      </w:pPr>
      <w:bookmarkStart w:id="510" w:name="_Toc375060846"/>
      <w:r>
        <w:rPr>
          <w:rFonts w:hint="eastAsia" w:ascii="宋体" w:hAnsi="宋体" w:eastAsia="宋体" w:cs="宋体"/>
          <w:b w:val="0"/>
          <w:color w:val="000000"/>
          <w:sz w:val="22"/>
          <w:szCs w:val="18"/>
        </w:rPr>
        <w:t>20</w:t>
      </w:r>
      <w:bookmarkStart w:id="511" w:name="_Toc337558842"/>
      <w:bookmarkStart w:id="512" w:name="_Toc296503148"/>
      <w:bookmarkStart w:id="513" w:name="_Toc296346649"/>
      <w:r>
        <w:rPr>
          <w:rFonts w:hint="eastAsia" w:ascii="宋体" w:hAnsi="宋体" w:eastAsia="宋体" w:cs="宋体"/>
          <w:b w:val="0"/>
          <w:color w:val="000000"/>
          <w:sz w:val="22"/>
          <w:szCs w:val="18"/>
        </w:rPr>
        <w:t>.2调解</w:t>
      </w:r>
      <w:bookmarkEnd w:id="510"/>
    </w:p>
    <w:bookmarkEnd w:id="511"/>
    <w:bookmarkEnd w:id="512"/>
    <w:bookmarkEnd w:id="513"/>
    <w:p w14:paraId="1E4566B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合同当事人可以就争议请求建设行政主管部门、行业协会或其他第三方进行调解，调解达成协议的，经双方签字并盖章后作为合同补充文件，双方均应遵照执行。</w:t>
      </w:r>
    </w:p>
    <w:p w14:paraId="6B956A4E">
      <w:pPr>
        <w:pStyle w:val="9"/>
        <w:spacing w:line="490" w:lineRule="exact"/>
        <w:ind w:firstLine="440" w:firstLineChars="200"/>
        <w:rPr>
          <w:rFonts w:hint="eastAsia" w:ascii="宋体" w:hAnsi="宋体" w:eastAsia="宋体" w:cs="宋体"/>
          <w:b w:val="0"/>
          <w:color w:val="000000"/>
          <w:sz w:val="22"/>
          <w:szCs w:val="18"/>
        </w:rPr>
      </w:pPr>
      <w:bookmarkStart w:id="514" w:name="_Toc375060847"/>
      <w:bookmarkStart w:id="515" w:name="_Toc296503149"/>
      <w:bookmarkStart w:id="516" w:name="_Toc296346650"/>
      <w:bookmarkStart w:id="517" w:name="_Toc337558843"/>
      <w:r>
        <w:rPr>
          <w:rFonts w:hint="eastAsia" w:ascii="宋体" w:hAnsi="宋体" w:eastAsia="宋体" w:cs="宋体"/>
          <w:b w:val="0"/>
          <w:color w:val="000000"/>
          <w:sz w:val="22"/>
          <w:szCs w:val="18"/>
        </w:rPr>
        <w:t>20.3争议评审</w:t>
      </w:r>
      <w:bookmarkEnd w:id="514"/>
    </w:p>
    <w:bookmarkEnd w:id="515"/>
    <w:bookmarkEnd w:id="516"/>
    <w:bookmarkEnd w:id="517"/>
    <w:p w14:paraId="275660F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合同当事人在专用合同条款中约定采取争议评审方式解决争议以及评审规则，并按下列约定执行： </w:t>
      </w:r>
    </w:p>
    <w:p w14:paraId="127A520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20.3.1 争议评审小组的确定</w:t>
      </w:r>
    </w:p>
    <w:p w14:paraId="64F3BA6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30D40D0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DC49C0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除专用合同条款另有约定外，评审员报酬由发包人和承包人各承担一半。</w:t>
      </w:r>
    </w:p>
    <w:p w14:paraId="7BDE481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14:paraId="735B791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EB0C53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20.3.3 争议评审小组决定的效力</w:t>
      </w:r>
    </w:p>
    <w:p w14:paraId="3BF5B8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争议评审小组作出的书面决定经合同当事人签字确认后，对双方具有约束力，双方应遵照执行。</w:t>
      </w:r>
    </w:p>
    <w:p w14:paraId="0421FD1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任何一方当事人不接受争议评审小组决定或不履行争议评审小组决定的，双方可选择采用其他争议解决方式。</w:t>
      </w:r>
    </w:p>
    <w:p w14:paraId="01A52450">
      <w:pPr>
        <w:pStyle w:val="9"/>
        <w:spacing w:line="490" w:lineRule="exact"/>
        <w:ind w:firstLine="440" w:firstLineChars="200"/>
        <w:rPr>
          <w:rFonts w:hint="eastAsia" w:ascii="宋体" w:hAnsi="宋体" w:eastAsia="宋体" w:cs="宋体"/>
          <w:b w:val="0"/>
          <w:color w:val="000000"/>
          <w:sz w:val="22"/>
          <w:szCs w:val="18"/>
        </w:rPr>
      </w:pPr>
      <w:bookmarkStart w:id="518" w:name="_Toc375060848"/>
      <w:bookmarkStart w:id="519" w:name="_Toc337558844"/>
      <w:bookmarkStart w:id="520" w:name="_Toc296503150"/>
      <w:bookmarkStart w:id="521" w:name="_Toc296346651"/>
      <w:r>
        <w:rPr>
          <w:rFonts w:hint="eastAsia" w:ascii="宋体" w:hAnsi="宋体" w:eastAsia="宋体" w:cs="宋体"/>
          <w:b w:val="0"/>
          <w:color w:val="000000"/>
          <w:sz w:val="22"/>
          <w:szCs w:val="18"/>
        </w:rPr>
        <w:t>20.4仲裁或诉讼</w:t>
      </w:r>
      <w:bookmarkEnd w:id="518"/>
    </w:p>
    <w:bookmarkEnd w:id="519"/>
    <w:bookmarkEnd w:id="520"/>
    <w:bookmarkEnd w:id="521"/>
    <w:p w14:paraId="439B7E0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因合同及合同有关事项产生的争议，合同当事人可以在专用合同条款中约定以下一种方式解决争议：</w:t>
      </w:r>
    </w:p>
    <w:p w14:paraId="09F5A0F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（1）向约定的仲裁委员会申请仲裁；</w:t>
      </w:r>
    </w:p>
    <w:p w14:paraId="038CBA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（2）向有管辖权的人民法院起诉。</w:t>
      </w:r>
    </w:p>
    <w:p w14:paraId="69486826">
      <w:pPr>
        <w:pStyle w:val="9"/>
        <w:spacing w:line="490" w:lineRule="exact"/>
        <w:ind w:firstLine="440" w:firstLineChars="200"/>
        <w:rPr>
          <w:rFonts w:hint="eastAsia" w:ascii="宋体" w:hAnsi="宋体" w:eastAsia="宋体" w:cs="宋体"/>
          <w:b w:val="0"/>
          <w:color w:val="000000"/>
          <w:sz w:val="22"/>
          <w:szCs w:val="18"/>
        </w:rPr>
      </w:pPr>
      <w:bookmarkStart w:id="522" w:name="_Toc375060849"/>
      <w:bookmarkStart w:id="523" w:name="_Toc296503152"/>
      <w:bookmarkStart w:id="524" w:name="_Toc337558845"/>
      <w:bookmarkStart w:id="525" w:name="_Toc296346653"/>
      <w:r>
        <w:rPr>
          <w:rFonts w:hint="eastAsia" w:ascii="宋体" w:hAnsi="宋体" w:eastAsia="宋体" w:cs="宋体"/>
          <w:b w:val="0"/>
          <w:color w:val="000000"/>
          <w:sz w:val="22"/>
          <w:szCs w:val="18"/>
        </w:rPr>
        <w:t>20.5争议解决条款效力</w:t>
      </w:r>
      <w:bookmarkEnd w:id="522"/>
    </w:p>
    <w:bookmarkEnd w:id="523"/>
    <w:bookmarkEnd w:id="524"/>
    <w:bookmarkEnd w:id="525"/>
    <w:p w14:paraId="56029BA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合同有关争议解决的条款独立存在，合同的变更、解除、终止、无效或者被撤销均不影响其效力。 </w:t>
      </w:r>
    </w:p>
    <w:p w14:paraId="2D1F24D2">
      <w:pPr>
        <w:pStyle w:val="5"/>
        <w:spacing w:line="240" w:lineRule="auto"/>
        <w:jc w:val="center"/>
        <w:rPr>
          <w:rFonts w:hint="eastAsia" w:ascii="宋体" w:hAnsi="宋体" w:eastAsia="宋体" w:cs="宋体"/>
          <w:color w:val="000000"/>
          <w:sz w:val="40"/>
          <w:szCs w:val="40"/>
        </w:rPr>
      </w:pPr>
      <w:r>
        <w:rPr>
          <w:rFonts w:hint="eastAsia" w:ascii="宋体" w:hAnsi="宋体" w:eastAsia="宋体" w:cs="宋体"/>
          <w:color w:val="000000"/>
          <w:sz w:val="40"/>
          <w:szCs w:val="40"/>
        </w:rPr>
        <w:br w:type="page"/>
      </w:r>
      <w:bookmarkStart w:id="526" w:name="_Toc375060650"/>
      <w:bookmarkStart w:id="527" w:name="_Toc375060850"/>
      <w:r>
        <w:rPr>
          <w:rFonts w:hint="eastAsia" w:ascii="宋体" w:hAnsi="宋体" w:eastAsia="宋体" w:cs="宋体"/>
          <w:b w:val="0"/>
          <w:color w:val="000000"/>
          <w:sz w:val="40"/>
          <w:szCs w:val="40"/>
        </w:rPr>
        <w:t>第三部分 专用合同条款</w:t>
      </w:r>
      <w:bookmarkEnd w:id="526"/>
      <w:bookmarkEnd w:id="527"/>
    </w:p>
    <w:p w14:paraId="6784188E">
      <w:pPr>
        <w:pStyle w:val="8"/>
        <w:spacing w:line="500" w:lineRule="exact"/>
        <w:rPr>
          <w:rFonts w:hint="eastAsia" w:ascii="宋体" w:hAnsi="宋体" w:eastAsia="宋体" w:cs="宋体"/>
          <w:b w:val="0"/>
          <w:color w:val="000000"/>
          <w:sz w:val="28"/>
          <w:szCs w:val="28"/>
        </w:rPr>
      </w:pPr>
      <w:bookmarkStart w:id="528" w:name="_Toc375060851"/>
      <w:r>
        <w:rPr>
          <w:rFonts w:hint="eastAsia" w:ascii="宋体" w:hAnsi="宋体" w:eastAsia="宋体" w:cs="宋体"/>
          <w:b w:val="0"/>
          <w:color w:val="000000"/>
          <w:sz w:val="28"/>
          <w:szCs w:val="28"/>
        </w:rPr>
        <w:t>1</w:t>
      </w:r>
      <w:bookmarkStart w:id="529" w:name="_Toc292559361"/>
      <w:bookmarkStart w:id="530" w:name="_Toc297120456"/>
      <w:bookmarkStart w:id="531" w:name="_Toc296503156"/>
      <w:bookmarkStart w:id="532" w:name="_Toc296890984"/>
      <w:bookmarkStart w:id="533" w:name="_Toc292559866"/>
      <w:bookmarkStart w:id="534" w:name="_Toc296347155"/>
      <w:bookmarkStart w:id="535" w:name="_Toc296346657"/>
      <w:bookmarkStart w:id="536" w:name="_Toc296891196"/>
      <w:bookmarkStart w:id="537" w:name="_Toc296944495"/>
      <w:bookmarkStart w:id="538" w:name="_Toc297048342"/>
      <w:r>
        <w:rPr>
          <w:rFonts w:hint="eastAsia" w:ascii="宋体" w:hAnsi="宋体" w:eastAsia="宋体" w:cs="宋体"/>
          <w:b w:val="0"/>
          <w:color w:val="000000"/>
          <w:sz w:val="28"/>
          <w:szCs w:val="28"/>
        </w:rPr>
        <w:t>. 一般约定</w:t>
      </w:r>
      <w:bookmarkEnd w:id="528"/>
    </w:p>
    <w:bookmarkEnd w:id="529"/>
    <w:bookmarkEnd w:id="530"/>
    <w:bookmarkEnd w:id="531"/>
    <w:bookmarkEnd w:id="532"/>
    <w:bookmarkEnd w:id="533"/>
    <w:bookmarkEnd w:id="534"/>
    <w:bookmarkEnd w:id="535"/>
    <w:bookmarkEnd w:id="536"/>
    <w:bookmarkEnd w:id="537"/>
    <w:bookmarkEnd w:id="538"/>
    <w:p w14:paraId="0684A38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词语定义</w:t>
      </w:r>
    </w:p>
    <w:p w14:paraId="2452CA64">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14:paraId="3B389703">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sz w:val="24"/>
          <w:szCs w:val="24"/>
        </w:rPr>
        <w:t>。</w:t>
      </w:r>
    </w:p>
    <w:p w14:paraId="21D2A68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7A72DD1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1.1.2.4监理人：</w:t>
      </w:r>
    </w:p>
    <w:p w14:paraId="04E6F894">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名    称：</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sz w:val="24"/>
          <w:szCs w:val="24"/>
        </w:rPr>
        <w:t>；</w:t>
      </w:r>
    </w:p>
    <w:p w14:paraId="06ADDD3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sz w:val="24"/>
          <w:szCs w:val="24"/>
        </w:rPr>
        <w:t>；</w:t>
      </w:r>
    </w:p>
    <w:p w14:paraId="0636F2C8">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联系电话：</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sz w:val="24"/>
          <w:szCs w:val="24"/>
        </w:rPr>
        <w:t>；</w:t>
      </w:r>
    </w:p>
    <w:p w14:paraId="7DDFF70E">
      <w:pPr>
        <w:spacing w:line="500" w:lineRule="exact"/>
        <w:ind w:firstLine="480" w:firstLineChars="200"/>
        <w:rPr>
          <w:rFonts w:hint="eastAsia" w:ascii="宋体" w:hAnsi="宋体" w:eastAsia="宋体" w:cs="宋体"/>
          <w:b/>
          <w:bCs/>
          <w:kern w:val="0"/>
          <w:sz w:val="24"/>
          <w:szCs w:val="24"/>
          <w:u w:val="single"/>
        </w:rPr>
      </w:pPr>
      <w:r>
        <w:rPr>
          <w:rFonts w:hint="eastAsia" w:ascii="宋体" w:hAnsi="宋体" w:eastAsia="宋体" w:cs="宋体"/>
          <w:sz w:val="24"/>
          <w:szCs w:val="24"/>
        </w:rPr>
        <w:t>电子信箱：</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kern w:val="0"/>
          <w:sz w:val="24"/>
          <w:szCs w:val="24"/>
        </w:rPr>
        <w:t>；</w:t>
      </w:r>
    </w:p>
    <w:p w14:paraId="0C1BD012">
      <w:pPr>
        <w:spacing w:line="500" w:lineRule="exact"/>
        <w:ind w:left="1759" w:leftChars="266" w:hanging="1200" w:hangingChars="500"/>
        <w:rPr>
          <w:rFonts w:hint="eastAsia" w:ascii="宋体" w:hAnsi="宋体" w:eastAsia="宋体" w:cs="宋体"/>
          <w:b/>
          <w:bCs/>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color w:val="000000"/>
          <w:sz w:val="24"/>
          <w:szCs w:val="24"/>
          <w:u w:val="single"/>
        </w:rPr>
        <w:t>。</w:t>
      </w:r>
    </w:p>
    <w:p w14:paraId="46F5052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1.1.2.5 设计人：</w:t>
      </w:r>
    </w:p>
    <w:p w14:paraId="74C4714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F41FEC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bCs/>
          <w:color w:val="000000"/>
          <w:sz w:val="24"/>
          <w:szCs w:val="24"/>
        </w:rPr>
        <w:t>；</w:t>
      </w:r>
    </w:p>
    <w:p w14:paraId="15617E5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w:t>
      </w:r>
    </w:p>
    <w:p w14:paraId="18CE0AF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w:t>
      </w:r>
    </w:p>
    <w:p w14:paraId="50C1380B">
      <w:pPr>
        <w:spacing w:line="500" w:lineRule="exact"/>
        <w:ind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u w:val="single"/>
        </w:rPr>
        <w:t>。</w:t>
      </w:r>
    </w:p>
    <w:p w14:paraId="155F7CE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14:paraId="022E60A1">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1.1.3.7 </w:t>
      </w:r>
      <w:r>
        <w:rPr>
          <w:rFonts w:hint="eastAsia" w:ascii="宋体" w:hAnsi="宋体" w:eastAsia="宋体" w:cs="宋体"/>
          <w:color w:val="000000"/>
          <w:kern w:val="0"/>
          <w:sz w:val="24"/>
          <w:szCs w:val="24"/>
        </w:rPr>
        <w:t>作为施工现场组成部分的其他场所包括</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bCs/>
          <w:color w:val="000000"/>
          <w:sz w:val="24"/>
          <w:szCs w:val="24"/>
        </w:rPr>
        <w:t>。</w:t>
      </w:r>
    </w:p>
    <w:p w14:paraId="182B19F8">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1.1.3.9 </w:t>
      </w:r>
      <w:r>
        <w:rPr>
          <w:rFonts w:hint="eastAsia" w:ascii="宋体" w:hAnsi="宋体" w:eastAsia="宋体" w:cs="宋体"/>
          <w:color w:val="000000"/>
          <w:sz w:val="24"/>
          <w:szCs w:val="24"/>
        </w:rPr>
        <w:t>永久占地包括</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77A39CA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1.1.3.10 </w:t>
      </w:r>
      <w:r>
        <w:rPr>
          <w:rFonts w:hint="eastAsia" w:ascii="宋体" w:hAnsi="宋体" w:eastAsia="宋体" w:cs="宋体"/>
          <w:color w:val="000000"/>
          <w:sz w:val="24"/>
          <w:szCs w:val="24"/>
        </w:rPr>
        <w:t>临时占地包括</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6362A69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14:paraId="6A169ED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9BE4EA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208610A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2A2F14E">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1.4.2 </w:t>
      </w:r>
      <w:r>
        <w:rPr>
          <w:rFonts w:hint="eastAsia" w:ascii="宋体" w:hAnsi="宋体" w:eastAsia="宋体" w:cs="宋体"/>
          <w:color w:val="000000"/>
          <w:sz w:val="24"/>
          <w:szCs w:val="24"/>
        </w:rPr>
        <w:t>发包人提供国外标准</w:t>
      </w:r>
      <w:r>
        <w:rPr>
          <w:rFonts w:hint="eastAsia" w:ascii="宋体" w:hAnsi="宋体" w:eastAsia="宋体" w:cs="宋体"/>
          <w:color w:val="000000"/>
          <w:kern w:val="0"/>
          <w:sz w:val="24"/>
          <w:szCs w:val="24"/>
        </w:rPr>
        <w:t>、规范的名称：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1459A61F">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发包人提供国外标准</w:t>
      </w:r>
      <w:r>
        <w:rPr>
          <w:rFonts w:hint="eastAsia" w:ascii="宋体" w:hAnsi="宋体" w:eastAsia="宋体" w:cs="宋体"/>
          <w:color w:val="000000"/>
          <w:kern w:val="0"/>
          <w:sz w:val="24"/>
          <w:szCs w:val="24"/>
        </w:rPr>
        <w:t>、规范的份数：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5CDF3F4A">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发包人提供国外标准</w:t>
      </w:r>
      <w:r>
        <w:rPr>
          <w:rFonts w:hint="eastAsia" w:ascii="宋体" w:hAnsi="宋体" w:eastAsia="宋体" w:cs="宋体"/>
          <w:color w:val="000000"/>
          <w:kern w:val="0"/>
          <w:sz w:val="24"/>
          <w:szCs w:val="24"/>
        </w:rPr>
        <w:t>、规范的名称：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7EB8B21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C92D1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1B4AE7A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F12B33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p>
    <w:p w14:paraId="422FEB6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63E3C226">
      <w:pPr>
        <w:spacing w:line="500" w:lineRule="exact"/>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0CD6A5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946E9E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w:t>
      </w:r>
    </w:p>
    <w:p w14:paraId="49181D9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14:paraId="26F4CD22">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w:t>
      </w:r>
    </w:p>
    <w:p w14:paraId="76907BB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9C5747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71404E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55A6C4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3E4E30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1.6.5 </w:t>
      </w:r>
      <w:r>
        <w:rPr>
          <w:rFonts w:hint="eastAsia" w:ascii="宋体" w:hAnsi="宋体" w:eastAsia="宋体" w:cs="宋体"/>
          <w:color w:val="000000"/>
          <w:kern w:val="0"/>
          <w:sz w:val="24"/>
          <w:szCs w:val="24"/>
        </w:rPr>
        <w:t>现场图纸准备</w:t>
      </w:r>
    </w:p>
    <w:p w14:paraId="37F491A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关于现场图纸准备的约定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9A365E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61DCAD43">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天内将与合同有关的通知、批准、证明、证书、指示、指令、</w:t>
      </w:r>
      <w:r>
        <w:rPr>
          <w:rFonts w:hint="eastAsia" w:ascii="宋体" w:hAnsi="宋体" w:eastAsia="宋体" w:cs="宋体"/>
          <w:color w:val="000000"/>
          <w:sz w:val="24"/>
          <w:szCs w:val="24"/>
        </w:rPr>
        <w:t>要求</w:t>
      </w:r>
      <w:r>
        <w:rPr>
          <w:rFonts w:hint="eastAsia" w:ascii="宋体" w:hAnsi="宋体" w:eastAsia="宋体" w:cs="宋体"/>
          <w:color w:val="000000"/>
          <w:kern w:val="0"/>
          <w:sz w:val="24"/>
          <w:szCs w:val="24"/>
        </w:rPr>
        <w:t>、请求、同意、意见、确定和决定等书面函件送达对方当事人。</w:t>
      </w:r>
    </w:p>
    <w:p w14:paraId="74C250B4">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w:t>
      </w:r>
      <w:r>
        <w:rPr>
          <w:rFonts w:hint="eastAsia" w:ascii="宋体" w:hAnsi="宋体" w:eastAsia="宋体" w:cs="宋体"/>
          <w:color w:val="000000"/>
          <w:sz w:val="24"/>
          <w:szCs w:val="24"/>
        </w:rPr>
        <w:t>发包人接收文件的地点</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31E703A5">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发包人指定的接收人为</w:t>
      </w:r>
      <w:r>
        <w:rPr>
          <w:rFonts w:hint="eastAsia" w:ascii="宋体" w:hAnsi="宋体" w:eastAsia="宋体" w:cs="宋体"/>
          <w:color w:val="000000"/>
          <w:kern w:val="0"/>
          <w:sz w:val="24"/>
          <w:szCs w:val="24"/>
        </w:rPr>
        <w:t>：</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kern w:val="0"/>
          <w:sz w:val="24"/>
          <w:szCs w:val="24"/>
        </w:rPr>
        <w:t>。</w:t>
      </w:r>
    </w:p>
    <w:p w14:paraId="408F2EAE">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承包人接收文件的地点</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0E8DED5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w:t>
      </w:r>
      <w:r>
        <w:rPr>
          <w:rFonts w:hint="eastAsia" w:ascii="宋体" w:hAnsi="宋体" w:eastAsia="宋体" w:cs="宋体"/>
          <w:color w:val="000000"/>
          <w:sz w:val="24"/>
          <w:szCs w:val="24"/>
        </w:rPr>
        <w:t>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09BCA9A">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监理</w:t>
      </w:r>
      <w:r>
        <w:rPr>
          <w:rFonts w:hint="eastAsia" w:ascii="宋体" w:hAnsi="宋体" w:eastAsia="宋体" w:cs="宋体"/>
          <w:color w:val="000000"/>
          <w:kern w:val="0"/>
          <w:sz w:val="24"/>
          <w:szCs w:val="24"/>
        </w:rPr>
        <w:t>人接收文件的地点：</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1480B5C8">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监理人指定的接收人为</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449BBA60">
      <w:pPr>
        <w:spacing w:line="500" w:lineRule="exact"/>
        <w:ind w:firstLine="480" w:firstLineChars="200"/>
        <w:rPr>
          <w:rFonts w:hint="eastAsia" w:ascii="宋体" w:hAnsi="宋体" w:eastAsia="宋体" w:cs="宋体"/>
          <w:color w:val="000000"/>
          <w:sz w:val="24"/>
          <w:szCs w:val="24"/>
        </w:rPr>
      </w:pPr>
      <w:bookmarkStart w:id="539" w:name="_Toc375060852"/>
      <w:bookmarkStart w:id="540" w:name="_Toc375060651"/>
      <w:r>
        <w:rPr>
          <w:rFonts w:hint="eastAsia" w:ascii="宋体" w:hAnsi="宋体" w:eastAsia="宋体" w:cs="宋体"/>
          <w:color w:val="000000"/>
          <w:sz w:val="24"/>
          <w:szCs w:val="24"/>
        </w:rPr>
        <w:t>1.10 交通运输</w:t>
      </w:r>
      <w:bookmarkEnd w:id="539"/>
      <w:bookmarkEnd w:id="540"/>
    </w:p>
    <w:p w14:paraId="35FA5A1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41" w:name="_Toc312677986"/>
      <w:bookmarkStart w:id="542" w:name="_Toc318581155"/>
      <w:bookmarkStart w:id="543" w:name="_Toc303539100"/>
      <w:bookmarkStart w:id="544" w:name="_Toc300934943"/>
      <w:bookmarkStart w:id="545" w:name="_Toc304295521"/>
      <w:r>
        <w:rPr>
          <w:rFonts w:hint="eastAsia" w:ascii="宋体" w:hAnsi="宋体" w:eastAsia="宋体" w:cs="宋体"/>
          <w:color w:val="000000"/>
          <w:sz w:val="24"/>
          <w:szCs w:val="24"/>
        </w:rPr>
        <w:t>.10.1 出入现场的权利</w:t>
      </w:r>
    </w:p>
    <w:p w14:paraId="32C0371A">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bCs/>
          <w:color w:val="000000"/>
          <w:sz w:val="24"/>
          <w:szCs w:val="24"/>
        </w:rPr>
        <w:t>。</w:t>
      </w:r>
    </w:p>
    <w:bookmarkEnd w:id="541"/>
    <w:bookmarkEnd w:id="542"/>
    <w:bookmarkEnd w:id="543"/>
    <w:bookmarkEnd w:id="544"/>
    <w:bookmarkEnd w:id="545"/>
    <w:p w14:paraId="5BA8A01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46" w:name="_Toc312677987"/>
      <w:bookmarkStart w:id="547" w:name="_Toc318581156"/>
      <w:bookmarkStart w:id="548" w:name="_Toc303539101"/>
      <w:bookmarkStart w:id="549" w:name="_Toc304295522"/>
      <w:bookmarkStart w:id="550" w:name="_Toc300934944"/>
      <w:r>
        <w:rPr>
          <w:rFonts w:hint="eastAsia" w:ascii="宋体" w:hAnsi="宋体" w:eastAsia="宋体" w:cs="宋体"/>
          <w:color w:val="000000"/>
          <w:sz w:val="24"/>
          <w:szCs w:val="24"/>
        </w:rPr>
        <w:t>.10.3 场内交通</w:t>
      </w:r>
    </w:p>
    <w:p w14:paraId="7884AB95">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bCs/>
          <w:color w:val="000000"/>
          <w:sz w:val="24"/>
          <w:szCs w:val="24"/>
        </w:rPr>
        <w:t>。</w:t>
      </w:r>
    </w:p>
    <w:p w14:paraId="0BCD0D6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bookmarkEnd w:id="546"/>
      <w:bookmarkEnd w:id="547"/>
      <w:bookmarkEnd w:id="548"/>
      <w:bookmarkEnd w:id="549"/>
      <w:bookmarkEnd w:id="550"/>
      <w:bookmarkStart w:id="551" w:name="_Toc318581157"/>
    </w:p>
    <w:p w14:paraId="719FBF9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14:paraId="4F93456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运输超大件或超重件所需的道路和桥梁临时加固改造费用和其他有关费用</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bookmarkEnd w:id="551"/>
    <w:p w14:paraId="31DB77BC">
      <w:pPr>
        <w:spacing w:line="500" w:lineRule="exact"/>
        <w:ind w:firstLine="480" w:firstLineChars="200"/>
        <w:rPr>
          <w:rFonts w:hint="eastAsia" w:ascii="宋体" w:hAnsi="宋体" w:eastAsia="宋体" w:cs="宋体"/>
          <w:color w:val="000000"/>
          <w:sz w:val="24"/>
          <w:szCs w:val="24"/>
        </w:rPr>
      </w:pPr>
      <w:bookmarkStart w:id="552" w:name="_Toc375060853"/>
      <w:bookmarkStart w:id="553" w:name="_Toc375060652"/>
      <w:r>
        <w:rPr>
          <w:rFonts w:hint="eastAsia" w:ascii="宋体" w:hAnsi="宋体" w:eastAsia="宋体" w:cs="宋体"/>
          <w:color w:val="000000"/>
          <w:sz w:val="24"/>
          <w:szCs w:val="24"/>
        </w:rPr>
        <w:t>1.11 知识产权</w:t>
      </w:r>
      <w:bookmarkEnd w:id="552"/>
      <w:bookmarkEnd w:id="553"/>
    </w:p>
    <w:p w14:paraId="2500000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1960D7F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2AE63FA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0526891">
      <w:pPr>
        <w:spacing w:line="500" w:lineRule="exact"/>
        <w:ind w:firstLine="516" w:firstLineChars="215"/>
        <w:rPr>
          <w:rFonts w:hint="eastAsia"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516A53E7">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64B8506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5EB48D4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14:paraId="33A145C9">
      <w:pPr>
        <w:spacing w:line="500" w:lineRule="exact"/>
        <w:ind w:right="2" w:rightChars="1"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2E20F7B3">
      <w:pPr>
        <w:pStyle w:val="8"/>
        <w:spacing w:line="500" w:lineRule="exact"/>
        <w:rPr>
          <w:rFonts w:hint="eastAsia" w:ascii="宋体" w:hAnsi="宋体" w:eastAsia="宋体" w:cs="宋体"/>
          <w:b w:val="0"/>
          <w:color w:val="000000"/>
          <w:sz w:val="28"/>
          <w:szCs w:val="28"/>
        </w:rPr>
      </w:pPr>
      <w:bookmarkStart w:id="554" w:name="_Toc375060854"/>
      <w:r>
        <w:rPr>
          <w:rFonts w:hint="eastAsia" w:ascii="宋体" w:hAnsi="宋体" w:eastAsia="宋体" w:cs="宋体"/>
          <w:b w:val="0"/>
          <w:color w:val="000000"/>
          <w:sz w:val="28"/>
          <w:szCs w:val="28"/>
        </w:rPr>
        <w:t>2</w:t>
      </w:r>
      <w:bookmarkStart w:id="555" w:name="_Toc292559362"/>
      <w:bookmarkStart w:id="556" w:name="_Toc296503157"/>
      <w:bookmarkStart w:id="557" w:name="_Toc297120457"/>
      <w:bookmarkStart w:id="558" w:name="_Toc296891197"/>
      <w:bookmarkStart w:id="559" w:name="_Toc297048343"/>
      <w:bookmarkStart w:id="560" w:name="_Toc296944496"/>
      <w:bookmarkStart w:id="561" w:name="_Toc296346658"/>
      <w:bookmarkStart w:id="562" w:name="_Toc296347156"/>
      <w:bookmarkStart w:id="563" w:name="_Toc292559867"/>
      <w:bookmarkStart w:id="564" w:name="_Toc296890985"/>
      <w:r>
        <w:rPr>
          <w:rFonts w:hint="eastAsia" w:ascii="宋体" w:hAnsi="宋体" w:eastAsia="宋体" w:cs="宋体"/>
          <w:b w:val="0"/>
          <w:color w:val="000000"/>
          <w:sz w:val="28"/>
          <w:szCs w:val="28"/>
        </w:rPr>
        <w:t>. 发包人</w:t>
      </w:r>
      <w:bookmarkEnd w:id="554"/>
    </w:p>
    <w:bookmarkEnd w:id="555"/>
    <w:bookmarkEnd w:id="556"/>
    <w:bookmarkEnd w:id="557"/>
    <w:bookmarkEnd w:id="558"/>
    <w:bookmarkEnd w:id="559"/>
    <w:bookmarkEnd w:id="560"/>
    <w:bookmarkEnd w:id="561"/>
    <w:bookmarkEnd w:id="562"/>
    <w:bookmarkEnd w:id="563"/>
    <w:bookmarkEnd w:id="564"/>
    <w:p w14:paraId="3EDB088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14:paraId="01E5FBF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14:paraId="033C574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7412D54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43D8649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b/>
          <w:sz w:val="24"/>
          <w:szCs w:val="21"/>
          <w:u w:val="single"/>
        </w:rPr>
        <w:t xml:space="preserve"> </w:t>
      </w:r>
      <w:r>
        <w:rPr>
          <w:rFonts w:hint="eastAsia" w:ascii="宋体" w:hAnsi="宋体" w:eastAsia="宋体" w:cs="宋体"/>
          <w:b/>
          <w:sz w:val="24"/>
          <w:szCs w:val="21"/>
          <w:u w:val="single"/>
          <w:lang w:val="en-US" w:eastAsia="zh-CN"/>
        </w:rPr>
        <w:t xml:space="preserve">                           </w:t>
      </w:r>
      <w:r>
        <w:rPr>
          <w:rFonts w:hint="eastAsia" w:ascii="宋体" w:hAnsi="宋体" w:eastAsia="宋体" w:cs="宋体"/>
          <w:b/>
          <w:color w:val="000000"/>
          <w:sz w:val="24"/>
          <w:szCs w:val="24"/>
        </w:rPr>
        <w:t>；</w:t>
      </w:r>
    </w:p>
    <w:p w14:paraId="110B39D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682AD6C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11302B2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0001421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1CFC9E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14:paraId="0059DEE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14:paraId="3117F80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2F5B19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14:paraId="68389D2C">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1CF3480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14:paraId="0DD2039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7280E5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1E80A56">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822860E">
      <w:pPr>
        <w:pStyle w:val="8"/>
        <w:spacing w:line="500" w:lineRule="exact"/>
        <w:rPr>
          <w:rFonts w:hint="eastAsia" w:ascii="宋体" w:hAnsi="宋体" w:eastAsia="宋体" w:cs="宋体"/>
          <w:b w:val="0"/>
          <w:color w:val="000000"/>
          <w:sz w:val="28"/>
          <w:szCs w:val="28"/>
        </w:rPr>
      </w:pPr>
      <w:bookmarkStart w:id="565" w:name="_Toc375060855"/>
      <w:r>
        <w:rPr>
          <w:rFonts w:hint="eastAsia" w:ascii="宋体" w:hAnsi="宋体" w:eastAsia="宋体" w:cs="宋体"/>
          <w:b w:val="0"/>
          <w:color w:val="000000"/>
          <w:sz w:val="28"/>
          <w:szCs w:val="28"/>
        </w:rPr>
        <w:t>3</w:t>
      </w:r>
      <w:bookmarkStart w:id="566" w:name="_Toc297120458"/>
      <w:bookmarkStart w:id="567" w:name="_Toc292559868"/>
      <w:bookmarkStart w:id="568" w:name="_Toc296891198"/>
      <w:bookmarkStart w:id="569" w:name="_Toc297048344"/>
      <w:bookmarkStart w:id="570" w:name="_Toc292559363"/>
      <w:bookmarkStart w:id="571" w:name="_Toc296503158"/>
      <w:bookmarkStart w:id="572" w:name="_Toc296890986"/>
      <w:bookmarkStart w:id="573" w:name="_Toc296347157"/>
      <w:bookmarkStart w:id="574" w:name="_Toc296346659"/>
      <w:bookmarkStart w:id="575" w:name="_Toc296944497"/>
      <w:r>
        <w:rPr>
          <w:rFonts w:hint="eastAsia" w:ascii="宋体" w:hAnsi="宋体" w:eastAsia="宋体" w:cs="宋体"/>
          <w:b w:val="0"/>
          <w:color w:val="000000"/>
          <w:sz w:val="28"/>
          <w:szCs w:val="28"/>
        </w:rPr>
        <w:t>. 承包人</w:t>
      </w:r>
      <w:bookmarkEnd w:id="565"/>
    </w:p>
    <w:bookmarkEnd w:id="566"/>
    <w:bookmarkEnd w:id="567"/>
    <w:bookmarkEnd w:id="568"/>
    <w:bookmarkEnd w:id="569"/>
    <w:bookmarkEnd w:id="570"/>
    <w:bookmarkEnd w:id="571"/>
    <w:bookmarkEnd w:id="572"/>
    <w:bookmarkEnd w:id="573"/>
    <w:bookmarkEnd w:id="574"/>
    <w:bookmarkEnd w:id="575"/>
    <w:p w14:paraId="5108AEC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14:paraId="54A63A8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（9）承包人提交的竣工资料的内容：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4A6847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u w:val="single"/>
        </w:rPr>
        <w:t>。</w:t>
      </w:r>
    </w:p>
    <w:p w14:paraId="61C599B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1063E5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14:paraId="57DC5CB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7DBAA2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sz w:val="24"/>
          <w:szCs w:val="24"/>
        </w:rPr>
        <w:t>承包人应履行的其他义务</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7AA8648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14:paraId="698D874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14:paraId="6797611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71AF5C97">
      <w:pPr>
        <w:spacing w:line="500" w:lineRule="exact"/>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3C0D408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2D69C411">
      <w:pPr>
        <w:spacing w:line="500" w:lineRule="exact"/>
        <w:ind w:firstLine="480" w:firstLineChars="200"/>
        <w:rPr>
          <w:rFonts w:hint="eastAsia" w:ascii="宋体" w:hAnsi="宋体" w:eastAsia="宋体" w:cs="宋体"/>
          <w:b/>
          <w:color w:val="000000"/>
          <w:sz w:val="24"/>
          <w:szCs w:val="24"/>
          <w:u w:val="single"/>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w:t>
      </w:r>
    </w:p>
    <w:p w14:paraId="6455FB0C">
      <w:pPr>
        <w:spacing w:line="500" w:lineRule="exact"/>
        <w:ind w:firstLine="480" w:firstLineChars="200"/>
        <w:rPr>
          <w:rFonts w:hint="eastAsia" w:ascii="宋体" w:hAnsi="宋体" w:eastAsia="宋体" w:cs="宋体"/>
          <w:b/>
          <w:color w:val="000000"/>
          <w:sz w:val="24"/>
          <w:szCs w:val="24"/>
          <w:u w:val="single"/>
        </w:rPr>
      </w:pPr>
      <w:r>
        <w:rPr>
          <w:rFonts w:hint="eastAsia" w:ascii="宋体" w:hAnsi="宋体" w:eastAsia="宋体" w:cs="宋体"/>
          <w:color w:val="000000"/>
          <w:sz w:val="24"/>
          <w:szCs w:val="24"/>
        </w:rPr>
        <w:t>建造师执业印章号</w:t>
      </w:r>
      <w:r>
        <w:rPr>
          <w:rFonts w:hint="eastAsia" w:ascii="宋体" w:hAnsi="宋体" w:eastAsia="宋体" w:cs="宋体"/>
          <w:bCs/>
          <w:color w:val="000000"/>
          <w:sz w:val="24"/>
          <w:szCs w:val="24"/>
        </w:rPr>
        <w:t>：</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
          <w:color w:val="000000"/>
          <w:sz w:val="24"/>
          <w:szCs w:val="24"/>
          <w:u w:val="single"/>
        </w:rPr>
        <w:t>；</w:t>
      </w:r>
    </w:p>
    <w:p w14:paraId="30771FA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1ED1788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ABCAF2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72B2EB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31CB31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2D2270A">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关于项目经理每月在施工现场的时间要求</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5C61F41">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w:t>
      </w:r>
      <w:r>
        <w:rPr>
          <w:rFonts w:hint="eastAsia" w:ascii="宋体" w:hAnsi="宋体" w:eastAsia="宋体" w:cs="宋体"/>
          <w:color w:val="000000"/>
          <w:sz w:val="24"/>
          <w:szCs w:val="24"/>
        </w:rPr>
        <w:t>以及没有为项目经理缴纳社会保险证明的违约责任</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7C751B33">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w:t>
      </w:r>
      <w:r>
        <w:rPr>
          <w:rFonts w:hint="eastAsia" w:ascii="宋体" w:hAnsi="宋体" w:eastAsia="宋体" w:cs="宋体"/>
          <w:color w:val="000000"/>
          <w:sz w:val="24"/>
          <w:szCs w:val="24"/>
        </w:rPr>
        <w:t>擅自离开施工现场的违约责任</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73FC79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ABCC54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3.2.4 承包人无正当理由拒绝更换项目经理的违约责任：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F91A07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14:paraId="232E4CC1">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w:t>
      </w:r>
    </w:p>
    <w:p w14:paraId="00F289E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31CF8120">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7D2518CA">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38B11E3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29788A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576" w:name="_Toc292559364"/>
      <w:bookmarkStart w:id="577" w:name="_Toc297123492"/>
      <w:bookmarkStart w:id="578" w:name="_Toc297216151"/>
      <w:bookmarkStart w:id="579" w:name="_Toc296890987"/>
      <w:bookmarkStart w:id="580" w:name="_Toc296944498"/>
      <w:bookmarkStart w:id="581" w:name="_Toc292559869"/>
      <w:bookmarkStart w:id="582" w:name="_Toc304295523"/>
      <w:bookmarkStart w:id="583" w:name="_Toc312677988"/>
      <w:bookmarkStart w:id="584" w:name="_Toc297120459"/>
      <w:bookmarkStart w:id="585" w:name="_Toc303539102"/>
      <w:bookmarkStart w:id="586" w:name="_Toc297048345"/>
      <w:bookmarkStart w:id="587" w:name="_Toc300934945"/>
      <w:bookmarkStart w:id="588" w:name="_Toc296503159"/>
      <w:bookmarkStart w:id="589" w:name="_Toc296891199"/>
      <w:bookmarkStart w:id="590" w:name="_Toc296346660"/>
      <w:bookmarkStart w:id="591" w:name="_Toc296347158"/>
      <w:r>
        <w:rPr>
          <w:rFonts w:hint="eastAsia" w:ascii="宋体" w:hAnsi="宋体" w:eastAsia="宋体" w:cs="宋体"/>
          <w:color w:val="000000"/>
          <w:sz w:val="24"/>
          <w:szCs w:val="24"/>
        </w:rPr>
        <w:t>.5 分包</w:t>
      </w:r>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14:paraId="51845B3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592" w:name="_Toc297123493"/>
      <w:bookmarkStart w:id="593" w:name="_Toc296890988"/>
      <w:bookmarkStart w:id="594" w:name="_Toc292559870"/>
      <w:bookmarkStart w:id="595" w:name="_Toc296346661"/>
      <w:bookmarkStart w:id="596" w:name="_Toc296503160"/>
      <w:bookmarkStart w:id="597" w:name="_Toc292559365"/>
      <w:bookmarkStart w:id="598" w:name="_Toc304295524"/>
      <w:bookmarkStart w:id="599" w:name="_Toc297120460"/>
      <w:bookmarkStart w:id="600" w:name="_Toc300934946"/>
      <w:bookmarkStart w:id="601" w:name="_Toc303539103"/>
      <w:bookmarkStart w:id="602" w:name="_Toc296347159"/>
      <w:bookmarkStart w:id="603" w:name="_Toc297048346"/>
      <w:bookmarkStart w:id="604" w:name="_Toc296944499"/>
      <w:bookmarkStart w:id="605" w:name="_Toc297216152"/>
      <w:bookmarkStart w:id="606" w:name="_Toc296891200"/>
      <w:bookmarkStart w:id="607" w:name="_Toc312677989"/>
      <w:bookmarkStart w:id="608" w:name="_Toc318581158"/>
      <w:r>
        <w:rPr>
          <w:rFonts w:hint="eastAsia" w:ascii="宋体" w:hAnsi="宋体" w:eastAsia="宋体" w:cs="宋体"/>
          <w:color w:val="000000"/>
          <w:sz w:val="24"/>
          <w:szCs w:val="24"/>
        </w:rPr>
        <w:t>.5.1 分包的一般约定</w:t>
      </w:r>
    </w:p>
    <w:p w14:paraId="771F194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禁止分包的工程包括</w:t>
      </w:r>
      <w:r>
        <w:rPr>
          <w:rFonts w:hint="eastAsia" w:ascii="宋体" w:hAnsi="宋体" w:eastAsia="宋体" w:cs="宋体"/>
          <w:color w:val="000000"/>
          <w:sz w:val="24"/>
          <w:szCs w:val="24"/>
        </w:rPr>
        <w:t>：</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color w:val="000000"/>
          <w:sz w:val="24"/>
          <w:szCs w:val="24"/>
        </w:rPr>
        <w:t>。</w:t>
      </w:r>
    </w:p>
    <w:p w14:paraId="5193BB6C">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主体结构、</w:t>
      </w:r>
      <w:r>
        <w:rPr>
          <w:rFonts w:hint="eastAsia" w:ascii="宋体" w:hAnsi="宋体" w:eastAsia="宋体" w:cs="宋体"/>
          <w:color w:val="000000"/>
          <w:kern w:val="0"/>
          <w:sz w:val="24"/>
          <w:szCs w:val="24"/>
        </w:rPr>
        <w:t>关键性工作的范围</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Start w:id="609" w:name="_Toc297123494"/>
      <w:bookmarkStart w:id="610" w:name="_Toc296944500"/>
      <w:bookmarkStart w:id="611" w:name="_Toc296346662"/>
      <w:bookmarkStart w:id="612" w:name="_Toc296347160"/>
      <w:bookmarkStart w:id="613" w:name="_Toc297216153"/>
      <w:bookmarkStart w:id="614" w:name="_Toc303539104"/>
      <w:bookmarkStart w:id="615" w:name="_Toc296891201"/>
      <w:bookmarkStart w:id="616" w:name="_Toc296890989"/>
      <w:bookmarkStart w:id="617" w:name="_Toc296503161"/>
      <w:bookmarkStart w:id="618" w:name="_Toc304295525"/>
      <w:bookmarkStart w:id="619" w:name="_Toc297048347"/>
      <w:bookmarkStart w:id="620" w:name="_Toc297120461"/>
      <w:bookmarkStart w:id="621" w:name="_Toc300934947"/>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14:paraId="63D83F7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622" w:name="_Toc318581159"/>
      <w:bookmarkStart w:id="623" w:name="_Toc312677990"/>
      <w:r>
        <w:rPr>
          <w:rFonts w:hint="eastAsia" w:ascii="宋体" w:hAnsi="宋体" w:eastAsia="宋体" w:cs="宋体"/>
          <w:color w:val="000000"/>
          <w:sz w:val="24"/>
          <w:szCs w:val="24"/>
        </w:rPr>
        <w:t>.5.2</w:t>
      </w:r>
      <w:r>
        <w:rPr>
          <w:rFonts w:hint="eastAsia" w:ascii="宋体" w:hAnsi="宋体" w:eastAsia="宋体" w:cs="宋体"/>
          <w:color w:val="000000"/>
          <w:kern w:val="0"/>
          <w:sz w:val="24"/>
          <w:szCs w:val="24"/>
        </w:rPr>
        <w:t>分包的确定</w:t>
      </w:r>
    </w:p>
    <w:p w14:paraId="3DD04284">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允许分包的专业工程包括</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AA1100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其他关于分包的约定</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873C8C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3.5.4 </w:t>
      </w:r>
      <w:r>
        <w:rPr>
          <w:rFonts w:hint="eastAsia" w:ascii="宋体" w:hAnsi="宋体" w:eastAsia="宋体" w:cs="宋体"/>
          <w:color w:val="000000"/>
          <w:kern w:val="0"/>
          <w:sz w:val="24"/>
          <w:szCs w:val="24"/>
        </w:rPr>
        <w:t>分包合同价款</w:t>
      </w:r>
    </w:p>
    <w:p w14:paraId="5E5032F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关于分包合同价款支付的约定</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622"/>
    <w:bookmarkEnd w:id="623"/>
    <w:p w14:paraId="155D98B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79E51B65">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w:t>
      </w:r>
      <w:r>
        <w:rPr>
          <w:rFonts w:hint="eastAsia" w:ascii="宋体" w:hAnsi="宋体" w:eastAsia="宋体" w:cs="宋体"/>
          <w:color w:val="000000"/>
          <w:sz w:val="24"/>
          <w:szCs w:val="24"/>
        </w:rPr>
        <w:t>工程设备的起始时间</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w:t>
      </w:r>
    </w:p>
    <w:p w14:paraId="7FF84D6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6399E12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1E980E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E140750">
      <w:pPr>
        <w:pStyle w:val="8"/>
        <w:spacing w:line="500" w:lineRule="exact"/>
        <w:rPr>
          <w:rFonts w:hint="eastAsia" w:ascii="宋体" w:hAnsi="宋体" w:eastAsia="宋体" w:cs="宋体"/>
          <w:b w:val="0"/>
          <w:color w:val="000000"/>
          <w:sz w:val="28"/>
          <w:szCs w:val="28"/>
        </w:rPr>
      </w:pPr>
      <w:bookmarkStart w:id="624" w:name="_Toc375060856"/>
      <w:r>
        <w:rPr>
          <w:rFonts w:hint="eastAsia" w:ascii="宋体" w:hAnsi="宋体" w:eastAsia="宋体" w:cs="宋体"/>
          <w:b w:val="0"/>
          <w:color w:val="000000"/>
          <w:sz w:val="28"/>
          <w:szCs w:val="28"/>
        </w:rPr>
        <w:t>4</w:t>
      </w:r>
      <w:bookmarkStart w:id="625" w:name="_Toc296891202"/>
      <w:bookmarkStart w:id="626" w:name="_Toc267251413"/>
      <w:bookmarkStart w:id="627" w:name="_Toc292559366"/>
      <w:bookmarkStart w:id="628" w:name="_Toc296347161"/>
      <w:bookmarkStart w:id="629" w:name="_Toc292559871"/>
      <w:bookmarkStart w:id="630" w:name="_Toc296944501"/>
      <w:bookmarkStart w:id="631" w:name="_Toc297048348"/>
      <w:bookmarkStart w:id="632" w:name="_Toc296503162"/>
      <w:bookmarkStart w:id="633" w:name="_Toc296346663"/>
      <w:bookmarkStart w:id="634" w:name="_Toc297120462"/>
      <w:bookmarkStart w:id="635" w:name="_Toc296890990"/>
      <w:r>
        <w:rPr>
          <w:rFonts w:hint="eastAsia" w:ascii="宋体" w:hAnsi="宋体" w:eastAsia="宋体" w:cs="宋体"/>
          <w:b w:val="0"/>
          <w:color w:val="000000"/>
          <w:sz w:val="28"/>
          <w:szCs w:val="28"/>
        </w:rPr>
        <w:t>. 监</w:t>
      </w:r>
      <w:bookmarkEnd w:id="625"/>
      <w:bookmarkEnd w:id="626"/>
      <w:bookmarkEnd w:id="627"/>
      <w:bookmarkEnd w:id="628"/>
      <w:bookmarkEnd w:id="629"/>
      <w:bookmarkEnd w:id="630"/>
      <w:bookmarkEnd w:id="631"/>
      <w:bookmarkEnd w:id="632"/>
      <w:bookmarkEnd w:id="633"/>
      <w:bookmarkEnd w:id="634"/>
      <w:bookmarkEnd w:id="635"/>
      <w:r>
        <w:rPr>
          <w:rFonts w:hint="eastAsia" w:ascii="宋体" w:hAnsi="宋体" w:eastAsia="宋体" w:cs="宋体"/>
          <w:b w:val="0"/>
          <w:color w:val="000000"/>
          <w:sz w:val="28"/>
          <w:szCs w:val="28"/>
        </w:rPr>
        <w:t>理人</w:t>
      </w:r>
      <w:bookmarkEnd w:id="624"/>
    </w:p>
    <w:p w14:paraId="5728478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4EA43D73">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E36761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1"/>
        </w:rPr>
        <w:t>：</w:t>
      </w:r>
      <w:r>
        <w:rPr>
          <w:rFonts w:hint="eastAsia" w:ascii="宋体" w:hAnsi="宋体" w:eastAsia="宋体" w:cs="宋体"/>
          <w:color w:val="000000"/>
          <w:sz w:val="24"/>
          <w:szCs w:val="21"/>
          <w:u w:val="single"/>
          <w:lang w:val="en-US" w:eastAsia="zh-CN"/>
        </w:rPr>
        <w:t xml:space="preserve">                              </w:t>
      </w:r>
      <w:r>
        <w:rPr>
          <w:rFonts w:hint="eastAsia" w:ascii="宋体" w:hAnsi="宋体" w:eastAsia="宋体" w:cs="宋体"/>
          <w:color w:val="000000"/>
          <w:sz w:val="24"/>
          <w:szCs w:val="24"/>
        </w:rPr>
        <w:t>。</w:t>
      </w:r>
    </w:p>
    <w:p w14:paraId="3900BB4B">
      <w:pPr>
        <w:spacing w:line="500" w:lineRule="exact"/>
        <w:ind w:right="2" w:rightChars="1" w:firstLine="480" w:firstLineChars="200"/>
        <w:rPr>
          <w:rFonts w:hint="eastAsia" w:ascii="宋体" w:hAnsi="宋体" w:eastAsia="宋体" w:cs="宋体"/>
          <w:b/>
          <w:bCs/>
          <w:color w:val="000000"/>
          <w:sz w:val="24"/>
          <w:szCs w:val="21"/>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w:t>
      </w:r>
      <w:r>
        <w:rPr>
          <w:rFonts w:hint="eastAsia" w:ascii="宋体" w:hAnsi="宋体" w:eastAsia="宋体" w:cs="宋体"/>
          <w:bCs/>
          <w:color w:val="000000"/>
          <w:sz w:val="24"/>
          <w:szCs w:val="21"/>
          <w:u w:val="single"/>
        </w:rPr>
        <w:t>。</w:t>
      </w:r>
    </w:p>
    <w:p w14:paraId="20423E4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 监理人员</w:t>
      </w:r>
    </w:p>
    <w:p w14:paraId="50F0293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5D272B5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姓    名：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36B033B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b/>
          <w:bCs/>
          <w:sz w:val="24"/>
          <w:szCs w:val="21"/>
          <w:u w:val="single"/>
        </w:rPr>
        <w:t xml:space="preserve"> </w:t>
      </w:r>
      <w:r>
        <w:rPr>
          <w:rFonts w:hint="eastAsia" w:ascii="宋体" w:hAnsi="宋体" w:eastAsia="宋体" w:cs="宋体"/>
          <w:b/>
          <w:bCs/>
          <w:sz w:val="24"/>
          <w:szCs w:val="21"/>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color w:val="000000"/>
          <w:sz w:val="24"/>
          <w:szCs w:val="24"/>
        </w:rPr>
        <w:t>；</w:t>
      </w:r>
    </w:p>
    <w:p w14:paraId="2D62858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b/>
          <w:sz w:val="24"/>
          <w:szCs w:val="21"/>
          <w:u w:val="single"/>
        </w:rPr>
        <w:t xml:space="preserve"> </w:t>
      </w:r>
      <w:r>
        <w:rPr>
          <w:rFonts w:hint="eastAsia" w:ascii="宋体" w:hAnsi="宋体" w:eastAsia="宋体" w:cs="宋体"/>
          <w:b/>
          <w:sz w:val="24"/>
          <w:szCs w:val="21"/>
          <w:u w:val="single"/>
          <w:lang w:val="en-US" w:eastAsia="zh-CN"/>
        </w:rPr>
        <w:t xml:space="preserve">            </w:t>
      </w:r>
      <w:r>
        <w:rPr>
          <w:rFonts w:hint="eastAsia" w:ascii="宋体" w:hAnsi="宋体" w:eastAsia="宋体" w:cs="宋体"/>
          <w:b/>
          <w:sz w:val="24"/>
          <w:szCs w:val="21"/>
          <w:u w:val="single"/>
        </w:rPr>
        <w:t xml:space="preserve"> </w:t>
      </w:r>
      <w:r>
        <w:rPr>
          <w:rFonts w:hint="eastAsia" w:ascii="宋体" w:hAnsi="宋体" w:eastAsia="宋体" w:cs="宋体"/>
          <w:b/>
          <w:bCs/>
          <w:sz w:val="24"/>
          <w:szCs w:val="24"/>
        </w:rPr>
        <w:t>；</w:t>
      </w:r>
    </w:p>
    <w:p w14:paraId="0F8A7F7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6C079219">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27273FB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344D3AAD">
      <w:pPr>
        <w:spacing w:line="500" w:lineRule="exact"/>
        <w:ind w:right="2" w:rightChars="1" w:firstLine="480" w:firstLineChars="200"/>
        <w:rPr>
          <w:rFonts w:hint="eastAsia"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AEE962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14:paraId="1633B60E">
      <w:pPr>
        <w:spacing w:line="500" w:lineRule="exact"/>
        <w:ind w:firstLine="480" w:firstLineChars="200"/>
        <w:rPr>
          <w:rFonts w:hint="eastAsia" w:ascii="宋体" w:hAnsi="宋体" w:eastAsia="宋体" w:cs="宋体"/>
          <w:color w:val="000000"/>
          <w:sz w:val="24"/>
          <w:szCs w:val="24"/>
        </w:rPr>
      </w:pPr>
      <w:bookmarkStart w:id="636" w:name="_Toc267251418"/>
      <w:r>
        <w:rPr>
          <w:rFonts w:hint="eastAsia" w:ascii="宋体" w:hAnsi="宋体" w:eastAsia="宋体" w:cs="宋体"/>
          <w:color w:val="000000"/>
          <w:sz w:val="24"/>
          <w:szCs w:val="24"/>
        </w:rPr>
        <w:t>在</w:t>
      </w:r>
      <w:r>
        <w:rPr>
          <w:rFonts w:hint="eastAsia" w:ascii="宋体" w:hAnsi="宋体" w:eastAsia="宋体" w:cs="宋体"/>
          <w:color w:val="000000"/>
          <w:kern w:val="0"/>
          <w:sz w:val="24"/>
          <w:szCs w:val="24"/>
        </w:rPr>
        <w:t>发</w:t>
      </w:r>
      <w:r>
        <w:rPr>
          <w:rFonts w:hint="eastAsia" w:ascii="宋体" w:hAnsi="宋体" w:eastAsia="宋体" w:cs="宋体"/>
          <w:color w:val="000000"/>
          <w:sz w:val="24"/>
          <w:szCs w:val="24"/>
        </w:rPr>
        <w:t>包人和承包人不能通过协商达成一致意见时，发包人授权监理人对以下事项进行确定：</w:t>
      </w:r>
    </w:p>
    <w:p w14:paraId="05A3BC47">
      <w:pPr>
        <w:numPr>
          <w:ilvl w:val="0"/>
          <w:numId w:val="7"/>
        </w:num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C139262">
      <w:pPr>
        <w:numPr>
          <w:ilvl w:val="0"/>
          <w:numId w:val="7"/>
        </w:numPr>
        <w:autoSpaceDE w:val="0"/>
        <w:autoSpaceDN w:val="0"/>
        <w:adjustRightInd w:val="0"/>
        <w:spacing w:line="500" w:lineRule="exact"/>
        <w:ind w:left="0" w:leftChars="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p>
    <w:p w14:paraId="34547D37">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3603B84D">
      <w:pPr>
        <w:pStyle w:val="8"/>
        <w:spacing w:line="500" w:lineRule="exact"/>
        <w:rPr>
          <w:rFonts w:hint="eastAsia" w:ascii="宋体" w:hAnsi="宋体" w:eastAsia="宋体" w:cs="宋体"/>
          <w:b w:val="0"/>
          <w:color w:val="000000"/>
          <w:sz w:val="28"/>
          <w:szCs w:val="28"/>
        </w:rPr>
      </w:pPr>
      <w:bookmarkStart w:id="637" w:name="_Toc375060857"/>
      <w:r>
        <w:rPr>
          <w:rFonts w:hint="eastAsia" w:ascii="宋体" w:hAnsi="宋体" w:eastAsia="宋体" w:cs="宋体"/>
          <w:b w:val="0"/>
          <w:color w:val="000000"/>
          <w:sz w:val="28"/>
          <w:szCs w:val="28"/>
        </w:rPr>
        <w:t>5</w:t>
      </w:r>
      <w:bookmarkEnd w:id="636"/>
      <w:bookmarkStart w:id="638" w:name="_Toc296347162"/>
      <w:bookmarkStart w:id="639" w:name="_Toc292559367"/>
      <w:bookmarkStart w:id="640" w:name="_Toc292559872"/>
      <w:bookmarkStart w:id="641" w:name="_Toc296891203"/>
      <w:bookmarkStart w:id="642" w:name="_Toc296890991"/>
      <w:bookmarkStart w:id="643" w:name="_Toc296346664"/>
      <w:bookmarkStart w:id="644" w:name="_Toc297048349"/>
      <w:bookmarkStart w:id="645" w:name="_Toc296944502"/>
      <w:bookmarkStart w:id="646" w:name="_Toc296503163"/>
      <w:bookmarkStart w:id="647" w:name="_Toc297120463"/>
      <w:r>
        <w:rPr>
          <w:rFonts w:hint="eastAsia" w:ascii="宋体" w:hAnsi="宋体" w:eastAsia="宋体" w:cs="宋体"/>
          <w:b w:val="0"/>
          <w:color w:val="000000"/>
          <w:sz w:val="28"/>
          <w:szCs w:val="28"/>
        </w:rPr>
        <w:t>. 工程质量</w:t>
      </w:r>
      <w:bookmarkEnd w:id="637"/>
    </w:p>
    <w:p w14:paraId="084EBE5A">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3CCF4C3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bookmarkStart w:id="648" w:name="_Toc318581164"/>
      <w:bookmarkStart w:id="649" w:name="_Toc297216155"/>
      <w:bookmarkStart w:id="650" w:name="_Toc300934949"/>
      <w:bookmarkStart w:id="651" w:name="_Toc304295527"/>
      <w:bookmarkStart w:id="652" w:name="_Toc303539106"/>
      <w:bookmarkStart w:id="653" w:name="_Toc297123496"/>
      <w:bookmarkStart w:id="654" w:name="_Toc312677997"/>
      <w:r>
        <w:rPr>
          <w:rFonts w:hint="eastAsia" w:ascii="宋体" w:hAnsi="宋体" w:eastAsia="宋体" w:cs="宋体"/>
          <w:color w:val="000000"/>
          <w:sz w:val="24"/>
          <w:szCs w:val="24"/>
        </w:rPr>
        <w:t xml:space="preserve">.1.1 </w:t>
      </w:r>
      <w:r>
        <w:rPr>
          <w:rFonts w:hint="eastAsia" w:ascii="宋体" w:hAnsi="宋体" w:eastAsia="宋体" w:cs="宋体"/>
          <w:color w:val="000000"/>
          <w:kern w:val="0"/>
          <w:sz w:val="24"/>
          <w:szCs w:val="24"/>
        </w:rPr>
        <w:t>特殊质量标准和要求</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F07554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关于工程奖项的约定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5723608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5C4EEF5D">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5.3.2</w:t>
      </w:r>
      <w:r>
        <w:rPr>
          <w:rFonts w:hint="eastAsia" w:ascii="宋体" w:hAnsi="宋体" w:eastAsia="宋体" w:cs="宋体"/>
          <w:color w:val="000000"/>
          <w:kern w:val="0"/>
          <w:sz w:val="24"/>
          <w:szCs w:val="24"/>
        </w:rPr>
        <w:t>承包人提前通知监理人隐蔽工程检查的期限的约定</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0B7CE43">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监理人不能按时进行检查时</w:t>
      </w:r>
      <w:r>
        <w:rPr>
          <w:rFonts w:hint="eastAsia" w:ascii="宋体" w:hAnsi="宋体" w:eastAsia="宋体" w:cs="宋体"/>
          <w:color w:val="000000"/>
          <w:sz w:val="24"/>
          <w:szCs w:val="24"/>
        </w:rPr>
        <w:t>，应提前</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小时提交书面延期要求。</w:t>
      </w:r>
    </w:p>
    <w:p w14:paraId="0DE5981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关于延期最长不得超过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小时。</w:t>
      </w:r>
    </w:p>
    <w:p w14:paraId="5718F15E">
      <w:pPr>
        <w:pStyle w:val="8"/>
        <w:spacing w:line="500" w:lineRule="exact"/>
        <w:rPr>
          <w:rFonts w:hint="eastAsia" w:ascii="宋体" w:hAnsi="宋体" w:eastAsia="宋体" w:cs="宋体"/>
          <w:b w:val="0"/>
          <w:color w:val="000000"/>
          <w:sz w:val="28"/>
          <w:szCs w:val="28"/>
        </w:rPr>
      </w:pPr>
      <w:bookmarkStart w:id="655" w:name="_Toc375060858"/>
      <w:r>
        <w:rPr>
          <w:rFonts w:hint="eastAsia" w:ascii="宋体" w:hAnsi="宋体" w:eastAsia="宋体" w:cs="宋体"/>
          <w:b w:val="0"/>
          <w:color w:val="000000"/>
          <w:sz w:val="28"/>
          <w:szCs w:val="28"/>
        </w:rPr>
        <w:t>6. 安全文明施工与环境保护</w:t>
      </w:r>
      <w:bookmarkEnd w:id="655"/>
    </w:p>
    <w:p w14:paraId="51BFC0FA">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0CC46925">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6.1.1 </w:t>
      </w:r>
      <w:r>
        <w:rPr>
          <w:rFonts w:hint="eastAsia" w:ascii="宋体" w:hAnsi="宋体" w:eastAsia="宋体" w:cs="宋体"/>
          <w:color w:val="000000"/>
          <w:kern w:val="0"/>
          <w:sz w:val="24"/>
          <w:szCs w:val="24"/>
        </w:rPr>
        <w:t>项目安全生产的达标目标及相应事项的约定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1"/>
        </w:rPr>
        <w:t>。</w:t>
      </w:r>
    </w:p>
    <w:p w14:paraId="0404936E">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6.1.4 </w:t>
      </w:r>
      <w:r>
        <w:rPr>
          <w:rFonts w:hint="eastAsia" w:ascii="宋体" w:hAnsi="宋体" w:eastAsia="宋体" w:cs="宋体"/>
          <w:color w:val="000000"/>
          <w:kern w:val="0"/>
          <w:sz w:val="24"/>
          <w:szCs w:val="24"/>
        </w:rPr>
        <w:t>关于治安保卫的特别约定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0"/>
          <w:szCs w:val="21"/>
        </w:rPr>
        <w:t>，</w:t>
      </w:r>
      <w:r>
        <w:rPr>
          <w:rFonts w:hint="eastAsia" w:ascii="宋体" w:hAnsi="宋体" w:eastAsia="宋体" w:cs="宋体"/>
          <w:color w:val="000000"/>
          <w:kern w:val="0"/>
          <w:sz w:val="24"/>
          <w:szCs w:val="24"/>
        </w:rPr>
        <w:t>发包人配合。</w:t>
      </w:r>
    </w:p>
    <w:p w14:paraId="340B324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关于编制施工场地治安管理计划的约定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C9BBF3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6.1.5 </w:t>
      </w:r>
      <w:r>
        <w:rPr>
          <w:rFonts w:hint="eastAsia" w:ascii="宋体" w:hAnsi="宋体" w:eastAsia="宋体" w:cs="宋体"/>
          <w:color w:val="000000"/>
          <w:kern w:val="0"/>
          <w:sz w:val="24"/>
          <w:szCs w:val="24"/>
        </w:rPr>
        <w:t>文明施工</w:t>
      </w:r>
    </w:p>
    <w:p w14:paraId="104DE2E3">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合同当事人对文明施工的要求</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ABFE66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6.1.6 </w:t>
      </w:r>
      <w:r>
        <w:rPr>
          <w:rFonts w:hint="eastAsia" w:ascii="宋体" w:hAnsi="宋体" w:eastAsia="宋体" w:cs="宋体"/>
          <w:color w:val="000000"/>
          <w:kern w:val="0"/>
          <w:sz w:val="24"/>
          <w:szCs w:val="24"/>
        </w:rPr>
        <w:t>关于安全文明施工费支付比例和支付期限的约定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bookmarkEnd w:id="648"/>
    <w:bookmarkEnd w:id="649"/>
    <w:bookmarkEnd w:id="650"/>
    <w:bookmarkEnd w:id="651"/>
    <w:bookmarkEnd w:id="652"/>
    <w:bookmarkEnd w:id="653"/>
    <w:bookmarkEnd w:id="654"/>
    <w:p w14:paraId="7FC836BA">
      <w:pPr>
        <w:pStyle w:val="8"/>
        <w:spacing w:line="500" w:lineRule="exact"/>
        <w:ind w:right="2"/>
        <w:rPr>
          <w:rFonts w:hint="eastAsia" w:ascii="宋体" w:hAnsi="宋体" w:eastAsia="宋体" w:cs="宋体"/>
          <w:b w:val="0"/>
          <w:color w:val="000000"/>
          <w:sz w:val="28"/>
          <w:szCs w:val="28"/>
        </w:rPr>
      </w:pPr>
      <w:bookmarkStart w:id="656" w:name="_Toc375060859"/>
      <w:r>
        <w:rPr>
          <w:rFonts w:hint="eastAsia" w:ascii="宋体" w:hAnsi="宋体" w:eastAsia="宋体" w:cs="宋体"/>
          <w:b w:val="0"/>
          <w:color w:val="000000"/>
          <w:sz w:val="28"/>
          <w:szCs w:val="28"/>
        </w:rPr>
        <w:t>7. 工期和进度</w:t>
      </w:r>
      <w:bookmarkEnd w:id="656"/>
    </w:p>
    <w:p w14:paraId="1F743A6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0A5E6A44">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7.1.1 </w:t>
      </w:r>
      <w:r>
        <w:rPr>
          <w:rFonts w:hint="eastAsia" w:ascii="宋体" w:hAnsi="宋体" w:eastAsia="宋体" w:cs="宋体"/>
          <w:color w:val="000000"/>
          <w:kern w:val="0"/>
          <w:sz w:val="24"/>
          <w:szCs w:val="24"/>
        </w:rPr>
        <w:t>合同当事人约定的施工组织设计应包括的其他内容：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250A6E7E">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7.1.2 </w:t>
      </w:r>
      <w:r>
        <w:rPr>
          <w:rFonts w:hint="eastAsia" w:ascii="宋体" w:hAnsi="宋体" w:eastAsia="宋体" w:cs="宋体"/>
          <w:color w:val="000000"/>
          <w:kern w:val="0"/>
          <w:sz w:val="24"/>
          <w:szCs w:val="24"/>
        </w:rPr>
        <w:t>施工组织设计的提交和修改</w:t>
      </w:r>
    </w:p>
    <w:p w14:paraId="4F0E22A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27E28AD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发包人和监理人在收到详细的施工组织设计后确认或提出修改意见的期限</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5016BD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57" w:name="_Toc312678005"/>
      <w:bookmarkStart w:id="658" w:name="_Toc297123514"/>
      <w:bookmarkStart w:id="659" w:name="_Toc312677479"/>
      <w:bookmarkStart w:id="660" w:name="_Toc304295541"/>
      <w:bookmarkStart w:id="661" w:name="_Toc300934966"/>
      <w:bookmarkStart w:id="662" w:name="_Toc297216173"/>
      <w:bookmarkStart w:id="663" w:name="_Toc303539123"/>
      <w:r>
        <w:rPr>
          <w:rFonts w:hint="eastAsia" w:ascii="宋体" w:hAnsi="宋体" w:eastAsia="宋体" w:cs="宋体"/>
          <w:color w:val="000000"/>
          <w:sz w:val="24"/>
          <w:szCs w:val="24"/>
        </w:rPr>
        <w:t>.2 施工进度计划</w:t>
      </w:r>
    </w:p>
    <w:p w14:paraId="7222517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7.2.2 </w:t>
      </w:r>
      <w:r>
        <w:rPr>
          <w:rFonts w:hint="eastAsia" w:ascii="宋体" w:hAnsi="宋体" w:eastAsia="宋体" w:cs="宋体"/>
          <w:color w:val="000000"/>
          <w:kern w:val="0"/>
          <w:sz w:val="24"/>
          <w:szCs w:val="24"/>
        </w:rPr>
        <w:t>施工进度计划的修订</w:t>
      </w:r>
    </w:p>
    <w:p w14:paraId="74D88FB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发包人和监理人在收到修订的施工进度计划后确认或提出修改意见的期限</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3F7341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7600A3D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77A39E8A">
      <w:pPr>
        <w:spacing w:line="500" w:lineRule="exact"/>
        <w:ind w:right="2" w:rightChars="1" w:firstLine="480" w:firstLineChars="200"/>
        <w:rPr>
          <w:rFonts w:hint="eastAsia" w:ascii="宋体" w:hAnsi="宋体" w:eastAsia="宋体" w:cs="宋体"/>
          <w:b w:val="0"/>
          <w:bCs/>
          <w:color w:val="000000"/>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color w:val="000000"/>
          <w:kern w:val="0"/>
          <w:sz w:val="24"/>
          <w:szCs w:val="24"/>
          <w:u w:val="none"/>
        </w:rPr>
        <w:t>：</w:t>
      </w:r>
      <w:r>
        <w:rPr>
          <w:rFonts w:hint="eastAsia" w:ascii="宋体" w:hAnsi="宋体" w:eastAsia="宋体" w:cs="宋体"/>
          <w:b w:val="0"/>
          <w:bCs/>
          <w:color w:val="000000"/>
          <w:sz w:val="24"/>
          <w:szCs w:val="24"/>
          <w:u w:val="single"/>
          <w:lang w:val="en-US" w:eastAsia="zh-CN"/>
        </w:rPr>
        <w:t xml:space="preserve">              。</w:t>
      </w:r>
    </w:p>
    <w:p w14:paraId="4CC08C4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00338A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ED316E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14:paraId="3EF2B24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天内发出开工通知的，承包人有权提出价格调整要求，或者解除合同。</w:t>
      </w:r>
    </w:p>
    <w:bookmarkEnd w:id="657"/>
    <w:bookmarkEnd w:id="658"/>
    <w:bookmarkEnd w:id="659"/>
    <w:bookmarkEnd w:id="660"/>
    <w:bookmarkEnd w:id="661"/>
    <w:bookmarkEnd w:id="662"/>
    <w:bookmarkEnd w:id="663"/>
    <w:p w14:paraId="729FECC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71F25171">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7.4.1发包人通过监理人向承包人提供测量基准点、基准线和水准点及其书面资料的期限：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8DA83CD">
      <w:pPr>
        <w:spacing w:line="500" w:lineRule="exact"/>
        <w:ind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64" w:name="_Toc304295546"/>
      <w:bookmarkStart w:id="665" w:name="_Toc297123516"/>
      <w:bookmarkStart w:id="666" w:name="_Toc312677484"/>
      <w:bookmarkStart w:id="667" w:name="_Toc297216175"/>
      <w:bookmarkStart w:id="668" w:name="_Toc312678010"/>
      <w:bookmarkStart w:id="669" w:name="_Toc303539125"/>
      <w:bookmarkStart w:id="670" w:name="_Toc300934968"/>
      <w:r>
        <w:rPr>
          <w:rFonts w:hint="eastAsia" w:ascii="宋体" w:hAnsi="宋体" w:eastAsia="宋体" w:cs="宋体"/>
          <w:color w:val="000000"/>
          <w:sz w:val="24"/>
          <w:szCs w:val="24"/>
        </w:rPr>
        <w:t>.5 工期延误</w:t>
      </w:r>
    </w:p>
    <w:bookmarkEnd w:id="664"/>
    <w:bookmarkEnd w:id="665"/>
    <w:bookmarkEnd w:id="666"/>
    <w:bookmarkEnd w:id="667"/>
    <w:bookmarkEnd w:id="668"/>
    <w:bookmarkEnd w:id="669"/>
    <w:bookmarkEnd w:id="670"/>
    <w:p w14:paraId="7415307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7.5.1 因发包人原因导致工期延误：</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1"/>
        </w:rPr>
        <w:t>。</w:t>
      </w:r>
    </w:p>
    <w:p w14:paraId="69A2FBDF">
      <w:pPr>
        <w:spacing w:line="500" w:lineRule="exact"/>
        <w:ind w:right="2" w:rightChars="1" w:firstLine="480" w:firstLineChars="200"/>
        <w:rPr>
          <w:rFonts w:hint="eastAsia" w:ascii="宋体" w:hAnsi="宋体" w:eastAsia="宋体" w:cs="宋体"/>
          <w:color w:val="000000"/>
          <w:sz w:val="20"/>
          <w:szCs w:val="20"/>
        </w:rPr>
      </w:pPr>
      <w:r>
        <w:rPr>
          <w:rFonts w:hint="eastAsia" w:ascii="宋体" w:hAnsi="宋体" w:eastAsia="宋体" w:cs="宋体"/>
          <w:color w:val="000000"/>
          <w:sz w:val="24"/>
          <w:szCs w:val="24"/>
        </w:rPr>
        <w:t>（7）因发包人原因导致工期延误的其他情形：</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1"/>
        </w:rPr>
        <w:t>。</w:t>
      </w:r>
    </w:p>
    <w:p w14:paraId="414BFDF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71" w:name="_Toc318581169"/>
      <w:bookmarkStart w:id="672" w:name="_Toc312678012"/>
      <w:bookmarkStart w:id="673" w:name="_Toc312677486"/>
      <w:bookmarkStart w:id="674" w:name="_Toc300934970"/>
      <w:bookmarkStart w:id="675" w:name="_Toc303539127"/>
      <w:bookmarkStart w:id="676" w:name="_Toc297216177"/>
      <w:bookmarkStart w:id="677" w:name="_Toc297123518"/>
      <w:bookmarkStart w:id="678" w:name="_Toc304295548"/>
      <w:r>
        <w:rPr>
          <w:rFonts w:hint="eastAsia" w:ascii="宋体" w:hAnsi="宋体" w:eastAsia="宋体" w:cs="宋体"/>
          <w:color w:val="000000"/>
          <w:sz w:val="24"/>
          <w:szCs w:val="24"/>
        </w:rPr>
        <w:t>.5.2 因承包人原因导致工期延误</w:t>
      </w:r>
    </w:p>
    <w:bookmarkEnd w:id="671"/>
    <w:bookmarkEnd w:id="672"/>
    <w:bookmarkEnd w:id="673"/>
    <w:p w14:paraId="058DFD9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w:t>
      </w:r>
      <w:bookmarkStart w:id="679" w:name="_Toc312677487"/>
      <w:bookmarkStart w:id="680" w:name="_Toc312678013"/>
      <w:bookmarkStart w:id="681" w:name="_Toc318581170"/>
      <w:r>
        <w:rPr>
          <w:rFonts w:hint="eastAsia" w:ascii="宋体" w:hAnsi="宋体" w:eastAsia="宋体" w:cs="宋体"/>
          <w:color w:val="000000"/>
          <w:sz w:val="24"/>
          <w:szCs w:val="24"/>
        </w:rPr>
        <w:t>承包人原因造成工期延误，逾期竣工违约金的计算方法为：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674"/>
      <w:bookmarkEnd w:id="675"/>
      <w:bookmarkEnd w:id="676"/>
      <w:bookmarkEnd w:id="677"/>
      <w:bookmarkEnd w:id="678"/>
      <w:bookmarkEnd w:id="679"/>
      <w:bookmarkEnd w:id="680"/>
    </w:p>
    <w:bookmarkEnd w:id="681"/>
    <w:p w14:paraId="120F3D3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因承包人原因造成工期延误，逾</w:t>
      </w:r>
      <w:bookmarkStart w:id="682" w:name="_Toc318581171"/>
      <w:bookmarkStart w:id="683" w:name="_Toc312678014"/>
      <w:r>
        <w:rPr>
          <w:rFonts w:hint="eastAsia" w:ascii="宋体" w:hAnsi="宋体" w:eastAsia="宋体" w:cs="宋体"/>
          <w:color w:val="000000"/>
          <w:sz w:val="24"/>
          <w:szCs w:val="24"/>
        </w:rPr>
        <w:t>期竣工违约金的上限：</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682"/>
    <w:bookmarkEnd w:id="683"/>
    <w:p w14:paraId="3DDF2FA3">
      <w:pPr>
        <w:spacing w:line="500" w:lineRule="exact"/>
        <w:ind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84" w:name="_Toc300934971"/>
      <w:bookmarkStart w:id="685" w:name="_Toc304295549"/>
      <w:bookmarkStart w:id="686" w:name="_Toc297123519"/>
      <w:bookmarkStart w:id="687" w:name="_Toc297216178"/>
      <w:bookmarkStart w:id="688" w:name="_Toc312678015"/>
      <w:bookmarkStart w:id="689" w:name="_Toc303539128"/>
      <w:r>
        <w:rPr>
          <w:rFonts w:hint="eastAsia" w:ascii="宋体" w:hAnsi="宋体" w:eastAsia="宋体" w:cs="宋体"/>
          <w:color w:val="000000"/>
          <w:sz w:val="24"/>
          <w:szCs w:val="24"/>
        </w:rPr>
        <w:t>.6 不</w:t>
      </w:r>
      <w:bookmarkEnd w:id="684"/>
      <w:bookmarkEnd w:id="685"/>
      <w:bookmarkEnd w:id="686"/>
      <w:bookmarkEnd w:id="687"/>
      <w:bookmarkEnd w:id="688"/>
      <w:bookmarkEnd w:id="689"/>
      <w:r>
        <w:rPr>
          <w:rFonts w:hint="eastAsia" w:ascii="宋体" w:hAnsi="宋体" w:eastAsia="宋体" w:cs="宋体"/>
          <w:color w:val="000000"/>
          <w:sz w:val="24"/>
          <w:szCs w:val="24"/>
        </w:rPr>
        <w:t>利物质条件</w:t>
      </w:r>
    </w:p>
    <w:p w14:paraId="6A172D3D">
      <w:pPr>
        <w:spacing w:line="500" w:lineRule="exact"/>
        <w:ind w:right="2" w:rightChars="1" w:firstLine="480" w:firstLineChars="200"/>
        <w:rPr>
          <w:rFonts w:hint="eastAsia" w:ascii="宋体" w:hAnsi="宋体" w:eastAsia="宋体" w:cs="宋体"/>
          <w:color w:val="000000"/>
          <w:sz w:val="24"/>
          <w:szCs w:val="24"/>
          <w:u w:val="single"/>
        </w:rPr>
      </w:pPr>
      <w:bookmarkStart w:id="690" w:name="_Toc297123520"/>
      <w:bookmarkStart w:id="691" w:name="_Toc312678016"/>
      <w:bookmarkStart w:id="692" w:name="_Toc318581172"/>
      <w:bookmarkStart w:id="693" w:name="_Toc304295550"/>
      <w:bookmarkStart w:id="694" w:name="_Toc303539129"/>
      <w:bookmarkStart w:id="695" w:name="_Toc300934972"/>
      <w:bookmarkStart w:id="696" w:name="_Toc297216179"/>
      <w:r>
        <w:rPr>
          <w:rFonts w:hint="eastAsia" w:ascii="宋体" w:hAnsi="宋体" w:eastAsia="宋体" w:cs="宋体"/>
          <w:color w:val="000000"/>
          <w:sz w:val="24"/>
          <w:szCs w:val="24"/>
        </w:rPr>
        <w:t>不利物质条件的其他情形和有关约定：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bookmarkEnd w:id="690"/>
    <w:bookmarkEnd w:id="691"/>
    <w:bookmarkEnd w:id="692"/>
    <w:bookmarkEnd w:id="693"/>
    <w:bookmarkEnd w:id="694"/>
    <w:bookmarkEnd w:id="695"/>
    <w:bookmarkEnd w:id="696"/>
    <w:p w14:paraId="3AB39634">
      <w:pPr>
        <w:spacing w:line="500" w:lineRule="exact"/>
        <w:ind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97" w:name="_Toc303539130"/>
      <w:bookmarkStart w:id="698" w:name="_Toc312678017"/>
      <w:bookmarkStart w:id="699" w:name="_Toc300934973"/>
      <w:bookmarkStart w:id="700" w:name="_Toc297123521"/>
      <w:bookmarkStart w:id="701" w:name="_Toc297216180"/>
      <w:bookmarkStart w:id="702" w:name="_Toc304295551"/>
      <w:r>
        <w:rPr>
          <w:rFonts w:hint="eastAsia" w:ascii="宋体" w:hAnsi="宋体" w:eastAsia="宋体" w:cs="宋体"/>
          <w:color w:val="000000"/>
          <w:sz w:val="24"/>
          <w:szCs w:val="24"/>
        </w:rPr>
        <w:t>.7异常恶劣的气候条件</w:t>
      </w:r>
    </w:p>
    <w:bookmarkEnd w:id="697"/>
    <w:bookmarkEnd w:id="698"/>
    <w:bookmarkEnd w:id="699"/>
    <w:bookmarkEnd w:id="700"/>
    <w:bookmarkEnd w:id="701"/>
    <w:bookmarkEnd w:id="702"/>
    <w:p w14:paraId="389F22C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发包人和承包人同意以下情形视为异常恶劣的气候条件：</w:t>
      </w:r>
    </w:p>
    <w:p w14:paraId="7B9A1A6A">
      <w:pPr>
        <w:numPr>
          <w:ilvl w:val="0"/>
          <w:numId w:val="8"/>
        </w:num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E9E331D">
      <w:pPr>
        <w:numPr>
          <w:ilvl w:val="0"/>
          <w:numId w:val="8"/>
        </w:numPr>
        <w:spacing w:line="500" w:lineRule="exact"/>
        <w:ind w:left="0" w:leftChars="0"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CCDDCA5">
      <w:pPr>
        <w:numPr>
          <w:ilvl w:val="0"/>
          <w:numId w:val="8"/>
        </w:numPr>
        <w:spacing w:line="500" w:lineRule="exact"/>
        <w:ind w:left="0" w:leftChars="0"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15967F48">
      <w:pPr>
        <w:spacing w:line="500" w:lineRule="exact"/>
        <w:ind w:firstLine="480" w:firstLineChars="200"/>
        <w:outlineLvl w:val="0"/>
        <w:rPr>
          <w:rFonts w:hint="eastAsia" w:ascii="宋体" w:hAnsi="宋体" w:eastAsia="宋体" w:cs="宋体"/>
          <w:color w:val="000000"/>
          <w:sz w:val="24"/>
          <w:szCs w:val="24"/>
        </w:rPr>
      </w:pPr>
      <w:bookmarkStart w:id="703" w:name="_Toc375060860"/>
      <w:bookmarkStart w:id="704" w:name="_Toc375060653"/>
      <w:r>
        <w:rPr>
          <w:rFonts w:hint="eastAsia" w:ascii="宋体" w:hAnsi="宋体" w:eastAsia="宋体" w:cs="宋体"/>
          <w:color w:val="000000"/>
          <w:sz w:val="24"/>
          <w:szCs w:val="24"/>
        </w:rPr>
        <w:t>7.9 提前竣工的奖励</w:t>
      </w:r>
      <w:bookmarkEnd w:id="703"/>
      <w:bookmarkEnd w:id="704"/>
    </w:p>
    <w:p w14:paraId="040557A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7.9.2提前竣工的奖励：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76CB5EE">
      <w:pPr>
        <w:pStyle w:val="8"/>
        <w:spacing w:line="500" w:lineRule="exact"/>
        <w:rPr>
          <w:rFonts w:hint="eastAsia" w:ascii="宋体" w:hAnsi="宋体" w:eastAsia="宋体" w:cs="宋体"/>
          <w:b w:val="0"/>
          <w:color w:val="000000"/>
          <w:sz w:val="28"/>
          <w:szCs w:val="28"/>
        </w:rPr>
      </w:pPr>
      <w:bookmarkStart w:id="705" w:name="_Toc375060861"/>
      <w:r>
        <w:rPr>
          <w:rFonts w:hint="eastAsia" w:ascii="宋体" w:hAnsi="宋体" w:eastAsia="宋体" w:cs="宋体"/>
          <w:b w:val="0"/>
          <w:color w:val="000000"/>
          <w:sz w:val="28"/>
          <w:szCs w:val="28"/>
        </w:rPr>
        <w:t>8. 材料与设备</w:t>
      </w:r>
      <w:bookmarkEnd w:id="705"/>
    </w:p>
    <w:bookmarkEnd w:id="638"/>
    <w:bookmarkEnd w:id="639"/>
    <w:bookmarkEnd w:id="640"/>
    <w:bookmarkEnd w:id="641"/>
    <w:bookmarkEnd w:id="642"/>
    <w:bookmarkEnd w:id="643"/>
    <w:bookmarkEnd w:id="644"/>
    <w:bookmarkEnd w:id="645"/>
    <w:bookmarkEnd w:id="646"/>
    <w:bookmarkEnd w:id="647"/>
    <w:p w14:paraId="2BA5210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706" w:name="_Toc297120467"/>
      <w:bookmarkStart w:id="707" w:name="_Toc296503167"/>
      <w:bookmarkStart w:id="708" w:name="_Toc297216186"/>
      <w:bookmarkStart w:id="709" w:name="_Toc312677493"/>
      <w:bookmarkStart w:id="710" w:name="_Toc280868654"/>
      <w:bookmarkStart w:id="711" w:name="_Toc296890995"/>
      <w:bookmarkStart w:id="712" w:name="_Toc296891207"/>
      <w:bookmarkStart w:id="713" w:name="_Toc296346668"/>
      <w:bookmarkStart w:id="714" w:name="_Toc292559877"/>
      <w:bookmarkStart w:id="715" w:name="_Toc296944506"/>
      <w:bookmarkStart w:id="716" w:name="_Toc300934979"/>
      <w:bookmarkStart w:id="717" w:name="_Toc304295556"/>
      <w:bookmarkStart w:id="718" w:name="_Toc297123527"/>
      <w:bookmarkStart w:id="719" w:name="_Toc292559372"/>
      <w:bookmarkStart w:id="720" w:name="_Toc296347166"/>
      <w:bookmarkStart w:id="721" w:name="_Toc312678019"/>
      <w:bookmarkStart w:id="722" w:name="_Toc303539136"/>
      <w:bookmarkStart w:id="723" w:name="_Toc297048353"/>
      <w:bookmarkStart w:id="724" w:name="_Toc280868656"/>
      <w:bookmarkStart w:id="725" w:name="_Toc280868655"/>
      <w:bookmarkStart w:id="726" w:name="_Toc267251424"/>
      <w:r>
        <w:rPr>
          <w:rFonts w:hint="eastAsia" w:ascii="宋体" w:hAnsi="宋体" w:eastAsia="宋体" w:cs="宋体"/>
          <w:color w:val="000000"/>
          <w:sz w:val="24"/>
          <w:szCs w:val="24"/>
        </w:rPr>
        <w:t>.4材料与工程设备的保管与使用</w:t>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14:paraId="2FD13D27">
      <w:pPr>
        <w:spacing w:line="500" w:lineRule="exact"/>
        <w:ind w:right="2" w:rightChars="1" w:firstLine="480" w:firstLineChars="200"/>
        <w:rPr>
          <w:rFonts w:hint="eastAsia" w:ascii="宋体" w:hAnsi="宋体" w:eastAsia="宋体" w:cs="宋体"/>
          <w:color w:val="000000"/>
          <w:sz w:val="20"/>
          <w:szCs w:val="20"/>
        </w:rPr>
      </w:pPr>
      <w:r>
        <w:rPr>
          <w:rFonts w:hint="eastAsia" w:ascii="宋体" w:hAnsi="宋体" w:eastAsia="宋体" w:cs="宋体"/>
          <w:color w:val="000000"/>
          <w:sz w:val="24"/>
          <w:szCs w:val="24"/>
        </w:rPr>
        <w:t>8</w:t>
      </w:r>
      <w:bookmarkStart w:id="727" w:name="_Toc292559373"/>
      <w:bookmarkStart w:id="728" w:name="_Toc292559878"/>
      <w:bookmarkStart w:id="729" w:name="_Toc312677494"/>
      <w:bookmarkStart w:id="730" w:name="_Toc296891208"/>
      <w:bookmarkStart w:id="731" w:name="_Toc297216187"/>
      <w:bookmarkStart w:id="732" w:name="_Toc296944507"/>
      <w:bookmarkStart w:id="733" w:name="_Toc297048354"/>
      <w:bookmarkStart w:id="734" w:name="_Toc312678020"/>
      <w:bookmarkStart w:id="735" w:name="_Toc296346669"/>
      <w:bookmarkStart w:id="736" w:name="_Toc304295557"/>
      <w:bookmarkStart w:id="737" w:name="_Toc296503168"/>
      <w:bookmarkStart w:id="738" w:name="_Toc300934980"/>
      <w:bookmarkStart w:id="739" w:name="_Toc318581173"/>
      <w:bookmarkStart w:id="740" w:name="_Toc296347167"/>
      <w:bookmarkStart w:id="741" w:name="_Toc297123528"/>
      <w:bookmarkStart w:id="742" w:name="_Toc303539137"/>
      <w:bookmarkStart w:id="743" w:name="_Toc297120468"/>
      <w:bookmarkStart w:id="744" w:name="_Toc296890996"/>
      <w:r>
        <w:rPr>
          <w:rFonts w:hint="eastAsia" w:ascii="宋体" w:hAnsi="宋体" w:eastAsia="宋体" w:cs="宋体"/>
          <w:color w:val="000000"/>
          <w:sz w:val="24"/>
          <w:szCs w:val="24"/>
        </w:rPr>
        <w:t>.4.1发包人供应的材料设备的保管费用的承担：</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Cs/>
          <w:color w:val="000000"/>
          <w:sz w:val="24"/>
          <w:szCs w:val="21"/>
        </w:rPr>
        <w:t>。</w:t>
      </w:r>
    </w:p>
    <w:bookmarkEnd w:id="727"/>
    <w:bookmarkEnd w:id="728"/>
    <w:p w14:paraId="38A3097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0241932D">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sz w:val="24"/>
          <w:szCs w:val="24"/>
        </w:rPr>
        <w:t>样品的报送与封存</w:t>
      </w:r>
    </w:p>
    <w:p w14:paraId="798722E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需要承包人报送样品的材料或工程设备</w:t>
      </w:r>
      <w:r>
        <w:rPr>
          <w:rFonts w:hint="eastAsia" w:ascii="宋体" w:hAnsi="宋体" w:eastAsia="宋体" w:cs="宋体"/>
          <w:color w:val="000000"/>
          <w:kern w:val="0"/>
          <w:sz w:val="24"/>
          <w:szCs w:val="24"/>
        </w:rPr>
        <w:t>，样品的种类、名称、规格、数量要求：</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1AE9DA4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3CC21E6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8.8.1 承包人提供的施工设备和临时设施</w:t>
      </w:r>
    </w:p>
    <w:p w14:paraId="320FAAC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关于修建临时设施费用承担的约定：</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03741064">
      <w:pPr>
        <w:pStyle w:val="8"/>
        <w:spacing w:line="500" w:lineRule="exact"/>
        <w:rPr>
          <w:rFonts w:hint="eastAsia" w:ascii="宋体" w:hAnsi="宋体" w:eastAsia="宋体" w:cs="宋体"/>
          <w:b w:val="0"/>
          <w:color w:val="000000"/>
          <w:sz w:val="24"/>
          <w:szCs w:val="24"/>
        </w:rPr>
      </w:pPr>
      <w:bookmarkStart w:id="745" w:name="_Toc375060862"/>
      <w:r>
        <w:rPr>
          <w:rFonts w:hint="eastAsia" w:ascii="宋体" w:hAnsi="宋体" w:eastAsia="宋体" w:cs="宋体"/>
          <w:b w:val="0"/>
          <w:color w:val="000000"/>
          <w:sz w:val="24"/>
          <w:szCs w:val="24"/>
        </w:rPr>
        <w:t>9</w:t>
      </w:r>
      <w:bookmarkEnd w:id="724"/>
      <w:bookmarkEnd w:id="725"/>
      <w:bookmarkEnd w:id="726"/>
      <w:bookmarkStart w:id="746" w:name="_Toc312678021"/>
      <w:bookmarkStart w:id="747" w:name="_Toc300934982"/>
      <w:bookmarkStart w:id="748" w:name="_Toc297123533"/>
      <w:bookmarkStart w:id="749" w:name="_Toc312677495"/>
      <w:bookmarkStart w:id="750" w:name="_Toc297216192"/>
      <w:bookmarkStart w:id="751" w:name="_Toc304295559"/>
      <w:bookmarkStart w:id="752" w:name="_Toc303539139"/>
      <w:bookmarkStart w:id="753" w:name="_Toc267251427"/>
      <w:bookmarkStart w:id="754" w:name="_Toc292559883"/>
      <w:bookmarkStart w:id="755" w:name="_Toc296347172"/>
      <w:bookmarkStart w:id="756" w:name="_Toc292559378"/>
      <w:bookmarkStart w:id="757" w:name="_Toc297120473"/>
      <w:bookmarkStart w:id="758" w:name="_Toc296346674"/>
      <w:bookmarkStart w:id="759" w:name="_Toc296891001"/>
      <w:bookmarkStart w:id="760" w:name="_Toc296891213"/>
      <w:bookmarkStart w:id="761" w:name="_Toc267251428"/>
      <w:bookmarkStart w:id="762" w:name="_Toc297048359"/>
      <w:bookmarkStart w:id="763" w:name="_Toc296944512"/>
      <w:bookmarkStart w:id="764" w:name="_Toc296503173"/>
      <w:r>
        <w:rPr>
          <w:rFonts w:hint="eastAsia" w:ascii="宋体" w:hAnsi="宋体" w:eastAsia="宋体" w:cs="宋体"/>
          <w:b w:val="0"/>
          <w:color w:val="000000"/>
          <w:sz w:val="24"/>
          <w:szCs w:val="24"/>
        </w:rPr>
        <w:t>. 试验与检验</w:t>
      </w:r>
      <w:bookmarkEnd w:id="745"/>
    </w:p>
    <w:bookmarkEnd w:id="746"/>
    <w:bookmarkEnd w:id="747"/>
    <w:bookmarkEnd w:id="748"/>
    <w:bookmarkEnd w:id="749"/>
    <w:bookmarkEnd w:id="750"/>
    <w:bookmarkEnd w:id="751"/>
    <w:bookmarkEnd w:id="752"/>
    <w:p w14:paraId="64BAD9A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765" w:name="_Toc304295560"/>
      <w:bookmarkStart w:id="766" w:name="_Toc303539140"/>
      <w:bookmarkStart w:id="767" w:name="_Toc312677496"/>
      <w:bookmarkStart w:id="768" w:name="_Toc297123534"/>
      <w:bookmarkStart w:id="769" w:name="_Toc312678022"/>
      <w:bookmarkStart w:id="770" w:name="_Toc297216193"/>
      <w:bookmarkStart w:id="771" w:name="_Toc300934983"/>
      <w:r>
        <w:rPr>
          <w:rFonts w:hint="eastAsia" w:ascii="宋体" w:hAnsi="宋体" w:eastAsia="宋体" w:cs="宋体"/>
          <w:color w:val="000000"/>
          <w:sz w:val="24"/>
          <w:szCs w:val="24"/>
        </w:rPr>
        <w:t>.1试验设备与试验人员</w:t>
      </w:r>
    </w:p>
    <w:bookmarkEnd w:id="765"/>
    <w:bookmarkEnd w:id="766"/>
    <w:bookmarkEnd w:id="767"/>
    <w:bookmarkEnd w:id="768"/>
    <w:bookmarkEnd w:id="769"/>
    <w:bookmarkEnd w:id="770"/>
    <w:bookmarkEnd w:id="771"/>
    <w:p w14:paraId="780FE37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772" w:name="_Toc297216194"/>
      <w:bookmarkStart w:id="773" w:name="_Toc312678023"/>
      <w:bookmarkStart w:id="774" w:name="_Toc297123535"/>
      <w:bookmarkStart w:id="775" w:name="_Toc304295561"/>
      <w:bookmarkStart w:id="776" w:name="_Toc312677497"/>
      <w:bookmarkStart w:id="777" w:name="_Toc303539141"/>
      <w:bookmarkStart w:id="778" w:name="_Toc300934984"/>
      <w:bookmarkStart w:id="779" w:name="_Toc318581174"/>
      <w:r>
        <w:rPr>
          <w:rFonts w:hint="eastAsia" w:ascii="宋体" w:hAnsi="宋体" w:eastAsia="宋体" w:cs="宋体"/>
          <w:color w:val="000000"/>
          <w:sz w:val="24"/>
          <w:szCs w:val="24"/>
        </w:rPr>
        <w:t>.1.2 试验设备</w:t>
      </w:r>
    </w:p>
    <w:p w14:paraId="14557E3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施工现场需要配置的试验场所：</w:t>
      </w:r>
      <w:bookmarkEnd w:id="772"/>
      <w:bookmarkEnd w:id="773"/>
      <w:bookmarkEnd w:id="774"/>
      <w:bookmarkEnd w:id="775"/>
      <w:bookmarkEnd w:id="776"/>
      <w:bookmarkEnd w:id="777"/>
      <w:bookmarkEnd w:id="778"/>
      <w:bookmarkStart w:id="780" w:name="_Toc304295562"/>
      <w:bookmarkStart w:id="781" w:name="_Toc300934985"/>
      <w:bookmarkStart w:id="782" w:name="_Toc312677498"/>
      <w:bookmarkStart w:id="783" w:name="_Toc303539142"/>
      <w:bookmarkStart w:id="784" w:name="_Toc297123536"/>
      <w:bookmarkStart w:id="785" w:name="_Toc297216195"/>
      <w:bookmarkStart w:id="786" w:name="_Toc312678024"/>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64B56699">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7BA9199D">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14BEB0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14:paraId="432F1F4D">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bookmarkEnd w:id="779"/>
    <w:bookmarkEnd w:id="780"/>
    <w:bookmarkEnd w:id="781"/>
    <w:bookmarkEnd w:id="782"/>
    <w:bookmarkEnd w:id="783"/>
    <w:bookmarkEnd w:id="784"/>
    <w:bookmarkEnd w:id="785"/>
    <w:bookmarkEnd w:id="786"/>
    <w:p w14:paraId="572715AC">
      <w:pPr>
        <w:pStyle w:val="8"/>
        <w:spacing w:line="500" w:lineRule="exact"/>
        <w:rPr>
          <w:rFonts w:hint="eastAsia" w:ascii="宋体" w:hAnsi="宋体" w:eastAsia="宋体" w:cs="宋体"/>
          <w:b w:val="0"/>
          <w:color w:val="000000"/>
          <w:sz w:val="24"/>
          <w:szCs w:val="24"/>
        </w:rPr>
      </w:pPr>
      <w:bookmarkStart w:id="787" w:name="_Toc375060863"/>
      <w:r>
        <w:rPr>
          <w:rFonts w:hint="eastAsia" w:ascii="宋体" w:hAnsi="宋体" w:eastAsia="宋体" w:cs="宋体"/>
          <w:b w:val="0"/>
          <w:color w:val="000000"/>
          <w:sz w:val="24"/>
          <w:szCs w:val="24"/>
        </w:rPr>
        <w:t>1</w:t>
      </w:r>
      <w:bookmarkEnd w:id="753"/>
      <w:bookmarkEnd w:id="754"/>
      <w:bookmarkEnd w:id="755"/>
      <w:bookmarkEnd w:id="756"/>
      <w:bookmarkEnd w:id="757"/>
      <w:bookmarkEnd w:id="758"/>
      <w:bookmarkEnd w:id="759"/>
      <w:bookmarkEnd w:id="760"/>
      <w:bookmarkEnd w:id="761"/>
      <w:bookmarkEnd w:id="762"/>
      <w:bookmarkEnd w:id="763"/>
      <w:bookmarkEnd w:id="764"/>
      <w:bookmarkStart w:id="788" w:name="_Toc297048379"/>
      <w:bookmarkStart w:id="789" w:name="_Toc304295566"/>
      <w:bookmarkStart w:id="790" w:name="_Toc296891021"/>
      <w:bookmarkStart w:id="791" w:name="_Toc297120493"/>
      <w:bookmarkStart w:id="792" w:name="_Toc297123540"/>
      <w:bookmarkStart w:id="793" w:name="_Toc300934989"/>
      <w:bookmarkStart w:id="794" w:name="_Toc296891233"/>
      <w:bookmarkStart w:id="795" w:name="_Toc296503193"/>
      <w:bookmarkStart w:id="796" w:name="_Toc303539146"/>
      <w:bookmarkStart w:id="797" w:name="_Toc297216199"/>
      <w:bookmarkStart w:id="798" w:name="_Toc296347192"/>
      <w:bookmarkStart w:id="799" w:name="_Toc296346694"/>
      <w:bookmarkStart w:id="800" w:name="_Toc296944532"/>
      <w:bookmarkStart w:id="801" w:name="_Toc292559398"/>
      <w:bookmarkStart w:id="802" w:name="_Toc292559903"/>
      <w:bookmarkStart w:id="803" w:name="_Toc312677499"/>
      <w:bookmarkStart w:id="804" w:name="_Toc312678025"/>
      <w:bookmarkStart w:id="805" w:name="_Toc267251441"/>
      <w:bookmarkStart w:id="806" w:name="_Toc267251437"/>
      <w:bookmarkStart w:id="807" w:name="_Toc267251433"/>
      <w:bookmarkStart w:id="808" w:name="_Toc267251439"/>
      <w:bookmarkStart w:id="809" w:name="_Toc267251440"/>
      <w:bookmarkStart w:id="810" w:name="_Toc267251435"/>
      <w:bookmarkStart w:id="811" w:name="_Toc267251442"/>
      <w:r>
        <w:rPr>
          <w:rFonts w:hint="eastAsia" w:ascii="宋体" w:hAnsi="宋体" w:eastAsia="宋体" w:cs="宋体"/>
          <w:b w:val="0"/>
          <w:color w:val="000000"/>
          <w:sz w:val="24"/>
          <w:szCs w:val="24"/>
        </w:rPr>
        <w:t>0. 变更</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bookmarkEnd w:id="803"/>
    <w:bookmarkEnd w:id="804"/>
    <w:p w14:paraId="707F300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12" w:name="_Toc297120494"/>
      <w:bookmarkStart w:id="813" w:name="_Toc312678026"/>
      <w:bookmarkStart w:id="814" w:name="_Toc296347193"/>
      <w:bookmarkStart w:id="815" w:name="_Toc296503194"/>
      <w:bookmarkStart w:id="816" w:name="_Toc304295567"/>
      <w:bookmarkStart w:id="817" w:name="_Toc292559399"/>
      <w:bookmarkStart w:id="818" w:name="_Toc297048380"/>
      <w:bookmarkStart w:id="819" w:name="_Toc296891022"/>
      <w:bookmarkStart w:id="820" w:name="_Toc297216200"/>
      <w:bookmarkStart w:id="821" w:name="_Toc296891234"/>
      <w:bookmarkStart w:id="822" w:name="_Toc312677500"/>
      <w:bookmarkStart w:id="823" w:name="_Toc296944533"/>
      <w:bookmarkStart w:id="824" w:name="_Toc300934990"/>
      <w:bookmarkStart w:id="825" w:name="_Toc292559904"/>
      <w:bookmarkStart w:id="826" w:name="_Toc297123541"/>
      <w:bookmarkStart w:id="827" w:name="_Toc303539147"/>
      <w:bookmarkStart w:id="828" w:name="_Toc296346695"/>
      <w:r>
        <w:rPr>
          <w:rFonts w:hint="eastAsia" w:ascii="宋体" w:hAnsi="宋体" w:eastAsia="宋体" w:cs="宋体"/>
          <w:color w:val="000000"/>
          <w:sz w:val="24"/>
          <w:szCs w:val="24"/>
        </w:rPr>
        <w:t>0.1变更的范围</w:t>
      </w:r>
    </w:p>
    <w:p w14:paraId="65C02E2C">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C9B28A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26D2F3E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10.4.1 变更估价原则</w:t>
      </w:r>
    </w:p>
    <w:p w14:paraId="14DF0FC6">
      <w:pPr>
        <w:spacing w:line="500" w:lineRule="exact"/>
        <w:ind w:firstLine="480" w:firstLineChars="200"/>
        <w:jc w:val="left"/>
        <w:rPr>
          <w:rFonts w:hint="eastAsia" w:ascii="宋体" w:hAnsi="宋体" w:eastAsia="宋体" w:cs="宋体"/>
          <w:sz w:val="20"/>
          <w:szCs w:val="20"/>
        </w:rPr>
      </w:pPr>
      <w:r>
        <w:rPr>
          <w:rFonts w:hint="eastAsia" w:ascii="宋体" w:hAnsi="宋体" w:eastAsia="宋体" w:cs="宋体"/>
          <w:color w:val="000000"/>
          <w:sz w:val="24"/>
          <w:szCs w:val="24"/>
        </w:rPr>
        <w:t>关于变更估价的约定：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5DAAB8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Start w:id="829" w:name="_Toc296346698"/>
      <w:bookmarkStart w:id="830" w:name="_Toc292559907"/>
      <w:bookmarkStart w:id="831" w:name="_Toc296944536"/>
      <w:bookmarkStart w:id="832" w:name="_Toc296891237"/>
      <w:bookmarkStart w:id="833" w:name="_Toc297123544"/>
      <w:bookmarkStart w:id="834" w:name="_Toc296891025"/>
      <w:bookmarkStart w:id="835" w:name="_Toc296347196"/>
      <w:bookmarkStart w:id="836" w:name="_Toc296503197"/>
      <w:bookmarkStart w:id="837" w:name="_Toc300934993"/>
      <w:bookmarkStart w:id="838" w:name="_Toc297048383"/>
      <w:bookmarkStart w:id="839" w:name="_Toc303539150"/>
      <w:bookmarkStart w:id="840" w:name="_Toc297120497"/>
      <w:bookmarkStart w:id="841" w:name="_Toc297216203"/>
      <w:bookmarkStart w:id="842" w:name="_Toc292559402"/>
      <w:bookmarkStart w:id="843" w:name="_Toc312678029"/>
      <w:bookmarkStart w:id="844" w:name="_Toc304295570"/>
      <w:bookmarkStart w:id="845" w:name="_Toc312677503"/>
      <w:r>
        <w:rPr>
          <w:rFonts w:hint="eastAsia" w:ascii="宋体" w:hAnsi="宋体" w:eastAsia="宋体" w:cs="宋体"/>
          <w:color w:val="000000"/>
          <w:sz w:val="24"/>
          <w:szCs w:val="24"/>
        </w:rPr>
        <w:t>0.5承</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Start w:id="846" w:name="_Toc297216204"/>
      <w:bookmarkStart w:id="847" w:name="_Toc297123545"/>
      <w:bookmarkStart w:id="848" w:name="_Toc296346704"/>
      <w:bookmarkStart w:id="849" w:name="_Toc292559913"/>
      <w:bookmarkStart w:id="850" w:name="_Toc296503203"/>
      <w:bookmarkStart w:id="851" w:name="_Toc300934994"/>
      <w:bookmarkStart w:id="852" w:name="_Toc292559408"/>
      <w:bookmarkStart w:id="853" w:name="_Toc296891243"/>
      <w:bookmarkStart w:id="854" w:name="_Toc303539151"/>
      <w:bookmarkStart w:id="855" w:name="_Toc297120503"/>
      <w:bookmarkStart w:id="856" w:name="_Toc297048389"/>
      <w:bookmarkStart w:id="857" w:name="_Toc296891031"/>
      <w:bookmarkStart w:id="858" w:name="_Toc296347202"/>
      <w:bookmarkStart w:id="859" w:name="_Toc296944542"/>
      <w:r>
        <w:rPr>
          <w:rFonts w:hint="eastAsia" w:ascii="宋体" w:hAnsi="宋体" w:eastAsia="宋体" w:cs="宋体"/>
          <w:color w:val="000000"/>
          <w:sz w:val="24"/>
          <w:szCs w:val="24"/>
        </w:rPr>
        <w:t>包人的合理化建议</w:t>
      </w:r>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14:paraId="6FE9DE8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监理人审查承包人合理化建议的期限：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E5506C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发包人审批承包人合理化建议的期限：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B3608AC">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w:t>
      </w:r>
      <w:bookmarkStart w:id="860" w:name="_Toc292559914"/>
      <w:bookmarkStart w:id="861" w:name="_Toc318581175"/>
      <w:bookmarkStart w:id="862" w:name="_Toc312677504"/>
      <w:bookmarkStart w:id="863" w:name="_Toc312678030"/>
      <w:bookmarkStart w:id="864" w:name="_Toc296346705"/>
      <w:bookmarkStart w:id="865" w:name="_Toc297123546"/>
      <w:bookmarkStart w:id="866" w:name="_Toc292559409"/>
      <w:bookmarkStart w:id="867" w:name="_Toc300934995"/>
      <w:bookmarkStart w:id="868" w:name="_Toc296891032"/>
      <w:bookmarkStart w:id="869" w:name="_Toc296944543"/>
      <w:bookmarkStart w:id="870" w:name="_Toc297120504"/>
      <w:bookmarkStart w:id="871" w:name="_Toc297048390"/>
      <w:bookmarkStart w:id="872" w:name="_Toc296347203"/>
      <w:bookmarkStart w:id="873" w:name="_Toc296503204"/>
      <w:bookmarkStart w:id="874" w:name="_Toc296891244"/>
      <w:bookmarkStart w:id="875" w:name="_Toc304295571"/>
      <w:bookmarkStart w:id="876" w:name="_Toc297216205"/>
      <w:bookmarkStart w:id="877" w:name="_Toc303539152"/>
      <w:r>
        <w:rPr>
          <w:rFonts w:hint="eastAsia" w:ascii="宋体" w:hAnsi="宋体" w:eastAsia="宋体" w:cs="宋体"/>
          <w:color w:val="000000"/>
          <w:sz w:val="24"/>
          <w:szCs w:val="24"/>
        </w:rPr>
        <w:t>包人提出的合理化建议降低了合同价格或者提高了工程经济效益的奖励的方法和金额为：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14:paraId="5DDE648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78" w:name="_Toc296944538"/>
      <w:bookmarkStart w:id="879" w:name="_Toc304295574"/>
      <w:bookmarkStart w:id="880" w:name="_Toc303539154"/>
      <w:bookmarkStart w:id="881" w:name="_Toc292559909"/>
      <w:bookmarkStart w:id="882" w:name="_Toc297120499"/>
      <w:bookmarkStart w:id="883" w:name="_Toc297216207"/>
      <w:bookmarkStart w:id="884" w:name="_Toc296347198"/>
      <w:bookmarkStart w:id="885" w:name="_Toc297123548"/>
      <w:bookmarkStart w:id="886" w:name="_Toc296891239"/>
      <w:bookmarkStart w:id="887" w:name="_Toc300934997"/>
      <w:bookmarkStart w:id="888" w:name="_Toc296346700"/>
      <w:bookmarkStart w:id="889" w:name="_Toc312677507"/>
      <w:bookmarkStart w:id="890" w:name="_Toc297048385"/>
      <w:bookmarkStart w:id="891" w:name="_Toc312678033"/>
      <w:bookmarkStart w:id="892" w:name="_Toc296891027"/>
      <w:bookmarkStart w:id="893" w:name="_Toc296503199"/>
      <w:bookmarkStart w:id="894" w:name="_Toc292559404"/>
      <w:r>
        <w:rPr>
          <w:rFonts w:hint="eastAsia" w:ascii="宋体" w:hAnsi="宋体" w:eastAsia="宋体" w:cs="宋体"/>
          <w:color w:val="000000"/>
          <w:sz w:val="24"/>
          <w:szCs w:val="24"/>
        </w:rPr>
        <w:t>0.7 暂估价</w:t>
      </w:r>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14:paraId="5025801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暂</w:t>
      </w:r>
      <w:bookmarkStart w:id="895" w:name="_Toc312677508"/>
      <w:bookmarkStart w:id="896" w:name="_Toc318581176"/>
      <w:bookmarkStart w:id="897" w:name="_Toc312678034"/>
      <w:r>
        <w:rPr>
          <w:rFonts w:hint="eastAsia" w:ascii="宋体" w:hAnsi="宋体" w:eastAsia="宋体" w:cs="宋体"/>
          <w:color w:val="000000"/>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color w:val="000000"/>
          <w:kern w:val="0"/>
          <w:sz w:val="24"/>
          <w:szCs w:val="24"/>
        </w:rPr>
        <w:t>。</w:t>
      </w:r>
    </w:p>
    <w:bookmarkEnd w:id="895"/>
    <w:bookmarkEnd w:id="896"/>
    <w:bookmarkEnd w:id="897"/>
    <w:p w14:paraId="7BDE34E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98" w:name="_Toc312677509"/>
      <w:bookmarkStart w:id="899" w:name="_Toc318581177"/>
      <w:bookmarkStart w:id="900" w:name="_Toc312678035"/>
      <w:r>
        <w:rPr>
          <w:rFonts w:hint="eastAsia" w:ascii="宋体" w:hAnsi="宋体" w:eastAsia="宋体" w:cs="宋体"/>
          <w:color w:val="000000"/>
          <w:sz w:val="24"/>
          <w:szCs w:val="24"/>
        </w:rPr>
        <w:t>0.7.1 依法必须招标的暂估价项目</w:t>
      </w:r>
    </w:p>
    <w:bookmarkEnd w:id="898"/>
    <w:bookmarkEnd w:id="899"/>
    <w:bookmarkEnd w:id="900"/>
    <w:p w14:paraId="1CB7971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对于依法必须招标的暂估价项目的确认和批准采取第</w:t>
      </w:r>
      <w:r>
        <w:rPr>
          <w:rFonts w:hint="eastAsia" w:ascii="宋体" w:hAnsi="宋体" w:eastAsia="宋体" w:cs="宋体"/>
          <w:b/>
          <w:color w:val="000000"/>
          <w:sz w:val="24"/>
          <w:szCs w:val="24"/>
          <w:u w:val="single"/>
        </w:rPr>
        <w:t>2</w:t>
      </w:r>
      <w:r>
        <w:rPr>
          <w:rFonts w:hint="eastAsia" w:ascii="宋体" w:hAnsi="宋体" w:eastAsia="宋体" w:cs="宋体"/>
          <w:color w:val="000000"/>
          <w:sz w:val="24"/>
          <w:szCs w:val="24"/>
        </w:rPr>
        <w:t>种方式确定。</w:t>
      </w:r>
    </w:p>
    <w:p w14:paraId="062DC65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14:paraId="0616C0C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w:t>
      </w:r>
      <w:r>
        <w:rPr>
          <w:rFonts w:hint="eastAsia" w:ascii="宋体" w:hAnsi="宋体" w:eastAsia="宋体" w:cs="宋体"/>
          <w:b/>
          <w:color w:val="000000"/>
          <w:sz w:val="24"/>
          <w:szCs w:val="24"/>
          <w:u w:val="single"/>
        </w:rPr>
        <w:t>3</w:t>
      </w:r>
      <w:r>
        <w:rPr>
          <w:rFonts w:hint="eastAsia" w:ascii="宋体" w:hAnsi="宋体" w:eastAsia="宋体" w:cs="宋体"/>
          <w:color w:val="000000"/>
          <w:sz w:val="24"/>
          <w:szCs w:val="24"/>
        </w:rPr>
        <w:t>种方式确定。</w:t>
      </w:r>
    </w:p>
    <w:p w14:paraId="5631D5D9">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3B4E566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400E4F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14:paraId="725C451E">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442962B8">
      <w:pPr>
        <w:pStyle w:val="8"/>
        <w:spacing w:line="500" w:lineRule="exact"/>
        <w:rPr>
          <w:rFonts w:hint="eastAsia" w:ascii="宋体" w:hAnsi="宋体" w:eastAsia="宋体" w:cs="宋体"/>
          <w:b w:val="0"/>
          <w:color w:val="000000"/>
          <w:sz w:val="24"/>
          <w:szCs w:val="24"/>
        </w:rPr>
      </w:pPr>
      <w:bookmarkStart w:id="901" w:name="_Toc375060864"/>
      <w:r>
        <w:rPr>
          <w:rFonts w:hint="eastAsia" w:ascii="宋体" w:hAnsi="宋体" w:eastAsia="宋体" w:cs="宋体"/>
          <w:b w:val="0"/>
          <w:color w:val="000000"/>
          <w:sz w:val="24"/>
          <w:szCs w:val="24"/>
        </w:rPr>
        <w:t>11. 价格调整</w:t>
      </w:r>
      <w:bookmarkEnd w:id="901"/>
    </w:p>
    <w:p w14:paraId="1FCFDA45">
      <w:pPr>
        <w:spacing w:line="500" w:lineRule="exact"/>
        <w:ind w:firstLine="480" w:firstLineChars="200"/>
        <w:rPr>
          <w:rFonts w:hint="eastAsia" w:ascii="宋体" w:hAnsi="宋体" w:eastAsia="宋体" w:cs="宋体"/>
          <w:color w:val="000000"/>
          <w:sz w:val="24"/>
          <w:szCs w:val="24"/>
        </w:rPr>
      </w:pPr>
      <w:bookmarkStart w:id="902" w:name="_Toc303539157"/>
      <w:bookmarkStart w:id="903" w:name="_Toc292559911"/>
      <w:bookmarkStart w:id="904" w:name="_Toc296944540"/>
      <w:bookmarkStart w:id="905" w:name="_Toc297123550"/>
      <w:bookmarkStart w:id="906" w:name="_Toc296503201"/>
      <w:bookmarkStart w:id="907" w:name="_Toc300935000"/>
      <w:bookmarkStart w:id="908" w:name="_Toc296891029"/>
      <w:bookmarkStart w:id="909" w:name="_Toc296891241"/>
      <w:bookmarkStart w:id="910" w:name="_Toc312678039"/>
      <w:bookmarkStart w:id="911" w:name="_Toc296347200"/>
      <w:bookmarkStart w:id="912" w:name="_Toc304295577"/>
      <w:bookmarkStart w:id="913" w:name="_Toc297120501"/>
      <w:bookmarkStart w:id="914" w:name="_Toc297048387"/>
      <w:bookmarkStart w:id="915" w:name="_Toc297216209"/>
      <w:bookmarkStart w:id="916" w:name="_Toc296346702"/>
      <w:bookmarkStart w:id="917" w:name="_Toc292559406"/>
      <w:r>
        <w:rPr>
          <w:rFonts w:hint="eastAsia" w:ascii="宋体" w:hAnsi="宋体" w:eastAsia="宋体" w:cs="宋体"/>
          <w:color w:val="000000"/>
          <w:sz w:val="24"/>
          <w:szCs w:val="24"/>
        </w:rPr>
        <w:t>11.1 市场价格波动引起的调整</w:t>
      </w:r>
    </w:p>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14:paraId="6716632F">
      <w:pPr>
        <w:spacing w:line="500" w:lineRule="exact"/>
        <w:ind w:firstLine="480" w:firstLineChars="200"/>
        <w:jc w:val="left"/>
        <w:rPr>
          <w:rFonts w:hint="eastAsia" w:ascii="宋体" w:hAnsi="宋体" w:eastAsia="宋体" w:cs="宋体"/>
          <w:bCs/>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bCs/>
          <w:color w:val="000000"/>
          <w:sz w:val="24"/>
          <w:szCs w:val="24"/>
        </w:rPr>
        <w:t>。</w:t>
      </w:r>
    </w:p>
    <w:p w14:paraId="4C51D9B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种方式对合同价格进行调整：</w:t>
      </w:r>
    </w:p>
    <w:p w14:paraId="2A1E194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6808D2A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关于各可调因子、定值和变值权重，以及基本价格指数及其来源的约定：</w:t>
      </w:r>
    </w:p>
    <w:p w14:paraId="7E13F278">
      <w:pPr>
        <w:spacing w:line="500" w:lineRule="exact"/>
        <w:jc w:val="left"/>
        <w:rPr>
          <w:rFonts w:hint="eastAsia" w:ascii="宋体" w:hAnsi="宋体" w:eastAsia="宋体" w:cs="宋体"/>
          <w:color w:val="000000"/>
          <w:sz w:val="24"/>
          <w:szCs w:val="24"/>
          <w:u w:val="single"/>
        </w:rPr>
      </w:pP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w:t>
      </w:r>
    </w:p>
    <w:p w14:paraId="1A38259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22B4A16A">
      <w:pPr>
        <w:numPr>
          <w:ilvl w:val="0"/>
          <w:numId w:val="6"/>
        </w:numPr>
        <w:spacing w:line="500" w:lineRule="exact"/>
        <w:ind w:right="2" w:rightChars="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关于基准价格的约定：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themeColor="text1"/>
          <w:sz w:val="24"/>
          <w:szCs w:val="24"/>
          <w14:textFill>
            <w14:solidFill>
              <w14:schemeClr w14:val="tx1"/>
            </w14:solidFill>
          </w14:textFill>
        </w:rPr>
        <w:t>。</w:t>
      </w:r>
    </w:p>
    <w:p w14:paraId="2756AC47">
      <w:pPr>
        <w:pStyle w:val="23"/>
        <w:spacing w:line="500" w:lineRule="exact"/>
        <w:ind w:left="420" w:leftChars="200" w:firstLine="200" w:firstLineChars="100"/>
        <w:rPr>
          <w:rFonts w:hint="eastAsia" w:ascii="宋体" w:hAnsi="宋体" w:eastAsia="宋体" w:cs="宋体"/>
          <w:sz w:val="20"/>
          <w:szCs w:val="18"/>
        </w:rPr>
      </w:pPr>
      <w:r>
        <w:rPr>
          <w:rFonts w:hint="eastAsia" w:ascii="宋体" w:hAnsi="宋体" w:eastAsia="宋体" w:cs="宋体"/>
          <w:sz w:val="20"/>
          <w:szCs w:val="18"/>
        </w:rPr>
        <w:t>专用合同条款①承包人在已标价工程量清单或预算书中载明的材料单价低于基准价格的：专用合同条款履行期间材料单价涨幅以基准价格为基础超</w:t>
      </w:r>
      <w:r>
        <w:rPr>
          <w:rFonts w:hint="eastAsia" w:ascii="宋体" w:hAnsi="宋体" w:eastAsia="宋体" w:cs="宋体"/>
          <w:sz w:val="20"/>
          <w:szCs w:val="18"/>
          <w:lang w:val="en-US" w:eastAsia="zh-CN"/>
        </w:rPr>
        <w:t xml:space="preserve"> </w:t>
      </w: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时，或材料单价跌幅以已标价工程量清单或预算书中载明材料单价为基础超过</w:t>
      </w: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时，其超过部分据实调整。</w:t>
      </w:r>
    </w:p>
    <w:p w14:paraId="0B23AB09">
      <w:pPr>
        <w:pStyle w:val="23"/>
        <w:spacing w:line="500" w:lineRule="exact"/>
        <w:ind w:left="420" w:leftChars="200" w:firstLine="200" w:firstLineChars="100"/>
        <w:rPr>
          <w:rFonts w:hint="eastAsia" w:ascii="宋体" w:hAnsi="宋体" w:eastAsia="宋体" w:cs="宋体"/>
          <w:sz w:val="20"/>
          <w:szCs w:val="18"/>
        </w:rPr>
      </w:pPr>
      <w:r>
        <w:rPr>
          <w:rFonts w:hint="eastAsia" w:ascii="宋体" w:hAnsi="宋体" w:eastAsia="宋体" w:cs="宋体"/>
          <w:sz w:val="20"/>
          <w:szCs w:val="18"/>
        </w:rPr>
        <w:t>②承包人在已标价工程量清单或预算书中载明的材料单价高于基准价格的：专用合同条款合同履行期间材料单价跌幅以基准价格为基础超过</w:t>
      </w:r>
    </w:p>
    <w:p w14:paraId="19A6E304">
      <w:pPr>
        <w:pStyle w:val="23"/>
        <w:spacing w:line="500" w:lineRule="exact"/>
        <w:ind w:left="559" w:leftChars="266" w:firstLine="0" w:firstLineChars="0"/>
        <w:rPr>
          <w:rFonts w:hint="eastAsia" w:ascii="宋体" w:hAnsi="宋体" w:eastAsia="宋体" w:cs="宋体"/>
          <w:sz w:val="20"/>
          <w:szCs w:val="18"/>
        </w:rPr>
      </w:pP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时，材料单价涨幅以已标价工程量清单或预算书中载明材料单价为基础超过</w:t>
      </w: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时，其超过部分据实调整。</w:t>
      </w:r>
    </w:p>
    <w:p w14:paraId="75E0691B">
      <w:pPr>
        <w:pStyle w:val="23"/>
        <w:spacing w:line="500" w:lineRule="exact"/>
        <w:ind w:left="420" w:leftChars="200" w:firstLine="200" w:firstLineChars="100"/>
        <w:rPr>
          <w:rFonts w:hint="eastAsia" w:ascii="宋体" w:hAnsi="宋体" w:eastAsia="宋体" w:cs="宋体"/>
          <w:sz w:val="20"/>
          <w:szCs w:val="18"/>
          <w:lang w:val="en-US" w:eastAsia="zh-CN"/>
        </w:rPr>
      </w:pPr>
      <w:r>
        <w:rPr>
          <w:rFonts w:hint="eastAsia" w:ascii="宋体" w:hAnsi="宋体" w:eastAsia="宋体" w:cs="宋体"/>
          <w:sz w:val="20"/>
          <w:szCs w:val="18"/>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0"/>
          <w:szCs w:val="18"/>
          <w:lang w:val="en-US" w:eastAsia="zh-CN"/>
        </w:rPr>
        <w:t xml:space="preserve">          </w:t>
      </w:r>
    </w:p>
    <w:p w14:paraId="787868C9">
      <w:pPr>
        <w:pStyle w:val="23"/>
        <w:spacing w:line="500" w:lineRule="exact"/>
        <w:ind w:left="0" w:leftChars="0" w:firstLine="400" w:firstLineChars="200"/>
        <w:rPr>
          <w:rFonts w:hint="eastAsia" w:ascii="宋体" w:hAnsi="宋体" w:eastAsia="宋体" w:cs="宋体"/>
          <w:sz w:val="20"/>
          <w:szCs w:val="18"/>
        </w:rPr>
      </w:pPr>
      <w:r>
        <w:rPr>
          <w:rFonts w:hint="eastAsia" w:ascii="宋体" w:hAnsi="宋体" w:eastAsia="宋体" w:cs="宋体"/>
          <w:sz w:val="20"/>
          <w:szCs w:val="18"/>
        </w:rPr>
        <w:t>时，其超过部分据实调整。</w:t>
      </w:r>
    </w:p>
    <w:p w14:paraId="76CDC09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805"/>
    <w:bookmarkEnd w:id="806"/>
    <w:bookmarkEnd w:id="807"/>
    <w:bookmarkEnd w:id="808"/>
    <w:bookmarkEnd w:id="809"/>
    <w:bookmarkEnd w:id="810"/>
    <w:p w14:paraId="78AA0C79">
      <w:pPr>
        <w:pStyle w:val="8"/>
        <w:spacing w:line="500" w:lineRule="exact"/>
        <w:rPr>
          <w:rFonts w:hint="eastAsia" w:ascii="宋体" w:hAnsi="宋体" w:eastAsia="宋体" w:cs="宋体"/>
          <w:b w:val="0"/>
          <w:color w:val="000000"/>
          <w:sz w:val="24"/>
          <w:szCs w:val="24"/>
        </w:rPr>
      </w:pPr>
      <w:bookmarkStart w:id="918" w:name="_Toc296891245"/>
      <w:bookmarkStart w:id="919" w:name="_Toc296503205"/>
      <w:bookmarkStart w:id="920" w:name="_Toc296891033"/>
      <w:bookmarkStart w:id="921" w:name="_Toc296347204"/>
      <w:bookmarkStart w:id="922" w:name="_Toc297048391"/>
      <w:bookmarkStart w:id="923" w:name="_Toc292559915"/>
      <w:bookmarkStart w:id="924" w:name="_Toc296944544"/>
      <w:bookmarkStart w:id="925" w:name="_Toc292559410"/>
      <w:bookmarkStart w:id="926" w:name="_Toc296346706"/>
      <w:bookmarkStart w:id="927" w:name="_Toc297120505"/>
      <w:bookmarkStart w:id="928" w:name="_Toc375060865"/>
      <w:bookmarkStart w:id="929" w:name="_Toc312678040"/>
      <w:bookmarkStart w:id="930" w:name="_Toc300935002"/>
      <w:bookmarkStart w:id="931" w:name="_Toc297123552"/>
      <w:bookmarkStart w:id="932" w:name="_Toc303539159"/>
      <w:bookmarkStart w:id="933" w:name="_Toc297216211"/>
      <w:bookmarkStart w:id="934" w:name="_Toc304295579"/>
      <w:r>
        <w:rPr>
          <w:rFonts w:hint="eastAsia" w:ascii="宋体" w:hAnsi="宋体" w:eastAsia="宋体" w:cs="宋体"/>
          <w:b w:val="0"/>
          <w:color w:val="000000"/>
          <w:sz w:val="24"/>
          <w:szCs w:val="24"/>
        </w:rPr>
        <w:t xml:space="preserve">12. </w:t>
      </w:r>
      <w:bookmarkEnd w:id="918"/>
      <w:bookmarkEnd w:id="919"/>
      <w:bookmarkEnd w:id="920"/>
      <w:bookmarkEnd w:id="921"/>
      <w:bookmarkEnd w:id="922"/>
      <w:bookmarkEnd w:id="923"/>
      <w:bookmarkEnd w:id="924"/>
      <w:bookmarkEnd w:id="925"/>
      <w:bookmarkEnd w:id="926"/>
      <w:bookmarkEnd w:id="927"/>
      <w:r>
        <w:rPr>
          <w:rFonts w:hint="eastAsia" w:ascii="宋体" w:hAnsi="宋体" w:eastAsia="宋体" w:cs="宋体"/>
          <w:b w:val="0"/>
          <w:color w:val="000000"/>
          <w:sz w:val="24"/>
          <w:szCs w:val="24"/>
        </w:rPr>
        <w:t>合同价格、计量与支付</w:t>
      </w:r>
      <w:bookmarkEnd w:id="928"/>
    </w:p>
    <w:bookmarkEnd w:id="929"/>
    <w:bookmarkEnd w:id="930"/>
    <w:bookmarkEnd w:id="931"/>
    <w:bookmarkEnd w:id="932"/>
    <w:bookmarkEnd w:id="933"/>
    <w:bookmarkEnd w:id="934"/>
    <w:p w14:paraId="1A5B3362">
      <w:pPr>
        <w:spacing w:line="500" w:lineRule="exact"/>
        <w:ind w:firstLine="480" w:firstLineChars="200"/>
        <w:rPr>
          <w:rFonts w:hint="eastAsia" w:ascii="宋体" w:hAnsi="宋体" w:eastAsia="宋体" w:cs="宋体"/>
          <w:color w:val="000000"/>
          <w:sz w:val="24"/>
          <w:szCs w:val="24"/>
        </w:rPr>
      </w:pPr>
      <w:bookmarkStart w:id="935" w:name="_Toc292559916"/>
      <w:bookmarkStart w:id="936" w:name="_Toc292559411"/>
      <w:bookmarkStart w:id="937" w:name="_Toc267251461"/>
      <w:bookmarkStart w:id="938" w:name="_Toc296944545"/>
      <w:bookmarkStart w:id="939" w:name="_Toc296347205"/>
      <w:bookmarkStart w:id="940" w:name="_Toc296891246"/>
      <w:bookmarkStart w:id="941" w:name="_Toc296503206"/>
      <w:bookmarkStart w:id="942" w:name="_Toc296891034"/>
      <w:bookmarkStart w:id="943" w:name="_Toc296346707"/>
      <w:bookmarkStart w:id="944" w:name="_Toc297120506"/>
      <w:bookmarkStart w:id="945" w:name="_Toc297048392"/>
      <w:bookmarkStart w:id="946" w:name="_Toc297216212"/>
      <w:bookmarkStart w:id="947" w:name="_Toc312678041"/>
      <w:bookmarkStart w:id="948" w:name="_Toc300935003"/>
      <w:bookmarkStart w:id="949" w:name="_Toc304295580"/>
      <w:bookmarkStart w:id="950" w:name="_Toc297123553"/>
      <w:bookmarkStart w:id="951" w:name="_Toc303539160"/>
      <w:r>
        <w:rPr>
          <w:rFonts w:hint="eastAsia" w:ascii="宋体" w:hAnsi="宋体" w:eastAsia="宋体" w:cs="宋体"/>
          <w:color w:val="000000"/>
          <w:sz w:val="24"/>
          <w:szCs w:val="24"/>
        </w:rPr>
        <w:t>12.1 合</w:t>
      </w:r>
      <w:bookmarkEnd w:id="935"/>
      <w:bookmarkEnd w:id="936"/>
      <w:bookmarkEnd w:id="937"/>
      <w:r>
        <w:rPr>
          <w:rFonts w:hint="eastAsia" w:ascii="宋体" w:hAnsi="宋体" w:eastAsia="宋体" w:cs="宋体"/>
          <w:color w:val="000000"/>
          <w:sz w:val="24"/>
          <w:szCs w:val="24"/>
        </w:rPr>
        <w:t>同价</w:t>
      </w:r>
      <w:bookmarkEnd w:id="938"/>
      <w:bookmarkEnd w:id="939"/>
      <w:bookmarkEnd w:id="940"/>
      <w:bookmarkEnd w:id="941"/>
      <w:bookmarkEnd w:id="942"/>
      <w:bookmarkEnd w:id="943"/>
      <w:bookmarkEnd w:id="944"/>
      <w:bookmarkEnd w:id="945"/>
      <w:r>
        <w:rPr>
          <w:rFonts w:hint="eastAsia" w:ascii="宋体" w:hAnsi="宋体" w:eastAsia="宋体" w:cs="宋体"/>
          <w:color w:val="000000"/>
          <w:sz w:val="24"/>
          <w:szCs w:val="24"/>
        </w:rPr>
        <w:t>格形式</w:t>
      </w:r>
    </w:p>
    <w:bookmarkEnd w:id="946"/>
    <w:bookmarkEnd w:id="947"/>
    <w:bookmarkEnd w:id="948"/>
    <w:bookmarkEnd w:id="949"/>
    <w:bookmarkEnd w:id="950"/>
    <w:bookmarkEnd w:id="951"/>
    <w:p w14:paraId="7482D51A">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119E032E">
      <w:pPr>
        <w:autoSpaceDE w:val="0"/>
        <w:autoSpaceDN w:val="0"/>
        <w:adjustRightIn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14:paraId="3E199E1D">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3812E0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b/>
          <w:bCs/>
          <w:color w:val="000000"/>
          <w:sz w:val="24"/>
          <w:szCs w:val="21"/>
          <w:u w:val="single"/>
        </w:rPr>
        <w:t xml:space="preserve"> </w:t>
      </w:r>
      <w:r>
        <w:rPr>
          <w:rFonts w:hint="eastAsia" w:ascii="宋体" w:hAnsi="宋体" w:eastAsia="宋体" w:cs="宋体"/>
          <w:b/>
          <w:bCs/>
          <w:color w:val="000000"/>
          <w:sz w:val="24"/>
          <w:szCs w:val="21"/>
          <w:u w:val="single"/>
          <w:lang w:val="en-US" w:eastAsia="zh-CN"/>
        </w:rPr>
        <w:t xml:space="preserve">                           </w:t>
      </w:r>
      <w:r>
        <w:rPr>
          <w:rFonts w:hint="eastAsia" w:ascii="宋体" w:hAnsi="宋体" w:eastAsia="宋体" w:cs="宋体"/>
          <w:color w:val="000000"/>
          <w:sz w:val="24"/>
          <w:szCs w:val="21"/>
        </w:rPr>
        <w:t>。</w:t>
      </w:r>
    </w:p>
    <w:p w14:paraId="10203B6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502564B4">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EBCC776">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37A3204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0430444">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6B485B61">
      <w:pPr>
        <w:spacing w:line="500" w:lineRule="exact"/>
        <w:ind w:firstLine="480" w:firstLineChars="200"/>
        <w:rPr>
          <w:rFonts w:hint="eastAsia" w:ascii="宋体" w:hAnsi="宋体" w:eastAsia="宋体" w:cs="宋体"/>
          <w:color w:val="000000"/>
          <w:sz w:val="24"/>
          <w:szCs w:val="24"/>
        </w:rPr>
      </w:pPr>
      <w:bookmarkStart w:id="952" w:name="_Toc303539161"/>
      <w:bookmarkStart w:id="953" w:name="_Toc300935004"/>
      <w:bookmarkStart w:id="954" w:name="_Toc297123554"/>
      <w:bookmarkStart w:id="955" w:name="_Toc304295581"/>
      <w:bookmarkStart w:id="956" w:name="_Toc297216213"/>
      <w:bookmarkStart w:id="957" w:name="_Toc312678042"/>
      <w:bookmarkStart w:id="958" w:name="_Toc296891247"/>
      <w:bookmarkStart w:id="959" w:name="_Toc296346708"/>
      <w:bookmarkStart w:id="960" w:name="_Toc296944546"/>
      <w:bookmarkStart w:id="961" w:name="_Toc296503207"/>
      <w:bookmarkStart w:id="962" w:name="_Toc297048393"/>
      <w:bookmarkStart w:id="963" w:name="_Toc296891035"/>
      <w:bookmarkStart w:id="964" w:name="_Toc292559917"/>
      <w:bookmarkStart w:id="965" w:name="_Toc292559412"/>
      <w:bookmarkStart w:id="966" w:name="_Toc297120507"/>
      <w:bookmarkStart w:id="967" w:name="_Toc296347206"/>
      <w:r>
        <w:rPr>
          <w:rFonts w:hint="eastAsia" w:ascii="宋体" w:hAnsi="宋体" w:eastAsia="宋体" w:cs="宋体"/>
          <w:color w:val="000000"/>
          <w:sz w:val="24"/>
          <w:szCs w:val="24"/>
        </w:rPr>
        <w:t>12.2 预付款</w:t>
      </w:r>
    </w:p>
    <w:bookmarkEnd w:id="952"/>
    <w:bookmarkEnd w:id="953"/>
    <w:bookmarkEnd w:id="954"/>
    <w:bookmarkEnd w:id="955"/>
    <w:bookmarkEnd w:id="956"/>
    <w:bookmarkEnd w:id="957"/>
    <w:p w14:paraId="085D06C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14:paraId="7953548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0FAD212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b/>
          <w:bCs/>
          <w:color w:val="000000"/>
          <w:sz w:val="24"/>
          <w:szCs w:val="21"/>
          <w:u w:val="single"/>
        </w:rPr>
        <w:t xml:space="preserve"> </w:t>
      </w:r>
      <w:r>
        <w:rPr>
          <w:rFonts w:hint="eastAsia" w:ascii="宋体" w:hAnsi="宋体" w:eastAsia="宋体" w:cs="宋体"/>
          <w:b/>
          <w:bCs/>
          <w:color w:val="000000"/>
          <w:sz w:val="24"/>
          <w:szCs w:val="21"/>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2F2B6545">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FF399B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3B13817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5993569">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958"/>
    <w:bookmarkEnd w:id="959"/>
    <w:bookmarkEnd w:id="960"/>
    <w:bookmarkEnd w:id="961"/>
    <w:bookmarkEnd w:id="962"/>
    <w:bookmarkEnd w:id="963"/>
    <w:bookmarkEnd w:id="964"/>
    <w:bookmarkEnd w:id="965"/>
    <w:bookmarkEnd w:id="966"/>
    <w:bookmarkEnd w:id="967"/>
    <w:p w14:paraId="5424419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3C33EDFA">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64EFFB3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DB824E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41850BFA">
      <w:pPr>
        <w:spacing w:line="500" w:lineRule="exact"/>
        <w:ind w:right="-256" w:rightChars="-122"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2C0F11E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7CB2388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7FB4FF0">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61C5668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E21BD2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013CC99">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2B20B09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93B4B1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7DCE805F">
      <w:pPr>
        <w:spacing w:line="500" w:lineRule="exact"/>
        <w:ind w:firstLine="480" w:firstLineChars="200"/>
        <w:jc w:val="left"/>
        <w:rPr>
          <w:rFonts w:hint="eastAsia" w:ascii="宋体" w:hAnsi="宋体" w:eastAsia="宋体" w:cs="宋体"/>
          <w:color w:val="000000"/>
          <w:sz w:val="24"/>
          <w:szCs w:val="24"/>
        </w:rPr>
      </w:pPr>
      <w:bookmarkStart w:id="968" w:name="_Toc296347210"/>
      <w:bookmarkStart w:id="969" w:name="_Toc296503211"/>
      <w:bookmarkStart w:id="970" w:name="_Toc297120511"/>
      <w:bookmarkStart w:id="971" w:name="_Toc296891039"/>
      <w:bookmarkStart w:id="972" w:name="_Toc297048397"/>
      <w:bookmarkStart w:id="973" w:name="_Toc297123556"/>
      <w:bookmarkStart w:id="974" w:name="_Toc297216215"/>
      <w:bookmarkStart w:id="975" w:name="_Toc303539163"/>
      <w:bookmarkStart w:id="976" w:name="_Toc292559921"/>
      <w:bookmarkStart w:id="977" w:name="_Toc296891251"/>
      <w:bookmarkStart w:id="978" w:name="_Toc296346712"/>
      <w:bookmarkStart w:id="979" w:name="_Toc292559416"/>
      <w:bookmarkStart w:id="980" w:name="_Toc300935006"/>
      <w:bookmarkStart w:id="981" w:name="_Toc296944550"/>
      <w:r>
        <w:rPr>
          <w:rFonts w:hint="eastAsia" w:ascii="宋体" w:hAnsi="宋体" w:eastAsia="宋体" w:cs="宋体"/>
          <w:color w:val="000000"/>
          <w:sz w:val="24"/>
          <w:szCs w:val="24"/>
        </w:rPr>
        <w:t>12.4.1 付款周期</w:t>
      </w:r>
    </w:p>
    <w:p w14:paraId="23D4CCE5">
      <w:pPr>
        <w:spacing w:line="500" w:lineRule="exact"/>
        <w:ind w:right="2" w:rightChars="1"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FB1306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14:paraId="2E5A72B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0C1253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r>
        <w:rPr>
          <w:rFonts w:hint="eastAsia" w:ascii="宋体" w:hAnsi="宋体" w:eastAsia="宋体" w:cs="宋体"/>
          <w:color w:val="000000"/>
          <w:sz w:val="24"/>
          <w:szCs w:val="24"/>
        </w:rPr>
        <w:t>2.4.3 进度付款申请单的提交</w:t>
      </w:r>
    </w:p>
    <w:p w14:paraId="759A19D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FFC9AF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25EEF9A">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0FEFA38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1C33EBF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C36F8F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F1D8A1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980681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0B63EEA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212EABC0">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7C537A3">
      <w:pPr>
        <w:spacing w:line="500" w:lineRule="exact"/>
        <w:ind w:firstLine="480" w:firstLineChars="200"/>
        <w:jc w:val="left"/>
        <w:rPr>
          <w:rFonts w:hint="eastAsia" w:ascii="宋体" w:hAnsi="宋体" w:eastAsia="宋体" w:cs="宋体"/>
          <w:color w:val="000000"/>
          <w:sz w:val="24"/>
          <w:szCs w:val="24"/>
          <w:highlight w:val="cyan"/>
          <w:u w:val="single"/>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811"/>
    <w:p w14:paraId="5F7A8808">
      <w:pPr>
        <w:pStyle w:val="8"/>
        <w:spacing w:line="500" w:lineRule="exact"/>
        <w:rPr>
          <w:rFonts w:hint="eastAsia" w:ascii="宋体" w:hAnsi="宋体" w:eastAsia="宋体" w:cs="宋体"/>
          <w:b w:val="0"/>
          <w:color w:val="000000"/>
          <w:sz w:val="24"/>
          <w:szCs w:val="24"/>
        </w:rPr>
      </w:pPr>
      <w:bookmarkStart w:id="982" w:name="_Toc375060866"/>
      <w:bookmarkStart w:id="983" w:name="_Toc297123564"/>
      <w:bookmarkStart w:id="984" w:name="_Toc297216223"/>
      <w:bookmarkStart w:id="985" w:name="_Toc296346720"/>
      <w:bookmarkStart w:id="986" w:name="_Toc297048405"/>
      <w:bookmarkStart w:id="987" w:name="_Toc296503219"/>
      <w:bookmarkStart w:id="988" w:name="_Toc303539172"/>
      <w:bookmarkStart w:id="989" w:name="_Toc296891047"/>
      <w:bookmarkStart w:id="990" w:name="_Toc312678053"/>
      <w:bookmarkStart w:id="991" w:name="_Toc297120519"/>
      <w:bookmarkStart w:id="992" w:name="_Toc304295593"/>
      <w:bookmarkStart w:id="993" w:name="_Toc292559929"/>
      <w:bookmarkStart w:id="994" w:name="_Toc296891259"/>
      <w:bookmarkStart w:id="995" w:name="_Toc296944558"/>
      <w:bookmarkStart w:id="996" w:name="_Toc296347218"/>
      <w:bookmarkStart w:id="997" w:name="_Toc292559424"/>
      <w:bookmarkStart w:id="998" w:name="_Toc300935015"/>
      <w:r>
        <w:rPr>
          <w:rFonts w:hint="eastAsia" w:ascii="宋体" w:hAnsi="宋体" w:eastAsia="宋体" w:cs="宋体"/>
          <w:b w:val="0"/>
          <w:color w:val="000000"/>
          <w:sz w:val="24"/>
          <w:szCs w:val="24"/>
        </w:rPr>
        <w:t>13. 验收和工程试车</w:t>
      </w:r>
      <w:bookmarkEnd w:id="982"/>
      <w:r>
        <w:rPr>
          <w:rFonts w:hint="eastAsia" w:ascii="宋体" w:hAnsi="宋体" w:eastAsia="宋体" w:cs="宋体"/>
          <w:b w:val="0"/>
          <w:color w:val="000000"/>
          <w:sz w:val="24"/>
          <w:szCs w:val="24"/>
        </w:rPr>
        <w:t xml:space="preserve"> </w:t>
      </w:r>
    </w:p>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14:paraId="772CA0B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7328CE4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小时提交书面延期要求。</w:t>
      </w:r>
    </w:p>
    <w:p w14:paraId="51354E13">
      <w:pPr>
        <w:spacing w:line="50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color w:val="000000"/>
          <w:sz w:val="24"/>
          <w:szCs w:val="24"/>
        </w:rPr>
        <w:t>关于延期最长不得超过：</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小时。</w:t>
      </w:r>
    </w:p>
    <w:p w14:paraId="7211DFD1">
      <w:pPr>
        <w:spacing w:line="500" w:lineRule="exact"/>
        <w:ind w:firstLine="480" w:firstLineChars="200"/>
        <w:rPr>
          <w:rFonts w:hint="eastAsia" w:ascii="宋体" w:hAnsi="宋体" w:eastAsia="宋体" w:cs="宋体"/>
          <w:color w:val="000000"/>
          <w:sz w:val="24"/>
          <w:szCs w:val="24"/>
        </w:rPr>
      </w:pPr>
      <w:bookmarkStart w:id="999" w:name="_Toc292559428"/>
      <w:bookmarkStart w:id="1000" w:name="_Toc296347222"/>
      <w:bookmarkStart w:id="1001" w:name="_Toc297216224"/>
      <w:bookmarkStart w:id="1002" w:name="_Toc303539173"/>
      <w:bookmarkStart w:id="1003" w:name="_Toc292559933"/>
      <w:bookmarkStart w:id="1004" w:name="_Toc297120523"/>
      <w:bookmarkStart w:id="1005" w:name="_Toc296503223"/>
      <w:bookmarkStart w:id="1006" w:name="_Toc297048409"/>
      <w:bookmarkStart w:id="1007" w:name="_Toc296891263"/>
      <w:bookmarkStart w:id="1008" w:name="_Toc300935016"/>
      <w:bookmarkStart w:id="1009" w:name="_Toc296944562"/>
      <w:bookmarkStart w:id="1010" w:name="_Toc296346724"/>
      <w:bookmarkStart w:id="1011" w:name="_Toc312678056"/>
      <w:bookmarkStart w:id="1012" w:name="_Toc296891051"/>
      <w:bookmarkStart w:id="1013" w:name="_Toc304295596"/>
      <w:bookmarkStart w:id="1014" w:name="_Toc297123565"/>
      <w:bookmarkStart w:id="1015" w:name="_Toc267251471"/>
      <w:bookmarkStart w:id="1016" w:name="_Toc267251476"/>
      <w:bookmarkStart w:id="1017" w:name="_Toc267251474"/>
      <w:bookmarkStart w:id="1018" w:name="_Toc267251470"/>
      <w:bookmarkStart w:id="1019" w:name="_Toc267251472"/>
      <w:bookmarkStart w:id="1020" w:name="_Toc267251473"/>
      <w:bookmarkStart w:id="1021" w:name="_Toc267251475"/>
      <w:r>
        <w:rPr>
          <w:rFonts w:hint="eastAsia" w:ascii="宋体" w:hAnsi="宋体" w:eastAsia="宋体" w:cs="宋体"/>
          <w:color w:val="000000"/>
          <w:sz w:val="24"/>
          <w:szCs w:val="24"/>
        </w:rPr>
        <w:t>13.2 竣工验收</w:t>
      </w:r>
    </w:p>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14:paraId="06A49602">
      <w:pPr>
        <w:spacing w:line="500" w:lineRule="exact"/>
        <w:ind w:firstLine="480" w:firstLineChars="200"/>
        <w:jc w:val="left"/>
        <w:rPr>
          <w:rFonts w:hint="eastAsia" w:ascii="宋体" w:hAnsi="宋体" w:eastAsia="宋体" w:cs="宋体"/>
          <w:color w:val="000000"/>
          <w:sz w:val="24"/>
          <w:szCs w:val="24"/>
        </w:rPr>
      </w:pPr>
      <w:bookmarkStart w:id="1022" w:name="_Toc280868704"/>
      <w:bookmarkStart w:id="1023" w:name="_Toc280868705"/>
      <w:bookmarkStart w:id="1024" w:name="_Toc280868706"/>
      <w:bookmarkStart w:id="1025" w:name="_Toc280868707"/>
      <w:bookmarkStart w:id="1026" w:name="_Toc280868708"/>
      <w:bookmarkStart w:id="1027" w:name="_Toc280868709"/>
      <w:r>
        <w:rPr>
          <w:rFonts w:hint="eastAsia" w:ascii="宋体" w:hAnsi="宋体" w:eastAsia="宋体" w:cs="宋体"/>
          <w:color w:val="000000"/>
          <w:sz w:val="24"/>
          <w:szCs w:val="24"/>
        </w:rPr>
        <w:t>13.2.2竣工验收程序</w:t>
      </w:r>
    </w:p>
    <w:bookmarkEnd w:id="1022"/>
    <w:p w14:paraId="5065F30C">
      <w:pPr>
        <w:spacing w:line="500" w:lineRule="exact"/>
        <w:ind w:right="-361" w:rightChars="-17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关于竣工验收程序的约定</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19AD17C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发包人不按照本项约定组织竣工验收</w:t>
      </w:r>
      <w:r>
        <w:rPr>
          <w:rFonts w:hint="eastAsia" w:ascii="宋体" w:hAnsi="宋体" w:eastAsia="宋体" w:cs="宋体"/>
          <w:color w:val="000000"/>
          <w:kern w:val="0"/>
          <w:sz w:val="24"/>
          <w:szCs w:val="24"/>
        </w:rPr>
        <w:t>、颁发工程接收证书的违约金的计算方法：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23"/>
    <w:p w14:paraId="2ECFE7C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024"/>
    <w:p w14:paraId="7F2212BA">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承包人向发包人移交工程的期限</w:t>
      </w:r>
      <w:r>
        <w:rPr>
          <w:rFonts w:hint="eastAsia" w:ascii="宋体" w:hAnsi="宋体" w:eastAsia="宋体" w:cs="宋体"/>
          <w:bCs/>
          <w:color w:val="000000"/>
          <w:sz w:val="24"/>
          <w:szCs w:val="21"/>
        </w:rPr>
        <w:t>：</w:t>
      </w:r>
      <w:r>
        <w:rPr>
          <w:rFonts w:hint="eastAsia" w:ascii="宋体" w:hAnsi="宋体" w:eastAsia="宋体" w:cs="宋体"/>
          <w:bCs/>
          <w:color w:val="000000"/>
          <w:sz w:val="24"/>
          <w:szCs w:val="21"/>
          <w:u w:val="single"/>
          <w:lang w:val="en-US" w:eastAsia="zh-CN"/>
        </w:rPr>
        <w:t xml:space="preserve">                          </w:t>
      </w:r>
      <w:r>
        <w:rPr>
          <w:rFonts w:hint="eastAsia" w:ascii="宋体" w:hAnsi="宋体" w:eastAsia="宋体" w:cs="宋体"/>
          <w:color w:val="000000"/>
          <w:sz w:val="24"/>
          <w:szCs w:val="24"/>
        </w:rPr>
        <w:t>。</w:t>
      </w:r>
    </w:p>
    <w:p w14:paraId="7FAF9655">
      <w:pPr>
        <w:spacing w:line="500" w:lineRule="exact"/>
        <w:ind w:right="2" w:rightChars="1" w:firstLine="480" w:firstLineChars="200"/>
        <w:rPr>
          <w:rFonts w:hint="eastAsia" w:ascii="宋体" w:hAnsi="宋体" w:eastAsia="宋体" w:cs="宋体"/>
          <w:b/>
          <w:color w:val="000000"/>
          <w:sz w:val="24"/>
          <w:szCs w:val="24"/>
          <w:u w:val="single"/>
        </w:rPr>
      </w:pPr>
      <w:r>
        <w:rPr>
          <w:rFonts w:hint="eastAsia" w:ascii="宋体" w:hAnsi="宋体" w:eastAsia="宋体" w:cs="宋体"/>
          <w:color w:val="000000"/>
          <w:sz w:val="24"/>
          <w:szCs w:val="24"/>
        </w:rPr>
        <w:t>发包人未按本合同约定接收全部或部分工程的</w:t>
      </w:r>
      <w:r>
        <w:rPr>
          <w:rFonts w:hint="eastAsia" w:ascii="宋体" w:hAnsi="宋体" w:eastAsia="宋体" w:cs="宋体"/>
          <w:color w:val="000000"/>
          <w:kern w:val="0"/>
          <w:sz w:val="24"/>
          <w:szCs w:val="24"/>
        </w:rPr>
        <w:t>，违约金的计算方法为：</w:t>
      </w:r>
    </w:p>
    <w:p w14:paraId="72B7812A">
      <w:pPr>
        <w:spacing w:line="500" w:lineRule="exact"/>
        <w:jc w:val="left"/>
        <w:rPr>
          <w:rFonts w:hint="eastAsia" w:ascii="宋体" w:hAnsi="宋体" w:eastAsia="宋体" w:cs="宋体"/>
          <w:color w:val="000000"/>
          <w:sz w:val="24"/>
          <w:szCs w:val="24"/>
          <w:u w:val="single"/>
        </w:rPr>
      </w:pP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25"/>
    <w:p w14:paraId="331C730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023B86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026"/>
    <w:p w14:paraId="4EF6B2BA">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38C6E824">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C28C47A">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14:paraId="3E2E70A6">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14:paraId="4DE9EE76">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748234BF">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825DFB0">
      <w:pPr>
        <w:spacing w:line="500" w:lineRule="exact"/>
        <w:ind w:firstLine="480" w:firstLineChars="200"/>
        <w:outlineLvl w:val="0"/>
        <w:rPr>
          <w:rFonts w:hint="eastAsia" w:ascii="宋体" w:hAnsi="宋体" w:eastAsia="宋体" w:cs="宋体"/>
          <w:color w:val="000000"/>
          <w:sz w:val="24"/>
          <w:szCs w:val="24"/>
        </w:rPr>
      </w:pPr>
      <w:bookmarkStart w:id="1028" w:name="_Toc375060867"/>
      <w:bookmarkStart w:id="1029" w:name="_Toc375060654"/>
      <w:r>
        <w:rPr>
          <w:rFonts w:hint="eastAsia" w:ascii="宋体" w:hAnsi="宋体" w:eastAsia="宋体" w:cs="宋体"/>
          <w:color w:val="000000"/>
          <w:sz w:val="24"/>
          <w:szCs w:val="24"/>
        </w:rPr>
        <w:t>13.6 竣工退场</w:t>
      </w:r>
      <w:bookmarkEnd w:id="1028"/>
      <w:bookmarkEnd w:id="1029"/>
    </w:p>
    <w:p w14:paraId="1BDC05D4">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117C5F0D">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5F04B53B">
      <w:pPr>
        <w:pStyle w:val="8"/>
        <w:spacing w:line="500" w:lineRule="exact"/>
        <w:rPr>
          <w:rFonts w:hint="eastAsia" w:ascii="宋体" w:hAnsi="宋体" w:eastAsia="宋体" w:cs="宋体"/>
          <w:b w:val="0"/>
          <w:color w:val="000000"/>
          <w:sz w:val="24"/>
          <w:szCs w:val="24"/>
        </w:rPr>
      </w:pPr>
      <w:bookmarkStart w:id="1030" w:name="_Toc375060868"/>
      <w:r>
        <w:rPr>
          <w:rFonts w:hint="eastAsia" w:ascii="宋体" w:hAnsi="宋体" w:eastAsia="宋体" w:cs="宋体"/>
          <w:b w:val="0"/>
          <w:color w:val="000000"/>
          <w:sz w:val="24"/>
          <w:szCs w:val="24"/>
        </w:rPr>
        <w:t>14. 竣工结算</w:t>
      </w:r>
      <w:bookmarkEnd w:id="1030"/>
    </w:p>
    <w:p w14:paraId="433DC65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01A5624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A1E9FF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E508B8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27191950">
      <w:pPr>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承包人竣工结算以乡宁县政府委托的审计机构审计结果为竣工结算。</w:t>
      </w:r>
    </w:p>
    <w:p w14:paraId="6354815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5C3A8A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发包人完成竣工付款的期限：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C6DE53B">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DE9A68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25B6CE35">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06C711FC">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2E0FAB2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15A457E">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14:paraId="14598AA9">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4"/>
          <w:u w:val="single"/>
        </w:rPr>
        <w:t>：。</w:t>
      </w:r>
    </w:p>
    <w:p w14:paraId="7108733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（2）发包人完成支付的期限：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bookmarkEnd w:id="1015"/>
    <w:bookmarkEnd w:id="1016"/>
    <w:bookmarkEnd w:id="1017"/>
    <w:bookmarkEnd w:id="1018"/>
    <w:bookmarkEnd w:id="1019"/>
    <w:bookmarkEnd w:id="1020"/>
    <w:bookmarkEnd w:id="1021"/>
    <w:bookmarkEnd w:id="1027"/>
    <w:p w14:paraId="003DB675">
      <w:pPr>
        <w:pStyle w:val="8"/>
        <w:spacing w:line="500" w:lineRule="exact"/>
        <w:rPr>
          <w:rFonts w:hint="eastAsia" w:ascii="宋体" w:hAnsi="宋体" w:eastAsia="宋体" w:cs="宋体"/>
          <w:b w:val="0"/>
          <w:color w:val="000000"/>
          <w:sz w:val="24"/>
          <w:szCs w:val="24"/>
        </w:rPr>
      </w:pPr>
      <w:bookmarkStart w:id="1031" w:name="_Toc375060869"/>
      <w:bookmarkStart w:id="1032" w:name="_Toc267251483"/>
      <w:bookmarkStart w:id="1033" w:name="_Toc267251484"/>
      <w:bookmarkStart w:id="1034" w:name="_Toc267251482"/>
      <w:bookmarkStart w:id="1035" w:name="_Toc267251485"/>
      <w:bookmarkStart w:id="1036" w:name="_Toc267251486"/>
      <w:bookmarkStart w:id="1037" w:name="_Toc267251488"/>
      <w:bookmarkStart w:id="1038" w:name="_Toc267251489"/>
      <w:bookmarkStart w:id="1039" w:name="_Toc267251490"/>
      <w:bookmarkStart w:id="1040" w:name="_Toc267251492"/>
      <w:bookmarkStart w:id="1041" w:name="_Toc267251498"/>
      <w:bookmarkStart w:id="1042" w:name="_Toc267251499"/>
      <w:bookmarkStart w:id="1043" w:name="_Toc267251494"/>
      <w:bookmarkStart w:id="1044" w:name="_Toc267251496"/>
      <w:bookmarkStart w:id="1045" w:name="_Toc267251497"/>
      <w:bookmarkStart w:id="1046" w:name="_Toc267251493"/>
      <w:bookmarkStart w:id="1047" w:name="_Toc267251502"/>
      <w:bookmarkStart w:id="1048" w:name="_Toc267251495"/>
      <w:bookmarkStart w:id="1049" w:name="_Toc267251491"/>
      <w:bookmarkStart w:id="1050" w:name="_Toc267251503"/>
      <w:bookmarkStart w:id="1051" w:name="_Toc267251501"/>
      <w:bookmarkStart w:id="1052" w:name="_Toc267251504"/>
      <w:bookmarkStart w:id="1053" w:name="_Toc267251506"/>
      <w:bookmarkStart w:id="1054" w:name="_Toc267251507"/>
      <w:bookmarkStart w:id="1055" w:name="_Toc267251508"/>
      <w:bookmarkStart w:id="1056" w:name="_Toc267251511"/>
      <w:bookmarkStart w:id="1057" w:name="_Toc267251513"/>
      <w:bookmarkStart w:id="1058" w:name="_Toc267251514"/>
      <w:bookmarkStart w:id="1059" w:name="_Toc267251509"/>
      <w:bookmarkStart w:id="1060" w:name="_Toc267251515"/>
      <w:bookmarkStart w:id="1061" w:name="_Toc267251510"/>
      <w:r>
        <w:rPr>
          <w:rFonts w:hint="eastAsia" w:ascii="宋体" w:hAnsi="宋体" w:eastAsia="宋体" w:cs="宋体"/>
          <w:b w:val="0"/>
          <w:color w:val="000000"/>
          <w:sz w:val="24"/>
          <w:szCs w:val="24"/>
        </w:rPr>
        <w:t>15. 缺陷责任期与保修</w:t>
      </w:r>
      <w:bookmarkEnd w:id="1031"/>
    </w:p>
    <w:p w14:paraId="0EBFAE9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032"/>
    </w:p>
    <w:p w14:paraId="75C9AC1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4C73C64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643075FE">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6468D6CA">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在工程项目竣工前，承包人按专用合同条款第3.7条提供履约担保的，发包人不得同时预留工程质量保证金。</w:t>
      </w:r>
    </w:p>
    <w:p w14:paraId="2877D1E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625F3D7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w:t>
      </w:r>
    </w:p>
    <w:p w14:paraId="435C7E16">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b/>
          <w:color w:val="000000"/>
          <w:sz w:val="24"/>
          <w:szCs w:val="24"/>
          <w:u w:val="single"/>
        </w:rPr>
        <w:t xml:space="preserve">          </w:t>
      </w:r>
      <w:r>
        <w:rPr>
          <w:rFonts w:hint="eastAsia" w:ascii="宋体" w:hAnsi="宋体" w:eastAsia="宋体" w:cs="宋体"/>
          <w:color w:val="000000"/>
          <w:kern w:val="0"/>
          <w:sz w:val="24"/>
          <w:szCs w:val="24"/>
        </w:rPr>
        <w:t xml:space="preserve">； </w:t>
      </w:r>
    </w:p>
    <w:p w14:paraId="5BB702F8">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%的工程款；</w:t>
      </w:r>
    </w:p>
    <w:p w14:paraId="3C3A1B96">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34CD01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14:paraId="2565B26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w:t>
      </w:r>
    </w:p>
    <w:p w14:paraId="1641E649">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在支付工程进度款时逐次扣留</w:t>
      </w:r>
      <w:r>
        <w:rPr>
          <w:rFonts w:hint="eastAsia" w:ascii="宋体" w:hAnsi="宋体" w:eastAsia="宋体" w:cs="宋体"/>
          <w:color w:val="000000"/>
          <w:kern w:val="0"/>
          <w:sz w:val="24"/>
          <w:szCs w:val="24"/>
        </w:rPr>
        <w:t>，在此情形下，质量保证金的计算基数不包括预付款的支付、扣回以及价格调整的金额；</w:t>
      </w:r>
    </w:p>
    <w:p w14:paraId="69DAEDCA">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5594414D">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kern w:val="0"/>
          <w:sz w:val="24"/>
          <w:szCs w:val="24"/>
        </w:rPr>
        <w:t>。</w:t>
      </w:r>
    </w:p>
    <w:p w14:paraId="15B5E200">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bookmarkEnd w:id="1033"/>
    <w:bookmarkEnd w:id="1034"/>
    <w:p w14:paraId="31166AE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035"/>
    <w:p w14:paraId="58D5E3D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22077027">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u w:val="single"/>
        </w:rPr>
        <w:t>。</w:t>
      </w:r>
    </w:p>
    <w:p w14:paraId="7A4FDA3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3987D97C">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承包人收到保修通知并到达工程现场的合理时间</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w:t>
      </w:r>
    </w:p>
    <w:bookmarkEnd w:id="1036"/>
    <w:bookmarkEnd w:id="1037"/>
    <w:bookmarkEnd w:id="1038"/>
    <w:bookmarkEnd w:id="1039"/>
    <w:p w14:paraId="0B0DAA73">
      <w:pPr>
        <w:pStyle w:val="8"/>
        <w:spacing w:line="500" w:lineRule="exact"/>
        <w:rPr>
          <w:rFonts w:hint="eastAsia" w:ascii="宋体" w:hAnsi="宋体" w:eastAsia="宋体" w:cs="宋体"/>
          <w:b w:val="0"/>
          <w:color w:val="000000"/>
          <w:sz w:val="24"/>
          <w:szCs w:val="24"/>
        </w:rPr>
      </w:pPr>
      <w:bookmarkStart w:id="1062" w:name="_Toc375060870"/>
      <w:bookmarkStart w:id="1063" w:name="_Toc280868717"/>
      <w:bookmarkStart w:id="1064" w:name="_Toc280868718"/>
      <w:r>
        <w:rPr>
          <w:rFonts w:hint="eastAsia" w:ascii="宋体" w:hAnsi="宋体" w:eastAsia="宋体" w:cs="宋体"/>
          <w:b w:val="0"/>
          <w:color w:val="000000"/>
          <w:sz w:val="24"/>
          <w:szCs w:val="24"/>
        </w:rPr>
        <w:t>16. 违约</w:t>
      </w:r>
      <w:bookmarkEnd w:id="1062"/>
    </w:p>
    <w:p w14:paraId="6A5AFD5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414B252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535CB3BC">
      <w:pPr>
        <w:spacing w:line="50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发包人违约的其他情形：</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764D3235">
      <w:pPr>
        <w:spacing w:line="500" w:lineRule="exact"/>
        <w:ind w:left="1400" w:hanging="1200" w:hangingChars="5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0F7E6DFA">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发包人违约责任的承担方式和计算方法</w:t>
      </w:r>
      <w:r>
        <w:rPr>
          <w:rFonts w:hint="eastAsia" w:ascii="宋体" w:hAnsi="宋体" w:eastAsia="宋体" w:cs="宋体"/>
          <w:color w:val="000000"/>
          <w:kern w:val="0"/>
          <w:sz w:val="24"/>
          <w:szCs w:val="24"/>
          <w:highlight w:val="none"/>
        </w:rPr>
        <w:t>：</w:t>
      </w:r>
    </w:p>
    <w:p w14:paraId="59A157AA">
      <w:pPr>
        <w:spacing w:line="500" w:lineRule="exact"/>
        <w:ind w:right="2" w:rightChars="1"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sz w:val="24"/>
          <w:szCs w:val="24"/>
          <w:highlight w:val="none"/>
        </w:rPr>
        <w:t>因发包人原因未能在计划开工日期前</w:t>
      </w:r>
      <w:r>
        <w:rPr>
          <w:rFonts w:hint="eastAsia" w:ascii="宋体" w:hAnsi="宋体" w:eastAsia="宋体" w:cs="宋体"/>
          <w:color w:val="000000"/>
          <w:kern w:val="0"/>
          <w:sz w:val="24"/>
          <w:szCs w:val="24"/>
          <w:highlight w:val="none"/>
        </w:rPr>
        <w:t>7天内下达开工通知的违约责任：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8C7E76D">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sz w:val="24"/>
          <w:szCs w:val="24"/>
          <w:highlight w:val="none"/>
        </w:rPr>
        <w:t>因发包人原因未能按合同约定支付合同价款的违约责任</w:t>
      </w:r>
      <w:r>
        <w:rPr>
          <w:rFonts w:hint="eastAsia" w:ascii="宋体" w:hAnsi="宋体" w:eastAsia="宋体" w:cs="宋体"/>
          <w:color w:val="000000"/>
          <w:kern w:val="0"/>
          <w:sz w:val="24"/>
          <w:szCs w:val="24"/>
          <w:highlight w:val="none"/>
        </w:rPr>
        <w:t>：</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2191542B">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w:t>
      </w:r>
      <w:r>
        <w:rPr>
          <w:rFonts w:hint="eastAsia" w:ascii="宋体" w:hAnsi="宋体" w:eastAsia="宋体" w:cs="宋体"/>
          <w:color w:val="000000"/>
          <w:sz w:val="24"/>
          <w:szCs w:val="24"/>
          <w:highlight w:val="none"/>
        </w:rPr>
        <w:t>10</w:t>
      </w:r>
      <w:r>
        <w:rPr>
          <w:rFonts w:hint="eastAsia" w:ascii="宋体" w:hAnsi="宋体" w:eastAsia="宋体" w:cs="宋体"/>
          <w:color w:val="000000"/>
          <w:kern w:val="0"/>
          <w:sz w:val="24"/>
          <w:szCs w:val="24"/>
          <w:highlight w:val="none"/>
        </w:rPr>
        <w:t>.1款〔变更的范围〕第（2）项约定，自行实施被取消的工作或转由他人实施的违约责任：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AF219F8">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sz w:val="24"/>
          <w:szCs w:val="24"/>
          <w:highlight w:val="none"/>
        </w:rPr>
        <w:t>发包人提供的材料</w:t>
      </w:r>
      <w:r>
        <w:rPr>
          <w:rFonts w:hint="eastAsia" w:ascii="宋体" w:hAnsi="宋体" w:eastAsia="宋体" w:cs="宋体"/>
          <w:color w:val="000000"/>
          <w:kern w:val="0"/>
          <w:sz w:val="24"/>
          <w:szCs w:val="24"/>
          <w:highlight w:val="none"/>
        </w:rPr>
        <w:t>、工程设备的规格、数量或质量不符合合同约定，或因发包人原因导致交货日期延误或交货地点变更等情况的违约责任：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 xml:space="preserve">发包人不承担违约责任 </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2D9204BA">
      <w:pPr>
        <w:spacing w:line="500" w:lineRule="exact"/>
        <w:ind w:right="2" w:rightChars="1"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sz w:val="24"/>
          <w:szCs w:val="24"/>
          <w:highlight w:val="none"/>
        </w:rPr>
        <w:t>因发包人违反合同约定造成暂停施工的违约责任</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14:paraId="407A0AF0">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r>
        <w:rPr>
          <w:rFonts w:hint="eastAsia" w:ascii="宋体" w:hAnsi="宋体" w:eastAsia="宋体" w:cs="宋体"/>
          <w:color w:val="000000"/>
          <w:sz w:val="24"/>
          <w:szCs w:val="24"/>
          <w:highlight w:val="none"/>
        </w:rPr>
        <w:t>发包人无正当理由没有在约定期限内发出复工指示</w:t>
      </w:r>
      <w:r>
        <w:rPr>
          <w:rFonts w:hint="eastAsia" w:ascii="宋体" w:hAnsi="宋体" w:eastAsia="宋体" w:cs="宋体"/>
          <w:color w:val="000000"/>
          <w:kern w:val="0"/>
          <w:sz w:val="24"/>
          <w:szCs w:val="24"/>
          <w:highlight w:val="none"/>
        </w:rPr>
        <w:t>，导致承包人无法复工的违约责任：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DDD700A">
      <w:pPr>
        <w:spacing w:line="5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633BC60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2A2BDD2E">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w:t>
      </w:r>
      <w:r>
        <w:rPr>
          <w:rFonts w:hint="eastAsia" w:ascii="宋体" w:hAnsi="宋体" w:eastAsia="宋体" w:cs="宋体"/>
          <w:color w:val="000000"/>
          <w:sz w:val="24"/>
          <w:szCs w:val="24"/>
        </w:rPr>
        <w:t>发包人违约的情形</w:t>
      </w:r>
      <w:r>
        <w:rPr>
          <w:rFonts w:hint="eastAsia" w:ascii="宋体" w:hAnsi="宋体" w:eastAsia="宋体" w:cs="宋体"/>
          <w:color w:val="000000"/>
          <w:kern w:val="0"/>
          <w:sz w:val="24"/>
          <w:szCs w:val="24"/>
        </w:rPr>
        <w:t>〕约定暂停施工满</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14:paraId="0580C8B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5F6CCFF9">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731D4715">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2FC556D">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w:t>
      </w:r>
      <w:r>
        <w:rPr>
          <w:rFonts w:hint="eastAsia" w:ascii="宋体" w:hAnsi="宋体" w:eastAsia="宋体" w:cs="宋体"/>
          <w:color w:val="000000"/>
          <w:sz w:val="24"/>
          <w:szCs w:val="24"/>
        </w:rPr>
        <w:t>承包人违约的责任</w:t>
      </w:r>
    </w:p>
    <w:p w14:paraId="4C29B3DC">
      <w:pPr>
        <w:spacing w:line="50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0657552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14:paraId="17FF14B1">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关于承包人违约解除合同的特别约定</w:t>
      </w:r>
      <w:r>
        <w:rPr>
          <w:rFonts w:hint="eastAsia" w:ascii="宋体" w:hAnsi="宋体" w:eastAsia="宋体" w:cs="宋体"/>
          <w:color w:val="000000"/>
          <w:kern w:val="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27B4FD7">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发包人继续使用承包人在施工现场的材料</w:t>
      </w:r>
      <w:r>
        <w:rPr>
          <w:rFonts w:hint="eastAsia" w:ascii="宋体" w:hAnsi="宋体" w:eastAsia="宋体" w:cs="宋体"/>
          <w:color w:val="000000"/>
          <w:kern w:val="0"/>
          <w:sz w:val="24"/>
          <w:szCs w:val="24"/>
        </w:rPr>
        <w:t>、设备、临时工程、承包人文件和由承包人或以其名义编制的其他文件的费用承担方式：</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u w:val="single"/>
        </w:rPr>
        <w:t>。</w:t>
      </w:r>
    </w:p>
    <w:p w14:paraId="4C10FBE7">
      <w:pPr>
        <w:pStyle w:val="8"/>
        <w:spacing w:line="500" w:lineRule="exact"/>
        <w:rPr>
          <w:rFonts w:hint="eastAsia" w:ascii="宋体" w:hAnsi="宋体" w:eastAsia="宋体" w:cs="宋体"/>
          <w:b w:val="0"/>
          <w:color w:val="000000"/>
          <w:sz w:val="24"/>
          <w:szCs w:val="24"/>
        </w:rPr>
      </w:pPr>
      <w:bookmarkStart w:id="1065" w:name="_Toc375060871"/>
      <w:r>
        <w:rPr>
          <w:rFonts w:hint="eastAsia" w:ascii="宋体" w:hAnsi="宋体" w:eastAsia="宋体" w:cs="宋体"/>
          <w:b w:val="0"/>
          <w:color w:val="000000"/>
          <w:sz w:val="24"/>
          <w:szCs w:val="24"/>
        </w:rPr>
        <w:t>17. 不可抗力</w:t>
      </w:r>
      <w:bookmarkEnd w:id="1065"/>
      <w:r>
        <w:rPr>
          <w:rFonts w:hint="eastAsia" w:ascii="宋体" w:hAnsi="宋体" w:eastAsia="宋体" w:cs="宋体"/>
          <w:b w:val="0"/>
          <w:color w:val="000000"/>
          <w:sz w:val="24"/>
          <w:szCs w:val="24"/>
        </w:rPr>
        <w:t xml:space="preserve"> </w:t>
      </w:r>
      <w:bookmarkEnd w:id="1063"/>
    </w:p>
    <w:p w14:paraId="16C24A9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0033F648">
      <w:pPr>
        <w:spacing w:line="500" w:lineRule="exact"/>
        <w:ind w:left="279" w:leftChars="133" w:right="2" w:rightChars="1" w:firstLine="240" w:firstLineChars="100"/>
        <w:rPr>
          <w:rFonts w:hint="eastAsia" w:ascii="宋体" w:hAnsi="宋体" w:eastAsia="宋体" w:cs="宋体"/>
          <w:color w:val="000000"/>
          <w:kern w:val="0"/>
          <w:sz w:val="24"/>
          <w:szCs w:val="24"/>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b/>
          <w:color w:val="000000"/>
          <w:sz w:val="24"/>
          <w:szCs w:val="24"/>
        </w:rPr>
        <w:t xml:space="preserve"> </w:t>
      </w:r>
      <w:r>
        <w:rPr>
          <w:rFonts w:hint="eastAsia" w:ascii="宋体" w:hAnsi="宋体" w:eastAsia="宋体" w:cs="宋体"/>
          <w:bCs/>
          <w:color w:val="000000"/>
          <w:sz w:val="24"/>
          <w:szCs w:val="24"/>
        </w:rPr>
        <w:t xml:space="preserve">   </w:t>
      </w:r>
    </w:p>
    <w:p w14:paraId="39ECADE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17.4因不可抗力解除合同</w:t>
      </w:r>
    </w:p>
    <w:p w14:paraId="1D300DC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天内完成款项的支付。</w:t>
      </w:r>
    </w:p>
    <w:p w14:paraId="57F3655F">
      <w:pPr>
        <w:pStyle w:val="8"/>
        <w:spacing w:line="500" w:lineRule="exact"/>
        <w:rPr>
          <w:rFonts w:hint="eastAsia" w:ascii="宋体" w:hAnsi="宋体" w:eastAsia="宋体" w:cs="宋体"/>
          <w:b w:val="0"/>
          <w:color w:val="000000"/>
          <w:sz w:val="24"/>
          <w:szCs w:val="24"/>
        </w:rPr>
      </w:pPr>
      <w:bookmarkStart w:id="1066" w:name="_Toc375060872"/>
      <w:r>
        <w:rPr>
          <w:rFonts w:hint="eastAsia" w:ascii="宋体" w:hAnsi="宋体" w:eastAsia="宋体" w:cs="宋体"/>
          <w:b w:val="0"/>
          <w:color w:val="000000"/>
          <w:sz w:val="24"/>
          <w:szCs w:val="24"/>
        </w:rPr>
        <w:t>18. 保险</w:t>
      </w:r>
      <w:bookmarkEnd w:id="1066"/>
    </w:p>
    <w:bookmarkEnd w:id="1064"/>
    <w:p w14:paraId="089EA6D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6C4A6F8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AE0D28F">
      <w:pPr>
        <w:spacing w:line="5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18.3 其他保险</w:t>
      </w:r>
      <w:r>
        <w:rPr>
          <w:rFonts w:hint="eastAsia" w:ascii="宋体" w:hAnsi="宋体" w:eastAsia="宋体" w:cs="宋体"/>
          <w:color w:val="000000"/>
          <w:sz w:val="24"/>
          <w:szCs w:val="24"/>
          <w:lang w:val="en-US" w:eastAsia="zh-CN"/>
        </w:rPr>
        <w:t xml:space="preserve"> </w:t>
      </w:r>
    </w:p>
    <w:p w14:paraId="76DCFDA8">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272AC5C2">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1E4844B">
      <w:pPr>
        <w:spacing w:line="500" w:lineRule="exact"/>
        <w:ind w:firstLine="480" w:firstLineChars="200"/>
        <w:outlineLvl w:val="0"/>
        <w:rPr>
          <w:rFonts w:hint="eastAsia" w:ascii="宋体" w:hAnsi="宋体" w:eastAsia="宋体" w:cs="宋体"/>
          <w:color w:val="000000"/>
          <w:sz w:val="24"/>
          <w:szCs w:val="24"/>
        </w:rPr>
      </w:pPr>
      <w:bookmarkStart w:id="1067" w:name="_Toc375060873"/>
      <w:bookmarkStart w:id="1068" w:name="_Toc375060655"/>
      <w:r>
        <w:rPr>
          <w:rFonts w:hint="eastAsia" w:ascii="宋体" w:hAnsi="宋体" w:eastAsia="宋体" w:cs="宋体"/>
          <w:color w:val="000000"/>
          <w:sz w:val="24"/>
          <w:szCs w:val="24"/>
        </w:rPr>
        <w:t>18.7 通知义务</w:t>
      </w:r>
      <w:bookmarkEnd w:id="1067"/>
      <w:bookmarkEnd w:id="1068"/>
    </w:p>
    <w:p w14:paraId="2DCBF66A">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1040"/>
    <w:bookmarkEnd w:id="1041"/>
    <w:bookmarkEnd w:id="1042"/>
    <w:bookmarkEnd w:id="1043"/>
    <w:bookmarkEnd w:id="1044"/>
    <w:bookmarkEnd w:id="1045"/>
    <w:bookmarkEnd w:id="1046"/>
    <w:bookmarkEnd w:id="1047"/>
    <w:bookmarkEnd w:id="1048"/>
    <w:bookmarkEnd w:id="1049"/>
    <w:bookmarkEnd w:id="1050"/>
    <w:bookmarkEnd w:id="1051"/>
    <w:p w14:paraId="48120C19">
      <w:pPr>
        <w:pStyle w:val="8"/>
        <w:spacing w:line="500" w:lineRule="exact"/>
        <w:rPr>
          <w:rFonts w:hint="eastAsia" w:ascii="宋体" w:hAnsi="宋体" w:eastAsia="宋体" w:cs="宋体"/>
          <w:b w:val="0"/>
          <w:color w:val="000000"/>
          <w:sz w:val="24"/>
          <w:szCs w:val="24"/>
        </w:rPr>
      </w:pPr>
      <w:bookmarkStart w:id="1069" w:name="_Toc375060874"/>
      <w:r>
        <w:rPr>
          <w:rFonts w:hint="eastAsia" w:ascii="宋体" w:hAnsi="宋体" w:eastAsia="宋体" w:cs="宋体"/>
          <w:b w:val="0"/>
          <w:color w:val="000000"/>
          <w:sz w:val="24"/>
          <w:szCs w:val="24"/>
        </w:rPr>
        <w:t>20. 争议解决</w:t>
      </w:r>
      <w:bookmarkEnd w:id="1069"/>
    </w:p>
    <w:bookmarkEnd w:id="1052"/>
    <w:bookmarkEnd w:id="1053"/>
    <w:p w14:paraId="0D740A9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1054"/>
      <w:r>
        <w:rPr>
          <w:rFonts w:hint="eastAsia" w:ascii="宋体" w:hAnsi="宋体" w:eastAsia="宋体" w:cs="宋体"/>
          <w:color w:val="000000"/>
          <w:sz w:val="24"/>
          <w:szCs w:val="24"/>
        </w:rPr>
        <w:t>议评审</w:t>
      </w:r>
    </w:p>
    <w:p w14:paraId="1B460F37">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9FA39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14:paraId="647C8CB6">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248267C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AAB879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6F2143A0">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27400E75">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20.3.2 </w:t>
      </w:r>
      <w:r>
        <w:rPr>
          <w:rFonts w:hint="eastAsia" w:ascii="宋体" w:hAnsi="宋体" w:eastAsia="宋体" w:cs="宋体"/>
          <w:color w:val="000000"/>
          <w:sz w:val="24"/>
          <w:szCs w:val="24"/>
        </w:rPr>
        <w:t>争议评审小组的决定</w:t>
      </w:r>
    </w:p>
    <w:p w14:paraId="5245715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36A54B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1055"/>
    </w:p>
    <w:p w14:paraId="3999551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种方式解决：</w:t>
      </w:r>
    </w:p>
    <w:p w14:paraId="230291C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14:paraId="28F27F5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人民法院起诉。</w:t>
      </w:r>
      <w:bookmarkEnd w:id="1056"/>
      <w:bookmarkEnd w:id="1057"/>
      <w:bookmarkEnd w:id="1058"/>
      <w:bookmarkEnd w:id="1059"/>
      <w:bookmarkEnd w:id="1060"/>
      <w:bookmarkEnd w:id="1061"/>
    </w:p>
    <w:p w14:paraId="5F7445C0">
      <w:pPr>
        <w:spacing w:line="500" w:lineRule="exact"/>
        <w:ind w:right="2" w:rightChars="1"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（本页以下无正文内容）</w:t>
      </w:r>
    </w:p>
    <w:p w14:paraId="3E3F9132">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color w:val="000000"/>
          <w:sz w:val="28"/>
          <w:szCs w:val="28"/>
        </w:rPr>
        <w:t>附件</w:t>
      </w:r>
    </w:p>
    <w:p w14:paraId="39FBE26E">
      <w:pPr>
        <w:spacing w:beforeLines="150"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协议书附件：</w:t>
      </w:r>
    </w:p>
    <w:p w14:paraId="5DB41459">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14:paraId="7F5F5A1F">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专用合同条款附件：</w:t>
      </w:r>
    </w:p>
    <w:p w14:paraId="4D6A0CFD">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14:paraId="6D3DA7BB">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附件3：工程质量保修书</w:t>
      </w:r>
    </w:p>
    <w:p w14:paraId="280C1458">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14:paraId="75BF383B">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14:paraId="6D1826C6">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14:paraId="2DD37221">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14:paraId="37422173">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附件8：履约担保格式</w:t>
      </w:r>
    </w:p>
    <w:p w14:paraId="4BA8C7F8">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附件9：预付款担保格式</w:t>
      </w:r>
    </w:p>
    <w:p w14:paraId="18628C8A">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附件10：支付担保格式</w:t>
      </w:r>
    </w:p>
    <w:p w14:paraId="1C002C22">
      <w:pPr>
        <w:spacing w:line="360" w:lineRule="auto"/>
        <w:ind w:left="630" w:leftChars="300"/>
        <w:jc w:val="left"/>
        <w:rPr>
          <w:rFonts w:hint="eastAsia" w:ascii="宋体" w:hAnsi="宋体" w:eastAsia="宋体" w:cs="宋体"/>
          <w:color w:val="000000"/>
          <w:sz w:val="24"/>
          <w:szCs w:val="24"/>
        </w:rPr>
        <w:sectPr>
          <w:footerReference r:id="rId17" w:type="first"/>
          <w:footerReference r:id="rId16" w:type="default"/>
          <w:pgSz w:w="11906" w:h="16838"/>
          <w:pgMar w:top="1418" w:right="1304" w:bottom="1418" w:left="1304" w:header="851" w:footer="992" w:gutter="0"/>
          <w:pgNumType w:fmt="decimal" w:start="48"/>
          <w:cols w:space="720" w:num="1"/>
          <w:titlePg/>
          <w:docGrid w:linePitch="312" w:charSpace="0"/>
        </w:sectPr>
      </w:pPr>
      <w:r>
        <w:rPr>
          <w:rFonts w:hint="eastAsia" w:ascii="宋体" w:hAnsi="宋体" w:eastAsia="宋体" w:cs="宋体"/>
          <w:color w:val="000000"/>
          <w:sz w:val="24"/>
          <w:szCs w:val="24"/>
        </w:rPr>
        <w:t>附件11：暂估价一览表</w:t>
      </w:r>
    </w:p>
    <w:p w14:paraId="1F978FFD">
      <w:pPr>
        <w:spacing w:beforeLines="50" w:afterLines="50" w:line="440" w:lineRule="exact"/>
        <w:ind w:left="-391" w:leftChars="-186" w:firstLine="120" w:firstLineChars="5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w:t>
      </w:r>
    </w:p>
    <w:p w14:paraId="0819473C">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承包人承揽工程项目一览表</w:t>
      </w:r>
    </w:p>
    <w:tbl>
      <w:tblPr>
        <w:tblStyle w:val="24"/>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763"/>
        <w:gridCol w:w="1800"/>
        <w:gridCol w:w="1450"/>
        <w:gridCol w:w="833"/>
        <w:gridCol w:w="930"/>
        <w:gridCol w:w="1155"/>
        <w:gridCol w:w="1575"/>
        <w:gridCol w:w="1510"/>
        <w:gridCol w:w="1288"/>
        <w:gridCol w:w="1297"/>
      </w:tblGrid>
      <w:tr w14:paraId="1F321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trPr>
        <w:tc>
          <w:tcPr>
            <w:tcW w:w="2763" w:type="dxa"/>
            <w:tcBorders>
              <w:top w:val="single" w:color="auto" w:sz="12" w:space="0"/>
              <w:bottom w:val="single" w:color="auto" w:sz="4" w:space="0"/>
            </w:tcBorders>
            <w:vAlign w:val="center"/>
          </w:tcPr>
          <w:p w14:paraId="356B0DF7">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单位工程名称</w:t>
            </w:r>
          </w:p>
        </w:tc>
        <w:tc>
          <w:tcPr>
            <w:tcW w:w="1800" w:type="dxa"/>
            <w:tcBorders>
              <w:top w:val="single" w:color="auto" w:sz="12" w:space="0"/>
              <w:bottom w:val="single" w:color="auto" w:sz="4" w:space="0"/>
            </w:tcBorders>
            <w:vAlign w:val="center"/>
          </w:tcPr>
          <w:p w14:paraId="2868BCB9">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建设规模</w:t>
            </w:r>
          </w:p>
        </w:tc>
        <w:tc>
          <w:tcPr>
            <w:tcW w:w="1450" w:type="dxa"/>
            <w:tcBorders>
              <w:top w:val="single" w:color="auto" w:sz="12" w:space="0"/>
              <w:bottom w:val="single" w:color="auto" w:sz="4" w:space="0"/>
            </w:tcBorders>
            <w:vAlign w:val="center"/>
          </w:tcPr>
          <w:p w14:paraId="1B4ACF9C">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建筑面积</w:t>
            </w:r>
          </w:p>
          <w:p w14:paraId="2405F596">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（平方米）</w:t>
            </w:r>
          </w:p>
        </w:tc>
        <w:tc>
          <w:tcPr>
            <w:tcW w:w="833" w:type="dxa"/>
            <w:tcBorders>
              <w:top w:val="single" w:color="auto" w:sz="12" w:space="0"/>
              <w:bottom w:val="single" w:color="auto" w:sz="4" w:space="0"/>
            </w:tcBorders>
            <w:vAlign w:val="center"/>
          </w:tcPr>
          <w:p w14:paraId="5C100C30">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结构</w:t>
            </w:r>
          </w:p>
          <w:p w14:paraId="62C3EF19">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形式</w:t>
            </w:r>
          </w:p>
        </w:tc>
        <w:tc>
          <w:tcPr>
            <w:tcW w:w="930" w:type="dxa"/>
            <w:tcBorders>
              <w:top w:val="single" w:color="auto" w:sz="12" w:space="0"/>
              <w:bottom w:val="single" w:color="auto" w:sz="4" w:space="0"/>
            </w:tcBorders>
            <w:vAlign w:val="center"/>
          </w:tcPr>
          <w:p w14:paraId="25C103FF">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层数</w:t>
            </w:r>
          </w:p>
        </w:tc>
        <w:tc>
          <w:tcPr>
            <w:tcW w:w="1155" w:type="dxa"/>
            <w:tcBorders>
              <w:top w:val="single" w:color="auto" w:sz="12" w:space="0"/>
              <w:bottom w:val="single" w:color="auto" w:sz="4" w:space="0"/>
            </w:tcBorders>
            <w:vAlign w:val="center"/>
          </w:tcPr>
          <w:p w14:paraId="00FD452B">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生产能力</w:t>
            </w:r>
          </w:p>
        </w:tc>
        <w:tc>
          <w:tcPr>
            <w:tcW w:w="1575" w:type="dxa"/>
            <w:tcBorders>
              <w:top w:val="single" w:color="auto" w:sz="12" w:space="0"/>
              <w:bottom w:val="single" w:color="auto" w:sz="4" w:space="0"/>
            </w:tcBorders>
            <w:vAlign w:val="center"/>
          </w:tcPr>
          <w:p w14:paraId="4B5711E8">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设备安装内容</w:t>
            </w:r>
          </w:p>
        </w:tc>
        <w:tc>
          <w:tcPr>
            <w:tcW w:w="1510" w:type="dxa"/>
            <w:tcBorders>
              <w:top w:val="single" w:color="auto" w:sz="12" w:space="0"/>
              <w:bottom w:val="single" w:color="auto" w:sz="4" w:space="0"/>
            </w:tcBorders>
            <w:vAlign w:val="center"/>
          </w:tcPr>
          <w:p w14:paraId="0F083B89">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合同价格</w:t>
            </w:r>
          </w:p>
          <w:p w14:paraId="12AFD343">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（元）</w:t>
            </w:r>
          </w:p>
        </w:tc>
        <w:tc>
          <w:tcPr>
            <w:tcW w:w="1288" w:type="dxa"/>
            <w:tcBorders>
              <w:top w:val="single" w:color="auto" w:sz="12" w:space="0"/>
              <w:bottom w:val="single" w:color="auto" w:sz="4" w:space="0"/>
            </w:tcBorders>
            <w:vAlign w:val="center"/>
          </w:tcPr>
          <w:p w14:paraId="38BE5681">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开工日期</w:t>
            </w:r>
          </w:p>
        </w:tc>
        <w:tc>
          <w:tcPr>
            <w:tcW w:w="1297" w:type="dxa"/>
            <w:tcBorders>
              <w:top w:val="single" w:color="auto" w:sz="12" w:space="0"/>
              <w:bottom w:val="single" w:color="auto" w:sz="4" w:space="0"/>
            </w:tcBorders>
            <w:vAlign w:val="center"/>
          </w:tcPr>
          <w:p w14:paraId="0719D75A">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竣工日期</w:t>
            </w:r>
          </w:p>
        </w:tc>
      </w:tr>
      <w:tr w14:paraId="59720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single" w:color="auto" w:sz="4" w:space="0"/>
              <w:left w:val="single" w:color="auto" w:sz="4" w:space="0"/>
              <w:bottom w:val="single" w:color="auto" w:sz="4" w:space="0"/>
              <w:right w:val="single" w:color="auto" w:sz="4" w:space="0"/>
            </w:tcBorders>
            <w:vAlign w:val="center"/>
          </w:tcPr>
          <w:p w14:paraId="60CD1134">
            <w:pPr>
              <w:pStyle w:val="11"/>
              <w:keepNext/>
              <w:spacing w:line="440" w:lineRule="exact"/>
              <w:ind w:left="4" w:leftChars="2" w:right="-13" w:rightChars="-6"/>
              <w:jc w:val="center"/>
              <w:rPr>
                <w:rFonts w:hint="eastAsia" w:ascii="宋体" w:hAnsi="宋体" w:eastAsia="宋体" w:cs="宋体"/>
                <w:b/>
                <w:color w:val="000000"/>
                <w:kern w:val="2"/>
                <w:sz w:val="22"/>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5BE3C882">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single" w:color="auto" w:sz="4" w:space="0"/>
              <w:left w:val="single" w:color="auto" w:sz="4" w:space="0"/>
              <w:bottom w:val="single" w:color="auto" w:sz="4" w:space="0"/>
              <w:right w:val="single" w:color="auto" w:sz="4" w:space="0"/>
            </w:tcBorders>
            <w:vAlign w:val="center"/>
          </w:tcPr>
          <w:p w14:paraId="1C6FD12F">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single" w:color="auto" w:sz="4" w:space="0"/>
              <w:left w:val="single" w:color="auto" w:sz="4" w:space="0"/>
              <w:bottom w:val="single" w:color="auto" w:sz="4" w:space="0"/>
              <w:right w:val="single" w:color="auto" w:sz="4" w:space="0"/>
            </w:tcBorders>
            <w:vAlign w:val="center"/>
          </w:tcPr>
          <w:p w14:paraId="79B2D775">
            <w:pPr>
              <w:pStyle w:val="11"/>
              <w:keepNext/>
              <w:spacing w:line="440" w:lineRule="exact"/>
              <w:ind w:left="63" w:right="63"/>
              <w:jc w:val="center"/>
              <w:rPr>
                <w:rFonts w:hint="eastAsia" w:ascii="宋体" w:hAnsi="宋体" w:eastAsia="宋体" w:cs="宋体"/>
                <w:color w:val="000000"/>
                <w:kern w:val="2"/>
                <w:sz w:val="22"/>
                <w:szCs w:val="22"/>
                <w:highlight w:val="cyan"/>
              </w:rPr>
            </w:pPr>
          </w:p>
        </w:tc>
        <w:tc>
          <w:tcPr>
            <w:tcW w:w="930" w:type="dxa"/>
            <w:tcBorders>
              <w:top w:val="single" w:color="auto" w:sz="4" w:space="0"/>
              <w:left w:val="single" w:color="auto" w:sz="4" w:space="0"/>
              <w:bottom w:val="single" w:color="auto" w:sz="4" w:space="0"/>
              <w:right w:val="single" w:color="auto" w:sz="4" w:space="0"/>
            </w:tcBorders>
            <w:vAlign w:val="center"/>
          </w:tcPr>
          <w:p w14:paraId="33DF140B">
            <w:pPr>
              <w:pStyle w:val="11"/>
              <w:keepNext/>
              <w:spacing w:line="440" w:lineRule="exact"/>
              <w:ind w:left="63" w:right="63"/>
              <w:jc w:val="center"/>
              <w:rPr>
                <w:rFonts w:hint="eastAsia" w:ascii="宋体" w:hAnsi="宋体" w:eastAsia="宋体" w:cs="宋体"/>
                <w:b/>
                <w:color w:val="000000"/>
                <w:kern w:val="2"/>
                <w:sz w:val="22"/>
                <w:szCs w:val="22"/>
                <w:highlight w:val="cyan"/>
              </w:rPr>
            </w:pPr>
          </w:p>
        </w:tc>
        <w:tc>
          <w:tcPr>
            <w:tcW w:w="1155" w:type="dxa"/>
            <w:tcBorders>
              <w:top w:val="single" w:color="auto" w:sz="4" w:space="0"/>
              <w:left w:val="single" w:color="auto" w:sz="4" w:space="0"/>
              <w:bottom w:val="single" w:color="auto" w:sz="4" w:space="0"/>
              <w:right w:val="single" w:color="auto" w:sz="4" w:space="0"/>
            </w:tcBorders>
            <w:vAlign w:val="center"/>
          </w:tcPr>
          <w:p w14:paraId="64DB632D">
            <w:pPr>
              <w:pStyle w:val="11"/>
              <w:keepNext/>
              <w:spacing w:line="440" w:lineRule="exact"/>
              <w:ind w:left="63" w:right="63"/>
              <w:jc w:val="center"/>
              <w:rPr>
                <w:rFonts w:hint="eastAsia" w:ascii="宋体" w:hAnsi="宋体" w:eastAsia="宋体" w:cs="宋体"/>
                <w:color w:val="000000"/>
                <w:kern w:val="2"/>
                <w:sz w:val="22"/>
                <w:szCs w:val="22"/>
                <w:highlight w:val="cyan"/>
              </w:rPr>
            </w:pPr>
          </w:p>
        </w:tc>
        <w:tc>
          <w:tcPr>
            <w:tcW w:w="1575" w:type="dxa"/>
            <w:tcBorders>
              <w:top w:val="single" w:color="auto" w:sz="4" w:space="0"/>
              <w:left w:val="single" w:color="auto" w:sz="4" w:space="0"/>
              <w:bottom w:val="single" w:color="auto" w:sz="4" w:space="0"/>
              <w:right w:val="single" w:color="auto" w:sz="4" w:space="0"/>
            </w:tcBorders>
            <w:vAlign w:val="center"/>
          </w:tcPr>
          <w:p w14:paraId="703C480E">
            <w:pPr>
              <w:pStyle w:val="11"/>
              <w:keepNext/>
              <w:spacing w:line="440" w:lineRule="exact"/>
              <w:ind w:left="63" w:right="63"/>
              <w:jc w:val="center"/>
              <w:rPr>
                <w:rFonts w:hint="eastAsia" w:ascii="宋体" w:hAnsi="宋体" w:eastAsia="宋体" w:cs="宋体"/>
                <w:color w:val="000000"/>
                <w:kern w:val="2"/>
                <w:sz w:val="22"/>
                <w:szCs w:val="22"/>
                <w:highlight w:val="cyan"/>
              </w:rPr>
            </w:pPr>
          </w:p>
        </w:tc>
        <w:tc>
          <w:tcPr>
            <w:tcW w:w="1510" w:type="dxa"/>
            <w:tcBorders>
              <w:top w:val="single" w:color="auto" w:sz="4" w:space="0"/>
              <w:left w:val="single" w:color="auto" w:sz="4" w:space="0"/>
              <w:bottom w:val="single" w:color="auto" w:sz="4" w:space="0"/>
              <w:right w:val="single" w:color="auto" w:sz="4" w:space="0"/>
            </w:tcBorders>
            <w:vAlign w:val="center"/>
          </w:tcPr>
          <w:p w14:paraId="16DD294D">
            <w:pPr>
              <w:pStyle w:val="11"/>
              <w:keepNext/>
              <w:spacing w:line="440" w:lineRule="exact"/>
              <w:ind w:left="-27" w:leftChars="-13" w:right="-27" w:rightChars="-13"/>
              <w:jc w:val="center"/>
              <w:rPr>
                <w:rFonts w:hint="eastAsia" w:ascii="宋体" w:hAnsi="宋体" w:eastAsia="宋体" w:cs="宋体"/>
                <w:b/>
                <w:color w:val="000000"/>
                <w:kern w:val="2"/>
                <w:sz w:val="22"/>
                <w:szCs w:val="22"/>
                <w:highlight w:val="cyan"/>
              </w:rPr>
            </w:pPr>
          </w:p>
        </w:tc>
        <w:tc>
          <w:tcPr>
            <w:tcW w:w="1288" w:type="dxa"/>
            <w:tcBorders>
              <w:top w:val="single" w:color="auto" w:sz="4" w:space="0"/>
              <w:left w:val="single" w:color="auto" w:sz="4" w:space="0"/>
              <w:bottom w:val="single" w:color="auto" w:sz="4" w:space="0"/>
              <w:right w:val="single" w:color="auto" w:sz="4" w:space="0"/>
            </w:tcBorders>
            <w:vAlign w:val="center"/>
          </w:tcPr>
          <w:p w14:paraId="4B4036E5">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c>
          <w:tcPr>
            <w:tcW w:w="1297" w:type="dxa"/>
            <w:tcBorders>
              <w:top w:val="single" w:color="auto" w:sz="4" w:space="0"/>
              <w:left w:val="single" w:color="auto" w:sz="4" w:space="0"/>
              <w:bottom w:val="single" w:color="auto" w:sz="4" w:space="0"/>
              <w:right w:val="single" w:color="auto" w:sz="4" w:space="0"/>
            </w:tcBorders>
            <w:vAlign w:val="center"/>
          </w:tcPr>
          <w:p w14:paraId="083F1CC9">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r>
      <w:tr w14:paraId="5F341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single" w:color="auto" w:sz="4" w:space="0"/>
            </w:tcBorders>
            <w:vAlign w:val="center"/>
          </w:tcPr>
          <w:p w14:paraId="209FC0BA">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single" w:color="auto" w:sz="4" w:space="0"/>
            </w:tcBorders>
            <w:vAlign w:val="center"/>
          </w:tcPr>
          <w:p w14:paraId="4252792E">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single" w:color="auto" w:sz="4" w:space="0"/>
            </w:tcBorders>
            <w:vAlign w:val="center"/>
          </w:tcPr>
          <w:p w14:paraId="0F234394">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single" w:color="auto" w:sz="4" w:space="0"/>
            </w:tcBorders>
            <w:vAlign w:val="center"/>
          </w:tcPr>
          <w:p w14:paraId="5D2DB059">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single" w:color="auto" w:sz="4" w:space="0"/>
            </w:tcBorders>
            <w:vAlign w:val="center"/>
          </w:tcPr>
          <w:p w14:paraId="050B7165">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single" w:color="auto" w:sz="4" w:space="0"/>
            </w:tcBorders>
            <w:vAlign w:val="center"/>
          </w:tcPr>
          <w:p w14:paraId="32373A02">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single" w:color="auto" w:sz="4" w:space="0"/>
            </w:tcBorders>
            <w:vAlign w:val="center"/>
          </w:tcPr>
          <w:p w14:paraId="177BCEA8">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single" w:color="auto" w:sz="4" w:space="0"/>
            </w:tcBorders>
            <w:vAlign w:val="center"/>
          </w:tcPr>
          <w:p w14:paraId="097E88B1">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single" w:color="auto" w:sz="4" w:space="0"/>
            </w:tcBorders>
            <w:vAlign w:val="center"/>
          </w:tcPr>
          <w:p w14:paraId="5BF66C34">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single" w:color="auto" w:sz="4" w:space="0"/>
            </w:tcBorders>
            <w:vAlign w:val="center"/>
          </w:tcPr>
          <w:p w14:paraId="0D846E99">
            <w:pPr>
              <w:pStyle w:val="11"/>
              <w:keepNext/>
              <w:spacing w:line="440" w:lineRule="exact"/>
              <w:ind w:left="63" w:right="63"/>
              <w:jc w:val="center"/>
              <w:rPr>
                <w:rFonts w:hint="eastAsia" w:ascii="宋体" w:hAnsi="宋体" w:eastAsia="宋体" w:cs="宋体"/>
                <w:color w:val="000000"/>
                <w:kern w:val="2"/>
                <w:sz w:val="22"/>
                <w:szCs w:val="22"/>
              </w:rPr>
            </w:pPr>
          </w:p>
        </w:tc>
      </w:tr>
      <w:tr w14:paraId="4C338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1012AD3A">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5FF01DCA">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25B4B17E">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nil"/>
            </w:tcBorders>
            <w:vAlign w:val="center"/>
          </w:tcPr>
          <w:p w14:paraId="7E8B8AC8">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6CD98992">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7F2FC297">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05554D14">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274B4822">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nil"/>
            </w:tcBorders>
            <w:vAlign w:val="center"/>
          </w:tcPr>
          <w:p w14:paraId="3D2DDFEE">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2B59889F">
            <w:pPr>
              <w:pStyle w:val="11"/>
              <w:keepNext/>
              <w:spacing w:line="440" w:lineRule="exact"/>
              <w:ind w:left="63" w:right="63"/>
              <w:jc w:val="center"/>
              <w:rPr>
                <w:rFonts w:hint="eastAsia" w:ascii="宋体" w:hAnsi="宋体" w:eastAsia="宋体" w:cs="宋体"/>
                <w:color w:val="000000"/>
                <w:kern w:val="2"/>
                <w:sz w:val="22"/>
                <w:szCs w:val="22"/>
              </w:rPr>
            </w:pPr>
          </w:p>
        </w:tc>
      </w:tr>
      <w:tr w14:paraId="3E624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vAlign w:val="center"/>
          </w:tcPr>
          <w:p w14:paraId="010E91D4">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2CB136CB">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303FF58C">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vAlign w:val="center"/>
          </w:tcPr>
          <w:p w14:paraId="518AA4D5">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46583144">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vAlign w:val="center"/>
          </w:tcPr>
          <w:p w14:paraId="30D26D88">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571CD434">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58B36674">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vAlign w:val="center"/>
          </w:tcPr>
          <w:p w14:paraId="0E095E55">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50D35EBB">
            <w:pPr>
              <w:pStyle w:val="11"/>
              <w:keepNext/>
              <w:spacing w:line="440" w:lineRule="exact"/>
              <w:ind w:left="63" w:right="63"/>
              <w:jc w:val="center"/>
              <w:rPr>
                <w:rFonts w:hint="eastAsia" w:ascii="宋体" w:hAnsi="宋体" w:eastAsia="宋体" w:cs="宋体"/>
                <w:color w:val="000000"/>
                <w:kern w:val="2"/>
                <w:sz w:val="22"/>
                <w:szCs w:val="22"/>
              </w:rPr>
            </w:pPr>
          </w:p>
        </w:tc>
      </w:tr>
      <w:tr w14:paraId="21D7B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0EFA125A">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458BE3EC">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56F2E046">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nil"/>
            </w:tcBorders>
            <w:vAlign w:val="center"/>
          </w:tcPr>
          <w:p w14:paraId="67D8D514">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419D0490">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7011F883">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1A7A84D3">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4DE82C72">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nil"/>
            </w:tcBorders>
            <w:vAlign w:val="center"/>
          </w:tcPr>
          <w:p w14:paraId="301E4B54">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564FE14D">
            <w:pPr>
              <w:pStyle w:val="11"/>
              <w:keepNext/>
              <w:spacing w:line="440" w:lineRule="exact"/>
              <w:ind w:left="63" w:right="63"/>
              <w:jc w:val="center"/>
              <w:rPr>
                <w:rFonts w:hint="eastAsia" w:ascii="宋体" w:hAnsi="宋体" w:eastAsia="宋体" w:cs="宋体"/>
                <w:color w:val="000000"/>
                <w:kern w:val="2"/>
                <w:sz w:val="22"/>
                <w:szCs w:val="22"/>
              </w:rPr>
            </w:pPr>
          </w:p>
        </w:tc>
      </w:tr>
      <w:tr w14:paraId="12209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vAlign w:val="center"/>
          </w:tcPr>
          <w:p w14:paraId="154D9EBE">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30BEAFCE">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54A761CC">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vAlign w:val="center"/>
          </w:tcPr>
          <w:p w14:paraId="1F344EF3">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792A8808">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vAlign w:val="center"/>
          </w:tcPr>
          <w:p w14:paraId="6C897E71">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4E71C92F">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1837D0F1">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vAlign w:val="center"/>
          </w:tcPr>
          <w:p w14:paraId="2D1557AC">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1DCD0726">
            <w:pPr>
              <w:pStyle w:val="11"/>
              <w:keepNext/>
              <w:spacing w:line="440" w:lineRule="exact"/>
              <w:ind w:left="63" w:right="63"/>
              <w:jc w:val="center"/>
              <w:rPr>
                <w:rFonts w:hint="eastAsia" w:ascii="宋体" w:hAnsi="宋体" w:eastAsia="宋体" w:cs="宋体"/>
                <w:color w:val="000000"/>
                <w:kern w:val="2"/>
                <w:sz w:val="22"/>
                <w:szCs w:val="22"/>
              </w:rPr>
            </w:pPr>
          </w:p>
        </w:tc>
      </w:tr>
      <w:tr w14:paraId="3B76A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76C49F1C">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43FD6E5D">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4BB6181A">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nil"/>
            </w:tcBorders>
            <w:vAlign w:val="center"/>
          </w:tcPr>
          <w:p w14:paraId="11386D35">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5C185756">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0A5145A3">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30184543">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0BBB6DD1">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nil"/>
            </w:tcBorders>
            <w:vAlign w:val="center"/>
          </w:tcPr>
          <w:p w14:paraId="581CB06B">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c>
          <w:tcPr>
            <w:tcW w:w="1297" w:type="dxa"/>
            <w:tcBorders>
              <w:top w:val="nil"/>
            </w:tcBorders>
            <w:vAlign w:val="center"/>
          </w:tcPr>
          <w:p w14:paraId="708F9EAB">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r>
      <w:tr w14:paraId="640C1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1C4BD0C8">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5B52A61A">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18C67162">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tcBorders>
              <w:top w:val="nil"/>
            </w:tcBorders>
            <w:vAlign w:val="center"/>
          </w:tcPr>
          <w:p w14:paraId="6B4CE16D">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0E9FEE04">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2CCE857A">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0AFF2FD6">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621C223B">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tcBorders>
              <w:top w:val="nil"/>
            </w:tcBorders>
            <w:vAlign w:val="center"/>
          </w:tcPr>
          <w:p w14:paraId="3A5B0D0B">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17CE6547">
            <w:pPr>
              <w:pStyle w:val="11"/>
              <w:keepNext/>
              <w:spacing w:line="440" w:lineRule="exact"/>
              <w:ind w:left="63" w:right="63"/>
              <w:jc w:val="center"/>
              <w:rPr>
                <w:rFonts w:hint="eastAsia" w:ascii="宋体" w:hAnsi="宋体" w:eastAsia="宋体" w:cs="宋体"/>
                <w:color w:val="000000"/>
                <w:kern w:val="2"/>
                <w:sz w:val="22"/>
                <w:szCs w:val="22"/>
              </w:rPr>
            </w:pPr>
          </w:p>
        </w:tc>
      </w:tr>
      <w:tr w14:paraId="096B2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vAlign w:val="center"/>
          </w:tcPr>
          <w:p w14:paraId="5389F108">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118757FE">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1154F89C">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vAlign w:val="center"/>
          </w:tcPr>
          <w:p w14:paraId="44993F3B">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3ADA3B79">
            <w:pPr>
              <w:pStyle w:val="11"/>
              <w:keepNext/>
              <w:spacing w:line="440" w:lineRule="exact"/>
              <w:ind w:left="63" w:right="63"/>
              <w:jc w:val="center"/>
              <w:rPr>
                <w:rFonts w:hint="eastAsia" w:ascii="宋体" w:hAnsi="宋体" w:eastAsia="宋体" w:cs="宋体"/>
                <w:color w:val="000000"/>
                <w:kern w:val="2"/>
                <w:sz w:val="22"/>
                <w:szCs w:val="22"/>
              </w:rPr>
            </w:pPr>
          </w:p>
        </w:tc>
        <w:tc>
          <w:tcPr>
            <w:tcW w:w="1155" w:type="dxa"/>
            <w:vAlign w:val="center"/>
          </w:tcPr>
          <w:p w14:paraId="5103A959">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1471C825">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0209EF35">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vAlign w:val="center"/>
          </w:tcPr>
          <w:p w14:paraId="1B39435D">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1F29A905">
            <w:pPr>
              <w:pStyle w:val="11"/>
              <w:keepNext/>
              <w:spacing w:line="440" w:lineRule="exact"/>
              <w:ind w:left="63" w:right="63"/>
              <w:jc w:val="center"/>
              <w:rPr>
                <w:rFonts w:hint="eastAsia" w:ascii="宋体" w:hAnsi="宋体" w:eastAsia="宋体" w:cs="宋体"/>
                <w:color w:val="000000"/>
                <w:kern w:val="2"/>
                <w:sz w:val="22"/>
                <w:szCs w:val="22"/>
              </w:rPr>
            </w:pPr>
          </w:p>
        </w:tc>
      </w:tr>
      <w:tr w14:paraId="6A9BC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536AAE1D">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5A938E16">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0811A35B">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tcBorders>
              <w:top w:val="nil"/>
            </w:tcBorders>
            <w:vAlign w:val="center"/>
          </w:tcPr>
          <w:p w14:paraId="5E36AD9A">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21C1FDD3">
            <w:pPr>
              <w:pStyle w:val="11"/>
              <w:keepNext/>
              <w:spacing w:line="440" w:lineRule="exact"/>
              <w:ind w:left="63" w:right="63"/>
              <w:jc w:val="center"/>
              <w:rPr>
                <w:rFonts w:hint="eastAsia" w:ascii="宋体" w:hAnsi="宋体" w:eastAsia="宋体" w:cs="宋体"/>
                <w:color w:val="000000"/>
                <w:kern w:val="2"/>
                <w:sz w:val="22"/>
                <w:szCs w:val="22"/>
              </w:rPr>
            </w:pPr>
          </w:p>
        </w:tc>
        <w:tc>
          <w:tcPr>
            <w:tcW w:w="1155" w:type="dxa"/>
            <w:tcBorders>
              <w:top w:val="nil"/>
            </w:tcBorders>
            <w:vAlign w:val="center"/>
          </w:tcPr>
          <w:p w14:paraId="46224E1E">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2F112B08">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5A93214C">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tcBorders>
              <w:top w:val="nil"/>
            </w:tcBorders>
            <w:vAlign w:val="center"/>
          </w:tcPr>
          <w:p w14:paraId="7E9C84E4">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7E6AC03F">
            <w:pPr>
              <w:pStyle w:val="11"/>
              <w:keepNext/>
              <w:spacing w:line="440" w:lineRule="exact"/>
              <w:ind w:left="63" w:right="63"/>
              <w:jc w:val="center"/>
              <w:rPr>
                <w:rFonts w:hint="eastAsia" w:ascii="宋体" w:hAnsi="宋体" w:eastAsia="宋体" w:cs="宋体"/>
                <w:color w:val="000000"/>
                <w:kern w:val="2"/>
                <w:sz w:val="22"/>
                <w:szCs w:val="22"/>
              </w:rPr>
            </w:pPr>
          </w:p>
        </w:tc>
      </w:tr>
      <w:tr w14:paraId="00899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vAlign w:val="center"/>
          </w:tcPr>
          <w:p w14:paraId="241C2DD1">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68EC2627">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14ED390B">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vAlign w:val="center"/>
          </w:tcPr>
          <w:p w14:paraId="4D604701">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5BEFE288">
            <w:pPr>
              <w:pStyle w:val="11"/>
              <w:keepNext/>
              <w:spacing w:line="440" w:lineRule="exact"/>
              <w:ind w:left="63" w:right="63"/>
              <w:jc w:val="center"/>
              <w:rPr>
                <w:rFonts w:hint="eastAsia" w:ascii="宋体" w:hAnsi="宋体" w:eastAsia="宋体" w:cs="宋体"/>
                <w:color w:val="000000"/>
                <w:kern w:val="2"/>
                <w:sz w:val="22"/>
                <w:szCs w:val="22"/>
              </w:rPr>
            </w:pPr>
          </w:p>
        </w:tc>
        <w:tc>
          <w:tcPr>
            <w:tcW w:w="1155" w:type="dxa"/>
            <w:vAlign w:val="center"/>
          </w:tcPr>
          <w:p w14:paraId="72456919">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5E8B2892">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4CE5D4D9">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vAlign w:val="center"/>
          </w:tcPr>
          <w:p w14:paraId="0204FB12">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0BE090D0">
            <w:pPr>
              <w:pStyle w:val="11"/>
              <w:keepNext/>
              <w:spacing w:line="440" w:lineRule="exact"/>
              <w:ind w:left="63" w:right="63"/>
              <w:jc w:val="center"/>
              <w:rPr>
                <w:rFonts w:hint="eastAsia" w:ascii="宋体" w:hAnsi="宋体" w:eastAsia="宋体" w:cs="宋体"/>
                <w:color w:val="000000"/>
                <w:kern w:val="2"/>
                <w:sz w:val="22"/>
                <w:szCs w:val="22"/>
              </w:rPr>
            </w:pPr>
          </w:p>
        </w:tc>
      </w:tr>
    </w:tbl>
    <w:p w14:paraId="0E2F5097">
      <w:pPr>
        <w:spacing w:line="440" w:lineRule="exact"/>
        <w:rPr>
          <w:rFonts w:hint="eastAsia" w:ascii="宋体" w:hAnsi="宋体" w:eastAsia="宋体" w:cs="宋体"/>
          <w:b/>
          <w:color w:val="000000"/>
          <w:sz w:val="28"/>
          <w:szCs w:val="28"/>
        </w:rPr>
        <w:sectPr>
          <w:pgSz w:w="16838" w:h="11906" w:orient="landscape"/>
          <w:pgMar w:top="1554" w:right="1418" w:bottom="1531" w:left="1418" w:header="851" w:footer="992" w:gutter="0"/>
          <w:pgNumType w:fmt="decimal"/>
          <w:cols w:space="720" w:num="1"/>
          <w:titlePg/>
          <w:docGrid w:linePitch="312" w:charSpace="0"/>
        </w:sectPr>
      </w:pPr>
    </w:p>
    <w:p w14:paraId="7D554AD0">
      <w:pPr>
        <w:spacing w:line="440" w:lineRule="exact"/>
        <w:ind w:left="-840" w:leftChars="-400" w:right="-6"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70" w:name="_Toc296346726"/>
      <w:bookmarkStart w:id="1071" w:name="_Toc296503225"/>
      <w:bookmarkStart w:id="1072" w:name="_Toc267261692"/>
      <w:bookmarkStart w:id="1073" w:name="_Toc296347224"/>
      <w:bookmarkStart w:id="1074" w:name="_Toc296891265"/>
      <w:bookmarkStart w:id="1075" w:name="_Toc296944564"/>
      <w:bookmarkStart w:id="1076" w:name="_Toc296891053"/>
      <w:r>
        <w:rPr>
          <w:rFonts w:hint="eastAsia" w:ascii="宋体" w:hAnsi="宋体" w:eastAsia="宋体" w:cs="宋体"/>
          <w:color w:val="000000"/>
          <w:sz w:val="24"/>
          <w:szCs w:val="24"/>
        </w:rPr>
        <w:t>件2：</w:t>
      </w:r>
    </w:p>
    <w:bookmarkEnd w:id="1070"/>
    <w:bookmarkEnd w:id="1071"/>
    <w:bookmarkEnd w:id="1072"/>
    <w:bookmarkEnd w:id="1073"/>
    <w:bookmarkEnd w:id="1074"/>
    <w:bookmarkEnd w:id="1075"/>
    <w:bookmarkEnd w:id="1076"/>
    <w:p w14:paraId="4F9BDA21">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发包人供应材料设备一览表</w:t>
      </w:r>
    </w:p>
    <w:tbl>
      <w:tblPr>
        <w:tblStyle w:val="24"/>
        <w:tblW w:w="101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0"/>
        <w:gridCol w:w="1276"/>
        <w:gridCol w:w="1418"/>
        <w:gridCol w:w="940"/>
        <w:gridCol w:w="851"/>
        <w:gridCol w:w="1044"/>
        <w:gridCol w:w="992"/>
        <w:gridCol w:w="851"/>
        <w:gridCol w:w="1350"/>
        <w:gridCol w:w="852"/>
      </w:tblGrid>
      <w:tr w14:paraId="6F269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6A91FDD">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00194AC">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材料、</w:t>
            </w:r>
          </w:p>
          <w:p w14:paraId="2F7B24AE">
            <w:pPr>
              <w:pStyle w:val="11"/>
              <w:keepNext/>
              <w:keepLines w:val="0"/>
              <w:pageBreakBefore w:val="0"/>
              <w:widowControl w:val="0"/>
              <w:kinsoku/>
              <w:wordWrap/>
              <w:overflowPunct/>
              <w:topLinePunct w:val="0"/>
              <w:autoSpaceDE/>
              <w:autoSpaceDN/>
              <w:bidi w:val="0"/>
              <w:adjustRightInd/>
              <w:snapToGrid/>
              <w:spacing w:after="0" w:line="300" w:lineRule="exact"/>
              <w:ind w:left="0" w:leftChars="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设备品种</w:t>
            </w:r>
          </w:p>
        </w:tc>
        <w:tc>
          <w:tcPr>
            <w:tcW w:w="1418" w:type="dxa"/>
            <w:tcBorders>
              <w:top w:val="single" w:color="auto" w:sz="4" w:space="0"/>
              <w:left w:val="single" w:color="auto" w:sz="4" w:space="0"/>
              <w:bottom w:val="single" w:color="auto" w:sz="4" w:space="0"/>
              <w:right w:val="single" w:color="auto" w:sz="4" w:space="0"/>
            </w:tcBorders>
            <w:vAlign w:val="center"/>
          </w:tcPr>
          <w:p w14:paraId="4D54B66D">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规格型号</w:t>
            </w:r>
          </w:p>
        </w:tc>
        <w:tc>
          <w:tcPr>
            <w:tcW w:w="940" w:type="dxa"/>
            <w:tcBorders>
              <w:top w:val="single" w:color="auto" w:sz="4" w:space="0"/>
              <w:left w:val="single" w:color="auto" w:sz="4" w:space="0"/>
              <w:bottom w:val="single" w:color="auto" w:sz="4" w:space="0"/>
              <w:right w:val="single" w:color="auto" w:sz="4" w:space="0"/>
            </w:tcBorders>
            <w:vAlign w:val="center"/>
          </w:tcPr>
          <w:p w14:paraId="78E1AF66">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13E353B6">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27D44358">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单价</w:t>
            </w:r>
          </w:p>
          <w:p w14:paraId="4C1F58BF">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（元）</w:t>
            </w:r>
          </w:p>
        </w:tc>
        <w:tc>
          <w:tcPr>
            <w:tcW w:w="992" w:type="dxa"/>
            <w:tcBorders>
              <w:top w:val="single" w:color="auto" w:sz="4" w:space="0"/>
              <w:left w:val="single" w:color="auto" w:sz="4" w:space="0"/>
              <w:bottom w:val="single" w:color="auto" w:sz="4" w:space="0"/>
              <w:right w:val="single" w:color="auto" w:sz="4" w:space="0"/>
            </w:tcBorders>
            <w:vAlign w:val="center"/>
          </w:tcPr>
          <w:p w14:paraId="30B0AC4E">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质量</w:t>
            </w:r>
          </w:p>
          <w:p w14:paraId="52D17BFA">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等级</w:t>
            </w:r>
          </w:p>
        </w:tc>
        <w:tc>
          <w:tcPr>
            <w:tcW w:w="851" w:type="dxa"/>
            <w:tcBorders>
              <w:top w:val="single" w:color="auto" w:sz="4" w:space="0"/>
              <w:left w:val="single" w:color="auto" w:sz="4" w:space="0"/>
              <w:bottom w:val="single" w:color="auto" w:sz="4" w:space="0"/>
              <w:right w:val="single" w:color="auto" w:sz="4" w:space="0"/>
            </w:tcBorders>
            <w:vAlign w:val="center"/>
          </w:tcPr>
          <w:p w14:paraId="6F53A287">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供应</w:t>
            </w:r>
          </w:p>
          <w:p w14:paraId="321A7499">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时间</w:t>
            </w:r>
          </w:p>
        </w:tc>
        <w:tc>
          <w:tcPr>
            <w:tcW w:w="1350" w:type="dxa"/>
            <w:tcBorders>
              <w:top w:val="single" w:color="auto" w:sz="4" w:space="0"/>
              <w:left w:val="single" w:color="auto" w:sz="4" w:space="0"/>
              <w:bottom w:val="single" w:color="auto" w:sz="4" w:space="0"/>
              <w:right w:val="single" w:color="auto" w:sz="4" w:space="0"/>
            </w:tcBorders>
            <w:vAlign w:val="center"/>
          </w:tcPr>
          <w:p w14:paraId="193C3D63">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送达地点</w:t>
            </w:r>
          </w:p>
        </w:tc>
        <w:tc>
          <w:tcPr>
            <w:tcW w:w="852" w:type="dxa"/>
            <w:tcBorders>
              <w:top w:val="single" w:color="auto" w:sz="4" w:space="0"/>
              <w:left w:val="single" w:color="auto" w:sz="4" w:space="0"/>
              <w:bottom w:val="single" w:color="auto" w:sz="4" w:space="0"/>
              <w:right w:val="single" w:color="auto" w:sz="4" w:space="0"/>
            </w:tcBorders>
            <w:vAlign w:val="center"/>
          </w:tcPr>
          <w:p w14:paraId="76CA71DA">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备注</w:t>
            </w:r>
          </w:p>
        </w:tc>
      </w:tr>
      <w:tr w14:paraId="61755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E4522C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3F4682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6B3D823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14:paraId="10D2C5A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E22D1A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3818416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3CE3EC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30DFC14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left w:val="single" w:color="auto" w:sz="4" w:space="0"/>
              <w:bottom w:val="single" w:color="auto" w:sz="4" w:space="0"/>
              <w:right w:val="single" w:color="auto" w:sz="4" w:space="0"/>
            </w:tcBorders>
            <w:vAlign w:val="center"/>
          </w:tcPr>
          <w:p w14:paraId="1BDC75D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63D42E0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576CD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043A55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F1A6CB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F72C4E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14:paraId="3572F9C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222C42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00F7AD5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D3F551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741959E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left w:val="single" w:color="auto" w:sz="4" w:space="0"/>
              <w:bottom w:val="single" w:color="auto" w:sz="4" w:space="0"/>
              <w:right w:val="single" w:color="auto" w:sz="4" w:space="0"/>
            </w:tcBorders>
            <w:vAlign w:val="center"/>
          </w:tcPr>
          <w:p w14:paraId="71EC5A7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4EA9919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6CDDF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21BC3D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EE95C6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E1D0F0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14:paraId="7A4CA0B2">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7E10DE6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69BC22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54A1D8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7D902F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left w:val="single" w:color="auto" w:sz="4" w:space="0"/>
              <w:bottom w:val="single" w:color="auto" w:sz="4" w:space="0"/>
              <w:right w:val="single" w:color="auto" w:sz="4" w:space="0"/>
            </w:tcBorders>
            <w:vAlign w:val="center"/>
          </w:tcPr>
          <w:p w14:paraId="1C4C800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5F2FF19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71167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tcBorders>
            <w:vAlign w:val="center"/>
          </w:tcPr>
          <w:p w14:paraId="3BEB312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tcBorders>
            <w:vAlign w:val="center"/>
          </w:tcPr>
          <w:p w14:paraId="5172D8B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tcBorders>
            <w:vAlign w:val="center"/>
          </w:tcPr>
          <w:p w14:paraId="7E25E8A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tcBorders>
            <w:vAlign w:val="center"/>
          </w:tcPr>
          <w:p w14:paraId="526B70B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tcBorders>
            <w:vAlign w:val="center"/>
          </w:tcPr>
          <w:p w14:paraId="3BC11BF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tcBorders>
            <w:vAlign w:val="center"/>
          </w:tcPr>
          <w:p w14:paraId="295B1F2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tcBorders>
            <w:vAlign w:val="center"/>
          </w:tcPr>
          <w:p w14:paraId="46297CE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tcBorders>
            <w:vAlign w:val="center"/>
          </w:tcPr>
          <w:p w14:paraId="7B82F40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tcBorders>
            <w:vAlign w:val="center"/>
          </w:tcPr>
          <w:p w14:paraId="3FC52B1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tcBorders>
            <w:vAlign w:val="center"/>
          </w:tcPr>
          <w:p w14:paraId="3AEAA74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213D7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4FF2D0B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39A5711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04FB609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353CB8F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6460162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3F7A955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0BBB8CD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530CDDD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561786D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4B2D6FD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31B79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16F5F07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5B57055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5AD08AA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2F49F6D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382331E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167156E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5E0991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4899054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40427A9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66D2BA1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75E38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AA6E65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012CD27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6B25FF8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2D76E71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5CE17CB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36157C0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0C79DF5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3C9FD61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29F2B23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797818B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04A86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3DBD9C8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4B53BF0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713E605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5017FA2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4F156CA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70F3C10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76AD0A8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049317D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7D68BF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50DF98F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2238A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1338F6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15A1B3F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1B5E01A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F9A82B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493884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431ADAE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38C82FCA">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3EFF97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6E33DD8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AEADC9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03C81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2367BEC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5CE39B6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553A0AA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310762E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1702DAD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5E9B218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6150839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7A43534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3CC3049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535547D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57F5E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23DE2B0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3647B63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1EB8EE7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4A54050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5CD5F92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0960C04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41709B9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1861F34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4E498AE4">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4990F77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27F33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1497E50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4E4CE7D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7B4B8CF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1AA348C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46338C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2641B9D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6320D0E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11BF62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72EC3F6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3A1AFA1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58D6F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5F7D829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5C4E24A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3D14E36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48EA58B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2C93EB8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1916799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59D0B25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465CAE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6F54D7E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24ADE3A">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7A17C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150BDAE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159EE5A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5B69F88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CD0776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B84A4D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795FF09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318AA3A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4A02532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49BA70A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4C2F937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49908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D71B06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3C0B49B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5BA6BEF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59A479A4">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1D0C15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7DE6B48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43F5337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4846FA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508B4CE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EF24E1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064A6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50FFF52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0589F7C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6892821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466C601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27196F1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15548CA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3814F5D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CC5936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1B96426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FE483E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3A7F5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0686D1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4EC84D5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3EEDA25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5D81A50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6843EF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40F4B07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58E94CC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0D466A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0A1CF15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2EC6E2F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6BCDA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5B82100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6AA7381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6B37801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6FB2A5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510141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7020DEB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49714B3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4918A9F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356BB3D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3D08196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03B43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0E2FAF0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745C777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125C179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383C1D8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230534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08A1C23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091517A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5280D4A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53DD118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5AC70B5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23AF5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7F0C02E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079E9D6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6E851FE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443922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44B65F9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06064DC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6DD7444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0E17155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5A9B3E3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54D4C42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bl>
    <w:p w14:paraId="2F6090AA">
      <w:pPr>
        <w:spacing w:line="440" w:lineRule="exact"/>
        <w:rPr>
          <w:rFonts w:hint="eastAsia" w:ascii="宋体" w:hAnsi="宋体" w:eastAsia="宋体" w:cs="宋体"/>
          <w:color w:val="000000"/>
          <w:sz w:val="28"/>
          <w:szCs w:val="28"/>
        </w:rPr>
        <w:sectPr>
          <w:pgSz w:w="11906" w:h="16838"/>
          <w:pgMar w:top="1418" w:right="1304" w:bottom="1418" w:left="1304" w:header="851" w:footer="992" w:gutter="0"/>
          <w:pgNumType w:fmt="decimal"/>
          <w:cols w:space="720" w:num="1"/>
          <w:titlePg/>
          <w:docGrid w:linePitch="312" w:charSpace="0"/>
        </w:sectPr>
      </w:pPr>
    </w:p>
    <w:p w14:paraId="55ECBFF3">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77" w:name="_Toc267261693"/>
      <w:bookmarkStart w:id="1078" w:name="_Toc296347225"/>
      <w:bookmarkStart w:id="1079" w:name="_Toc296503226"/>
      <w:bookmarkStart w:id="1080" w:name="_Toc296346727"/>
      <w:bookmarkStart w:id="1081" w:name="_Toc296944565"/>
      <w:bookmarkStart w:id="1082" w:name="_Toc296891266"/>
      <w:bookmarkStart w:id="1083" w:name="_Toc296891054"/>
      <w:r>
        <w:rPr>
          <w:rFonts w:hint="eastAsia" w:ascii="宋体" w:hAnsi="宋体" w:eastAsia="宋体" w:cs="宋体"/>
          <w:color w:val="000000"/>
          <w:sz w:val="24"/>
          <w:szCs w:val="24"/>
        </w:rPr>
        <w:t>件3</w:t>
      </w:r>
      <w:bookmarkEnd w:id="1077"/>
      <w:bookmarkEnd w:id="1078"/>
      <w:bookmarkEnd w:id="1079"/>
      <w:bookmarkEnd w:id="1080"/>
      <w:bookmarkEnd w:id="1081"/>
      <w:bookmarkEnd w:id="1082"/>
      <w:bookmarkEnd w:id="1083"/>
      <w:r>
        <w:rPr>
          <w:rFonts w:hint="eastAsia" w:ascii="宋体" w:hAnsi="宋体" w:eastAsia="宋体" w:cs="宋体"/>
          <w:color w:val="000000"/>
          <w:sz w:val="24"/>
          <w:szCs w:val="24"/>
        </w:rPr>
        <w:t>：</w:t>
      </w:r>
    </w:p>
    <w:p w14:paraId="44A21F9E">
      <w:pPr>
        <w:spacing w:beforeLines="50" w:afterLines="50" w:line="440" w:lineRule="exact"/>
        <w:jc w:val="center"/>
        <w:rPr>
          <w:rFonts w:hint="eastAsia" w:ascii="宋体" w:hAnsi="宋体" w:eastAsia="宋体" w:cs="宋体"/>
          <w:color w:val="000000"/>
          <w:sz w:val="40"/>
          <w:szCs w:val="40"/>
        </w:rPr>
      </w:pPr>
      <w:r>
        <w:rPr>
          <w:rFonts w:hint="eastAsia" w:ascii="宋体" w:hAnsi="宋体" w:eastAsia="宋体" w:cs="宋体"/>
          <w:color w:val="000000"/>
          <w:spacing w:val="100"/>
          <w:sz w:val="40"/>
          <w:szCs w:val="40"/>
        </w:rPr>
        <w:t>工程质量保修</w:t>
      </w:r>
      <w:r>
        <w:rPr>
          <w:rFonts w:hint="eastAsia" w:ascii="宋体" w:hAnsi="宋体" w:eastAsia="宋体" w:cs="宋体"/>
          <w:color w:val="000000"/>
          <w:sz w:val="40"/>
          <w:szCs w:val="40"/>
        </w:rPr>
        <w:t>书</w:t>
      </w:r>
    </w:p>
    <w:p w14:paraId="3B97343B">
      <w:pPr>
        <w:spacing w:beforeLines="100" w:line="490" w:lineRule="exact"/>
        <w:ind w:right="-27" w:firstLine="470" w:firstLineChars="196"/>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p>
    <w:p w14:paraId="63AF5BE9">
      <w:pPr>
        <w:spacing w:line="480" w:lineRule="exact"/>
        <w:ind w:firstLine="480" w:firstLineChars="200"/>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p>
    <w:p w14:paraId="0ED3C53A">
      <w:pPr>
        <w:autoSpaceDE w:val="0"/>
        <w:autoSpaceDN w:val="0"/>
        <w:adjustRightInd w:val="0"/>
        <w:spacing w:beforeLines="50" w:line="480" w:lineRule="exact"/>
        <w:ind w:firstLine="470" w:firstLineChars="196"/>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发包人和承包人根据</w:t>
      </w:r>
      <w:r>
        <w:rPr>
          <w:rFonts w:hint="eastAsia" w:ascii="宋体" w:hAnsi="宋体" w:eastAsia="宋体" w:cs="宋体"/>
          <w:color w:val="000000"/>
          <w:sz w:val="24"/>
          <w:szCs w:val="24"/>
        </w:rPr>
        <w:t>《中华人民共和国建筑法》和《建设工程质量管理条例》，经协商一致就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（工程全称）签订工程质量保修书。</w:t>
      </w:r>
    </w:p>
    <w:p w14:paraId="3A436343">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一、工程质量保修范围和内容</w:t>
      </w:r>
    </w:p>
    <w:p w14:paraId="23EF588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承包人在质量保修期内，按照有关法律规定和合同约定，承担工程质量保修责任。</w:t>
      </w:r>
    </w:p>
    <w:p w14:paraId="69363D4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6CD2EAD">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二、质量保修期</w:t>
      </w:r>
    </w:p>
    <w:p w14:paraId="614765B5">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14:paraId="63273E91">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14:paraId="16D9866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0E566AC7">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3.装修工程为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79F121B0">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592AFC8F">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5.供热与供冷系统为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个采暖期、供冷期；</w:t>
      </w:r>
    </w:p>
    <w:p w14:paraId="18C955F3">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204459D2">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98A26AA">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质量保修期自工程竣工验收合格之日起计算。</w:t>
      </w:r>
    </w:p>
    <w:p w14:paraId="3ABFEA8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14:paraId="312C3B81">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14:paraId="0946D664">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14:paraId="02737D4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四、质量保修责任</w:t>
      </w:r>
    </w:p>
    <w:p w14:paraId="24F9571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14:paraId="4A50B25A">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2.发生紧急事故需抢修的，承包人在接到事故通知后，应当立即到达事故现场抢修。</w:t>
      </w:r>
    </w:p>
    <w:p w14:paraId="79573199">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84C32F">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14:paraId="457F4A1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五、保修费用</w:t>
      </w:r>
    </w:p>
    <w:p w14:paraId="38CA07E3">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保修费用由造成质量缺陷的责任方承担。</w:t>
      </w:r>
    </w:p>
    <w:p w14:paraId="6682F475">
      <w:pPr>
        <w:spacing w:line="480" w:lineRule="exact"/>
        <w:ind w:firstLine="470" w:firstLineChars="196"/>
        <w:jc w:val="left"/>
        <w:rPr>
          <w:rFonts w:hint="eastAsia" w:ascii="宋体" w:hAnsi="宋体" w:eastAsia="宋体" w:cs="宋体"/>
          <w:color w:val="000000"/>
          <w:sz w:val="24"/>
          <w:szCs w:val="24"/>
        </w:rPr>
      </w:pPr>
      <w:r>
        <w:rPr>
          <w:rFonts w:hint="eastAsia" w:ascii="宋体" w:hAnsi="宋体" w:eastAsia="宋体" w:cs="宋体"/>
          <w:color w:val="000000"/>
          <w:sz w:val="24"/>
          <w:szCs w:val="24"/>
        </w:rPr>
        <w:t>六、双方约定的其他工程质量保修事项：</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0D37A9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14:paraId="3516D75C">
      <w:pPr>
        <w:spacing w:line="480" w:lineRule="exact"/>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（本页以下无正文内容）</w:t>
      </w:r>
    </w:p>
    <w:p w14:paraId="7621F082">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p>
    <w:p w14:paraId="20B070B8">
      <w:pPr>
        <w:keepNext w:val="0"/>
        <w:keepLines w:val="0"/>
        <w:pageBreakBefore w:val="0"/>
        <w:widowControl w:val="0"/>
        <w:tabs>
          <w:tab w:val="left" w:pos="1260"/>
        </w:tabs>
        <w:kinsoku/>
        <w:wordWrap/>
        <w:overflowPunct/>
        <w:topLinePunct w:val="0"/>
        <w:autoSpaceDE/>
        <w:autoSpaceDN/>
        <w:bidi w:val="0"/>
        <w:adjustRightInd w:val="0"/>
        <w:snapToGrid/>
        <w:spacing w:line="600" w:lineRule="exact"/>
        <w:jc w:val="left"/>
        <w:textAlignment w:val="baseline"/>
        <w:rPr>
          <w:rFonts w:hint="eastAsia" w:ascii="宋体" w:hAnsi="宋体" w:eastAsia="宋体" w:cs="宋体"/>
          <w:b/>
          <w:color w:val="000000"/>
          <w:w w:val="75"/>
          <w:sz w:val="24"/>
          <w:szCs w:val="24"/>
          <w:u w:val="single"/>
          <w:lang w:val="en-US" w:eastAsia="zh-CN"/>
        </w:rPr>
      </w:pPr>
      <w:r>
        <w:rPr>
          <w:rFonts w:hint="eastAsia" w:ascii="宋体" w:hAnsi="宋体" w:eastAsia="宋体" w:cs="宋体"/>
          <w:color w:val="000000"/>
          <w:sz w:val="24"/>
          <w:szCs w:val="24"/>
        </w:rPr>
        <w:t>地  址：</w:t>
      </w:r>
      <w:r>
        <w:rPr>
          <w:rFonts w:hint="eastAsia" w:ascii="宋体" w:hAnsi="宋体" w:eastAsia="宋体" w:cs="宋体"/>
          <w:b/>
          <w:color w:val="000000"/>
          <w:w w:val="75"/>
          <w:sz w:val="24"/>
          <w:szCs w:val="24"/>
          <w:u w:val="single"/>
        </w:rPr>
        <w:t xml:space="preserve">   </w:t>
      </w:r>
      <w:r>
        <w:rPr>
          <w:rFonts w:hint="eastAsia" w:ascii="宋体" w:hAnsi="宋体" w:eastAsia="宋体" w:cs="宋体"/>
          <w:b/>
          <w:color w:val="000000"/>
          <w:w w:val="75"/>
          <w:sz w:val="24"/>
          <w:szCs w:val="24"/>
          <w:u w:val="single"/>
          <w:lang w:val="en-US" w:eastAsia="zh-CN"/>
        </w:rPr>
        <w:t xml:space="preserve">                        </w:t>
      </w:r>
      <w:r>
        <w:rPr>
          <w:rFonts w:hint="eastAsia" w:ascii="宋体" w:hAnsi="宋体" w:eastAsia="宋体" w:cs="宋体"/>
          <w:b/>
          <w:color w:val="000000"/>
          <w:w w:val="75"/>
          <w:sz w:val="24"/>
          <w:szCs w:val="24"/>
          <w:u w:val="none"/>
          <w:lang w:val="en-US" w:eastAsia="zh-CN"/>
        </w:rPr>
        <w:t xml:space="preserve">       </w:t>
      </w:r>
      <w:r>
        <w:rPr>
          <w:rFonts w:hint="eastAsia" w:ascii="宋体" w:hAnsi="宋体" w:eastAsia="宋体" w:cs="宋体"/>
          <w:b/>
          <w:color w:val="000000"/>
          <w:w w:val="75"/>
          <w:sz w:val="24"/>
          <w:szCs w:val="24"/>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p>
    <w:p w14:paraId="4655897C">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p>
    <w:p w14:paraId="4CE26EC3">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p>
    <w:p w14:paraId="591A64AE">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b/>
          <w:bCs/>
          <w:sz w:val="24"/>
          <w:szCs w:val="21"/>
          <w:u w:val="single"/>
        </w:rPr>
        <w:t xml:space="preserve">   </w:t>
      </w:r>
      <w:r>
        <w:rPr>
          <w:rFonts w:hint="eastAsia" w:ascii="宋体" w:hAnsi="宋体" w:eastAsia="宋体" w:cs="宋体"/>
          <w:b/>
          <w:bCs/>
          <w:sz w:val="24"/>
          <w:szCs w:val="21"/>
          <w:u w:val="single"/>
          <w:lang w:val="en-US" w:eastAsia="zh-CN"/>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p>
    <w:p w14:paraId="5080AE4D">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highlight w:val="cyan"/>
          <w:u w:val="single"/>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14:paraId="6FF3035A">
      <w:pPr>
        <w:keepNext w:val="0"/>
        <w:keepLines w:val="0"/>
        <w:pageBreakBefore w:val="0"/>
        <w:widowControl w:val="0"/>
        <w:tabs>
          <w:tab w:val="left" w:pos="1260"/>
        </w:tabs>
        <w:kinsoku/>
        <w:wordWrap/>
        <w:overflowPunct/>
        <w:topLinePunct w:val="0"/>
        <w:autoSpaceDE/>
        <w:autoSpaceDN/>
        <w:bidi w:val="0"/>
        <w:adjustRightInd w:val="0"/>
        <w:snapToGrid/>
        <w:spacing w:line="600" w:lineRule="exact"/>
        <w:textAlignment w:val="baseline"/>
        <w:rPr>
          <w:rFonts w:hint="eastAsia" w:ascii="宋体" w:hAnsi="宋体" w:eastAsia="宋体" w:cs="宋体"/>
          <w:b/>
          <w:color w:val="000000"/>
          <w:w w:val="75"/>
          <w:sz w:val="24"/>
          <w:szCs w:val="24"/>
          <w:u w:val="single"/>
          <w:lang w:val="en-US" w:eastAsia="zh-CN"/>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b/>
          <w:color w:val="000000"/>
          <w:w w:val="75"/>
          <w:sz w:val="24"/>
          <w:szCs w:val="24"/>
          <w:u w:val="single"/>
        </w:rPr>
        <w:t>：</w:t>
      </w:r>
      <w:r>
        <w:rPr>
          <w:rFonts w:hint="eastAsia" w:ascii="宋体" w:hAnsi="宋体" w:eastAsia="宋体" w:cs="宋体"/>
          <w:b/>
          <w:color w:val="000000"/>
          <w:w w:val="75"/>
          <w:sz w:val="24"/>
          <w:szCs w:val="24"/>
          <w:u w:val="single"/>
          <w:lang w:val="en-US" w:eastAsia="zh-CN"/>
        </w:rPr>
        <w:t xml:space="preserve">                         </w:t>
      </w:r>
    </w:p>
    <w:p w14:paraId="1A7E28D5">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账  号：</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0C21ABBB">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u w:val="non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none"/>
          <w:lang w:val="en-US" w:eastAsia="zh-CN"/>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p>
    <w:p w14:paraId="763C92BF">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p>
    <w:p w14:paraId="6E07419E">
      <w:pPr>
        <w:pStyle w:val="23"/>
        <w:rPr>
          <w:rFonts w:hint="eastAsia" w:ascii="宋体" w:hAnsi="宋体" w:eastAsia="宋体" w:cs="宋体"/>
          <w:color w:val="000000"/>
          <w:sz w:val="24"/>
          <w:szCs w:val="24"/>
        </w:rPr>
      </w:pPr>
    </w:p>
    <w:p w14:paraId="4BF7CC38">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2AB9D1B9">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附件4：</w:t>
      </w:r>
    </w:p>
    <w:p w14:paraId="022B68A2">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主要建设工程文件目录</w:t>
      </w:r>
    </w:p>
    <w:tbl>
      <w:tblPr>
        <w:tblStyle w:val="24"/>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60"/>
        <w:gridCol w:w="1276"/>
        <w:gridCol w:w="1450"/>
        <w:gridCol w:w="1243"/>
        <w:gridCol w:w="1810"/>
        <w:gridCol w:w="1595"/>
      </w:tblGrid>
      <w:tr w14:paraId="3B8B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460" w:type="dxa"/>
            <w:vAlign w:val="center"/>
          </w:tcPr>
          <w:p w14:paraId="22E109F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文件名称</w:t>
            </w:r>
          </w:p>
        </w:tc>
        <w:tc>
          <w:tcPr>
            <w:tcW w:w="1276" w:type="dxa"/>
            <w:vAlign w:val="center"/>
          </w:tcPr>
          <w:p w14:paraId="5406CB2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套数</w:t>
            </w:r>
          </w:p>
        </w:tc>
        <w:tc>
          <w:tcPr>
            <w:tcW w:w="1450" w:type="dxa"/>
            <w:vAlign w:val="center"/>
          </w:tcPr>
          <w:p w14:paraId="724C6DA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费用（元）</w:t>
            </w:r>
          </w:p>
        </w:tc>
        <w:tc>
          <w:tcPr>
            <w:tcW w:w="1243" w:type="dxa"/>
            <w:vAlign w:val="center"/>
          </w:tcPr>
          <w:p w14:paraId="3C4C2E6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质量</w:t>
            </w:r>
          </w:p>
        </w:tc>
        <w:tc>
          <w:tcPr>
            <w:tcW w:w="1810" w:type="dxa"/>
            <w:vAlign w:val="center"/>
          </w:tcPr>
          <w:p w14:paraId="2D5A99BE">
            <w:pPr>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rPr>
              <w:t>移交时间</w:t>
            </w:r>
          </w:p>
        </w:tc>
        <w:tc>
          <w:tcPr>
            <w:tcW w:w="1595" w:type="dxa"/>
            <w:vAlign w:val="center"/>
          </w:tcPr>
          <w:p w14:paraId="1227DEB1">
            <w:pPr>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rPr>
              <w:t>责任人</w:t>
            </w:r>
          </w:p>
        </w:tc>
      </w:tr>
      <w:tr w14:paraId="61C3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60" w:type="dxa"/>
            <w:vAlign w:val="center"/>
          </w:tcPr>
          <w:p w14:paraId="0AABE04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28E1995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50" w:type="dxa"/>
            <w:vAlign w:val="center"/>
          </w:tcPr>
          <w:p w14:paraId="5162DF4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43" w:type="dxa"/>
            <w:vAlign w:val="center"/>
          </w:tcPr>
          <w:p w14:paraId="2FF13AA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810" w:type="dxa"/>
            <w:vAlign w:val="center"/>
          </w:tcPr>
          <w:p w14:paraId="5BAA18F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595" w:type="dxa"/>
            <w:vAlign w:val="center"/>
          </w:tcPr>
          <w:p w14:paraId="5205EA2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4AD0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60" w:type="dxa"/>
            <w:vAlign w:val="center"/>
          </w:tcPr>
          <w:p w14:paraId="436EFDA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6D46B22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50" w:type="dxa"/>
            <w:vAlign w:val="center"/>
          </w:tcPr>
          <w:p w14:paraId="2EA9266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43" w:type="dxa"/>
            <w:vAlign w:val="center"/>
          </w:tcPr>
          <w:p w14:paraId="0299733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810" w:type="dxa"/>
            <w:vAlign w:val="center"/>
          </w:tcPr>
          <w:p w14:paraId="7944F8F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595" w:type="dxa"/>
            <w:vAlign w:val="center"/>
          </w:tcPr>
          <w:p w14:paraId="7FFDB14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7AD1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60" w:type="dxa"/>
            <w:vAlign w:val="center"/>
          </w:tcPr>
          <w:p w14:paraId="05465E5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0E68A3F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50" w:type="dxa"/>
            <w:vAlign w:val="center"/>
          </w:tcPr>
          <w:p w14:paraId="168A9D6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43" w:type="dxa"/>
            <w:vAlign w:val="center"/>
          </w:tcPr>
          <w:p w14:paraId="7753F1D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810" w:type="dxa"/>
            <w:vAlign w:val="center"/>
          </w:tcPr>
          <w:p w14:paraId="2E55022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595" w:type="dxa"/>
            <w:vAlign w:val="center"/>
          </w:tcPr>
          <w:p w14:paraId="063B708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bl>
    <w:p w14:paraId="650091FB">
      <w:pPr>
        <w:spacing w:line="440" w:lineRule="exact"/>
        <w:rPr>
          <w:rFonts w:hint="eastAsia" w:ascii="宋体" w:hAnsi="宋体" w:eastAsia="宋体" w:cs="宋体"/>
          <w:color w:val="000000"/>
          <w:sz w:val="28"/>
          <w:szCs w:val="28"/>
        </w:rPr>
      </w:pPr>
    </w:p>
    <w:p w14:paraId="48C409D6">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6C9EBE3B">
      <w:pPr>
        <w:spacing w:beforeLines="150" w:line="440" w:lineRule="exact"/>
        <w:ind w:left="-489" w:leftChars="-233" w:firstLine="237" w:firstLineChars="99"/>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84" w:name="_Toc296346728"/>
      <w:bookmarkStart w:id="1085" w:name="_Toc296347226"/>
      <w:bookmarkStart w:id="1086" w:name="_Toc296944566"/>
      <w:bookmarkStart w:id="1087" w:name="_Toc296891055"/>
      <w:bookmarkStart w:id="1088" w:name="_Toc267261698"/>
      <w:bookmarkStart w:id="1089" w:name="_Toc296503227"/>
      <w:bookmarkStart w:id="1090" w:name="_Toc296891267"/>
      <w:r>
        <w:rPr>
          <w:rFonts w:hint="eastAsia" w:ascii="宋体" w:hAnsi="宋体" w:eastAsia="宋体" w:cs="宋体"/>
          <w:color w:val="000000"/>
          <w:sz w:val="24"/>
          <w:szCs w:val="24"/>
        </w:rPr>
        <w:t>件5：</w:t>
      </w:r>
    </w:p>
    <w:bookmarkEnd w:id="1084"/>
    <w:bookmarkEnd w:id="1085"/>
    <w:bookmarkEnd w:id="1086"/>
    <w:bookmarkEnd w:id="1087"/>
    <w:bookmarkEnd w:id="1088"/>
    <w:bookmarkEnd w:id="1089"/>
    <w:bookmarkEnd w:id="1090"/>
    <w:p w14:paraId="666EC41A">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承包人用于本工程施工的机械设备表</w:t>
      </w:r>
    </w:p>
    <w:tbl>
      <w:tblPr>
        <w:tblStyle w:val="2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0"/>
        <w:gridCol w:w="2040"/>
        <w:gridCol w:w="1645"/>
        <w:gridCol w:w="613"/>
        <w:gridCol w:w="900"/>
        <w:gridCol w:w="870"/>
        <w:gridCol w:w="1395"/>
        <w:gridCol w:w="885"/>
        <w:gridCol w:w="921"/>
      </w:tblGrid>
      <w:tr w14:paraId="35A6BB83">
        <w:tblPrEx>
          <w:tblCellMar>
            <w:top w:w="0" w:type="dxa"/>
            <w:left w:w="28" w:type="dxa"/>
            <w:bottom w:w="0" w:type="dxa"/>
            <w:right w:w="28" w:type="dxa"/>
          </w:tblCellMar>
        </w:tblPrEx>
        <w:trPr>
          <w:jc w:val="center"/>
        </w:trPr>
        <w:tc>
          <w:tcPr>
            <w:tcW w:w="540" w:type="dxa"/>
            <w:vAlign w:val="center"/>
          </w:tcPr>
          <w:p w14:paraId="1D7CB9C1">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178DABAE">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2040" w:type="dxa"/>
            <w:vAlign w:val="center"/>
          </w:tcPr>
          <w:p w14:paraId="2561AB86">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机械或</w:t>
            </w:r>
          </w:p>
          <w:p w14:paraId="3EFEC526">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设备名称</w:t>
            </w:r>
          </w:p>
        </w:tc>
        <w:tc>
          <w:tcPr>
            <w:tcW w:w="1645" w:type="dxa"/>
            <w:vAlign w:val="center"/>
          </w:tcPr>
          <w:p w14:paraId="4A4786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规格型号</w:t>
            </w:r>
          </w:p>
        </w:tc>
        <w:tc>
          <w:tcPr>
            <w:tcW w:w="613" w:type="dxa"/>
            <w:vAlign w:val="center"/>
          </w:tcPr>
          <w:p w14:paraId="24F5CAEB">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数</w:t>
            </w:r>
          </w:p>
          <w:p w14:paraId="3E1FD038">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量</w:t>
            </w:r>
          </w:p>
        </w:tc>
        <w:tc>
          <w:tcPr>
            <w:tcW w:w="900" w:type="dxa"/>
            <w:vAlign w:val="center"/>
          </w:tcPr>
          <w:p w14:paraId="54CE684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产地</w:t>
            </w:r>
          </w:p>
        </w:tc>
        <w:tc>
          <w:tcPr>
            <w:tcW w:w="870" w:type="dxa"/>
            <w:vAlign w:val="center"/>
          </w:tcPr>
          <w:p w14:paraId="78D7C189">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制造</w:t>
            </w:r>
          </w:p>
          <w:p w14:paraId="302C5E80">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年份</w:t>
            </w:r>
          </w:p>
        </w:tc>
        <w:tc>
          <w:tcPr>
            <w:tcW w:w="1395" w:type="dxa"/>
            <w:vAlign w:val="center"/>
          </w:tcPr>
          <w:p w14:paraId="0C722661">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额定功率</w:t>
            </w:r>
          </w:p>
          <w:p w14:paraId="4B7534FE">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（Kw）</w:t>
            </w:r>
          </w:p>
        </w:tc>
        <w:tc>
          <w:tcPr>
            <w:tcW w:w="885" w:type="dxa"/>
            <w:vAlign w:val="center"/>
          </w:tcPr>
          <w:p w14:paraId="6A114E3C">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生产</w:t>
            </w:r>
          </w:p>
          <w:p w14:paraId="26F7C1F2">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能力</w:t>
            </w:r>
          </w:p>
        </w:tc>
        <w:tc>
          <w:tcPr>
            <w:tcW w:w="921" w:type="dxa"/>
            <w:vAlign w:val="center"/>
          </w:tcPr>
          <w:p w14:paraId="1C521C3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备注</w:t>
            </w:r>
          </w:p>
        </w:tc>
      </w:tr>
      <w:tr w14:paraId="612E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4EBA6E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p>
        </w:tc>
        <w:tc>
          <w:tcPr>
            <w:tcW w:w="2040" w:type="dxa"/>
            <w:vAlign w:val="center"/>
          </w:tcPr>
          <w:p w14:paraId="0A02B3B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E1BE7F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67A0F50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6AA6190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7D6B0ED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26D8C34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79E12CA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34A4958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4E6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3196BDF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2</w:t>
            </w:r>
          </w:p>
        </w:tc>
        <w:tc>
          <w:tcPr>
            <w:tcW w:w="2040" w:type="dxa"/>
            <w:vAlign w:val="center"/>
          </w:tcPr>
          <w:p w14:paraId="23BB1B9A">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10E0FCE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4411327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3152D213">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7719FEF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5E1828D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2AA8FC5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67AF28D2">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6A0C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591B1CA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w:t>
            </w:r>
          </w:p>
        </w:tc>
        <w:tc>
          <w:tcPr>
            <w:tcW w:w="2040" w:type="dxa"/>
            <w:vAlign w:val="center"/>
          </w:tcPr>
          <w:p w14:paraId="0602FB8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529B4DE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6847E8A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0585DAE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5F638A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036D518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72C7F6B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3C7EC38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191D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89DE83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4</w:t>
            </w:r>
          </w:p>
        </w:tc>
        <w:tc>
          <w:tcPr>
            <w:tcW w:w="2040" w:type="dxa"/>
            <w:vAlign w:val="center"/>
          </w:tcPr>
          <w:p w14:paraId="368F311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319ABEDA">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471544E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5ABB2F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613DC4F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035F979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0297049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7D8ED3E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765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7420F12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5</w:t>
            </w:r>
          </w:p>
        </w:tc>
        <w:tc>
          <w:tcPr>
            <w:tcW w:w="2040" w:type="dxa"/>
            <w:vAlign w:val="center"/>
          </w:tcPr>
          <w:p w14:paraId="73FA0D7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72EAD1C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540B105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307B613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5053700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036F4C0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541327C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4D91978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144F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1E5D2F2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6</w:t>
            </w:r>
          </w:p>
        </w:tc>
        <w:tc>
          <w:tcPr>
            <w:tcW w:w="2040" w:type="dxa"/>
            <w:vAlign w:val="center"/>
          </w:tcPr>
          <w:p w14:paraId="68DD57A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4617D28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2713CB16">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97D634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431328F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48415C7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2378AFB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5840060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556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6A9D87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7</w:t>
            </w:r>
          </w:p>
        </w:tc>
        <w:tc>
          <w:tcPr>
            <w:tcW w:w="2040" w:type="dxa"/>
            <w:vAlign w:val="center"/>
          </w:tcPr>
          <w:p w14:paraId="4CE2148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965BD83">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3BF7F45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99D1AB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3740133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79BD440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1C0660C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6671BA7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5D78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734724F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8</w:t>
            </w:r>
          </w:p>
        </w:tc>
        <w:tc>
          <w:tcPr>
            <w:tcW w:w="2040" w:type="dxa"/>
            <w:vAlign w:val="center"/>
          </w:tcPr>
          <w:p w14:paraId="17D35A8A">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11AAA5E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55D004E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70DAC95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7670ABD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6C3AB36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6C439C9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26ABE5A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4700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5C270FD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9</w:t>
            </w:r>
          </w:p>
        </w:tc>
        <w:tc>
          <w:tcPr>
            <w:tcW w:w="2040" w:type="dxa"/>
            <w:vAlign w:val="center"/>
          </w:tcPr>
          <w:p w14:paraId="31A017F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1BE63AE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1D66C00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627F03E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1D47757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33911CE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3686035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4B04A30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19E5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F75778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10</w:t>
            </w:r>
          </w:p>
        </w:tc>
        <w:tc>
          <w:tcPr>
            <w:tcW w:w="2040" w:type="dxa"/>
            <w:vAlign w:val="center"/>
          </w:tcPr>
          <w:p w14:paraId="479EB8B5">
            <w:pPr>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7E8136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7ECC38A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00119F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04AE73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1CB354C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6E43ECA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1D91E70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2B20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10A6301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11</w:t>
            </w:r>
          </w:p>
        </w:tc>
        <w:tc>
          <w:tcPr>
            <w:tcW w:w="2040" w:type="dxa"/>
            <w:vAlign w:val="center"/>
          </w:tcPr>
          <w:p w14:paraId="21B47D5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4E34CD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01DA3BD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5FED77E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C2E590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2DDDB45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16A70DE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70DAE13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754D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5CFDB67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12</w:t>
            </w:r>
          </w:p>
        </w:tc>
        <w:tc>
          <w:tcPr>
            <w:tcW w:w="2040" w:type="dxa"/>
            <w:vAlign w:val="center"/>
          </w:tcPr>
          <w:p w14:paraId="5A37545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6CB0AEA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5A953DF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5F44543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15F65C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59BE1C6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11D5E77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56504E1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3D8D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118493A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13</w:t>
            </w:r>
          </w:p>
        </w:tc>
        <w:tc>
          <w:tcPr>
            <w:tcW w:w="2040" w:type="dxa"/>
            <w:vAlign w:val="center"/>
          </w:tcPr>
          <w:p w14:paraId="0AFEA79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C0C2FA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1D4364F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73D3BE0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50ED3D0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59A24F9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0AAC649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5C2FE1A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bl>
    <w:p w14:paraId="46991582">
      <w:pPr>
        <w:spacing w:line="440" w:lineRule="exact"/>
        <w:ind w:left="-489" w:leftChars="-233" w:firstLine="277" w:firstLineChars="99"/>
        <w:rPr>
          <w:rFonts w:hint="eastAsia" w:ascii="宋体" w:hAnsi="宋体" w:eastAsia="宋体" w:cs="宋体"/>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color w:val="000000"/>
          <w:sz w:val="24"/>
          <w:szCs w:val="24"/>
        </w:rPr>
        <w:t>附</w:t>
      </w:r>
      <w:bookmarkStart w:id="1091" w:name="_Toc296346729"/>
      <w:bookmarkStart w:id="1092" w:name="_Toc296503228"/>
      <w:bookmarkStart w:id="1093" w:name="_Toc296891056"/>
      <w:bookmarkStart w:id="1094" w:name="_Toc296944567"/>
      <w:bookmarkStart w:id="1095" w:name="_Toc267261699"/>
      <w:bookmarkStart w:id="1096" w:name="_Toc296347227"/>
      <w:bookmarkStart w:id="1097" w:name="_Toc296891268"/>
      <w:r>
        <w:rPr>
          <w:rFonts w:hint="eastAsia" w:ascii="宋体" w:hAnsi="宋体" w:eastAsia="宋体" w:cs="宋体"/>
          <w:color w:val="000000"/>
          <w:sz w:val="24"/>
          <w:szCs w:val="24"/>
        </w:rPr>
        <w:t>件6：</w:t>
      </w:r>
    </w:p>
    <w:bookmarkEnd w:id="1091"/>
    <w:bookmarkEnd w:id="1092"/>
    <w:bookmarkEnd w:id="1093"/>
    <w:bookmarkEnd w:id="1094"/>
    <w:bookmarkEnd w:id="1095"/>
    <w:bookmarkEnd w:id="1096"/>
    <w:bookmarkEnd w:id="1097"/>
    <w:p w14:paraId="696BEFDF">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承包人主要施工管理人员表</w:t>
      </w:r>
    </w:p>
    <w:tbl>
      <w:tblPr>
        <w:tblStyle w:val="24"/>
        <w:tblW w:w="95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283"/>
        <w:gridCol w:w="1640"/>
        <w:gridCol w:w="1317"/>
        <w:gridCol w:w="3438"/>
      </w:tblGrid>
      <w:tr w14:paraId="4444A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6D2E93B">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283" w:type="dxa"/>
            <w:tcBorders>
              <w:top w:val="single" w:color="auto" w:sz="4" w:space="0"/>
              <w:left w:val="single" w:color="auto" w:sz="4" w:space="0"/>
              <w:bottom w:val="single" w:color="auto" w:sz="4" w:space="0"/>
              <w:right w:val="single" w:color="auto" w:sz="4" w:space="0"/>
            </w:tcBorders>
            <w:vAlign w:val="center"/>
          </w:tcPr>
          <w:p w14:paraId="6953BD16">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640" w:type="dxa"/>
            <w:tcBorders>
              <w:top w:val="single" w:color="auto" w:sz="4" w:space="0"/>
              <w:left w:val="single" w:color="auto" w:sz="4" w:space="0"/>
              <w:bottom w:val="single" w:color="auto" w:sz="4" w:space="0"/>
              <w:right w:val="single" w:color="auto" w:sz="4" w:space="0"/>
            </w:tcBorders>
            <w:vAlign w:val="center"/>
          </w:tcPr>
          <w:p w14:paraId="38A98D21">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317" w:type="dxa"/>
            <w:tcBorders>
              <w:top w:val="single" w:color="auto" w:sz="4" w:space="0"/>
              <w:left w:val="single" w:color="auto" w:sz="4" w:space="0"/>
              <w:bottom w:val="single" w:color="auto" w:sz="4" w:space="0"/>
              <w:right w:val="single" w:color="auto" w:sz="4" w:space="0"/>
            </w:tcBorders>
            <w:vAlign w:val="center"/>
          </w:tcPr>
          <w:p w14:paraId="5C87A38C">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3438" w:type="dxa"/>
            <w:tcBorders>
              <w:top w:val="single" w:color="auto" w:sz="4" w:space="0"/>
              <w:left w:val="single" w:color="auto" w:sz="4" w:space="0"/>
              <w:bottom w:val="single" w:color="auto" w:sz="4" w:space="0"/>
              <w:right w:val="single" w:color="auto" w:sz="4" w:space="0"/>
            </w:tcBorders>
            <w:vAlign w:val="center"/>
          </w:tcPr>
          <w:p w14:paraId="2A155518">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14:paraId="3E46D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9" w:type="dxa"/>
            <w:gridSpan w:val="5"/>
            <w:tcBorders>
              <w:top w:val="single" w:color="auto" w:sz="4" w:space="0"/>
              <w:bottom w:val="single" w:color="auto" w:sz="6" w:space="0"/>
            </w:tcBorders>
            <w:vAlign w:val="center"/>
          </w:tcPr>
          <w:p w14:paraId="248E89F6">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一、总部人员</w:t>
            </w:r>
          </w:p>
        </w:tc>
      </w:tr>
      <w:tr w14:paraId="55CCB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83DF90D">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项目主管</w:t>
            </w:r>
          </w:p>
        </w:tc>
        <w:tc>
          <w:tcPr>
            <w:tcW w:w="1283" w:type="dxa"/>
            <w:tcBorders>
              <w:top w:val="nil"/>
            </w:tcBorders>
            <w:vAlign w:val="center"/>
          </w:tcPr>
          <w:p w14:paraId="0AE7BCC8">
            <w:pPr>
              <w:spacing w:line="440" w:lineRule="exact"/>
              <w:jc w:val="center"/>
              <w:rPr>
                <w:rFonts w:hint="eastAsia" w:ascii="宋体" w:hAnsi="宋体" w:eastAsia="宋体" w:cs="宋体"/>
                <w:b/>
                <w:color w:val="000000"/>
                <w:sz w:val="24"/>
                <w:szCs w:val="24"/>
              </w:rPr>
            </w:pPr>
          </w:p>
        </w:tc>
        <w:tc>
          <w:tcPr>
            <w:tcW w:w="1640" w:type="dxa"/>
            <w:tcBorders>
              <w:top w:val="nil"/>
            </w:tcBorders>
            <w:vAlign w:val="center"/>
          </w:tcPr>
          <w:p w14:paraId="206668DF">
            <w:pPr>
              <w:pStyle w:val="11"/>
              <w:keepNext/>
              <w:spacing w:line="440" w:lineRule="exact"/>
              <w:ind w:left="63" w:right="63"/>
              <w:rPr>
                <w:rFonts w:hint="eastAsia" w:ascii="宋体" w:hAnsi="宋体" w:eastAsia="宋体" w:cs="宋体"/>
                <w:color w:val="000000"/>
                <w:kern w:val="2"/>
                <w:sz w:val="28"/>
                <w:szCs w:val="28"/>
              </w:rPr>
            </w:pPr>
          </w:p>
        </w:tc>
        <w:tc>
          <w:tcPr>
            <w:tcW w:w="1317" w:type="dxa"/>
            <w:tcBorders>
              <w:top w:val="nil"/>
            </w:tcBorders>
            <w:vAlign w:val="center"/>
          </w:tcPr>
          <w:p w14:paraId="670ED2D9">
            <w:pPr>
              <w:pStyle w:val="11"/>
              <w:keepNext/>
              <w:spacing w:line="440" w:lineRule="exact"/>
              <w:ind w:left="63" w:right="63"/>
              <w:rPr>
                <w:rFonts w:hint="eastAsia" w:ascii="宋体" w:hAnsi="宋体" w:eastAsia="宋体" w:cs="宋体"/>
                <w:color w:val="000000"/>
                <w:kern w:val="2"/>
                <w:sz w:val="28"/>
                <w:szCs w:val="28"/>
              </w:rPr>
            </w:pPr>
          </w:p>
        </w:tc>
        <w:tc>
          <w:tcPr>
            <w:tcW w:w="3438" w:type="dxa"/>
            <w:tcBorders>
              <w:top w:val="nil"/>
            </w:tcBorders>
            <w:vAlign w:val="center"/>
          </w:tcPr>
          <w:p w14:paraId="36B56AB5">
            <w:pPr>
              <w:pStyle w:val="11"/>
              <w:keepNext/>
              <w:spacing w:line="440" w:lineRule="exact"/>
              <w:ind w:left="63" w:right="63"/>
              <w:rPr>
                <w:rFonts w:hint="eastAsia" w:ascii="宋体" w:hAnsi="宋体" w:eastAsia="宋体" w:cs="宋体"/>
                <w:color w:val="000000"/>
                <w:kern w:val="2"/>
                <w:sz w:val="28"/>
                <w:szCs w:val="28"/>
              </w:rPr>
            </w:pPr>
          </w:p>
        </w:tc>
      </w:tr>
      <w:tr w14:paraId="2D9E1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36443B05">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7A4DFADB">
            <w:pPr>
              <w:spacing w:line="480" w:lineRule="exact"/>
              <w:jc w:val="center"/>
              <w:rPr>
                <w:rFonts w:hint="eastAsia" w:ascii="宋体" w:hAnsi="宋体" w:eastAsia="宋体" w:cs="宋体"/>
                <w:b/>
                <w:color w:val="000000"/>
                <w:sz w:val="24"/>
                <w:szCs w:val="24"/>
              </w:rPr>
            </w:pPr>
          </w:p>
        </w:tc>
        <w:tc>
          <w:tcPr>
            <w:tcW w:w="1640" w:type="dxa"/>
            <w:vAlign w:val="center"/>
          </w:tcPr>
          <w:p w14:paraId="2024021C">
            <w:pPr>
              <w:pStyle w:val="11"/>
              <w:keepNext/>
              <w:spacing w:line="440" w:lineRule="exact"/>
              <w:ind w:left="63" w:right="63"/>
              <w:rPr>
                <w:rFonts w:hint="eastAsia" w:ascii="宋体" w:hAnsi="宋体" w:eastAsia="宋体" w:cs="宋体"/>
                <w:color w:val="000000"/>
                <w:kern w:val="2"/>
                <w:sz w:val="28"/>
                <w:szCs w:val="28"/>
              </w:rPr>
            </w:pPr>
          </w:p>
        </w:tc>
        <w:tc>
          <w:tcPr>
            <w:tcW w:w="1317" w:type="dxa"/>
            <w:vAlign w:val="center"/>
          </w:tcPr>
          <w:p w14:paraId="6D278239">
            <w:pPr>
              <w:pStyle w:val="11"/>
              <w:keepNext/>
              <w:spacing w:line="440" w:lineRule="exact"/>
              <w:ind w:left="63" w:right="63"/>
              <w:rPr>
                <w:rFonts w:hint="eastAsia" w:ascii="宋体" w:hAnsi="宋体" w:eastAsia="宋体" w:cs="宋体"/>
                <w:color w:val="000000"/>
                <w:kern w:val="2"/>
                <w:sz w:val="28"/>
                <w:szCs w:val="28"/>
              </w:rPr>
            </w:pPr>
          </w:p>
        </w:tc>
        <w:tc>
          <w:tcPr>
            <w:tcW w:w="3438" w:type="dxa"/>
            <w:vAlign w:val="center"/>
          </w:tcPr>
          <w:p w14:paraId="48F0EA58">
            <w:pPr>
              <w:pStyle w:val="11"/>
              <w:keepNext/>
              <w:spacing w:line="440" w:lineRule="exact"/>
              <w:ind w:left="63" w:right="63"/>
              <w:rPr>
                <w:rFonts w:hint="eastAsia" w:ascii="宋体" w:hAnsi="宋体" w:eastAsia="宋体" w:cs="宋体"/>
                <w:color w:val="000000"/>
                <w:kern w:val="2"/>
                <w:sz w:val="28"/>
                <w:szCs w:val="28"/>
              </w:rPr>
            </w:pPr>
          </w:p>
        </w:tc>
      </w:tr>
      <w:tr w14:paraId="5372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06ED735">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283" w:type="dxa"/>
            <w:vAlign w:val="center"/>
          </w:tcPr>
          <w:p w14:paraId="355D663A">
            <w:pPr>
              <w:spacing w:line="440" w:lineRule="exact"/>
              <w:jc w:val="center"/>
              <w:rPr>
                <w:rFonts w:hint="eastAsia" w:ascii="宋体" w:hAnsi="宋体" w:eastAsia="宋体" w:cs="宋体"/>
                <w:b/>
                <w:color w:val="000000"/>
                <w:sz w:val="24"/>
                <w:szCs w:val="24"/>
              </w:rPr>
            </w:pPr>
          </w:p>
        </w:tc>
        <w:tc>
          <w:tcPr>
            <w:tcW w:w="1640" w:type="dxa"/>
            <w:vAlign w:val="center"/>
          </w:tcPr>
          <w:p w14:paraId="0552C6B0">
            <w:pPr>
              <w:pStyle w:val="11"/>
              <w:keepNext/>
              <w:spacing w:line="440" w:lineRule="exact"/>
              <w:ind w:left="63" w:right="63"/>
              <w:rPr>
                <w:rFonts w:hint="eastAsia" w:ascii="宋体" w:hAnsi="宋体" w:eastAsia="宋体" w:cs="宋体"/>
                <w:color w:val="000000"/>
                <w:kern w:val="2"/>
                <w:sz w:val="28"/>
                <w:szCs w:val="28"/>
              </w:rPr>
            </w:pPr>
          </w:p>
        </w:tc>
        <w:tc>
          <w:tcPr>
            <w:tcW w:w="1317" w:type="dxa"/>
            <w:vAlign w:val="center"/>
          </w:tcPr>
          <w:p w14:paraId="3DEE5B44">
            <w:pPr>
              <w:pStyle w:val="11"/>
              <w:keepNext/>
              <w:spacing w:line="440" w:lineRule="exact"/>
              <w:ind w:left="63" w:right="63"/>
              <w:rPr>
                <w:rFonts w:hint="eastAsia" w:ascii="宋体" w:hAnsi="宋体" w:eastAsia="宋体" w:cs="宋体"/>
                <w:color w:val="000000"/>
                <w:kern w:val="2"/>
                <w:sz w:val="28"/>
                <w:szCs w:val="28"/>
              </w:rPr>
            </w:pPr>
          </w:p>
        </w:tc>
        <w:tc>
          <w:tcPr>
            <w:tcW w:w="3438" w:type="dxa"/>
            <w:vAlign w:val="center"/>
          </w:tcPr>
          <w:p w14:paraId="1625B504">
            <w:pPr>
              <w:pStyle w:val="11"/>
              <w:keepNext/>
              <w:spacing w:line="440" w:lineRule="exact"/>
              <w:ind w:left="63" w:right="63"/>
              <w:rPr>
                <w:rFonts w:hint="eastAsia" w:ascii="宋体" w:hAnsi="宋体" w:eastAsia="宋体" w:cs="宋体"/>
                <w:color w:val="000000"/>
                <w:kern w:val="2"/>
                <w:sz w:val="28"/>
                <w:szCs w:val="28"/>
              </w:rPr>
            </w:pPr>
          </w:p>
        </w:tc>
      </w:tr>
      <w:tr w14:paraId="65839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A380813">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6B398D6C">
            <w:pPr>
              <w:spacing w:line="440" w:lineRule="exact"/>
              <w:rPr>
                <w:rFonts w:hint="eastAsia" w:ascii="宋体" w:hAnsi="宋体" w:eastAsia="宋体" w:cs="宋体"/>
                <w:b/>
                <w:color w:val="000000"/>
                <w:sz w:val="24"/>
                <w:szCs w:val="24"/>
              </w:rPr>
            </w:pPr>
          </w:p>
        </w:tc>
        <w:tc>
          <w:tcPr>
            <w:tcW w:w="1640" w:type="dxa"/>
            <w:vAlign w:val="center"/>
          </w:tcPr>
          <w:p w14:paraId="4305FACD">
            <w:pPr>
              <w:pStyle w:val="11"/>
              <w:keepNext/>
              <w:spacing w:line="440" w:lineRule="exact"/>
              <w:ind w:left="63" w:right="63"/>
              <w:rPr>
                <w:rFonts w:hint="eastAsia" w:ascii="宋体" w:hAnsi="宋体" w:eastAsia="宋体" w:cs="宋体"/>
                <w:color w:val="000000"/>
                <w:kern w:val="2"/>
                <w:sz w:val="28"/>
                <w:szCs w:val="28"/>
              </w:rPr>
            </w:pPr>
          </w:p>
        </w:tc>
        <w:tc>
          <w:tcPr>
            <w:tcW w:w="1317" w:type="dxa"/>
            <w:vAlign w:val="center"/>
          </w:tcPr>
          <w:p w14:paraId="3353A7EF">
            <w:pPr>
              <w:pStyle w:val="11"/>
              <w:keepNext/>
              <w:spacing w:line="440" w:lineRule="exact"/>
              <w:ind w:left="63" w:right="63"/>
              <w:rPr>
                <w:rFonts w:hint="eastAsia" w:ascii="宋体" w:hAnsi="宋体" w:eastAsia="宋体" w:cs="宋体"/>
                <w:color w:val="000000"/>
                <w:kern w:val="2"/>
                <w:sz w:val="28"/>
                <w:szCs w:val="28"/>
              </w:rPr>
            </w:pPr>
          </w:p>
        </w:tc>
        <w:tc>
          <w:tcPr>
            <w:tcW w:w="3438" w:type="dxa"/>
            <w:vAlign w:val="center"/>
          </w:tcPr>
          <w:p w14:paraId="42C8D8E0">
            <w:pPr>
              <w:pStyle w:val="11"/>
              <w:keepNext/>
              <w:spacing w:line="440" w:lineRule="exact"/>
              <w:ind w:left="63" w:right="63"/>
              <w:rPr>
                <w:rFonts w:hint="eastAsia" w:ascii="宋体" w:hAnsi="宋体" w:eastAsia="宋体" w:cs="宋体"/>
                <w:color w:val="000000"/>
                <w:kern w:val="2"/>
                <w:sz w:val="28"/>
                <w:szCs w:val="28"/>
              </w:rPr>
            </w:pPr>
          </w:p>
        </w:tc>
      </w:tr>
      <w:tr w14:paraId="5A68B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9" w:type="dxa"/>
            <w:gridSpan w:val="5"/>
            <w:tcBorders>
              <w:top w:val="single" w:color="auto" w:sz="6" w:space="0"/>
              <w:bottom w:val="single" w:color="auto" w:sz="6" w:space="0"/>
            </w:tcBorders>
            <w:vAlign w:val="center"/>
          </w:tcPr>
          <w:p w14:paraId="3267344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二、现场人员</w:t>
            </w:r>
          </w:p>
        </w:tc>
      </w:tr>
      <w:tr w14:paraId="0228E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7508169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项目经理</w:t>
            </w:r>
          </w:p>
        </w:tc>
        <w:tc>
          <w:tcPr>
            <w:tcW w:w="1283" w:type="dxa"/>
            <w:vAlign w:val="center"/>
          </w:tcPr>
          <w:p w14:paraId="73CD926B">
            <w:pPr>
              <w:spacing w:line="440" w:lineRule="exact"/>
              <w:jc w:val="center"/>
              <w:rPr>
                <w:rFonts w:hint="eastAsia" w:ascii="宋体" w:hAnsi="宋体" w:eastAsia="宋体" w:cs="宋体"/>
                <w:b/>
                <w:color w:val="000000"/>
                <w:sz w:val="24"/>
                <w:szCs w:val="24"/>
              </w:rPr>
            </w:pPr>
          </w:p>
        </w:tc>
        <w:tc>
          <w:tcPr>
            <w:tcW w:w="1640" w:type="dxa"/>
            <w:vAlign w:val="center"/>
          </w:tcPr>
          <w:p w14:paraId="43542305">
            <w:pPr>
              <w:spacing w:line="440" w:lineRule="exact"/>
              <w:jc w:val="center"/>
              <w:rPr>
                <w:rFonts w:hint="eastAsia" w:ascii="宋体" w:hAnsi="宋体" w:eastAsia="宋体" w:cs="宋体"/>
                <w:b/>
                <w:bCs/>
                <w:color w:val="000000"/>
                <w:sz w:val="24"/>
                <w:szCs w:val="28"/>
              </w:rPr>
            </w:pPr>
          </w:p>
        </w:tc>
        <w:tc>
          <w:tcPr>
            <w:tcW w:w="1317" w:type="dxa"/>
            <w:vAlign w:val="center"/>
          </w:tcPr>
          <w:p w14:paraId="424A543F">
            <w:pPr>
              <w:spacing w:line="440" w:lineRule="exact"/>
              <w:jc w:val="center"/>
              <w:rPr>
                <w:rFonts w:hint="eastAsia" w:ascii="宋体" w:hAnsi="宋体" w:eastAsia="宋体" w:cs="宋体"/>
                <w:b/>
                <w:color w:val="000000"/>
                <w:sz w:val="24"/>
                <w:szCs w:val="24"/>
              </w:rPr>
            </w:pPr>
          </w:p>
        </w:tc>
        <w:tc>
          <w:tcPr>
            <w:tcW w:w="3438" w:type="dxa"/>
            <w:vAlign w:val="center"/>
          </w:tcPr>
          <w:p w14:paraId="13DF6828">
            <w:pPr>
              <w:pStyle w:val="11"/>
              <w:keepNext/>
              <w:spacing w:line="440" w:lineRule="exact"/>
              <w:ind w:left="63" w:right="63"/>
              <w:rPr>
                <w:rFonts w:hint="eastAsia" w:ascii="宋体" w:hAnsi="宋体" w:eastAsia="宋体" w:cs="宋体"/>
                <w:color w:val="000000"/>
                <w:kern w:val="2"/>
                <w:sz w:val="28"/>
                <w:szCs w:val="28"/>
                <w:highlight w:val="cyan"/>
              </w:rPr>
            </w:pPr>
          </w:p>
        </w:tc>
      </w:tr>
      <w:tr w14:paraId="6CBB7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1AD09CCB">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项目副经理</w:t>
            </w:r>
          </w:p>
        </w:tc>
        <w:tc>
          <w:tcPr>
            <w:tcW w:w="1283" w:type="dxa"/>
            <w:vAlign w:val="center"/>
          </w:tcPr>
          <w:p w14:paraId="3EEDEE34">
            <w:pPr>
              <w:spacing w:line="440" w:lineRule="exact"/>
              <w:jc w:val="center"/>
              <w:rPr>
                <w:rFonts w:hint="eastAsia" w:ascii="宋体" w:hAnsi="宋体" w:eastAsia="宋体" w:cs="宋体"/>
                <w:b/>
                <w:color w:val="000000"/>
                <w:sz w:val="24"/>
                <w:szCs w:val="24"/>
              </w:rPr>
            </w:pPr>
          </w:p>
        </w:tc>
        <w:tc>
          <w:tcPr>
            <w:tcW w:w="1640" w:type="dxa"/>
            <w:vAlign w:val="center"/>
          </w:tcPr>
          <w:p w14:paraId="565FA5AB">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1317" w:type="dxa"/>
            <w:vAlign w:val="center"/>
          </w:tcPr>
          <w:p w14:paraId="2D41C0DD">
            <w:pPr>
              <w:spacing w:line="440" w:lineRule="exact"/>
              <w:jc w:val="center"/>
              <w:rPr>
                <w:rFonts w:hint="eastAsia" w:ascii="宋体" w:hAnsi="宋体" w:eastAsia="宋体" w:cs="宋体"/>
                <w:b/>
                <w:color w:val="000000"/>
                <w:sz w:val="24"/>
                <w:szCs w:val="24"/>
              </w:rPr>
            </w:pPr>
          </w:p>
        </w:tc>
        <w:tc>
          <w:tcPr>
            <w:tcW w:w="3438" w:type="dxa"/>
            <w:vAlign w:val="center"/>
          </w:tcPr>
          <w:p w14:paraId="151B15EE">
            <w:pPr>
              <w:pStyle w:val="11"/>
              <w:keepNext/>
              <w:spacing w:line="440" w:lineRule="exact"/>
              <w:ind w:left="63" w:right="63"/>
              <w:rPr>
                <w:rFonts w:hint="eastAsia" w:ascii="宋体" w:hAnsi="宋体" w:eastAsia="宋体" w:cs="宋体"/>
                <w:color w:val="000000"/>
                <w:kern w:val="2"/>
                <w:sz w:val="28"/>
                <w:szCs w:val="28"/>
                <w:highlight w:val="cyan"/>
              </w:rPr>
            </w:pPr>
          </w:p>
        </w:tc>
      </w:tr>
      <w:tr w14:paraId="19886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71" w:type="dxa"/>
            <w:tcBorders>
              <w:top w:val="single" w:color="auto" w:sz="6" w:space="0"/>
              <w:bottom w:val="single" w:color="auto" w:sz="6" w:space="0"/>
            </w:tcBorders>
            <w:vAlign w:val="center"/>
          </w:tcPr>
          <w:p w14:paraId="1953EF0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技术负责人</w:t>
            </w:r>
          </w:p>
        </w:tc>
        <w:tc>
          <w:tcPr>
            <w:tcW w:w="1283" w:type="dxa"/>
            <w:vAlign w:val="center"/>
          </w:tcPr>
          <w:p w14:paraId="356CE48C">
            <w:pPr>
              <w:spacing w:line="440" w:lineRule="exact"/>
              <w:jc w:val="center"/>
              <w:rPr>
                <w:rFonts w:hint="eastAsia" w:ascii="宋体" w:hAnsi="宋体" w:eastAsia="宋体" w:cs="宋体"/>
                <w:b/>
                <w:color w:val="000000"/>
                <w:sz w:val="24"/>
                <w:szCs w:val="24"/>
              </w:rPr>
            </w:pPr>
          </w:p>
        </w:tc>
        <w:tc>
          <w:tcPr>
            <w:tcW w:w="1640" w:type="dxa"/>
            <w:vAlign w:val="center"/>
          </w:tcPr>
          <w:p w14:paraId="3E2E394A">
            <w:pPr>
              <w:spacing w:line="320" w:lineRule="exact"/>
              <w:jc w:val="center"/>
              <w:rPr>
                <w:rFonts w:hint="eastAsia" w:ascii="宋体" w:hAnsi="宋体" w:eastAsia="宋体" w:cs="宋体"/>
                <w:b/>
                <w:color w:val="000000"/>
                <w:sz w:val="24"/>
                <w:szCs w:val="24"/>
              </w:rPr>
            </w:pPr>
          </w:p>
        </w:tc>
        <w:tc>
          <w:tcPr>
            <w:tcW w:w="1317" w:type="dxa"/>
            <w:vAlign w:val="center"/>
          </w:tcPr>
          <w:p w14:paraId="49E96485">
            <w:pPr>
              <w:spacing w:line="440" w:lineRule="exact"/>
              <w:jc w:val="center"/>
              <w:rPr>
                <w:rFonts w:hint="eastAsia" w:ascii="宋体" w:hAnsi="宋体" w:eastAsia="宋体" w:cs="宋体"/>
                <w:b/>
                <w:color w:val="000000"/>
                <w:sz w:val="24"/>
                <w:szCs w:val="24"/>
              </w:rPr>
            </w:pPr>
          </w:p>
        </w:tc>
        <w:tc>
          <w:tcPr>
            <w:tcW w:w="3438" w:type="dxa"/>
            <w:vAlign w:val="center"/>
          </w:tcPr>
          <w:p w14:paraId="5B55F6F4">
            <w:pPr>
              <w:pStyle w:val="11"/>
              <w:keepNext/>
              <w:spacing w:line="440" w:lineRule="exact"/>
              <w:ind w:left="63" w:right="63"/>
              <w:rPr>
                <w:rFonts w:hint="eastAsia" w:ascii="宋体" w:hAnsi="宋体" w:eastAsia="宋体" w:cs="宋体"/>
                <w:color w:val="000000"/>
                <w:kern w:val="2"/>
                <w:sz w:val="28"/>
                <w:szCs w:val="28"/>
                <w:highlight w:val="cyan"/>
              </w:rPr>
            </w:pPr>
          </w:p>
        </w:tc>
      </w:tr>
      <w:tr w14:paraId="04620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871" w:type="dxa"/>
            <w:tcBorders>
              <w:top w:val="single" w:color="auto" w:sz="6" w:space="0"/>
              <w:bottom w:val="single" w:color="auto" w:sz="6" w:space="0"/>
            </w:tcBorders>
            <w:vAlign w:val="center"/>
          </w:tcPr>
          <w:p w14:paraId="2153B5DD">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造价管理</w:t>
            </w:r>
          </w:p>
        </w:tc>
        <w:tc>
          <w:tcPr>
            <w:tcW w:w="1283" w:type="dxa"/>
            <w:vAlign w:val="center"/>
          </w:tcPr>
          <w:p w14:paraId="32A4D965">
            <w:pPr>
              <w:spacing w:line="440" w:lineRule="exact"/>
              <w:jc w:val="center"/>
              <w:rPr>
                <w:rFonts w:hint="eastAsia" w:ascii="宋体" w:hAnsi="宋体" w:eastAsia="宋体" w:cs="宋体"/>
                <w:b/>
                <w:color w:val="000000"/>
                <w:sz w:val="24"/>
                <w:szCs w:val="24"/>
              </w:rPr>
            </w:pPr>
          </w:p>
        </w:tc>
        <w:tc>
          <w:tcPr>
            <w:tcW w:w="1640" w:type="dxa"/>
            <w:vAlign w:val="center"/>
          </w:tcPr>
          <w:p w14:paraId="673EC778">
            <w:pPr>
              <w:spacing w:line="320" w:lineRule="exact"/>
              <w:jc w:val="center"/>
              <w:rPr>
                <w:rFonts w:hint="eastAsia" w:ascii="宋体" w:hAnsi="宋体" w:eastAsia="宋体" w:cs="宋体"/>
                <w:b/>
                <w:color w:val="000000"/>
                <w:sz w:val="24"/>
                <w:szCs w:val="24"/>
              </w:rPr>
            </w:pPr>
          </w:p>
        </w:tc>
        <w:tc>
          <w:tcPr>
            <w:tcW w:w="1317" w:type="dxa"/>
            <w:vAlign w:val="center"/>
          </w:tcPr>
          <w:p w14:paraId="23B80C9D">
            <w:pPr>
              <w:spacing w:line="440" w:lineRule="exact"/>
              <w:jc w:val="center"/>
              <w:rPr>
                <w:rFonts w:hint="eastAsia" w:ascii="宋体" w:hAnsi="宋体" w:eastAsia="宋体" w:cs="宋体"/>
                <w:b/>
                <w:color w:val="000000"/>
                <w:sz w:val="24"/>
                <w:szCs w:val="24"/>
              </w:rPr>
            </w:pPr>
          </w:p>
        </w:tc>
        <w:tc>
          <w:tcPr>
            <w:tcW w:w="3438" w:type="dxa"/>
            <w:vAlign w:val="center"/>
          </w:tcPr>
          <w:p w14:paraId="78AE02C1">
            <w:pPr>
              <w:pStyle w:val="11"/>
              <w:keepNext/>
              <w:spacing w:line="440" w:lineRule="exact"/>
              <w:ind w:left="63" w:right="63"/>
              <w:rPr>
                <w:rFonts w:hint="eastAsia" w:ascii="宋体" w:hAnsi="宋体" w:eastAsia="宋体" w:cs="宋体"/>
                <w:color w:val="000000"/>
                <w:kern w:val="2"/>
                <w:sz w:val="28"/>
                <w:szCs w:val="28"/>
                <w:highlight w:val="cyan"/>
              </w:rPr>
            </w:pPr>
          </w:p>
        </w:tc>
      </w:tr>
      <w:tr w14:paraId="71547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4B671039">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质量管理</w:t>
            </w:r>
          </w:p>
        </w:tc>
        <w:tc>
          <w:tcPr>
            <w:tcW w:w="1283" w:type="dxa"/>
            <w:vAlign w:val="center"/>
          </w:tcPr>
          <w:p w14:paraId="44C403D0">
            <w:pPr>
              <w:spacing w:line="440" w:lineRule="exact"/>
              <w:jc w:val="center"/>
              <w:rPr>
                <w:rFonts w:hint="eastAsia" w:ascii="宋体" w:hAnsi="宋体" w:eastAsia="宋体" w:cs="宋体"/>
                <w:b/>
                <w:color w:val="000000"/>
                <w:sz w:val="24"/>
                <w:szCs w:val="24"/>
              </w:rPr>
            </w:pPr>
          </w:p>
        </w:tc>
        <w:tc>
          <w:tcPr>
            <w:tcW w:w="1640" w:type="dxa"/>
            <w:vAlign w:val="center"/>
          </w:tcPr>
          <w:p w14:paraId="3B5E9C06">
            <w:pPr>
              <w:spacing w:line="440" w:lineRule="exact"/>
              <w:jc w:val="center"/>
              <w:rPr>
                <w:rFonts w:hint="eastAsia" w:ascii="宋体" w:hAnsi="宋体" w:eastAsia="宋体" w:cs="宋体"/>
                <w:b/>
                <w:color w:val="000000"/>
                <w:sz w:val="24"/>
                <w:szCs w:val="24"/>
              </w:rPr>
            </w:pPr>
          </w:p>
        </w:tc>
        <w:tc>
          <w:tcPr>
            <w:tcW w:w="1317" w:type="dxa"/>
            <w:vAlign w:val="center"/>
          </w:tcPr>
          <w:p w14:paraId="7BB03DF4">
            <w:pPr>
              <w:spacing w:line="440" w:lineRule="exact"/>
              <w:jc w:val="center"/>
              <w:rPr>
                <w:rFonts w:hint="eastAsia" w:ascii="宋体" w:hAnsi="宋体" w:eastAsia="宋体" w:cs="宋体"/>
                <w:b/>
                <w:color w:val="000000"/>
                <w:sz w:val="24"/>
                <w:szCs w:val="24"/>
              </w:rPr>
            </w:pPr>
          </w:p>
        </w:tc>
        <w:tc>
          <w:tcPr>
            <w:tcW w:w="3438" w:type="dxa"/>
            <w:vAlign w:val="center"/>
          </w:tcPr>
          <w:p w14:paraId="0CCFF3F0">
            <w:pPr>
              <w:pStyle w:val="11"/>
              <w:keepNext/>
              <w:spacing w:line="440" w:lineRule="exact"/>
              <w:ind w:left="63" w:right="63"/>
              <w:rPr>
                <w:rFonts w:hint="eastAsia" w:ascii="宋体" w:hAnsi="宋体" w:eastAsia="宋体" w:cs="宋体"/>
                <w:color w:val="000000"/>
                <w:kern w:val="2"/>
                <w:sz w:val="28"/>
                <w:szCs w:val="28"/>
                <w:highlight w:val="cyan"/>
              </w:rPr>
            </w:pPr>
          </w:p>
        </w:tc>
      </w:tr>
      <w:tr w14:paraId="49DC5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5FF5A0EC">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安全管理</w:t>
            </w:r>
          </w:p>
        </w:tc>
        <w:tc>
          <w:tcPr>
            <w:tcW w:w="1283" w:type="dxa"/>
            <w:vAlign w:val="center"/>
          </w:tcPr>
          <w:p w14:paraId="3C2323C6">
            <w:pPr>
              <w:spacing w:line="440" w:lineRule="exact"/>
              <w:jc w:val="center"/>
              <w:rPr>
                <w:rFonts w:hint="eastAsia" w:ascii="宋体" w:hAnsi="宋体" w:eastAsia="宋体" w:cs="宋体"/>
                <w:b/>
                <w:color w:val="000000"/>
                <w:sz w:val="24"/>
                <w:szCs w:val="24"/>
              </w:rPr>
            </w:pPr>
          </w:p>
        </w:tc>
        <w:tc>
          <w:tcPr>
            <w:tcW w:w="1640" w:type="dxa"/>
            <w:vAlign w:val="center"/>
          </w:tcPr>
          <w:p w14:paraId="1824848C">
            <w:pPr>
              <w:spacing w:line="440" w:lineRule="exact"/>
              <w:jc w:val="center"/>
              <w:rPr>
                <w:rFonts w:hint="eastAsia" w:ascii="宋体" w:hAnsi="宋体" w:eastAsia="宋体" w:cs="宋体"/>
                <w:b/>
                <w:color w:val="000000"/>
                <w:sz w:val="24"/>
                <w:szCs w:val="24"/>
              </w:rPr>
            </w:pPr>
          </w:p>
        </w:tc>
        <w:tc>
          <w:tcPr>
            <w:tcW w:w="1317" w:type="dxa"/>
            <w:vAlign w:val="center"/>
          </w:tcPr>
          <w:p w14:paraId="6A57BF30">
            <w:pPr>
              <w:spacing w:line="320" w:lineRule="exact"/>
              <w:jc w:val="center"/>
              <w:rPr>
                <w:rFonts w:hint="eastAsia" w:ascii="宋体" w:hAnsi="宋体" w:eastAsia="宋体" w:cs="宋体"/>
                <w:b/>
                <w:color w:val="000000"/>
                <w:sz w:val="24"/>
                <w:szCs w:val="24"/>
              </w:rPr>
            </w:pPr>
          </w:p>
        </w:tc>
        <w:tc>
          <w:tcPr>
            <w:tcW w:w="3438" w:type="dxa"/>
            <w:vAlign w:val="center"/>
          </w:tcPr>
          <w:p w14:paraId="6E5A9352">
            <w:pPr>
              <w:pStyle w:val="11"/>
              <w:keepNext/>
              <w:spacing w:line="440" w:lineRule="exact"/>
              <w:ind w:left="63" w:right="63"/>
              <w:rPr>
                <w:rFonts w:hint="eastAsia" w:ascii="宋体" w:hAnsi="宋体" w:eastAsia="宋体" w:cs="宋体"/>
                <w:color w:val="000000"/>
                <w:kern w:val="2"/>
                <w:sz w:val="28"/>
                <w:szCs w:val="28"/>
                <w:highlight w:val="cyan"/>
              </w:rPr>
            </w:pPr>
          </w:p>
        </w:tc>
      </w:tr>
      <w:tr w14:paraId="188AA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871" w:type="dxa"/>
            <w:vMerge w:val="restart"/>
            <w:tcBorders>
              <w:top w:val="single" w:color="auto" w:sz="6" w:space="0"/>
            </w:tcBorders>
            <w:vAlign w:val="center"/>
          </w:tcPr>
          <w:p w14:paraId="77DB5886">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283" w:type="dxa"/>
            <w:vAlign w:val="center"/>
          </w:tcPr>
          <w:p w14:paraId="1034CFBB">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3DAC2D2B">
            <w:pPr>
              <w:spacing w:line="440" w:lineRule="exact"/>
              <w:jc w:val="center"/>
              <w:rPr>
                <w:rFonts w:hint="eastAsia" w:ascii="宋体" w:hAnsi="宋体" w:eastAsia="宋体" w:cs="宋体"/>
                <w:b/>
                <w:color w:val="000000"/>
                <w:sz w:val="24"/>
                <w:szCs w:val="24"/>
              </w:rPr>
            </w:pPr>
          </w:p>
        </w:tc>
        <w:tc>
          <w:tcPr>
            <w:tcW w:w="1317" w:type="dxa"/>
            <w:vAlign w:val="center"/>
          </w:tcPr>
          <w:p w14:paraId="67016EDE">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3438" w:type="dxa"/>
            <w:vAlign w:val="center"/>
          </w:tcPr>
          <w:p w14:paraId="35A1D458">
            <w:pPr>
              <w:pStyle w:val="11"/>
              <w:keepNext/>
              <w:spacing w:line="440" w:lineRule="exact"/>
              <w:ind w:left="63" w:right="63"/>
              <w:rPr>
                <w:rFonts w:hint="eastAsia" w:ascii="宋体" w:hAnsi="宋体" w:eastAsia="宋体" w:cs="宋体"/>
                <w:color w:val="000000"/>
                <w:kern w:val="2"/>
                <w:sz w:val="28"/>
                <w:szCs w:val="28"/>
                <w:highlight w:val="cyan"/>
              </w:rPr>
            </w:pPr>
          </w:p>
        </w:tc>
      </w:tr>
      <w:tr w14:paraId="18B21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exact"/>
          <w:jc w:val="center"/>
        </w:trPr>
        <w:tc>
          <w:tcPr>
            <w:tcW w:w="1871" w:type="dxa"/>
            <w:vMerge w:val="continue"/>
            <w:vAlign w:val="center"/>
          </w:tcPr>
          <w:p w14:paraId="6F5BF9C9">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541D4991">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694E7A21">
            <w:pPr>
              <w:spacing w:line="440" w:lineRule="exact"/>
              <w:jc w:val="center"/>
              <w:rPr>
                <w:rFonts w:hint="eastAsia" w:ascii="宋体" w:hAnsi="宋体" w:eastAsia="宋体" w:cs="宋体"/>
                <w:b/>
                <w:color w:val="000000"/>
                <w:sz w:val="24"/>
                <w:szCs w:val="24"/>
              </w:rPr>
            </w:pPr>
          </w:p>
        </w:tc>
        <w:tc>
          <w:tcPr>
            <w:tcW w:w="1317" w:type="dxa"/>
            <w:vAlign w:val="center"/>
          </w:tcPr>
          <w:p w14:paraId="2F00380D">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3438" w:type="dxa"/>
            <w:vAlign w:val="center"/>
          </w:tcPr>
          <w:p w14:paraId="51BFD21C">
            <w:pPr>
              <w:pStyle w:val="11"/>
              <w:keepNext/>
              <w:spacing w:line="440" w:lineRule="exact"/>
              <w:ind w:left="63" w:right="63"/>
              <w:rPr>
                <w:rFonts w:hint="eastAsia" w:ascii="宋体" w:hAnsi="宋体" w:eastAsia="宋体" w:cs="宋体"/>
                <w:color w:val="000000"/>
                <w:kern w:val="2"/>
                <w:sz w:val="28"/>
                <w:szCs w:val="28"/>
                <w:highlight w:val="cyan"/>
              </w:rPr>
            </w:pPr>
          </w:p>
        </w:tc>
      </w:tr>
      <w:tr w14:paraId="10F3D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vAlign w:val="center"/>
          </w:tcPr>
          <w:p w14:paraId="482B107A">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406A20D9">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5B17FBA5">
            <w:pPr>
              <w:spacing w:line="440" w:lineRule="exact"/>
              <w:jc w:val="center"/>
              <w:rPr>
                <w:rFonts w:hint="eastAsia" w:ascii="宋体" w:hAnsi="宋体" w:eastAsia="宋体" w:cs="宋体"/>
                <w:b/>
                <w:color w:val="000000"/>
                <w:sz w:val="24"/>
                <w:szCs w:val="24"/>
              </w:rPr>
            </w:pPr>
          </w:p>
        </w:tc>
        <w:tc>
          <w:tcPr>
            <w:tcW w:w="1317" w:type="dxa"/>
            <w:vAlign w:val="center"/>
          </w:tcPr>
          <w:p w14:paraId="3547A3F5">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3438" w:type="dxa"/>
            <w:vAlign w:val="center"/>
          </w:tcPr>
          <w:p w14:paraId="172CF84D">
            <w:pPr>
              <w:pStyle w:val="11"/>
              <w:keepNext/>
              <w:spacing w:line="440" w:lineRule="exact"/>
              <w:ind w:left="63" w:right="63"/>
              <w:rPr>
                <w:rFonts w:hint="eastAsia" w:ascii="宋体" w:hAnsi="宋体" w:eastAsia="宋体" w:cs="宋体"/>
                <w:color w:val="000000"/>
                <w:kern w:val="2"/>
                <w:sz w:val="28"/>
                <w:szCs w:val="28"/>
                <w:highlight w:val="cyan"/>
              </w:rPr>
            </w:pPr>
          </w:p>
        </w:tc>
      </w:tr>
      <w:tr w14:paraId="2BE18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vAlign w:val="center"/>
          </w:tcPr>
          <w:p w14:paraId="604F513C">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23219B41">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7BEFD53E">
            <w:pPr>
              <w:spacing w:line="440" w:lineRule="exact"/>
              <w:jc w:val="center"/>
              <w:rPr>
                <w:rFonts w:hint="eastAsia" w:ascii="宋体" w:hAnsi="宋体" w:eastAsia="宋体" w:cs="宋体"/>
                <w:b/>
                <w:color w:val="000000"/>
                <w:sz w:val="24"/>
                <w:szCs w:val="24"/>
                <w:highlight w:val="cyan"/>
              </w:rPr>
            </w:pPr>
          </w:p>
        </w:tc>
        <w:tc>
          <w:tcPr>
            <w:tcW w:w="1317" w:type="dxa"/>
            <w:vAlign w:val="center"/>
          </w:tcPr>
          <w:p w14:paraId="07D5F5EE">
            <w:pPr>
              <w:pStyle w:val="11"/>
              <w:keepNext/>
              <w:spacing w:line="440" w:lineRule="exact"/>
              <w:ind w:left="63" w:right="63"/>
              <w:rPr>
                <w:rFonts w:hint="eastAsia" w:ascii="宋体" w:hAnsi="宋体" w:eastAsia="宋体" w:cs="宋体"/>
                <w:color w:val="000000"/>
                <w:kern w:val="2"/>
                <w:sz w:val="28"/>
                <w:szCs w:val="28"/>
                <w:highlight w:val="cyan"/>
              </w:rPr>
            </w:pPr>
          </w:p>
        </w:tc>
        <w:tc>
          <w:tcPr>
            <w:tcW w:w="3438" w:type="dxa"/>
            <w:vAlign w:val="center"/>
          </w:tcPr>
          <w:p w14:paraId="612C1305">
            <w:pPr>
              <w:pStyle w:val="11"/>
              <w:keepNext/>
              <w:spacing w:line="440" w:lineRule="exact"/>
              <w:ind w:left="63" w:right="63"/>
              <w:rPr>
                <w:rFonts w:hint="eastAsia" w:ascii="宋体" w:hAnsi="宋体" w:eastAsia="宋体" w:cs="宋体"/>
                <w:color w:val="000000"/>
                <w:kern w:val="2"/>
                <w:sz w:val="28"/>
                <w:szCs w:val="28"/>
                <w:highlight w:val="cyan"/>
              </w:rPr>
            </w:pPr>
          </w:p>
        </w:tc>
      </w:tr>
      <w:tr w14:paraId="10461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tcBorders>
              <w:bottom w:val="single" w:color="auto" w:sz="12" w:space="0"/>
            </w:tcBorders>
            <w:vAlign w:val="center"/>
          </w:tcPr>
          <w:p w14:paraId="4DC68122">
            <w:pPr>
              <w:pStyle w:val="11"/>
              <w:keepNext/>
              <w:spacing w:line="440" w:lineRule="exact"/>
              <w:ind w:left="63" w:right="63"/>
              <w:rPr>
                <w:rFonts w:hint="eastAsia" w:ascii="宋体" w:hAnsi="宋体" w:eastAsia="宋体" w:cs="宋体"/>
                <w:color w:val="000000"/>
                <w:kern w:val="2"/>
                <w:sz w:val="24"/>
                <w:szCs w:val="28"/>
              </w:rPr>
            </w:pPr>
          </w:p>
        </w:tc>
        <w:tc>
          <w:tcPr>
            <w:tcW w:w="1283" w:type="dxa"/>
            <w:tcBorders>
              <w:bottom w:val="single" w:color="auto" w:sz="12" w:space="0"/>
            </w:tcBorders>
            <w:vAlign w:val="center"/>
          </w:tcPr>
          <w:p w14:paraId="1D9058E0">
            <w:pPr>
              <w:pStyle w:val="11"/>
              <w:keepNext/>
              <w:spacing w:line="440" w:lineRule="exact"/>
              <w:ind w:left="63" w:right="63"/>
              <w:rPr>
                <w:rFonts w:hint="eastAsia" w:ascii="宋体" w:hAnsi="宋体" w:eastAsia="宋体" w:cs="宋体"/>
                <w:color w:val="000000"/>
                <w:kern w:val="2"/>
                <w:sz w:val="24"/>
                <w:szCs w:val="28"/>
                <w:highlight w:val="cyan"/>
              </w:rPr>
            </w:pPr>
          </w:p>
        </w:tc>
        <w:tc>
          <w:tcPr>
            <w:tcW w:w="1640" w:type="dxa"/>
            <w:tcBorders>
              <w:bottom w:val="single" w:color="auto" w:sz="12" w:space="0"/>
            </w:tcBorders>
            <w:vAlign w:val="center"/>
          </w:tcPr>
          <w:p w14:paraId="4978A9F8">
            <w:pPr>
              <w:pStyle w:val="11"/>
              <w:keepNext/>
              <w:spacing w:line="440" w:lineRule="exact"/>
              <w:ind w:left="63" w:right="63"/>
              <w:rPr>
                <w:rFonts w:hint="eastAsia" w:ascii="宋体" w:hAnsi="宋体" w:eastAsia="宋体" w:cs="宋体"/>
                <w:color w:val="000000"/>
                <w:kern w:val="2"/>
                <w:sz w:val="28"/>
                <w:szCs w:val="28"/>
                <w:highlight w:val="cyan"/>
              </w:rPr>
            </w:pPr>
          </w:p>
        </w:tc>
        <w:tc>
          <w:tcPr>
            <w:tcW w:w="1317" w:type="dxa"/>
            <w:tcBorders>
              <w:bottom w:val="single" w:color="auto" w:sz="12" w:space="0"/>
            </w:tcBorders>
            <w:vAlign w:val="center"/>
          </w:tcPr>
          <w:p w14:paraId="50EF62DC">
            <w:pPr>
              <w:pStyle w:val="11"/>
              <w:keepNext/>
              <w:spacing w:line="440" w:lineRule="exact"/>
              <w:ind w:left="63" w:right="63"/>
              <w:rPr>
                <w:rFonts w:hint="eastAsia" w:ascii="宋体" w:hAnsi="宋体" w:eastAsia="宋体" w:cs="宋体"/>
                <w:color w:val="000000"/>
                <w:kern w:val="2"/>
                <w:sz w:val="28"/>
                <w:szCs w:val="28"/>
                <w:highlight w:val="cyan"/>
              </w:rPr>
            </w:pPr>
          </w:p>
        </w:tc>
        <w:tc>
          <w:tcPr>
            <w:tcW w:w="3438" w:type="dxa"/>
            <w:tcBorders>
              <w:bottom w:val="single" w:color="auto" w:sz="12" w:space="0"/>
            </w:tcBorders>
            <w:vAlign w:val="center"/>
          </w:tcPr>
          <w:p w14:paraId="4B62BE17">
            <w:pPr>
              <w:pStyle w:val="11"/>
              <w:keepNext/>
              <w:spacing w:line="440" w:lineRule="exact"/>
              <w:ind w:left="63" w:right="63"/>
              <w:rPr>
                <w:rFonts w:hint="eastAsia" w:ascii="宋体" w:hAnsi="宋体" w:eastAsia="宋体" w:cs="宋体"/>
                <w:color w:val="000000"/>
                <w:kern w:val="2"/>
                <w:sz w:val="28"/>
                <w:szCs w:val="28"/>
              </w:rPr>
            </w:pPr>
          </w:p>
        </w:tc>
      </w:tr>
    </w:tbl>
    <w:p w14:paraId="7C9A8489">
      <w:pPr>
        <w:spacing w:line="440" w:lineRule="exact"/>
        <w:ind w:left="-489" w:leftChars="-233" w:firstLine="277" w:firstLineChars="99"/>
        <w:rPr>
          <w:rFonts w:hint="eastAsia" w:ascii="宋体" w:hAnsi="宋体" w:eastAsia="宋体" w:cs="宋体"/>
          <w:color w:val="000000"/>
          <w:sz w:val="24"/>
          <w:szCs w:val="24"/>
        </w:rPr>
      </w:pPr>
      <w:r>
        <w:rPr>
          <w:rFonts w:hint="eastAsia" w:ascii="宋体" w:hAnsi="宋体" w:eastAsia="宋体" w:cs="宋体"/>
          <w:color w:val="000000"/>
          <w:sz w:val="28"/>
          <w:szCs w:val="28"/>
        </w:rPr>
        <w:br w:type="page"/>
      </w:r>
      <w:r>
        <w:rPr>
          <w:rFonts w:hint="eastAsia" w:ascii="宋体" w:hAnsi="宋体" w:eastAsia="宋体" w:cs="宋体"/>
          <w:color w:val="000000"/>
          <w:sz w:val="24"/>
          <w:szCs w:val="24"/>
        </w:rPr>
        <w:t>附</w:t>
      </w:r>
      <w:bookmarkStart w:id="1098" w:name="_Toc296503229"/>
      <w:bookmarkStart w:id="1099" w:name="_Toc296347228"/>
      <w:bookmarkStart w:id="1100" w:name="_Toc296891269"/>
      <w:bookmarkStart w:id="1101" w:name="_Toc296891057"/>
      <w:bookmarkStart w:id="1102" w:name="_Toc296346730"/>
      <w:bookmarkStart w:id="1103" w:name="_Toc296944568"/>
      <w:r>
        <w:rPr>
          <w:rFonts w:hint="eastAsia" w:ascii="宋体" w:hAnsi="宋体" w:eastAsia="宋体" w:cs="宋体"/>
          <w:color w:val="000000"/>
          <w:sz w:val="24"/>
          <w:szCs w:val="24"/>
        </w:rPr>
        <w:t>件7：</w:t>
      </w:r>
    </w:p>
    <w:bookmarkEnd w:id="1098"/>
    <w:bookmarkEnd w:id="1099"/>
    <w:bookmarkEnd w:id="1100"/>
    <w:bookmarkEnd w:id="1101"/>
    <w:bookmarkEnd w:id="1102"/>
    <w:bookmarkEnd w:id="1103"/>
    <w:p w14:paraId="4CBBC213">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F1F634D">
        <w:tblPrEx>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7EA2666">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4" w:space="0"/>
              <w:left w:val="single" w:color="auto" w:sz="4" w:space="0"/>
              <w:bottom w:val="single" w:color="auto" w:sz="4" w:space="0"/>
              <w:right w:val="single" w:color="auto" w:sz="4" w:space="0"/>
            </w:tcBorders>
            <w:vAlign w:val="center"/>
          </w:tcPr>
          <w:p w14:paraId="244BAD59">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720DDE4B">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20F12E61">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4" w:space="0"/>
              <w:left w:val="single" w:color="auto" w:sz="4" w:space="0"/>
              <w:bottom w:val="single" w:color="auto" w:sz="4" w:space="0"/>
              <w:right w:val="single" w:color="auto" w:sz="4" w:space="0"/>
            </w:tcBorders>
            <w:vAlign w:val="center"/>
          </w:tcPr>
          <w:p w14:paraId="77CF674E">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14:paraId="086F8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4" w:space="0"/>
              <w:bottom w:val="single" w:color="auto" w:sz="6" w:space="0"/>
            </w:tcBorders>
            <w:vAlign w:val="center"/>
          </w:tcPr>
          <w:p w14:paraId="4060FD6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一、总部人员</w:t>
            </w:r>
          </w:p>
        </w:tc>
      </w:tr>
      <w:tr w14:paraId="37C8A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5A15802">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项目主管</w:t>
            </w:r>
          </w:p>
        </w:tc>
        <w:tc>
          <w:tcPr>
            <w:tcW w:w="1418" w:type="dxa"/>
            <w:tcBorders>
              <w:top w:val="nil"/>
            </w:tcBorders>
            <w:vAlign w:val="center"/>
          </w:tcPr>
          <w:p w14:paraId="1429C378">
            <w:pPr>
              <w:pStyle w:val="11"/>
              <w:keepNext/>
              <w:spacing w:line="440" w:lineRule="exact"/>
              <w:ind w:left="63" w:right="63"/>
              <w:rPr>
                <w:rFonts w:hint="eastAsia" w:ascii="宋体" w:hAnsi="宋体" w:eastAsia="宋体" w:cs="宋体"/>
                <w:color w:val="000000"/>
                <w:kern w:val="2"/>
                <w:sz w:val="24"/>
                <w:szCs w:val="28"/>
              </w:rPr>
            </w:pPr>
          </w:p>
        </w:tc>
        <w:tc>
          <w:tcPr>
            <w:tcW w:w="1134" w:type="dxa"/>
            <w:tcBorders>
              <w:top w:val="nil"/>
            </w:tcBorders>
            <w:vAlign w:val="center"/>
          </w:tcPr>
          <w:p w14:paraId="4AA3A6CB">
            <w:pPr>
              <w:pStyle w:val="11"/>
              <w:keepNext/>
              <w:spacing w:line="440" w:lineRule="exact"/>
              <w:ind w:left="63" w:right="63"/>
              <w:rPr>
                <w:rFonts w:hint="eastAsia" w:ascii="宋体" w:hAnsi="宋体" w:eastAsia="宋体" w:cs="宋体"/>
                <w:color w:val="000000"/>
                <w:kern w:val="2"/>
                <w:sz w:val="28"/>
                <w:szCs w:val="28"/>
              </w:rPr>
            </w:pPr>
          </w:p>
        </w:tc>
        <w:tc>
          <w:tcPr>
            <w:tcW w:w="1134" w:type="dxa"/>
            <w:tcBorders>
              <w:top w:val="nil"/>
            </w:tcBorders>
            <w:vAlign w:val="center"/>
          </w:tcPr>
          <w:p w14:paraId="49152747">
            <w:pPr>
              <w:pStyle w:val="11"/>
              <w:keepNext/>
              <w:spacing w:line="440" w:lineRule="exact"/>
              <w:ind w:left="63" w:right="63"/>
              <w:rPr>
                <w:rFonts w:hint="eastAsia" w:ascii="宋体" w:hAnsi="宋体" w:eastAsia="宋体" w:cs="宋体"/>
                <w:color w:val="000000"/>
                <w:kern w:val="2"/>
                <w:sz w:val="28"/>
                <w:szCs w:val="28"/>
              </w:rPr>
            </w:pPr>
          </w:p>
        </w:tc>
        <w:tc>
          <w:tcPr>
            <w:tcW w:w="4252" w:type="dxa"/>
            <w:tcBorders>
              <w:top w:val="nil"/>
            </w:tcBorders>
            <w:vAlign w:val="center"/>
          </w:tcPr>
          <w:p w14:paraId="7D9A753B">
            <w:pPr>
              <w:pStyle w:val="11"/>
              <w:keepNext/>
              <w:spacing w:line="440" w:lineRule="exact"/>
              <w:ind w:left="63" w:right="63"/>
              <w:rPr>
                <w:rFonts w:hint="eastAsia" w:ascii="宋体" w:hAnsi="宋体" w:eastAsia="宋体" w:cs="宋体"/>
                <w:color w:val="000000"/>
                <w:kern w:val="2"/>
                <w:sz w:val="28"/>
                <w:szCs w:val="28"/>
              </w:rPr>
            </w:pPr>
          </w:p>
        </w:tc>
      </w:tr>
      <w:tr w14:paraId="1DD67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1F627914">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0B72BCB3">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6F004A8F">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232DD40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42B0DC2E">
            <w:pPr>
              <w:pStyle w:val="11"/>
              <w:keepNext/>
              <w:spacing w:line="440" w:lineRule="exact"/>
              <w:ind w:left="63" w:right="63"/>
              <w:rPr>
                <w:rFonts w:hint="eastAsia" w:ascii="宋体" w:hAnsi="宋体" w:eastAsia="宋体" w:cs="宋体"/>
                <w:color w:val="000000"/>
                <w:kern w:val="2"/>
                <w:sz w:val="28"/>
                <w:szCs w:val="28"/>
              </w:rPr>
            </w:pPr>
          </w:p>
        </w:tc>
      </w:tr>
      <w:tr w14:paraId="12C13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1705023">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418" w:type="dxa"/>
            <w:vAlign w:val="center"/>
          </w:tcPr>
          <w:p w14:paraId="210E6972">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244806E">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3BAE14C">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058450C">
            <w:pPr>
              <w:pStyle w:val="11"/>
              <w:keepNext/>
              <w:spacing w:line="440" w:lineRule="exact"/>
              <w:ind w:left="63" w:right="63"/>
              <w:rPr>
                <w:rFonts w:hint="eastAsia" w:ascii="宋体" w:hAnsi="宋体" w:eastAsia="宋体" w:cs="宋体"/>
                <w:color w:val="000000"/>
                <w:kern w:val="2"/>
                <w:sz w:val="28"/>
                <w:szCs w:val="28"/>
              </w:rPr>
            </w:pPr>
          </w:p>
        </w:tc>
      </w:tr>
      <w:tr w14:paraId="4FD2C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52F8A56">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2C1075E7">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4961207A">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B5054C0">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2018E50F">
            <w:pPr>
              <w:pStyle w:val="11"/>
              <w:keepNext/>
              <w:spacing w:line="440" w:lineRule="exact"/>
              <w:ind w:left="63" w:right="63"/>
              <w:rPr>
                <w:rFonts w:hint="eastAsia" w:ascii="宋体" w:hAnsi="宋体" w:eastAsia="宋体" w:cs="宋体"/>
                <w:color w:val="000000"/>
                <w:kern w:val="2"/>
                <w:sz w:val="28"/>
                <w:szCs w:val="28"/>
              </w:rPr>
            </w:pPr>
          </w:p>
        </w:tc>
      </w:tr>
      <w:tr w14:paraId="56433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D16A207">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二、现场人员</w:t>
            </w:r>
          </w:p>
        </w:tc>
      </w:tr>
      <w:tr w14:paraId="3437B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BB614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项目经理</w:t>
            </w:r>
          </w:p>
        </w:tc>
        <w:tc>
          <w:tcPr>
            <w:tcW w:w="1418" w:type="dxa"/>
            <w:vAlign w:val="center"/>
          </w:tcPr>
          <w:p w14:paraId="50EAB1AA">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1B663A1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22442750">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6CE602BF">
            <w:pPr>
              <w:pStyle w:val="11"/>
              <w:keepNext/>
              <w:spacing w:line="440" w:lineRule="exact"/>
              <w:ind w:left="63" w:right="63"/>
              <w:rPr>
                <w:rFonts w:hint="eastAsia" w:ascii="宋体" w:hAnsi="宋体" w:eastAsia="宋体" w:cs="宋体"/>
                <w:color w:val="000000"/>
                <w:kern w:val="2"/>
                <w:sz w:val="28"/>
                <w:szCs w:val="28"/>
              </w:rPr>
            </w:pPr>
          </w:p>
        </w:tc>
      </w:tr>
      <w:tr w14:paraId="1DFDF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B499E8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项目副经理</w:t>
            </w:r>
          </w:p>
        </w:tc>
        <w:tc>
          <w:tcPr>
            <w:tcW w:w="1418" w:type="dxa"/>
            <w:vAlign w:val="center"/>
          </w:tcPr>
          <w:p w14:paraId="0C78CAE2">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8F93A53">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50CE0C3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3B8FC773">
            <w:pPr>
              <w:pStyle w:val="11"/>
              <w:keepNext/>
              <w:spacing w:line="440" w:lineRule="exact"/>
              <w:ind w:left="63" w:right="63"/>
              <w:rPr>
                <w:rFonts w:hint="eastAsia" w:ascii="宋体" w:hAnsi="宋体" w:eastAsia="宋体" w:cs="宋体"/>
                <w:color w:val="000000"/>
                <w:kern w:val="2"/>
                <w:sz w:val="28"/>
                <w:szCs w:val="28"/>
              </w:rPr>
            </w:pPr>
          </w:p>
        </w:tc>
      </w:tr>
      <w:tr w14:paraId="7AB2E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6904739">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技术负责人</w:t>
            </w:r>
          </w:p>
        </w:tc>
        <w:tc>
          <w:tcPr>
            <w:tcW w:w="1418" w:type="dxa"/>
            <w:vAlign w:val="center"/>
          </w:tcPr>
          <w:p w14:paraId="6D105178">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5235D13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17D5161E">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59753637">
            <w:pPr>
              <w:pStyle w:val="11"/>
              <w:keepNext/>
              <w:spacing w:line="440" w:lineRule="exact"/>
              <w:ind w:left="63" w:right="63"/>
              <w:rPr>
                <w:rFonts w:hint="eastAsia" w:ascii="宋体" w:hAnsi="宋体" w:eastAsia="宋体" w:cs="宋体"/>
                <w:color w:val="000000"/>
                <w:kern w:val="2"/>
                <w:sz w:val="28"/>
                <w:szCs w:val="28"/>
              </w:rPr>
            </w:pPr>
          </w:p>
        </w:tc>
      </w:tr>
      <w:tr w14:paraId="4DA2D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C73F7C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造价管理</w:t>
            </w:r>
          </w:p>
        </w:tc>
        <w:tc>
          <w:tcPr>
            <w:tcW w:w="1418" w:type="dxa"/>
            <w:vAlign w:val="center"/>
          </w:tcPr>
          <w:p w14:paraId="1171044F">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4DF928C5">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3CDC193">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3B11760B">
            <w:pPr>
              <w:pStyle w:val="11"/>
              <w:keepNext/>
              <w:spacing w:line="440" w:lineRule="exact"/>
              <w:ind w:left="63" w:right="63"/>
              <w:rPr>
                <w:rFonts w:hint="eastAsia" w:ascii="宋体" w:hAnsi="宋体" w:eastAsia="宋体" w:cs="宋体"/>
                <w:color w:val="000000"/>
                <w:kern w:val="2"/>
                <w:sz w:val="28"/>
                <w:szCs w:val="28"/>
              </w:rPr>
            </w:pPr>
          </w:p>
        </w:tc>
      </w:tr>
      <w:tr w14:paraId="3C6CA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AA700F6">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质量管理</w:t>
            </w:r>
          </w:p>
        </w:tc>
        <w:tc>
          <w:tcPr>
            <w:tcW w:w="1418" w:type="dxa"/>
            <w:vAlign w:val="center"/>
          </w:tcPr>
          <w:p w14:paraId="49D763FD">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673530B4">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31C50D6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84B5E18">
            <w:pPr>
              <w:pStyle w:val="11"/>
              <w:keepNext/>
              <w:spacing w:line="440" w:lineRule="exact"/>
              <w:ind w:left="63" w:right="63"/>
              <w:rPr>
                <w:rFonts w:hint="eastAsia" w:ascii="宋体" w:hAnsi="宋体" w:eastAsia="宋体" w:cs="宋体"/>
                <w:color w:val="000000"/>
                <w:kern w:val="2"/>
                <w:sz w:val="28"/>
                <w:szCs w:val="28"/>
              </w:rPr>
            </w:pPr>
          </w:p>
        </w:tc>
      </w:tr>
      <w:tr w14:paraId="6A611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D439ED4">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材料管理</w:t>
            </w:r>
          </w:p>
        </w:tc>
        <w:tc>
          <w:tcPr>
            <w:tcW w:w="1418" w:type="dxa"/>
            <w:vAlign w:val="center"/>
          </w:tcPr>
          <w:p w14:paraId="4CE2A13D">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22400D3E">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55AE7CA4">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21D06965">
            <w:pPr>
              <w:pStyle w:val="11"/>
              <w:keepNext/>
              <w:spacing w:line="440" w:lineRule="exact"/>
              <w:ind w:left="63" w:right="63"/>
              <w:rPr>
                <w:rFonts w:hint="eastAsia" w:ascii="宋体" w:hAnsi="宋体" w:eastAsia="宋体" w:cs="宋体"/>
                <w:color w:val="000000"/>
                <w:kern w:val="2"/>
                <w:sz w:val="28"/>
                <w:szCs w:val="28"/>
              </w:rPr>
            </w:pPr>
          </w:p>
        </w:tc>
      </w:tr>
      <w:tr w14:paraId="7AF3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DC6F35F">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计划管理</w:t>
            </w:r>
          </w:p>
        </w:tc>
        <w:tc>
          <w:tcPr>
            <w:tcW w:w="1418" w:type="dxa"/>
            <w:vAlign w:val="center"/>
          </w:tcPr>
          <w:p w14:paraId="4E1AAE36">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8BD165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46C6712">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4974D277">
            <w:pPr>
              <w:pStyle w:val="11"/>
              <w:keepNext/>
              <w:spacing w:line="440" w:lineRule="exact"/>
              <w:ind w:left="63" w:right="63"/>
              <w:rPr>
                <w:rFonts w:hint="eastAsia" w:ascii="宋体" w:hAnsi="宋体" w:eastAsia="宋体" w:cs="宋体"/>
                <w:color w:val="000000"/>
                <w:kern w:val="2"/>
                <w:sz w:val="28"/>
                <w:szCs w:val="28"/>
              </w:rPr>
            </w:pPr>
          </w:p>
        </w:tc>
      </w:tr>
      <w:tr w14:paraId="2CC2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E0ED49C">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安全管理</w:t>
            </w:r>
          </w:p>
        </w:tc>
        <w:tc>
          <w:tcPr>
            <w:tcW w:w="1418" w:type="dxa"/>
            <w:vAlign w:val="center"/>
          </w:tcPr>
          <w:p w14:paraId="2DA50D72">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5FFA5188">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1C385D98">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480439C2">
            <w:pPr>
              <w:pStyle w:val="11"/>
              <w:keepNext/>
              <w:spacing w:line="440" w:lineRule="exact"/>
              <w:ind w:left="63" w:right="63"/>
              <w:rPr>
                <w:rFonts w:hint="eastAsia" w:ascii="宋体" w:hAnsi="宋体" w:eastAsia="宋体" w:cs="宋体"/>
                <w:color w:val="000000"/>
                <w:kern w:val="2"/>
                <w:sz w:val="28"/>
                <w:szCs w:val="28"/>
              </w:rPr>
            </w:pPr>
          </w:p>
        </w:tc>
      </w:tr>
      <w:tr w14:paraId="00B2B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9CBFAE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418" w:type="dxa"/>
            <w:vAlign w:val="center"/>
          </w:tcPr>
          <w:p w14:paraId="59870F26">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315C664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036AB923">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F89EA7E">
            <w:pPr>
              <w:pStyle w:val="11"/>
              <w:keepNext/>
              <w:spacing w:line="440" w:lineRule="exact"/>
              <w:ind w:left="63" w:right="63"/>
              <w:rPr>
                <w:rFonts w:hint="eastAsia" w:ascii="宋体" w:hAnsi="宋体" w:eastAsia="宋体" w:cs="宋体"/>
                <w:color w:val="000000"/>
                <w:kern w:val="2"/>
                <w:sz w:val="28"/>
                <w:szCs w:val="28"/>
              </w:rPr>
            </w:pPr>
          </w:p>
        </w:tc>
      </w:tr>
      <w:tr w14:paraId="2CBE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6FE826">
            <w:pPr>
              <w:pStyle w:val="11"/>
              <w:keepNext/>
              <w:spacing w:line="440" w:lineRule="exact"/>
              <w:ind w:left="63" w:right="63"/>
              <w:rPr>
                <w:rFonts w:hint="eastAsia" w:ascii="宋体" w:hAnsi="宋体" w:eastAsia="宋体" w:cs="宋体"/>
                <w:color w:val="000000"/>
                <w:kern w:val="2"/>
                <w:sz w:val="24"/>
                <w:szCs w:val="28"/>
              </w:rPr>
            </w:pPr>
          </w:p>
        </w:tc>
        <w:tc>
          <w:tcPr>
            <w:tcW w:w="1418" w:type="dxa"/>
            <w:tcBorders>
              <w:bottom w:val="nil"/>
            </w:tcBorders>
            <w:vAlign w:val="center"/>
          </w:tcPr>
          <w:p w14:paraId="7D495A6F">
            <w:pPr>
              <w:pStyle w:val="11"/>
              <w:keepNext/>
              <w:spacing w:line="440" w:lineRule="exact"/>
              <w:ind w:left="63" w:right="63"/>
              <w:rPr>
                <w:rFonts w:hint="eastAsia" w:ascii="宋体" w:hAnsi="宋体" w:eastAsia="宋体" w:cs="宋体"/>
                <w:color w:val="000000"/>
                <w:kern w:val="2"/>
                <w:sz w:val="24"/>
                <w:szCs w:val="28"/>
              </w:rPr>
            </w:pPr>
          </w:p>
        </w:tc>
        <w:tc>
          <w:tcPr>
            <w:tcW w:w="1134" w:type="dxa"/>
            <w:tcBorders>
              <w:bottom w:val="nil"/>
            </w:tcBorders>
            <w:vAlign w:val="center"/>
          </w:tcPr>
          <w:p w14:paraId="3B614AE2">
            <w:pPr>
              <w:pStyle w:val="11"/>
              <w:keepNext/>
              <w:spacing w:line="440" w:lineRule="exact"/>
              <w:ind w:left="63" w:right="63"/>
              <w:rPr>
                <w:rFonts w:hint="eastAsia" w:ascii="宋体" w:hAnsi="宋体" w:eastAsia="宋体" w:cs="宋体"/>
                <w:color w:val="000000"/>
                <w:kern w:val="2"/>
                <w:sz w:val="28"/>
                <w:szCs w:val="28"/>
              </w:rPr>
            </w:pPr>
          </w:p>
        </w:tc>
        <w:tc>
          <w:tcPr>
            <w:tcW w:w="1134" w:type="dxa"/>
            <w:tcBorders>
              <w:bottom w:val="nil"/>
            </w:tcBorders>
            <w:vAlign w:val="center"/>
          </w:tcPr>
          <w:p w14:paraId="057A74DA">
            <w:pPr>
              <w:pStyle w:val="11"/>
              <w:keepNext/>
              <w:spacing w:line="440" w:lineRule="exact"/>
              <w:ind w:left="63" w:right="63"/>
              <w:rPr>
                <w:rFonts w:hint="eastAsia" w:ascii="宋体" w:hAnsi="宋体" w:eastAsia="宋体" w:cs="宋体"/>
                <w:color w:val="000000"/>
                <w:kern w:val="2"/>
                <w:sz w:val="28"/>
                <w:szCs w:val="28"/>
              </w:rPr>
            </w:pPr>
          </w:p>
        </w:tc>
        <w:tc>
          <w:tcPr>
            <w:tcW w:w="4252" w:type="dxa"/>
            <w:tcBorders>
              <w:bottom w:val="nil"/>
            </w:tcBorders>
            <w:vAlign w:val="center"/>
          </w:tcPr>
          <w:p w14:paraId="5ED0DDD6">
            <w:pPr>
              <w:pStyle w:val="11"/>
              <w:keepNext/>
              <w:spacing w:line="440" w:lineRule="exact"/>
              <w:ind w:left="63" w:right="63"/>
              <w:rPr>
                <w:rFonts w:hint="eastAsia" w:ascii="宋体" w:hAnsi="宋体" w:eastAsia="宋体" w:cs="宋体"/>
                <w:color w:val="000000"/>
                <w:kern w:val="2"/>
                <w:sz w:val="28"/>
                <w:szCs w:val="28"/>
              </w:rPr>
            </w:pPr>
          </w:p>
        </w:tc>
      </w:tr>
      <w:tr w14:paraId="5E2AB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317192D">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356E8A41">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41F65EC9">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42C385DC">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27A38E0C">
            <w:pPr>
              <w:pStyle w:val="11"/>
              <w:keepNext/>
              <w:spacing w:line="440" w:lineRule="exact"/>
              <w:ind w:left="63" w:right="63"/>
              <w:rPr>
                <w:rFonts w:hint="eastAsia" w:ascii="宋体" w:hAnsi="宋体" w:eastAsia="宋体" w:cs="宋体"/>
                <w:color w:val="000000"/>
                <w:kern w:val="2"/>
                <w:sz w:val="28"/>
                <w:szCs w:val="28"/>
              </w:rPr>
            </w:pPr>
          </w:p>
        </w:tc>
      </w:tr>
      <w:tr w14:paraId="3685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96C2E55">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00BF518E">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6CE2BDD1">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5ACF5D5E">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5C942EC">
            <w:pPr>
              <w:pStyle w:val="11"/>
              <w:keepNext/>
              <w:spacing w:line="440" w:lineRule="exact"/>
              <w:ind w:left="63" w:right="63"/>
              <w:rPr>
                <w:rFonts w:hint="eastAsia" w:ascii="宋体" w:hAnsi="宋体" w:eastAsia="宋体" w:cs="宋体"/>
                <w:color w:val="000000"/>
                <w:kern w:val="2"/>
                <w:sz w:val="28"/>
                <w:szCs w:val="28"/>
              </w:rPr>
            </w:pPr>
          </w:p>
        </w:tc>
      </w:tr>
      <w:tr w14:paraId="4BBD4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A9DBB07">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344F8EAF">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D9FED9B">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3F968BB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7C9C8728">
            <w:pPr>
              <w:pStyle w:val="11"/>
              <w:keepNext/>
              <w:spacing w:line="440" w:lineRule="exact"/>
              <w:ind w:left="63" w:right="63"/>
              <w:rPr>
                <w:rFonts w:hint="eastAsia" w:ascii="宋体" w:hAnsi="宋体" w:eastAsia="宋体" w:cs="宋体"/>
                <w:color w:val="000000"/>
                <w:kern w:val="2"/>
                <w:sz w:val="28"/>
                <w:szCs w:val="28"/>
              </w:rPr>
            </w:pPr>
          </w:p>
        </w:tc>
      </w:tr>
      <w:tr w14:paraId="48912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1C8520AE">
            <w:pPr>
              <w:pStyle w:val="11"/>
              <w:keepNext/>
              <w:spacing w:line="440" w:lineRule="exact"/>
              <w:ind w:left="63" w:right="63"/>
              <w:rPr>
                <w:rFonts w:hint="eastAsia" w:ascii="宋体" w:hAnsi="宋体" w:eastAsia="宋体" w:cs="宋体"/>
                <w:color w:val="000000"/>
                <w:kern w:val="2"/>
                <w:sz w:val="24"/>
                <w:szCs w:val="28"/>
              </w:rPr>
            </w:pPr>
          </w:p>
        </w:tc>
        <w:tc>
          <w:tcPr>
            <w:tcW w:w="1418" w:type="dxa"/>
            <w:tcBorders>
              <w:bottom w:val="single" w:color="auto" w:sz="12" w:space="0"/>
            </w:tcBorders>
            <w:vAlign w:val="center"/>
          </w:tcPr>
          <w:p w14:paraId="5139D7A8">
            <w:pPr>
              <w:pStyle w:val="11"/>
              <w:keepNext/>
              <w:spacing w:line="440" w:lineRule="exact"/>
              <w:ind w:left="63" w:right="63"/>
              <w:rPr>
                <w:rFonts w:hint="eastAsia" w:ascii="宋体" w:hAnsi="宋体" w:eastAsia="宋体" w:cs="宋体"/>
                <w:color w:val="000000"/>
                <w:kern w:val="2"/>
                <w:sz w:val="24"/>
                <w:szCs w:val="28"/>
              </w:rPr>
            </w:pPr>
          </w:p>
        </w:tc>
        <w:tc>
          <w:tcPr>
            <w:tcW w:w="1134" w:type="dxa"/>
            <w:tcBorders>
              <w:bottom w:val="single" w:color="auto" w:sz="12" w:space="0"/>
            </w:tcBorders>
            <w:vAlign w:val="center"/>
          </w:tcPr>
          <w:p w14:paraId="134CA0E7">
            <w:pPr>
              <w:pStyle w:val="11"/>
              <w:keepNext/>
              <w:spacing w:line="440" w:lineRule="exact"/>
              <w:ind w:left="63" w:right="63"/>
              <w:rPr>
                <w:rFonts w:hint="eastAsia" w:ascii="宋体" w:hAnsi="宋体" w:eastAsia="宋体" w:cs="宋体"/>
                <w:color w:val="000000"/>
                <w:kern w:val="2"/>
                <w:sz w:val="28"/>
                <w:szCs w:val="28"/>
              </w:rPr>
            </w:pPr>
          </w:p>
        </w:tc>
        <w:tc>
          <w:tcPr>
            <w:tcW w:w="1134" w:type="dxa"/>
            <w:tcBorders>
              <w:bottom w:val="single" w:color="auto" w:sz="12" w:space="0"/>
            </w:tcBorders>
            <w:vAlign w:val="center"/>
          </w:tcPr>
          <w:p w14:paraId="2565EB26">
            <w:pPr>
              <w:pStyle w:val="11"/>
              <w:keepNext/>
              <w:spacing w:line="440" w:lineRule="exact"/>
              <w:ind w:left="63" w:right="63"/>
              <w:rPr>
                <w:rFonts w:hint="eastAsia" w:ascii="宋体" w:hAnsi="宋体" w:eastAsia="宋体" w:cs="宋体"/>
                <w:color w:val="000000"/>
                <w:kern w:val="2"/>
                <w:sz w:val="28"/>
                <w:szCs w:val="28"/>
              </w:rPr>
            </w:pPr>
          </w:p>
        </w:tc>
        <w:tc>
          <w:tcPr>
            <w:tcW w:w="4252" w:type="dxa"/>
            <w:tcBorders>
              <w:bottom w:val="single" w:color="auto" w:sz="12" w:space="0"/>
            </w:tcBorders>
            <w:vAlign w:val="center"/>
          </w:tcPr>
          <w:p w14:paraId="2FF04FCF">
            <w:pPr>
              <w:pStyle w:val="11"/>
              <w:keepNext/>
              <w:spacing w:line="440" w:lineRule="exact"/>
              <w:ind w:left="63" w:right="63"/>
              <w:rPr>
                <w:rFonts w:hint="eastAsia" w:ascii="宋体" w:hAnsi="宋体" w:eastAsia="宋体" w:cs="宋体"/>
                <w:color w:val="000000"/>
                <w:kern w:val="2"/>
                <w:sz w:val="28"/>
                <w:szCs w:val="28"/>
              </w:rPr>
            </w:pPr>
          </w:p>
        </w:tc>
      </w:tr>
    </w:tbl>
    <w:p w14:paraId="6C786439">
      <w:pPr>
        <w:spacing w:line="440" w:lineRule="exact"/>
        <w:ind w:left="-489" w:leftChars="-233"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br w:type="page"/>
      </w:r>
      <w:bookmarkStart w:id="1104" w:name="_Toc267261701"/>
      <w:r>
        <w:rPr>
          <w:rFonts w:hint="eastAsia" w:ascii="宋体" w:hAnsi="宋体" w:eastAsia="宋体" w:cs="宋体"/>
          <w:color w:val="000000"/>
          <w:sz w:val="24"/>
          <w:szCs w:val="24"/>
        </w:rPr>
        <w:t>附</w:t>
      </w:r>
      <w:bookmarkStart w:id="1105" w:name="_Toc296503231"/>
      <w:bookmarkStart w:id="1106" w:name="_Toc296347230"/>
      <w:bookmarkStart w:id="1107" w:name="_Toc296944570"/>
      <w:bookmarkStart w:id="1108" w:name="_Toc296891271"/>
      <w:bookmarkStart w:id="1109" w:name="_Toc296346732"/>
      <w:bookmarkStart w:id="1110" w:name="_Toc296891059"/>
      <w:r>
        <w:rPr>
          <w:rFonts w:hint="eastAsia" w:ascii="宋体" w:hAnsi="宋体" w:eastAsia="宋体" w:cs="宋体"/>
          <w:color w:val="000000"/>
          <w:sz w:val="24"/>
          <w:szCs w:val="24"/>
        </w:rPr>
        <w:t>件8：</w:t>
      </w:r>
    </w:p>
    <w:bookmarkEnd w:id="1104"/>
    <w:bookmarkEnd w:id="1105"/>
    <w:bookmarkEnd w:id="1106"/>
    <w:bookmarkEnd w:id="1107"/>
    <w:bookmarkEnd w:id="1108"/>
    <w:bookmarkEnd w:id="1109"/>
    <w:bookmarkEnd w:id="1110"/>
    <w:p w14:paraId="36E9CFC1">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履约担保</w:t>
      </w:r>
    </w:p>
    <w:p w14:paraId="64602F63">
      <w:pPr>
        <w:spacing w:beforeLines="100"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（发包人名称）：</w:t>
      </w:r>
    </w:p>
    <w:p w14:paraId="3DD3D5E8">
      <w:pPr>
        <w:spacing w:beforeLines="10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（工程名称）施工及有关事项协商一致共同签订《建设工程施工合同》。我方愿意无条件地、不可撤销地就承包人履行与你方签订的合同，向你方提供连带责任担保。 </w:t>
      </w:r>
    </w:p>
    <w:p w14:paraId="2C4089C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4521EA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2.担保有效期自你方与承包人签订的合同生效之日起至你方签发或应签发工程接收证书之日止。</w:t>
      </w:r>
    </w:p>
    <w:p w14:paraId="5B9ADC5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3.在本担保有效期内，因承包人违反合同约定的义务给你方造成经济损失时，我方在收到你方以书面形式提出的在担保金额内的赔偿要求后，在7天内无条件支付。</w:t>
      </w:r>
    </w:p>
    <w:p w14:paraId="2F10190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4.你方和承包人按合同约定变更合同时，我方承担本担保规定的义务不变。</w:t>
      </w:r>
    </w:p>
    <w:p w14:paraId="3367258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14:paraId="4B88FFA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6.本保函自我方法定代表人（或其授权代理人）签字并加盖公章之日起生效。</w:t>
      </w:r>
    </w:p>
    <w:p w14:paraId="6072DECB">
      <w:pPr>
        <w:spacing w:line="500" w:lineRule="exact"/>
        <w:rPr>
          <w:rFonts w:hint="eastAsia" w:ascii="宋体" w:hAnsi="宋体" w:eastAsia="宋体" w:cs="宋体"/>
          <w:color w:val="000000"/>
          <w:sz w:val="24"/>
          <w:szCs w:val="24"/>
        </w:rPr>
      </w:pPr>
    </w:p>
    <w:p w14:paraId="65B87C1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担 保 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0C12A92C">
      <w:pPr>
        <w:spacing w:beforeLines="8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35411C84">
      <w:pPr>
        <w:spacing w:beforeLines="8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2208932E">
      <w:pPr>
        <w:spacing w:beforeLines="8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传真：</w:t>
      </w:r>
      <w:r>
        <w:rPr>
          <w:rFonts w:hint="eastAsia" w:ascii="宋体" w:hAnsi="宋体" w:eastAsia="宋体" w:cs="宋体"/>
          <w:color w:val="000000"/>
          <w:sz w:val="24"/>
          <w:szCs w:val="24"/>
          <w:u w:val="single"/>
        </w:rPr>
        <w:t xml:space="preserve">           </w:t>
      </w:r>
    </w:p>
    <w:p w14:paraId="58B062FF">
      <w:pPr>
        <w:spacing w:beforeLines="80" w:line="500" w:lineRule="exact"/>
        <w:ind w:left="1772" w:hanging="1519" w:hangingChars="633"/>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D839146">
      <w:pPr>
        <w:spacing w:line="440" w:lineRule="exact"/>
        <w:ind w:left="-489" w:leftChars="-233" w:firstLine="360" w:firstLineChars="150"/>
        <w:rPr>
          <w:rFonts w:hint="eastAsia" w:ascii="宋体" w:hAnsi="宋体" w:eastAsia="宋体" w:cs="宋体"/>
          <w:color w:val="000000"/>
          <w:sz w:val="28"/>
          <w:szCs w:val="28"/>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111" w:name="_Toc296346733"/>
      <w:bookmarkStart w:id="1112" w:name="_Toc296503232"/>
      <w:bookmarkStart w:id="1113" w:name="_Toc296347231"/>
      <w:bookmarkStart w:id="1114" w:name="_Toc296944571"/>
      <w:bookmarkStart w:id="1115" w:name="_Toc296891060"/>
      <w:bookmarkStart w:id="1116" w:name="_Toc267261702"/>
      <w:bookmarkStart w:id="1117" w:name="_Toc296891272"/>
      <w:r>
        <w:rPr>
          <w:rFonts w:hint="eastAsia" w:ascii="宋体" w:hAnsi="宋体" w:eastAsia="宋体" w:cs="宋体"/>
          <w:color w:val="000000"/>
          <w:sz w:val="24"/>
          <w:szCs w:val="24"/>
        </w:rPr>
        <w:t>件9：</w:t>
      </w:r>
    </w:p>
    <w:bookmarkEnd w:id="1111"/>
    <w:bookmarkEnd w:id="1112"/>
    <w:bookmarkEnd w:id="1113"/>
    <w:bookmarkEnd w:id="1114"/>
    <w:bookmarkEnd w:id="1115"/>
    <w:bookmarkEnd w:id="1116"/>
    <w:bookmarkEnd w:id="1117"/>
    <w:p w14:paraId="7DD770FC">
      <w:pPr>
        <w:spacing w:beforeLines="50"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预付款担保</w:t>
      </w:r>
    </w:p>
    <w:p w14:paraId="2FCCDA33">
      <w:pPr>
        <w:spacing w:beforeLines="1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（发包人名称）：</w:t>
      </w:r>
    </w:p>
    <w:p w14:paraId="1DC40086">
      <w:pPr>
        <w:spacing w:beforeLines="2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5100880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2158CF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2.担保有效期自预付款支付给承包人起生效，至你方签发的进度款支付证书说明已完全扣清止。</w:t>
      </w:r>
    </w:p>
    <w:p w14:paraId="60BCD74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180896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4.你方和承包人按合同约定变更合同时，我方承担本保函规定的义务不变。</w:t>
      </w:r>
    </w:p>
    <w:p w14:paraId="32B9C09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14:paraId="1F4B787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6.本保函自我方法定代表人（或其授权代理人）签字并加盖公章之日起生效。</w:t>
      </w:r>
    </w:p>
    <w:p w14:paraId="53845EAB">
      <w:pPr>
        <w:spacing w:beforeLines="1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B50DDDE">
      <w:pPr>
        <w:spacing w:beforeLines="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48EE374D">
      <w:pPr>
        <w:spacing w:beforeLines="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0BB458A9">
      <w:pPr>
        <w:spacing w:beforeLines="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传真：</w:t>
      </w:r>
      <w:r>
        <w:rPr>
          <w:rFonts w:hint="eastAsia" w:ascii="宋体" w:hAnsi="宋体" w:eastAsia="宋体" w:cs="宋体"/>
          <w:color w:val="000000"/>
          <w:sz w:val="24"/>
          <w:szCs w:val="24"/>
          <w:u w:val="single"/>
        </w:rPr>
        <w:t xml:space="preserve">           </w:t>
      </w:r>
    </w:p>
    <w:p w14:paraId="38FC1080">
      <w:pPr>
        <w:spacing w:beforeLines="50"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74942D57">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118" w:name="_Toc296503233"/>
      <w:bookmarkStart w:id="1119" w:name="_Toc296944572"/>
      <w:bookmarkStart w:id="1120" w:name="_Toc296891061"/>
      <w:bookmarkStart w:id="1121" w:name="_Toc296347232"/>
      <w:bookmarkStart w:id="1122" w:name="_Toc296891273"/>
      <w:bookmarkStart w:id="1123" w:name="_Toc296346734"/>
      <w:r>
        <w:rPr>
          <w:rFonts w:hint="eastAsia" w:ascii="宋体" w:hAnsi="宋体" w:eastAsia="宋体" w:cs="宋体"/>
          <w:color w:val="000000"/>
          <w:sz w:val="24"/>
          <w:szCs w:val="24"/>
        </w:rPr>
        <w:t>件10:</w:t>
      </w:r>
    </w:p>
    <w:bookmarkEnd w:id="1118"/>
    <w:bookmarkEnd w:id="1119"/>
    <w:bookmarkEnd w:id="1120"/>
    <w:bookmarkEnd w:id="1121"/>
    <w:bookmarkEnd w:id="1122"/>
    <w:bookmarkEnd w:id="1123"/>
    <w:p w14:paraId="745397E4">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支付担保</w:t>
      </w:r>
    </w:p>
    <w:p w14:paraId="1ED1E8D7">
      <w:pPr>
        <w:spacing w:beforeLines="50"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w:t>
      </w:r>
    </w:p>
    <w:p w14:paraId="05F473CD">
      <w:pPr>
        <w:spacing w:beforeLines="100"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鉴于你方作为承包人已经与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（工程名称）《建设工程施工合同》（以下称“主合同”），应发包人的申请，我方愿就发包人履行主合同约定的工程款支付义务以保证的方式向你方提供如下担保：</w:t>
      </w:r>
    </w:p>
    <w:p w14:paraId="06743631">
      <w:pPr>
        <w:spacing w:line="500" w:lineRule="exact"/>
        <w:ind w:firstLine="480" w:firstLineChars="200"/>
        <w:jc w:val="left"/>
        <w:outlineLvl w:val="0"/>
        <w:rPr>
          <w:rFonts w:hint="eastAsia" w:ascii="宋体" w:hAnsi="宋体" w:eastAsia="宋体" w:cs="宋体"/>
          <w:color w:val="000000"/>
          <w:sz w:val="24"/>
          <w:szCs w:val="24"/>
        </w:rPr>
      </w:pPr>
      <w:bookmarkStart w:id="1124" w:name="_Toc375060656"/>
      <w:bookmarkStart w:id="1125" w:name="_Toc375060875"/>
      <w:r>
        <w:rPr>
          <w:rFonts w:hint="eastAsia" w:ascii="宋体" w:hAnsi="宋体" w:eastAsia="宋体" w:cs="宋体"/>
          <w:color w:val="000000"/>
          <w:sz w:val="24"/>
          <w:szCs w:val="24"/>
        </w:rPr>
        <w:t>一、保证的范围及保证金额</w:t>
      </w:r>
      <w:bookmarkEnd w:id="1124"/>
      <w:bookmarkEnd w:id="1125"/>
    </w:p>
    <w:p w14:paraId="7556DE8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1.我方的保证范围是主合同约定的工程款。</w:t>
      </w:r>
    </w:p>
    <w:p w14:paraId="119E0FC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2.本保函所称主合同约定的工程款是指主合同约定的除工程质量保证金以外的合同价款。</w:t>
      </w:r>
    </w:p>
    <w:p w14:paraId="5CDC82F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3.我方保证的金额是主合同约定的工程款的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%，数额最高不超过人民币元（大写：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A436AE0">
      <w:pPr>
        <w:spacing w:line="500" w:lineRule="exact"/>
        <w:ind w:firstLine="480" w:firstLineChars="200"/>
        <w:jc w:val="left"/>
        <w:outlineLvl w:val="0"/>
        <w:rPr>
          <w:rFonts w:hint="eastAsia" w:ascii="宋体" w:hAnsi="宋体" w:eastAsia="宋体" w:cs="宋体"/>
          <w:color w:val="000000"/>
          <w:sz w:val="24"/>
          <w:szCs w:val="24"/>
        </w:rPr>
      </w:pPr>
      <w:bookmarkStart w:id="1126" w:name="_Toc375060657"/>
      <w:bookmarkStart w:id="1127" w:name="_Toc375060876"/>
      <w:r>
        <w:rPr>
          <w:rFonts w:hint="eastAsia" w:ascii="宋体" w:hAnsi="宋体" w:eastAsia="宋体" w:cs="宋体"/>
          <w:color w:val="000000"/>
          <w:sz w:val="24"/>
          <w:szCs w:val="24"/>
        </w:rPr>
        <w:t>二、保证的方式及保证期间</w:t>
      </w:r>
      <w:bookmarkEnd w:id="1126"/>
      <w:bookmarkEnd w:id="1127"/>
    </w:p>
    <w:p w14:paraId="4291E67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1.我方保证的方式为：连带责任保证。</w:t>
      </w:r>
    </w:p>
    <w:p w14:paraId="32B52F2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2.我方保证的期间为：自本合同生效之日起至主合同约定的工程款支付完毕之日后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p w14:paraId="486E860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3.你方与发包人协议变更工程款支付日期的，经我方书面同意后，保证期间按照变更后的支付日期做相应调整。</w:t>
      </w:r>
    </w:p>
    <w:p w14:paraId="75A1E99F">
      <w:pPr>
        <w:spacing w:line="500" w:lineRule="exact"/>
        <w:ind w:firstLine="480" w:firstLineChars="200"/>
        <w:jc w:val="left"/>
        <w:outlineLvl w:val="0"/>
        <w:rPr>
          <w:rFonts w:hint="eastAsia" w:ascii="宋体" w:hAnsi="宋体" w:eastAsia="宋体" w:cs="宋体"/>
          <w:color w:val="000000"/>
          <w:sz w:val="24"/>
          <w:szCs w:val="24"/>
        </w:rPr>
      </w:pPr>
      <w:bookmarkStart w:id="1128" w:name="_Toc375060877"/>
      <w:bookmarkStart w:id="1129" w:name="_Toc375060658"/>
      <w:r>
        <w:rPr>
          <w:rFonts w:hint="eastAsia" w:ascii="宋体" w:hAnsi="宋体" w:eastAsia="宋体" w:cs="宋体"/>
          <w:color w:val="000000"/>
          <w:sz w:val="24"/>
          <w:szCs w:val="24"/>
        </w:rPr>
        <w:t>三、承担保证责任的形式</w:t>
      </w:r>
      <w:bookmarkEnd w:id="1128"/>
      <w:bookmarkEnd w:id="1129"/>
    </w:p>
    <w:p w14:paraId="4256E71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14:paraId="78A36BC0">
      <w:pPr>
        <w:spacing w:line="500" w:lineRule="exact"/>
        <w:ind w:firstLine="480" w:firstLineChars="200"/>
        <w:jc w:val="left"/>
        <w:outlineLvl w:val="0"/>
        <w:rPr>
          <w:rFonts w:hint="eastAsia" w:ascii="宋体" w:hAnsi="宋体" w:eastAsia="宋体" w:cs="宋体"/>
          <w:color w:val="000000"/>
          <w:sz w:val="24"/>
          <w:szCs w:val="24"/>
        </w:rPr>
      </w:pPr>
      <w:bookmarkStart w:id="1130" w:name="_Toc375060659"/>
      <w:bookmarkStart w:id="1131" w:name="_Toc375060878"/>
      <w:r>
        <w:rPr>
          <w:rFonts w:hint="eastAsia" w:ascii="宋体" w:hAnsi="宋体" w:eastAsia="宋体" w:cs="宋体"/>
          <w:color w:val="000000"/>
          <w:sz w:val="24"/>
          <w:szCs w:val="24"/>
        </w:rPr>
        <w:t>四、代偿的安排</w:t>
      </w:r>
      <w:bookmarkEnd w:id="1130"/>
      <w:bookmarkEnd w:id="1131"/>
    </w:p>
    <w:p w14:paraId="476335A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1.你方要求我方承担保证责任的，应向我方发出书面索赔通知及发包人未支付主合同约定工程款的证明材料。索赔通知应写明要求索赔的金额，支付款项应到达的账号。</w:t>
      </w:r>
    </w:p>
    <w:p w14:paraId="04F5682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2.在出现你方与发包人因工程质量发生争议，发包人拒绝向你方支付工程款的情形时，你方要求我方履行保证责任代为支付的，需提供符合相应条件要求的工程质量检测机构出具的质量说明材料。</w:t>
      </w:r>
    </w:p>
    <w:p w14:paraId="648CAE54">
      <w:pPr>
        <w:spacing w:line="500" w:lineRule="exact"/>
        <w:ind w:right="-151" w:rightChars="-72"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3.我方收到你方的书面索赔通知及相应的证明材料后７天内无条件支付。</w:t>
      </w:r>
    </w:p>
    <w:p w14:paraId="21D6575F">
      <w:pPr>
        <w:spacing w:line="500" w:lineRule="exact"/>
        <w:ind w:firstLine="480" w:firstLineChars="200"/>
        <w:jc w:val="left"/>
        <w:outlineLvl w:val="0"/>
        <w:rPr>
          <w:rFonts w:hint="eastAsia" w:ascii="宋体" w:hAnsi="宋体" w:eastAsia="宋体" w:cs="宋体"/>
          <w:color w:val="000000"/>
          <w:sz w:val="24"/>
          <w:szCs w:val="24"/>
        </w:rPr>
      </w:pPr>
      <w:bookmarkStart w:id="1132" w:name="_Toc375060660"/>
      <w:bookmarkStart w:id="1133" w:name="_Toc375060879"/>
      <w:r>
        <w:rPr>
          <w:rFonts w:hint="eastAsia" w:ascii="宋体" w:hAnsi="宋体" w:eastAsia="宋体" w:cs="宋体"/>
          <w:color w:val="000000"/>
          <w:sz w:val="24"/>
          <w:szCs w:val="24"/>
        </w:rPr>
        <w:t>五、保证责任的解除</w:t>
      </w:r>
      <w:bookmarkEnd w:id="1132"/>
      <w:bookmarkEnd w:id="1133"/>
    </w:p>
    <w:p w14:paraId="7BA4D63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1.在本保函承诺的保证期间内，你方未书面向我方主张保证责任的，自保证期间届满次日起，我方保证责任解除。</w:t>
      </w:r>
    </w:p>
    <w:p w14:paraId="7946376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2.发包人按主合同约定履行了工程款的全部支付义务的，自本保函承诺的保证期间届满次日起，我方保证责任解除。</w:t>
      </w:r>
    </w:p>
    <w:p w14:paraId="35EB846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3.我方按照本保函向你方履行保证责任所支付金额达到本保函保证金额时，自我方向你方支付（支付款项从我方账户划出）之日起，保证责任即解除。</w:t>
      </w:r>
    </w:p>
    <w:p w14:paraId="5CB7BAA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4.按照法律法规的规定或出现应解除我方保证责任的其他情形的，我方在本保函项下的保证责任亦解除。</w:t>
      </w:r>
    </w:p>
    <w:p w14:paraId="5E84720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5.我方解除保证责任后，你方应自我方保证责任解除之日起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个工作日内，将本保函原件返还我方。</w:t>
      </w:r>
    </w:p>
    <w:p w14:paraId="7CA09000">
      <w:pPr>
        <w:spacing w:line="500" w:lineRule="exact"/>
        <w:ind w:firstLine="480" w:firstLineChars="200"/>
        <w:jc w:val="left"/>
        <w:outlineLvl w:val="0"/>
        <w:rPr>
          <w:rFonts w:hint="eastAsia" w:ascii="宋体" w:hAnsi="宋体" w:eastAsia="宋体" w:cs="宋体"/>
          <w:color w:val="000000"/>
          <w:sz w:val="24"/>
          <w:szCs w:val="24"/>
        </w:rPr>
      </w:pPr>
      <w:bookmarkStart w:id="1134" w:name="_Toc375060880"/>
      <w:bookmarkStart w:id="1135" w:name="_Toc375060661"/>
      <w:r>
        <w:rPr>
          <w:rFonts w:hint="eastAsia" w:ascii="宋体" w:hAnsi="宋体" w:eastAsia="宋体" w:cs="宋体"/>
          <w:color w:val="000000"/>
          <w:sz w:val="24"/>
          <w:szCs w:val="24"/>
        </w:rPr>
        <w:t>六、免责条款</w:t>
      </w:r>
      <w:bookmarkEnd w:id="1134"/>
      <w:bookmarkEnd w:id="1135"/>
    </w:p>
    <w:p w14:paraId="39BC066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1.因你方违约致使发包人不能履行义务的，我方不承担保证责任。</w:t>
      </w:r>
    </w:p>
    <w:p w14:paraId="0006379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2.依照法律法规的规定或你方与发包人的另行约定，免除发包人部分或全部义务的，我方亦免除其相应的保证责任。</w:t>
      </w:r>
    </w:p>
    <w:p w14:paraId="30803845">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3.你方与发包人协议变更主合同的，如加重发包人责任致使我方保证责任加重的，需征得我方书面同意，否则我方不再承担因此而加重部分的保证责任，但主合同第10条〔变更〕约定的变更不受本款限制。</w:t>
      </w:r>
    </w:p>
    <w:p w14:paraId="4E7FFD69">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4.因不可抗力造成发包人不能履行义务的，我方不承担保证责任。</w:t>
      </w:r>
    </w:p>
    <w:p w14:paraId="04232D9C">
      <w:pPr>
        <w:spacing w:line="500" w:lineRule="exact"/>
        <w:ind w:firstLine="480" w:firstLineChars="200"/>
        <w:jc w:val="left"/>
        <w:outlineLvl w:val="0"/>
        <w:rPr>
          <w:rFonts w:hint="eastAsia" w:ascii="宋体" w:hAnsi="宋体" w:eastAsia="宋体" w:cs="宋体"/>
          <w:color w:val="000000"/>
          <w:sz w:val="24"/>
          <w:szCs w:val="24"/>
        </w:rPr>
      </w:pPr>
      <w:bookmarkStart w:id="1136" w:name="_Toc375060881"/>
      <w:bookmarkStart w:id="1137" w:name="_Toc375060662"/>
      <w:r>
        <w:rPr>
          <w:rFonts w:hint="eastAsia" w:ascii="宋体" w:hAnsi="宋体" w:eastAsia="宋体" w:cs="宋体"/>
          <w:color w:val="000000"/>
          <w:sz w:val="24"/>
          <w:szCs w:val="24"/>
        </w:rPr>
        <w:t>七、争议解决</w:t>
      </w:r>
      <w:bookmarkEnd w:id="1136"/>
      <w:bookmarkEnd w:id="1137"/>
    </w:p>
    <w:p w14:paraId="4533ECB8">
      <w:pPr>
        <w:spacing w:after="12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因本保函或本保函相关事项发生的纠纷，可由双方协商解决，协商不成的，按下列第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14:paraId="785EC49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14:paraId="4A106C0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p>
    <w:p w14:paraId="1E2E5A20">
      <w:pPr>
        <w:spacing w:line="500" w:lineRule="exact"/>
        <w:ind w:firstLine="480" w:firstLineChars="200"/>
        <w:jc w:val="left"/>
        <w:outlineLvl w:val="0"/>
        <w:rPr>
          <w:rFonts w:hint="eastAsia" w:ascii="宋体" w:hAnsi="宋体" w:eastAsia="宋体" w:cs="宋体"/>
          <w:color w:val="000000"/>
          <w:sz w:val="24"/>
          <w:szCs w:val="24"/>
        </w:rPr>
      </w:pPr>
      <w:bookmarkStart w:id="1138" w:name="_Toc375060663"/>
      <w:bookmarkStart w:id="1139" w:name="_Toc375060882"/>
      <w:r>
        <w:rPr>
          <w:rFonts w:hint="eastAsia" w:ascii="宋体" w:hAnsi="宋体" w:eastAsia="宋体" w:cs="宋体"/>
          <w:color w:val="000000"/>
          <w:sz w:val="24"/>
          <w:szCs w:val="24"/>
        </w:rPr>
        <w:t>八、保函的生效</w:t>
      </w:r>
      <w:bookmarkEnd w:id="1138"/>
      <w:bookmarkEnd w:id="1139"/>
    </w:p>
    <w:p w14:paraId="56E20E8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本保函自我方法定代表人（或其授权代理人）签字并加盖公章之日起生效。</w:t>
      </w:r>
    </w:p>
    <w:p w14:paraId="42429E98">
      <w:pPr>
        <w:spacing w:line="500" w:lineRule="exact"/>
        <w:ind w:firstLine="480" w:firstLineChars="200"/>
        <w:jc w:val="left"/>
        <w:rPr>
          <w:rFonts w:hint="eastAsia" w:ascii="宋体" w:hAnsi="宋体" w:eastAsia="宋体" w:cs="宋体"/>
          <w:color w:val="000000"/>
          <w:sz w:val="24"/>
          <w:szCs w:val="24"/>
        </w:rPr>
      </w:pPr>
    </w:p>
    <w:p w14:paraId="73B96F90">
      <w:pPr>
        <w:spacing w:line="500" w:lineRule="exact"/>
        <w:ind w:right="600"/>
        <w:jc w:val="left"/>
        <w:rPr>
          <w:rFonts w:hint="eastAsia" w:ascii="宋体" w:hAnsi="宋体" w:eastAsia="宋体" w:cs="宋体"/>
          <w:color w:val="000000"/>
          <w:sz w:val="28"/>
          <w:szCs w:val="28"/>
        </w:rPr>
      </w:pPr>
    </w:p>
    <w:p w14:paraId="47A0AD2E">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14:paraId="217B11C1">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11AFCC23">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17F5950F">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14:paraId="1E0DB546">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3D968FB1">
      <w:pPr>
        <w:spacing w:line="500" w:lineRule="exact"/>
        <w:ind w:right="150" w:firstLine="480" w:firstLineChars="200"/>
        <w:jc w:val="left"/>
        <w:rPr>
          <w:rFonts w:hint="eastAsia" w:ascii="宋体" w:hAnsi="宋体" w:eastAsia="宋体" w:cs="宋体"/>
          <w:color w:val="000000"/>
          <w:sz w:val="24"/>
          <w:szCs w:val="24"/>
          <w:u w:val="single"/>
        </w:rPr>
      </w:pPr>
    </w:p>
    <w:p w14:paraId="458ACAC8">
      <w:pPr>
        <w:spacing w:line="500" w:lineRule="exact"/>
        <w:ind w:right="15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727A0148">
      <w:pPr>
        <w:spacing w:line="440" w:lineRule="exact"/>
        <w:rPr>
          <w:rFonts w:hint="eastAsia" w:ascii="宋体" w:hAnsi="宋体" w:eastAsia="宋体" w:cs="宋体"/>
          <w:color w:val="000000"/>
          <w:sz w:val="24"/>
          <w:szCs w:val="24"/>
        </w:rPr>
      </w:pPr>
      <w:r>
        <w:rPr>
          <w:rFonts w:hint="eastAsia" w:ascii="宋体" w:hAnsi="宋体" w:eastAsia="宋体" w:cs="宋体"/>
          <w:color w:val="000000"/>
          <w:sz w:val="28"/>
          <w:szCs w:val="28"/>
        </w:rPr>
        <w:br w:type="page"/>
      </w:r>
      <w:r>
        <w:rPr>
          <w:rFonts w:hint="eastAsia" w:ascii="宋体" w:hAnsi="宋体" w:eastAsia="宋体" w:cs="宋体"/>
          <w:color w:val="000000"/>
          <w:sz w:val="24"/>
          <w:szCs w:val="24"/>
        </w:rPr>
        <w:t>附件11：</w:t>
      </w:r>
    </w:p>
    <w:p w14:paraId="6B573CF3">
      <w:pPr>
        <w:spacing w:beforeLines="50" w:afterLines="50" w:line="440" w:lineRule="exact"/>
        <w:jc w:val="center"/>
        <w:outlineLvl w:val="0"/>
        <w:rPr>
          <w:rFonts w:hint="eastAsia" w:ascii="宋体" w:hAnsi="宋体" w:eastAsia="宋体" w:cs="宋体"/>
          <w:color w:val="000000"/>
          <w:sz w:val="28"/>
          <w:szCs w:val="28"/>
        </w:rPr>
      </w:pPr>
      <w:bookmarkStart w:id="1140" w:name="_Toc375060664"/>
      <w:bookmarkStart w:id="1141" w:name="_Toc375060883"/>
      <w:r>
        <w:rPr>
          <w:rFonts w:hint="eastAsia" w:ascii="宋体" w:hAnsi="宋体" w:eastAsia="宋体" w:cs="宋体"/>
          <w:color w:val="000000"/>
          <w:sz w:val="28"/>
          <w:szCs w:val="28"/>
        </w:rPr>
        <w:t>11-1：材料暂估价表</w:t>
      </w:r>
      <w:bookmarkEnd w:id="1140"/>
      <w:bookmarkEnd w:id="1141"/>
    </w:p>
    <w:tbl>
      <w:tblPr>
        <w:tblStyle w:val="24"/>
        <w:tblW w:w="96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6"/>
        <w:gridCol w:w="2744"/>
        <w:gridCol w:w="538"/>
        <w:gridCol w:w="1178"/>
        <w:gridCol w:w="1141"/>
        <w:gridCol w:w="1417"/>
        <w:gridCol w:w="2119"/>
      </w:tblGrid>
      <w:tr w14:paraId="5A5E3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6" w:type="dxa"/>
            <w:tcBorders>
              <w:top w:val="single" w:color="auto" w:sz="12" w:space="0"/>
              <w:bottom w:val="double" w:color="auto" w:sz="6" w:space="0"/>
            </w:tcBorders>
            <w:vAlign w:val="center"/>
          </w:tcPr>
          <w:p w14:paraId="2BAFACDE">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1BEBACFD">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2744" w:type="dxa"/>
            <w:tcBorders>
              <w:top w:val="single" w:color="auto" w:sz="12" w:space="0"/>
              <w:bottom w:val="double" w:color="auto" w:sz="6" w:space="0"/>
            </w:tcBorders>
            <w:vAlign w:val="center"/>
          </w:tcPr>
          <w:p w14:paraId="40CA945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名  称</w:t>
            </w:r>
          </w:p>
        </w:tc>
        <w:tc>
          <w:tcPr>
            <w:tcW w:w="538" w:type="dxa"/>
            <w:tcBorders>
              <w:top w:val="single" w:color="auto" w:sz="12" w:space="0"/>
              <w:bottom w:val="double" w:color="auto" w:sz="6" w:space="0"/>
            </w:tcBorders>
            <w:vAlign w:val="center"/>
          </w:tcPr>
          <w:p w14:paraId="7B9AA3CC">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w:t>
            </w:r>
          </w:p>
          <w:p w14:paraId="32898A16">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位</w:t>
            </w:r>
          </w:p>
        </w:tc>
        <w:tc>
          <w:tcPr>
            <w:tcW w:w="1178" w:type="dxa"/>
            <w:tcBorders>
              <w:top w:val="single" w:color="auto" w:sz="12" w:space="0"/>
              <w:bottom w:val="double" w:color="auto" w:sz="6" w:space="0"/>
            </w:tcBorders>
            <w:vAlign w:val="center"/>
          </w:tcPr>
          <w:p w14:paraId="5DF34CD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数量</w:t>
            </w:r>
          </w:p>
        </w:tc>
        <w:tc>
          <w:tcPr>
            <w:tcW w:w="1141" w:type="dxa"/>
            <w:tcBorders>
              <w:top w:val="single" w:color="auto" w:sz="12" w:space="0"/>
              <w:bottom w:val="double" w:color="auto" w:sz="6" w:space="0"/>
            </w:tcBorders>
            <w:vAlign w:val="center"/>
          </w:tcPr>
          <w:p w14:paraId="20ECA762">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单价</w:t>
            </w:r>
          </w:p>
          <w:p w14:paraId="35931A9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1417" w:type="dxa"/>
            <w:tcBorders>
              <w:top w:val="single" w:color="auto" w:sz="12" w:space="0"/>
              <w:bottom w:val="double" w:color="auto" w:sz="6" w:space="0"/>
            </w:tcBorders>
            <w:vAlign w:val="center"/>
          </w:tcPr>
          <w:p w14:paraId="435BD3A7">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合价</w:t>
            </w:r>
          </w:p>
          <w:p w14:paraId="4C12F08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2119" w:type="dxa"/>
            <w:tcBorders>
              <w:top w:val="single" w:color="auto" w:sz="12" w:space="0"/>
              <w:bottom w:val="double" w:color="auto" w:sz="6" w:space="0"/>
            </w:tcBorders>
            <w:vAlign w:val="center"/>
          </w:tcPr>
          <w:p w14:paraId="78BD7094">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备 注</w:t>
            </w:r>
          </w:p>
        </w:tc>
      </w:tr>
      <w:tr w14:paraId="0E908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tcBorders>
              <w:top w:val="double" w:color="auto" w:sz="6" w:space="0"/>
              <w:bottom w:val="single" w:color="auto" w:sz="6" w:space="0"/>
            </w:tcBorders>
            <w:vAlign w:val="center"/>
          </w:tcPr>
          <w:p w14:paraId="2F18B11E">
            <w:pPr>
              <w:spacing w:line="320" w:lineRule="exact"/>
              <w:jc w:val="center"/>
              <w:rPr>
                <w:rFonts w:hint="eastAsia" w:ascii="宋体" w:hAnsi="宋体" w:eastAsia="宋体" w:cs="宋体"/>
                <w:b/>
                <w:color w:val="000000"/>
                <w:sz w:val="24"/>
                <w:szCs w:val="24"/>
                <w:highlight w:val="cyan"/>
              </w:rPr>
            </w:pPr>
          </w:p>
        </w:tc>
        <w:tc>
          <w:tcPr>
            <w:tcW w:w="2744" w:type="dxa"/>
            <w:tcBorders>
              <w:top w:val="double" w:color="auto" w:sz="6" w:space="0"/>
              <w:bottom w:val="single" w:color="auto" w:sz="6" w:space="0"/>
            </w:tcBorders>
            <w:vAlign w:val="center"/>
          </w:tcPr>
          <w:p w14:paraId="00A691F5">
            <w:pPr>
              <w:spacing w:line="320" w:lineRule="exact"/>
              <w:jc w:val="center"/>
              <w:rPr>
                <w:rFonts w:hint="eastAsia" w:ascii="宋体" w:hAnsi="宋体" w:eastAsia="宋体" w:cs="宋体"/>
                <w:b/>
                <w:color w:val="000000"/>
                <w:sz w:val="24"/>
                <w:szCs w:val="24"/>
                <w:highlight w:val="cyan"/>
              </w:rPr>
            </w:pPr>
          </w:p>
        </w:tc>
        <w:tc>
          <w:tcPr>
            <w:tcW w:w="538" w:type="dxa"/>
            <w:tcBorders>
              <w:top w:val="double" w:color="auto" w:sz="6" w:space="0"/>
              <w:bottom w:val="single" w:color="auto" w:sz="6" w:space="0"/>
            </w:tcBorders>
            <w:vAlign w:val="center"/>
          </w:tcPr>
          <w:p w14:paraId="5DE2423E">
            <w:pPr>
              <w:spacing w:line="320" w:lineRule="exact"/>
              <w:jc w:val="center"/>
              <w:rPr>
                <w:rFonts w:hint="eastAsia" w:ascii="宋体" w:hAnsi="宋体" w:eastAsia="宋体" w:cs="宋体"/>
                <w:b/>
                <w:color w:val="000000"/>
                <w:sz w:val="24"/>
                <w:szCs w:val="24"/>
                <w:highlight w:val="cyan"/>
              </w:rPr>
            </w:pPr>
          </w:p>
        </w:tc>
        <w:tc>
          <w:tcPr>
            <w:tcW w:w="1178" w:type="dxa"/>
            <w:tcBorders>
              <w:top w:val="double" w:color="auto" w:sz="6" w:space="0"/>
              <w:bottom w:val="single" w:color="auto" w:sz="6" w:space="0"/>
            </w:tcBorders>
            <w:vAlign w:val="center"/>
          </w:tcPr>
          <w:p w14:paraId="67C90950">
            <w:pPr>
              <w:spacing w:line="320" w:lineRule="exact"/>
              <w:jc w:val="center"/>
              <w:rPr>
                <w:rFonts w:hint="eastAsia" w:ascii="宋体" w:hAnsi="宋体" w:eastAsia="宋体" w:cs="宋体"/>
                <w:b/>
                <w:color w:val="000000"/>
                <w:sz w:val="24"/>
                <w:szCs w:val="24"/>
                <w:highlight w:val="cyan"/>
              </w:rPr>
            </w:pPr>
          </w:p>
        </w:tc>
        <w:tc>
          <w:tcPr>
            <w:tcW w:w="1141" w:type="dxa"/>
            <w:tcBorders>
              <w:top w:val="double" w:color="auto" w:sz="6" w:space="0"/>
              <w:bottom w:val="single" w:color="auto" w:sz="6" w:space="0"/>
            </w:tcBorders>
            <w:vAlign w:val="center"/>
          </w:tcPr>
          <w:p w14:paraId="4EFD1E79">
            <w:pPr>
              <w:spacing w:line="320" w:lineRule="exact"/>
              <w:jc w:val="center"/>
              <w:rPr>
                <w:rFonts w:hint="eastAsia" w:ascii="宋体" w:hAnsi="宋体" w:eastAsia="宋体" w:cs="宋体"/>
                <w:b/>
                <w:color w:val="000000"/>
                <w:sz w:val="24"/>
                <w:szCs w:val="24"/>
                <w:highlight w:val="cyan"/>
              </w:rPr>
            </w:pPr>
          </w:p>
        </w:tc>
        <w:tc>
          <w:tcPr>
            <w:tcW w:w="1417" w:type="dxa"/>
            <w:tcBorders>
              <w:top w:val="double" w:color="auto" w:sz="6" w:space="0"/>
              <w:bottom w:val="single" w:color="auto" w:sz="6" w:space="0"/>
            </w:tcBorders>
            <w:vAlign w:val="center"/>
          </w:tcPr>
          <w:p w14:paraId="085FF07F">
            <w:pPr>
              <w:spacing w:line="320" w:lineRule="exact"/>
              <w:jc w:val="center"/>
              <w:rPr>
                <w:rFonts w:hint="eastAsia" w:ascii="宋体" w:hAnsi="宋体" w:eastAsia="宋体" w:cs="宋体"/>
                <w:b/>
                <w:color w:val="000000"/>
                <w:sz w:val="24"/>
                <w:szCs w:val="24"/>
                <w:highlight w:val="cyan"/>
              </w:rPr>
            </w:pPr>
          </w:p>
        </w:tc>
        <w:tc>
          <w:tcPr>
            <w:tcW w:w="2119" w:type="dxa"/>
            <w:tcBorders>
              <w:top w:val="double" w:color="auto" w:sz="6" w:space="0"/>
              <w:bottom w:val="single" w:color="auto" w:sz="6" w:space="0"/>
            </w:tcBorders>
            <w:vAlign w:val="center"/>
          </w:tcPr>
          <w:p w14:paraId="6527DB08">
            <w:pPr>
              <w:spacing w:line="320" w:lineRule="exact"/>
              <w:ind w:left="63" w:leftChars="30" w:right="63"/>
              <w:jc w:val="center"/>
              <w:rPr>
                <w:rFonts w:hint="eastAsia" w:ascii="宋体" w:hAnsi="宋体" w:eastAsia="宋体" w:cs="宋体"/>
                <w:b/>
                <w:color w:val="000000"/>
                <w:sz w:val="24"/>
                <w:szCs w:val="24"/>
                <w:highlight w:val="cyan"/>
              </w:rPr>
            </w:pPr>
          </w:p>
        </w:tc>
      </w:tr>
      <w:tr w14:paraId="65331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tcBorders>
              <w:top w:val="nil"/>
            </w:tcBorders>
            <w:vAlign w:val="center"/>
          </w:tcPr>
          <w:p w14:paraId="347D7B12">
            <w:pPr>
              <w:spacing w:line="320" w:lineRule="exact"/>
              <w:jc w:val="center"/>
              <w:rPr>
                <w:rFonts w:hint="eastAsia" w:ascii="宋体" w:hAnsi="宋体" w:eastAsia="宋体" w:cs="宋体"/>
                <w:b/>
                <w:color w:val="000000"/>
                <w:sz w:val="24"/>
                <w:szCs w:val="24"/>
                <w:highlight w:val="cyan"/>
              </w:rPr>
            </w:pPr>
          </w:p>
        </w:tc>
        <w:tc>
          <w:tcPr>
            <w:tcW w:w="2744" w:type="dxa"/>
            <w:tcBorders>
              <w:top w:val="nil"/>
            </w:tcBorders>
            <w:vAlign w:val="center"/>
          </w:tcPr>
          <w:p w14:paraId="212EFD65">
            <w:pPr>
              <w:spacing w:line="320" w:lineRule="exact"/>
              <w:jc w:val="center"/>
              <w:rPr>
                <w:rFonts w:hint="eastAsia" w:ascii="宋体" w:hAnsi="宋体" w:eastAsia="宋体" w:cs="宋体"/>
                <w:b/>
                <w:color w:val="000000"/>
                <w:spacing w:val="-8"/>
                <w:sz w:val="24"/>
                <w:szCs w:val="24"/>
                <w:highlight w:val="cyan"/>
              </w:rPr>
            </w:pPr>
          </w:p>
        </w:tc>
        <w:tc>
          <w:tcPr>
            <w:tcW w:w="538" w:type="dxa"/>
            <w:tcBorders>
              <w:top w:val="nil"/>
            </w:tcBorders>
            <w:vAlign w:val="center"/>
          </w:tcPr>
          <w:p w14:paraId="79A5EE8C">
            <w:pPr>
              <w:spacing w:line="320" w:lineRule="exact"/>
              <w:jc w:val="center"/>
              <w:rPr>
                <w:rFonts w:hint="eastAsia" w:ascii="宋体" w:hAnsi="宋体" w:eastAsia="宋体" w:cs="宋体"/>
                <w:b/>
                <w:color w:val="000000"/>
                <w:sz w:val="24"/>
                <w:szCs w:val="24"/>
                <w:highlight w:val="cyan"/>
              </w:rPr>
            </w:pPr>
          </w:p>
        </w:tc>
        <w:tc>
          <w:tcPr>
            <w:tcW w:w="1178" w:type="dxa"/>
            <w:tcBorders>
              <w:top w:val="nil"/>
            </w:tcBorders>
            <w:vAlign w:val="center"/>
          </w:tcPr>
          <w:p w14:paraId="1F4C99B5">
            <w:pPr>
              <w:spacing w:line="320" w:lineRule="exact"/>
              <w:jc w:val="center"/>
              <w:rPr>
                <w:rFonts w:hint="eastAsia" w:ascii="宋体" w:hAnsi="宋体" w:eastAsia="宋体" w:cs="宋体"/>
                <w:b/>
                <w:color w:val="000000"/>
                <w:sz w:val="24"/>
                <w:szCs w:val="24"/>
                <w:highlight w:val="cyan"/>
              </w:rPr>
            </w:pPr>
          </w:p>
        </w:tc>
        <w:tc>
          <w:tcPr>
            <w:tcW w:w="1141" w:type="dxa"/>
            <w:tcBorders>
              <w:top w:val="nil"/>
            </w:tcBorders>
            <w:vAlign w:val="center"/>
          </w:tcPr>
          <w:p w14:paraId="537A6FEC">
            <w:pPr>
              <w:spacing w:line="320" w:lineRule="exact"/>
              <w:jc w:val="center"/>
              <w:rPr>
                <w:rFonts w:hint="eastAsia" w:ascii="宋体" w:hAnsi="宋体" w:eastAsia="宋体" w:cs="宋体"/>
                <w:b/>
                <w:color w:val="000000"/>
                <w:sz w:val="24"/>
                <w:szCs w:val="24"/>
                <w:highlight w:val="cyan"/>
              </w:rPr>
            </w:pPr>
          </w:p>
        </w:tc>
        <w:tc>
          <w:tcPr>
            <w:tcW w:w="1417" w:type="dxa"/>
            <w:tcBorders>
              <w:top w:val="nil"/>
            </w:tcBorders>
            <w:vAlign w:val="center"/>
          </w:tcPr>
          <w:p w14:paraId="2E312F11">
            <w:pPr>
              <w:spacing w:line="320" w:lineRule="exact"/>
              <w:jc w:val="center"/>
              <w:rPr>
                <w:rFonts w:hint="eastAsia" w:ascii="宋体" w:hAnsi="宋体" w:eastAsia="宋体" w:cs="宋体"/>
                <w:b/>
                <w:color w:val="000000"/>
                <w:sz w:val="24"/>
                <w:szCs w:val="24"/>
                <w:highlight w:val="cyan"/>
              </w:rPr>
            </w:pPr>
          </w:p>
        </w:tc>
        <w:tc>
          <w:tcPr>
            <w:tcW w:w="2119" w:type="dxa"/>
            <w:tcBorders>
              <w:top w:val="nil"/>
            </w:tcBorders>
            <w:vAlign w:val="center"/>
          </w:tcPr>
          <w:p w14:paraId="462B331D">
            <w:pPr>
              <w:spacing w:line="320" w:lineRule="exact"/>
              <w:ind w:left="63" w:leftChars="30" w:right="63"/>
              <w:jc w:val="center"/>
              <w:rPr>
                <w:rFonts w:hint="eastAsia" w:ascii="宋体" w:hAnsi="宋体" w:eastAsia="宋体" w:cs="宋体"/>
                <w:b/>
                <w:color w:val="000000"/>
                <w:sz w:val="24"/>
                <w:szCs w:val="24"/>
                <w:highlight w:val="cyan"/>
              </w:rPr>
            </w:pPr>
          </w:p>
        </w:tc>
      </w:tr>
      <w:tr w14:paraId="303B1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09C56C5E">
            <w:pPr>
              <w:spacing w:line="320" w:lineRule="exact"/>
              <w:jc w:val="center"/>
              <w:rPr>
                <w:rFonts w:hint="eastAsia" w:ascii="宋体" w:hAnsi="宋体" w:eastAsia="宋体" w:cs="宋体"/>
                <w:b/>
                <w:color w:val="000000"/>
                <w:sz w:val="24"/>
                <w:szCs w:val="24"/>
                <w:highlight w:val="cyan"/>
              </w:rPr>
            </w:pPr>
          </w:p>
        </w:tc>
        <w:tc>
          <w:tcPr>
            <w:tcW w:w="2744" w:type="dxa"/>
            <w:vAlign w:val="center"/>
          </w:tcPr>
          <w:p w14:paraId="0C9D2D6C">
            <w:pPr>
              <w:spacing w:line="320" w:lineRule="exact"/>
              <w:jc w:val="center"/>
              <w:rPr>
                <w:rFonts w:hint="eastAsia" w:ascii="宋体" w:hAnsi="宋体" w:eastAsia="宋体" w:cs="宋体"/>
                <w:b/>
                <w:color w:val="000000"/>
                <w:sz w:val="24"/>
                <w:szCs w:val="24"/>
                <w:highlight w:val="cyan"/>
              </w:rPr>
            </w:pPr>
          </w:p>
        </w:tc>
        <w:tc>
          <w:tcPr>
            <w:tcW w:w="538" w:type="dxa"/>
            <w:vAlign w:val="center"/>
          </w:tcPr>
          <w:p w14:paraId="5CEB47EA">
            <w:pPr>
              <w:spacing w:line="320" w:lineRule="exact"/>
              <w:jc w:val="center"/>
              <w:rPr>
                <w:rFonts w:hint="eastAsia" w:ascii="宋体" w:hAnsi="宋体" w:eastAsia="宋体" w:cs="宋体"/>
                <w:b/>
                <w:color w:val="000000"/>
                <w:sz w:val="24"/>
                <w:szCs w:val="24"/>
                <w:highlight w:val="cyan"/>
              </w:rPr>
            </w:pPr>
          </w:p>
        </w:tc>
        <w:tc>
          <w:tcPr>
            <w:tcW w:w="1178" w:type="dxa"/>
            <w:vAlign w:val="center"/>
          </w:tcPr>
          <w:p w14:paraId="647CD17C">
            <w:pPr>
              <w:spacing w:line="320" w:lineRule="exact"/>
              <w:jc w:val="center"/>
              <w:rPr>
                <w:rFonts w:hint="eastAsia" w:ascii="宋体" w:hAnsi="宋体" w:eastAsia="宋体" w:cs="宋体"/>
                <w:b/>
                <w:color w:val="000000"/>
                <w:sz w:val="24"/>
                <w:szCs w:val="24"/>
                <w:highlight w:val="cyan"/>
              </w:rPr>
            </w:pPr>
          </w:p>
        </w:tc>
        <w:tc>
          <w:tcPr>
            <w:tcW w:w="1141" w:type="dxa"/>
            <w:vAlign w:val="center"/>
          </w:tcPr>
          <w:p w14:paraId="2344CAED">
            <w:pPr>
              <w:spacing w:line="320" w:lineRule="exact"/>
              <w:jc w:val="center"/>
              <w:rPr>
                <w:rFonts w:hint="eastAsia" w:ascii="宋体" w:hAnsi="宋体" w:eastAsia="宋体" w:cs="宋体"/>
                <w:b/>
                <w:color w:val="000000"/>
                <w:sz w:val="24"/>
                <w:szCs w:val="24"/>
                <w:highlight w:val="cyan"/>
              </w:rPr>
            </w:pPr>
          </w:p>
        </w:tc>
        <w:tc>
          <w:tcPr>
            <w:tcW w:w="1417" w:type="dxa"/>
            <w:vAlign w:val="center"/>
          </w:tcPr>
          <w:p w14:paraId="5E1548D2">
            <w:pPr>
              <w:spacing w:line="320" w:lineRule="exact"/>
              <w:jc w:val="center"/>
              <w:rPr>
                <w:rFonts w:hint="eastAsia" w:ascii="宋体" w:hAnsi="宋体" w:eastAsia="宋体" w:cs="宋体"/>
                <w:b/>
                <w:color w:val="000000"/>
                <w:sz w:val="24"/>
                <w:szCs w:val="24"/>
                <w:highlight w:val="cyan"/>
              </w:rPr>
            </w:pPr>
          </w:p>
        </w:tc>
        <w:tc>
          <w:tcPr>
            <w:tcW w:w="2119" w:type="dxa"/>
            <w:vAlign w:val="center"/>
          </w:tcPr>
          <w:p w14:paraId="5BA78551">
            <w:pPr>
              <w:spacing w:line="340" w:lineRule="exact"/>
              <w:ind w:left="63" w:leftChars="30" w:right="62"/>
              <w:jc w:val="center"/>
              <w:rPr>
                <w:rFonts w:hint="eastAsia" w:ascii="宋体" w:hAnsi="宋体" w:eastAsia="宋体" w:cs="宋体"/>
                <w:b/>
                <w:color w:val="000000"/>
                <w:sz w:val="24"/>
                <w:szCs w:val="24"/>
                <w:highlight w:val="cyan"/>
              </w:rPr>
            </w:pPr>
          </w:p>
        </w:tc>
      </w:tr>
      <w:tr w14:paraId="11DD9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7387F4AE">
            <w:pPr>
              <w:spacing w:line="320" w:lineRule="exact"/>
              <w:jc w:val="center"/>
              <w:rPr>
                <w:rFonts w:hint="eastAsia" w:ascii="宋体" w:hAnsi="宋体" w:eastAsia="宋体" w:cs="宋体"/>
                <w:b/>
                <w:color w:val="000000"/>
                <w:sz w:val="24"/>
                <w:szCs w:val="24"/>
              </w:rPr>
            </w:pPr>
          </w:p>
        </w:tc>
        <w:tc>
          <w:tcPr>
            <w:tcW w:w="2744" w:type="dxa"/>
            <w:vAlign w:val="center"/>
          </w:tcPr>
          <w:p w14:paraId="5AAD4FA6">
            <w:pPr>
              <w:spacing w:line="320" w:lineRule="exact"/>
              <w:jc w:val="center"/>
              <w:rPr>
                <w:rFonts w:hint="eastAsia" w:ascii="宋体" w:hAnsi="宋体" w:eastAsia="宋体" w:cs="宋体"/>
                <w:b/>
                <w:color w:val="000000"/>
                <w:sz w:val="24"/>
                <w:szCs w:val="24"/>
              </w:rPr>
            </w:pPr>
          </w:p>
        </w:tc>
        <w:tc>
          <w:tcPr>
            <w:tcW w:w="538" w:type="dxa"/>
            <w:vAlign w:val="center"/>
          </w:tcPr>
          <w:p w14:paraId="5C430352">
            <w:pPr>
              <w:spacing w:line="320" w:lineRule="exact"/>
              <w:jc w:val="center"/>
              <w:rPr>
                <w:rFonts w:hint="eastAsia" w:ascii="宋体" w:hAnsi="宋体" w:eastAsia="宋体" w:cs="宋体"/>
                <w:b/>
                <w:color w:val="000000"/>
                <w:sz w:val="24"/>
                <w:szCs w:val="24"/>
              </w:rPr>
            </w:pPr>
          </w:p>
        </w:tc>
        <w:tc>
          <w:tcPr>
            <w:tcW w:w="1178" w:type="dxa"/>
            <w:vAlign w:val="center"/>
          </w:tcPr>
          <w:p w14:paraId="62E8AFB3">
            <w:pPr>
              <w:spacing w:line="320" w:lineRule="exact"/>
              <w:jc w:val="center"/>
              <w:rPr>
                <w:rFonts w:hint="eastAsia" w:ascii="宋体" w:hAnsi="宋体" w:eastAsia="宋体" w:cs="宋体"/>
                <w:b/>
                <w:color w:val="000000"/>
                <w:sz w:val="24"/>
                <w:szCs w:val="24"/>
              </w:rPr>
            </w:pPr>
          </w:p>
        </w:tc>
        <w:tc>
          <w:tcPr>
            <w:tcW w:w="1141" w:type="dxa"/>
            <w:vAlign w:val="center"/>
          </w:tcPr>
          <w:p w14:paraId="63426A05">
            <w:pPr>
              <w:spacing w:line="320" w:lineRule="exact"/>
              <w:jc w:val="center"/>
              <w:rPr>
                <w:rFonts w:hint="eastAsia" w:ascii="宋体" w:hAnsi="宋体" w:eastAsia="宋体" w:cs="宋体"/>
                <w:b/>
                <w:color w:val="000000"/>
                <w:sz w:val="24"/>
                <w:szCs w:val="24"/>
              </w:rPr>
            </w:pPr>
          </w:p>
        </w:tc>
        <w:tc>
          <w:tcPr>
            <w:tcW w:w="1417" w:type="dxa"/>
            <w:vAlign w:val="center"/>
          </w:tcPr>
          <w:p w14:paraId="74BB8920">
            <w:pPr>
              <w:spacing w:line="320" w:lineRule="exact"/>
              <w:jc w:val="center"/>
              <w:rPr>
                <w:rFonts w:hint="eastAsia" w:ascii="宋体" w:hAnsi="宋体" w:eastAsia="宋体" w:cs="宋体"/>
                <w:b/>
                <w:color w:val="000000"/>
                <w:sz w:val="24"/>
                <w:szCs w:val="24"/>
              </w:rPr>
            </w:pPr>
          </w:p>
        </w:tc>
        <w:tc>
          <w:tcPr>
            <w:tcW w:w="2119" w:type="dxa"/>
            <w:vAlign w:val="center"/>
          </w:tcPr>
          <w:p w14:paraId="68F96B35">
            <w:pPr>
              <w:spacing w:line="320" w:lineRule="exact"/>
              <w:ind w:left="63" w:leftChars="30" w:right="63"/>
              <w:jc w:val="center"/>
              <w:rPr>
                <w:rFonts w:hint="eastAsia" w:ascii="宋体" w:hAnsi="宋体" w:eastAsia="宋体" w:cs="宋体"/>
                <w:b/>
                <w:color w:val="000000"/>
                <w:sz w:val="24"/>
                <w:szCs w:val="24"/>
              </w:rPr>
            </w:pPr>
          </w:p>
        </w:tc>
      </w:tr>
      <w:tr w14:paraId="550AA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5BCE5CAF">
            <w:pPr>
              <w:spacing w:line="320" w:lineRule="exact"/>
              <w:jc w:val="center"/>
              <w:rPr>
                <w:rFonts w:hint="eastAsia" w:ascii="宋体" w:hAnsi="宋体" w:eastAsia="宋体" w:cs="宋体"/>
                <w:b/>
                <w:color w:val="000000"/>
                <w:sz w:val="24"/>
                <w:szCs w:val="24"/>
              </w:rPr>
            </w:pPr>
          </w:p>
        </w:tc>
        <w:tc>
          <w:tcPr>
            <w:tcW w:w="2744" w:type="dxa"/>
            <w:vAlign w:val="center"/>
          </w:tcPr>
          <w:p w14:paraId="2EFF87DA">
            <w:pPr>
              <w:spacing w:line="320" w:lineRule="exact"/>
              <w:jc w:val="center"/>
              <w:rPr>
                <w:rFonts w:hint="eastAsia" w:ascii="宋体" w:hAnsi="宋体" w:eastAsia="宋体" w:cs="宋体"/>
                <w:b/>
                <w:color w:val="000000"/>
                <w:sz w:val="24"/>
                <w:szCs w:val="24"/>
              </w:rPr>
            </w:pPr>
          </w:p>
        </w:tc>
        <w:tc>
          <w:tcPr>
            <w:tcW w:w="538" w:type="dxa"/>
            <w:vAlign w:val="center"/>
          </w:tcPr>
          <w:p w14:paraId="3E2F50E0">
            <w:pPr>
              <w:spacing w:line="320" w:lineRule="exact"/>
              <w:jc w:val="center"/>
              <w:rPr>
                <w:rFonts w:hint="eastAsia" w:ascii="宋体" w:hAnsi="宋体" w:eastAsia="宋体" w:cs="宋体"/>
                <w:b/>
                <w:color w:val="000000"/>
                <w:sz w:val="24"/>
                <w:szCs w:val="24"/>
              </w:rPr>
            </w:pPr>
          </w:p>
        </w:tc>
        <w:tc>
          <w:tcPr>
            <w:tcW w:w="1178" w:type="dxa"/>
            <w:vAlign w:val="center"/>
          </w:tcPr>
          <w:p w14:paraId="0E14E8BA">
            <w:pPr>
              <w:spacing w:line="320" w:lineRule="exact"/>
              <w:jc w:val="center"/>
              <w:rPr>
                <w:rFonts w:hint="eastAsia" w:ascii="宋体" w:hAnsi="宋体" w:eastAsia="宋体" w:cs="宋体"/>
                <w:b/>
                <w:color w:val="000000"/>
                <w:sz w:val="24"/>
                <w:szCs w:val="24"/>
              </w:rPr>
            </w:pPr>
          </w:p>
        </w:tc>
        <w:tc>
          <w:tcPr>
            <w:tcW w:w="1141" w:type="dxa"/>
            <w:vAlign w:val="center"/>
          </w:tcPr>
          <w:p w14:paraId="20F937C1">
            <w:pPr>
              <w:spacing w:line="320" w:lineRule="exact"/>
              <w:jc w:val="center"/>
              <w:rPr>
                <w:rFonts w:hint="eastAsia" w:ascii="宋体" w:hAnsi="宋体" w:eastAsia="宋体" w:cs="宋体"/>
                <w:b/>
                <w:color w:val="000000"/>
                <w:sz w:val="24"/>
                <w:szCs w:val="24"/>
              </w:rPr>
            </w:pPr>
          </w:p>
        </w:tc>
        <w:tc>
          <w:tcPr>
            <w:tcW w:w="1417" w:type="dxa"/>
            <w:vAlign w:val="center"/>
          </w:tcPr>
          <w:p w14:paraId="492D9F8D">
            <w:pPr>
              <w:spacing w:line="320" w:lineRule="exact"/>
              <w:jc w:val="center"/>
              <w:rPr>
                <w:rFonts w:hint="eastAsia" w:ascii="宋体" w:hAnsi="宋体" w:eastAsia="宋体" w:cs="宋体"/>
                <w:b/>
                <w:color w:val="000000"/>
                <w:sz w:val="24"/>
                <w:szCs w:val="24"/>
              </w:rPr>
            </w:pPr>
          </w:p>
        </w:tc>
        <w:tc>
          <w:tcPr>
            <w:tcW w:w="2119" w:type="dxa"/>
            <w:vAlign w:val="center"/>
          </w:tcPr>
          <w:p w14:paraId="605ED059">
            <w:pPr>
              <w:spacing w:line="320" w:lineRule="exact"/>
              <w:ind w:left="63" w:leftChars="30" w:right="63"/>
              <w:jc w:val="center"/>
              <w:rPr>
                <w:rFonts w:hint="eastAsia" w:ascii="宋体" w:hAnsi="宋体" w:eastAsia="宋体" w:cs="宋体"/>
                <w:b/>
                <w:color w:val="000000"/>
                <w:sz w:val="24"/>
                <w:szCs w:val="24"/>
              </w:rPr>
            </w:pPr>
          </w:p>
        </w:tc>
      </w:tr>
      <w:tr w14:paraId="25F67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70420356">
            <w:pPr>
              <w:spacing w:line="320" w:lineRule="exact"/>
              <w:jc w:val="center"/>
              <w:rPr>
                <w:rFonts w:hint="eastAsia" w:ascii="宋体" w:hAnsi="宋体" w:eastAsia="宋体" w:cs="宋体"/>
                <w:b/>
                <w:color w:val="000000"/>
                <w:sz w:val="24"/>
                <w:szCs w:val="24"/>
              </w:rPr>
            </w:pPr>
          </w:p>
        </w:tc>
        <w:tc>
          <w:tcPr>
            <w:tcW w:w="2744" w:type="dxa"/>
            <w:vAlign w:val="center"/>
          </w:tcPr>
          <w:p w14:paraId="404A7A1A">
            <w:pPr>
              <w:spacing w:line="320" w:lineRule="exact"/>
              <w:jc w:val="center"/>
              <w:rPr>
                <w:rFonts w:hint="eastAsia" w:ascii="宋体" w:hAnsi="宋体" w:eastAsia="宋体" w:cs="宋体"/>
                <w:b/>
                <w:color w:val="000000"/>
                <w:sz w:val="24"/>
                <w:szCs w:val="24"/>
              </w:rPr>
            </w:pPr>
          </w:p>
        </w:tc>
        <w:tc>
          <w:tcPr>
            <w:tcW w:w="538" w:type="dxa"/>
            <w:vAlign w:val="center"/>
          </w:tcPr>
          <w:p w14:paraId="7E522666">
            <w:pPr>
              <w:spacing w:line="320" w:lineRule="exact"/>
              <w:jc w:val="center"/>
              <w:rPr>
                <w:rFonts w:hint="eastAsia" w:ascii="宋体" w:hAnsi="宋体" w:eastAsia="宋体" w:cs="宋体"/>
                <w:b/>
                <w:color w:val="000000"/>
                <w:sz w:val="24"/>
                <w:szCs w:val="24"/>
              </w:rPr>
            </w:pPr>
          </w:p>
        </w:tc>
        <w:tc>
          <w:tcPr>
            <w:tcW w:w="1178" w:type="dxa"/>
            <w:vAlign w:val="center"/>
          </w:tcPr>
          <w:p w14:paraId="07E62177">
            <w:pPr>
              <w:spacing w:line="320" w:lineRule="exact"/>
              <w:jc w:val="center"/>
              <w:rPr>
                <w:rFonts w:hint="eastAsia" w:ascii="宋体" w:hAnsi="宋体" w:eastAsia="宋体" w:cs="宋体"/>
                <w:b/>
                <w:color w:val="000000"/>
                <w:sz w:val="24"/>
                <w:szCs w:val="24"/>
              </w:rPr>
            </w:pPr>
          </w:p>
        </w:tc>
        <w:tc>
          <w:tcPr>
            <w:tcW w:w="1141" w:type="dxa"/>
            <w:vAlign w:val="center"/>
          </w:tcPr>
          <w:p w14:paraId="63B6F042">
            <w:pPr>
              <w:spacing w:line="320" w:lineRule="exact"/>
              <w:jc w:val="center"/>
              <w:rPr>
                <w:rFonts w:hint="eastAsia" w:ascii="宋体" w:hAnsi="宋体" w:eastAsia="宋体" w:cs="宋体"/>
                <w:b/>
                <w:color w:val="000000"/>
                <w:sz w:val="24"/>
                <w:szCs w:val="24"/>
              </w:rPr>
            </w:pPr>
          </w:p>
        </w:tc>
        <w:tc>
          <w:tcPr>
            <w:tcW w:w="1417" w:type="dxa"/>
            <w:vAlign w:val="center"/>
          </w:tcPr>
          <w:p w14:paraId="0BB4FDBB">
            <w:pPr>
              <w:spacing w:line="320" w:lineRule="exact"/>
              <w:jc w:val="center"/>
              <w:rPr>
                <w:rFonts w:hint="eastAsia" w:ascii="宋体" w:hAnsi="宋体" w:eastAsia="宋体" w:cs="宋体"/>
                <w:b/>
                <w:color w:val="000000"/>
                <w:sz w:val="24"/>
                <w:szCs w:val="24"/>
              </w:rPr>
            </w:pPr>
          </w:p>
        </w:tc>
        <w:tc>
          <w:tcPr>
            <w:tcW w:w="2119" w:type="dxa"/>
            <w:vAlign w:val="center"/>
          </w:tcPr>
          <w:p w14:paraId="229386EF">
            <w:pPr>
              <w:spacing w:line="320" w:lineRule="exact"/>
              <w:ind w:left="63" w:leftChars="30" w:right="63"/>
              <w:jc w:val="center"/>
              <w:rPr>
                <w:rFonts w:hint="eastAsia" w:ascii="宋体" w:hAnsi="宋体" w:eastAsia="宋体" w:cs="宋体"/>
                <w:b/>
                <w:color w:val="000000"/>
                <w:sz w:val="24"/>
                <w:szCs w:val="24"/>
              </w:rPr>
            </w:pPr>
          </w:p>
        </w:tc>
      </w:tr>
      <w:tr w14:paraId="7D104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3BC6AA47">
            <w:pPr>
              <w:spacing w:line="320" w:lineRule="exact"/>
              <w:jc w:val="center"/>
              <w:rPr>
                <w:rFonts w:hint="eastAsia" w:ascii="宋体" w:hAnsi="宋体" w:eastAsia="宋体" w:cs="宋体"/>
                <w:b/>
                <w:color w:val="000000"/>
                <w:sz w:val="24"/>
                <w:szCs w:val="24"/>
              </w:rPr>
            </w:pPr>
          </w:p>
        </w:tc>
        <w:tc>
          <w:tcPr>
            <w:tcW w:w="2744" w:type="dxa"/>
            <w:vAlign w:val="center"/>
          </w:tcPr>
          <w:p w14:paraId="33653653">
            <w:pPr>
              <w:spacing w:line="320" w:lineRule="exact"/>
              <w:jc w:val="center"/>
              <w:rPr>
                <w:rFonts w:hint="eastAsia" w:ascii="宋体" w:hAnsi="宋体" w:eastAsia="宋体" w:cs="宋体"/>
                <w:b/>
                <w:color w:val="000000"/>
                <w:sz w:val="24"/>
                <w:szCs w:val="24"/>
              </w:rPr>
            </w:pPr>
          </w:p>
        </w:tc>
        <w:tc>
          <w:tcPr>
            <w:tcW w:w="538" w:type="dxa"/>
            <w:vAlign w:val="center"/>
          </w:tcPr>
          <w:p w14:paraId="378FCA3A">
            <w:pPr>
              <w:spacing w:line="320" w:lineRule="exact"/>
              <w:jc w:val="center"/>
              <w:rPr>
                <w:rFonts w:hint="eastAsia" w:ascii="宋体" w:hAnsi="宋体" w:eastAsia="宋体" w:cs="宋体"/>
                <w:b/>
                <w:color w:val="000000"/>
                <w:sz w:val="24"/>
                <w:szCs w:val="24"/>
              </w:rPr>
            </w:pPr>
          </w:p>
        </w:tc>
        <w:tc>
          <w:tcPr>
            <w:tcW w:w="1178" w:type="dxa"/>
            <w:vAlign w:val="center"/>
          </w:tcPr>
          <w:p w14:paraId="3658EDDF">
            <w:pPr>
              <w:spacing w:line="320" w:lineRule="exact"/>
              <w:jc w:val="center"/>
              <w:rPr>
                <w:rFonts w:hint="eastAsia" w:ascii="宋体" w:hAnsi="宋体" w:eastAsia="宋体" w:cs="宋体"/>
                <w:b/>
                <w:color w:val="000000"/>
                <w:sz w:val="24"/>
                <w:szCs w:val="24"/>
              </w:rPr>
            </w:pPr>
          </w:p>
        </w:tc>
        <w:tc>
          <w:tcPr>
            <w:tcW w:w="1141" w:type="dxa"/>
            <w:vAlign w:val="center"/>
          </w:tcPr>
          <w:p w14:paraId="238A4896">
            <w:pPr>
              <w:spacing w:line="320" w:lineRule="exact"/>
              <w:jc w:val="center"/>
              <w:rPr>
                <w:rFonts w:hint="eastAsia" w:ascii="宋体" w:hAnsi="宋体" w:eastAsia="宋体" w:cs="宋体"/>
                <w:b/>
                <w:color w:val="000000"/>
                <w:sz w:val="24"/>
                <w:szCs w:val="24"/>
              </w:rPr>
            </w:pPr>
          </w:p>
        </w:tc>
        <w:tc>
          <w:tcPr>
            <w:tcW w:w="1417" w:type="dxa"/>
            <w:vAlign w:val="center"/>
          </w:tcPr>
          <w:p w14:paraId="3312502D">
            <w:pPr>
              <w:spacing w:line="320" w:lineRule="exact"/>
              <w:jc w:val="center"/>
              <w:rPr>
                <w:rFonts w:hint="eastAsia" w:ascii="宋体" w:hAnsi="宋体" w:eastAsia="宋体" w:cs="宋体"/>
                <w:b/>
                <w:color w:val="000000"/>
                <w:sz w:val="24"/>
                <w:szCs w:val="24"/>
              </w:rPr>
            </w:pPr>
          </w:p>
        </w:tc>
        <w:tc>
          <w:tcPr>
            <w:tcW w:w="2119" w:type="dxa"/>
            <w:vAlign w:val="center"/>
          </w:tcPr>
          <w:p w14:paraId="5246CEFF">
            <w:pPr>
              <w:spacing w:line="320" w:lineRule="exact"/>
              <w:ind w:left="63" w:leftChars="30" w:right="63"/>
              <w:jc w:val="center"/>
              <w:rPr>
                <w:rFonts w:hint="eastAsia" w:ascii="宋体" w:hAnsi="宋体" w:eastAsia="宋体" w:cs="宋体"/>
                <w:b/>
                <w:color w:val="000000"/>
                <w:sz w:val="24"/>
                <w:szCs w:val="24"/>
              </w:rPr>
            </w:pPr>
          </w:p>
        </w:tc>
      </w:tr>
    </w:tbl>
    <w:p w14:paraId="2387ACD9">
      <w:pPr>
        <w:spacing w:beforeLines="50" w:afterLines="50" w:line="440" w:lineRule="exact"/>
        <w:jc w:val="center"/>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11-2：工程设备暂估价表</w:t>
      </w:r>
    </w:p>
    <w:tbl>
      <w:tblPr>
        <w:tblStyle w:val="24"/>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32"/>
        <w:gridCol w:w="3020"/>
        <w:gridCol w:w="630"/>
        <w:gridCol w:w="826"/>
        <w:gridCol w:w="1133"/>
        <w:gridCol w:w="1442"/>
        <w:gridCol w:w="2098"/>
      </w:tblGrid>
      <w:tr w14:paraId="6FEA5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32" w:type="dxa"/>
            <w:tcBorders>
              <w:top w:val="single" w:color="auto" w:sz="12" w:space="0"/>
              <w:bottom w:val="double" w:color="auto" w:sz="6" w:space="0"/>
            </w:tcBorders>
            <w:vAlign w:val="center"/>
          </w:tcPr>
          <w:p w14:paraId="01B1BEC7">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4FCC39F6">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3020" w:type="dxa"/>
            <w:tcBorders>
              <w:top w:val="single" w:color="auto" w:sz="12" w:space="0"/>
              <w:bottom w:val="double" w:color="auto" w:sz="6" w:space="0"/>
            </w:tcBorders>
            <w:vAlign w:val="center"/>
          </w:tcPr>
          <w:p w14:paraId="6E8FC77C">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名  称</w:t>
            </w:r>
          </w:p>
        </w:tc>
        <w:tc>
          <w:tcPr>
            <w:tcW w:w="630" w:type="dxa"/>
            <w:tcBorders>
              <w:top w:val="single" w:color="auto" w:sz="12" w:space="0"/>
              <w:bottom w:val="double" w:color="auto" w:sz="6" w:space="0"/>
            </w:tcBorders>
            <w:vAlign w:val="center"/>
          </w:tcPr>
          <w:p w14:paraId="454C3341">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w:t>
            </w:r>
          </w:p>
          <w:p w14:paraId="504500BB">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位</w:t>
            </w:r>
          </w:p>
        </w:tc>
        <w:tc>
          <w:tcPr>
            <w:tcW w:w="826" w:type="dxa"/>
            <w:tcBorders>
              <w:top w:val="single" w:color="auto" w:sz="12" w:space="0"/>
              <w:bottom w:val="double" w:color="auto" w:sz="6" w:space="0"/>
            </w:tcBorders>
            <w:vAlign w:val="center"/>
          </w:tcPr>
          <w:p w14:paraId="553145C4">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数量</w:t>
            </w:r>
          </w:p>
        </w:tc>
        <w:tc>
          <w:tcPr>
            <w:tcW w:w="1133" w:type="dxa"/>
            <w:tcBorders>
              <w:top w:val="single" w:color="auto" w:sz="12" w:space="0"/>
              <w:bottom w:val="double" w:color="auto" w:sz="6" w:space="0"/>
            </w:tcBorders>
            <w:vAlign w:val="center"/>
          </w:tcPr>
          <w:p w14:paraId="55595D5E">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单价</w:t>
            </w:r>
          </w:p>
          <w:p w14:paraId="68E1A201">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1442" w:type="dxa"/>
            <w:tcBorders>
              <w:top w:val="single" w:color="auto" w:sz="12" w:space="0"/>
              <w:bottom w:val="double" w:color="auto" w:sz="6" w:space="0"/>
            </w:tcBorders>
            <w:vAlign w:val="center"/>
          </w:tcPr>
          <w:p w14:paraId="4388AB39">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合价</w:t>
            </w:r>
          </w:p>
          <w:p w14:paraId="113C1B9C">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2098" w:type="dxa"/>
            <w:tcBorders>
              <w:top w:val="single" w:color="auto" w:sz="12" w:space="0"/>
              <w:bottom w:val="double" w:color="auto" w:sz="6" w:space="0"/>
            </w:tcBorders>
            <w:vAlign w:val="center"/>
          </w:tcPr>
          <w:p w14:paraId="418C355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备 注</w:t>
            </w:r>
          </w:p>
        </w:tc>
      </w:tr>
      <w:tr w14:paraId="21775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double" w:color="auto" w:sz="6" w:space="0"/>
              <w:bottom w:val="single" w:color="auto" w:sz="6" w:space="0"/>
            </w:tcBorders>
            <w:vAlign w:val="center"/>
          </w:tcPr>
          <w:p w14:paraId="519916BA">
            <w:pPr>
              <w:spacing w:line="320" w:lineRule="exact"/>
              <w:jc w:val="center"/>
              <w:rPr>
                <w:rFonts w:hint="eastAsia" w:ascii="宋体" w:hAnsi="宋体" w:eastAsia="宋体" w:cs="宋体"/>
                <w:b/>
                <w:color w:val="000000"/>
                <w:sz w:val="24"/>
                <w:szCs w:val="24"/>
              </w:rPr>
            </w:pPr>
          </w:p>
        </w:tc>
        <w:tc>
          <w:tcPr>
            <w:tcW w:w="3020" w:type="dxa"/>
            <w:tcBorders>
              <w:top w:val="double" w:color="auto" w:sz="6" w:space="0"/>
              <w:bottom w:val="single" w:color="auto" w:sz="6" w:space="0"/>
            </w:tcBorders>
            <w:vAlign w:val="center"/>
          </w:tcPr>
          <w:p w14:paraId="02AEE136">
            <w:pPr>
              <w:spacing w:line="320" w:lineRule="exact"/>
              <w:jc w:val="center"/>
              <w:rPr>
                <w:rFonts w:hint="eastAsia" w:ascii="宋体" w:hAnsi="宋体" w:eastAsia="宋体" w:cs="宋体"/>
                <w:b/>
                <w:color w:val="000000"/>
                <w:sz w:val="24"/>
                <w:szCs w:val="24"/>
              </w:rPr>
            </w:pPr>
          </w:p>
        </w:tc>
        <w:tc>
          <w:tcPr>
            <w:tcW w:w="630" w:type="dxa"/>
            <w:tcBorders>
              <w:top w:val="double" w:color="auto" w:sz="6" w:space="0"/>
              <w:bottom w:val="single" w:color="auto" w:sz="6" w:space="0"/>
            </w:tcBorders>
            <w:vAlign w:val="center"/>
          </w:tcPr>
          <w:p w14:paraId="070711DF">
            <w:pPr>
              <w:spacing w:line="320" w:lineRule="exact"/>
              <w:jc w:val="center"/>
              <w:rPr>
                <w:rFonts w:hint="eastAsia" w:ascii="宋体" w:hAnsi="宋体" w:eastAsia="宋体" w:cs="宋体"/>
                <w:b/>
                <w:color w:val="000000"/>
                <w:sz w:val="24"/>
                <w:szCs w:val="24"/>
              </w:rPr>
            </w:pPr>
          </w:p>
        </w:tc>
        <w:tc>
          <w:tcPr>
            <w:tcW w:w="826" w:type="dxa"/>
            <w:tcBorders>
              <w:top w:val="double" w:color="auto" w:sz="6" w:space="0"/>
              <w:bottom w:val="single" w:color="auto" w:sz="6" w:space="0"/>
            </w:tcBorders>
            <w:vAlign w:val="center"/>
          </w:tcPr>
          <w:p w14:paraId="1F40466D">
            <w:pPr>
              <w:spacing w:line="320" w:lineRule="exact"/>
              <w:jc w:val="center"/>
              <w:rPr>
                <w:rFonts w:hint="eastAsia" w:ascii="宋体" w:hAnsi="宋体" w:eastAsia="宋体" w:cs="宋体"/>
                <w:b/>
                <w:color w:val="000000"/>
                <w:sz w:val="24"/>
                <w:szCs w:val="24"/>
              </w:rPr>
            </w:pPr>
          </w:p>
        </w:tc>
        <w:tc>
          <w:tcPr>
            <w:tcW w:w="1133" w:type="dxa"/>
            <w:tcBorders>
              <w:top w:val="double" w:color="auto" w:sz="6" w:space="0"/>
              <w:bottom w:val="single" w:color="auto" w:sz="6" w:space="0"/>
            </w:tcBorders>
            <w:vAlign w:val="center"/>
          </w:tcPr>
          <w:p w14:paraId="0F79E8C1">
            <w:pPr>
              <w:spacing w:line="320" w:lineRule="exact"/>
              <w:jc w:val="center"/>
              <w:rPr>
                <w:rFonts w:hint="eastAsia" w:ascii="宋体" w:hAnsi="宋体" w:eastAsia="宋体" w:cs="宋体"/>
                <w:b/>
                <w:color w:val="000000"/>
                <w:sz w:val="24"/>
                <w:szCs w:val="24"/>
              </w:rPr>
            </w:pPr>
          </w:p>
        </w:tc>
        <w:tc>
          <w:tcPr>
            <w:tcW w:w="1442" w:type="dxa"/>
            <w:tcBorders>
              <w:top w:val="double" w:color="auto" w:sz="6" w:space="0"/>
              <w:bottom w:val="single" w:color="auto" w:sz="6" w:space="0"/>
            </w:tcBorders>
            <w:vAlign w:val="center"/>
          </w:tcPr>
          <w:p w14:paraId="391832DE">
            <w:pPr>
              <w:spacing w:line="320" w:lineRule="exact"/>
              <w:jc w:val="center"/>
              <w:rPr>
                <w:rFonts w:hint="eastAsia" w:ascii="宋体" w:hAnsi="宋体" w:eastAsia="宋体" w:cs="宋体"/>
                <w:b/>
                <w:color w:val="000000"/>
                <w:sz w:val="24"/>
                <w:szCs w:val="24"/>
              </w:rPr>
            </w:pPr>
          </w:p>
        </w:tc>
        <w:tc>
          <w:tcPr>
            <w:tcW w:w="2098" w:type="dxa"/>
            <w:tcBorders>
              <w:top w:val="double" w:color="auto" w:sz="6" w:space="0"/>
              <w:bottom w:val="single" w:color="auto" w:sz="6" w:space="0"/>
            </w:tcBorders>
            <w:vAlign w:val="center"/>
          </w:tcPr>
          <w:p w14:paraId="5702CF44">
            <w:pPr>
              <w:spacing w:line="320" w:lineRule="exact"/>
              <w:ind w:right="-2"/>
              <w:jc w:val="center"/>
              <w:rPr>
                <w:rFonts w:hint="eastAsia" w:ascii="宋体" w:hAnsi="宋体" w:eastAsia="宋体" w:cs="宋体"/>
                <w:b/>
                <w:color w:val="000000"/>
                <w:sz w:val="24"/>
                <w:szCs w:val="24"/>
              </w:rPr>
            </w:pPr>
          </w:p>
        </w:tc>
      </w:tr>
      <w:tr w14:paraId="6E12F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nil"/>
            </w:tcBorders>
            <w:vAlign w:val="center"/>
          </w:tcPr>
          <w:p w14:paraId="09272EBC">
            <w:pPr>
              <w:spacing w:line="320" w:lineRule="exact"/>
              <w:jc w:val="center"/>
              <w:rPr>
                <w:rFonts w:hint="eastAsia" w:ascii="宋体" w:hAnsi="宋体" w:eastAsia="宋体" w:cs="宋体"/>
                <w:b/>
                <w:color w:val="000000"/>
                <w:sz w:val="24"/>
                <w:szCs w:val="24"/>
              </w:rPr>
            </w:pPr>
          </w:p>
        </w:tc>
        <w:tc>
          <w:tcPr>
            <w:tcW w:w="3020" w:type="dxa"/>
            <w:tcBorders>
              <w:top w:val="nil"/>
            </w:tcBorders>
            <w:vAlign w:val="center"/>
          </w:tcPr>
          <w:p w14:paraId="25101A94">
            <w:pPr>
              <w:spacing w:line="320" w:lineRule="exact"/>
              <w:jc w:val="center"/>
              <w:rPr>
                <w:rFonts w:hint="eastAsia" w:ascii="宋体" w:hAnsi="宋体" w:eastAsia="宋体" w:cs="宋体"/>
                <w:b/>
                <w:color w:val="000000"/>
                <w:sz w:val="24"/>
                <w:szCs w:val="24"/>
              </w:rPr>
            </w:pPr>
          </w:p>
        </w:tc>
        <w:tc>
          <w:tcPr>
            <w:tcW w:w="630" w:type="dxa"/>
            <w:tcBorders>
              <w:top w:val="nil"/>
            </w:tcBorders>
            <w:vAlign w:val="center"/>
          </w:tcPr>
          <w:p w14:paraId="08467CD1">
            <w:pPr>
              <w:spacing w:line="320" w:lineRule="exact"/>
              <w:jc w:val="center"/>
              <w:rPr>
                <w:rFonts w:hint="eastAsia" w:ascii="宋体" w:hAnsi="宋体" w:eastAsia="宋体" w:cs="宋体"/>
                <w:b/>
                <w:color w:val="000000"/>
                <w:sz w:val="24"/>
                <w:szCs w:val="24"/>
              </w:rPr>
            </w:pPr>
          </w:p>
        </w:tc>
        <w:tc>
          <w:tcPr>
            <w:tcW w:w="826" w:type="dxa"/>
            <w:tcBorders>
              <w:top w:val="nil"/>
            </w:tcBorders>
            <w:vAlign w:val="center"/>
          </w:tcPr>
          <w:p w14:paraId="014A506B">
            <w:pPr>
              <w:spacing w:line="320" w:lineRule="exact"/>
              <w:jc w:val="center"/>
              <w:rPr>
                <w:rFonts w:hint="eastAsia" w:ascii="宋体" w:hAnsi="宋体" w:eastAsia="宋体" w:cs="宋体"/>
                <w:b/>
                <w:color w:val="000000"/>
                <w:sz w:val="24"/>
                <w:szCs w:val="24"/>
              </w:rPr>
            </w:pPr>
          </w:p>
        </w:tc>
        <w:tc>
          <w:tcPr>
            <w:tcW w:w="1133" w:type="dxa"/>
            <w:tcBorders>
              <w:top w:val="nil"/>
            </w:tcBorders>
            <w:vAlign w:val="center"/>
          </w:tcPr>
          <w:p w14:paraId="54694A6E">
            <w:pPr>
              <w:spacing w:line="320" w:lineRule="exact"/>
              <w:jc w:val="center"/>
              <w:rPr>
                <w:rFonts w:hint="eastAsia" w:ascii="宋体" w:hAnsi="宋体" w:eastAsia="宋体" w:cs="宋体"/>
                <w:b/>
                <w:color w:val="000000"/>
                <w:sz w:val="24"/>
                <w:szCs w:val="24"/>
              </w:rPr>
            </w:pPr>
          </w:p>
        </w:tc>
        <w:tc>
          <w:tcPr>
            <w:tcW w:w="1442" w:type="dxa"/>
            <w:tcBorders>
              <w:top w:val="nil"/>
            </w:tcBorders>
            <w:vAlign w:val="center"/>
          </w:tcPr>
          <w:p w14:paraId="3D7B8234">
            <w:pPr>
              <w:spacing w:line="320" w:lineRule="exact"/>
              <w:jc w:val="center"/>
              <w:rPr>
                <w:rFonts w:hint="eastAsia" w:ascii="宋体" w:hAnsi="宋体" w:eastAsia="宋体" w:cs="宋体"/>
                <w:b/>
                <w:color w:val="000000"/>
                <w:sz w:val="24"/>
                <w:szCs w:val="24"/>
              </w:rPr>
            </w:pPr>
          </w:p>
        </w:tc>
        <w:tc>
          <w:tcPr>
            <w:tcW w:w="2098" w:type="dxa"/>
            <w:tcBorders>
              <w:top w:val="nil"/>
            </w:tcBorders>
            <w:vAlign w:val="center"/>
          </w:tcPr>
          <w:p w14:paraId="3B891FAA">
            <w:pPr>
              <w:spacing w:line="320" w:lineRule="exact"/>
              <w:ind w:right="-2"/>
              <w:jc w:val="center"/>
              <w:rPr>
                <w:rFonts w:hint="eastAsia" w:ascii="宋体" w:hAnsi="宋体" w:eastAsia="宋体" w:cs="宋体"/>
                <w:b/>
                <w:color w:val="000000"/>
                <w:sz w:val="24"/>
                <w:szCs w:val="24"/>
              </w:rPr>
            </w:pPr>
          </w:p>
        </w:tc>
      </w:tr>
      <w:tr w14:paraId="3BA14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nil"/>
            </w:tcBorders>
            <w:vAlign w:val="center"/>
          </w:tcPr>
          <w:p w14:paraId="23048DF8">
            <w:pPr>
              <w:spacing w:line="320" w:lineRule="exact"/>
              <w:jc w:val="center"/>
              <w:rPr>
                <w:rFonts w:hint="eastAsia" w:ascii="宋体" w:hAnsi="宋体" w:eastAsia="宋体" w:cs="宋体"/>
                <w:b/>
                <w:color w:val="000000"/>
                <w:sz w:val="24"/>
                <w:szCs w:val="24"/>
              </w:rPr>
            </w:pPr>
          </w:p>
        </w:tc>
        <w:tc>
          <w:tcPr>
            <w:tcW w:w="3020" w:type="dxa"/>
            <w:tcBorders>
              <w:top w:val="nil"/>
            </w:tcBorders>
            <w:vAlign w:val="center"/>
          </w:tcPr>
          <w:p w14:paraId="3CBC6010">
            <w:pPr>
              <w:spacing w:line="320" w:lineRule="exact"/>
              <w:jc w:val="center"/>
              <w:rPr>
                <w:rFonts w:hint="eastAsia" w:ascii="宋体" w:hAnsi="宋体" w:eastAsia="宋体" w:cs="宋体"/>
                <w:b/>
                <w:color w:val="000000"/>
                <w:sz w:val="24"/>
                <w:szCs w:val="24"/>
              </w:rPr>
            </w:pPr>
          </w:p>
        </w:tc>
        <w:tc>
          <w:tcPr>
            <w:tcW w:w="630" w:type="dxa"/>
            <w:tcBorders>
              <w:top w:val="nil"/>
            </w:tcBorders>
            <w:vAlign w:val="center"/>
          </w:tcPr>
          <w:p w14:paraId="03801283">
            <w:pPr>
              <w:spacing w:line="320" w:lineRule="exact"/>
              <w:jc w:val="center"/>
              <w:rPr>
                <w:rFonts w:hint="eastAsia" w:ascii="宋体" w:hAnsi="宋体" w:eastAsia="宋体" w:cs="宋体"/>
                <w:b/>
                <w:color w:val="000000"/>
                <w:sz w:val="24"/>
                <w:szCs w:val="24"/>
              </w:rPr>
            </w:pPr>
          </w:p>
        </w:tc>
        <w:tc>
          <w:tcPr>
            <w:tcW w:w="826" w:type="dxa"/>
            <w:tcBorders>
              <w:top w:val="nil"/>
            </w:tcBorders>
            <w:vAlign w:val="center"/>
          </w:tcPr>
          <w:p w14:paraId="69C62CAE">
            <w:pPr>
              <w:spacing w:line="320" w:lineRule="exact"/>
              <w:jc w:val="center"/>
              <w:rPr>
                <w:rFonts w:hint="eastAsia" w:ascii="宋体" w:hAnsi="宋体" w:eastAsia="宋体" w:cs="宋体"/>
                <w:b/>
                <w:color w:val="000000"/>
                <w:sz w:val="24"/>
                <w:szCs w:val="24"/>
              </w:rPr>
            </w:pPr>
          </w:p>
        </w:tc>
        <w:tc>
          <w:tcPr>
            <w:tcW w:w="1133" w:type="dxa"/>
            <w:tcBorders>
              <w:top w:val="nil"/>
            </w:tcBorders>
            <w:vAlign w:val="center"/>
          </w:tcPr>
          <w:p w14:paraId="3A9A6044">
            <w:pPr>
              <w:spacing w:line="320" w:lineRule="exact"/>
              <w:jc w:val="center"/>
              <w:rPr>
                <w:rFonts w:hint="eastAsia" w:ascii="宋体" w:hAnsi="宋体" w:eastAsia="宋体" w:cs="宋体"/>
                <w:b/>
                <w:color w:val="000000"/>
                <w:sz w:val="24"/>
                <w:szCs w:val="24"/>
              </w:rPr>
            </w:pPr>
          </w:p>
        </w:tc>
        <w:tc>
          <w:tcPr>
            <w:tcW w:w="1442" w:type="dxa"/>
            <w:tcBorders>
              <w:top w:val="nil"/>
            </w:tcBorders>
            <w:vAlign w:val="center"/>
          </w:tcPr>
          <w:p w14:paraId="03A83968">
            <w:pPr>
              <w:spacing w:line="320" w:lineRule="exact"/>
              <w:jc w:val="center"/>
              <w:rPr>
                <w:rFonts w:hint="eastAsia" w:ascii="宋体" w:hAnsi="宋体" w:eastAsia="宋体" w:cs="宋体"/>
                <w:b/>
                <w:color w:val="000000"/>
                <w:sz w:val="24"/>
                <w:szCs w:val="24"/>
              </w:rPr>
            </w:pPr>
          </w:p>
        </w:tc>
        <w:tc>
          <w:tcPr>
            <w:tcW w:w="2098" w:type="dxa"/>
            <w:tcBorders>
              <w:top w:val="nil"/>
            </w:tcBorders>
            <w:vAlign w:val="center"/>
          </w:tcPr>
          <w:p w14:paraId="02F72199">
            <w:pPr>
              <w:spacing w:line="320" w:lineRule="exact"/>
              <w:ind w:right="-2"/>
              <w:jc w:val="center"/>
              <w:rPr>
                <w:rFonts w:hint="eastAsia" w:ascii="宋体" w:hAnsi="宋体" w:eastAsia="宋体" w:cs="宋体"/>
                <w:b/>
                <w:color w:val="000000"/>
                <w:sz w:val="24"/>
                <w:szCs w:val="24"/>
              </w:rPr>
            </w:pPr>
          </w:p>
        </w:tc>
      </w:tr>
    </w:tbl>
    <w:p w14:paraId="484A2543">
      <w:pPr>
        <w:spacing w:beforeLines="100" w:afterLines="50" w:line="440" w:lineRule="exact"/>
        <w:jc w:val="center"/>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11-3：专业工程暂估价表</w:t>
      </w:r>
    </w:p>
    <w:tbl>
      <w:tblPr>
        <w:tblStyle w:val="24"/>
        <w:tblW w:w="96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4"/>
        <w:gridCol w:w="2814"/>
        <w:gridCol w:w="4107"/>
        <w:gridCol w:w="2019"/>
      </w:tblGrid>
      <w:tr w14:paraId="460B8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734" w:type="dxa"/>
            <w:tcBorders>
              <w:top w:val="single" w:color="auto" w:sz="12" w:space="0"/>
              <w:bottom w:val="double" w:color="auto" w:sz="6" w:space="0"/>
            </w:tcBorders>
            <w:vAlign w:val="center"/>
          </w:tcPr>
          <w:p w14:paraId="33F527B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3587769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2814" w:type="dxa"/>
            <w:tcBorders>
              <w:top w:val="single" w:color="auto" w:sz="12" w:space="0"/>
              <w:bottom w:val="double" w:color="auto" w:sz="6" w:space="0"/>
            </w:tcBorders>
            <w:vAlign w:val="center"/>
          </w:tcPr>
          <w:p w14:paraId="4FB02C53">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专业工程名称</w:t>
            </w:r>
          </w:p>
        </w:tc>
        <w:tc>
          <w:tcPr>
            <w:tcW w:w="4107" w:type="dxa"/>
            <w:tcBorders>
              <w:top w:val="single" w:color="auto" w:sz="12" w:space="0"/>
              <w:bottom w:val="double" w:color="auto" w:sz="6" w:space="0"/>
            </w:tcBorders>
            <w:vAlign w:val="center"/>
          </w:tcPr>
          <w:p w14:paraId="0C7F760D">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工程内容</w:t>
            </w:r>
          </w:p>
        </w:tc>
        <w:tc>
          <w:tcPr>
            <w:tcW w:w="2019" w:type="dxa"/>
            <w:tcBorders>
              <w:top w:val="single" w:color="auto" w:sz="12" w:space="0"/>
              <w:bottom w:val="double" w:color="auto" w:sz="6" w:space="0"/>
            </w:tcBorders>
            <w:vAlign w:val="center"/>
          </w:tcPr>
          <w:p w14:paraId="055B6E5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金额（元）</w:t>
            </w:r>
          </w:p>
        </w:tc>
      </w:tr>
      <w:tr w14:paraId="13DD9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734" w:type="dxa"/>
            <w:tcBorders>
              <w:top w:val="double" w:color="auto" w:sz="6" w:space="0"/>
              <w:bottom w:val="single" w:color="auto" w:sz="6" w:space="0"/>
            </w:tcBorders>
            <w:vAlign w:val="center"/>
          </w:tcPr>
          <w:p w14:paraId="50287ED0">
            <w:pPr>
              <w:pStyle w:val="11"/>
              <w:keepNext/>
              <w:spacing w:line="440" w:lineRule="exact"/>
              <w:ind w:left="63" w:right="63"/>
              <w:rPr>
                <w:rFonts w:hint="eastAsia" w:ascii="宋体" w:hAnsi="宋体" w:eastAsia="宋体" w:cs="宋体"/>
                <w:color w:val="000000"/>
                <w:kern w:val="2"/>
                <w:sz w:val="24"/>
                <w:szCs w:val="28"/>
              </w:rPr>
            </w:pPr>
          </w:p>
        </w:tc>
        <w:tc>
          <w:tcPr>
            <w:tcW w:w="2814" w:type="dxa"/>
            <w:tcBorders>
              <w:top w:val="double" w:color="auto" w:sz="6" w:space="0"/>
              <w:bottom w:val="single" w:color="auto" w:sz="6" w:space="0"/>
            </w:tcBorders>
            <w:vAlign w:val="center"/>
          </w:tcPr>
          <w:p w14:paraId="10E49B09">
            <w:pPr>
              <w:pStyle w:val="11"/>
              <w:keepNext/>
              <w:spacing w:line="440" w:lineRule="exact"/>
              <w:ind w:left="63" w:right="63"/>
              <w:rPr>
                <w:rFonts w:hint="eastAsia" w:ascii="宋体" w:hAnsi="宋体" w:eastAsia="宋体" w:cs="宋体"/>
                <w:color w:val="000000"/>
                <w:kern w:val="2"/>
                <w:sz w:val="24"/>
                <w:szCs w:val="28"/>
              </w:rPr>
            </w:pPr>
          </w:p>
        </w:tc>
        <w:tc>
          <w:tcPr>
            <w:tcW w:w="4107" w:type="dxa"/>
            <w:tcBorders>
              <w:top w:val="double" w:color="auto" w:sz="6" w:space="0"/>
              <w:bottom w:val="single" w:color="auto" w:sz="6" w:space="0"/>
            </w:tcBorders>
            <w:vAlign w:val="center"/>
          </w:tcPr>
          <w:p w14:paraId="7A12A07C">
            <w:pPr>
              <w:pStyle w:val="11"/>
              <w:keepNext/>
              <w:spacing w:line="440" w:lineRule="exact"/>
              <w:ind w:left="63" w:right="63"/>
              <w:rPr>
                <w:rFonts w:hint="eastAsia" w:ascii="宋体" w:hAnsi="宋体" w:eastAsia="宋体" w:cs="宋体"/>
                <w:color w:val="000000"/>
                <w:kern w:val="2"/>
                <w:sz w:val="24"/>
                <w:szCs w:val="28"/>
              </w:rPr>
            </w:pPr>
          </w:p>
        </w:tc>
        <w:tc>
          <w:tcPr>
            <w:tcW w:w="2019" w:type="dxa"/>
            <w:tcBorders>
              <w:top w:val="double" w:color="auto" w:sz="6" w:space="0"/>
              <w:bottom w:val="single" w:color="auto" w:sz="6" w:space="0"/>
            </w:tcBorders>
            <w:vAlign w:val="center"/>
          </w:tcPr>
          <w:p w14:paraId="50A9B7DD">
            <w:pPr>
              <w:pStyle w:val="11"/>
              <w:keepNext/>
              <w:spacing w:line="440" w:lineRule="exact"/>
              <w:ind w:left="63" w:right="63"/>
              <w:rPr>
                <w:rFonts w:hint="eastAsia" w:ascii="宋体" w:hAnsi="宋体" w:eastAsia="宋体" w:cs="宋体"/>
                <w:color w:val="000000"/>
                <w:kern w:val="2"/>
                <w:sz w:val="24"/>
                <w:szCs w:val="28"/>
              </w:rPr>
            </w:pPr>
          </w:p>
        </w:tc>
      </w:tr>
      <w:tr w14:paraId="4772C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9674" w:type="dxa"/>
            <w:gridSpan w:val="4"/>
          </w:tcPr>
          <w:p w14:paraId="6597F7E5">
            <w:pPr>
              <w:pStyle w:val="11"/>
              <w:keepNext/>
              <w:spacing w:line="440" w:lineRule="exact"/>
              <w:ind w:left="63" w:right="63" w:firstLine="240" w:firstLineChars="100"/>
              <w:jc w:val="both"/>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小计：</w:t>
            </w:r>
          </w:p>
        </w:tc>
      </w:tr>
    </w:tbl>
    <w:p w14:paraId="42689013">
      <w:pPr>
        <w:spacing w:line="40" w:lineRule="exact"/>
        <w:jc w:val="center"/>
        <w:rPr>
          <w:rFonts w:hint="eastAsia" w:ascii="宋体" w:hAnsi="宋体" w:eastAsia="宋体" w:cs="宋体"/>
        </w:rPr>
      </w:pPr>
    </w:p>
    <w:p w14:paraId="7D2A1845">
      <w:pPr>
        <w:rPr>
          <w:rFonts w:hint="eastAsia" w:ascii="宋体" w:hAnsi="宋体" w:eastAsia="宋体" w:cs="宋体"/>
        </w:rPr>
      </w:pPr>
    </w:p>
    <w:p w14:paraId="419A9FD4">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70DDCEED">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0C53F2F9">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1EC5D6A1">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0059116E">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51F0693C">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7CEAB6F4">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37949309">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2DEC25F1">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52F5295C">
      <w:pPr>
        <w:pStyle w:val="3"/>
        <w:jc w:val="both"/>
        <w:rPr>
          <w:rFonts w:hint="eastAsia" w:ascii="宋体" w:hAnsi="宋体" w:eastAsia="宋体" w:cs="宋体"/>
          <w:color w:val="auto"/>
          <w:kern w:val="44"/>
          <w:sz w:val="44"/>
          <w:szCs w:val="44"/>
          <w:highlight w:val="none"/>
        </w:rPr>
      </w:pPr>
      <w:bookmarkStart w:id="1142" w:name="_Toc17075"/>
      <w:bookmarkStart w:id="1143" w:name="_Toc81341336"/>
    </w:p>
    <w:p w14:paraId="56121EA1">
      <w:pPr>
        <w:pStyle w:val="3"/>
        <w:rPr>
          <w:rFonts w:hint="eastAsia" w:ascii="宋体" w:hAnsi="宋体" w:eastAsia="宋体" w:cs="宋体"/>
          <w:color w:val="auto"/>
          <w:kern w:val="44"/>
          <w:sz w:val="44"/>
          <w:szCs w:val="44"/>
          <w:highlight w:val="none"/>
        </w:rPr>
      </w:pPr>
    </w:p>
    <w:p w14:paraId="2F36E566">
      <w:pPr>
        <w:pStyle w:val="3"/>
        <w:rPr>
          <w:rFonts w:hint="eastAsia" w:ascii="宋体" w:hAnsi="宋体" w:eastAsia="宋体" w:cs="宋体"/>
          <w:color w:val="auto"/>
          <w:kern w:val="44"/>
          <w:sz w:val="44"/>
          <w:szCs w:val="44"/>
          <w:highlight w:val="none"/>
        </w:rPr>
      </w:pPr>
    </w:p>
    <w:p w14:paraId="7EAC6C87">
      <w:pPr>
        <w:pStyle w:val="3"/>
        <w:rPr>
          <w:rFonts w:hint="eastAsia" w:ascii="宋体" w:hAnsi="宋体" w:eastAsia="宋体" w:cs="宋体"/>
          <w:bCs w:val="0"/>
          <w:color w:val="auto"/>
          <w:kern w:val="44"/>
          <w:sz w:val="44"/>
          <w:szCs w:val="44"/>
          <w:highlight w:val="none"/>
        </w:rPr>
      </w:pPr>
      <w:r>
        <w:rPr>
          <w:rFonts w:hint="eastAsia" w:ascii="宋体" w:hAnsi="宋体" w:eastAsia="宋体" w:cs="宋体"/>
          <w:color w:val="auto"/>
          <w:kern w:val="44"/>
          <w:sz w:val="44"/>
          <w:szCs w:val="44"/>
          <w:highlight w:val="none"/>
        </w:rPr>
        <w:t>第五章磋商响应文件格式</w:t>
      </w:r>
      <w:bookmarkEnd w:id="1142"/>
      <w:bookmarkEnd w:id="1143"/>
    </w:p>
    <w:p w14:paraId="37E23DBF">
      <w:pPr>
        <w:spacing w:line="360" w:lineRule="auto"/>
        <w:jc w:val="center"/>
        <w:rPr>
          <w:rFonts w:hint="eastAsia" w:ascii="宋体" w:hAnsi="宋体" w:eastAsia="宋体" w:cs="宋体"/>
          <w:color w:val="auto"/>
          <w:sz w:val="24"/>
          <w:highlight w:val="none"/>
        </w:rPr>
      </w:pPr>
      <w:bookmarkStart w:id="1144" w:name="_Toc211745566"/>
      <w:bookmarkStart w:id="1145" w:name="_Toc82338234"/>
      <w:bookmarkStart w:id="1146" w:name="_Toc82873317"/>
      <w:r>
        <w:rPr>
          <w:rFonts w:hint="eastAsia" w:ascii="宋体" w:hAnsi="宋体" w:eastAsia="宋体" w:cs="宋体"/>
          <w:color w:val="auto"/>
          <w:sz w:val="24"/>
          <w:highlight w:val="none"/>
        </w:rPr>
        <w:t>（未提供格式的由供应商自拟）</w:t>
      </w:r>
    </w:p>
    <w:p w14:paraId="0C97886E">
      <w:pPr>
        <w:rPr>
          <w:rFonts w:hint="eastAsia" w:ascii="宋体" w:hAnsi="宋体" w:eastAsia="宋体" w:cs="宋体"/>
          <w:color w:val="auto"/>
          <w:highlight w:val="none"/>
        </w:rPr>
      </w:pPr>
      <w:bookmarkStart w:id="1147" w:name="_Toc81341337"/>
      <w:bookmarkStart w:id="1148" w:name="_Toc20714"/>
      <w:bookmarkStart w:id="1149" w:name="_Toc66195380"/>
      <w:r>
        <w:rPr>
          <w:rFonts w:hint="eastAsia" w:ascii="宋体" w:hAnsi="宋体" w:eastAsia="宋体" w:cs="宋体"/>
          <w:color w:val="auto"/>
          <w:highlight w:val="none"/>
        </w:rPr>
        <w:br w:type="page"/>
      </w:r>
    </w:p>
    <w:p w14:paraId="2E349C23">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一、资格文件部分格式</w:t>
      </w:r>
      <w:bookmarkEnd w:id="1147"/>
      <w:bookmarkEnd w:id="1148"/>
      <w:bookmarkEnd w:id="1149"/>
    </w:p>
    <w:p w14:paraId="6D6A772B">
      <w:pPr>
        <w:pStyle w:val="32"/>
        <w:ind w:left="0" w:leftChars="0" w:firstLine="0" w:firstLineChars="0"/>
        <w:jc w:val="left"/>
        <w:rPr>
          <w:rFonts w:hint="eastAsia" w:ascii="宋体" w:hAnsi="宋体" w:eastAsia="宋体" w:cs="宋体"/>
          <w:color w:val="auto"/>
          <w:sz w:val="30"/>
          <w:szCs w:val="30"/>
          <w:highlight w:val="none"/>
        </w:rPr>
      </w:pPr>
    </w:p>
    <w:p w14:paraId="0E583BE3">
      <w:pPr>
        <w:keepNext w:val="0"/>
        <w:keepLines w:val="0"/>
        <w:pageBreakBefore w:val="0"/>
        <w:tabs>
          <w:tab w:val="left" w:pos="2580"/>
          <w:tab w:val="left" w:pos="5940"/>
        </w:tabs>
        <w:kinsoku/>
        <w:overflowPunct/>
        <w:topLinePunct w:val="0"/>
        <w:autoSpaceDE w:val="0"/>
        <w:autoSpaceDN w:val="0"/>
        <w:bidi w:val="0"/>
        <w:adjustRightInd w:val="0"/>
        <w:snapToGrid/>
        <w:spacing w:line="360" w:lineRule="auto"/>
        <w:ind w:right="0" w:firstLine="1200" w:firstLineChars="400"/>
        <w:jc w:val="left"/>
        <w:textAlignment w:val="auto"/>
        <w:rPr>
          <w:rFonts w:hint="eastAsia" w:ascii="宋体" w:hAnsi="宋体" w:eastAsia="宋体" w:cs="宋体"/>
          <w:color w:val="auto"/>
          <w:kern w:val="0"/>
          <w:sz w:val="28"/>
          <w:highlight w:val="none"/>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val="en-US" w:eastAsia="zh-CN"/>
        </w:rPr>
        <w:t>太古镇2026年蔬菜大棚新建改造项目</w:t>
      </w:r>
    </w:p>
    <w:p w14:paraId="5E31A323">
      <w:pPr>
        <w:keepNext w:val="0"/>
        <w:keepLines w:val="0"/>
        <w:pageBreakBefore w:val="0"/>
        <w:tabs>
          <w:tab w:val="left" w:pos="2580"/>
          <w:tab w:val="left" w:pos="5940"/>
        </w:tabs>
        <w:kinsoku/>
        <w:overflowPunct/>
        <w:topLinePunct w:val="0"/>
        <w:autoSpaceDE w:val="0"/>
        <w:autoSpaceDN w:val="0"/>
        <w:bidi w:val="0"/>
        <w:adjustRightInd w:val="0"/>
        <w:snapToGrid/>
        <w:spacing w:line="360" w:lineRule="auto"/>
        <w:ind w:right="0" w:firstLine="1200" w:firstLineChars="400"/>
        <w:jc w:val="left"/>
        <w:textAlignment w:val="auto"/>
        <w:rPr>
          <w:rFonts w:hint="eastAsia" w:ascii="宋体" w:hAnsi="宋体" w:eastAsia="宋体" w:cs="宋体"/>
          <w:color w:val="auto"/>
          <w:kern w:val="0"/>
          <w:sz w:val="30"/>
          <w:szCs w:val="30"/>
          <w:highlight w:val="none"/>
          <w:lang w:val="en-US" w:eastAsia="zh-CN" w:bidi="ar-SA"/>
        </w:rPr>
      </w:pPr>
      <w:r>
        <w:rPr>
          <w:rFonts w:hint="eastAsia" w:ascii="宋体" w:hAnsi="宋体" w:eastAsia="宋体" w:cs="宋体"/>
          <w:color w:val="auto"/>
          <w:kern w:val="0"/>
          <w:sz w:val="30"/>
          <w:szCs w:val="30"/>
          <w:highlight w:val="none"/>
          <w:lang w:val="en-US" w:eastAsia="zh-CN" w:bidi="ar-SA"/>
        </w:rPr>
        <w:t>项目编号：</w:t>
      </w:r>
    </w:p>
    <w:p w14:paraId="4280813E">
      <w:pPr>
        <w:pStyle w:val="12"/>
        <w:rPr>
          <w:rFonts w:hint="eastAsia" w:ascii="宋体" w:hAnsi="宋体" w:eastAsia="宋体" w:cs="宋体"/>
          <w:color w:val="auto"/>
          <w:highlight w:val="none"/>
        </w:rPr>
      </w:pPr>
    </w:p>
    <w:p w14:paraId="2FC85F6B">
      <w:pPr>
        <w:pStyle w:val="32"/>
        <w:jc w:val="left"/>
        <w:rPr>
          <w:rFonts w:hint="eastAsia" w:ascii="宋体" w:hAnsi="宋体" w:eastAsia="宋体" w:cs="宋体"/>
          <w:color w:val="auto"/>
          <w:highlight w:val="none"/>
        </w:rPr>
      </w:pPr>
    </w:p>
    <w:p w14:paraId="201211C3">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p>
    <w:p w14:paraId="7D06CE68">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p>
    <w:p w14:paraId="2983CB5A">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4F404B31">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（资格文件）</w:t>
      </w:r>
    </w:p>
    <w:p w14:paraId="0510772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198B6B2C">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3B426993">
      <w:pPr>
        <w:pStyle w:val="12"/>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磋商供应商（加盖法人电子印章）</w:t>
      </w:r>
      <w:r>
        <w:rPr>
          <w:rFonts w:hint="eastAsia" w:ascii="宋体" w:hAnsi="宋体" w:eastAsia="宋体" w:cs="宋体"/>
          <w:color w:val="auto"/>
          <w:sz w:val="28"/>
          <w:highlight w:val="none"/>
        </w:rPr>
        <w:t>：</w:t>
      </w:r>
    </w:p>
    <w:p w14:paraId="086FD2F8">
      <w:pPr>
        <w:pStyle w:val="12"/>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磋商供应商</w:t>
      </w:r>
      <w:r>
        <w:rPr>
          <w:rFonts w:hint="eastAsia" w:ascii="宋体" w:hAnsi="宋体" w:eastAsia="宋体" w:cs="宋体"/>
          <w:color w:val="auto"/>
          <w:sz w:val="28"/>
          <w:highlight w:val="none"/>
        </w:rPr>
        <w:t>地址：</w:t>
      </w:r>
    </w:p>
    <w:p w14:paraId="7DB23250">
      <w:pPr>
        <w:pStyle w:val="12"/>
        <w:ind w:firstLine="840" w:firstLineChars="300"/>
        <w:rPr>
          <w:rFonts w:hint="eastAsia" w:ascii="宋体" w:hAnsi="宋体" w:eastAsia="宋体" w:cs="宋体"/>
          <w:color w:val="auto"/>
          <w:highlight w:val="none"/>
        </w:rPr>
      </w:pPr>
      <w:r>
        <w:rPr>
          <w:rFonts w:hint="eastAsia" w:ascii="宋体" w:hAnsi="宋体" w:eastAsia="宋体" w:cs="宋体"/>
          <w:color w:val="auto"/>
          <w:sz w:val="28"/>
          <w:highlight w:val="none"/>
          <w:lang w:eastAsia="zh-CN"/>
        </w:rPr>
        <w:t>磋商供应商</w:t>
      </w:r>
      <w:r>
        <w:rPr>
          <w:rFonts w:hint="eastAsia" w:ascii="宋体" w:hAnsi="宋体" w:eastAsia="宋体" w:cs="宋体"/>
          <w:color w:val="auto"/>
          <w:sz w:val="28"/>
          <w:highlight w:val="none"/>
        </w:rPr>
        <w:t>联系电话：</w:t>
      </w:r>
    </w:p>
    <w:p w14:paraId="28EAF21E">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21195F0D">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highlight w:val="none"/>
        </w:rPr>
      </w:pPr>
      <w:r>
        <w:rPr>
          <w:rFonts w:hint="eastAsia" w:ascii="宋体" w:hAnsi="宋体" w:eastAsia="宋体" w:cs="宋体"/>
          <w:color w:val="auto"/>
          <w:kern w:val="0"/>
          <w:sz w:val="28"/>
          <w:highlight w:val="none"/>
        </w:rPr>
        <w:t xml:space="preserve">  年  月  日</w:t>
      </w:r>
    </w:p>
    <w:p w14:paraId="280419F2">
      <w:pPr>
        <w:pStyle w:val="5"/>
        <w:jc w:val="left"/>
        <w:rPr>
          <w:rFonts w:hint="eastAsia" w:ascii="宋体" w:hAnsi="宋体" w:eastAsia="宋体" w:cs="宋体"/>
          <w:color w:val="auto"/>
          <w:highlight w:val="none"/>
        </w:rPr>
      </w:pPr>
    </w:p>
    <w:p w14:paraId="606D675A">
      <w:pPr>
        <w:pStyle w:val="6"/>
        <w:spacing w:before="120" w:after="120"/>
        <w:ind w:left="1260" w:hanging="420"/>
        <w:jc w:val="left"/>
        <w:rPr>
          <w:rFonts w:hint="eastAsia" w:ascii="宋体" w:hAnsi="宋体" w:eastAsia="宋体" w:cs="宋体"/>
          <w:color w:val="auto"/>
          <w:highlight w:val="none"/>
        </w:rPr>
      </w:pPr>
    </w:p>
    <w:p w14:paraId="109D6531">
      <w:pPr>
        <w:keepNext/>
        <w:keepLines/>
        <w:spacing w:line="377" w:lineRule="auto"/>
        <w:jc w:val="left"/>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2C870B0A">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AF8E047">
      <w:pPr>
        <w:keepNext/>
        <w:keepLines/>
        <w:spacing w:line="377" w:lineRule="auto"/>
        <w:jc w:val="left"/>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“符合《中华人民共和国政府采购法》第二十二条的规定”的证明文件</w:t>
      </w:r>
    </w:p>
    <w:p w14:paraId="3E5BBB86">
      <w:pPr>
        <w:adjustRightInd w:val="0"/>
        <w:snapToGrid w:val="0"/>
        <w:spacing w:line="480" w:lineRule="auto"/>
        <w:outlineLvl w:val="9"/>
        <w:rPr>
          <w:rFonts w:hint="eastAsia" w:ascii="宋体" w:hAnsi="宋体" w:eastAsia="宋体" w:cs="宋体"/>
          <w:b/>
          <w:bCs/>
          <w:sz w:val="28"/>
          <w:szCs w:val="28"/>
        </w:rPr>
      </w:pPr>
      <w:r>
        <w:rPr>
          <w:rFonts w:hint="eastAsia" w:ascii="宋体" w:hAnsi="宋体" w:eastAsia="宋体" w:cs="宋体"/>
          <w:b/>
          <w:sz w:val="28"/>
          <w:szCs w:val="28"/>
        </w:rPr>
        <w:t>（1）具有独立承担民事责任的能力</w:t>
      </w:r>
    </w:p>
    <w:p w14:paraId="0F7FDB53">
      <w:pPr>
        <w:adjustRightInd w:val="0"/>
        <w:snapToGrid w:val="0"/>
        <w:spacing w:line="480" w:lineRule="auto"/>
        <w:jc w:val="center"/>
        <w:outlineLvl w:val="9"/>
        <w:rPr>
          <w:rFonts w:hint="eastAsia" w:ascii="宋体" w:hAnsi="宋体" w:eastAsia="宋体" w:cs="宋体"/>
          <w:b/>
          <w:sz w:val="28"/>
          <w:szCs w:val="28"/>
        </w:rPr>
      </w:pPr>
    </w:p>
    <w:p w14:paraId="498277A4">
      <w:pPr>
        <w:pStyle w:val="22"/>
        <w:ind w:firstLine="240"/>
        <w:jc w:val="center"/>
        <w:outlineLvl w:val="9"/>
        <w:rPr>
          <w:rFonts w:hint="eastAsia" w:ascii="宋体" w:hAnsi="宋体" w:eastAsia="宋体" w:cs="宋体"/>
          <w:sz w:val="28"/>
          <w:szCs w:val="28"/>
        </w:rPr>
      </w:pPr>
      <w:r>
        <w:rPr>
          <w:rFonts w:hint="eastAsia" w:ascii="宋体" w:hAnsi="宋体" w:eastAsia="宋体" w:cs="宋体"/>
          <w:b/>
          <w:sz w:val="28"/>
          <w:szCs w:val="28"/>
        </w:rPr>
        <w:t>具有独立承担民事责任的能力承诺函</w:t>
      </w:r>
    </w:p>
    <w:p w14:paraId="75A5CB42">
      <w:pPr>
        <w:adjustRightInd w:val="0"/>
        <w:snapToGrid w:val="0"/>
        <w:spacing w:line="480" w:lineRule="auto"/>
        <w:outlineLvl w:val="9"/>
        <w:rPr>
          <w:rFonts w:hint="eastAsia" w:ascii="宋体" w:hAnsi="宋体" w:eastAsia="宋体" w:cs="宋体"/>
          <w:b/>
          <w:sz w:val="28"/>
          <w:szCs w:val="28"/>
        </w:rPr>
      </w:pPr>
      <w:r>
        <w:rPr>
          <w:rFonts w:hint="eastAsia" w:ascii="宋体" w:hAnsi="宋体" w:cs="宋体"/>
          <w:b/>
          <w:sz w:val="28"/>
          <w:szCs w:val="28"/>
          <w:lang w:eastAsia="zh-CN"/>
        </w:rPr>
        <w:t>山西新昱工程项目管理有限公司</w:t>
      </w:r>
    </w:p>
    <w:p w14:paraId="635955DC">
      <w:pPr>
        <w:adjustRightInd w:val="0"/>
        <w:snapToGrid w:val="0"/>
        <w:spacing w:line="480" w:lineRule="auto"/>
        <w:ind w:firstLine="840" w:firstLineChars="3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w:t>
      </w:r>
      <w:r>
        <w:rPr>
          <w:rFonts w:hint="eastAsia" w:ascii="宋体" w:hAnsi="宋体" w:eastAsia="宋体" w:cs="宋体"/>
          <w:b w:val="0"/>
          <w:bCs/>
          <w:sz w:val="28"/>
          <w:szCs w:val="28"/>
          <w:u w:val="single"/>
        </w:rPr>
        <w:t>磋商响应供应商名称</w:t>
      </w:r>
      <w:r>
        <w:rPr>
          <w:rFonts w:hint="eastAsia" w:ascii="宋体" w:hAnsi="宋体" w:eastAsia="宋体" w:cs="宋体"/>
          <w:b w:val="0"/>
          <w:bCs/>
          <w:sz w:val="28"/>
          <w:szCs w:val="28"/>
        </w:rPr>
        <w:t>）自愿参加由贵公司组织的</w:t>
      </w:r>
      <w:r>
        <w:rPr>
          <w:rFonts w:hint="eastAsia" w:ascii="宋体" w:hAnsi="宋体" w:eastAsia="宋体" w:cs="宋体"/>
          <w:b w:val="0"/>
          <w:bCs/>
          <w:sz w:val="28"/>
          <w:szCs w:val="28"/>
          <w:u w:val="single"/>
        </w:rPr>
        <w:t>（项目名称、项目编号）</w:t>
      </w:r>
      <w:r>
        <w:rPr>
          <w:rFonts w:hint="eastAsia" w:ascii="宋体" w:hAnsi="宋体" w:eastAsia="宋体" w:cs="宋体"/>
          <w:b w:val="0"/>
          <w:bCs/>
          <w:sz w:val="28"/>
          <w:szCs w:val="28"/>
        </w:rPr>
        <w:t>的磋商活动，我公司具备《中华人民共和国政府采购法》第二十二条规定的条件，且在此承诺：</w:t>
      </w:r>
    </w:p>
    <w:p w14:paraId="31C8DF40">
      <w:pPr>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我公司具有独立承担民事责任的能力，持有经年检合格的企业法人营业执照（见附件营业执照等证明材料）。</w:t>
      </w:r>
    </w:p>
    <w:p w14:paraId="5CE6704E">
      <w:pPr>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若采购单位在本项目采购过程中发现我单位不具有独立承担民事责任的能力，我公司将无条件地退出本项目，并承担因此引起的一切后果。</w:t>
      </w:r>
    </w:p>
    <w:p w14:paraId="5654CF21">
      <w:pPr>
        <w:spacing w:line="360" w:lineRule="auto"/>
        <w:jc w:val="right"/>
        <w:outlineLvl w:val="9"/>
        <w:rPr>
          <w:rFonts w:hint="eastAsia" w:ascii="宋体" w:hAnsi="宋体" w:eastAsia="宋体" w:cs="宋体"/>
          <w:b w:val="0"/>
          <w:bCs/>
          <w:sz w:val="28"/>
          <w:szCs w:val="28"/>
        </w:rPr>
      </w:pPr>
    </w:p>
    <w:p w14:paraId="25B9D349">
      <w:pPr>
        <w:spacing w:line="360" w:lineRule="auto"/>
        <w:jc w:val="right"/>
        <w:outlineLvl w:val="9"/>
        <w:rPr>
          <w:rFonts w:hint="eastAsia" w:ascii="宋体" w:hAnsi="宋体" w:eastAsia="宋体" w:cs="宋体"/>
          <w:b w:val="0"/>
          <w:bCs/>
          <w:sz w:val="28"/>
          <w:szCs w:val="28"/>
        </w:rPr>
      </w:pPr>
      <w:r>
        <w:rPr>
          <w:rFonts w:hint="eastAsia" w:ascii="宋体" w:hAnsi="宋体" w:eastAsia="宋体" w:cs="宋体"/>
          <w:b w:val="0"/>
          <w:bCs/>
          <w:sz w:val="28"/>
          <w:szCs w:val="28"/>
        </w:rPr>
        <w:t>供应商名称：（加盖法人电子印章）</w:t>
      </w:r>
    </w:p>
    <w:p w14:paraId="70767005">
      <w:pPr>
        <w:wordWrap w:val="0"/>
        <w:jc w:val="right"/>
        <w:rPr>
          <w:rFonts w:hint="eastAsia" w:ascii="宋体" w:hAnsi="宋体" w:eastAsia="宋体" w:cs="宋体"/>
          <w:b w:val="0"/>
          <w:bCs w:val="0"/>
          <w:kern w:val="0"/>
          <w:sz w:val="28"/>
          <w:szCs w:val="28"/>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A80358D">
      <w:pP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br w:type="page"/>
      </w:r>
    </w:p>
    <w:p w14:paraId="41CB0BC5">
      <w:pPr>
        <w:keepNext w:val="0"/>
        <w:keepLines w:val="0"/>
        <w:pageBreakBefore w:val="0"/>
        <w:widowControl w:val="0"/>
        <w:kinsoku/>
        <w:wordWrap w:val="0"/>
        <w:overflowPunct/>
        <w:topLinePunct/>
        <w:autoSpaceDE/>
        <w:autoSpaceDN/>
        <w:bidi w:val="0"/>
        <w:adjustRightInd w:val="0"/>
        <w:snapToGrid w:val="0"/>
        <w:spacing w:line="240" w:lineRule="auto"/>
        <w:ind w:firstLine="721" w:firstLineChars="300"/>
        <w:jc w:val="center"/>
        <w:outlineLvl w:val="9"/>
        <w:rPr>
          <w:rFonts w:hint="default" w:ascii="华文中宋" w:hAnsi="华文中宋" w:eastAsia="华文中宋" w:cs="华文中宋"/>
          <w:b/>
          <w:bCs w:val="0"/>
          <w:sz w:val="24"/>
          <w:szCs w:val="24"/>
          <w:lang w:val="en-US" w:eastAsia="zh-CN"/>
        </w:rPr>
      </w:pPr>
      <w:r>
        <w:rPr>
          <w:rFonts w:hint="eastAsia" w:ascii="华文中宋" w:hAnsi="华文中宋" w:eastAsia="华文中宋" w:cs="华文中宋"/>
          <w:b/>
          <w:bCs w:val="0"/>
          <w:sz w:val="24"/>
          <w:szCs w:val="24"/>
          <w:lang w:val="en-US" w:eastAsia="zh-CN"/>
        </w:rPr>
        <w:t>供应商基本情况</w:t>
      </w:r>
    </w:p>
    <w:tbl>
      <w:tblPr>
        <w:tblStyle w:val="24"/>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1289"/>
        <w:gridCol w:w="928"/>
        <w:gridCol w:w="1005"/>
        <w:gridCol w:w="829"/>
        <w:gridCol w:w="1044"/>
        <w:gridCol w:w="1566"/>
      </w:tblGrid>
      <w:tr w14:paraId="055B2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439" w:type="pct"/>
            <w:tcBorders>
              <w:top w:val="single" w:color="auto" w:sz="4" w:space="0"/>
              <w:left w:val="single" w:color="auto" w:sz="4" w:space="0"/>
              <w:bottom w:val="single" w:color="auto" w:sz="6" w:space="0"/>
              <w:right w:val="single" w:color="auto" w:sz="6" w:space="0"/>
            </w:tcBorders>
            <w:noWrap w:val="0"/>
            <w:vAlign w:val="center"/>
          </w:tcPr>
          <w:p w14:paraId="179C4992">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br w:type="page"/>
            </w:r>
            <w:r>
              <w:rPr>
                <w:rFonts w:hint="eastAsia" w:ascii="华文中宋" w:hAnsi="华文中宋" w:eastAsia="华文中宋" w:cs="华文中宋"/>
                <w:b w:val="0"/>
                <w:bCs/>
                <w:sz w:val="24"/>
                <w:szCs w:val="24"/>
              </w:rPr>
              <w:br w:type="page"/>
            </w:r>
            <w:r>
              <w:rPr>
                <w:rFonts w:hint="eastAsia" w:ascii="华文中宋" w:hAnsi="华文中宋" w:eastAsia="华文中宋" w:cs="华文中宋"/>
                <w:b w:val="0"/>
                <w:bCs/>
                <w:sz w:val="24"/>
                <w:szCs w:val="24"/>
                <w:lang w:val="en-US" w:eastAsia="zh-CN"/>
              </w:rPr>
              <w:t>供应商</w:t>
            </w:r>
            <w:r>
              <w:rPr>
                <w:rFonts w:hint="eastAsia" w:ascii="华文中宋" w:hAnsi="华文中宋" w:eastAsia="华文中宋" w:cs="华文中宋"/>
                <w:b w:val="0"/>
                <w:bCs/>
                <w:sz w:val="24"/>
                <w:szCs w:val="24"/>
              </w:rPr>
              <w:t>名称</w:t>
            </w:r>
          </w:p>
        </w:tc>
        <w:tc>
          <w:tcPr>
            <w:tcW w:w="3560" w:type="pct"/>
            <w:gridSpan w:val="6"/>
            <w:tcBorders>
              <w:top w:val="single" w:color="auto" w:sz="4" w:space="0"/>
              <w:left w:val="single" w:color="auto" w:sz="6" w:space="0"/>
              <w:bottom w:val="single" w:color="auto" w:sz="6" w:space="0"/>
              <w:right w:val="single" w:color="auto" w:sz="4" w:space="0"/>
            </w:tcBorders>
            <w:noWrap w:val="0"/>
            <w:vAlign w:val="center"/>
          </w:tcPr>
          <w:p w14:paraId="4A26211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7C2E1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439" w:type="pct"/>
            <w:tcBorders>
              <w:top w:val="single" w:color="auto" w:sz="4" w:space="0"/>
              <w:left w:val="single" w:color="auto" w:sz="4" w:space="0"/>
              <w:bottom w:val="single" w:color="auto" w:sz="6" w:space="0"/>
              <w:right w:val="single" w:color="auto" w:sz="6" w:space="0"/>
            </w:tcBorders>
            <w:noWrap w:val="0"/>
            <w:vAlign w:val="center"/>
          </w:tcPr>
          <w:p w14:paraId="07C13436">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注册地址</w:t>
            </w:r>
          </w:p>
        </w:tc>
        <w:tc>
          <w:tcPr>
            <w:tcW w:w="2165" w:type="pct"/>
            <w:gridSpan w:val="4"/>
            <w:tcBorders>
              <w:top w:val="single" w:color="auto" w:sz="4" w:space="0"/>
              <w:left w:val="single" w:color="auto" w:sz="6" w:space="0"/>
              <w:bottom w:val="single" w:color="auto" w:sz="6" w:space="0"/>
              <w:right w:val="single" w:color="auto" w:sz="4" w:space="0"/>
            </w:tcBorders>
            <w:noWrap w:val="0"/>
            <w:vAlign w:val="center"/>
          </w:tcPr>
          <w:p w14:paraId="25460DB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4" w:space="0"/>
              <w:left w:val="single" w:color="auto" w:sz="6" w:space="0"/>
              <w:bottom w:val="single" w:color="auto" w:sz="6" w:space="0"/>
              <w:right w:val="single" w:color="auto" w:sz="4" w:space="0"/>
            </w:tcBorders>
            <w:noWrap w:val="0"/>
            <w:vAlign w:val="center"/>
          </w:tcPr>
          <w:p w14:paraId="1204526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邮政</w:t>
            </w:r>
          </w:p>
          <w:p w14:paraId="5B37F84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编码</w:t>
            </w:r>
          </w:p>
        </w:tc>
        <w:tc>
          <w:tcPr>
            <w:tcW w:w="837" w:type="pct"/>
            <w:tcBorders>
              <w:top w:val="single" w:color="auto" w:sz="4" w:space="0"/>
              <w:left w:val="single" w:color="auto" w:sz="6" w:space="0"/>
              <w:bottom w:val="single" w:color="auto" w:sz="6" w:space="0"/>
              <w:right w:val="single" w:color="auto" w:sz="4" w:space="0"/>
            </w:tcBorders>
            <w:noWrap w:val="0"/>
            <w:vAlign w:val="center"/>
          </w:tcPr>
          <w:p w14:paraId="12E4302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49833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439" w:type="pct"/>
            <w:vMerge w:val="restart"/>
            <w:tcBorders>
              <w:top w:val="single" w:color="auto" w:sz="6" w:space="0"/>
              <w:left w:val="single" w:color="auto" w:sz="4" w:space="0"/>
              <w:bottom w:val="single" w:color="auto" w:sz="6" w:space="0"/>
              <w:right w:val="single" w:color="auto" w:sz="6" w:space="0"/>
            </w:tcBorders>
            <w:noWrap w:val="0"/>
            <w:vAlign w:val="center"/>
          </w:tcPr>
          <w:p w14:paraId="45C9400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联系方式</w:t>
            </w:r>
          </w:p>
        </w:tc>
        <w:tc>
          <w:tcPr>
            <w:tcW w:w="689" w:type="pct"/>
            <w:tcBorders>
              <w:top w:val="single" w:color="auto" w:sz="6" w:space="0"/>
              <w:left w:val="single" w:color="auto" w:sz="6" w:space="0"/>
              <w:bottom w:val="single" w:color="auto" w:sz="6" w:space="0"/>
              <w:right w:val="single" w:color="auto" w:sz="6" w:space="0"/>
            </w:tcBorders>
            <w:noWrap w:val="0"/>
            <w:vAlign w:val="center"/>
          </w:tcPr>
          <w:p w14:paraId="37618B5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联系人</w:t>
            </w:r>
          </w:p>
        </w:tc>
        <w:tc>
          <w:tcPr>
            <w:tcW w:w="1476" w:type="pct"/>
            <w:gridSpan w:val="3"/>
            <w:tcBorders>
              <w:top w:val="single" w:color="auto" w:sz="6" w:space="0"/>
              <w:left w:val="single" w:color="auto" w:sz="6" w:space="0"/>
              <w:bottom w:val="single" w:color="auto" w:sz="6" w:space="0"/>
              <w:right w:val="single" w:color="auto" w:sz="6" w:space="0"/>
            </w:tcBorders>
            <w:noWrap w:val="0"/>
            <w:vAlign w:val="center"/>
          </w:tcPr>
          <w:p w14:paraId="0A79B231">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1327FDB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7AACF9E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15C5B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439" w:type="pct"/>
            <w:vMerge w:val="continue"/>
            <w:tcBorders>
              <w:top w:val="single" w:color="auto" w:sz="6" w:space="0"/>
              <w:left w:val="single" w:color="auto" w:sz="4" w:space="0"/>
              <w:bottom w:val="single" w:color="auto" w:sz="6" w:space="0"/>
              <w:right w:val="single" w:color="auto" w:sz="6" w:space="0"/>
            </w:tcBorders>
            <w:noWrap w:val="0"/>
            <w:vAlign w:val="center"/>
          </w:tcPr>
          <w:p w14:paraId="5E49F5F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689" w:type="pct"/>
            <w:tcBorders>
              <w:top w:val="single" w:color="auto" w:sz="6" w:space="0"/>
              <w:left w:val="single" w:color="auto" w:sz="6" w:space="0"/>
              <w:bottom w:val="single" w:color="auto" w:sz="6" w:space="0"/>
              <w:right w:val="single" w:color="auto" w:sz="6" w:space="0"/>
            </w:tcBorders>
            <w:noWrap w:val="0"/>
            <w:vAlign w:val="center"/>
          </w:tcPr>
          <w:p w14:paraId="35E3371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传真</w:t>
            </w:r>
          </w:p>
        </w:tc>
        <w:tc>
          <w:tcPr>
            <w:tcW w:w="1476" w:type="pct"/>
            <w:gridSpan w:val="3"/>
            <w:tcBorders>
              <w:top w:val="single" w:color="auto" w:sz="6" w:space="0"/>
              <w:left w:val="single" w:color="auto" w:sz="6" w:space="0"/>
              <w:bottom w:val="single" w:color="auto" w:sz="6" w:space="0"/>
              <w:right w:val="single" w:color="auto" w:sz="6" w:space="0"/>
            </w:tcBorders>
            <w:noWrap w:val="0"/>
            <w:vAlign w:val="center"/>
          </w:tcPr>
          <w:p w14:paraId="16E7827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76728CF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网址</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3DB41D79">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3F93E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301288A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法定代表人</w:t>
            </w:r>
          </w:p>
          <w:p w14:paraId="7188083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default" w:ascii="华文中宋" w:hAnsi="华文中宋" w:eastAsia="华文中宋" w:cs="华文中宋"/>
                <w:b w:val="0"/>
                <w:bCs/>
                <w:sz w:val="24"/>
                <w:szCs w:val="24"/>
                <w:lang w:val="en-US" w:eastAsia="zh-CN"/>
              </w:rPr>
            </w:pPr>
            <w:r>
              <w:rPr>
                <w:rFonts w:hint="eastAsia" w:ascii="华文中宋" w:hAnsi="华文中宋" w:eastAsia="华文中宋" w:cs="华文中宋"/>
                <w:b w:val="0"/>
                <w:bCs/>
                <w:sz w:val="24"/>
                <w:szCs w:val="24"/>
                <w:lang w:eastAsia="zh-CN"/>
              </w:rPr>
              <w:t>（</w:t>
            </w:r>
            <w:r>
              <w:rPr>
                <w:rFonts w:hint="eastAsia" w:ascii="华文中宋" w:hAnsi="华文中宋" w:eastAsia="华文中宋" w:cs="华文中宋"/>
                <w:b w:val="0"/>
                <w:bCs/>
                <w:sz w:val="24"/>
                <w:szCs w:val="24"/>
                <w:lang w:val="en-US" w:eastAsia="zh-CN"/>
              </w:rPr>
              <w:t>负责人）</w:t>
            </w:r>
          </w:p>
        </w:tc>
        <w:tc>
          <w:tcPr>
            <w:tcW w:w="689" w:type="pct"/>
            <w:tcBorders>
              <w:top w:val="single" w:color="auto" w:sz="6" w:space="0"/>
              <w:left w:val="single" w:color="auto" w:sz="6" w:space="0"/>
              <w:bottom w:val="single" w:color="auto" w:sz="6" w:space="0"/>
              <w:right w:val="single" w:color="auto" w:sz="6" w:space="0"/>
            </w:tcBorders>
            <w:noWrap w:val="0"/>
            <w:vAlign w:val="center"/>
          </w:tcPr>
          <w:p w14:paraId="341F06C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姓名</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763C0BCA">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37" w:type="pct"/>
            <w:tcBorders>
              <w:top w:val="single" w:color="auto" w:sz="6" w:space="0"/>
              <w:left w:val="single" w:color="auto" w:sz="6" w:space="0"/>
              <w:bottom w:val="single" w:color="auto" w:sz="6" w:space="0"/>
              <w:right w:val="single" w:color="auto" w:sz="6" w:space="0"/>
            </w:tcBorders>
            <w:noWrap w:val="0"/>
            <w:vAlign w:val="center"/>
          </w:tcPr>
          <w:p w14:paraId="4823ED6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技术</w:t>
            </w:r>
          </w:p>
          <w:p w14:paraId="3B0FBF6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职称</w:t>
            </w:r>
          </w:p>
        </w:tc>
        <w:tc>
          <w:tcPr>
            <w:tcW w:w="442" w:type="pct"/>
            <w:tcBorders>
              <w:top w:val="single" w:color="auto" w:sz="6" w:space="0"/>
              <w:left w:val="single" w:color="auto" w:sz="6" w:space="0"/>
              <w:bottom w:val="single" w:color="auto" w:sz="6" w:space="0"/>
              <w:right w:val="single" w:color="auto" w:sz="6" w:space="0"/>
            </w:tcBorders>
            <w:noWrap w:val="0"/>
            <w:vAlign w:val="center"/>
          </w:tcPr>
          <w:p w14:paraId="19D36156">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57517EF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428F2B2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18D76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5CE8F3D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项目负责人</w:t>
            </w:r>
          </w:p>
        </w:tc>
        <w:tc>
          <w:tcPr>
            <w:tcW w:w="689" w:type="pct"/>
            <w:tcBorders>
              <w:top w:val="single" w:color="auto" w:sz="6" w:space="0"/>
              <w:left w:val="single" w:color="auto" w:sz="6" w:space="0"/>
              <w:bottom w:val="single" w:color="auto" w:sz="6" w:space="0"/>
              <w:right w:val="single" w:color="auto" w:sz="6" w:space="0"/>
            </w:tcBorders>
            <w:noWrap w:val="0"/>
            <w:vAlign w:val="center"/>
          </w:tcPr>
          <w:p w14:paraId="7CB3C50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姓名</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14F604DA">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37" w:type="pct"/>
            <w:tcBorders>
              <w:top w:val="single" w:color="auto" w:sz="6" w:space="0"/>
              <w:left w:val="single" w:color="auto" w:sz="6" w:space="0"/>
              <w:bottom w:val="single" w:color="auto" w:sz="6" w:space="0"/>
              <w:right w:val="single" w:color="auto" w:sz="6" w:space="0"/>
            </w:tcBorders>
            <w:noWrap w:val="0"/>
            <w:vAlign w:val="center"/>
          </w:tcPr>
          <w:p w14:paraId="756D4BB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技术</w:t>
            </w:r>
          </w:p>
          <w:p w14:paraId="54F5A8A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职称</w:t>
            </w:r>
          </w:p>
        </w:tc>
        <w:tc>
          <w:tcPr>
            <w:tcW w:w="442" w:type="pct"/>
            <w:tcBorders>
              <w:top w:val="single" w:color="auto" w:sz="6" w:space="0"/>
              <w:left w:val="single" w:color="auto" w:sz="6" w:space="0"/>
              <w:bottom w:val="single" w:color="auto" w:sz="6" w:space="0"/>
              <w:right w:val="single" w:color="auto" w:sz="6" w:space="0"/>
            </w:tcBorders>
            <w:noWrap w:val="0"/>
            <w:vAlign w:val="center"/>
          </w:tcPr>
          <w:p w14:paraId="74DF6D7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563E2B2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6EF2562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49D6B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74A876D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营业执照号</w:t>
            </w:r>
          </w:p>
        </w:tc>
        <w:tc>
          <w:tcPr>
            <w:tcW w:w="1722" w:type="pct"/>
            <w:gridSpan w:val="3"/>
            <w:tcBorders>
              <w:top w:val="single" w:color="auto" w:sz="6" w:space="0"/>
              <w:left w:val="single" w:color="auto" w:sz="6" w:space="0"/>
              <w:bottom w:val="single" w:color="auto" w:sz="6" w:space="0"/>
              <w:right w:val="single" w:color="auto" w:sz="4" w:space="0"/>
            </w:tcBorders>
            <w:noWrap w:val="0"/>
            <w:vAlign w:val="center"/>
          </w:tcPr>
          <w:p w14:paraId="246BC2A1">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1838" w:type="pct"/>
            <w:gridSpan w:val="3"/>
            <w:tcBorders>
              <w:top w:val="single" w:color="auto" w:sz="6" w:space="0"/>
              <w:left w:val="single" w:color="auto" w:sz="6" w:space="0"/>
              <w:bottom w:val="single" w:color="auto" w:sz="6" w:space="0"/>
              <w:right w:val="single" w:color="auto" w:sz="4" w:space="0"/>
            </w:tcBorders>
            <w:noWrap w:val="0"/>
            <w:vAlign w:val="center"/>
          </w:tcPr>
          <w:p w14:paraId="49545EB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员工总人数：</w:t>
            </w:r>
          </w:p>
        </w:tc>
      </w:tr>
      <w:tr w14:paraId="1CD86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4A5BD6B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注册资本</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3302176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3A032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25F4F34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成立日期</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319E0E6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6F4A4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78F8780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基本账户开户银行</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713C730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17151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02E15FE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基本账户银行账号</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7109456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4F5D4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1A5BBEE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经营范围</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4B8C48D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2B5C6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4"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1D03E78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供应商</w:t>
            </w:r>
            <w:r>
              <w:rPr>
                <w:rFonts w:hint="eastAsia" w:ascii="华文中宋" w:hAnsi="华文中宋" w:eastAsia="华文中宋" w:cs="华文中宋"/>
                <w:b w:val="0"/>
                <w:bCs/>
                <w:sz w:val="24"/>
                <w:szCs w:val="24"/>
              </w:rPr>
              <w:t>关联企业（包括但不限于与</w:t>
            </w:r>
            <w:r>
              <w:rPr>
                <w:rFonts w:hint="eastAsia" w:ascii="华文中宋" w:hAnsi="华文中宋" w:eastAsia="华文中宋" w:cs="华文中宋"/>
                <w:b w:val="0"/>
                <w:bCs/>
                <w:sz w:val="24"/>
                <w:szCs w:val="24"/>
                <w:lang w:val="en-US" w:eastAsia="zh-CN"/>
              </w:rPr>
              <w:t>供应商</w:t>
            </w:r>
            <w:r>
              <w:rPr>
                <w:rFonts w:hint="eastAsia" w:ascii="华文中宋" w:hAnsi="华文中宋" w:eastAsia="华文中宋" w:cs="华文中宋"/>
                <w:b w:val="0"/>
                <w:bCs/>
                <w:sz w:val="24"/>
                <w:szCs w:val="24"/>
              </w:rPr>
              <w:t>法定代表人为同一人或者存在控股、管理关系的不同单位）</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037671E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29A21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638464B2">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备注</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356C5E4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bl>
    <w:p w14:paraId="2D73A179">
      <w:pPr>
        <w:rPr>
          <w:rFonts w:hint="eastAsia" w:ascii="华文中宋" w:hAnsi="华文中宋" w:eastAsia="华文中宋" w:cs="华文中宋"/>
          <w:b/>
          <w:bCs/>
          <w:sz w:val="24"/>
        </w:rPr>
      </w:pPr>
      <w:r>
        <w:rPr>
          <w:rFonts w:hint="eastAsia" w:ascii="华文中宋" w:hAnsi="华文中宋" w:eastAsia="华文中宋" w:cs="华文中宋"/>
          <w:b w:val="0"/>
          <w:bCs/>
          <w:sz w:val="24"/>
          <w:szCs w:val="24"/>
          <w:lang w:val="en-US" w:eastAsia="zh-CN"/>
        </w:rPr>
        <w:t>后附：供应商营业执照</w:t>
      </w:r>
      <w:r>
        <w:rPr>
          <w:rFonts w:hint="eastAsia" w:ascii="仿宋" w:hAnsi="仿宋" w:eastAsia="仿宋" w:cs="仿宋"/>
          <w:b/>
          <w:sz w:val="28"/>
          <w:szCs w:val="28"/>
        </w:rPr>
        <w:br w:type="page"/>
      </w:r>
    </w:p>
    <w:p w14:paraId="0E840158">
      <w:pPr>
        <w:wordWrap w:val="0"/>
        <w:jc w:val="right"/>
        <w:rPr>
          <w:rFonts w:hint="eastAsia" w:ascii="宋体" w:hAnsi="宋体" w:eastAsia="宋体" w:cs="宋体"/>
          <w:b w:val="0"/>
          <w:bCs/>
          <w:sz w:val="24"/>
          <w:szCs w:val="24"/>
        </w:rPr>
      </w:pPr>
    </w:p>
    <w:tbl>
      <w:tblPr>
        <w:tblStyle w:val="24"/>
        <w:tblW w:w="9146" w:type="dxa"/>
        <w:tblInd w:w="113"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002E3A67">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noWrap/>
            <w:vAlign w:val="center"/>
          </w:tcPr>
          <w:p w14:paraId="5AA803FB">
            <w:pPr>
              <w:spacing w:line="360" w:lineRule="auto"/>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证明材料：</w:t>
            </w:r>
            <w:r>
              <w:rPr>
                <w:rFonts w:hint="eastAsia" w:ascii="宋体" w:hAnsi="宋体" w:eastAsia="宋体" w:cs="宋体"/>
                <w:b/>
                <w:color w:val="auto"/>
                <w:sz w:val="28"/>
                <w:highlight w:val="none"/>
                <w:u w:val="single"/>
              </w:rPr>
              <w:t>营业执照（或事业单位法人证书或执业许可证或自然人有效身份证明）</w:t>
            </w:r>
            <w:r>
              <w:rPr>
                <w:rFonts w:hint="eastAsia" w:ascii="宋体" w:hAnsi="宋体" w:eastAsia="宋体" w:cs="宋体"/>
                <w:color w:val="auto"/>
                <w:sz w:val="28"/>
                <w:highlight w:val="none"/>
              </w:rPr>
              <w:t>（提供复印件加盖</w:t>
            </w:r>
            <w:r>
              <w:rPr>
                <w:rFonts w:hint="eastAsia" w:ascii="宋体" w:hAnsi="宋体" w:eastAsia="宋体" w:cs="宋体"/>
                <w:color w:val="auto"/>
                <w:sz w:val="28"/>
                <w:highlight w:val="none"/>
                <w:lang w:eastAsia="zh-CN"/>
              </w:rPr>
              <w:t>磋商供应商</w:t>
            </w:r>
            <w:r>
              <w:rPr>
                <w:rFonts w:hint="eastAsia" w:ascii="宋体" w:hAnsi="宋体" w:eastAsia="宋体" w:cs="宋体"/>
                <w:color w:val="auto"/>
                <w:sz w:val="28"/>
                <w:highlight w:val="none"/>
              </w:rPr>
              <w:t>公章）</w:t>
            </w:r>
            <w:r>
              <w:rPr>
                <w:rFonts w:hint="eastAsia" w:ascii="宋体" w:hAnsi="宋体" w:eastAsia="宋体" w:cs="宋体"/>
                <w:color w:val="auto"/>
                <w:sz w:val="24"/>
                <w:highlight w:val="none"/>
              </w:rPr>
              <w:t>。</w:t>
            </w:r>
          </w:p>
          <w:p w14:paraId="12D4B374">
            <w:pPr>
              <w:spacing w:line="360" w:lineRule="auto"/>
              <w:jc w:val="left"/>
              <w:rPr>
                <w:rFonts w:hint="eastAsia" w:ascii="宋体" w:hAnsi="宋体" w:eastAsia="宋体" w:cs="宋体"/>
                <w:i/>
                <w:color w:val="auto"/>
                <w:sz w:val="24"/>
                <w:highlight w:val="none"/>
              </w:rPr>
            </w:pPr>
          </w:p>
          <w:p w14:paraId="212D90DD">
            <w:pPr>
              <w:spacing w:line="360" w:lineRule="auto"/>
              <w:jc w:val="left"/>
              <w:rPr>
                <w:rFonts w:hint="eastAsia" w:ascii="宋体" w:hAnsi="宋体" w:eastAsia="宋体" w:cs="宋体"/>
                <w:b/>
                <w:i w:val="0"/>
                <w:iCs/>
                <w:color w:val="auto"/>
                <w:sz w:val="28"/>
                <w:highlight w:val="none"/>
              </w:rPr>
            </w:pPr>
            <w:r>
              <w:rPr>
                <w:rFonts w:hint="eastAsia" w:ascii="宋体" w:hAnsi="宋体" w:eastAsia="宋体" w:cs="宋体"/>
                <w:b/>
                <w:i w:val="0"/>
                <w:iCs/>
                <w:color w:val="auto"/>
                <w:sz w:val="28"/>
                <w:highlight w:val="none"/>
              </w:rPr>
              <w:t>提示和说明：</w:t>
            </w:r>
          </w:p>
          <w:p w14:paraId="1E8609BD">
            <w:pPr>
              <w:spacing w:line="360" w:lineRule="auto"/>
              <w:ind w:firstLine="422" w:firstLineChars="151"/>
              <w:jc w:val="left"/>
              <w:rPr>
                <w:rFonts w:hint="eastAsia" w:ascii="宋体" w:hAnsi="宋体" w:eastAsia="宋体" w:cs="宋体"/>
                <w:i w:val="0"/>
                <w:iCs/>
                <w:color w:val="auto"/>
                <w:kern w:val="0"/>
                <w:sz w:val="28"/>
                <w:highlight w:val="none"/>
              </w:rPr>
            </w:pPr>
            <w:r>
              <w:rPr>
                <w:rFonts w:hint="eastAsia" w:ascii="宋体" w:hAnsi="宋体" w:eastAsia="宋体" w:cs="宋体"/>
                <w:i w:val="0"/>
                <w:iCs/>
                <w:color w:val="auto"/>
                <w:kern w:val="0"/>
                <w:sz w:val="28"/>
                <w:highlight w:val="none"/>
              </w:rPr>
              <w:t>企业或个体工商户提供有效的“营业执照”；事业单位提供有效的“事业单位法人证书”；非企业专业服务机构提供执业许可证等证明文件；自然人（中国公民）提供个人有效身份证明文件。</w:t>
            </w:r>
          </w:p>
          <w:p w14:paraId="40F7EC6A">
            <w:pPr>
              <w:pStyle w:val="5"/>
              <w:ind w:firstLine="280"/>
              <w:jc w:val="left"/>
              <w:rPr>
                <w:rFonts w:hint="eastAsia" w:ascii="宋体" w:hAnsi="宋体" w:eastAsia="宋体" w:cs="宋体"/>
                <w:i/>
                <w:color w:val="auto"/>
                <w:highlight w:val="none"/>
              </w:rPr>
            </w:pPr>
          </w:p>
        </w:tc>
      </w:tr>
    </w:tbl>
    <w:p w14:paraId="7AF367F3">
      <w:pPr>
        <w:adjustRightInd w:val="0"/>
        <w:snapToGrid w:val="0"/>
        <w:spacing w:line="480" w:lineRule="auto"/>
        <w:jc w:val="left"/>
        <w:rPr>
          <w:rFonts w:hint="eastAsia" w:ascii="宋体" w:hAnsi="宋体" w:eastAsia="宋体" w:cs="宋体"/>
          <w:color w:val="auto"/>
          <w:highlight w:val="none"/>
        </w:rPr>
      </w:pPr>
    </w:p>
    <w:p w14:paraId="54196D24">
      <w:pPr>
        <w:pStyle w:val="3"/>
        <w:rPr>
          <w:rFonts w:hint="eastAsia" w:ascii="宋体" w:hAnsi="宋体" w:eastAsia="宋体" w:cs="宋体"/>
          <w:color w:val="auto"/>
          <w:highlight w:val="none"/>
        </w:rPr>
      </w:pPr>
    </w:p>
    <w:p w14:paraId="138E18D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A34089E">
      <w:pPr>
        <w:keepNext/>
        <w:keepLines/>
        <w:spacing w:line="377" w:lineRule="auto"/>
        <w:jc w:val="left"/>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★（2）具有良好的商业信誉和健全的财务会计制度</w:t>
      </w:r>
    </w:p>
    <w:p w14:paraId="5333F3E5">
      <w:pPr>
        <w:adjustRightInd w:val="0"/>
        <w:snapToGrid w:val="0"/>
        <w:spacing w:line="48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具有良好的商业信誉和健全的财务会计制度的承诺函</w:t>
      </w:r>
    </w:p>
    <w:p w14:paraId="04BC6FBC">
      <w:pPr>
        <w:adjustRightInd w:val="0"/>
        <w:snapToGrid w:val="0"/>
        <w:spacing w:line="480" w:lineRule="auto"/>
        <w:rPr>
          <w:rFonts w:hint="eastAsia" w:ascii="宋体" w:hAnsi="宋体" w:eastAsia="宋体" w:cs="宋体"/>
          <w:b w:val="0"/>
          <w:bCs/>
          <w:sz w:val="28"/>
          <w:szCs w:val="28"/>
        </w:rPr>
      </w:pPr>
      <w:r>
        <w:rPr>
          <w:rFonts w:hint="eastAsia" w:ascii="宋体" w:hAnsi="宋体" w:eastAsia="宋体" w:cs="宋体"/>
          <w:b w:val="0"/>
          <w:bCs/>
          <w:sz w:val="28"/>
          <w:szCs w:val="28"/>
        </w:rPr>
        <w:t>致：</w:t>
      </w:r>
      <w:r>
        <w:rPr>
          <w:rFonts w:hint="eastAsia" w:ascii="宋体" w:hAnsi="宋体" w:cs="宋体"/>
          <w:b w:val="0"/>
          <w:bCs w:val="0"/>
          <w:color w:val="auto"/>
          <w:sz w:val="28"/>
          <w:szCs w:val="28"/>
          <w:highlight w:val="none"/>
          <w:u w:val="single"/>
          <w:lang w:eastAsia="zh-CN"/>
        </w:rPr>
        <w:t>山西新昱工程项目管理有限公司</w:t>
      </w:r>
    </w:p>
    <w:p w14:paraId="2316106F">
      <w:pPr>
        <w:pStyle w:val="5"/>
        <w:spacing w:line="480" w:lineRule="auto"/>
        <w:ind w:firstLine="280"/>
        <w:jc w:val="left"/>
        <w:rPr>
          <w:rFonts w:hint="eastAsia" w:ascii="宋体" w:hAnsi="宋体" w:eastAsia="宋体" w:cs="宋体"/>
          <w:b w:val="0"/>
          <w:bCs/>
          <w:sz w:val="28"/>
          <w:szCs w:val="28"/>
        </w:rPr>
      </w:pPr>
      <w:r>
        <w:rPr>
          <w:rFonts w:hint="eastAsia" w:ascii="宋体" w:hAnsi="宋体" w:eastAsia="宋体" w:cs="宋体"/>
          <w:b w:val="0"/>
          <w:bCs/>
          <w:sz w:val="28"/>
          <w:szCs w:val="28"/>
        </w:rPr>
        <w:t xml:space="preserve"> 我方参加</w:t>
      </w:r>
      <w:r>
        <w:rPr>
          <w:rFonts w:hint="eastAsia" w:ascii="宋体" w:hAnsi="宋体" w:eastAsia="宋体" w:cs="宋体"/>
          <w:b w:val="0"/>
          <w:bCs/>
          <w:sz w:val="28"/>
          <w:szCs w:val="28"/>
          <w:u w:val="single"/>
        </w:rPr>
        <w:t xml:space="preserve"> （项目名称）</w:t>
      </w:r>
      <w:r>
        <w:rPr>
          <w:rFonts w:hint="eastAsia" w:ascii="宋体" w:hAnsi="宋体" w:eastAsia="宋体" w:cs="宋体"/>
          <w:b w:val="0"/>
          <w:bCs/>
          <w:sz w:val="28"/>
          <w:szCs w:val="28"/>
        </w:rPr>
        <w:t>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w:t>
      </w:r>
      <w:r>
        <w:rPr>
          <w:rFonts w:hint="eastAsia" w:ascii="宋体" w:hAnsi="宋体" w:cs="宋体"/>
          <w:b w:val="0"/>
          <w:bCs/>
          <w:sz w:val="28"/>
          <w:szCs w:val="28"/>
          <w:lang w:val="en-US" w:eastAsia="zh-CN"/>
        </w:rPr>
        <w:t>磋商</w:t>
      </w:r>
      <w:r>
        <w:rPr>
          <w:rFonts w:hint="eastAsia" w:ascii="宋体" w:hAnsi="宋体" w:eastAsia="宋体" w:cs="宋体"/>
          <w:b w:val="0"/>
          <w:bCs/>
          <w:sz w:val="28"/>
          <w:szCs w:val="28"/>
        </w:rPr>
        <w:t>/中标（成交）/签订合同），我方对此无任何异议，并愿意承担一切后果和责任。</w:t>
      </w:r>
    </w:p>
    <w:p w14:paraId="38E68D35">
      <w:pPr>
        <w:pStyle w:val="5"/>
        <w:spacing w:line="480" w:lineRule="auto"/>
        <w:ind w:firstLine="840" w:firstLineChars="300"/>
        <w:rPr>
          <w:rFonts w:hint="eastAsia" w:ascii="宋体" w:hAnsi="宋体" w:eastAsia="宋体" w:cs="宋体"/>
          <w:b w:val="0"/>
          <w:bCs/>
          <w:sz w:val="28"/>
          <w:szCs w:val="28"/>
        </w:rPr>
      </w:pPr>
      <w:r>
        <w:rPr>
          <w:rFonts w:hint="eastAsia" w:ascii="宋体" w:hAnsi="宋体" w:eastAsia="宋体" w:cs="宋体"/>
          <w:b w:val="0"/>
          <w:bCs/>
          <w:sz w:val="28"/>
          <w:szCs w:val="28"/>
        </w:rPr>
        <w:t>特此承诺</w:t>
      </w:r>
    </w:p>
    <w:p w14:paraId="1921732B">
      <w:pPr>
        <w:pStyle w:val="5"/>
        <w:spacing w:line="480" w:lineRule="auto"/>
        <w:ind w:firstLine="840" w:firstLineChars="300"/>
        <w:jc w:val="right"/>
        <w:rPr>
          <w:rFonts w:hint="eastAsia" w:ascii="宋体" w:hAnsi="宋体" w:eastAsia="宋体" w:cs="宋体"/>
          <w:b w:val="0"/>
          <w:bCs/>
          <w:sz w:val="28"/>
          <w:szCs w:val="28"/>
        </w:rPr>
      </w:pPr>
      <w:r>
        <w:rPr>
          <w:rFonts w:hint="eastAsia" w:ascii="宋体" w:hAnsi="宋体" w:eastAsia="宋体" w:cs="宋体"/>
          <w:b w:val="0"/>
          <w:bCs/>
          <w:sz w:val="28"/>
          <w:szCs w:val="28"/>
        </w:rPr>
        <w:t>供应商名称：（加盖法人电子印章）</w:t>
      </w:r>
    </w:p>
    <w:p w14:paraId="3C970681">
      <w:pPr>
        <w:pStyle w:val="5"/>
        <w:spacing w:line="360" w:lineRule="auto"/>
        <w:ind w:firstLine="28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r>
        <w:rPr>
          <w:rFonts w:hint="eastAsia" w:ascii="宋体" w:hAnsi="宋体" w:eastAsia="宋体" w:cs="宋体"/>
          <w:color w:val="auto"/>
          <w:sz w:val="28"/>
          <w:szCs w:val="28"/>
          <w:highlight w:val="none"/>
        </w:rPr>
        <w:br w:type="page"/>
      </w:r>
      <w:r>
        <w:rPr>
          <w:rFonts w:hint="eastAsia" w:ascii="宋体" w:hAnsi="宋体" w:eastAsia="宋体" w:cs="宋体"/>
          <w:b w:val="0"/>
          <w:bCs w:val="0"/>
          <w:color w:val="auto"/>
          <w:sz w:val="28"/>
          <w:szCs w:val="28"/>
          <w:highlight w:val="none"/>
        </w:rPr>
        <w:t>★</w:t>
      </w:r>
      <w:r>
        <w:rPr>
          <w:rFonts w:hint="eastAsia" w:ascii="宋体" w:hAnsi="宋体" w:eastAsia="宋体" w:cs="宋体"/>
          <w:color w:val="auto"/>
          <w:sz w:val="28"/>
          <w:szCs w:val="28"/>
          <w:highlight w:val="none"/>
        </w:rPr>
        <w:t>（3）具有履行合同所必需的设备和专业技术能力的承诺函</w:t>
      </w:r>
    </w:p>
    <w:p w14:paraId="30B0A9FB">
      <w:pPr>
        <w:pStyle w:val="5"/>
        <w:spacing w:line="480" w:lineRule="auto"/>
        <w:ind w:firstLine="361"/>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具有履行合同所必需的设备和专业技术能力的承诺函</w:t>
      </w:r>
    </w:p>
    <w:p w14:paraId="6462E389">
      <w:pPr>
        <w:pStyle w:val="5"/>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致：</w:t>
      </w:r>
      <w:r>
        <w:rPr>
          <w:rFonts w:hint="eastAsia" w:ascii="宋体" w:hAnsi="宋体" w:cs="宋体"/>
          <w:b w:val="0"/>
          <w:bCs w:val="0"/>
          <w:color w:val="auto"/>
          <w:sz w:val="28"/>
          <w:szCs w:val="28"/>
          <w:highlight w:val="none"/>
          <w:u w:val="single"/>
          <w:lang w:eastAsia="zh-CN"/>
        </w:rPr>
        <w:t>山西新昱工程项目管理有限公司</w:t>
      </w:r>
    </w:p>
    <w:p w14:paraId="739279A3">
      <w:pPr>
        <w:pStyle w:val="5"/>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我方郑重声明，我方具有履行</w:t>
      </w:r>
      <w:r>
        <w:rPr>
          <w:rFonts w:hint="eastAsia" w:ascii="宋体" w:hAnsi="宋体" w:eastAsia="宋体" w:cs="宋体"/>
          <w:b w:val="0"/>
          <w:bCs w:val="0"/>
          <w:sz w:val="28"/>
          <w:szCs w:val="28"/>
          <w:u w:val="single"/>
        </w:rPr>
        <w:t>（项目名称；项目编号）</w:t>
      </w:r>
      <w:r>
        <w:rPr>
          <w:rFonts w:hint="eastAsia" w:ascii="宋体" w:hAnsi="宋体" w:eastAsia="宋体" w:cs="宋体"/>
          <w:b w:val="0"/>
          <w:bCs w:val="0"/>
          <w:sz w:val="28"/>
          <w:szCs w:val="28"/>
        </w:rPr>
        <w:t>合同所必需的设备和专业技术能力，如中标/成交，我方将按我方磋商响应文件承诺，保证合同顺利履行。如有虚假或隐瞒，愿意承担一切后果。</w:t>
      </w:r>
    </w:p>
    <w:p w14:paraId="6CEECBCF">
      <w:pPr>
        <w:pStyle w:val="5"/>
        <w:adjustRightInd w:val="0"/>
        <w:snapToGrid w:val="0"/>
        <w:spacing w:line="480" w:lineRule="auto"/>
        <w:ind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特此承诺</w:t>
      </w:r>
    </w:p>
    <w:p w14:paraId="68E63035">
      <w:pPr>
        <w:pStyle w:val="5"/>
        <w:adjustRightInd w:val="0"/>
        <w:snapToGrid w:val="0"/>
        <w:spacing w:line="480" w:lineRule="auto"/>
        <w:ind w:firstLine="560" w:firstLineChars="20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供应商名称：（加盖法人电子印章）</w:t>
      </w:r>
    </w:p>
    <w:p w14:paraId="4F6AC15D">
      <w:pPr>
        <w:pStyle w:val="6"/>
        <w:spacing w:before="120" w:after="120"/>
        <w:ind w:left="1400" w:hanging="560"/>
        <w:jc w:val="right"/>
        <w:rPr>
          <w:rFonts w:hint="eastAsia" w:ascii="宋体" w:hAnsi="宋体" w:eastAsia="宋体" w:cs="宋体"/>
          <w:color w:val="auto"/>
          <w:sz w:val="28"/>
          <w:szCs w:val="28"/>
          <w:highlight w:val="none"/>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A1440D0">
      <w:pPr>
        <w:pStyle w:val="6"/>
        <w:spacing w:before="120" w:after="120"/>
        <w:ind w:left="1260" w:hanging="420"/>
        <w:jc w:val="left"/>
        <w:rPr>
          <w:rFonts w:hint="eastAsia" w:ascii="宋体" w:hAnsi="宋体" w:eastAsia="宋体" w:cs="宋体"/>
          <w:color w:val="auto"/>
          <w:sz w:val="28"/>
          <w:szCs w:val="28"/>
          <w:highlight w:val="none"/>
        </w:rPr>
      </w:pPr>
    </w:p>
    <w:p w14:paraId="084F29F1">
      <w:pPr>
        <w:jc w:val="left"/>
        <w:rPr>
          <w:rFonts w:hint="eastAsia" w:ascii="宋体" w:hAnsi="宋体" w:eastAsia="宋体" w:cs="宋体"/>
          <w:b/>
          <w:bCs/>
          <w:color w:val="auto"/>
          <w:sz w:val="28"/>
          <w:szCs w:val="28"/>
          <w:highlight w:val="none"/>
        </w:rPr>
      </w:pPr>
    </w:p>
    <w:p w14:paraId="4CDBED44">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7F6650A">
      <w:pPr>
        <w:keepNext/>
        <w:keepLines/>
        <w:spacing w:line="377"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★（4）依法缴纳税收和社会保障金的承诺函</w:t>
      </w:r>
    </w:p>
    <w:p w14:paraId="2777600B">
      <w:pPr>
        <w:pStyle w:val="5"/>
        <w:spacing w:line="480" w:lineRule="auto"/>
        <w:ind w:firstLine="361"/>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依法缴纳税收和社会保障金的承诺函</w:t>
      </w:r>
    </w:p>
    <w:p w14:paraId="553DA8E1">
      <w:pPr>
        <w:pStyle w:val="5"/>
        <w:adjustRightInd w:val="0"/>
        <w:snapToGrid w:val="0"/>
        <w:spacing w:line="480" w:lineRule="auto"/>
        <w:rPr>
          <w:rFonts w:hint="eastAsia" w:ascii="宋体" w:hAnsi="宋体" w:eastAsia="宋体" w:cs="宋体"/>
          <w:b w:val="0"/>
          <w:bCs w:val="0"/>
          <w:sz w:val="28"/>
          <w:szCs w:val="28"/>
        </w:rPr>
      </w:pPr>
      <w:bookmarkStart w:id="1150" w:name="PO_3000009629_PM031_11"/>
      <w:r>
        <w:rPr>
          <w:rFonts w:hint="eastAsia" w:ascii="宋体" w:hAnsi="宋体" w:eastAsia="宋体" w:cs="宋体"/>
          <w:b w:val="0"/>
          <w:bCs w:val="0"/>
          <w:sz w:val="28"/>
          <w:szCs w:val="28"/>
          <w:u w:val="single"/>
        </w:rPr>
        <w:t>致：</w:t>
      </w:r>
      <w:bookmarkEnd w:id="1150"/>
      <w:r>
        <w:rPr>
          <w:rFonts w:hint="eastAsia" w:ascii="宋体" w:hAnsi="宋体" w:cs="宋体"/>
          <w:b w:val="0"/>
          <w:bCs w:val="0"/>
          <w:color w:val="auto"/>
          <w:sz w:val="28"/>
          <w:szCs w:val="28"/>
          <w:highlight w:val="none"/>
          <w:u w:val="single"/>
          <w:lang w:eastAsia="zh-CN"/>
        </w:rPr>
        <w:t>山西新昱工程项目管理有限公司</w:t>
      </w:r>
      <w:r>
        <w:rPr>
          <w:rFonts w:hint="eastAsia" w:ascii="宋体" w:hAnsi="宋体" w:eastAsia="宋体" w:cs="宋体"/>
          <w:b w:val="0"/>
          <w:bCs w:val="0"/>
          <w:sz w:val="28"/>
          <w:szCs w:val="28"/>
        </w:rPr>
        <w:t>：</w:t>
      </w:r>
    </w:p>
    <w:p w14:paraId="2707E22C">
      <w:pPr>
        <w:pStyle w:val="5"/>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我公司郑重声明，我公司严格依法缴纳税收和社会保障金，本文件中所提供的相关材料均真实有效，不存在虚假、造假行为。如有违反，愿承担一切责任。</w:t>
      </w:r>
    </w:p>
    <w:p w14:paraId="50EAB28E">
      <w:pPr>
        <w:pStyle w:val="5"/>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特此承诺</w:t>
      </w:r>
    </w:p>
    <w:p w14:paraId="1074EA6D">
      <w:pPr>
        <w:pStyle w:val="5"/>
        <w:adjustRightInd w:val="0"/>
        <w:snapToGrid w:val="0"/>
        <w:spacing w:line="480" w:lineRule="auto"/>
        <w:ind w:firstLine="560" w:firstLineChars="200"/>
        <w:jc w:val="right"/>
        <w:rPr>
          <w:rFonts w:hint="eastAsia" w:ascii="宋体" w:hAnsi="宋体" w:eastAsia="宋体" w:cs="宋体"/>
          <w:b w:val="0"/>
          <w:bCs w:val="0"/>
          <w:sz w:val="28"/>
          <w:szCs w:val="28"/>
          <w:u w:val="single"/>
        </w:rPr>
      </w:pPr>
      <w:r>
        <w:rPr>
          <w:rFonts w:hint="eastAsia" w:ascii="宋体" w:hAnsi="宋体" w:eastAsia="宋体" w:cs="宋体"/>
          <w:b w:val="0"/>
          <w:bCs w:val="0"/>
          <w:sz w:val="28"/>
          <w:szCs w:val="28"/>
        </w:rPr>
        <w:t>供应商名称：（加盖法人电子印章）</w:t>
      </w:r>
    </w:p>
    <w:p w14:paraId="53715E88">
      <w:pPr>
        <w:pStyle w:val="6"/>
        <w:spacing w:before="120" w:after="120"/>
        <w:ind w:left="1260" w:hanging="420"/>
        <w:jc w:val="right"/>
        <w:rPr>
          <w:rFonts w:hint="eastAsia" w:ascii="宋体" w:hAnsi="宋体" w:eastAsia="宋体" w:cs="宋体"/>
          <w:color w:val="auto"/>
          <w:sz w:val="28"/>
          <w:szCs w:val="28"/>
          <w:highlight w:val="none"/>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0CE662B">
      <w:pPr>
        <w:pStyle w:val="6"/>
        <w:spacing w:before="120" w:after="120"/>
        <w:ind w:left="1260" w:hanging="420"/>
        <w:jc w:val="left"/>
        <w:rPr>
          <w:rFonts w:hint="eastAsia" w:ascii="宋体" w:hAnsi="宋体" w:eastAsia="宋体" w:cs="宋体"/>
          <w:color w:val="auto"/>
          <w:sz w:val="28"/>
          <w:szCs w:val="28"/>
          <w:highlight w:val="none"/>
        </w:rPr>
      </w:pPr>
    </w:p>
    <w:p w14:paraId="49137713">
      <w:pPr>
        <w:pStyle w:val="6"/>
        <w:spacing w:before="120" w:after="120"/>
        <w:ind w:left="1260" w:hanging="420"/>
        <w:jc w:val="left"/>
        <w:rPr>
          <w:rFonts w:hint="eastAsia" w:ascii="宋体" w:hAnsi="宋体" w:eastAsia="宋体" w:cs="宋体"/>
          <w:color w:val="auto"/>
          <w:sz w:val="28"/>
          <w:szCs w:val="28"/>
          <w:highlight w:val="none"/>
        </w:rPr>
      </w:pPr>
    </w:p>
    <w:p w14:paraId="22249648">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008A262">
      <w:pPr>
        <w:keepNext/>
        <w:keepLines/>
        <w:spacing w:line="377"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★（5）近三年内在经营活动中没有重大违法记录的承诺函</w:t>
      </w:r>
    </w:p>
    <w:p w14:paraId="33E001DE">
      <w:pPr>
        <w:pStyle w:val="5"/>
        <w:spacing w:line="480" w:lineRule="auto"/>
        <w:jc w:val="center"/>
        <w:rPr>
          <w:rFonts w:hint="eastAsia" w:ascii="宋体" w:hAnsi="宋体" w:eastAsia="宋体" w:cs="宋体"/>
          <w:b w:val="0"/>
          <w:sz w:val="28"/>
          <w:szCs w:val="28"/>
        </w:rPr>
      </w:pPr>
      <w:r>
        <w:rPr>
          <w:rFonts w:hint="eastAsia" w:ascii="宋体" w:hAnsi="宋体" w:eastAsia="宋体" w:cs="宋体"/>
          <w:sz w:val="28"/>
          <w:szCs w:val="28"/>
        </w:rPr>
        <w:t>参加本次政府采购项目前三年内在经营活动中</w:t>
      </w:r>
    </w:p>
    <w:p w14:paraId="16F40AE6">
      <w:pPr>
        <w:pStyle w:val="5"/>
        <w:spacing w:line="480" w:lineRule="auto"/>
        <w:ind w:firstLine="361"/>
        <w:jc w:val="center"/>
        <w:rPr>
          <w:rFonts w:hint="eastAsia" w:ascii="宋体" w:hAnsi="宋体" w:eastAsia="宋体" w:cs="宋体"/>
          <w:b w:val="0"/>
          <w:sz w:val="28"/>
          <w:szCs w:val="28"/>
        </w:rPr>
      </w:pPr>
      <w:r>
        <w:rPr>
          <w:rFonts w:hint="eastAsia" w:ascii="宋体" w:hAnsi="宋体" w:eastAsia="宋体" w:cs="宋体"/>
          <w:sz w:val="28"/>
          <w:szCs w:val="28"/>
        </w:rPr>
        <w:t>没有重大违法记录的承诺函</w:t>
      </w:r>
    </w:p>
    <w:p w14:paraId="7361804F">
      <w:pPr>
        <w:pStyle w:val="5"/>
        <w:spacing w:line="600" w:lineRule="exact"/>
        <w:rPr>
          <w:rFonts w:hint="eastAsia" w:ascii="宋体" w:hAnsi="宋体" w:eastAsia="宋体" w:cs="宋体"/>
          <w:b w:val="0"/>
          <w:sz w:val="28"/>
          <w:szCs w:val="28"/>
        </w:rPr>
      </w:pPr>
      <w:bookmarkStart w:id="1151" w:name="PO_3000009629_PM031_10"/>
      <w:r>
        <w:rPr>
          <w:rFonts w:hint="eastAsia" w:ascii="宋体" w:hAnsi="宋体" w:cs="宋体"/>
          <w:b w:val="0"/>
          <w:bCs w:val="0"/>
          <w:color w:val="auto"/>
          <w:sz w:val="28"/>
          <w:szCs w:val="28"/>
          <w:highlight w:val="none"/>
          <w:u w:val="single"/>
          <w:lang w:eastAsia="zh-CN"/>
        </w:rPr>
        <w:t>山西新昱工程项目管理有限公司</w:t>
      </w:r>
      <w:r>
        <w:rPr>
          <w:rFonts w:hint="eastAsia" w:ascii="宋体" w:hAnsi="宋体" w:eastAsia="宋体" w:cs="宋体"/>
          <w:sz w:val="28"/>
          <w:szCs w:val="28"/>
        </w:rPr>
        <w:t>：</w:t>
      </w:r>
      <w:bookmarkEnd w:id="1151"/>
      <w:r>
        <w:rPr>
          <w:rFonts w:hint="eastAsia" w:ascii="宋体" w:hAnsi="宋体" w:eastAsia="宋体" w:cs="宋体"/>
          <w:b w:val="0"/>
          <w:sz w:val="28"/>
          <w:szCs w:val="28"/>
        </w:rPr>
        <w:t xml:space="preserve"> </w:t>
      </w:r>
    </w:p>
    <w:p w14:paraId="5201DFA5">
      <w:pPr>
        <w:pStyle w:val="5"/>
        <w:spacing w:line="600" w:lineRule="exact"/>
        <w:ind w:firstLine="280"/>
        <w:jc w:val="left"/>
        <w:rPr>
          <w:rFonts w:hint="eastAsia" w:ascii="宋体" w:hAnsi="宋体" w:eastAsia="宋体" w:cs="宋体"/>
          <w:b w:val="0"/>
          <w:bCs w:val="0"/>
          <w:sz w:val="28"/>
          <w:szCs w:val="28"/>
        </w:rPr>
      </w:pPr>
      <w:r>
        <w:rPr>
          <w:rFonts w:hint="eastAsia" w:ascii="宋体" w:hAnsi="宋体" w:eastAsia="宋体" w:cs="宋体"/>
          <w:sz w:val="28"/>
          <w:szCs w:val="28"/>
        </w:rPr>
        <w:t xml:space="preserve">  </w:t>
      </w:r>
      <w:r>
        <w:rPr>
          <w:rFonts w:hint="eastAsia" w:ascii="宋体" w:hAnsi="宋体" w:eastAsia="宋体" w:cs="宋体"/>
          <w:b w:val="0"/>
          <w:bCs w:val="0"/>
          <w:sz w:val="28"/>
          <w:szCs w:val="28"/>
        </w:rPr>
        <w:t>我方</w:t>
      </w:r>
      <w:r>
        <w:rPr>
          <w:rFonts w:hint="eastAsia" w:ascii="宋体" w:hAnsi="宋体" w:eastAsia="宋体" w:cs="宋体"/>
          <w:b w:val="0"/>
          <w:bCs w:val="0"/>
          <w:sz w:val="28"/>
          <w:szCs w:val="28"/>
          <w:u w:val="single"/>
        </w:rPr>
        <w:t>（磋商响应供应商名称）</w:t>
      </w:r>
      <w:r>
        <w:rPr>
          <w:rFonts w:hint="eastAsia" w:ascii="宋体" w:hAnsi="宋体" w:eastAsia="宋体" w:cs="宋体"/>
          <w:b w:val="0"/>
          <w:bCs w:val="0"/>
          <w:sz w:val="28"/>
          <w:szCs w:val="28"/>
        </w:rPr>
        <w:t>在参加本政府采购活动前三年内，在经营活动中没有重大违法记录（没有因违法经营受到刑事处罚，没有被责令停产停业、被吊销许可证或者执照、被处以较大数额罚款等行政处罚，没有因被列为失信被执行人、</w:t>
      </w:r>
      <w:r>
        <w:rPr>
          <w:rFonts w:hint="eastAsia" w:ascii="宋体" w:hAnsi="宋体" w:eastAsia="宋体" w:cs="宋体"/>
          <w:b w:val="0"/>
          <w:bCs w:val="0"/>
          <w:sz w:val="28"/>
          <w:szCs w:val="28"/>
          <w:lang w:eastAsia="zh-CN"/>
        </w:rPr>
        <w:t>重大税收违法失信主体</w:t>
      </w:r>
      <w:r>
        <w:rPr>
          <w:rFonts w:hint="eastAsia" w:ascii="宋体" w:hAnsi="宋体" w:eastAsia="宋体" w:cs="宋体"/>
          <w:b w:val="0"/>
          <w:bCs w:val="0"/>
          <w:sz w:val="28"/>
          <w:szCs w:val="28"/>
        </w:rPr>
        <w:t>、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w:t>
      </w:r>
      <w:r>
        <w:rPr>
          <w:rFonts w:hint="eastAsia" w:ascii="宋体" w:hAnsi="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p>
    <w:p w14:paraId="172DF0C2">
      <w:pPr>
        <w:pStyle w:val="5"/>
        <w:spacing w:line="600" w:lineRule="exact"/>
        <w:ind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特此承诺</w:t>
      </w:r>
    </w:p>
    <w:p w14:paraId="6FB606FD">
      <w:pPr>
        <w:pStyle w:val="5"/>
        <w:spacing w:line="480" w:lineRule="auto"/>
        <w:ind w:firstLine="560" w:firstLineChars="20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供应商名称：（加盖法人电子印章）</w:t>
      </w:r>
    </w:p>
    <w:p w14:paraId="7707A782">
      <w:pPr>
        <w:pStyle w:val="5"/>
        <w:adjustRightInd w:val="0"/>
        <w:snapToGrid w:val="0"/>
        <w:spacing w:line="480" w:lineRule="auto"/>
        <w:jc w:val="right"/>
        <w:rPr>
          <w:rFonts w:hint="eastAsia" w:ascii="宋体" w:hAnsi="宋体" w:eastAsia="宋体" w:cs="宋体"/>
          <w:b w:val="0"/>
          <w:bCs w:val="0"/>
          <w:kern w:val="0"/>
          <w:sz w:val="28"/>
          <w:szCs w:val="28"/>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344B414A">
      <w:pPr>
        <w:rPr>
          <w:rFonts w:hint="eastAsia" w:ascii="宋体" w:hAnsi="宋体" w:eastAsia="宋体" w:cs="宋体"/>
          <w:kern w:val="0"/>
          <w:sz w:val="28"/>
          <w:szCs w:val="28"/>
        </w:rPr>
      </w:pPr>
      <w:r>
        <w:rPr>
          <w:rFonts w:hint="eastAsia" w:ascii="宋体" w:hAnsi="宋体" w:eastAsia="宋体" w:cs="宋体"/>
          <w:kern w:val="0"/>
          <w:sz w:val="28"/>
          <w:szCs w:val="28"/>
        </w:rPr>
        <w:br w:type="page"/>
      </w:r>
    </w:p>
    <w:p w14:paraId="2EAD9EF5">
      <w:pPr>
        <w:jc w:val="center"/>
        <w:rPr>
          <w:rFonts w:hint="eastAsia" w:ascii="宋体" w:hAnsi="宋体" w:eastAsia="宋体" w:cs="宋体"/>
          <w:b/>
          <w:bCs/>
          <w:color w:val="auto"/>
          <w:sz w:val="24"/>
          <w:highlight w:val="none"/>
        </w:rPr>
      </w:pPr>
    </w:p>
    <w:p w14:paraId="78C7B0CB">
      <w:pPr>
        <w:keepNext/>
        <w:keepLines/>
        <w:spacing w:line="377" w:lineRule="auto"/>
        <w:jc w:val="left"/>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w:t>
      </w:r>
      <w:r>
        <w:rPr>
          <w:rFonts w:hint="eastAsia" w:ascii="宋体" w:hAnsi="宋体" w:eastAsia="宋体" w:cs="宋体"/>
          <w:b/>
          <w:bCs/>
          <w:sz w:val="28"/>
          <w:szCs w:val="28"/>
          <w:u w:val="single"/>
        </w:rPr>
        <w:t>“未被'信用中国'、'中国政府采购网'列入失信被执行人名单、</w:t>
      </w:r>
      <w:r>
        <w:rPr>
          <w:rFonts w:hint="eastAsia" w:ascii="宋体" w:hAnsi="宋体" w:eastAsia="宋体" w:cs="宋体"/>
          <w:b/>
          <w:bCs/>
          <w:sz w:val="28"/>
          <w:szCs w:val="28"/>
          <w:highlight w:val="none"/>
          <w:u w:val="single"/>
          <w:lang w:eastAsia="zh-CN"/>
        </w:rPr>
        <w:t>重大税收违法失信主体</w:t>
      </w:r>
      <w:r>
        <w:rPr>
          <w:rFonts w:hint="eastAsia" w:ascii="宋体" w:hAnsi="宋体" w:eastAsia="宋体" w:cs="宋体"/>
          <w:b/>
          <w:bCs/>
          <w:sz w:val="28"/>
          <w:szCs w:val="28"/>
          <w:u w:val="single"/>
        </w:rPr>
        <w:t>、政府采购严重违法失信行为记录名单</w:t>
      </w:r>
      <w:r>
        <w:rPr>
          <w:rFonts w:hint="eastAsia" w:ascii="宋体" w:hAnsi="宋体" w:eastAsia="宋体" w:cs="宋体"/>
          <w:b/>
          <w:bCs/>
          <w:sz w:val="28"/>
          <w:szCs w:val="28"/>
        </w:rPr>
        <w:t>”的证明材料</w:t>
      </w:r>
    </w:p>
    <w:p w14:paraId="5EDF1A3B">
      <w:pPr>
        <w:pStyle w:val="5"/>
        <w:spacing w:line="480" w:lineRule="auto"/>
        <w:ind w:firstLine="361"/>
        <w:jc w:val="center"/>
        <w:rPr>
          <w:rFonts w:hint="eastAsia" w:ascii="宋体" w:hAnsi="宋体" w:eastAsia="宋体" w:cs="宋体"/>
          <w:b w:val="0"/>
          <w:sz w:val="28"/>
          <w:szCs w:val="28"/>
        </w:rPr>
      </w:pPr>
      <w:r>
        <w:rPr>
          <w:rFonts w:hint="eastAsia" w:ascii="宋体" w:hAnsi="宋体" w:eastAsia="宋体" w:cs="宋体"/>
          <w:sz w:val="28"/>
          <w:szCs w:val="28"/>
        </w:rPr>
        <w:t>没有失信记录承诺函</w:t>
      </w:r>
    </w:p>
    <w:p w14:paraId="1F19B3EF">
      <w:pPr>
        <w:pStyle w:val="5"/>
        <w:ind w:firstLine="281"/>
        <w:jc w:val="left"/>
        <w:rPr>
          <w:rFonts w:hint="eastAsia" w:ascii="宋体" w:hAnsi="宋体" w:eastAsia="宋体" w:cs="宋体"/>
          <w:b w:val="0"/>
          <w:sz w:val="28"/>
          <w:szCs w:val="28"/>
        </w:rPr>
      </w:pPr>
      <w:bookmarkStart w:id="1152" w:name="PO_3000009629_PM031_7"/>
      <w:r>
        <w:rPr>
          <w:rFonts w:hint="eastAsia" w:ascii="宋体" w:hAnsi="宋体" w:cs="宋体"/>
          <w:b w:val="0"/>
          <w:bCs w:val="0"/>
          <w:sz w:val="28"/>
          <w:szCs w:val="28"/>
          <w:lang w:eastAsia="zh-CN"/>
        </w:rPr>
        <w:t>山西新昱工程项目管理有限公司</w:t>
      </w:r>
      <w:r>
        <w:rPr>
          <w:rFonts w:hint="eastAsia" w:ascii="宋体" w:hAnsi="宋体" w:eastAsia="宋体" w:cs="宋体"/>
          <w:sz w:val="28"/>
          <w:szCs w:val="28"/>
        </w:rPr>
        <w:t>：</w:t>
      </w:r>
      <w:bookmarkEnd w:id="1152"/>
      <w:r>
        <w:rPr>
          <w:rFonts w:hint="eastAsia" w:ascii="宋体" w:hAnsi="宋体" w:eastAsia="宋体" w:cs="宋体"/>
          <w:b w:val="0"/>
          <w:sz w:val="28"/>
          <w:szCs w:val="28"/>
        </w:rPr>
        <w:t xml:space="preserve"> </w:t>
      </w:r>
    </w:p>
    <w:p w14:paraId="3B57AA41">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到本项目磋商响应文件提交截止时间为止，我公司未被“信用中国”（www.creditchina.gov.cn）、中国政府采购网（www.ccgp.gov.cn）列入失信被执行人名单、</w:t>
      </w:r>
      <w:r>
        <w:rPr>
          <w:rFonts w:hint="eastAsia" w:ascii="宋体" w:hAnsi="宋体" w:eastAsia="宋体" w:cs="宋体"/>
          <w:kern w:val="0"/>
          <w:sz w:val="28"/>
          <w:szCs w:val="28"/>
          <w:lang w:eastAsia="zh-CN"/>
        </w:rPr>
        <w:t>重大税收违法失信主体</w:t>
      </w:r>
      <w:r>
        <w:rPr>
          <w:rFonts w:hint="eastAsia" w:ascii="宋体" w:hAnsi="宋体" w:eastAsia="宋体" w:cs="宋体"/>
          <w:kern w:val="0"/>
          <w:sz w:val="28"/>
          <w:szCs w:val="28"/>
        </w:rPr>
        <w:t>、政府采购严重违法失信行为记录名单。</w:t>
      </w:r>
    </w:p>
    <w:p w14:paraId="0F26221B">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我方上述承诺内容如有虚假或隐瞒，采购人可取消我方任何资格（投标/谈判/中标（成交）/签订合同），我方对此无任何异议，并愿意承担一切后果和责任。</w:t>
      </w:r>
    </w:p>
    <w:p w14:paraId="53CB1F99">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特此承诺</w:t>
      </w:r>
    </w:p>
    <w:p w14:paraId="1D459B9B">
      <w:pPr>
        <w:spacing w:line="360" w:lineRule="auto"/>
        <w:ind w:firstLine="565" w:firstLineChars="202"/>
        <w:jc w:val="righ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供应商名称： </w:t>
      </w:r>
      <w:r>
        <w:rPr>
          <w:rFonts w:hint="eastAsia" w:ascii="宋体" w:hAnsi="宋体" w:eastAsia="宋体" w:cs="宋体"/>
          <w:b w:val="0"/>
          <w:bCs w:val="0"/>
          <w:sz w:val="28"/>
          <w:szCs w:val="28"/>
        </w:rPr>
        <w:t>（加盖法人电子印章）</w:t>
      </w:r>
    </w:p>
    <w:p w14:paraId="4AB3FD58">
      <w:pPr>
        <w:pStyle w:val="5"/>
        <w:ind w:firstLine="210"/>
        <w:jc w:val="right"/>
        <w:rPr>
          <w:rFonts w:hint="eastAsia" w:ascii="宋体" w:hAnsi="宋体" w:eastAsia="宋体" w:cs="宋体"/>
          <w:kern w:val="0"/>
          <w:sz w:val="28"/>
          <w:szCs w:val="28"/>
        </w:rPr>
      </w:pP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E0ABA85">
      <w:pPr>
        <w:rPr>
          <w:rFonts w:hint="eastAsia" w:ascii="宋体" w:hAnsi="宋体" w:eastAsia="宋体" w:cs="宋体"/>
          <w:kern w:val="0"/>
          <w:sz w:val="28"/>
          <w:szCs w:val="28"/>
        </w:rPr>
      </w:pPr>
      <w:r>
        <w:rPr>
          <w:rFonts w:hint="eastAsia" w:ascii="宋体" w:hAnsi="宋体" w:eastAsia="宋体" w:cs="宋体"/>
          <w:kern w:val="0"/>
          <w:sz w:val="28"/>
          <w:szCs w:val="28"/>
        </w:rPr>
        <w:br w:type="page"/>
      </w:r>
    </w:p>
    <w:p w14:paraId="6954772E">
      <w:pPr>
        <w:pStyle w:val="5"/>
        <w:ind w:firstLine="21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1-3“非联合体”的证明材料</w:t>
      </w:r>
    </w:p>
    <w:p w14:paraId="5A202E54">
      <w:pPr>
        <w:pStyle w:val="5"/>
        <w:adjustRightInd w:val="0"/>
        <w:snapToGrid w:val="0"/>
        <w:spacing w:line="480" w:lineRule="auto"/>
        <w:ind w:firstLine="361"/>
        <w:jc w:val="center"/>
        <w:rPr>
          <w:rFonts w:hint="eastAsia" w:ascii="宋体" w:hAnsi="宋体" w:eastAsia="宋体" w:cs="宋体"/>
          <w:b w:val="0"/>
          <w:sz w:val="28"/>
          <w:szCs w:val="28"/>
        </w:rPr>
      </w:pPr>
      <w:r>
        <w:rPr>
          <w:rFonts w:hint="eastAsia" w:ascii="宋体" w:hAnsi="宋体" w:eastAsia="宋体" w:cs="宋体"/>
          <w:sz w:val="28"/>
          <w:szCs w:val="28"/>
        </w:rPr>
        <w:t>非联合体声明书</w:t>
      </w:r>
    </w:p>
    <w:p w14:paraId="1E2936A5">
      <w:pPr>
        <w:pStyle w:val="5"/>
        <w:keepNext/>
        <w:pageBreakBefore w:val="0"/>
        <w:widowControl w:val="0"/>
        <w:kinsoku/>
        <w:overflowPunct/>
        <w:autoSpaceDE/>
        <w:autoSpaceDN/>
        <w:bidi w:val="0"/>
        <w:adjustRightInd w:val="0"/>
        <w:snapToGrid w:val="0"/>
        <w:spacing w:before="0" w:after="0" w:line="480" w:lineRule="auto"/>
        <w:jc w:val="left"/>
        <w:textAlignment w:val="auto"/>
        <w:rPr>
          <w:rFonts w:hint="eastAsia" w:ascii="宋体" w:hAnsi="宋体" w:eastAsia="宋体" w:cs="宋体"/>
          <w:sz w:val="28"/>
          <w:szCs w:val="28"/>
        </w:rPr>
      </w:pPr>
      <w:r>
        <w:rPr>
          <w:rFonts w:hint="eastAsia" w:ascii="宋体" w:hAnsi="宋体" w:cs="宋体"/>
          <w:b w:val="0"/>
          <w:bCs w:val="0"/>
          <w:sz w:val="28"/>
          <w:szCs w:val="28"/>
          <w:lang w:eastAsia="zh-CN"/>
        </w:rPr>
        <w:t>山西新昱工程项目管理有限公司</w:t>
      </w:r>
      <w:r>
        <w:rPr>
          <w:rFonts w:hint="eastAsia" w:ascii="宋体" w:hAnsi="宋体" w:eastAsia="宋体" w:cs="宋体"/>
          <w:sz w:val="28"/>
          <w:szCs w:val="28"/>
        </w:rPr>
        <w:t>：</w:t>
      </w:r>
    </w:p>
    <w:p w14:paraId="4ED61C12">
      <w:pPr>
        <w:pStyle w:val="5"/>
        <w:keepNext/>
        <w:pageBreakBefore w:val="0"/>
        <w:widowControl w:val="0"/>
        <w:kinsoku/>
        <w:overflowPunct/>
        <w:autoSpaceDE/>
        <w:autoSpaceDN/>
        <w:bidi w:val="0"/>
        <w:adjustRightInd w:val="0"/>
        <w:snapToGrid w:val="0"/>
        <w:spacing w:before="0" w:after="0" w:line="48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我方参加 </w:t>
      </w:r>
      <w:r>
        <w:rPr>
          <w:rFonts w:hint="eastAsia" w:ascii="宋体" w:hAnsi="宋体" w:eastAsia="宋体" w:cs="宋体"/>
          <w:b w:val="0"/>
          <w:bCs w:val="0"/>
          <w:sz w:val="28"/>
          <w:szCs w:val="28"/>
          <w:u w:val="single"/>
        </w:rPr>
        <w:t xml:space="preserve">（项目名称；项目编号） </w:t>
      </w:r>
      <w:r>
        <w:rPr>
          <w:rFonts w:hint="eastAsia" w:ascii="宋体" w:hAnsi="宋体" w:eastAsia="宋体" w:cs="宋体"/>
          <w:b w:val="0"/>
          <w:bCs w:val="0"/>
          <w:sz w:val="28"/>
          <w:szCs w:val="28"/>
        </w:rPr>
        <w:t>的政府采购活动，未与其他单位组成联合体。</w:t>
      </w:r>
    </w:p>
    <w:p w14:paraId="66A85FDC">
      <w:pPr>
        <w:pStyle w:val="5"/>
        <w:keepNext/>
        <w:keepLines w:val="0"/>
        <w:pageBreakBefore w:val="0"/>
        <w:widowControl w:val="0"/>
        <w:kinsoku/>
        <w:wordWrap w:val="0"/>
        <w:overflowPunct/>
        <w:topLinePunct/>
        <w:autoSpaceDE/>
        <w:autoSpaceDN/>
        <w:bidi w:val="0"/>
        <w:adjustRightInd w:val="0"/>
        <w:snapToGrid w:val="0"/>
        <w:spacing w:before="0" w:after="0" w:line="48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我方上述声明的真实性负责，如有虚假或隐瞒，采购人可取消我方任何资格（投标/</w:t>
      </w:r>
      <w:r>
        <w:rPr>
          <w:rFonts w:hint="eastAsia" w:ascii="宋体" w:hAnsi="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p>
    <w:p w14:paraId="3C832281">
      <w:pPr>
        <w:pStyle w:val="5"/>
        <w:adjustRightInd w:val="0"/>
        <w:snapToGrid w:val="0"/>
        <w:spacing w:line="480" w:lineRule="auto"/>
        <w:ind w:firstLine="280"/>
        <w:jc w:val="left"/>
        <w:rPr>
          <w:rFonts w:hint="eastAsia" w:ascii="宋体" w:hAnsi="宋体" w:eastAsia="宋体" w:cs="宋体"/>
          <w:b w:val="0"/>
          <w:bCs w:val="0"/>
          <w:sz w:val="28"/>
          <w:szCs w:val="28"/>
        </w:rPr>
      </w:pPr>
    </w:p>
    <w:p w14:paraId="17F235F3">
      <w:pPr>
        <w:pStyle w:val="5"/>
        <w:adjustRightInd w:val="0"/>
        <w:snapToGrid w:val="0"/>
        <w:spacing w:line="480" w:lineRule="auto"/>
        <w:ind w:firstLine="28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供应商名称：（加盖法人电子印章）</w:t>
      </w:r>
    </w:p>
    <w:p w14:paraId="23B969D2">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3B25944E">
      <w:pPr>
        <w:pStyle w:val="6"/>
        <w:spacing w:before="120" w:after="120"/>
        <w:ind w:left="1260" w:hanging="420"/>
        <w:jc w:val="left"/>
        <w:rPr>
          <w:rFonts w:hint="eastAsia" w:ascii="宋体" w:hAnsi="宋体" w:eastAsia="宋体" w:cs="宋体"/>
          <w:color w:val="auto"/>
          <w:highlight w:val="none"/>
        </w:rPr>
      </w:pPr>
    </w:p>
    <w:p w14:paraId="4EF5681B">
      <w:pPr>
        <w:pStyle w:val="6"/>
        <w:spacing w:before="120" w:after="120"/>
        <w:ind w:left="1260" w:hanging="420"/>
        <w:jc w:val="left"/>
        <w:rPr>
          <w:rFonts w:hint="eastAsia" w:ascii="宋体" w:hAnsi="宋体" w:eastAsia="宋体" w:cs="宋体"/>
          <w:color w:val="auto"/>
          <w:highlight w:val="none"/>
        </w:rPr>
      </w:pPr>
    </w:p>
    <w:p w14:paraId="2A10A21B">
      <w:pPr>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br w:type="page"/>
      </w:r>
    </w:p>
    <w:p w14:paraId="69EAAD04">
      <w:pPr>
        <w:pStyle w:val="5"/>
        <w:ind w:firstLine="21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1-4“落实政府采购政策需满足的资格要求”</w:t>
      </w:r>
      <w:r>
        <w:rPr>
          <w:rFonts w:hint="eastAsia" w:ascii="宋体" w:hAnsi="宋体" w:eastAsia="宋体" w:cs="宋体"/>
          <w:b w:val="0"/>
          <w:color w:val="auto"/>
          <w:w w:val="90"/>
          <w:kern w:val="0"/>
          <w:sz w:val="28"/>
          <w:szCs w:val="28"/>
          <w:highlight w:val="none"/>
        </w:rPr>
        <w:t>的</w:t>
      </w:r>
      <w:r>
        <w:rPr>
          <w:rFonts w:hint="eastAsia" w:ascii="宋体" w:hAnsi="宋体" w:eastAsia="宋体" w:cs="宋体"/>
          <w:color w:val="auto"/>
          <w:kern w:val="0"/>
          <w:sz w:val="28"/>
          <w:szCs w:val="28"/>
          <w:highlight w:val="none"/>
        </w:rPr>
        <w:t>证明文件：</w:t>
      </w:r>
    </w:p>
    <w:p w14:paraId="1B4ADC30">
      <w:pPr>
        <w:widowControl/>
        <w:autoSpaceDE w:val="0"/>
        <w:autoSpaceDN w:val="0"/>
        <w:spacing w:line="300" w:lineRule="auto"/>
        <w:ind w:firstLine="361" w:firstLineChars="100"/>
        <w:jc w:val="center"/>
        <w:outlineLvl w:val="2"/>
        <w:rPr>
          <w:rFonts w:hint="eastAsia" w:ascii="宋体" w:hAnsi="宋体" w:eastAsia="宋体" w:cs="宋体"/>
          <w:b/>
          <w:sz w:val="36"/>
          <w:szCs w:val="36"/>
        </w:rPr>
      </w:pPr>
      <w:r>
        <w:rPr>
          <w:rFonts w:hint="eastAsia" w:ascii="宋体" w:hAnsi="宋体" w:eastAsia="宋体" w:cs="宋体"/>
          <w:b/>
          <w:sz w:val="36"/>
          <w:szCs w:val="36"/>
        </w:rPr>
        <w:t>中小企业证明文件</w:t>
      </w:r>
    </w:p>
    <w:p w14:paraId="6971DF6B">
      <w:pPr>
        <w:widowControl/>
        <w:autoSpaceDE w:val="0"/>
        <w:autoSpaceDN w:val="0"/>
        <w:spacing w:line="480" w:lineRule="auto"/>
        <w:ind w:firstLine="361" w:firstLineChars="100"/>
        <w:jc w:val="center"/>
        <w:outlineLvl w:val="2"/>
        <w:rPr>
          <w:rFonts w:hint="eastAsia" w:ascii="宋体" w:hAnsi="宋体" w:eastAsia="宋体" w:cs="宋体"/>
          <w:b/>
          <w:sz w:val="36"/>
          <w:szCs w:val="36"/>
          <w:lang w:eastAsia="zh-CN"/>
        </w:rPr>
      </w:pPr>
      <w:r>
        <w:rPr>
          <w:rFonts w:hint="eastAsia" w:ascii="宋体" w:hAnsi="宋体" w:eastAsia="宋体" w:cs="宋体"/>
          <w:b/>
          <w:sz w:val="36"/>
          <w:szCs w:val="36"/>
        </w:rPr>
        <w:t>中小企业声明函</w:t>
      </w:r>
      <w:r>
        <w:rPr>
          <w:rFonts w:hint="eastAsia" w:ascii="宋体" w:hAnsi="宋体" w:eastAsia="宋体" w:cs="宋体"/>
          <w:b/>
          <w:sz w:val="36"/>
          <w:szCs w:val="36"/>
          <w:lang w:eastAsia="zh-CN"/>
        </w:rPr>
        <w:t>（</w:t>
      </w:r>
      <w:r>
        <w:rPr>
          <w:rFonts w:hint="eastAsia" w:ascii="宋体" w:hAnsi="宋体" w:eastAsia="宋体" w:cs="宋体"/>
          <w:b/>
          <w:sz w:val="36"/>
          <w:szCs w:val="36"/>
          <w:lang w:val="en-US" w:eastAsia="zh-CN"/>
        </w:rPr>
        <w:t>工程</w:t>
      </w:r>
      <w:r>
        <w:rPr>
          <w:rFonts w:hint="eastAsia" w:ascii="宋体" w:hAnsi="宋体" w:eastAsia="宋体" w:cs="宋体"/>
          <w:b/>
          <w:sz w:val="36"/>
          <w:szCs w:val="36"/>
          <w:lang w:eastAsia="zh-CN"/>
        </w:rPr>
        <w:t>）</w:t>
      </w:r>
    </w:p>
    <w:p w14:paraId="719E4C23">
      <w:pPr>
        <w:pStyle w:val="3"/>
        <w:jc w:val="both"/>
        <w:rPr>
          <w:rFonts w:hint="eastAsia" w:ascii="宋体" w:hAnsi="宋体" w:eastAsia="宋体" w:cs="宋体"/>
          <w:sz w:val="24"/>
          <w:szCs w:val="24"/>
          <w:highlight w:val="yellow"/>
        </w:rPr>
      </w:pPr>
    </w:p>
    <w:p w14:paraId="0F294A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本公司（联合体）郑重声明，根据《政府采购促进中小企业发展管理办法》（财库﹝2020﹞46 号）的规定，本公司 （联合体）参加</w:t>
      </w:r>
      <w:r>
        <w:rPr>
          <w:rFonts w:hint="eastAsia" w:ascii="宋体" w:hAnsi="宋体" w:eastAsia="宋体" w:cs="宋体"/>
          <w:sz w:val="28"/>
          <w:szCs w:val="28"/>
          <w:u w:val="single"/>
          <w:lang w:val="en-US" w:eastAsia="zh-CN"/>
        </w:rPr>
        <w:t>（单位名称）</w:t>
      </w:r>
      <w:r>
        <w:rPr>
          <w:rFonts w:hint="eastAsia" w:ascii="宋体" w:hAnsi="宋体" w:eastAsia="宋体" w:cs="宋体"/>
          <w:sz w:val="28"/>
          <w:szCs w:val="28"/>
          <w:lang w:val="en-US" w:eastAsia="zh-CN"/>
        </w:rPr>
        <w:t>的</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lang w:val="en-US" w:eastAsia="zh-CN"/>
        </w:rPr>
        <w:t xml:space="preserve">采购活动，工程的施工单位全部为符合政策要求的中小企业。相关企业（含联合体中的中小企业、签订分包意向协议的中小企业）的具体情 况如下： </w:t>
      </w:r>
    </w:p>
    <w:p w14:paraId="031E66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1. </w:t>
      </w:r>
      <w:r>
        <w:rPr>
          <w:rFonts w:hint="eastAsia" w:ascii="宋体" w:hAnsi="宋体" w:eastAsia="宋体" w:cs="宋体"/>
          <w:sz w:val="28"/>
          <w:szCs w:val="28"/>
          <w:u w:val="single"/>
          <w:lang w:val="en-US" w:eastAsia="zh-CN"/>
        </w:rPr>
        <w:t>（标的名称）</w:t>
      </w:r>
      <w:r>
        <w:rPr>
          <w:rFonts w:hint="eastAsia" w:ascii="宋体" w:hAnsi="宋体" w:eastAsia="宋体" w:cs="宋体"/>
          <w:sz w:val="28"/>
          <w:szCs w:val="28"/>
          <w:lang w:val="en-US" w:eastAsia="zh-CN"/>
        </w:rPr>
        <w:t xml:space="preserve"> ，属于</w:t>
      </w:r>
      <w:r>
        <w:rPr>
          <w:rFonts w:hint="eastAsia" w:ascii="宋体" w:hAnsi="宋体" w:eastAsia="宋体" w:cs="宋体"/>
          <w:sz w:val="28"/>
          <w:szCs w:val="28"/>
          <w:u w:val="single"/>
          <w:lang w:val="en-US" w:eastAsia="zh-CN"/>
        </w:rPr>
        <w:t>（采购文件中明确的所属行业）</w:t>
      </w:r>
      <w:r>
        <w:rPr>
          <w:rFonts w:hint="eastAsia" w:ascii="宋体" w:hAnsi="宋体" w:eastAsia="宋体" w:cs="宋体"/>
          <w:sz w:val="28"/>
          <w:szCs w:val="28"/>
          <w:lang w:val="en-US" w:eastAsia="zh-CN"/>
        </w:rPr>
        <w:t>； 承建（承接）企业为</w:t>
      </w:r>
      <w:r>
        <w:rPr>
          <w:rFonts w:hint="eastAsia" w:ascii="宋体" w:hAnsi="宋体" w:eastAsia="宋体" w:cs="宋体"/>
          <w:sz w:val="28"/>
          <w:szCs w:val="28"/>
          <w:u w:val="single"/>
          <w:lang w:val="en-US" w:eastAsia="zh-CN"/>
        </w:rPr>
        <w:t>（企业名称）</w:t>
      </w:r>
      <w:r>
        <w:rPr>
          <w:rFonts w:hint="eastAsia" w:ascii="宋体" w:hAnsi="宋体" w:eastAsia="宋体" w:cs="宋体"/>
          <w:sz w:val="28"/>
          <w:szCs w:val="28"/>
          <w:lang w:val="en-US" w:eastAsia="zh-CN"/>
        </w:rPr>
        <w:t>，从业人员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人，营业收入为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万元，资产总额为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万元，属于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（中型企业、小型企业、微型企业）； </w:t>
      </w:r>
    </w:p>
    <w:p w14:paraId="062353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2. </w:t>
      </w:r>
      <w:r>
        <w:rPr>
          <w:rFonts w:hint="eastAsia" w:ascii="宋体" w:hAnsi="宋体" w:eastAsia="宋体" w:cs="宋体"/>
          <w:sz w:val="28"/>
          <w:szCs w:val="28"/>
          <w:u w:val="single"/>
          <w:lang w:val="en-US" w:eastAsia="zh-CN"/>
        </w:rPr>
        <w:t>（标的名称）</w:t>
      </w:r>
      <w:r>
        <w:rPr>
          <w:rFonts w:hint="eastAsia" w:ascii="宋体" w:hAnsi="宋体" w:eastAsia="宋体" w:cs="宋体"/>
          <w:sz w:val="28"/>
          <w:szCs w:val="28"/>
          <w:lang w:val="en-US" w:eastAsia="zh-CN"/>
        </w:rPr>
        <w:t xml:space="preserve"> ，属于</w:t>
      </w:r>
      <w:r>
        <w:rPr>
          <w:rFonts w:hint="eastAsia" w:ascii="宋体" w:hAnsi="宋体" w:eastAsia="宋体" w:cs="宋体"/>
          <w:sz w:val="28"/>
          <w:szCs w:val="28"/>
          <w:u w:val="single"/>
          <w:lang w:val="en-US" w:eastAsia="zh-CN"/>
        </w:rPr>
        <w:t>（采购文件中明确的所属行业）</w:t>
      </w:r>
      <w:r>
        <w:rPr>
          <w:rFonts w:hint="eastAsia" w:ascii="宋体" w:hAnsi="宋体" w:eastAsia="宋体" w:cs="宋体"/>
          <w:sz w:val="28"/>
          <w:szCs w:val="28"/>
          <w:lang w:val="en-US" w:eastAsia="zh-CN"/>
        </w:rPr>
        <w:t>； 承建（承接）企业为</w:t>
      </w:r>
      <w:r>
        <w:rPr>
          <w:rFonts w:hint="eastAsia" w:ascii="宋体" w:hAnsi="宋体" w:eastAsia="宋体" w:cs="宋体"/>
          <w:sz w:val="28"/>
          <w:szCs w:val="28"/>
          <w:u w:val="single"/>
          <w:lang w:val="en-US" w:eastAsia="zh-CN"/>
        </w:rPr>
        <w:t>（企业名称）</w:t>
      </w:r>
      <w:r>
        <w:rPr>
          <w:rFonts w:hint="eastAsia" w:ascii="宋体" w:hAnsi="宋体" w:eastAsia="宋体" w:cs="宋体"/>
          <w:sz w:val="28"/>
          <w:szCs w:val="28"/>
          <w:lang w:val="en-US" w:eastAsia="zh-CN"/>
        </w:rPr>
        <w:t>，从业人员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人，营业收入为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万元，资产总额为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万元，属于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（中型企业、小型企业、微型企业）；  </w:t>
      </w:r>
    </w:p>
    <w:p w14:paraId="4E81B5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p>
    <w:p w14:paraId="4C591A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以上企业，不属于大企业的分支机构，不存在控股股东为大企业的情形，也不存在与大企业的负责人为同一人的情形。 </w:t>
      </w:r>
    </w:p>
    <w:p w14:paraId="68F1F2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本企业对上述声明内容的真实性负责。如有虚假，将依法承担相应责任。 </w:t>
      </w:r>
    </w:p>
    <w:p w14:paraId="702790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企业名称（</w:t>
      </w:r>
      <w:r>
        <w:rPr>
          <w:rFonts w:hint="eastAsia" w:ascii="宋体" w:hAnsi="宋体" w:eastAsia="宋体" w:cs="宋体"/>
          <w:b w:val="0"/>
          <w:bCs w:val="0"/>
          <w:sz w:val="28"/>
          <w:szCs w:val="28"/>
        </w:rPr>
        <w:t>加盖法人电子印章</w:t>
      </w:r>
      <w:r>
        <w:rPr>
          <w:rFonts w:hint="eastAsia" w:ascii="宋体" w:hAnsi="宋体" w:eastAsia="宋体" w:cs="宋体"/>
          <w:sz w:val="28"/>
          <w:szCs w:val="28"/>
          <w:lang w:val="en-US" w:eastAsia="zh-CN"/>
        </w:rPr>
        <w:t xml:space="preserve">）： </w:t>
      </w:r>
    </w:p>
    <w:p w14:paraId="3B9D91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日 期： </w:t>
      </w:r>
    </w:p>
    <w:p w14:paraId="1FE29E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rPr>
      </w:pPr>
      <w:r>
        <w:rPr>
          <w:rFonts w:hint="eastAsia" w:ascii="宋体" w:hAnsi="宋体" w:eastAsia="宋体" w:cs="宋体"/>
          <w:sz w:val="28"/>
          <w:szCs w:val="28"/>
          <w:lang w:val="en-US" w:eastAsia="zh-CN"/>
        </w:rPr>
        <w:t>1 从业人员、营业收入、资产总额填报上一年度数据，无上一年度数据的新成立企业可不填报。</w:t>
      </w:r>
    </w:p>
    <w:p w14:paraId="4BBF9885">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37E6C78">
      <w:pPr>
        <w:widowControl/>
        <w:autoSpaceDE w:val="0"/>
        <w:autoSpaceDN w:val="0"/>
        <w:spacing w:line="300" w:lineRule="auto"/>
        <w:ind w:firstLine="361" w:firstLineChars="100"/>
        <w:jc w:val="center"/>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监狱企业证明文件</w:t>
      </w:r>
    </w:p>
    <w:p w14:paraId="0612E66D">
      <w:pPr>
        <w:widowControl/>
        <w:autoSpaceDE w:val="0"/>
        <w:autoSpaceDN w:val="0"/>
        <w:spacing w:line="300" w:lineRule="auto"/>
        <w:ind w:firstLine="281" w:firstLineChars="100"/>
        <w:jc w:val="center"/>
        <w:outlineLvl w:val="2"/>
        <w:rPr>
          <w:rFonts w:hint="eastAsia" w:ascii="宋体" w:hAnsi="宋体" w:eastAsia="宋体" w:cs="宋体"/>
          <w:b/>
          <w:color w:val="auto"/>
          <w:sz w:val="36"/>
          <w:szCs w:val="36"/>
          <w:highlight w:val="none"/>
        </w:rPr>
      </w:pPr>
      <w:r>
        <w:rPr>
          <w:rFonts w:hint="eastAsia" w:ascii="宋体" w:hAnsi="宋体" w:eastAsia="宋体" w:cs="宋体"/>
          <w:b/>
          <w:bCs/>
          <w:color w:val="auto"/>
          <w:sz w:val="28"/>
          <w:szCs w:val="20"/>
          <w:highlight w:val="none"/>
        </w:rPr>
        <w:t>（不属于监狱企业的无需填写）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2CCDEA3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0688" w:hRule="atLeast"/>
        </w:trPr>
        <w:tc>
          <w:tcPr>
            <w:tcW w:w="9040" w:type="dxa"/>
            <w:vAlign w:val="center"/>
          </w:tcPr>
          <w:p w14:paraId="3A7F17FD">
            <w:pPr>
              <w:spacing w:line="360" w:lineRule="auto"/>
              <w:ind w:firstLine="426" w:firstLineChars="177"/>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备注:（1）根据《关于政府采购支持监狱企业发展有关问题的通知》（财库[2014]68号）的规定，符合规定要求的供应商视同为小型和微型企业。</w:t>
            </w:r>
          </w:p>
          <w:p w14:paraId="220638B9">
            <w:pPr>
              <w:spacing w:line="360" w:lineRule="auto"/>
              <w:ind w:firstLine="426" w:firstLineChars="177"/>
              <w:jc w:val="left"/>
              <w:rPr>
                <w:rFonts w:hint="eastAsia" w:ascii="宋体" w:hAnsi="宋体" w:eastAsia="宋体" w:cs="宋体"/>
                <w:b/>
                <w:i/>
                <w:color w:val="auto"/>
                <w:kern w:val="0"/>
                <w:sz w:val="28"/>
                <w:highlight w:val="none"/>
              </w:rPr>
            </w:pPr>
            <w:r>
              <w:rPr>
                <w:rFonts w:hint="eastAsia" w:ascii="宋体" w:hAnsi="宋体" w:eastAsia="宋体" w:cs="宋体"/>
                <w:b/>
                <w:color w:val="auto"/>
                <w:sz w:val="24"/>
                <w:szCs w:val="20"/>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w:t>
            </w:r>
            <w:r>
              <w:rPr>
                <w:rFonts w:hint="eastAsia" w:ascii="宋体" w:hAnsi="宋体" w:eastAsia="宋体" w:cs="宋体"/>
                <w:b/>
                <w:color w:val="auto"/>
                <w:sz w:val="24"/>
                <w:szCs w:val="20"/>
                <w:highlight w:val="none"/>
                <w:lang w:eastAsia="zh-CN"/>
              </w:rPr>
              <w:t>磋商供应商</w:t>
            </w:r>
            <w:r>
              <w:rPr>
                <w:rFonts w:hint="eastAsia" w:ascii="宋体" w:hAnsi="宋体" w:eastAsia="宋体" w:cs="宋体"/>
                <w:b/>
                <w:color w:val="auto"/>
                <w:sz w:val="24"/>
                <w:szCs w:val="20"/>
                <w:highlight w:val="none"/>
              </w:rPr>
              <w:t>公章</w:t>
            </w:r>
          </w:p>
        </w:tc>
      </w:tr>
    </w:tbl>
    <w:p w14:paraId="613B6168">
      <w:pPr>
        <w:widowControl/>
        <w:autoSpaceDE w:val="0"/>
        <w:autoSpaceDN w:val="0"/>
        <w:spacing w:line="300" w:lineRule="auto"/>
        <w:ind w:firstLine="281" w:firstLineChars="100"/>
        <w:jc w:val="left"/>
        <w:outlineLvl w:val="2"/>
        <w:rPr>
          <w:rFonts w:hint="eastAsia" w:ascii="宋体" w:hAnsi="宋体" w:eastAsia="宋体" w:cs="宋体"/>
          <w:b/>
          <w:bCs/>
          <w:color w:val="auto"/>
          <w:sz w:val="28"/>
          <w:szCs w:val="20"/>
          <w:highlight w:val="none"/>
        </w:rPr>
      </w:pPr>
    </w:p>
    <w:p w14:paraId="09763760">
      <w:pPr>
        <w:widowControl/>
        <w:autoSpaceDE w:val="0"/>
        <w:autoSpaceDN w:val="0"/>
        <w:spacing w:line="300" w:lineRule="auto"/>
        <w:ind w:firstLine="281" w:firstLineChars="100"/>
        <w:jc w:val="left"/>
        <w:outlineLvl w:val="2"/>
        <w:rPr>
          <w:rFonts w:hint="eastAsia" w:ascii="宋体" w:hAnsi="宋体" w:eastAsia="宋体" w:cs="宋体"/>
          <w:b/>
          <w:bCs/>
          <w:color w:val="auto"/>
          <w:sz w:val="28"/>
          <w:szCs w:val="20"/>
          <w:highlight w:val="none"/>
        </w:rPr>
      </w:pPr>
    </w:p>
    <w:p w14:paraId="1FF7BA7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0EA5992">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7CF403FD">
      <w:pPr>
        <w:widowControl/>
        <w:autoSpaceDE w:val="0"/>
        <w:autoSpaceDN w:val="0"/>
        <w:adjustRightInd w:val="0"/>
        <w:snapToGrid w:val="0"/>
        <w:spacing w:line="360" w:lineRule="auto"/>
        <w:ind w:firstLine="482" w:firstLineChars="200"/>
        <w:jc w:val="center"/>
        <w:outlineLvl w:val="2"/>
        <w:rPr>
          <w:rFonts w:hint="eastAsia" w:ascii="宋体" w:hAnsi="宋体" w:eastAsia="宋体" w:cs="宋体"/>
          <w:b/>
          <w:color w:val="auto"/>
          <w:sz w:val="24"/>
          <w:szCs w:val="18"/>
          <w:highlight w:val="none"/>
        </w:rPr>
      </w:pPr>
      <w:r>
        <w:rPr>
          <w:rFonts w:hint="eastAsia" w:ascii="宋体" w:hAnsi="宋体" w:eastAsia="宋体" w:cs="宋体"/>
          <w:b/>
          <w:bCs/>
          <w:color w:val="auto"/>
          <w:sz w:val="24"/>
          <w:szCs w:val="18"/>
          <w:highlight w:val="none"/>
        </w:rPr>
        <w:t>（不属于残疾人福利性企业的无需填写）</w:t>
      </w:r>
    </w:p>
    <w:p w14:paraId="2B1934A9">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本公司郑重声明，根据《财政部民政部中国残疾人联合会关于促进残疾人就业政府采购政策的通知》（财库〔2017〕 141 号）的规定，本单位为符合条件的残疾人福利性单位，且本单位参加</w:t>
      </w:r>
      <w:r>
        <w:rPr>
          <w:rFonts w:hint="eastAsia" w:ascii="宋体" w:hAnsi="宋体" w:eastAsia="宋体" w:cs="宋体"/>
          <w:color w:val="auto"/>
          <w:sz w:val="28"/>
          <w:szCs w:val="20"/>
          <w:highlight w:val="none"/>
          <w:u w:val="single"/>
          <w:lang w:val="en-US" w:eastAsia="zh-CN"/>
        </w:rPr>
        <w:t xml:space="preserve">               </w:t>
      </w:r>
      <w:r>
        <w:rPr>
          <w:rFonts w:hint="eastAsia" w:ascii="宋体" w:hAnsi="宋体" w:eastAsia="宋体" w:cs="宋体"/>
          <w:color w:val="auto"/>
          <w:sz w:val="28"/>
          <w:szCs w:val="20"/>
          <w:highlight w:val="none"/>
        </w:rPr>
        <w:t>项目采购活动提供本单位制造的货物（由本单位承担工程/提供服务），</w:t>
      </w:r>
    </w:p>
    <w:p w14:paraId="14E84907">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本单位对上述声明的真实性负责。如有虚假，将依法承担相应责任。</w:t>
      </w:r>
    </w:p>
    <w:p w14:paraId="2F213492">
      <w:pPr>
        <w:widowControl/>
        <w:wordWrap w:val="0"/>
        <w:autoSpaceDE w:val="0"/>
        <w:autoSpaceDN w:val="0"/>
        <w:adjustRightInd w:val="0"/>
        <w:snapToGrid w:val="0"/>
        <w:spacing w:line="480" w:lineRule="auto"/>
        <w:ind w:firstLine="560" w:firstLineChars="200"/>
        <w:jc w:val="right"/>
        <w:outlineLvl w:val="2"/>
        <w:rPr>
          <w:rFonts w:hint="eastAsia" w:ascii="宋体" w:hAnsi="宋体" w:eastAsia="宋体" w:cs="宋体"/>
          <w:b w:val="0"/>
          <w:bCs w:val="0"/>
          <w:color w:val="auto"/>
          <w:sz w:val="28"/>
          <w:szCs w:val="20"/>
          <w:highlight w:val="none"/>
          <w:lang w:val="en-US" w:eastAsia="zh-CN"/>
        </w:rPr>
      </w:pPr>
      <w:r>
        <w:rPr>
          <w:rFonts w:hint="eastAsia" w:ascii="宋体" w:hAnsi="宋体" w:eastAsia="宋体" w:cs="宋体"/>
          <w:b w:val="0"/>
          <w:bCs w:val="0"/>
          <w:color w:val="auto"/>
          <w:sz w:val="28"/>
          <w:szCs w:val="20"/>
          <w:highlight w:val="none"/>
          <w:lang w:eastAsia="zh-CN"/>
        </w:rPr>
        <w:t>供应商</w:t>
      </w:r>
      <w:r>
        <w:rPr>
          <w:rFonts w:hint="eastAsia" w:ascii="宋体" w:hAnsi="宋体" w:eastAsia="宋体" w:cs="宋体"/>
          <w:b w:val="0"/>
          <w:bCs w:val="0"/>
          <w:color w:val="auto"/>
          <w:sz w:val="28"/>
          <w:szCs w:val="20"/>
          <w:highlight w:val="none"/>
        </w:rPr>
        <w:t>名称（加盖法人电子印章）：</w:t>
      </w:r>
      <w:r>
        <w:rPr>
          <w:rFonts w:hint="eastAsia" w:ascii="宋体" w:hAnsi="宋体" w:eastAsia="宋体" w:cs="宋体"/>
          <w:b w:val="0"/>
          <w:bCs w:val="0"/>
          <w:color w:val="auto"/>
          <w:sz w:val="28"/>
          <w:szCs w:val="20"/>
          <w:highlight w:val="none"/>
          <w:u w:val="single"/>
          <w:lang w:val="en-US" w:eastAsia="zh-CN"/>
        </w:rPr>
        <w:t xml:space="preserve">               </w:t>
      </w:r>
    </w:p>
    <w:p w14:paraId="5ECD5562">
      <w:pPr>
        <w:widowControl/>
        <w:wordWrap w:val="0"/>
        <w:autoSpaceDE w:val="0"/>
        <w:autoSpaceDN w:val="0"/>
        <w:adjustRightInd w:val="0"/>
        <w:snapToGrid w:val="0"/>
        <w:spacing w:line="480" w:lineRule="auto"/>
        <w:ind w:firstLine="560" w:firstLineChars="200"/>
        <w:jc w:val="right"/>
        <w:outlineLvl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日期：</w:t>
      </w:r>
      <w:r>
        <w:rPr>
          <w:rFonts w:hint="eastAsia" w:ascii="宋体" w:hAnsi="宋体" w:eastAsia="宋体" w:cs="宋体"/>
          <w:b w:val="0"/>
          <w:bCs w:val="0"/>
          <w:color w:val="auto"/>
          <w:sz w:val="28"/>
          <w:szCs w:val="28"/>
          <w:highlight w:val="none"/>
          <w:u w:val="single"/>
          <w:lang w:val="en-US" w:eastAsia="zh-CN"/>
        </w:rPr>
        <w:t xml:space="preserve">               </w:t>
      </w:r>
    </w:p>
    <w:p w14:paraId="1994C799">
      <w:pPr>
        <w:spacing w:line="360" w:lineRule="auto"/>
        <w:ind w:firstLine="426" w:firstLineChars="17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94A4D2C">
      <w:pPr>
        <w:pStyle w:val="6"/>
        <w:spacing w:before="120" w:after="120"/>
        <w:ind w:left="422" w:hanging="42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（2）残疾人福利性单位证明材料：残疾人福利性单位声明函，如提供其他残疾人福利性单位制造的货物，还须同时提供该企业的残疾人福利性单位声明函。</w:t>
      </w:r>
    </w:p>
    <w:p w14:paraId="5BE2E297">
      <w:pPr>
        <w:widowControl/>
        <w:autoSpaceDE w:val="0"/>
        <w:autoSpaceDN w:val="0"/>
        <w:adjustRightInd w:val="0"/>
        <w:snapToGrid w:val="0"/>
        <w:spacing w:line="360" w:lineRule="auto"/>
        <w:ind w:firstLine="361" w:firstLineChars="100"/>
        <w:jc w:val="left"/>
        <w:outlineLvl w:val="2"/>
        <w:rPr>
          <w:rFonts w:hint="eastAsia" w:ascii="宋体" w:hAnsi="宋体" w:eastAsia="宋体" w:cs="宋体"/>
          <w:b/>
          <w:color w:val="auto"/>
          <w:sz w:val="36"/>
          <w:szCs w:val="36"/>
          <w:highlight w:val="none"/>
        </w:rPr>
      </w:pPr>
    </w:p>
    <w:p w14:paraId="5F173585">
      <w:pPr>
        <w:pStyle w:val="3"/>
        <w:rPr>
          <w:rFonts w:hint="eastAsia" w:ascii="宋体" w:hAnsi="宋体" w:eastAsia="宋体" w:cs="宋体"/>
          <w:bCs w:val="0"/>
          <w:color w:val="auto"/>
          <w:w w:val="90"/>
          <w:sz w:val="24"/>
          <w:szCs w:val="22"/>
          <w:highlight w:val="none"/>
          <w:u w:val="single"/>
        </w:rPr>
      </w:pPr>
      <w:r>
        <w:rPr>
          <w:rFonts w:hint="eastAsia" w:ascii="宋体" w:hAnsi="宋体" w:eastAsia="宋体" w:cs="宋体"/>
          <w:color w:val="auto"/>
          <w:highlight w:val="none"/>
        </w:rPr>
        <w:br w:type="page"/>
      </w:r>
    </w:p>
    <w:p w14:paraId="1898D2BE">
      <w:pPr>
        <w:pStyle w:val="3"/>
        <w:jc w:val="left"/>
        <w:rPr>
          <w:rFonts w:hint="eastAsia" w:ascii="宋体" w:hAnsi="宋体" w:eastAsia="宋体" w:cs="宋体"/>
          <w:b/>
          <w:bCs/>
          <w:color w:val="auto"/>
          <w:w w:val="90"/>
          <w:sz w:val="28"/>
          <w:szCs w:val="28"/>
          <w:highlight w:val="none"/>
        </w:rPr>
      </w:pP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符合“本项目的特定资格要求”的证明文件：</w:t>
      </w:r>
      <w:r>
        <w:rPr>
          <w:rFonts w:hint="eastAsia" w:ascii="宋体" w:hAnsi="宋体" w:eastAsia="宋体" w:cs="宋体"/>
          <w:b/>
          <w:bCs/>
          <w:color w:val="auto"/>
          <w:w w:val="90"/>
          <w:sz w:val="28"/>
          <w:szCs w:val="28"/>
          <w:highlight w:val="none"/>
        </w:rPr>
        <w:t xml:space="preserve"> </w:t>
      </w:r>
    </w:p>
    <w:p w14:paraId="7DCF7052">
      <w:pPr>
        <w:pStyle w:val="3"/>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Cs w:val="0"/>
          <w:color w:val="000000" w:themeColor="text1"/>
          <w:sz w:val="24"/>
          <w:szCs w:val="32"/>
          <w14:textFill>
            <w14:solidFill>
              <w14:schemeClr w14:val="tx1"/>
            </w14:solidFill>
          </w14:textFill>
        </w:rPr>
        <w:t>符合“本项目的特定资格要求”的证明文件：</w:t>
      </w:r>
      <w:r>
        <w:rPr>
          <w:rFonts w:hint="eastAsia" w:ascii="宋体" w:hAnsi="宋体" w:eastAsia="宋体" w:cs="宋体"/>
          <w:color w:val="000000" w:themeColor="text1"/>
          <w:w w:val="90"/>
          <w14:textFill>
            <w14:solidFill>
              <w14:schemeClr w14:val="tx1"/>
            </w14:solidFill>
          </w14:textFill>
        </w:rPr>
        <w:t xml:space="preserve"> </w:t>
      </w:r>
    </w:p>
    <w:p w14:paraId="5D44D8AB">
      <w:pPr>
        <w:pStyle w:val="6"/>
        <w:spacing w:before="120" w:after="120"/>
        <w:ind w:left="1402" w:hanging="562"/>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★（1）资质证书</w:t>
      </w:r>
    </w:p>
    <w:tbl>
      <w:tblPr>
        <w:tblStyle w:val="24"/>
        <w:tblW w:w="0" w:type="auto"/>
        <w:tblInd w:w="113"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0A3CDC4C">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noWrap/>
            <w:vAlign w:val="center"/>
          </w:tcPr>
          <w:p w14:paraId="1FB903DD">
            <w:pPr>
              <w:pStyle w:val="6"/>
              <w:spacing w:before="120" w:after="120"/>
              <w:ind w:left="1402" w:hanging="562"/>
              <w:jc w:val="left"/>
              <w:rPr>
                <w:rFonts w:hint="eastAsia" w:ascii="宋体" w:hAnsi="宋体" w:eastAsia="宋体" w:cs="宋体"/>
                <w:b/>
                <w:i/>
                <w:iCs/>
                <w:sz w:val="28"/>
                <w:szCs w:val="28"/>
                <w:u w:val="single"/>
              </w:rPr>
            </w:pPr>
          </w:p>
        </w:tc>
      </w:tr>
    </w:tbl>
    <w:p w14:paraId="3AB3EB16">
      <w:pPr>
        <w:pStyle w:val="6"/>
        <w:spacing w:before="120" w:after="120"/>
        <w:ind w:left="1260" w:hanging="420"/>
        <w:jc w:val="left"/>
        <w:rPr>
          <w:rFonts w:hint="eastAsia" w:ascii="宋体" w:hAnsi="宋体" w:eastAsia="宋体" w:cs="宋体"/>
        </w:rPr>
      </w:pPr>
    </w:p>
    <w:p w14:paraId="776ABAF7">
      <w:pPr>
        <w:pStyle w:val="6"/>
        <w:spacing w:before="120" w:after="120"/>
        <w:ind w:left="1262" w:hanging="422"/>
        <w:jc w:val="center"/>
        <w:rPr>
          <w:rFonts w:hint="eastAsia" w:ascii="宋体" w:hAnsi="宋体" w:eastAsia="宋体" w:cs="宋体"/>
          <w:b/>
          <w:bCs/>
          <w:sz w:val="28"/>
          <w:szCs w:val="28"/>
        </w:rPr>
      </w:pPr>
      <w:r>
        <w:rPr>
          <w:rFonts w:hint="eastAsia" w:ascii="宋体" w:hAnsi="宋体" w:eastAsia="宋体" w:cs="宋体"/>
          <w:b/>
          <w:bCs/>
        </w:rPr>
        <w:t>（</w:t>
      </w:r>
      <w:r>
        <w:rPr>
          <w:rFonts w:hint="eastAsia" w:ascii="宋体" w:hAnsi="宋体" w:eastAsia="宋体" w:cs="宋体"/>
          <w:b/>
          <w:bCs/>
          <w:sz w:val="28"/>
          <w:szCs w:val="28"/>
        </w:rPr>
        <w:t>2）★“企业《安全生产许可证》”的证明材料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0AFF48E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51780989">
            <w:pPr>
              <w:pStyle w:val="6"/>
              <w:spacing w:before="120" w:after="120"/>
              <w:ind w:left="1400" w:hanging="560"/>
              <w:jc w:val="left"/>
              <w:rPr>
                <w:rFonts w:hint="eastAsia" w:ascii="宋体" w:hAnsi="宋体" w:eastAsia="宋体" w:cs="宋体"/>
                <w:i/>
                <w:sz w:val="28"/>
                <w:szCs w:val="28"/>
              </w:rPr>
            </w:pPr>
          </w:p>
        </w:tc>
      </w:tr>
    </w:tbl>
    <w:p w14:paraId="75C5324C">
      <w:pPr>
        <w:pStyle w:val="6"/>
        <w:spacing w:before="120" w:after="120"/>
        <w:ind w:left="1262" w:hanging="422"/>
        <w:jc w:val="left"/>
        <w:rPr>
          <w:rFonts w:hint="eastAsia" w:ascii="宋体" w:hAnsi="宋体" w:eastAsia="宋体" w:cs="宋体"/>
          <w:b/>
          <w:bCs/>
        </w:rPr>
        <w:sectPr>
          <w:pgSz w:w="11906" w:h="16838"/>
          <w:pgMar w:top="1440" w:right="1416" w:bottom="1440" w:left="1560" w:header="851" w:footer="992" w:gutter="0"/>
          <w:pgNumType w:fmt="decimal"/>
          <w:cols w:space="720" w:num="1"/>
          <w:docGrid w:linePitch="312" w:charSpace="0"/>
        </w:sectPr>
      </w:pPr>
    </w:p>
    <w:p w14:paraId="48ACBCCC">
      <w:pPr>
        <w:pStyle w:val="6"/>
        <w:spacing w:before="120" w:after="120"/>
        <w:ind w:left="1402" w:hanging="562"/>
        <w:jc w:val="center"/>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bidi="ar"/>
        </w:rPr>
        <w:t>本项目“拟派项目经理注册建造师资格资质”的证明材料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1E2054D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1295" w:hRule="atLeast"/>
        </w:trPr>
        <w:tc>
          <w:tcPr>
            <w:tcW w:w="9040" w:type="dxa"/>
            <w:vAlign w:val="center"/>
          </w:tcPr>
          <w:p w14:paraId="22C394D6">
            <w:pPr>
              <w:pStyle w:val="6"/>
              <w:spacing w:before="120" w:after="120"/>
              <w:ind w:left="1262" w:hanging="422"/>
              <w:jc w:val="left"/>
              <w:rPr>
                <w:rFonts w:hint="eastAsia" w:ascii="宋体" w:hAnsi="宋体" w:eastAsia="宋体" w:cs="宋体"/>
                <w:b/>
              </w:rPr>
            </w:pPr>
          </w:p>
          <w:p w14:paraId="6C5CFBB6">
            <w:pPr>
              <w:pStyle w:val="6"/>
              <w:spacing w:before="120" w:after="120"/>
              <w:ind w:left="1402" w:hanging="562"/>
              <w:jc w:val="left"/>
              <w:rPr>
                <w:rFonts w:hint="eastAsia" w:ascii="宋体" w:hAnsi="宋体" w:eastAsia="宋体" w:cs="宋体"/>
                <w:b/>
                <w:i/>
                <w:sz w:val="28"/>
                <w:szCs w:val="28"/>
              </w:rPr>
            </w:pPr>
          </w:p>
        </w:tc>
      </w:tr>
    </w:tbl>
    <w:p w14:paraId="1E67234D">
      <w:pPr>
        <w:pStyle w:val="6"/>
        <w:spacing w:before="120" w:after="120"/>
        <w:ind w:left="1260" w:hanging="420"/>
        <w:jc w:val="left"/>
        <w:rPr>
          <w:rFonts w:hint="eastAsia" w:ascii="宋体" w:hAnsi="宋体" w:eastAsia="宋体" w:cs="宋体"/>
        </w:rPr>
        <w:sectPr>
          <w:pgSz w:w="11906" w:h="16838"/>
          <w:pgMar w:top="1440" w:right="1416" w:bottom="1440" w:left="1560" w:header="851" w:footer="992" w:gutter="0"/>
          <w:pgNumType w:fmt="decimal"/>
          <w:cols w:space="720" w:num="1"/>
          <w:docGrid w:linePitch="312" w:charSpace="0"/>
        </w:sectPr>
      </w:pPr>
    </w:p>
    <w:p w14:paraId="7DA7642A">
      <w:pPr>
        <w:pStyle w:val="6"/>
        <w:spacing w:before="120" w:after="120"/>
        <w:jc w:val="both"/>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项目经理具备有效的安全生产考核合格证书</w:t>
      </w:r>
      <w:r>
        <w:rPr>
          <w:rFonts w:hint="eastAsia" w:ascii="宋体" w:hAnsi="宋体" w:eastAsia="宋体" w:cs="宋体"/>
          <w:b/>
          <w:bCs/>
          <w:sz w:val="28"/>
          <w:szCs w:val="28"/>
          <w:lang w:bidi="ar"/>
        </w:rPr>
        <w:t>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4932F4B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1295" w:hRule="atLeast"/>
        </w:trPr>
        <w:tc>
          <w:tcPr>
            <w:tcW w:w="9040" w:type="dxa"/>
            <w:vAlign w:val="center"/>
          </w:tcPr>
          <w:p w14:paraId="1D3DD036">
            <w:pPr>
              <w:pStyle w:val="6"/>
              <w:spacing w:before="120" w:after="120"/>
              <w:ind w:left="1262" w:hanging="422"/>
              <w:jc w:val="left"/>
              <w:rPr>
                <w:rFonts w:hint="eastAsia" w:ascii="宋体" w:hAnsi="宋体" w:eastAsia="宋体" w:cs="宋体"/>
                <w:b/>
              </w:rPr>
            </w:pPr>
          </w:p>
          <w:p w14:paraId="7B9B496D">
            <w:pPr>
              <w:pStyle w:val="6"/>
              <w:spacing w:before="120" w:after="120"/>
              <w:ind w:left="1402" w:hanging="562"/>
              <w:jc w:val="left"/>
              <w:rPr>
                <w:rFonts w:hint="eastAsia" w:ascii="宋体" w:hAnsi="宋体" w:eastAsia="宋体" w:cs="宋体"/>
                <w:b/>
                <w:i/>
                <w:sz w:val="28"/>
                <w:szCs w:val="28"/>
              </w:rPr>
            </w:pPr>
          </w:p>
        </w:tc>
      </w:tr>
    </w:tbl>
    <w:p w14:paraId="1DAA59F5">
      <w:pPr>
        <w:rPr>
          <w:rFonts w:hint="eastAsia" w:ascii="宋体" w:hAnsi="宋体" w:eastAsia="宋体" w:cs="宋体"/>
          <w:b/>
          <w:bCs/>
          <w:sz w:val="28"/>
          <w:szCs w:val="28"/>
        </w:rPr>
      </w:pPr>
      <w:r>
        <w:rPr>
          <w:rFonts w:hint="eastAsia" w:ascii="宋体" w:hAnsi="宋体" w:eastAsia="宋体" w:cs="宋体"/>
          <w:b/>
          <w:bCs/>
          <w:sz w:val="28"/>
          <w:szCs w:val="28"/>
        </w:rPr>
        <w:br w:type="page"/>
      </w:r>
    </w:p>
    <w:p w14:paraId="2FB88918">
      <w:pPr>
        <w:spacing w:line="276" w:lineRule="auto"/>
        <w:jc w:val="left"/>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w:t>
      </w:r>
      <w:r>
        <w:rPr>
          <w:rFonts w:hint="eastAsia" w:ascii="宋体" w:hAnsi="宋体" w:eastAsia="宋体" w:cs="宋体"/>
          <w:sz w:val="28"/>
          <w:szCs w:val="28"/>
        </w:rPr>
        <w:t>★</w:t>
      </w:r>
      <w:r>
        <w:rPr>
          <w:rFonts w:hint="eastAsia" w:ascii="宋体" w:hAnsi="宋体" w:eastAsia="宋体" w:cs="宋体"/>
          <w:b/>
          <w:bCs/>
          <w:sz w:val="28"/>
          <w:szCs w:val="28"/>
        </w:rPr>
        <w:t>磋商响应供应商出具的拟派项目经理未担任其他在建工程项目的项目经理的声明函</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68A1E6C6">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0E4B6759">
            <w:pPr>
              <w:pStyle w:val="6"/>
              <w:spacing w:before="120" w:after="120"/>
              <w:ind w:left="1402" w:hanging="562"/>
              <w:jc w:val="left"/>
              <w:rPr>
                <w:rFonts w:hint="eastAsia" w:ascii="宋体" w:hAnsi="宋体" w:eastAsia="宋体" w:cs="宋体"/>
                <w:b/>
                <w:i/>
                <w:sz w:val="28"/>
                <w:szCs w:val="28"/>
              </w:rPr>
            </w:pPr>
          </w:p>
        </w:tc>
      </w:tr>
    </w:tbl>
    <w:p w14:paraId="75BCF574">
      <w:pPr>
        <w:pStyle w:val="6"/>
        <w:spacing w:before="120" w:after="120"/>
        <w:ind w:left="1260" w:hanging="420"/>
        <w:jc w:val="left"/>
        <w:rPr>
          <w:rFonts w:hint="eastAsia" w:ascii="宋体" w:hAnsi="宋体" w:eastAsia="宋体" w:cs="宋体"/>
        </w:rPr>
      </w:pPr>
    </w:p>
    <w:p w14:paraId="646577E3">
      <w:pPr>
        <w:rPr>
          <w:rFonts w:hint="eastAsia" w:ascii="宋体" w:hAnsi="宋体" w:eastAsia="宋体" w:cs="宋体"/>
        </w:rPr>
      </w:pPr>
      <w:r>
        <w:rPr>
          <w:rFonts w:hint="eastAsia" w:ascii="宋体" w:hAnsi="宋体" w:eastAsia="宋体" w:cs="宋体"/>
        </w:rPr>
        <w:br w:type="page"/>
      </w:r>
      <w:bookmarkStart w:id="1153" w:name="_Toc30867"/>
      <w:bookmarkStart w:id="1154" w:name="_Toc81341338"/>
      <w:r>
        <w:rPr>
          <w:rFonts w:hint="eastAsia" w:ascii="宋体" w:hAnsi="宋体" w:eastAsia="宋体" w:cs="宋体"/>
          <w:b/>
          <w:bCs/>
          <w:sz w:val="28"/>
          <w:szCs w:val="28"/>
          <w:lang w:eastAsia="zh-CN" w:bidi="ar"/>
        </w:rPr>
        <w:t>（</w:t>
      </w:r>
      <w:r>
        <w:rPr>
          <w:rFonts w:hint="eastAsia" w:ascii="宋体" w:hAnsi="宋体" w:eastAsia="宋体" w:cs="宋体"/>
          <w:b/>
          <w:bCs/>
          <w:sz w:val="28"/>
          <w:szCs w:val="28"/>
          <w:lang w:val="en-US" w:eastAsia="zh-CN" w:bidi="ar"/>
        </w:rPr>
        <w:t>6</w:t>
      </w:r>
      <w:r>
        <w:rPr>
          <w:rFonts w:hint="eastAsia" w:ascii="宋体" w:hAnsi="宋体" w:eastAsia="宋体" w:cs="宋体"/>
          <w:b/>
          <w:bCs/>
          <w:sz w:val="28"/>
          <w:szCs w:val="28"/>
          <w:lang w:eastAsia="zh-CN" w:bidi="ar"/>
        </w:rPr>
        <w:t>）</w:t>
      </w:r>
      <w:r>
        <w:rPr>
          <w:rFonts w:hint="eastAsia" w:ascii="宋体" w:hAnsi="宋体" w:eastAsia="宋体" w:cs="宋体"/>
          <w:b/>
          <w:bCs/>
          <w:sz w:val="28"/>
          <w:szCs w:val="28"/>
          <w:lang w:val="en-US" w:eastAsia="zh-CN" w:bidi="ar"/>
        </w:rPr>
        <w:t>★</w:t>
      </w:r>
      <w:r>
        <w:rPr>
          <w:rFonts w:hint="eastAsia" w:ascii="宋体" w:hAnsi="宋体" w:eastAsia="宋体" w:cs="宋体"/>
          <w:b/>
          <w:bCs/>
          <w:sz w:val="28"/>
          <w:szCs w:val="28"/>
          <w:lang w:bidi="ar"/>
        </w:rPr>
        <w:t>本项目</w:t>
      </w:r>
      <w:r>
        <w:rPr>
          <w:rFonts w:hint="eastAsia" w:ascii="宋体" w:hAnsi="宋体" w:cs="宋体"/>
          <w:b/>
          <w:bCs/>
          <w:sz w:val="28"/>
          <w:szCs w:val="28"/>
          <w:lang w:eastAsia="zh-CN" w:bidi="ar"/>
        </w:rPr>
        <w:t>“</w:t>
      </w:r>
      <w:r>
        <w:rPr>
          <w:rFonts w:hint="eastAsia" w:ascii="宋体" w:hAnsi="宋体" w:eastAsia="宋体" w:cs="宋体"/>
          <w:b/>
          <w:bCs/>
          <w:sz w:val="28"/>
          <w:szCs w:val="28"/>
          <w:lang w:val="en-US" w:eastAsia="zh-CN" w:bidi="ar"/>
        </w:rPr>
        <w:t>拟派往技术负责人相关专业中级及以上职称</w:t>
      </w:r>
      <w:r>
        <w:rPr>
          <w:rFonts w:hint="eastAsia" w:ascii="宋体" w:hAnsi="宋体" w:eastAsia="宋体" w:cs="宋体"/>
          <w:b/>
          <w:bCs/>
          <w:sz w:val="28"/>
          <w:szCs w:val="28"/>
          <w:lang w:eastAsia="zh-CN" w:bidi="ar"/>
        </w:rPr>
        <w:t>”</w:t>
      </w:r>
      <w:r>
        <w:rPr>
          <w:rFonts w:hint="eastAsia" w:ascii="宋体" w:hAnsi="宋体" w:eastAsia="宋体" w:cs="宋体"/>
          <w:b/>
          <w:bCs/>
          <w:sz w:val="28"/>
          <w:szCs w:val="28"/>
          <w:lang w:bidi="ar"/>
        </w:rPr>
        <w:t>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45D306D0">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0872222F">
            <w:pPr>
              <w:rPr>
                <w:rFonts w:hint="eastAsia" w:ascii="宋体" w:hAnsi="宋体" w:eastAsia="宋体" w:cs="宋体"/>
                <w:b/>
                <w:i/>
                <w:sz w:val="28"/>
                <w:szCs w:val="28"/>
              </w:rPr>
            </w:pPr>
            <w:r>
              <w:rPr>
                <w:rFonts w:hint="eastAsia" w:ascii="宋体" w:hAnsi="宋体" w:eastAsia="宋体" w:cs="宋体"/>
                <w:bCs w:val="0"/>
                <w:color w:val="auto"/>
                <w:w w:val="90"/>
                <w:sz w:val="28"/>
                <w:szCs w:val="28"/>
                <w:highlight w:val="none"/>
                <w:lang w:val="en-US" w:eastAsia="zh-CN"/>
              </w:rPr>
              <w:br w:type="page"/>
            </w:r>
          </w:p>
        </w:tc>
      </w:tr>
    </w:tbl>
    <w:p w14:paraId="77D81F89">
      <w:pPr>
        <w:rPr>
          <w:rFonts w:hint="eastAsia" w:ascii="宋体" w:hAnsi="宋体" w:eastAsia="宋体" w:cs="宋体"/>
          <w:bCs w:val="0"/>
          <w:color w:val="auto"/>
          <w:w w:val="90"/>
          <w:sz w:val="28"/>
          <w:szCs w:val="28"/>
          <w:highlight w:val="none"/>
          <w:lang w:val="en-US" w:eastAsia="zh-CN"/>
        </w:rPr>
      </w:pPr>
    </w:p>
    <w:p w14:paraId="695CF26E">
      <w:pPr>
        <w:rPr>
          <w:rFonts w:hint="eastAsia" w:ascii="宋体" w:hAnsi="宋体" w:eastAsia="宋体" w:cs="宋体"/>
          <w:bCs w:val="0"/>
          <w:color w:val="auto"/>
          <w:w w:val="90"/>
          <w:sz w:val="28"/>
          <w:szCs w:val="28"/>
          <w:highlight w:val="none"/>
          <w:lang w:val="en-US" w:eastAsia="zh-CN"/>
        </w:rPr>
      </w:pPr>
      <w:r>
        <w:rPr>
          <w:rFonts w:hint="eastAsia" w:ascii="宋体" w:hAnsi="宋体" w:eastAsia="宋体" w:cs="宋体"/>
          <w:bCs w:val="0"/>
          <w:color w:val="auto"/>
          <w:w w:val="90"/>
          <w:sz w:val="28"/>
          <w:szCs w:val="28"/>
          <w:highlight w:val="none"/>
          <w:lang w:val="en-US" w:eastAsia="zh-CN"/>
        </w:rPr>
        <w:br w:type="page"/>
      </w:r>
    </w:p>
    <w:p w14:paraId="69B4400C">
      <w:pPr>
        <w:pStyle w:val="3"/>
        <w:jc w:val="left"/>
        <w:rPr>
          <w:rFonts w:hint="eastAsia" w:ascii="宋体" w:hAnsi="宋体" w:eastAsia="宋体" w:cs="宋体"/>
          <w:bCs w:val="0"/>
          <w:color w:val="auto"/>
          <w:w w:val="90"/>
          <w:sz w:val="28"/>
          <w:szCs w:val="28"/>
          <w:highlight w:val="none"/>
          <w:lang w:val="en-US" w:eastAsia="zh-CN"/>
        </w:rPr>
      </w:pPr>
      <w:r>
        <w:rPr>
          <w:rFonts w:hint="eastAsia" w:ascii="宋体" w:hAnsi="宋体" w:eastAsia="宋体" w:cs="宋体"/>
          <w:bCs w:val="0"/>
          <w:color w:val="auto"/>
          <w:w w:val="90"/>
          <w:sz w:val="28"/>
          <w:szCs w:val="28"/>
          <w:highlight w:val="none"/>
          <w:lang w:val="en-US" w:eastAsia="zh-CN"/>
        </w:rPr>
        <w:t>★1-6 外省企业入晋：应符合晋建市字【2016】3号文件报送企业基本信息，并将公示的企业基本信息网页截图加盖单位公章。</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67F6AABE">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57D60E6F">
            <w:pPr>
              <w:pStyle w:val="6"/>
              <w:spacing w:before="120" w:after="120"/>
              <w:ind w:left="1402" w:hanging="562"/>
              <w:jc w:val="left"/>
              <w:rPr>
                <w:rFonts w:hint="eastAsia" w:ascii="宋体" w:hAnsi="宋体" w:eastAsia="宋体" w:cs="宋体"/>
                <w:b/>
                <w:i/>
                <w:sz w:val="28"/>
                <w:szCs w:val="28"/>
              </w:rPr>
            </w:pPr>
          </w:p>
        </w:tc>
      </w:tr>
    </w:tbl>
    <w:p w14:paraId="07717BFA">
      <w:pPr>
        <w:pStyle w:val="3"/>
        <w:jc w:val="left"/>
        <w:rPr>
          <w:rFonts w:hint="eastAsia" w:ascii="宋体" w:hAnsi="宋体" w:eastAsia="宋体" w:cs="宋体"/>
          <w:bCs w:val="0"/>
          <w:color w:val="auto"/>
          <w:w w:val="90"/>
          <w:sz w:val="28"/>
          <w:szCs w:val="28"/>
          <w:highlight w:val="none"/>
          <w:lang w:val="en-US" w:eastAsia="zh-CN"/>
        </w:rPr>
      </w:pPr>
    </w:p>
    <w:p w14:paraId="23DCF61A">
      <w:pPr>
        <w:rPr>
          <w:rFonts w:hint="eastAsia" w:ascii="宋体" w:hAnsi="宋体" w:eastAsia="宋体" w:cs="宋体"/>
          <w:sz w:val="28"/>
          <w:szCs w:val="28"/>
        </w:rPr>
      </w:pPr>
      <w:r>
        <w:rPr>
          <w:rFonts w:hint="eastAsia" w:ascii="宋体" w:hAnsi="宋体" w:eastAsia="宋体" w:cs="宋体"/>
          <w:sz w:val="28"/>
          <w:szCs w:val="28"/>
        </w:rPr>
        <w:br w:type="page"/>
      </w:r>
    </w:p>
    <w:p w14:paraId="34C2C861">
      <w:pPr>
        <w:pStyle w:val="3"/>
        <w:jc w:val="left"/>
        <w:rPr>
          <w:rFonts w:hint="eastAsia" w:ascii="宋体" w:hAnsi="宋体" w:eastAsia="宋体" w:cs="宋体"/>
          <w:bCs w:val="0"/>
          <w:color w:val="auto"/>
          <w:w w:val="90"/>
          <w:sz w:val="28"/>
          <w:szCs w:val="28"/>
          <w:highlight w:val="none"/>
          <w:u w:val="single"/>
        </w:rPr>
      </w:pPr>
      <w:r>
        <w:rPr>
          <w:rFonts w:hint="eastAsia" w:ascii="宋体" w:hAnsi="宋体" w:eastAsia="宋体" w:cs="宋体"/>
          <w:sz w:val="28"/>
          <w:szCs w:val="28"/>
        </w:rPr>
        <w:t>★</w:t>
      </w:r>
      <w:r>
        <w:rPr>
          <w:rFonts w:hint="eastAsia" w:ascii="宋体" w:hAnsi="宋体" w:eastAsia="宋体" w:cs="宋体"/>
          <w:bCs w:val="0"/>
          <w:color w:val="auto"/>
          <w:w w:val="90"/>
          <w:sz w:val="28"/>
          <w:szCs w:val="28"/>
          <w:highlight w:val="none"/>
        </w:rPr>
        <w:t>1-</w:t>
      </w:r>
      <w:r>
        <w:rPr>
          <w:rFonts w:hint="eastAsia" w:ascii="宋体" w:hAnsi="宋体" w:eastAsia="宋体" w:cs="宋体"/>
          <w:bCs w:val="0"/>
          <w:color w:val="auto"/>
          <w:w w:val="90"/>
          <w:sz w:val="28"/>
          <w:szCs w:val="28"/>
          <w:highlight w:val="none"/>
          <w:lang w:val="en-US" w:eastAsia="zh-CN"/>
        </w:rPr>
        <w:t>7磋商保证金的交纳情况及开户许可证（提供磋商供应商基本存款账户信息及保证金交纳回单或回执扫描件或保函扫描件加盖磋商响应供应商公章）扫描件</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05021AF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1214A556">
            <w:pPr>
              <w:pStyle w:val="6"/>
              <w:spacing w:before="120" w:after="120"/>
              <w:ind w:left="1402" w:hanging="562"/>
              <w:jc w:val="left"/>
              <w:rPr>
                <w:rFonts w:hint="eastAsia" w:ascii="宋体" w:hAnsi="宋体" w:eastAsia="宋体" w:cs="宋体"/>
                <w:b/>
                <w:i/>
                <w:sz w:val="28"/>
                <w:szCs w:val="28"/>
              </w:rPr>
            </w:pPr>
          </w:p>
        </w:tc>
      </w:tr>
    </w:tbl>
    <w:p w14:paraId="4BF21188">
      <w:pPr>
        <w:rPr>
          <w:rFonts w:hint="eastAsia" w:ascii="宋体" w:hAnsi="宋体" w:eastAsia="宋体" w:cs="宋体"/>
          <w:color w:val="auto"/>
        </w:rPr>
      </w:pPr>
    </w:p>
    <w:p w14:paraId="7CCB30DB">
      <w:pPr>
        <w:pStyle w:val="5"/>
        <w:adjustRightInd w:val="0"/>
        <w:snapToGrid w:val="0"/>
        <w:spacing w:line="480" w:lineRule="auto"/>
        <w:jc w:val="center"/>
        <w:rPr>
          <w:rFonts w:hint="eastAsia" w:ascii="宋体" w:hAnsi="宋体" w:eastAsia="宋体" w:cs="宋体"/>
          <w:b w:val="0"/>
          <w:bCs w:val="0"/>
          <w:color w:val="auto"/>
          <w:kern w:val="0"/>
          <w:sz w:val="24"/>
          <w:highlight w:val="none"/>
        </w:rPr>
      </w:pPr>
      <w:r>
        <w:rPr>
          <w:rFonts w:hint="eastAsia" w:ascii="宋体" w:hAnsi="宋体" w:eastAsia="宋体" w:cs="宋体"/>
          <w:color w:val="auto"/>
        </w:rPr>
        <w:br w:type="page"/>
      </w:r>
      <w:r>
        <w:rPr>
          <w:rFonts w:hint="eastAsia" w:ascii="宋体" w:hAnsi="宋体" w:eastAsia="宋体" w:cs="宋体"/>
          <w:color w:val="auto"/>
        </w:rPr>
        <w:t>★1-</w:t>
      </w:r>
      <w:r>
        <w:rPr>
          <w:rFonts w:hint="eastAsia" w:ascii="宋体" w:hAnsi="宋体" w:cs="宋体"/>
          <w:color w:val="auto"/>
          <w:lang w:val="en-US" w:eastAsia="zh-CN"/>
        </w:rPr>
        <w:t>8</w:t>
      </w:r>
      <w:r>
        <w:rPr>
          <w:rFonts w:hint="eastAsia" w:ascii="宋体" w:hAnsi="宋体" w:eastAsia="宋体" w:cs="宋体"/>
          <w:b/>
          <w:bCs/>
          <w:color w:val="auto"/>
          <w:kern w:val="0"/>
          <w:sz w:val="28"/>
          <w:szCs w:val="28"/>
          <w:highlight w:val="none"/>
        </w:rPr>
        <w:t>“与采购人不存在利害关系及其他违规行为”的证明材料</w:t>
      </w:r>
    </w:p>
    <w:p w14:paraId="079A3567">
      <w:pPr>
        <w:pStyle w:val="5"/>
        <w:ind w:firstLine="400"/>
        <w:jc w:val="center"/>
        <w:rPr>
          <w:rFonts w:hint="eastAsia"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《政府采购活动承诺书》</w:t>
      </w:r>
    </w:p>
    <w:p w14:paraId="62599A72">
      <w:pPr>
        <w:spacing w:line="360" w:lineRule="auto"/>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b w:val="0"/>
          <w:bCs w:val="0"/>
          <w:color w:val="auto"/>
          <w:sz w:val="28"/>
          <w:szCs w:val="28"/>
          <w:highlight w:val="none"/>
          <w:u w:val="single"/>
          <w:lang w:eastAsia="zh-CN"/>
        </w:rPr>
        <w:t>山西新昱工程项目管理有限公司</w:t>
      </w:r>
      <w:r>
        <w:rPr>
          <w:rFonts w:hint="eastAsia" w:ascii="宋体" w:hAnsi="宋体" w:eastAsia="宋体" w:cs="宋体"/>
          <w:color w:val="000000" w:themeColor="text1"/>
          <w:kern w:val="0"/>
          <w:sz w:val="28"/>
          <w:szCs w:val="28"/>
          <w14:textFill>
            <w14:solidFill>
              <w14:schemeClr w14:val="tx1"/>
            </w14:solidFill>
          </w14:textFill>
        </w:rPr>
        <w:t>：</w:t>
      </w:r>
    </w:p>
    <w:p w14:paraId="68EF7F2B">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我方参加 </w:t>
      </w:r>
      <w:r>
        <w:rPr>
          <w:rFonts w:hint="eastAsia" w:ascii="宋体" w:hAnsi="宋体" w:eastAsia="宋体" w:cs="宋体"/>
          <w:b/>
          <w:color w:val="000000" w:themeColor="text1"/>
          <w:kern w:val="0"/>
          <w:sz w:val="28"/>
          <w:szCs w:val="28"/>
          <w:u w:val="single"/>
          <w14:textFill>
            <w14:solidFill>
              <w14:schemeClr w14:val="tx1"/>
            </w14:solidFill>
          </w14:textFill>
        </w:rPr>
        <w:t>（项目名称；项目编号）</w:t>
      </w:r>
      <w:r>
        <w:rPr>
          <w:rFonts w:hint="eastAsia" w:ascii="宋体" w:hAnsi="宋体" w:eastAsia="宋体" w:cs="宋体"/>
          <w:color w:val="000000" w:themeColor="text1"/>
          <w:kern w:val="0"/>
          <w:sz w:val="28"/>
          <w:szCs w:val="28"/>
          <w14:textFill>
            <w14:solidFill>
              <w14:schemeClr w14:val="tx1"/>
            </w14:solidFill>
          </w14:textFill>
        </w:rPr>
        <w:t>的政府采购活动，就有关公平竞争事项郑重声明如下：</w:t>
      </w:r>
    </w:p>
    <w:p w14:paraId="338F2A99">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本单位与采购人之间：</w:t>
      </w:r>
    </w:p>
    <w:p w14:paraId="38A6E4D1">
      <w:pPr>
        <w:spacing w:line="360" w:lineRule="auto"/>
        <w:ind w:firstLine="495" w:firstLineChars="177"/>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□不存在利害关系/□存在下列利害关系：</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6CB5482F">
      <w:pPr>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A.投资关系；B.行政隶属关系；C.业务指导关系；D.其他可能影响采购公正的利害关系：（如有，请如实说明）</w:t>
      </w:r>
      <w:r>
        <w:rPr>
          <w:rFonts w:hint="eastAsia" w:ascii="宋体" w:hAnsi="宋体" w:eastAsia="宋体" w:cs="宋体"/>
          <w:color w:val="000000" w:themeColor="text1"/>
          <w:kern w:val="0"/>
          <w:sz w:val="28"/>
          <w:szCs w:val="28"/>
          <w:u w:val="single"/>
          <w14:textFill>
            <w14:solidFill>
              <w14:schemeClr w14:val="tx1"/>
            </w14:solidFill>
          </w14:textFill>
        </w:rPr>
        <w:t xml:space="preserve">                       </w:t>
      </w:r>
    </w:p>
    <w:p w14:paraId="4B0209F1">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本单位与其他供应商之间：</w:t>
      </w:r>
    </w:p>
    <w:p w14:paraId="50C9907E">
      <w:pPr>
        <w:spacing w:line="360" w:lineRule="auto"/>
        <w:ind w:firstLine="495" w:firstLineChars="177"/>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□不存在围标串标行为/□存在围标串标行为：</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40C3EA08">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现已清楚知道并承诺严格遵守政府采购法律法规，严格按照竞争性磋商文件规定签署本承诺书，如有任何存在围标串标行为，将自行承担一切法律后果。</w:t>
      </w:r>
    </w:p>
    <w:p w14:paraId="7926BB78">
      <w:pPr>
        <w:spacing w:line="360" w:lineRule="auto"/>
        <w:ind w:firstLine="495" w:firstLineChars="177"/>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特此承诺</w:t>
      </w:r>
    </w:p>
    <w:p w14:paraId="745167BB">
      <w:pPr>
        <w:pStyle w:val="3"/>
        <w:rPr>
          <w:rFonts w:hint="eastAsia" w:ascii="宋体" w:hAnsi="宋体" w:eastAsia="宋体" w:cs="宋体"/>
          <w:color w:val="000000" w:themeColor="text1"/>
          <w:sz w:val="28"/>
          <w:szCs w:val="28"/>
          <w14:textFill>
            <w14:solidFill>
              <w14:schemeClr w14:val="tx1"/>
            </w14:solidFill>
          </w14:textFill>
        </w:rPr>
      </w:pPr>
    </w:p>
    <w:p w14:paraId="3997875A">
      <w:pPr>
        <w:snapToGrid w:val="0"/>
        <w:spacing w:line="360" w:lineRule="auto"/>
        <w:ind w:firstLine="495" w:firstLineChars="177"/>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w:t>
      </w:r>
      <w:r>
        <w:rPr>
          <w:rFonts w:hint="eastAsia" w:ascii="宋体" w:hAnsi="宋体" w:eastAsia="宋体" w:cs="宋体"/>
          <w:sz w:val="28"/>
          <w:szCs w:val="28"/>
        </w:rPr>
        <w:t>（加盖法人电子印章）</w:t>
      </w:r>
    </w:p>
    <w:p w14:paraId="4135C70E">
      <w:pPr>
        <w:jc w:val="right"/>
        <w:rPr>
          <w:rFonts w:hint="eastAsia" w:ascii="宋体" w:hAnsi="宋体" w:eastAsia="宋体" w:cs="宋体"/>
          <w:color w:val="auto"/>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r>
        <w:rPr>
          <w:rFonts w:hint="eastAsia" w:ascii="宋体" w:hAnsi="宋体" w:eastAsia="宋体" w:cs="宋体"/>
          <w:color w:val="auto"/>
        </w:rPr>
        <w:br w:type="page"/>
      </w:r>
    </w:p>
    <w:p w14:paraId="3A11D355">
      <w:pPr>
        <w:pStyle w:val="22"/>
        <w:rPr>
          <w:rFonts w:hint="eastAsia"/>
        </w:rPr>
      </w:pPr>
    </w:p>
    <w:p w14:paraId="0059DEC1">
      <w:pPr>
        <w:pStyle w:val="4"/>
        <w:jc w:val="left"/>
        <w:rPr>
          <w:rFonts w:hint="eastAsia" w:ascii="宋体" w:hAnsi="宋体" w:eastAsia="宋体" w:cs="宋体"/>
          <w:color w:val="auto"/>
        </w:rPr>
      </w:pPr>
      <w:r>
        <w:rPr>
          <w:rFonts w:hint="eastAsia" w:ascii="宋体" w:hAnsi="宋体" w:eastAsia="宋体" w:cs="宋体"/>
          <w:color w:val="auto"/>
        </w:rPr>
        <w:t>二、商务技术文件部分格式</w:t>
      </w:r>
      <w:bookmarkEnd w:id="1153"/>
      <w:bookmarkEnd w:id="1154"/>
    </w:p>
    <w:p w14:paraId="45DFFCFE">
      <w:pPr>
        <w:tabs>
          <w:tab w:val="left" w:pos="2580"/>
          <w:tab w:val="left" w:pos="5940"/>
        </w:tabs>
        <w:autoSpaceDE w:val="0"/>
        <w:autoSpaceDN w:val="0"/>
        <w:adjustRightInd w:val="0"/>
        <w:spacing w:line="360" w:lineRule="auto"/>
        <w:ind w:right="-20"/>
        <w:jc w:val="left"/>
        <w:rPr>
          <w:rFonts w:hint="eastAsia" w:ascii="宋体" w:hAnsi="宋体" w:eastAsia="宋体" w:cs="宋体"/>
          <w:color w:val="auto"/>
          <w:kern w:val="0"/>
          <w:sz w:val="28"/>
        </w:rPr>
      </w:pPr>
    </w:p>
    <w:p w14:paraId="58F7628D">
      <w:pPr>
        <w:tabs>
          <w:tab w:val="left" w:pos="2580"/>
          <w:tab w:val="left" w:pos="5940"/>
        </w:tabs>
        <w:autoSpaceDE w:val="0"/>
        <w:autoSpaceDN w:val="0"/>
        <w:adjustRightInd w:val="0"/>
        <w:snapToGrid w:val="0"/>
        <w:spacing w:line="360" w:lineRule="auto"/>
        <w:ind w:left="945" w:leftChars="450" w:right="-20"/>
        <w:jc w:val="left"/>
        <w:rPr>
          <w:rFonts w:hint="eastAsia" w:ascii="宋体" w:hAnsi="宋体" w:eastAsia="宋体" w:cs="宋体"/>
          <w:color w:val="auto"/>
          <w:kern w:val="0"/>
          <w:sz w:val="28"/>
        </w:rPr>
      </w:pPr>
    </w:p>
    <w:p w14:paraId="28DC5D5C">
      <w:pPr>
        <w:tabs>
          <w:tab w:val="left" w:pos="2580"/>
          <w:tab w:val="left" w:pos="5940"/>
        </w:tabs>
        <w:autoSpaceDE w:val="0"/>
        <w:autoSpaceDN w:val="0"/>
        <w:adjustRightInd w:val="0"/>
        <w:snapToGrid w:val="0"/>
        <w:spacing w:line="360" w:lineRule="auto"/>
        <w:ind w:right="-20" w:firstLine="1400" w:firstLineChars="500"/>
        <w:jc w:val="left"/>
        <w:rPr>
          <w:rFonts w:hint="eastAsia" w:ascii="宋体" w:hAnsi="宋体" w:eastAsia="宋体" w:cs="宋体"/>
          <w:color w:val="auto"/>
          <w:kern w:val="0"/>
          <w:sz w:val="28"/>
          <w:lang w:val="en-US" w:eastAsia="zh-CN"/>
        </w:rPr>
      </w:pPr>
      <w:r>
        <w:rPr>
          <w:rFonts w:hint="eastAsia" w:ascii="宋体" w:hAnsi="宋体" w:eastAsia="宋体" w:cs="宋体"/>
          <w:color w:val="auto"/>
          <w:kern w:val="0"/>
          <w:sz w:val="28"/>
        </w:rPr>
        <w:t>项目名称：</w:t>
      </w:r>
      <w:r>
        <w:rPr>
          <w:rFonts w:hint="eastAsia" w:ascii="宋体" w:hAnsi="宋体" w:cs="宋体"/>
          <w:color w:val="auto"/>
          <w:kern w:val="0"/>
          <w:sz w:val="28"/>
          <w:lang w:val="en-US" w:eastAsia="zh-CN"/>
        </w:rPr>
        <w:t>太古镇2026年蔬菜大棚新建改造项目</w:t>
      </w:r>
    </w:p>
    <w:p w14:paraId="2B2810F1">
      <w:pPr>
        <w:tabs>
          <w:tab w:val="left" w:pos="2580"/>
          <w:tab w:val="left" w:pos="5940"/>
        </w:tabs>
        <w:autoSpaceDE w:val="0"/>
        <w:autoSpaceDN w:val="0"/>
        <w:adjustRightInd w:val="0"/>
        <w:snapToGrid w:val="0"/>
        <w:spacing w:line="360" w:lineRule="auto"/>
        <w:ind w:left="945" w:leftChars="450" w:right="-20"/>
        <w:jc w:val="left"/>
        <w:rPr>
          <w:rFonts w:hint="eastAsia" w:ascii="宋体" w:hAnsi="宋体" w:eastAsia="宋体" w:cs="宋体"/>
          <w:b/>
          <w:bCs/>
          <w:color w:val="auto"/>
          <w:kern w:val="0"/>
          <w:sz w:val="28"/>
        </w:rPr>
      </w:pPr>
    </w:p>
    <w:p w14:paraId="477FF2EC">
      <w:pPr>
        <w:tabs>
          <w:tab w:val="left" w:pos="2580"/>
          <w:tab w:val="left" w:pos="5940"/>
        </w:tabs>
        <w:autoSpaceDE w:val="0"/>
        <w:autoSpaceDN w:val="0"/>
        <w:adjustRightInd w:val="0"/>
        <w:snapToGrid w:val="0"/>
        <w:spacing w:line="360" w:lineRule="auto"/>
        <w:ind w:left="945" w:leftChars="450" w:right="-20" w:firstLine="560" w:firstLineChars="200"/>
        <w:jc w:val="left"/>
        <w:rPr>
          <w:rFonts w:hint="eastAsia" w:ascii="宋体" w:hAnsi="宋体" w:eastAsia="宋体" w:cs="宋体"/>
          <w:color w:val="auto"/>
          <w:kern w:val="0"/>
          <w:sz w:val="28"/>
          <w:lang w:val="en-US" w:eastAsia="zh-CN"/>
        </w:rPr>
      </w:pPr>
      <w:r>
        <w:rPr>
          <w:rFonts w:hint="eastAsia" w:ascii="宋体" w:hAnsi="宋体" w:eastAsia="宋体" w:cs="宋体"/>
          <w:color w:val="auto"/>
          <w:kern w:val="0"/>
          <w:sz w:val="28"/>
        </w:rPr>
        <w:t>项目编号：</w:t>
      </w:r>
    </w:p>
    <w:p w14:paraId="1D9CADF7">
      <w:pPr>
        <w:autoSpaceDE w:val="0"/>
        <w:autoSpaceDN w:val="0"/>
        <w:adjustRightInd w:val="0"/>
        <w:snapToGrid w:val="0"/>
        <w:spacing w:line="360" w:lineRule="auto"/>
        <w:jc w:val="left"/>
        <w:rPr>
          <w:rFonts w:hint="eastAsia" w:ascii="宋体" w:hAnsi="宋体" w:eastAsia="宋体" w:cs="宋体"/>
          <w:color w:val="auto"/>
          <w:kern w:val="0"/>
          <w:sz w:val="24"/>
        </w:rPr>
      </w:pPr>
    </w:p>
    <w:p w14:paraId="10A3D09A">
      <w:pPr>
        <w:autoSpaceDE w:val="0"/>
        <w:autoSpaceDN w:val="0"/>
        <w:adjustRightInd w:val="0"/>
        <w:snapToGrid w:val="0"/>
        <w:spacing w:line="360" w:lineRule="auto"/>
        <w:jc w:val="left"/>
        <w:rPr>
          <w:rFonts w:hint="eastAsia" w:ascii="宋体" w:hAnsi="宋体" w:eastAsia="宋体" w:cs="宋体"/>
          <w:color w:val="auto"/>
          <w:kern w:val="0"/>
          <w:sz w:val="24"/>
        </w:rPr>
      </w:pPr>
    </w:p>
    <w:p w14:paraId="0843E7EC">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rPr>
      </w:pPr>
      <w:r>
        <w:rPr>
          <w:rFonts w:hint="eastAsia" w:ascii="宋体" w:hAnsi="宋体" w:eastAsia="宋体" w:cs="宋体"/>
          <w:color w:val="auto"/>
          <w:kern w:val="0"/>
          <w:sz w:val="72"/>
        </w:rPr>
        <w:t>响应文件</w:t>
      </w:r>
    </w:p>
    <w:p w14:paraId="19902AC8">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rPr>
      </w:pPr>
      <w:r>
        <w:rPr>
          <w:rFonts w:hint="eastAsia" w:ascii="宋体" w:hAnsi="宋体" w:eastAsia="宋体" w:cs="宋体"/>
          <w:color w:val="auto"/>
          <w:kern w:val="0"/>
          <w:sz w:val="72"/>
        </w:rPr>
        <w:t>（商务技术文件）</w:t>
      </w:r>
    </w:p>
    <w:p w14:paraId="6698B495">
      <w:pPr>
        <w:autoSpaceDE w:val="0"/>
        <w:autoSpaceDN w:val="0"/>
        <w:adjustRightInd w:val="0"/>
        <w:snapToGrid w:val="0"/>
        <w:spacing w:line="360" w:lineRule="auto"/>
        <w:jc w:val="left"/>
        <w:rPr>
          <w:rFonts w:hint="eastAsia" w:ascii="宋体" w:hAnsi="宋体" w:eastAsia="宋体" w:cs="宋体"/>
          <w:color w:val="auto"/>
          <w:kern w:val="0"/>
          <w:sz w:val="20"/>
        </w:rPr>
      </w:pPr>
    </w:p>
    <w:p w14:paraId="78BD1156">
      <w:pPr>
        <w:autoSpaceDE w:val="0"/>
        <w:autoSpaceDN w:val="0"/>
        <w:adjustRightInd w:val="0"/>
        <w:snapToGrid w:val="0"/>
        <w:spacing w:line="360" w:lineRule="auto"/>
        <w:jc w:val="left"/>
        <w:rPr>
          <w:rFonts w:hint="eastAsia" w:ascii="宋体" w:hAnsi="宋体" w:eastAsia="宋体" w:cs="宋体"/>
          <w:color w:val="auto"/>
          <w:kern w:val="0"/>
          <w:sz w:val="20"/>
        </w:rPr>
      </w:pPr>
    </w:p>
    <w:p w14:paraId="61BC4848">
      <w:pPr>
        <w:autoSpaceDE w:val="0"/>
        <w:autoSpaceDN w:val="0"/>
        <w:adjustRightInd w:val="0"/>
        <w:snapToGrid w:val="0"/>
        <w:spacing w:line="360" w:lineRule="auto"/>
        <w:jc w:val="left"/>
        <w:rPr>
          <w:rFonts w:hint="eastAsia" w:ascii="宋体" w:hAnsi="宋体" w:eastAsia="宋体" w:cs="宋体"/>
          <w:color w:val="auto"/>
          <w:kern w:val="0"/>
          <w:sz w:val="20"/>
        </w:rPr>
      </w:pPr>
    </w:p>
    <w:p w14:paraId="747C00C3">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磋商供应商（加盖法人电子印章）</w:t>
      </w:r>
      <w:r>
        <w:rPr>
          <w:rFonts w:hint="eastAsia" w:ascii="宋体" w:hAnsi="宋体" w:eastAsia="宋体" w:cs="宋体"/>
          <w:color w:val="auto"/>
          <w:sz w:val="28"/>
        </w:rPr>
        <w:t>：</w:t>
      </w:r>
    </w:p>
    <w:p w14:paraId="040F232E">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地址：</w:t>
      </w:r>
    </w:p>
    <w:p w14:paraId="16828C25">
      <w:pPr>
        <w:pStyle w:val="12"/>
        <w:spacing w:line="360" w:lineRule="auto"/>
        <w:ind w:firstLine="840" w:firstLineChars="300"/>
        <w:rPr>
          <w:rFonts w:hint="eastAsia" w:ascii="宋体" w:hAnsi="宋体" w:eastAsia="宋体" w:cs="宋体"/>
          <w:color w:val="auto"/>
          <w:sz w:val="28"/>
          <w:u w:val="single"/>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联系电话：</w:t>
      </w:r>
    </w:p>
    <w:p w14:paraId="5F38BC5D">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rPr>
      </w:pPr>
    </w:p>
    <w:p w14:paraId="6B670FD6">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rPr>
      </w:pPr>
      <w:r>
        <w:rPr>
          <w:rFonts w:hint="eastAsia" w:ascii="宋体" w:hAnsi="宋体" w:eastAsia="宋体" w:cs="宋体"/>
          <w:color w:val="auto"/>
          <w:kern w:val="0"/>
          <w:sz w:val="28"/>
        </w:rPr>
        <w:t xml:space="preserve">    年  月  日</w:t>
      </w:r>
    </w:p>
    <w:p w14:paraId="43136C57">
      <w:pPr>
        <w:spacing w:line="360" w:lineRule="auto"/>
        <w:jc w:val="left"/>
        <w:rPr>
          <w:rFonts w:hint="eastAsia" w:ascii="宋体" w:hAnsi="宋体" w:eastAsia="宋体" w:cs="宋体"/>
          <w:color w:val="auto"/>
        </w:rPr>
      </w:pPr>
    </w:p>
    <w:p w14:paraId="5C85987A">
      <w:pPr>
        <w:pStyle w:val="5"/>
        <w:ind w:firstLine="280"/>
        <w:jc w:val="left"/>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★2-1、法定代表人资格证明书</w:t>
      </w:r>
    </w:p>
    <w:p w14:paraId="0FF091CD">
      <w:pPr>
        <w:pStyle w:val="6"/>
        <w:adjustRightInd w:val="0"/>
        <w:spacing w:before="120" w:after="120" w:line="360" w:lineRule="auto"/>
        <w:jc w:val="left"/>
        <w:rPr>
          <w:rFonts w:hint="eastAsia" w:ascii="宋体" w:hAnsi="宋体" w:eastAsia="宋体" w:cs="宋体"/>
          <w:color w:val="auto"/>
          <w:sz w:val="28"/>
          <w:szCs w:val="28"/>
          <w:u w:val="single"/>
        </w:rPr>
      </w:pPr>
      <w:r>
        <w:rPr>
          <w:rFonts w:hint="eastAsia" w:hAnsi="宋体" w:cs="宋体"/>
          <w:snapToGrid w:val="0"/>
          <w:color w:val="auto"/>
          <w:spacing w:val="-4"/>
          <w:sz w:val="28"/>
          <w:szCs w:val="28"/>
          <w:u w:val="single"/>
          <w:lang w:eastAsia="zh-CN"/>
        </w:rPr>
        <w:t>山西新昱工程项目管理有限公司</w:t>
      </w:r>
      <w:r>
        <w:rPr>
          <w:rFonts w:hint="eastAsia" w:ascii="宋体" w:hAnsi="宋体" w:eastAsia="宋体" w:cs="宋体"/>
          <w:color w:val="auto"/>
          <w:sz w:val="28"/>
          <w:szCs w:val="28"/>
          <w:u w:val="single"/>
        </w:rPr>
        <w:t>：</w:t>
      </w:r>
    </w:p>
    <w:p w14:paraId="4986A97E">
      <w:pPr>
        <w:pStyle w:val="6"/>
        <w:adjustRightInd w:val="0"/>
        <w:spacing w:before="120" w:after="120" w:line="360" w:lineRule="auto"/>
        <w:ind w:left="1280" w:hanging="440"/>
        <w:jc w:val="left"/>
        <w:rPr>
          <w:rFonts w:hint="eastAsia" w:ascii="宋体" w:hAnsi="宋体" w:eastAsia="宋体" w:cs="宋体"/>
          <w:color w:val="auto"/>
          <w:sz w:val="28"/>
          <w:szCs w:val="28"/>
        </w:rPr>
      </w:pPr>
    </w:p>
    <w:p w14:paraId="21002AFE">
      <w:pPr>
        <w:pStyle w:val="13"/>
        <w:adjustRightInd w:val="0"/>
        <w:spacing w:line="360" w:lineRule="auto"/>
        <w:ind w:firstLine="544" w:firstLineChars="200"/>
        <w:jc w:val="left"/>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u w:val="single"/>
        </w:rPr>
        <w:t>（姓名）</w:t>
      </w:r>
      <w:r>
        <w:rPr>
          <w:rFonts w:hint="eastAsia" w:ascii="宋体" w:hAnsi="宋体" w:eastAsia="宋体" w:cs="宋体"/>
          <w:snapToGrid w:val="0"/>
          <w:color w:val="auto"/>
          <w:sz w:val="28"/>
          <w:szCs w:val="28"/>
        </w:rPr>
        <w:t>系</w:t>
      </w:r>
      <w:r>
        <w:rPr>
          <w:rFonts w:hint="eastAsia" w:ascii="宋体" w:hAnsi="宋体" w:eastAsia="宋体" w:cs="宋体"/>
          <w:snapToGrid w:val="0"/>
          <w:color w:val="auto"/>
          <w:sz w:val="28"/>
          <w:szCs w:val="28"/>
          <w:u w:val="single"/>
        </w:rPr>
        <w:t>（单位名称）</w:t>
      </w:r>
      <w:r>
        <w:rPr>
          <w:rFonts w:hint="eastAsia" w:ascii="宋体" w:hAnsi="宋体" w:eastAsia="宋体" w:cs="宋体"/>
          <w:snapToGrid w:val="0"/>
          <w:color w:val="auto"/>
          <w:sz w:val="28"/>
          <w:szCs w:val="28"/>
        </w:rPr>
        <w:t>的法定代表人，</w:t>
      </w:r>
      <w:r>
        <w:rPr>
          <w:rFonts w:hint="eastAsia" w:ascii="宋体" w:hAnsi="宋体" w:eastAsia="宋体" w:cs="宋体"/>
          <w:snapToGrid w:val="0"/>
          <w:color w:val="auto"/>
          <w:sz w:val="28"/>
          <w:szCs w:val="28"/>
          <w:u w:val="single"/>
        </w:rPr>
        <w:t>（身份证号）</w:t>
      </w:r>
      <w:r>
        <w:rPr>
          <w:rFonts w:hint="eastAsia" w:ascii="宋体" w:hAnsi="宋体" w:eastAsia="宋体" w:cs="宋体"/>
          <w:snapToGrid w:val="0"/>
          <w:color w:val="auto"/>
          <w:sz w:val="28"/>
          <w:szCs w:val="28"/>
        </w:rPr>
        <w:t>。</w:t>
      </w:r>
    </w:p>
    <w:p w14:paraId="698A063A">
      <w:pPr>
        <w:pStyle w:val="13"/>
        <w:adjustRightInd w:val="0"/>
        <w:spacing w:line="360" w:lineRule="auto"/>
        <w:ind w:firstLine="544" w:firstLineChars="200"/>
        <w:jc w:val="left"/>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特此证明。</w:t>
      </w:r>
    </w:p>
    <w:p w14:paraId="66A82590">
      <w:pPr>
        <w:pStyle w:val="13"/>
        <w:wordWrap w:val="0"/>
        <w:adjustRightInd w:val="0"/>
        <w:spacing w:line="360" w:lineRule="auto"/>
        <w:ind w:firstLine="544" w:firstLineChars="200"/>
        <w:jc w:val="right"/>
        <w:rPr>
          <w:rFonts w:hint="eastAsia" w:ascii="宋体" w:hAnsi="宋体" w:eastAsia="宋体" w:cs="宋体"/>
          <w:snapToGrid w:val="0"/>
          <w:color w:val="auto"/>
          <w:sz w:val="28"/>
          <w:szCs w:val="28"/>
          <w:lang w:val="en-US" w:eastAsia="zh-CN"/>
        </w:rPr>
      </w:pPr>
      <w:r>
        <w:rPr>
          <w:rFonts w:hint="eastAsia" w:ascii="宋体" w:hAnsi="宋体" w:eastAsia="宋体" w:cs="宋体"/>
          <w:snapToGrid w:val="0"/>
          <w:color w:val="auto"/>
          <w:sz w:val="28"/>
          <w:szCs w:val="28"/>
          <w:lang w:eastAsia="zh-CN"/>
        </w:rPr>
        <w:t>供应商（加盖法人电子印章）</w:t>
      </w: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u w:val="single"/>
          <w:lang w:val="en-US" w:eastAsia="zh-CN"/>
        </w:rPr>
        <w:t xml:space="preserve">               </w:t>
      </w:r>
    </w:p>
    <w:p w14:paraId="565419EC">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63995173">
      <w:pPr>
        <w:adjustRightInd w:val="0"/>
        <w:snapToGrid w:val="0"/>
        <w:spacing w:line="360" w:lineRule="auto"/>
        <w:ind w:firstLine="560" w:firstLineChars="200"/>
        <w:jc w:val="left"/>
        <w:rPr>
          <w:rFonts w:hint="eastAsia"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附：法定代表人联系方式及身份证复印件</w:t>
      </w:r>
    </w:p>
    <w:p w14:paraId="3B667921">
      <w:pPr>
        <w:adjustRightInd w:val="0"/>
        <w:snapToGrid w:val="0"/>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snapToGrid w:val="0"/>
          <w:color w:val="auto"/>
          <w:kern w:val="0"/>
          <w:sz w:val="24"/>
          <w:szCs w:val="24"/>
        </w:rPr>
        <w:t>注：法定代表人直接签署磋商响应文件并参加投标的，在磋商响应文件中出具此资格证明书及身份证复印件。</w:t>
      </w:r>
    </w:p>
    <w:p w14:paraId="4378328F">
      <w:pPr>
        <w:pStyle w:val="5"/>
        <w:keepNext w:val="0"/>
        <w:keepLines w:val="0"/>
        <w:pageBreakBefore/>
        <w:spacing w:line="415" w:lineRule="auto"/>
        <w:ind w:firstLine="278"/>
        <w:jc w:val="left"/>
        <w:rPr>
          <w:rFonts w:hint="eastAsia" w:ascii="宋体" w:hAnsi="宋体" w:eastAsia="宋体" w:cs="宋体"/>
          <w:color w:val="auto"/>
        </w:rPr>
      </w:pPr>
      <w:r>
        <w:rPr>
          <w:rFonts w:hint="eastAsia" w:ascii="宋体" w:hAnsi="宋体" w:eastAsia="宋体" w:cs="宋体"/>
          <w:color w:val="auto"/>
        </w:rPr>
        <w:t>★2-2、法定代表人授权委托书</w:t>
      </w:r>
    </w:p>
    <w:p w14:paraId="73589164">
      <w:pPr>
        <w:pStyle w:val="6"/>
        <w:adjustRightInd w:val="0"/>
        <w:spacing w:before="120" w:after="120" w:line="360" w:lineRule="auto"/>
        <w:ind w:left="1280" w:hanging="440"/>
        <w:jc w:val="left"/>
        <w:rPr>
          <w:rFonts w:hint="eastAsia" w:ascii="宋体" w:hAnsi="宋体" w:eastAsia="宋体" w:cs="宋体"/>
          <w:color w:val="auto"/>
          <w:sz w:val="28"/>
          <w:szCs w:val="28"/>
          <w:u w:val="single"/>
        </w:rPr>
      </w:pPr>
      <w:r>
        <w:rPr>
          <w:rFonts w:hint="eastAsia" w:hAnsi="宋体" w:cs="宋体"/>
          <w:snapToGrid w:val="0"/>
          <w:color w:val="auto"/>
          <w:spacing w:val="-4"/>
          <w:sz w:val="28"/>
          <w:szCs w:val="28"/>
          <w:u w:val="single"/>
          <w:lang w:eastAsia="zh-CN"/>
        </w:rPr>
        <w:t>山西新昱工程项目管理有限公司</w:t>
      </w:r>
      <w:r>
        <w:rPr>
          <w:rFonts w:hint="eastAsia" w:ascii="宋体" w:hAnsi="宋体" w:eastAsia="宋体" w:cs="宋体"/>
          <w:color w:val="auto"/>
          <w:sz w:val="28"/>
          <w:szCs w:val="28"/>
          <w:u w:val="single"/>
        </w:rPr>
        <w:t>：</w:t>
      </w:r>
    </w:p>
    <w:p w14:paraId="086728A9">
      <w:pPr>
        <w:pStyle w:val="6"/>
        <w:spacing w:before="120" w:after="120" w:line="360" w:lineRule="auto"/>
        <w:ind w:left="84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我以</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eastAsia="zh-CN"/>
        </w:rPr>
        <w:t>磋商供应商</w:t>
      </w:r>
      <w:r>
        <w:rPr>
          <w:rFonts w:hint="eastAsia" w:ascii="宋体" w:hAnsi="宋体" w:eastAsia="宋体" w:cs="宋体"/>
          <w:color w:val="auto"/>
          <w:sz w:val="28"/>
          <w:szCs w:val="28"/>
          <w:u w:val="single"/>
        </w:rPr>
        <w:t>全称）</w:t>
      </w:r>
      <w:r>
        <w:rPr>
          <w:rFonts w:hint="eastAsia" w:ascii="宋体" w:hAnsi="宋体" w:eastAsia="宋体" w:cs="宋体"/>
          <w:color w:val="auto"/>
          <w:sz w:val="28"/>
          <w:szCs w:val="28"/>
        </w:rPr>
        <w:t>法定代表人的身份授权</w:t>
      </w:r>
      <w:r>
        <w:rPr>
          <w:rFonts w:hint="eastAsia" w:ascii="宋体" w:hAnsi="宋体" w:eastAsia="宋体" w:cs="宋体"/>
          <w:color w:val="auto"/>
          <w:sz w:val="28"/>
          <w:szCs w:val="28"/>
          <w:u w:val="single"/>
        </w:rPr>
        <w:t>（代表姓名）</w:t>
      </w:r>
      <w:r>
        <w:rPr>
          <w:rFonts w:hint="eastAsia" w:ascii="宋体" w:hAnsi="宋体" w:eastAsia="宋体" w:cs="宋体"/>
          <w:color w:val="auto"/>
          <w:sz w:val="28"/>
          <w:szCs w:val="28"/>
        </w:rPr>
        <w:t>，为我单位的全权代表，参加贵单位组织的</w:t>
      </w:r>
      <w:r>
        <w:rPr>
          <w:rFonts w:hint="eastAsia" w:hAnsi="宋体" w:cs="宋体"/>
          <w:color w:val="auto"/>
          <w:sz w:val="28"/>
          <w:szCs w:val="28"/>
          <w:lang w:val="en-US" w:eastAsia="zh-CN"/>
        </w:rPr>
        <w:t>太古镇2026年蔬菜大棚新建改造项目</w:t>
      </w:r>
      <w:r>
        <w:rPr>
          <w:rFonts w:hint="eastAsia" w:ascii="宋体" w:hAnsi="宋体" w:eastAsia="宋体" w:cs="宋体"/>
          <w:color w:val="auto"/>
          <w:sz w:val="28"/>
          <w:szCs w:val="28"/>
        </w:rPr>
        <w:t>的采购，签署本项目相关磋商响应文件并全权处理磋商活动中的一切事宜。我单位承认全权代表做出的与本项目采购活动有关的全部行为。</w:t>
      </w:r>
    </w:p>
    <w:p w14:paraId="147A252B">
      <w:pPr>
        <w:pStyle w:val="6"/>
        <w:spacing w:before="120" w:after="120" w:line="360" w:lineRule="auto"/>
        <w:ind w:left="84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全称</w:t>
      </w:r>
      <w:r>
        <w:rPr>
          <w:rFonts w:hint="eastAsia" w:ascii="宋体" w:hAnsi="宋体" w:eastAsia="宋体" w:cs="宋体"/>
          <w:sz w:val="28"/>
          <w:szCs w:val="32"/>
        </w:rPr>
        <w:t>（加盖法人电子印章）</w:t>
      </w:r>
      <w:r>
        <w:rPr>
          <w:rFonts w:hint="eastAsia" w:ascii="宋体" w:hAnsi="宋体" w:eastAsia="宋体" w:cs="宋体"/>
          <w:color w:val="auto"/>
          <w:sz w:val="28"/>
          <w:szCs w:val="28"/>
        </w:rPr>
        <w:t>：</w:t>
      </w:r>
    </w:p>
    <w:p w14:paraId="50E8642E">
      <w:pPr>
        <w:pStyle w:val="6"/>
        <w:spacing w:before="120" w:after="120" w:line="360" w:lineRule="auto"/>
        <w:ind w:left="84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法定代表人（加盖法</w:t>
      </w:r>
      <w:r>
        <w:rPr>
          <w:rFonts w:hint="eastAsia" w:hAnsi="宋体" w:cs="宋体"/>
          <w:color w:val="auto"/>
          <w:sz w:val="28"/>
          <w:szCs w:val="28"/>
          <w:lang w:val="en-US" w:eastAsia="zh-CN"/>
        </w:rPr>
        <w:t>定代表</w:t>
      </w:r>
      <w:r>
        <w:rPr>
          <w:rFonts w:hint="eastAsia" w:ascii="宋体" w:hAnsi="宋体" w:eastAsia="宋体" w:cs="宋体"/>
          <w:color w:val="auto"/>
          <w:sz w:val="28"/>
          <w:szCs w:val="28"/>
        </w:rPr>
        <w:t>人电子印章）：</w:t>
      </w:r>
    </w:p>
    <w:p w14:paraId="10BEB06C">
      <w:pPr>
        <w:pStyle w:val="6"/>
        <w:spacing w:before="120" w:after="120" w:line="360" w:lineRule="auto"/>
        <w:ind w:left="1280" w:hanging="440"/>
        <w:jc w:val="left"/>
        <w:rPr>
          <w:rFonts w:hint="eastAsia" w:ascii="宋体" w:hAnsi="宋体" w:eastAsia="宋体" w:cs="宋体"/>
          <w:color w:val="auto"/>
          <w:sz w:val="28"/>
          <w:szCs w:val="28"/>
        </w:rPr>
      </w:pPr>
      <w:r>
        <w:rPr>
          <w:rFonts w:hint="eastAsia" w:ascii="宋体" w:hAnsi="宋体" w:eastAsia="宋体" w:cs="宋体"/>
          <w:color w:val="auto"/>
          <w:sz w:val="28"/>
          <w:szCs w:val="28"/>
        </w:rPr>
        <w:t>附：</w:t>
      </w:r>
    </w:p>
    <w:p w14:paraId="4FDBD4BD">
      <w:pPr>
        <w:pStyle w:val="6"/>
        <w:spacing w:before="120" w:after="120" w:line="360" w:lineRule="auto"/>
        <w:ind w:left="1280" w:hanging="440"/>
        <w:jc w:val="left"/>
        <w:rPr>
          <w:rFonts w:hint="eastAsia" w:ascii="宋体" w:hAnsi="宋体" w:eastAsia="宋体" w:cs="宋体"/>
          <w:color w:val="auto"/>
          <w:sz w:val="24"/>
          <w:szCs w:val="24"/>
        </w:rPr>
      </w:pPr>
      <w:r>
        <w:rPr>
          <w:rFonts w:hint="eastAsia" w:ascii="宋体" w:hAnsi="宋体" w:eastAsia="宋体" w:cs="宋体"/>
          <w:color w:val="auto"/>
          <w:sz w:val="28"/>
          <w:szCs w:val="28"/>
        </w:rPr>
        <w:t xml:space="preserve">全权代表姓名：         职务：           电话：          </w:t>
      </w:r>
      <w:r>
        <w:rPr>
          <w:rFonts w:hint="eastAsia" w:ascii="宋体" w:hAnsi="宋体" w:eastAsia="宋体" w:cs="宋体"/>
          <w:color w:val="auto"/>
          <w:sz w:val="24"/>
          <w:szCs w:val="24"/>
        </w:rPr>
        <w:t xml:space="preserve"> </w:t>
      </w:r>
    </w:p>
    <w:p w14:paraId="21DDAE98">
      <w:pPr>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全权代表身份证复印件：</w:t>
      </w:r>
    </w:p>
    <w:p w14:paraId="7452CE06">
      <w:pPr>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注：法定代表人授权其公司员工签署及参加响应的，在磋商响应文件中同时出具法定代表人资格证明书及此授权书，并附身份证复印件。</w:t>
      </w:r>
    </w:p>
    <w:p w14:paraId="3619EB78">
      <w:pPr>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磋商响应文件格式中所提到的供应商代表是指以上两文件确定的签署人员。</w:t>
      </w:r>
    </w:p>
    <w:p w14:paraId="093907D6">
      <w:pPr>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color w:val="auto"/>
          <w:sz w:val="24"/>
          <w:szCs w:val="24"/>
        </w:rPr>
        <w:t>如参加磋商并在磋商过程中签署文件的人员与</w:t>
      </w:r>
      <w:r>
        <w:rPr>
          <w:rFonts w:hint="eastAsia" w:ascii="宋体" w:hAnsi="宋体" w:eastAsia="宋体" w:cs="宋体"/>
          <w:b/>
          <w:color w:val="auto"/>
          <w:sz w:val="24"/>
          <w:szCs w:val="24"/>
          <w:lang w:eastAsia="zh-CN"/>
        </w:rPr>
        <w:t>磋商供应商</w:t>
      </w:r>
      <w:r>
        <w:rPr>
          <w:rFonts w:hint="eastAsia" w:ascii="宋体" w:hAnsi="宋体" w:eastAsia="宋体" w:cs="宋体"/>
          <w:b/>
          <w:color w:val="auto"/>
          <w:sz w:val="24"/>
          <w:szCs w:val="24"/>
        </w:rPr>
        <w:t>代表不一致，须另行提供授权书。</w:t>
      </w:r>
    </w:p>
    <w:p w14:paraId="73E2D2FF">
      <w:pPr>
        <w:spacing w:line="360" w:lineRule="auto"/>
        <w:ind w:firstLine="420" w:firstLineChars="200"/>
        <w:jc w:val="left"/>
        <w:rPr>
          <w:rFonts w:hint="eastAsia" w:ascii="宋体" w:hAnsi="宋体" w:eastAsia="宋体" w:cs="宋体"/>
          <w:color w:val="auto"/>
          <w:szCs w:val="21"/>
        </w:rPr>
        <w:sectPr>
          <w:headerReference r:id="rId18" w:type="first"/>
          <w:pgSz w:w="11906" w:h="16838"/>
          <w:pgMar w:top="1247" w:right="1247" w:bottom="1247" w:left="1247" w:header="851" w:footer="624" w:gutter="0"/>
          <w:pgNumType w:fmt="decimal"/>
          <w:cols w:space="720" w:num="1"/>
          <w:docGrid w:linePitch="312" w:charSpace="0"/>
        </w:sectPr>
      </w:pPr>
    </w:p>
    <w:p w14:paraId="0FFC9762">
      <w:pPr>
        <w:rPr>
          <w:rFonts w:hint="eastAsia" w:ascii="宋体" w:hAnsi="宋体" w:eastAsia="宋体" w:cs="宋体"/>
          <w:b/>
          <w:bCs/>
          <w:color w:val="auto"/>
          <w:sz w:val="28"/>
          <w:szCs w:val="32"/>
        </w:rPr>
      </w:pPr>
      <w:bookmarkStart w:id="1155" w:name="_Toc358842834"/>
      <w:r>
        <w:rPr>
          <w:rFonts w:hint="eastAsia" w:ascii="宋体" w:hAnsi="宋体" w:eastAsia="宋体" w:cs="宋体"/>
          <w:b/>
          <w:bCs/>
          <w:color w:val="auto"/>
          <w:sz w:val="28"/>
          <w:szCs w:val="32"/>
        </w:rPr>
        <w:t>★2-</w:t>
      </w:r>
      <w:r>
        <w:rPr>
          <w:rFonts w:hint="eastAsia" w:ascii="宋体" w:hAnsi="宋体" w:eastAsia="宋体" w:cs="宋体"/>
          <w:b/>
          <w:bCs/>
          <w:color w:val="auto"/>
          <w:sz w:val="28"/>
          <w:szCs w:val="32"/>
          <w:lang w:val="en-US" w:eastAsia="zh-CN"/>
        </w:rPr>
        <w:t>3</w:t>
      </w:r>
      <w:r>
        <w:rPr>
          <w:rFonts w:hint="eastAsia" w:ascii="宋体" w:hAnsi="宋体" w:eastAsia="宋体" w:cs="宋体"/>
          <w:b/>
          <w:bCs/>
          <w:color w:val="auto"/>
          <w:sz w:val="28"/>
          <w:szCs w:val="32"/>
        </w:rPr>
        <w:t>、节能、环保产品证明材料</w:t>
      </w:r>
    </w:p>
    <w:p w14:paraId="5C355AC3">
      <w:pPr>
        <w:spacing w:line="360" w:lineRule="auto"/>
        <w:jc w:val="center"/>
        <w:rPr>
          <w:rFonts w:hint="eastAsia" w:ascii="宋体" w:hAnsi="宋体" w:eastAsia="宋体" w:cs="宋体"/>
          <w:b/>
          <w:color w:val="auto"/>
          <w:sz w:val="40"/>
        </w:rPr>
      </w:pPr>
      <w:r>
        <w:rPr>
          <w:rFonts w:hint="eastAsia" w:ascii="宋体" w:hAnsi="宋体" w:eastAsia="宋体" w:cs="宋体"/>
          <w:b/>
          <w:color w:val="auto"/>
          <w:sz w:val="40"/>
        </w:rPr>
        <w:t>节能、环保产品承诺书</w:t>
      </w:r>
    </w:p>
    <w:p w14:paraId="2100B7A6">
      <w:pPr>
        <w:spacing w:line="360" w:lineRule="auto"/>
        <w:jc w:val="left"/>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rPr>
        <w:t>项目名称：</w:t>
      </w:r>
      <w:r>
        <w:rPr>
          <w:rFonts w:hint="eastAsia" w:ascii="宋体" w:hAnsi="宋体" w:cs="宋体"/>
          <w:color w:val="auto"/>
          <w:sz w:val="28"/>
          <w:szCs w:val="24"/>
          <w:lang w:val="en-US" w:eastAsia="zh-CN"/>
        </w:rPr>
        <w:t>太古镇2026年蔬菜大棚新建改造项目</w:t>
      </w:r>
    </w:p>
    <w:p w14:paraId="0617F382">
      <w:pPr>
        <w:spacing w:line="360" w:lineRule="auto"/>
        <w:jc w:val="left"/>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rPr>
        <w:t>项目编号：</w:t>
      </w:r>
      <w:r>
        <w:rPr>
          <w:rFonts w:hint="eastAsia" w:ascii="宋体" w:hAnsi="宋体" w:cs="宋体"/>
          <w:color w:val="auto"/>
          <w:sz w:val="28"/>
          <w:szCs w:val="24"/>
          <w:highlight w:val="none"/>
          <w:lang w:eastAsia="zh-CN"/>
        </w:rPr>
        <w:t>1410302025BCS00034</w:t>
      </w:r>
    </w:p>
    <w:tbl>
      <w:tblPr>
        <w:tblStyle w:val="24"/>
        <w:tblW w:w="0" w:type="auto"/>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A129E2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6C8D1C20">
            <w:pPr>
              <w:spacing w:line="360" w:lineRule="auto"/>
              <w:jc w:val="left"/>
              <w:rPr>
                <w:rFonts w:hint="eastAsia" w:ascii="宋体" w:hAnsi="宋体" w:eastAsia="宋体" w:cs="宋体"/>
                <w:color w:val="auto"/>
                <w:sz w:val="28"/>
                <w:szCs w:val="20"/>
              </w:rPr>
            </w:pPr>
          </w:p>
          <w:p w14:paraId="13481B73">
            <w:pPr>
              <w:spacing w:line="360" w:lineRule="auto"/>
              <w:jc w:val="left"/>
              <w:rPr>
                <w:rFonts w:hint="eastAsia" w:ascii="宋体" w:hAnsi="宋体" w:eastAsia="宋体" w:cs="宋体"/>
                <w:color w:val="auto"/>
                <w:sz w:val="28"/>
                <w:szCs w:val="20"/>
              </w:rPr>
            </w:pPr>
            <w:r>
              <w:rPr>
                <w:rFonts w:hint="eastAsia" w:ascii="宋体" w:hAnsi="宋体" w:eastAsia="宋体" w:cs="宋体"/>
                <w:color w:val="auto"/>
                <w:sz w:val="28"/>
                <w:szCs w:val="20"/>
              </w:rPr>
              <w:t xml:space="preserve">      本公司现参与项目名称</w:t>
            </w:r>
            <w:r>
              <w:rPr>
                <w:rFonts w:hint="eastAsia" w:ascii="宋体" w:hAnsi="宋体" w:eastAsia="宋体" w:cs="宋体"/>
                <w:color w:val="auto"/>
                <w:sz w:val="28"/>
                <w:szCs w:val="20"/>
                <w:u w:val="single"/>
              </w:rPr>
              <w:t xml:space="preserve">：                </w:t>
            </w:r>
            <w:r>
              <w:rPr>
                <w:rFonts w:hint="eastAsia" w:ascii="宋体" w:hAnsi="宋体" w:eastAsia="宋体" w:cs="宋体"/>
                <w:color w:val="auto"/>
                <w:sz w:val="28"/>
                <w:szCs w:val="20"/>
              </w:rPr>
              <w:t>项目编号：</w:t>
            </w:r>
            <w:r>
              <w:rPr>
                <w:rFonts w:hint="eastAsia" w:ascii="宋体" w:hAnsi="宋体" w:eastAsia="宋体" w:cs="宋体"/>
                <w:color w:val="auto"/>
                <w:sz w:val="28"/>
                <w:szCs w:val="20"/>
                <w:u w:val="single"/>
              </w:rPr>
              <w:t xml:space="preserve">      </w:t>
            </w:r>
            <w:r>
              <w:rPr>
                <w:rFonts w:hint="eastAsia" w:ascii="宋体" w:hAnsi="宋体" w:eastAsia="宋体" w:cs="宋体"/>
                <w:color w:val="auto"/>
                <w:sz w:val="28"/>
                <w:szCs w:val="20"/>
              </w:rPr>
              <w:t>的采购活动，工程内容中涉及《节能产品政府采购品目清单》的产品，属于国家强制性采购的，一定符合要求；属于品目清单范围但不属于政府强制采购产品的，实施优先采购，并单独做出承诺。</w:t>
            </w:r>
          </w:p>
          <w:p w14:paraId="564FC88F">
            <w:pPr>
              <w:snapToGrid w:val="0"/>
              <w:spacing w:line="360" w:lineRule="auto"/>
              <w:jc w:val="left"/>
              <w:rPr>
                <w:rFonts w:hint="eastAsia" w:ascii="宋体" w:hAnsi="宋体" w:eastAsia="宋体" w:cs="宋体"/>
                <w:color w:val="auto"/>
                <w:sz w:val="28"/>
                <w:szCs w:val="20"/>
              </w:rPr>
            </w:pPr>
            <w:r>
              <w:rPr>
                <w:rFonts w:hint="eastAsia" w:ascii="宋体" w:hAnsi="宋体" w:eastAsia="宋体" w:cs="宋体"/>
                <w:color w:val="auto"/>
                <w:sz w:val="28"/>
                <w:szCs w:val="20"/>
              </w:rPr>
              <w:t xml:space="preserve">    如上述声明不真实，愿意按照政府采购有关法律法规的规定接受处罚。</w:t>
            </w:r>
          </w:p>
          <w:p w14:paraId="02041E89">
            <w:pPr>
              <w:snapToGrid w:val="0"/>
              <w:spacing w:line="360" w:lineRule="auto"/>
              <w:jc w:val="left"/>
              <w:rPr>
                <w:rFonts w:hint="eastAsia" w:ascii="宋体" w:hAnsi="宋体" w:eastAsia="宋体" w:cs="宋体"/>
                <w:color w:val="auto"/>
                <w:sz w:val="28"/>
                <w:szCs w:val="20"/>
              </w:rPr>
            </w:pPr>
            <w:r>
              <w:rPr>
                <w:rFonts w:hint="eastAsia" w:ascii="宋体" w:hAnsi="宋体" w:eastAsia="宋体" w:cs="宋体"/>
                <w:color w:val="auto"/>
                <w:sz w:val="28"/>
                <w:szCs w:val="20"/>
              </w:rPr>
              <w:t xml:space="preserve">    特此申明</w:t>
            </w:r>
          </w:p>
          <w:p w14:paraId="0D1012A9">
            <w:pPr>
              <w:pStyle w:val="6"/>
              <w:spacing w:before="120" w:after="120"/>
              <w:ind w:left="1400" w:hanging="560"/>
              <w:jc w:val="left"/>
              <w:rPr>
                <w:rFonts w:hint="eastAsia" w:ascii="宋体" w:hAnsi="宋体" w:eastAsia="宋体" w:cs="宋体"/>
                <w:color w:val="auto"/>
                <w:sz w:val="28"/>
                <w:szCs w:val="20"/>
              </w:rPr>
            </w:pPr>
          </w:p>
          <w:p w14:paraId="3460E4D5">
            <w:pPr>
              <w:spacing w:line="360" w:lineRule="auto"/>
              <w:jc w:val="left"/>
              <w:rPr>
                <w:rFonts w:hint="eastAsia" w:ascii="宋体" w:hAnsi="宋体" w:eastAsia="宋体" w:cs="宋体"/>
                <w:color w:val="auto"/>
                <w:sz w:val="28"/>
                <w:szCs w:val="20"/>
              </w:rPr>
            </w:pPr>
          </w:p>
        </w:tc>
      </w:tr>
    </w:tbl>
    <w:p w14:paraId="48F4EA53">
      <w:pPr>
        <w:wordWrap w:val="0"/>
        <w:spacing w:line="360" w:lineRule="auto"/>
        <w:jc w:val="right"/>
        <w:rPr>
          <w:rFonts w:hint="default" w:ascii="宋体" w:hAnsi="宋体" w:eastAsia="宋体" w:cs="宋体"/>
          <w:color w:val="auto"/>
          <w:w w:val="90"/>
          <w:kern w:val="0"/>
          <w:sz w:val="28"/>
          <w:szCs w:val="28"/>
          <w:u w:val="single"/>
          <w:lang w:val="en-US" w:eastAsia="zh-CN"/>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名称（加盖法人电子印章）：</w:t>
      </w:r>
      <w:r>
        <w:rPr>
          <w:rFonts w:hint="eastAsia" w:ascii="宋体" w:hAnsi="宋体" w:cs="宋体"/>
          <w:color w:val="auto"/>
          <w:w w:val="90"/>
          <w:kern w:val="0"/>
          <w:sz w:val="28"/>
          <w:szCs w:val="28"/>
          <w:u w:val="single"/>
          <w:lang w:val="en-US" w:eastAsia="zh-CN"/>
        </w:rPr>
        <w:t xml:space="preserve">               </w:t>
      </w:r>
    </w:p>
    <w:p w14:paraId="0C94CC84">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7F8B5A29">
      <w:pPr>
        <w:pStyle w:val="3"/>
        <w:jc w:val="left"/>
        <w:rPr>
          <w:rFonts w:hint="eastAsia" w:ascii="宋体" w:hAnsi="宋体" w:eastAsia="宋体" w:cs="宋体"/>
          <w:color w:val="auto"/>
        </w:rPr>
      </w:pPr>
    </w:p>
    <w:p w14:paraId="44EA62D2">
      <w:pPr>
        <w:jc w:val="left"/>
        <w:rPr>
          <w:rFonts w:hint="eastAsia" w:ascii="宋体" w:hAnsi="宋体" w:eastAsia="宋体" w:cs="宋体"/>
          <w:color w:val="auto"/>
        </w:rPr>
      </w:pPr>
    </w:p>
    <w:p w14:paraId="28F42FDA">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297E5E8C">
      <w:pPr>
        <w:widowControl/>
        <w:autoSpaceDE w:val="0"/>
        <w:autoSpaceDN w:val="0"/>
        <w:adjustRightInd w:val="0"/>
        <w:snapToGrid w:val="0"/>
        <w:spacing w:line="360" w:lineRule="auto"/>
        <w:ind w:firstLine="361" w:firstLineChars="100"/>
        <w:jc w:val="center"/>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商品包装和快递包装承诺</w:t>
      </w:r>
    </w:p>
    <w:p w14:paraId="5CEFF91A">
      <w:pPr>
        <w:snapToGrid w:val="0"/>
        <w:spacing w:line="360" w:lineRule="auto"/>
        <w:ind w:firstLine="2205" w:firstLineChars="1050"/>
        <w:jc w:val="left"/>
        <w:rPr>
          <w:rFonts w:hint="eastAsia" w:ascii="宋体" w:hAnsi="宋体" w:eastAsia="宋体" w:cs="宋体"/>
          <w:color w:val="auto"/>
        </w:rPr>
      </w:pPr>
    </w:p>
    <w:p w14:paraId="49D8F17D">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rPr>
      </w:pPr>
      <w:r>
        <w:rPr>
          <w:rFonts w:hint="eastAsia" w:ascii="宋体" w:hAnsi="宋体" w:eastAsia="宋体" w:cs="宋体"/>
          <w:color w:val="auto"/>
          <w:sz w:val="28"/>
          <w:szCs w:val="20"/>
        </w:rPr>
        <w:t>本公司现参与</w:t>
      </w:r>
      <w:r>
        <w:rPr>
          <w:rFonts w:hint="eastAsia" w:ascii="宋体" w:hAnsi="宋体" w:eastAsia="宋体" w:cs="宋体"/>
          <w:color w:val="auto"/>
          <w:sz w:val="28"/>
          <w:szCs w:val="20"/>
          <w:u w:val="single"/>
          <w:lang w:val="en-US" w:eastAsia="zh-CN"/>
        </w:rPr>
        <w:t xml:space="preserve">             </w:t>
      </w:r>
      <w:r>
        <w:rPr>
          <w:rFonts w:hint="eastAsia" w:ascii="宋体" w:hAnsi="宋体" w:eastAsia="宋体" w:cs="宋体"/>
          <w:color w:val="auto"/>
          <w:sz w:val="28"/>
          <w:szCs w:val="20"/>
        </w:rPr>
        <w:t>（项目编号：</w:t>
      </w:r>
      <w:r>
        <w:rPr>
          <w:rFonts w:hint="eastAsia" w:ascii="宋体" w:hAnsi="宋体" w:eastAsia="宋体" w:cs="宋体"/>
          <w:color w:val="auto"/>
          <w:sz w:val="28"/>
          <w:szCs w:val="20"/>
          <w:u w:val="single"/>
          <w:lang w:val="en-US" w:eastAsia="zh-CN"/>
        </w:rPr>
        <w:t xml:space="preserve">      </w:t>
      </w:r>
      <w:r>
        <w:rPr>
          <w:rFonts w:hint="eastAsia" w:ascii="宋体" w:hAnsi="宋体" w:eastAsia="宋体" w:cs="宋体"/>
          <w:color w:val="auto"/>
          <w:sz w:val="28"/>
          <w:szCs w:val="20"/>
          <w:u w:val="single"/>
        </w:rPr>
        <w:t xml:space="preserve"> </w:t>
      </w:r>
      <w:r>
        <w:rPr>
          <w:rFonts w:hint="eastAsia" w:ascii="宋体" w:hAnsi="宋体" w:eastAsia="宋体" w:cs="宋体"/>
          <w:color w:val="auto"/>
          <w:sz w:val="28"/>
          <w:szCs w:val="20"/>
        </w:rPr>
        <w:t>）的采购活动，本公司承诺所供商品包装符合《商品包装政府采购需求标准（试行）》，快递包装符合《快递包装政府采购需求标准（试行）》。</w:t>
      </w:r>
    </w:p>
    <w:p w14:paraId="13697FBE">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rPr>
      </w:pPr>
      <w:r>
        <w:rPr>
          <w:rFonts w:hint="eastAsia" w:ascii="宋体" w:hAnsi="宋体" w:eastAsia="宋体" w:cs="宋体"/>
          <w:color w:val="auto"/>
          <w:sz w:val="28"/>
          <w:szCs w:val="20"/>
        </w:rPr>
        <w:t>如上述声明不真实，愿意按照政府采购有关法律法规的规定接受处罚。</w:t>
      </w:r>
    </w:p>
    <w:p w14:paraId="4D07700A">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rPr>
      </w:pPr>
      <w:r>
        <w:rPr>
          <w:rFonts w:hint="eastAsia" w:ascii="宋体" w:hAnsi="宋体" w:eastAsia="宋体" w:cs="宋体"/>
          <w:color w:val="auto"/>
          <w:sz w:val="28"/>
          <w:szCs w:val="20"/>
        </w:rPr>
        <w:t>特此申明</w:t>
      </w:r>
    </w:p>
    <w:p w14:paraId="009B629F">
      <w:pPr>
        <w:widowControl/>
        <w:wordWrap w:val="0"/>
        <w:autoSpaceDE w:val="0"/>
        <w:autoSpaceDN w:val="0"/>
        <w:adjustRightInd w:val="0"/>
        <w:snapToGrid w:val="0"/>
        <w:spacing w:line="480" w:lineRule="auto"/>
        <w:ind w:firstLine="560" w:firstLineChars="200"/>
        <w:jc w:val="right"/>
        <w:outlineLvl w:val="2"/>
        <w:rPr>
          <w:rFonts w:hint="eastAsia" w:ascii="宋体" w:hAnsi="宋体" w:eastAsia="宋体" w:cs="宋体"/>
          <w:b w:val="0"/>
          <w:bCs w:val="0"/>
          <w:color w:val="auto"/>
          <w:sz w:val="28"/>
          <w:szCs w:val="20"/>
          <w:lang w:val="en-US" w:eastAsia="zh-CN"/>
        </w:rPr>
      </w:pPr>
      <w:r>
        <w:rPr>
          <w:rFonts w:hint="eastAsia" w:ascii="宋体" w:hAnsi="宋体" w:eastAsia="宋体" w:cs="宋体"/>
          <w:b w:val="0"/>
          <w:bCs w:val="0"/>
          <w:color w:val="auto"/>
          <w:sz w:val="28"/>
          <w:szCs w:val="20"/>
          <w:lang w:eastAsia="zh-CN"/>
        </w:rPr>
        <w:t>供应商</w:t>
      </w:r>
      <w:r>
        <w:rPr>
          <w:rFonts w:hint="eastAsia" w:ascii="宋体" w:hAnsi="宋体" w:eastAsia="宋体" w:cs="宋体"/>
          <w:b w:val="0"/>
          <w:bCs w:val="0"/>
          <w:color w:val="auto"/>
          <w:sz w:val="28"/>
          <w:szCs w:val="20"/>
        </w:rPr>
        <w:t>名称（加盖法人电子印章）</w:t>
      </w:r>
      <w:r>
        <w:rPr>
          <w:rFonts w:hint="eastAsia" w:ascii="宋体" w:hAnsi="宋体" w:eastAsia="宋体" w:cs="宋体"/>
          <w:b w:val="0"/>
          <w:bCs w:val="0"/>
          <w:color w:val="auto"/>
          <w:sz w:val="28"/>
          <w:szCs w:val="20"/>
          <w:u w:val="none"/>
        </w:rPr>
        <w:t>：</w:t>
      </w:r>
      <w:r>
        <w:rPr>
          <w:rFonts w:hint="eastAsia" w:ascii="宋体" w:hAnsi="宋体" w:eastAsia="宋体" w:cs="宋体"/>
          <w:b w:val="0"/>
          <w:bCs w:val="0"/>
          <w:color w:val="auto"/>
          <w:sz w:val="28"/>
          <w:szCs w:val="20"/>
          <w:u w:val="single"/>
          <w:lang w:val="en-US" w:eastAsia="zh-CN"/>
        </w:rPr>
        <w:t xml:space="preserve">                     </w:t>
      </w:r>
    </w:p>
    <w:p w14:paraId="77A347A1">
      <w:pPr>
        <w:pStyle w:val="6"/>
        <w:spacing w:before="120" w:after="120"/>
        <w:ind w:left="1260" w:hanging="420"/>
        <w:jc w:val="right"/>
        <w:rPr>
          <w:rFonts w:hint="eastAsia" w:ascii="宋体" w:hAnsi="宋体" w:eastAsia="宋体" w:cs="宋体"/>
          <w:color w:val="auto"/>
          <w:highlight w:val="none"/>
        </w:rPr>
      </w:pPr>
      <w:r>
        <w:rPr>
          <w:rFonts w:hint="eastAsia" w:hAnsi="宋体" w:cs="宋体"/>
          <w:b w:val="0"/>
          <w:bCs w:val="0"/>
          <w:color w:val="auto"/>
          <w:sz w:val="28"/>
          <w:szCs w:val="20"/>
          <w:lang w:val="en-US" w:eastAsia="zh-CN"/>
        </w:rPr>
        <w:t xml:space="preserve"> </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1C4038D4">
      <w:pPr>
        <w:pStyle w:val="6"/>
        <w:spacing w:before="120" w:after="120"/>
        <w:ind w:left="1402" w:hanging="562"/>
        <w:jc w:val="left"/>
        <w:rPr>
          <w:rFonts w:hint="eastAsia" w:ascii="宋体" w:hAnsi="宋体" w:eastAsia="宋体" w:cs="宋体"/>
          <w:b/>
          <w:color w:val="auto"/>
          <w:sz w:val="28"/>
          <w:szCs w:val="28"/>
          <w:lang w:eastAsia="zh-CN"/>
        </w:rPr>
      </w:pPr>
    </w:p>
    <w:p w14:paraId="08D5CDEE">
      <w:pPr>
        <w:pStyle w:val="6"/>
        <w:spacing w:before="120" w:after="120"/>
        <w:ind w:left="1402" w:hanging="562"/>
        <w:jc w:val="left"/>
        <w:rPr>
          <w:rFonts w:hint="eastAsia" w:ascii="宋体" w:hAnsi="宋体" w:eastAsia="宋体" w:cs="宋体"/>
          <w:b/>
          <w:color w:val="auto"/>
          <w:sz w:val="28"/>
          <w:szCs w:val="28"/>
        </w:rPr>
      </w:pPr>
    </w:p>
    <w:p w14:paraId="762230B9">
      <w:pPr>
        <w:rPr>
          <w:rFonts w:hint="eastAsia" w:ascii="宋体" w:hAnsi="宋体" w:eastAsia="宋体" w:cs="宋体"/>
          <w:color w:val="auto"/>
        </w:rPr>
      </w:pPr>
      <w:r>
        <w:rPr>
          <w:rFonts w:hint="eastAsia" w:ascii="宋体" w:hAnsi="宋体" w:eastAsia="宋体" w:cs="宋体"/>
          <w:color w:val="auto"/>
        </w:rPr>
        <w:br w:type="page"/>
      </w:r>
    </w:p>
    <w:p w14:paraId="77642C43">
      <w:pPr>
        <w:pStyle w:val="5"/>
        <w:ind w:firstLine="2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4</w:t>
      </w:r>
      <w:r>
        <w:rPr>
          <w:rFonts w:hint="eastAsia" w:ascii="宋体" w:hAnsi="宋体" w:eastAsia="宋体" w:cs="宋体"/>
          <w:color w:val="auto"/>
        </w:rPr>
        <w:t>、</w:t>
      </w:r>
      <w:r>
        <w:rPr>
          <w:rFonts w:hint="eastAsia" w:ascii="宋体" w:hAnsi="宋体" w:eastAsia="宋体" w:cs="宋体"/>
          <w:color w:val="auto"/>
          <w:lang w:eastAsia="zh-CN"/>
        </w:rPr>
        <w:t>磋商供应商</w:t>
      </w:r>
      <w:r>
        <w:rPr>
          <w:rFonts w:hint="eastAsia" w:ascii="宋体" w:hAnsi="宋体" w:cs="宋体"/>
          <w:color w:val="auto"/>
          <w:lang w:val="en-US" w:eastAsia="zh-CN"/>
        </w:rPr>
        <w:t>同类或</w:t>
      </w:r>
      <w:r>
        <w:rPr>
          <w:rFonts w:hint="eastAsia" w:ascii="宋体" w:hAnsi="宋体" w:eastAsia="宋体" w:cs="宋体"/>
          <w:color w:val="auto"/>
        </w:rPr>
        <w:t>类似项目业绩情况</w:t>
      </w:r>
    </w:p>
    <w:p w14:paraId="72D5619B">
      <w:pPr>
        <w:spacing w:line="360" w:lineRule="auto"/>
        <w:jc w:val="center"/>
        <w:rPr>
          <w:rFonts w:hint="eastAsia" w:ascii="宋体" w:hAnsi="宋体" w:eastAsia="宋体" w:cs="宋体"/>
          <w:b/>
          <w:color w:val="auto"/>
          <w:kern w:val="0"/>
          <w:sz w:val="44"/>
          <w:szCs w:val="28"/>
        </w:rPr>
      </w:pPr>
      <w:r>
        <w:rPr>
          <w:rFonts w:hint="eastAsia" w:ascii="宋体" w:hAnsi="宋体" w:eastAsia="宋体" w:cs="宋体"/>
          <w:b/>
          <w:color w:val="auto"/>
          <w:kern w:val="0"/>
          <w:sz w:val="44"/>
          <w:szCs w:val="28"/>
          <w:lang w:eastAsia="zh-CN"/>
        </w:rPr>
        <w:t>磋商供应商</w:t>
      </w:r>
      <w:r>
        <w:rPr>
          <w:rFonts w:hint="eastAsia" w:ascii="宋体" w:hAnsi="宋体" w:cs="宋体"/>
          <w:b/>
          <w:color w:val="auto"/>
          <w:kern w:val="0"/>
          <w:sz w:val="44"/>
          <w:szCs w:val="28"/>
          <w:lang w:val="en-US" w:eastAsia="zh-CN"/>
        </w:rPr>
        <w:t>同类或类似</w:t>
      </w:r>
      <w:r>
        <w:rPr>
          <w:rFonts w:hint="eastAsia" w:ascii="宋体" w:hAnsi="宋体" w:eastAsia="宋体" w:cs="宋体"/>
          <w:b/>
          <w:color w:val="auto"/>
          <w:kern w:val="0"/>
          <w:sz w:val="44"/>
          <w:szCs w:val="28"/>
        </w:rPr>
        <w:t>工程表及证明材料</w:t>
      </w:r>
    </w:p>
    <w:p w14:paraId="4B4A6B54">
      <w:pPr>
        <w:spacing w:line="360" w:lineRule="auto"/>
        <w:jc w:val="left"/>
        <w:rPr>
          <w:rFonts w:hint="eastAsia" w:ascii="宋体" w:hAnsi="宋体" w:eastAsia="宋体" w:cs="宋体"/>
          <w:b/>
          <w:color w:val="auto"/>
          <w:sz w:val="24"/>
          <w:u w:val="single"/>
          <w:lang w:eastAsia="zh-CN"/>
        </w:rPr>
      </w:pPr>
      <w:r>
        <w:rPr>
          <w:rFonts w:hint="eastAsia" w:ascii="宋体" w:hAnsi="宋体" w:eastAsia="宋体" w:cs="宋体"/>
          <w:b/>
          <w:color w:val="auto"/>
          <w:sz w:val="24"/>
        </w:rPr>
        <w:t>项目名称：</w:t>
      </w:r>
      <w:r>
        <w:rPr>
          <w:rFonts w:hint="eastAsia" w:ascii="宋体" w:hAnsi="宋体" w:cs="宋体"/>
          <w:b/>
          <w:color w:val="auto"/>
          <w:sz w:val="24"/>
          <w:u w:val="single"/>
          <w:lang w:val="en-US" w:eastAsia="zh-CN"/>
        </w:rPr>
        <w:t>太古镇2026年蔬菜大棚新建改造项目</w:t>
      </w:r>
    </w:p>
    <w:p w14:paraId="65DD16B9">
      <w:pPr>
        <w:spacing w:line="360" w:lineRule="auto"/>
        <w:jc w:val="left"/>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rPr>
        <w:t>项目编号：</w:t>
      </w:r>
    </w:p>
    <w:tbl>
      <w:tblPr>
        <w:tblStyle w:val="2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5F74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07D94252">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2127" w:type="dxa"/>
            <w:noWrap/>
            <w:vAlign w:val="center"/>
          </w:tcPr>
          <w:p w14:paraId="34E9DF80">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甲方单位</w:t>
            </w:r>
          </w:p>
        </w:tc>
        <w:tc>
          <w:tcPr>
            <w:tcW w:w="1559" w:type="dxa"/>
            <w:noWrap/>
            <w:vAlign w:val="center"/>
          </w:tcPr>
          <w:p w14:paraId="10A28391">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项目名称</w:t>
            </w:r>
          </w:p>
        </w:tc>
        <w:tc>
          <w:tcPr>
            <w:tcW w:w="1275" w:type="dxa"/>
            <w:noWrap/>
            <w:vAlign w:val="center"/>
          </w:tcPr>
          <w:p w14:paraId="44416108">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合同金额</w:t>
            </w:r>
          </w:p>
        </w:tc>
        <w:tc>
          <w:tcPr>
            <w:tcW w:w="1134" w:type="dxa"/>
            <w:noWrap/>
            <w:vAlign w:val="center"/>
          </w:tcPr>
          <w:p w14:paraId="008D6497">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合同主要内容</w:t>
            </w:r>
          </w:p>
        </w:tc>
        <w:tc>
          <w:tcPr>
            <w:tcW w:w="1134" w:type="dxa"/>
            <w:noWrap/>
            <w:vAlign w:val="center"/>
          </w:tcPr>
          <w:p w14:paraId="3A2669C4">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合同签订时间</w:t>
            </w:r>
          </w:p>
        </w:tc>
        <w:tc>
          <w:tcPr>
            <w:tcW w:w="993" w:type="dxa"/>
            <w:noWrap/>
            <w:vAlign w:val="center"/>
          </w:tcPr>
          <w:p w14:paraId="2B2B6FF8">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甲方联系人</w:t>
            </w:r>
          </w:p>
        </w:tc>
        <w:tc>
          <w:tcPr>
            <w:tcW w:w="1134" w:type="dxa"/>
            <w:noWrap/>
            <w:vAlign w:val="center"/>
          </w:tcPr>
          <w:p w14:paraId="5F03D694">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甲方联系电话</w:t>
            </w:r>
          </w:p>
        </w:tc>
      </w:tr>
      <w:tr w14:paraId="1414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60998BC4">
            <w:pPr>
              <w:jc w:val="left"/>
              <w:rPr>
                <w:rFonts w:hint="eastAsia" w:ascii="宋体" w:hAnsi="宋体" w:eastAsia="宋体" w:cs="宋体"/>
                <w:color w:val="auto"/>
                <w:sz w:val="24"/>
              </w:rPr>
            </w:pPr>
          </w:p>
        </w:tc>
        <w:tc>
          <w:tcPr>
            <w:tcW w:w="2127" w:type="dxa"/>
            <w:noWrap/>
            <w:vAlign w:val="center"/>
          </w:tcPr>
          <w:p w14:paraId="4E3482AD">
            <w:pPr>
              <w:jc w:val="left"/>
              <w:rPr>
                <w:rFonts w:hint="eastAsia" w:ascii="宋体" w:hAnsi="宋体" w:eastAsia="宋体" w:cs="宋体"/>
                <w:color w:val="auto"/>
                <w:sz w:val="24"/>
              </w:rPr>
            </w:pPr>
          </w:p>
        </w:tc>
        <w:tc>
          <w:tcPr>
            <w:tcW w:w="1559" w:type="dxa"/>
            <w:noWrap/>
            <w:vAlign w:val="center"/>
          </w:tcPr>
          <w:p w14:paraId="27E1639A">
            <w:pPr>
              <w:jc w:val="left"/>
              <w:rPr>
                <w:rFonts w:hint="eastAsia" w:ascii="宋体" w:hAnsi="宋体" w:eastAsia="宋体" w:cs="宋体"/>
                <w:color w:val="auto"/>
                <w:sz w:val="24"/>
              </w:rPr>
            </w:pPr>
          </w:p>
        </w:tc>
        <w:tc>
          <w:tcPr>
            <w:tcW w:w="1275" w:type="dxa"/>
            <w:noWrap/>
            <w:vAlign w:val="center"/>
          </w:tcPr>
          <w:p w14:paraId="5D4A8ACE">
            <w:pPr>
              <w:jc w:val="left"/>
              <w:rPr>
                <w:rFonts w:hint="eastAsia" w:ascii="宋体" w:hAnsi="宋体" w:eastAsia="宋体" w:cs="宋体"/>
                <w:color w:val="auto"/>
                <w:sz w:val="24"/>
              </w:rPr>
            </w:pPr>
          </w:p>
        </w:tc>
        <w:tc>
          <w:tcPr>
            <w:tcW w:w="1134" w:type="dxa"/>
            <w:noWrap/>
            <w:vAlign w:val="center"/>
          </w:tcPr>
          <w:p w14:paraId="4886ADBD">
            <w:pPr>
              <w:jc w:val="left"/>
              <w:rPr>
                <w:rFonts w:hint="eastAsia" w:ascii="宋体" w:hAnsi="宋体" w:eastAsia="宋体" w:cs="宋体"/>
                <w:color w:val="auto"/>
                <w:sz w:val="24"/>
              </w:rPr>
            </w:pPr>
          </w:p>
        </w:tc>
        <w:tc>
          <w:tcPr>
            <w:tcW w:w="1134" w:type="dxa"/>
            <w:noWrap/>
            <w:vAlign w:val="center"/>
          </w:tcPr>
          <w:p w14:paraId="442684DA">
            <w:pPr>
              <w:jc w:val="left"/>
              <w:rPr>
                <w:rFonts w:hint="eastAsia" w:ascii="宋体" w:hAnsi="宋体" w:eastAsia="宋体" w:cs="宋体"/>
                <w:color w:val="auto"/>
                <w:sz w:val="24"/>
              </w:rPr>
            </w:pPr>
          </w:p>
        </w:tc>
        <w:tc>
          <w:tcPr>
            <w:tcW w:w="993" w:type="dxa"/>
            <w:noWrap/>
            <w:vAlign w:val="center"/>
          </w:tcPr>
          <w:p w14:paraId="3089310C">
            <w:pPr>
              <w:jc w:val="left"/>
              <w:rPr>
                <w:rFonts w:hint="eastAsia" w:ascii="宋体" w:hAnsi="宋体" w:eastAsia="宋体" w:cs="宋体"/>
                <w:color w:val="auto"/>
                <w:sz w:val="24"/>
              </w:rPr>
            </w:pPr>
          </w:p>
        </w:tc>
        <w:tc>
          <w:tcPr>
            <w:tcW w:w="1134" w:type="dxa"/>
            <w:noWrap/>
            <w:vAlign w:val="center"/>
          </w:tcPr>
          <w:p w14:paraId="72A1A08A">
            <w:pPr>
              <w:jc w:val="left"/>
              <w:rPr>
                <w:rFonts w:hint="eastAsia" w:ascii="宋体" w:hAnsi="宋体" w:eastAsia="宋体" w:cs="宋体"/>
                <w:color w:val="auto"/>
                <w:sz w:val="24"/>
              </w:rPr>
            </w:pPr>
          </w:p>
        </w:tc>
      </w:tr>
      <w:tr w14:paraId="77BC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30B9A19D">
            <w:pPr>
              <w:jc w:val="left"/>
              <w:rPr>
                <w:rFonts w:hint="eastAsia" w:ascii="宋体" w:hAnsi="宋体" w:eastAsia="宋体" w:cs="宋体"/>
                <w:color w:val="auto"/>
                <w:sz w:val="24"/>
              </w:rPr>
            </w:pPr>
          </w:p>
        </w:tc>
        <w:tc>
          <w:tcPr>
            <w:tcW w:w="2127" w:type="dxa"/>
            <w:noWrap/>
            <w:vAlign w:val="center"/>
          </w:tcPr>
          <w:p w14:paraId="274C0B5D">
            <w:pPr>
              <w:jc w:val="left"/>
              <w:rPr>
                <w:rFonts w:hint="eastAsia" w:ascii="宋体" w:hAnsi="宋体" w:eastAsia="宋体" w:cs="宋体"/>
                <w:color w:val="auto"/>
                <w:sz w:val="24"/>
              </w:rPr>
            </w:pPr>
          </w:p>
        </w:tc>
        <w:tc>
          <w:tcPr>
            <w:tcW w:w="1559" w:type="dxa"/>
            <w:noWrap/>
            <w:vAlign w:val="center"/>
          </w:tcPr>
          <w:p w14:paraId="28D377F3">
            <w:pPr>
              <w:jc w:val="left"/>
              <w:rPr>
                <w:rFonts w:hint="eastAsia" w:ascii="宋体" w:hAnsi="宋体" w:eastAsia="宋体" w:cs="宋体"/>
                <w:color w:val="auto"/>
                <w:sz w:val="24"/>
              </w:rPr>
            </w:pPr>
          </w:p>
        </w:tc>
        <w:tc>
          <w:tcPr>
            <w:tcW w:w="1275" w:type="dxa"/>
            <w:noWrap/>
            <w:vAlign w:val="center"/>
          </w:tcPr>
          <w:p w14:paraId="7A490880">
            <w:pPr>
              <w:jc w:val="left"/>
              <w:rPr>
                <w:rFonts w:hint="eastAsia" w:ascii="宋体" w:hAnsi="宋体" w:eastAsia="宋体" w:cs="宋体"/>
                <w:color w:val="auto"/>
                <w:sz w:val="24"/>
              </w:rPr>
            </w:pPr>
          </w:p>
        </w:tc>
        <w:tc>
          <w:tcPr>
            <w:tcW w:w="1134" w:type="dxa"/>
            <w:noWrap/>
            <w:vAlign w:val="center"/>
          </w:tcPr>
          <w:p w14:paraId="460165A3">
            <w:pPr>
              <w:jc w:val="left"/>
              <w:rPr>
                <w:rFonts w:hint="eastAsia" w:ascii="宋体" w:hAnsi="宋体" w:eastAsia="宋体" w:cs="宋体"/>
                <w:color w:val="auto"/>
                <w:sz w:val="24"/>
              </w:rPr>
            </w:pPr>
          </w:p>
        </w:tc>
        <w:tc>
          <w:tcPr>
            <w:tcW w:w="1134" w:type="dxa"/>
            <w:noWrap/>
            <w:vAlign w:val="center"/>
          </w:tcPr>
          <w:p w14:paraId="0CF84ACA">
            <w:pPr>
              <w:jc w:val="left"/>
              <w:rPr>
                <w:rFonts w:hint="eastAsia" w:ascii="宋体" w:hAnsi="宋体" w:eastAsia="宋体" w:cs="宋体"/>
                <w:color w:val="auto"/>
                <w:sz w:val="24"/>
              </w:rPr>
            </w:pPr>
          </w:p>
        </w:tc>
        <w:tc>
          <w:tcPr>
            <w:tcW w:w="993" w:type="dxa"/>
            <w:noWrap/>
            <w:vAlign w:val="center"/>
          </w:tcPr>
          <w:p w14:paraId="26D056F0">
            <w:pPr>
              <w:jc w:val="left"/>
              <w:rPr>
                <w:rFonts w:hint="eastAsia" w:ascii="宋体" w:hAnsi="宋体" w:eastAsia="宋体" w:cs="宋体"/>
                <w:color w:val="auto"/>
                <w:sz w:val="24"/>
              </w:rPr>
            </w:pPr>
          </w:p>
        </w:tc>
        <w:tc>
          <w:tcPr>
            <w:tcW w:w="1134" w:type="dxa"/>
            <w:noWrap/>
            <w:vAlign w:val="center"/>
          </w:tcPr>
          <w:p w14:paraId="17A9233C">
            <w:pPr>
              <w:jc w:val="left"/>
              <w:rPr>
                <w:rFonts w:hint="eastAsia" w:ascii="宋体" w:hAnsi="宋体" w:eastAsia="宋体" w:cs="宋体"/>
                <w:color w:val="auto"/>
                <w:sz w:val="24"/>
              </w:rPr>
            </w:pPr>
          </w:p>
        </w:tc>
      </w:tr>
      <w:tr w14:paraId="23C4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573EE104">
            <w:pPr>
              <w:jc w:val="left"/>
              <w:rPr>
                <w:rFonts w:hint="eastAsia" w:ascii="宋体" w:hAnsi="宋体" w:eastAsia="宋体" w:cs="宋体"/>
                <w:color w:val="auto"/>
                <w:sz w:val="24"/>
              </w:rPr>
            </w:pPr>
          </w:p>
        </w:tc>
        <w:tc>
          <w:tcPr>
            <w:tcW w:w="2127" w:type="dxa"/>
            <w:noWrap/>
            <w:vAlign w:val="center"/>
          </w:tcPr>
          <w:p w14:paraId="4617EF01">
            <w:pPr>
              <w:jc w:val="left"/>
              <w:rPr>
                <w:rFonts w:hint="eastAsia" w:ascii="宋体" w:hAnsi="宋体" w:eastAsia="宋体" w:cs="宋体"/>
                <w:color w:val="auto"/>
                <w:sz w:val="24"/>
              </w:rPr>
            </w:pPr>
          </w:p>
        </w:tc>
        <w:tc>
          <w:tcPr>
            <w:tcW w:w="1559" w:type="dxa"/>
            <w:noWrap/>
            <w:vAlign w:val="center"/>
          </w:tcPr>
          <w:p w14:paraId="2A9C9448">
            <w:pPr>
              <w:jc w:val="left"/>
              <w:rPr>
                <w:rFonts w:hint="eastAsia" w:ascii="宋体" w:hAnsi="宋体" w:eastAsia="宋体" w:cs="宋体"/>
                <w:color w:val="auto"/>
                <w:sz w:val="24"/>
              </w:rPr>
            </w:pPr>
          </w:p>
        </w:tc>
        <w:tc>
          <w:tcPr>
            <w:tcW w:w="1275" w:type="dxa"/>
            <w:noWrap/>
            <w:vAlign w:val="center"/>
          </w:tcPr>
          <w:p w14:paraId="6708E25A">
            <w:pPr>
              <w:jc w:val="left"/>
              <w:rPr>
                <w:rFonts w:hint="eastAsia" w:ascii="宋体" w:hAnsi="宋体" w:eastAsia="宋体" w:cs="宋体"/>
                <w:color w:val="auto"/>
                <w:sz w:val="24"/>
              </w:rPr>
            </w:pPr>
          </w:p>
        </w:tc>
        <w:tc>
          <w:tcPr>
            <w:tcW w:w="1134" w:type="dxa"/>
            <w:noWrap/>
            <w:vAlign w:val="center"/>
          </w:tcPr>
          <w:p w14:paraId="208E51BC">
            <w:pPr>
              <w:jc w:val="left"/>
              <w:rPr>
                <w:rFonts w:hint="eastAsia" w:ascii="宋体" w:hAnsi="宋体" w:eastAsia="宋体" w:cs="宋体"/>
                <w:color w:val="auto"/>
                <w:sz w:val="24"/>
              </w:rPr>
            </w:pPr>
          </w:p>
        </w:tc>
        <w:tc>
          <w:tcPr>
            <w:tcW w:w="1134" w:type="dxa"/>
            <w:noWrap/>
            <w:vAlign w:val="center"/>
          </w:tcPr>
          <w:p w14:paraId="47C10C69">
            <w:pPr>
              <w:jc w:val="left"/>
              <w:rPr>
                <w:rFonts w:hint="eastAsia" w:ascii="宋体" w:hAnsi="宋体" w:eastAsia="宋体" w:cs="宋体"/>
                <w:color w:val="auto"/>
                <w:sz w:val="24"/>
              </w:rPr>
            </w:pPr>
          </w:p>
        </w:tc>
        <w:tc>
          <w:tcPr>
            <w:tcW w:w="993" w:type="dxa"/>
            <w:noWrap/>
            <w:vAlign w:val="center"/>
          </w:tcPr>
          <w:p w14:paraId="188F5D74">
            <w:pPr>
              <w:jc w:val="left"/>
              <w:rPr>
                <w:rFonts w:hint="eastAsia" w:ascii="宋体" w:hAnsi="宋体" w:eastAsia="宋体" w:cs="宋体"/>
                <w:color w:val="auto"/>
                <w:sz w:val="24"/>
              </w:rPr>
            </w:pPr>
          </w:p>
        </w:tc>
        <w:tc>
          <w:tcPr>
            <w:tcW w:w="1134" w:type="dxa"/>
            <w:noWrap/>
            <w:vAlign w:val="center"/>
          </w:tcPr>
          <w:p w14:paraId="1A05F6AF">
            <w:pPr>
              <w:jc w:val="left"/>
              <w:rPr>
                <w:rFonts w:hint="eastAsia" w:ascii="宋体" w:hAnsi="宋体" w:eastAsia="宋体" w:cs="宋体"/>
                <w:color w:val="auto"/>
                <w:sz w:val="24"/>
              </w:rPr>
            </w:pPr>
          </w:p>
        </w:tc>
      </w:tr>
      <w:tr w14:paraId="42D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2AC46846">
            <w:pPr>
              <w:jc w:val="left"/>
              <w:rPr>
                <w:rFonts w:hint="eastAsia" w:ascii="宋体" w:hAnsi="宋体" w:eastAsia="宋体" w:cs="宋体"/>
                <w:color w:val="auto"/>
                <w:sz w:val="24"/>
              </w:rPr>
            </w:pPr>
          </w:p>
        </w:tc>
        <w:tc>
          <w:tcPr>
            <w:tcW w:w="2127" w:type="dxa"/>
            <w:noWrap/>
            <w:vAlign w:val="center"/>
          </w:tcPr>
          <w:p w14:paraId="34037ED3">
            <w:pPr>
              <w:jc w:val="left"/>
              <w:rPr>
                <w:rFonts w:hint="eastAsia" w:ascii="宋体" w:hAnsi="宋体" w:eastAsia="宋体" w:cs="宋体"/>
                <w:color w:val="auto"/>
                <w:sz w:val="24"/>
              </w:rPr>
            </w:pPr>
          </w:p>
        </w:tc>
        <w:tc>
          <w:tcPr>
            <w:tcW w:w="1559" w:type="dxa"/>
            <w:noWrap/>
            <w:vAlign w:val="center"/>
          </w:tcPr>
          <w:p w14:paraId="2570A3C6">
            <w:pPr>
              <w:jc w:val="left"/>
              <w:rPr>
                <w:rFonts w:hint="eastAsia" w:ascii="宋体" w:hAnsi="宋体" w:eastAsia="宋体" w:cs="宋体"/>
                <w:color w:val="auto"/>
                <w:sz w:val="24"/>
              </w:rPr>
            </w:pPr>
          </w:p>
        </w:tc>
        <w:tc>
          <w:tcPr>
            <w:tcW w:w="1275" w:type="dxa"/>
            <w:noWrap/>
            <w:vAlign w:val="center"/>
          </w:tcPr>
          <w:p w14:paraId="71F36389">
            <w:pPr>
              <w:jc w:val="left"/>
              <w:rPr>
                <w:rFonts w:hint="eastAsia" w:ascii="宋体" w:hAnsi="宋体" w:eastAsia="宋体" w:cs="宋体"/>
                <w:color w:val="auto"/>
                <w:sz w:val="24"/>
              </w:rPr>
            </w:pPr>
          </w:p>
        </w:tc>
        <w:tc>
          <w:tcPr>
            <w:tcW w:w="1134" w:type="dxa"/>
            <w:noWrap/>
            <w:vAlign w:val="center"/>
          </w:tcPr>
          <w:p w14:paraId="05FF5432">
            <w:pPr>
              <w:jc w:val="left"/>
              <w:rPr>
                <w:rFonts w:hint="eastAsia" w:ascii="宋体" w:hAnsi="宋体" w:eastAsia="宋体" w:cs="宋体"/>
                <w:color w:val="auto"/>
                <w:sz w:val="24"/>
              </w:rPr>
            </w:pPr>
          </w:p>
        </w:tc>
        <w:tc>
          <w:tcPr>
            <w:tcW w:w="1134" w:type="dxa"/>
            <w:noWrap/>
            <w:vAlign w:val="center"/>
          </w:tcPr>
          <w:p w14:paraId="085ABBEF">
            <w:pPr>
              <w:jc w:val="left"/>
              <w:rPr>
                <w:rFonts w:hint="eastAsia" w:ascii="宋体" w:hAnsi="宋体" w:eastAsia="宋体" w:cs="宋体"/>
                <w:color w:val="auto"/>
                <w:sz w:val="24"/>
              </w:rPr>
            </w:pPr>
          </w:p>
        </w:tc>
        <w:tc>
          <w:tcPr>
            <w:tcW w:w="993" w:type="dxa"/>
            <w:noWrap/>
            <w:vAlign w:val="center"/>
          </w:tcPr>
          <w:p w14:paraId="2203C403">
            <w:pPr>
              <w:jc w:val="left"/>
              <w:rPr>
                <w:rFonts w:hint="eastAsia" w:ascii="宋体" w:hAnsi="宋体" w:eastAsia="宋体" w:cs="宋体"/>
                <w:color w:val="auto"/>
                <w:sz w:val="24"/>
              </w:rPr>
            </w:pPr>
          </w:p>
        </w:tc>
        <w:tc>
          <w:tcPr>
            <w:tcW w:w="1134" w:type="dxa"/>
            <w:noWrap/>
            <w:vAlign w:val="center"/>
          </w:tcPr>
          <w:p w14:paraId="7CF2C291">
            <w:pPr>
              <w:jc w:val="left"/>
              <w:rPr>
                <w:rFonts w:hint="eastAsia" w:ascii="宋体" w:hAnsi="宋体" w:eastAsia="宋体" w:cs="宋体"/>
                <w:color w:val="auto"/>
                <w:sz w:val="24"/>
              </w:rPr>
            </w:pPr>
          </w:p>
        </w:tc>
      </w:tr>
      <w:tr w14:paraId="15AC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4C7EFE1A">
            <w:pPr>
              <w:jc w:val="left"/>
              <w:rPr>
                <w:rFonts w:hint="eastAsia" w:ascii="宋体" w:hAnsi="宋体" w:eastAsia="宋体" w:cs="宋体"/>
                <w:color w:val="auto"/>
                <w:sz w:val="24"/>
              </w:rPr>
            </w:pPr>
          </w:p>
        </w:tc>
        <w:tc>
          <w:tcPr>
            <w:tcW w:w="2127" w:type="dxa"/>
            <w:noWrap/>
            <w:vAlign w:val="center"/>
          </w:tcPr>
          <w:p w14:paraId="2ACC8EB6">
            <w:pPr>
              <w:jc w:val="left"/>
              <w:rPr>
                <w:rFonts w:hint="eastAsia" w:ascii="宋体" w:hAnsi="宋体" w:eastAsia="宋体" w:cs="宋体"/>
                <w:color w:val="auto"/>
                <w:sz w:val="24"/>
              </w:rPr>
            </w:pPr>
          </w:p>
        </w:tc>
        <w:tc>
          <w:tcPr>
            <w:tcW w:w="1559" w:type="dxa"/>
            <w:noWrap/>
            <w:vAlign w:val="center"/>
          </w:tcPr>
          <w:p w14:paraId="3D2826BB">
            <w:pPr>
              <w:jc w:val="left"/>
              <w:rPr>
                <w:rFonts w:hint="eastAsia" w:ascii="宋体" w:hAnsi="宋体" w:eastAsia="宋体" w:cs="宋体"/>
                <w:color w:val="auto"/>
                <w:sz w:val="24"/>
              </w:rPr>
            </w:pPr>
          </w:p>
        </w:tc>
        <w:tc>
          <w:tcPr>
            <w:tcW w:w="1275" w:type="dxa"/>
            <w:noWrap/>
            <w:vAlign w:val="center"/>
          </w:tcPr>
          <w:p w14:paraId="0744A942">
            <w:pPr>
              <w:jc w:val="left"/>
              <w:rPr>
                <w:rFonts w:hint="eastAsia" w:ascii="宋体" w:hAnsi="宋体" w:eastAsia="宋体" w:cs="宋体"/>
                <w:color w:val="auto"/>
                <w:sz w:val="24"/>
              </w:rPr>
            </w:pPr>
          </w:p>
        </w:tc>
        <w:tc>
          <w:tcPr>
            <w:tcW w:w="1134" w:type="dxa"/>
            <w:noWrap/>
            <w:vAlign w:val="center"/>
          </w:tcPr>
          <w:p w14:paraId="239346FD">
            <w:pPr>
              <w:jc w:val="left"/>
              <w:rPr>
                <w:rFonts w:hint="eastAsia" w:ascii="宋体" w:hAnsi="宋体" w:eastAsia="宋体" w:cs="宋体"/>
                <w:color w:val="auto"/>
                <w:sz w:val="24"/>
              </w:rPr>
            </w:pPr>
          </w:p>
        </w:tc>
        <w:tc>
          <w:tcPr>
            <w:tcW w:w="1134" w:type="dxa"/>
            <w:noWrap/>
            <w:vAlign w:val="center"/>
          </w:tcPr>
          <w:p w14:paraId="7C4A3F23">
            <w:pPr>
              <w:jc w:val="left"/>
              <w:rPr>
                <w:rFonts w:hint="eastAsia" w:ascii="宋体" w:hAnsi="宋体" w:eastAsia="宋体" w:cs="宋体"/>
                <w:color w:val="auto"/>
                <w:sz w:val="24"/>
              </w:rPr>
            </w:pPr>
          </w:p>
        </w:tc>
        <w:tc>
          <w:tcPr>
            <w:tcW w:w="993" w:type="dxa"/>
            <w:noWrap/>
            <w:vAlign w:val="center"/>
          </w:tcPr>
          <w:p w14:paraId="6C3BEEC6">
            <w:pPr>
              <w:jc w:val="left"/>
              <w:rPr>
                <w:rFonts w:hint="eastAsia" w:ascii="宋体" w:hAnsi="宋体" w:eastAsia="宋体" w:cs="宋体"/>
                <w:color w:val="auto"/>
                <w:sz w:val="24"/>
              </w:rPr>
            </w:pPr>
          </w:p>
        </w:tc>
        <w:tc>
          <w:tcPr>
            <w:tcW w:w="1134" w:type="dxa"/>
            <w:noWrap/>
            <w:vAlign w:val="center"/>
          </w:tcPr>
          <w:p w14:paraId="0C82F3D4">
            <w:pPr>
              <w:jc w:val="left"/>
              <w:rPr>
                <w:rFonts w:hint="eastAsia" w:ascii="宋体" w:hAnsi="宋体" w:eastAsia="宋体" w:cs="宋体"/>
                <w:color w:val="auto"/>
                <w:sz w:val="24"/>
              </w:rPr>
            </w:pPr>
          </w:p>
        </w:tc>
      </w:tr>
      <w:tr w14:paraId="7EB0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227DABAA">
            <w:pPr>
              <w:jc w:val="left"/>
              <w:rPr>
                <w:rFonts w:hint="eastAsia" w:ascii="宋体" w:hAnsi="宋体" w:eastAsia="宋体" w:cs="宋体"/>
                <w:color w:val="auto"/>
                <w:sz w:val="24"/>
              </w:rPr>
            </w:pPr>
          </w:p>
        </w:tc>
        <w:tc>
          <w:tcPr>
            <w:tcW w:w="2127" w:type="dxa"/>
            <w:noWrap/>
            <w:vAlign w:val="center"/>
          </w:tcPr>
          <w:p w14:paraId="2175103E">
            <w:pPr>
              <w:jc w:val="left"/>
              <w:rPr>
                <w:rFonts w:hint="eastAsia" w:ascii="宋体" w:hAnsi="宋体" w:eastAsia="宋体" w:cs="宋体"/>
                <w:color w:val="auto"/>
                <w:sz w:val="24"/>
              </w:rPr>
            </w:pPr>
          </w:p>
        </w:tc>
        <w:tc>
          <w:tcPr>
            <w:tcW w:w="1559" w:type="dxa"/>
            <w:noWrap/>
            <w:vAlign w:val="center"/>
          </w:tcPr>
          <w:p w14:paraId="5382E9CE">
            <w:pPr>
              <w:jc w:val="left"/>
              <w:rPr>
                <w:rFonts w:hint="eastAsia" w:ascii="宋体" w:hAnsi="宋体" w:eastAsia="宋体" w:cs="宋体"/>
                <w:color w:val="auto"/>
                <w:sz w:val="24"/>
              </w:rPr>
            </w:pPr>
          </w:p>
        </w:tc>
        <w:tc>
          <w:tcPr>
            <w:tcW w:w="1275" w:type="dxa"/>
            <w:noWrap/>
            <w:vAlign w:val="center"/>
          </w:tcPr>
          <w:p w14:paraId="07EB8B7B">
            <w:pPr>
              <w:jc w:val="left"/>
              <w:rPr>
                <w:rFonts w:hint="eastAsia" w:ascii="宋体" w:hAnsi="宋体" w:eastAsia="宋体" w:cs="宋体"/>
                <w:color w:val="auto"/>
                <w:sz w:val="24"/>
              </w:rPr>
            </w:pPr>
          </w:p>
        </w:tc>
        <w:tc>
          <w:tcPr>
            <w:tcW w:w="1134" w:type="dxa"/>
            <w:noWrap/>
            <w:vAlign w:val="center"/>
          </w:tcPr>
          <w:p w14:paraId="6075E891">
            <w:pPr>
              <w:jc w:val="left"/>
              <w:rPr>
                <w:rFonts w:hint="eastAsia" w:ascii="宋体" w:hAnsi="宋体" w:eastAsia="宋体" w:cs="宋体"/>
                <w:color w:val="auto"/>
                <w:sz w:val="24"/>
              </w:rPr>
            </w:pPr>
          </w:p>
        </w:tc>
        <w:tc>
          <w:tcPr>
            <w:tcW w:w="1134" w:type="dxa"/>
            <w:noWrap/>
            <w:vAlign w:val="center"/>
          </w:tcPr>
          <w:p w14:paraId="60870F1E">
            <w:pPr>
              <w:jc w:val="left"/>
              <w:rPr>
                <w:rFonts w:hint="eastAsia" w:ascii="宋体" w:hAnsi="宋体" w:eastAsia="宋体" w:cs="宋体"/>
                <w:color w:val="auto"/>
                <w:sz w:val="24"/>
              </w:rPr>
            </w:pPr>
          </w:p>
        </w:tc>
        <w:tc>
          <w:tcPr>
            <w:tcW w:w="993" w:type="dxa"/>
            <w:noWrap/>
            <w:vAlign w:val="center"/>
          </w:tcPr>
          <w:p w14:paraId="44849E6B">
            <w:pPr>
              <w:jc w:val="left"/>
              <w:rPr>
                <w:rFonts w:hint="eastAsia" w:ascii="宋体" w:hAnsi="宋体" w:eastAsia="宋体" w:cs="宋体"/>
                <w:color w:val="auto"/>
                <w:sz w:val="24"/>
              </w:rPr>
            </w:pPr>
          </w:p>
        </w:tc>
        <w:tc>
          <w:tcPr>
            <w:tcW w:w="1134" w:type="dxa"/>
            <w:noWrap/>
            <w:vAlign w:val="center"/>
          </w:tcPr>
          <w:p w14:paraId="3E34CAE9">
            <w:pPr>
              <w:jc w:val="left"/>
              <w:rPr>
                <w:rFonts w:hint="eastAsia" w:ascii="宋体" w:hAnsi="宋体" w:eastAsia="宋体" w:cs="宋体"/>
                <w:color w:val="auto"/>
                <w:sz w:val="24"/>
              </w:rPr>
            </w:pPr>
          </w:p>
        </w:tc>
      </w:tr>
      <w:tr w14:paraId="6A28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14:paraId="549B4FDF">
            <w:pPr>
              <w:jc w:val="left"/>
              <w:rPr>
                <w:rFonts w:hint="eastAsia" w:ascii="宋体" w:hAnsi="宋体" w:eastAsia="宋体" w:cs="宋体"/>
                <w:color w:val="auto"/>
                <w:sz w:val="24"/>
              </w:rPr>
            </w:pPr>
          </w:p>
        </w:tc>
        <w:tc>
          <w:tcPr>
            <w:tcW w:w="2127" w:type="dxa"/>
            <w:noWrap/>
            <w:vAlign w:val="center"/>
          </w:tcPr>
          <w:p w14:paraId="5E3AC47A">
            <w:pPr>
              <w:jc w:val="left"/>
              <w:rPr>
                <w:rFonts w:hint="eastAsia" w:ascii="宋体" w:hAnsi="宋体" w:eastAsia="宋体" w:cs="宋体"/>
                <w:color w:val="auto"/>
                <w:sz w:val="24"/>
              </w:rPr>
            </w:pPr>
          </w:p>
        </w:tc>
        <w:tc>
          <w:tcPr>
            <w:tcW w:w="1559" w:type="dxa"/>
            <w:noWrap/>
            <w:vAlign w:val="center"/>
          </w:tcPr>
          <w:p w14:paraId="0924491A">
            <w:pPr>
              <w:jc w:val="left"/>
              <w:rPr>
                <w:rFonts w:hint="eastAsia" w:ascii="宋体" w:hAnsi="宋体" w:eastAsia="宋体" w:cs="宋体"/>
                <w:color w:val="auto"/>
                <w:sz w:val="24"/>
              </w:rPr>
            </w:pPr>
          </w:p>
        </w:tc>
        <w:tc>
          <w:tcPr>
            <w:tcW w:w="1275" w:type="dxa"/>
            <w:noWrap/>
            <w:vAlign w:val="center"/>
          </w:tcPr>
          <w:p w14:paraId="321135FE">
            <w:pPr>
              <w:jc w:val="left"/>
              <w:rPr>
                <w:rFonts w:hint="eastAsia" w:ascii="宋体" w:hAnsi="宋体" w:eastAsia="宋体" w:cs="宋体"/>
                <w:color w:val="auto"/>
                <w:sz w:val="24"/>
              </w:rPr>
            </w:pPr>
          </w:p>
        </w:tc>
        <w:tc>
          <w:tcPr>
            <w:tcW w:w="1134" w:type="dxa"/>
            <w:noWrap/>
            <w:vAlign w:val="center"/>
          </w:tcPr>
          <w:p w14:paraId="0CB869CF">
            <w:pPr>
              <w:jc w:val="left"/>
              <w:rPr>
                <w:rFonts w:hint="eastAsia" w:ascii="宋体" w:hAnsi="宋体" w:eastAsia="宋体" w:cs="宋体"/>
                <w:color w:val="auto"/>
                <w:sz w:val="24"/>
              </w:rPr>
            </w:pPr>
          </w:p>
        </w:tc>
        <w:tc>
          <w:tcPr>
            <w:tcW w:w="1134" w:type="dxa"/>
            <w:noWrap/>
            <w:vAlign w:val="center"/>
          </w:tcPr>
          <w:p w14:paraId="6B4BFD0C">
            <w:pPr>
              <w:jc w:val="left"/>
              <w:rPr>
                <w:rFonts w:hint="eastAsia" w:ascii="宋体" w:hAnsi="宋体" w:eastAsia="宋体" w:cs="宋体"/>
                <w:color w:val="auto"/>
                <w:sz w:val="24"/>
              </w:rPr>
            </w:pPr>
          </w:p>
        </w:tc>
        <w:tc>
          <w:tcPr>
            <w:tcW w:w="993" w:type="dxa"/>
            <w:noWrap/>
            <w:vAlign w:val="center"/>
          </w:tcPr>
          <w:p w14:paraId="06AE9650">
            <w:pPr>
              <w:jc w:val="left"/>
              <w:rPr>
                <w:rFonts w:hint="eastAsia" w:ascii="宋体" w:hAnsi="宋体" w:eastAsia="宋体" w:cs="宋体"/>
                <w:color w:val="auto"/>
                <w:sz w:val="24"/>
              </w:rPr>
            </w:pPr>
          </w:p>
        </w:tc>
        <w:tc>
          <w:tcPr>
            <w:tcW w:w="1134" w:type="dxa"/>
            <w:noWrap/>
            <w:vAlign w:val="center"/>
          </w:tcPr>
          <w:p w14:paraId="239615CA">
            <w:pPr>
              <w:jc w:val="left"/>
              <w:rPr>
                <w:rFonts w:hint="eastAsia" w:ascii="宋体" w:hAnsi="宋体" w:eastAsia="宋体" w:cs="宋体"/>
                <w:color w:val="auto"/>
                <w:sz w:val="24"/>
              </w:rPr>
            </w:pPr>
          </w:p>
        </w:tc>
      </w:tr>
    </w:tbl>
    <w:p w14:paraId="18EED725">
      <w:pPr>
        <w:spacing w:line="360" w:lineRule="auto"/>
        <w:jc w:val="left"/>
        <w:rPr>
          <w:rFonts w:hint="eastAsia" w:ascii="宋体" w:hAnsi="宋体" w:eastAsia="宋体" w:cs="宋体"/>
          <w:b/>
          <w:color w:val="auto"/>
          <w:sz w:val="24"/>
        </w:rPr>
      </w:pPr>
      <w:r>
        <w:rPr>
          <w:rFonts w:hint="eastAsia" w:ascii="宋体" w:hAnsi="宋体" w:eastAsia="宋体" w:cs="宋体"/>
          <w:b/>
          <w:color w:val="auto"/>
          <w:sz w:val="24"/>
        </w:rPr>
        <w:t>备注：</w:t>
      </w:r>
    </w:p>
    <w:p w14:paraId="0890505E">
      <w:pPr>
        <w:spacing w:line="360" w:lineRule="auto"/>
        <w:jc w:val="left"/>
        <w:rPr>
          <w:rFonts w:hint="eastAsia" w:ascii="宋体" w:hAnsi="宋体" w:eastAsia="宋体" w:cs="宋体"/>
          <w:b/>
          <w:color w:val="auto"/>
          <w:w w:val="90"/>
          <w:kern w:val="0"/>
          <w:sz w:val="24"/>
        </w:rPr>
      </w:pPr>
      <w:r>
        <w:rPr>
          <w:rFonts w:hint="eastAsia" w:ascii="宋体" w:hAnsi="宋体" w:eastAsia="宋体" w:cs="宋体"/>
          <w:b/>
          <w:color w:val="auto"/>
          <w:sz w:val="24"/>
        </w:rPr>
        <w:t>（1）后附证明材料，证明材料详见评审办法要求。</w:t>
      </w:r>
    </w:p>
    <w:p w14:paraId="5A78AF85">
      <w:pPr>
        <w:spacing w:line="360" w:lineRule="auto"/>
        <w:jc w:val="left"/>
        <w:rPr>
          <w:rFonts w:hint="eastAsia" w:ascii="宋体" w:hAnsi="宋体" w:eastAsia="宋体" w:cs="宋体"/>
          <w:b/>
          <w:color w:val="auto"/>
          <w:sz w:val="24"/>
        </w:rPr>
      </w:pPr>
      <w:r>
        <w:rPr>
          <w:rFonts w:hint="eastAsia" w:ascii="宋体" w:hAnsi="宋体" w:eastAsia="宋体" w:cs="宋体"/>
          <w:b/>
          <w:color w:val="auto"/>
          <w:kern w:val="0"/>
          <w:sz w:val="24"/>
        </w:rPr>
        <w:t>（2）没有</w:t>
      </w:r>
      <w:r>
        <w:rPr>
          <w:rFonts w:hint="eastAsia" w:ascii="宋体" w:hAnsi="宋体" w:cs="宋体"/>
          <w:b/>
          <w:color w:val="auto"/>
          <w:kern w:val="0"/>
          <w:sz w:val="24"/>
          <w:lang w:val="en-US" w:eastAsia="zh-CN"/>
        </w:rPr>
        <w:t>同类或</w:t>
      </w:r>
      <w:r>
        <w:rPr>
          <w:rFonts w:hint="eastAsia" w:ascii="宋体" w:hAnsi="宋体" w:eastAsia="宋体" w:cs="宋体"/>
          <w:b/>
          <w:color w:val="auto"/>
          <w:kern w:val="0"/>
          <w:sz w:val="24"/>
        </w:rPr>
        <w:t>类似工程的，此表可以不提供。</w:t>
      </w:r>
    </w:p>
    <w:p w14:paraId="4531DC37">
      <w:pPr>
        <w:spacing w:line="360" w:lineRule="auto"/>
        <w:jc w:val="left"/>
        <w:rPr>
          <w:rFonts w:hint="eastAsia" w:ascii="宋体" w:hAnsi="宋体" w:eastAsia="宋体" w:cs="宋体"/>
          <w:color w:val="auto"/>
          <w:sz w:val="24"/>
        </w:rPr>
      </w:pPr>
    </w:p>
    <w:p w14:paraId="2499DDC1">
      <w:pPr>
        <w:wordWrap w:val="0"/>
        <w:snapToGrid w:val="0"/>
        <w:spacing w:line="360" w:lineRule="auto"/>
        <w:jc w:val="righ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eastAsia="zh-CN"/>
        </w:rPr>
        <w:t>磋商供应商</w:t>
      </w:r>
      <w:r>
        <w:rPr>
          <w:rFonts w:hint="eastAsia" w:ascii="宋体" w:hAnsi="宋体" w:eastAsia="宋体" w:cs="宋体"/>
          <w:color w:val="auto"/>
          <w:sz w:val="24"/>
          <w:szCs w:val="28"/>
        </w:rPr>
        <w:t>名称（加盖法人电子印章）：</w:t>
      </w:r>
      <w:r>
        <w:rPr>
          <w:rFonts w:hint="eastAsia" w:ascii="宋体" w:hAnsi="宋体" w:cs="宋体"/>
          <w:color w:val="auto"/>
          <w:w w:val="90"/>
          <w:kern w:val="0"/>
          <w:sz w:val="22"/>
          <w:u w:val="single"/>
          <w:lang w:val="en-US" w:eastAsia="zh-CN"/>
        </w:rPr>
        <w:t xml:space="preserve">                                 </w:t>
      </w:r>
    </w:p>
    <w:p w14:paraId="43219EA1">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408FF502">
      <w:pPr>
        <w:autoSpaceDE w:val="0"/>
        <w:autoSpaceDN w:val="0"/>
        <w:adjustRightInd w:val="0"/>
        <w:spacing w:line="360" w:lineRule="auto"/>
        <w:jc w:val="right"/>
        <w:rPr>
          <w:rFonts w:hint="eastAsia" w:ascii="宋体" w:hAnsi="宋体" w:eastAsia="宋体" w:cs="宋体"/>
          <w:color w:val="auto"/>
          <w:w w:val="90"/>
          <w:kern w:val="0"/>
          <w:sz w:val="22"/>
          <w:u w:val="single"/>
        </w:rPr>
      </w:pPr>
    </w:p>
    <w:p w14:paraId="6062B7FB">
      <w:pPr>
        <w:autoSpaceDE w:val="0"/>
        <w:autoSpaceDN w:val="0"/>
        <w:adjustRightInd w:val="0"/>
        <w:spacing w:line="360" w:lineRule="auto"/>
        <w:ind w:firstLine="420"/>
        <w:jc w:val="right"/>
        <w:rPr>
          <w:rFonts w:hint="eastAsia" w:ascii="宋体" w:hAnsi="宋体" w:eastAsia="宋体" w:cs="宋体"/>
          <w:color w:val="auto"/>
          <w:w w:val="90"/>
          <w:kern w:val="0"/>
          <w:sz w:val="22"/>
        </w:rPr>
        <w:sectPr>
          <w:headerReference r:id="rId19" w:type="default"/>
          <w:pgSz w:w="11906" w:h="16838"/>
          <w:pgMar w:top="1440" w:right="1416" w:bottom="1440" w:left="1560" w:header="851" w:footer="992" w:gutter="0"/>
          <w:pgNumType w:fmt="decimal"/>
          <w:cols w:space="720" w:num="1"/>
          <w:docGrid w:linePitch="312" w:charSpace="0"/>
        </w:sectPr>
      </w:pPr>
    </w:p>
    <w:p w14:paraId="542E53B7">
      <w:pPr>
        <w:pStyle w:val="5"/>
        <w:ind w:firstLine="2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5</w:t>
      </w:r>
      <w:r>
        <w:rPr>
          <w:rFonts w:hint="eastAsia" w:ascii="宋体" w:hAnsi="宋体" w:eastAsia="宋体" w:cs="宋体"/>
          <w:color w:val="auto"/>
        </w:rPr>
        <w:t>、拟派项目经理</w:t>
      </w:r>
      <w:r>
        <w:rPr>
          <w:rFonts w:hint="eastAsia" w:ascii="宋体" w:hAnsi="宋体" w:cs="宋体"/>
          <w:color w:val="auto"/>
          <w:lang w:val="en-US" w:eastAsia="zh-CN"/>
        </w:rPr>
        <w:t>同类或</w:t>
      </w:r>
      <w:r>
        <w:rPr>
          <w:rFonts w:hint="eastAsia" w:ascii="宋体" w:hAnsi="宋体" w:eastAsia="宋体" w:cs="宋体"/>
          <w:color w:val="auto"/>
        </w:rPr>
        <w:t>类似项目业绩情况</w:t>
      </w:r>
    </w:p>
    <w:p w14:paraId="5E78F5FE">
      <w:pPr>
        <w:spacing w:line="360" w:lineRule="auto"/>
        <w:jc w:val="center"/>
        <w:rPr>
          <w:rFonts w:hint="eastAsia" w:ascii="宋体" w:hAnsi="宋体" w:eastAsia="宋体" w:cs="宋体"/>
          <w:b/>
          <w:color w:val="auto"/>
          <w:kern w:val="0"/>
          <w:sz w:val="44"/>
          <w:szCs w:val="28"/>
        </w:rPr>
      </w:pPr>
      <w:r>
        <w:rPr>
          <w:rFonts w:hint="eastAsia" w:ascii="宋体" w:hAnsi="宋体" w:eastAsia="宋体" w:cs="宋体"/>
          <w:b/>
          <w:color w:val="auto"/>
          <w:kern w:val="0"/>
          <w:sz w:val="44"/>
          <w:szCs w:val="28"/>
        </w:rPr>
        <w:t>拟派项目经理</w:t>
      </w:r>
      <w:r>
        <w:rPr>
          <w:rFonts w:hint="eastAsia" w:ascii="宋体" w:hAnsi="宋体" w:cs="宋体"/>
          <w:b/>
          <w:color w:val="auto"/>
          <w:kern w:val="0"/>
          <w:sz w:val="44"/>
          <w:szCs w:val="28"/>
          <w:lang w:val="en-US" w:eastAsia="zh-CN"/>
        </w:rPr>
        <w:t>同类或类似</w:t>
      </w:r>
      <w:r>
        <w:rPr>
          <w:rFonts w:hint="eastAsia" w:ascii="宋体" w:hAnsi="宋体" w:eastAsia="宋体" w:cs="宋体"/>
          <w:b/>
          <w:color w:val="auto"/>
          <w:kern w:val="0"/>
          <w:sz w:val="44"/>
          <w:szCs w:val="28"/>
        </w:rPr>
        <w:t>工程表及证明材料</w:t>
      </w:r>
    </w:p>
    <w:p w14:paraId="51E2A02D">
      <w:pPr>
        <w:spacing w:line="360" w:lineRule="auto"/>
        <w:jc w:val="left"/>
        <w:rPr>
          <w:rFonts w:hint="eastAsia" w:ascii="宋体" w:hAnsi="宋体" w:eastAsia="宋体" w:cs="宋体"/>
          <w:b/>
          <w:color w:val="auto"/>
          <w:sz w:val="24"/>
          <w:u w:val="single"/>
          <w:lang w:eastAsia="zh-CN"/>
        </w:rPr>
      </w:pPr>
      <w:r>
        <w:rPr>
          <w:rFonts w:hint="eastAsia" w:ascii="宋体" w:hAnsi="宋体" w:eastAsia="宋体" w:cs="宋体"/>
          <w:b/>
          <w:color w:val="auto"/>
          <w:sz w:val="24"/>
        </w:rPr>
        <w:t>项目名称：</w:t>
      </w:r>
      <w:r>
        <w:rPr>
          <w:rFonts w:hint="eastAsia" w:ascii="宋体" w:hAnsi="宋体" w:cs="宋体"/>
          <w:b/>
          <w:color w:val="auto"/>
          <w:sz w:val="24"/>
          <w:u w:val="single"/>
          <w:lang w:val="en-US" w:eastAsia="zh-CN"/>
        </w:rPr>
        <w:t>太古镇2026年蔬菜大棚新建改造项目</w:t>
      </w:r>
    </w:p>
    <w:p w14:paraId="4E03A13E">
      <w:pPr>
        <w:spacing w:line="360" w:lineRule="auto"/>
        <w:jc w:val="left"/>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rPr>
        <w:t>项目编号：</w:t>
      </w:r>
    </w:p>
    <w:tbl>
      <w:tblPr>
        <w:tblStyle w:val="2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3033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373AB1D0">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2127" w:type="dxa"/>
            <w:noWrap/>
            <w:vAlign w:val="center"/>
          </w:tcPr>
          <w:p w14:paraId="4FF65589">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甲方单位</w:t>
            </w:r>
          </w:p>
        </w:tc>
        <w:tc>
          <w:tcPr>
            <w:tcW w:w="1559" w:type="dxa"/>
            <w:noWrap/>
            <w:vAlign w:val="center"/>
          </w:tcPr>
          <w:p w14:paraId="1835A177">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项目名称</w:t>
            </w:r>
          </w:p>
        </w:tc>
        <w:tc>
          <w:tcPr>
            <w:tcW w:w="1275" w:type="dxa"/>
            <w:noWrap/>
            <w:vAlign w:val="center"/>
          </w:tcPr>
          <w:p w14:paraId="5BB53AD9">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合同金额</w:t>
            </w:r>
          </w:p>
        </w:tc>
        <w:tc>
          <w:tcPr>
            <w:tcW w:w="1134" w:type="dxa"/>
            <w:noWrap/>
            <w:vAlign w:val="center"/>
          </w:tcPr>
          <w:p w14:paraId="5A95280A">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合同主要内容</w:t>
            </w:r>
          </w:p>
        </w:tc>
        <w:tc>
          <w:tcPr>
            <w:tcW w:w="1134" w:type="dxa"/>
            <w:noWrap/>
            <w:vAlign w:val="center"/>
          </w:tcPr>
          <w:p w14:paraId="5070DD85">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合同签订时间</w:t>
            </w:r>
          </w:p>
        </w:tc>
        <w:tc>
          <w:tcPr>
            <w:tcW w:w="993" w:type="dxa"/>
            <w:noWrap/>
            <w:vAlign w:val="center"/>
          </w:tcPr>
          <w:p w14:paraId="7BC77584">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甲方联系人</w:t>
            </w:r>
          </w:p>
        </w:tc>
        <w:tc>
          <w:tcPr>
            <w:tcW w:w="1134" w:type="dxa"/>
            <w:noWrap/>
            <w:vAlign w:val="center"/>
          </w:tcPr>
          <w:p w14:paraId="243A4472">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甲方联系电话</w:t>
            </w:r>
          </w:p>
        </w:tc>
      </w:tr>
      <w:tr w14:paraId="662F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71E87922">
            <w:pPr>
              <w:jc w:val="left"/>
              <w:rPr>
                <w:rFonts w:hint="eastAsia" w:ascii="宋体" w:hAnsi="宋体" w:eastAsia="宋体" w:cs="宋体"/>
                <w:color w:val="auto"/>
                <w:sz w:val="24"/>
              </w:rPr>
            </w:pPr>
          </w:p>
        </w:tc>
        <w:tc>
          <w:tcPr>
            <w:tcW w:w="2127" w:type="dxa"/>
            <w:noWrap/>
            <w:vAlign w:val="center"/>
          </w:tcPr>
          <w:p w14:paraId="4C41218F">
            <w:pPr>
              <w:jc w:val="left"/>
              <w:rPr>
                <w:rFonts w:hint="eastAsia" w:ascii="宋体" w:hAnsi="宋体" w:eastAsia="宋体" w:cs="宋体"/>
                <w:color w:val="auto"/>
                <w:sz w:val="24"/>
              </w:rPr>
            </w:pPr>
          </w:p>
        </w:tc>
        <w:tc>
          <w:tcPr>
            <w:tcW w:w="1559" w:type="dxa"/>
            <w:noWrap/>
            <w:vAlign w:val="center"/>
          </w:tcPr>
          <w:p w14:paraId="50186A4E">
            <w:pPr>
              <w:jc w:val="left"/>
              <w:rPr>
                <w:rFonts w:hint="eastAsia" w:ascii="宋体" w:hAnsi="宋体" w:eastAsia="宋体" w:cs="宋体"/>
                <w:color w:val="auto"/>
                <w:sz w:val="24"/>
              </w:rPr>
            </w:pPr>
          </w:p>
        </w:tc>
        <w:tc>
          <w:tcPr>
            <w:tcW w:w="1275" w:type="dxa"/>
            <w:noWrap/>
            <w:vAlign w:val="center"/>
          </w:tcPr>
          <w:p w14:paraId="37EDDEC7">
            <w:pPr>
              <w:jc w:val="left"/>
              <w:rPr>
                <w:rFonts w:hint="eastAsia" w:ascii="宋体" w:hAnsi="宋体" w:eastAsia="宋体" w:cs="宋体"/>
                <w:color w:val="auto"/>
                <w:sz w:val="24"/>
              </w:rPr>
            </w:pPr>
          </w:p>
        </w:tc>
        <w:tc>
          <w:tcPr>
            <w:tcW w:w="1134" w:type="dxa"/>
            <w:noWrap/>
            <w:vAlign w:val="center"/>
          </w:tcPr>
          <w:p w14:paraId="09E8B40C">
            <w:pPr>
              <w:jc w:val="left"/>
              <w:rPr>
                <w:rFonts w:hint="eastAsia" w:ascii="宋体" w:hAnsi="宋体" w:eastAsia="宋体" w:cs="宋体"/>
                <w:color w:val="auto"/>
                <w:sz w:val="24"/>
              </w:rPr>
            </w:pPr>
          </w:p>
        </w:tc>
        <w:tc>
          <w:tcPr>
            <w:tcW w:w="1134" w:type="dxa"/>
            <w:noWrap/>
            <w:vAlign w:val="center"/>
          </w:tcPr>
          <w:p w14:paraId="5C28069A">
            <w:pPr>
              <w:jc w:val="left"/>
              <w:rPr>
                <w:rFonts w:hint="eastAsia" w:ascii="宋体" w:hAnsi="宋体" w:eastAsia="宋体" w:cs="宋体"/>
                <w:color w:val="auto"/>
                <w:sz w:val="24"/>
              </w:rPr>
            </w:pPr>
          </w:p>
        </w:tc>
        <w:tc>
          <w:tcPr>
            <w:tcW w:w="993" w:type="dxa"/>
            <w:noWrap/>
            <w:vAlign w:val="center"/>
          </w:tcPr>
          <w:p w14:paraId="0EF6AF7D">
            <w:pPr>
              <w:jc w:val="left"/>
              <w:rPr>
                <w:rFonts w:hint="eastAsia" w:ascii="宋体" w:hAnsi="宋体" w:eastAsia="宋体" w:cs="宋体"/>
                <w:color w:val="auto"/>
                <w:sz w:val="24"/>
              </w:rPr>
            </w:pPr>
          </w:p>
        </w:tc>
        <w:tc>
          <w:tcPr>
            <w:tcW w:w="1134" w:type="dxa"/>
            <w:noWrap/>
            <w:vAlign w:val="center"/>
          </w:tcPr>
          <w:p w14:paraId="24850E6C">
            <w:pPr>
              <w:jc w:val="left"/>
              <w:rPr>
                <w:rFonts w:hint="eastAsia" w:ascii="宋体" w:hAnsi="宋体" w:eastAsia="宋体" w:cs="宋体"/>
                <w:color w:val="auto"/>
                <w:sz w:val="24"/>
              </w:rPr>
            </w:pPr>
          </w:p>
        </w:tc>
      </w:tr>
      <w:tr w14:paraId="172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7F185DBC">
            <w:pPr>
              <w:jc w:val="left"/>
              <w:rPr>
                <w:rFonts w:hint="eastAsia" w:ascii="宋体" w:hAnsi="宋体" w:eastAsia="宋体" w:cs="宋体"/>
                <w:color w:val="auto"/>
                <w:sz w:val="24"/>
              </w:rPr>
            </w:pPr>
          </w:p>
        </w:tc>
        <w:tc>
          <w:tcPr>
            <w:tcW w:w="2127" w:type="dxa"/>
            <w:noWrap/>
            <w:vAlign w:val="center"/>
          </w:tcPr>
          <w:p w14:paraId="6A1B7CFF">
            <w:pPr>
              <w:jc w:val="left"/>
              <w:rPr>
                <w:rFonts w:hint="eastAsia" w:ascii="宋体" w:hAnsi="宋体" w:eastAsia="宋体" w:cs="宋体"/>
                <w:color w:val="auto"/>
                <w:sz w:val="24"/>
              </w:rPr>
            </w:pPr>
          </w:p>
        </w:tc>
        <w:tc>
          <w:tcPr>
            <w:tcW w:w="1559" w:type="dxa"/>
            <w:noWrap/>
            <w:vAlign w:val="center"/>
          </w:tcPr>
          <w:p w14:paraId="55B41816">
            <w:pPr>
              <w:jc w:val="left"/>
              <w:rPr>
                <w:rFonts w:hint="eastAsia" w:ascii="宋体" w:hAnsi="宋体" w:eastAsia="宋体" w:cs="宋体"/>
                <w:color w:val="auto"/>
                <w:sz w:val="24"/>
              </w:rPr>
            </w:pPr>
          </w:p>
        </w:tc>
        <w:tc>
          <w:tcPr>
            <w:tcW w:w="1275" w:type="dxa"/>
            <w:noWrap/>
            <w:vAlign w:val="center"/>
          </w:tcPr>
          <w:p w14:paraId="30986E8C">
            <w:pPr>
              <w:jc w:val="left"/>
              <w:rPr>
                <w:rFonts w:hint="eastAsia" w:ascii="宋体" w:hAnsi="宋体" w:eastAsia="宋体" w:cs="宋体"/>
                <w:color w:val="auto"/>
                <w:sz w:val="24"/>
              </w:rPr>
            </w:pPr>
          </w:p>
        </w:tc>
        <w:tc>
          <w:tcPr>
            <w:tcW w:w="1134" w:type="dxa"/>
            <w:noWrap/>
            <w:vAlign w:val="center"/>
          </w:tcPr>
          <w:p w14:paraId="0FA07D85">
            <w:pPr>
              <w:jc w:val="left"/>
              <w:rPr>
                <w:rFonts w:hint="eastAsia" w:ascii="宋体" w:hAnsi="宋体" w:eastAsia="宋体" w:cs="宋体"/>
                <w:color w:val="auto"/>
                <w:sz w:val="24"/>
              </w:rPr>
            </w:pPr>
          </w:p>
        </w:tc>
        <w:tc>
          <w:tcPr>
            <w:tcW w:w="1134" w:type="dxa"/>
            <w:noWrap/>
            <w:vAlign w:val="center"/>
          </w:tcPr>
          <w:p w14:paraId="370ED4B3">
            <w:pPr>
              <w:jc w:val="left"/>
              <w:rPr>
                <w:rFonts w:hint="eastAsia" w:ascii="宋体" w:hAnsi="宋体" w:eastAsia="宋体" w:cs="宋体"/>
                <w:color w:val="auto"/>
                <w:sz w:val="24"/>
              </w:rPr>
            </w:pPr>
          </w:p>
        </w:tc>
        <w:tc>
          <w:tcPr>
            <w:tcW w:w="993" w:type="dxa"/>
            <w:noWrap/>
            <w:vAlign w:val="center"/>
          </w:tcPr>
          <w:p w14:paraId="2D6DD084">
            <w:pPr>
              <w:jc w:val="left"/>
              <w:rPr>
                <w:rFonts w:hint="eastAsia" w:ascii="宋体" w:hAnsi="宋体" w:eastAsia="宋体" w:cs="宋体"/>
                <w:color w:val="auto"/>
                <w:sz w:val="24"/>
              </w:rPr>
            </w:pPr>
          </w:p>
        </w:tc>
        <w:tc>
          <w:tcPr>
            <w:tcW w:w="1134" w:type="dxa"/>
            <w:noWrap/>
            <w:vAlign w:val="center"/>
          </w:tcPr>
          <w:p w14:paraId="65C402EE">
            <w:pPr>
              <w:jc w:val="left"/>
              <w:rPr>
                <w:rFonts w:hint="eastAsia" w:ascii="宋体" w:hAnsi="宋体" w:eastAsia="宋体" w:cs="宋体"/>
                <w:color w:val="auto"/>
                <w:sz w:val="24"/>
              </w:rPr>
            </w:pPr>
          </w:p>
        </w:tc>
      </w:tr>
      <w:tr w14:paraId="712F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75C3BC40">
            <w:pPr>
              <w:jc w:val="left"/>
              <w:rPr>
                <w:rFonts w:hint="eastAsia" w:ascii="宋体" w:hAnsi="宋体" w:eastAsia="宋体" w:cs="宋体"/>
                <w:color w:val="auto"/>
                <w:sz w:val="24"/>
              </w:rPr>
            </w:pPr>
          </w:p>
        </w:tc>
        <w:tc>
          <w:tcPr>
            <w:tcW w:w="2127" w:type="dxa"/>
            <w:noWrap/>
            <w:vAlign w:val="center"/>
          </w:tcPr>
          <w:p w14:paraId="14AE0E23">
            <w:pPr>
              <w:jc w:val="left"/>
              <w:rPr>
                <w:rFonts w:hint="eastAsia" w:ascii="宋体" w:hAnsi="宋体" w:eastAsia="宋体" w:cs="宋体"/>
                <w:color w:val="auto"/>
                <w:sz w:val="24"/>
              </w:rPr>
            </w:pPr>
          </w:p>
        </w:tc>
        <w:tc>
          <w:tcPr>
            <w:tcW w:w="1559" w:type="dxa"/>
            <w:noWrap/>
            <w:vAlign w:val="center"/>
          </w:tcPr>
          <w:p w14:paraId="63FAA734">
            <w:pPr>
              <w:jc w:val="left"/>
              <w:rPr>
                <w:rFonts w:hint="eastAsia" w:ascii="宋体" w:hAnsi="宋体" w:eastAsia="宋体" w:cs="宋体"/>
                <w:color w:val="auto"/>
                <w:sz w:val="24"/>
              </w:rPr>
            </w:pPr>
          </w:p>
        </w:tc>
        <w:tc>
          <w:tcPr>
            <w:tcW w:w="1275" w:type="dxa"/>
            <w:noWrap/>
            <w:vAlign w:val="center"/>
          </w:tcPr>
          <w:p w14:paraId="69923AC9">
            <w:pPr>
              <w:jc w:val="left"/>
              <w:rPr>
                <w:rFonts w:hint="eastAsia" w:ascii="宋体" w:hAnsi="宋体" w:eastAsia="宋体" w:cs="宋体"/>
                <w:color w:val="auto"/>
                <w:sz w:val="24"/>
              </w:rPr>
            </w:pPr>
          </w:p>
        </w:tc>
        <w:tc>
          <w:tcPr>
            <w:tcW w:w="1134" w:type="dxa"/>
            <w:noWrap/>
            <w:vAlign w:val="center"/>
          </w:tcPr>
          <w:p w14:paraId="1F10B708">
            <w:pPr>
              <w:jc w:val="left"/>
              <w:rPr>
                <w:rFonts w:hint="eastAsia" w:ascii="宋体" w:hAnsi="宋体" w:eastAsia="宋体" w:cs="宋体"/>
                <w:color w:val="auto"/>
                <w:sz w:val="24"/>
              </w:rPr>
            </w:pPr>
          </w:p>
        </w:tc>
        <w:tc>
          <w:tcPr>
            <w:tcW w:w="1134" w:type="dxa"/>
            <w:noWrap/>
            <w:vAlign w:val="center"/>
          </w:tcPr>
          <w:p w14:paraId="6045EEBD">
            <w:pPr>
              <w:jc w:val="left"/>
              <w:rPr>
                <w:rFonts w:hint="eastAsia" w:ascii="宋体" w:hAnsi="宋体" w:eastAsia="宋体" w:cs="宋体"/>
                <w:color w:val="auto"/>
                <w:sz w:val="24"/>
              </w:rPr>
            </w:pPr>
          </w:p>
        </w:tc>
        <w:tc>
          <w:tcPr>
            <w:tcW w:w="993" w:type="dxa"/>
            <w:noWrap/>
            <w:vAlign w:val="center"/>
          </w:tcPr>
          <w:p w14:paraId="48035622">
            <w:pPr>
              <w:jc w:val="left"/>
              <w:rPr>
                <w:rFonts w:hint="eastAsia" w:ascii="宋体" w:hAnsi="宋体" w:eastAsia="宋体" w:cs="宋体"/>
                <w:color w:val="auto"/>
                <w:sz w:val="24"/>
              </w:rPr>
            </w:pPr>
          </w:p>
        </w:tc>
        <w:tc>
          <w:tcPr>
            <w:tcW w:w="1134" w:type="dxa"/>
            <w:noWrap/>
            <w:vAlign w:val="center"/>
          </w:tcPr>
          <w:p w14:paraId="271B44CB">
            <w:pPr>
              <w:jc w:val="left"/>
              <w:rPr>
                <w:rFonts w:hint="eastAsia" w:ascii="宋体" w:hAnsi="宋体" w:eastAsia="宋体" w:cs="宋体"/>
                <w:color w:val="auto"/>
                <w:sz w:val="24"/>
              </w:rPr>
            </w:pPr>
          </w:p>
        </w:tc>
      </w:tr>
      <w:tr w14:paraId="0AED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BBC38B4">
            <w:pPr>
              <w:jc w:val="left"/>
              <w:rPr>
                <w:rFonts w:hint="eastAsia" w:ascii="宋体" w:hAnsi="宋体" w:eastAsia="宋体" w:cs="宋体"/>
                <w:color w:val="auto"/>
                <w:sz w:val="24"/>
              </w:rPr>
            </w:pPr>
          </w:p>
        </w:tc>
        <w:tc>
          <w:tcPr>
            <w:tcW w:w="2127" w:type="dxa"/>
            <w:noWrap/>
            <w:vAlign w:val="center"/>
          </w:tcPr>
          <w:p w14:paraId="5E912A37">
            <w:pPr>
              <w:jc w:val="left"/>
              <w:rPr>
                <w:rFonts w:hint="eastAsia" w:ascii="宋体" w:hAnsi="宋体" w:eastAsia="宋体" w:cs="宋体"/>
                <w:color w:val="auto"/>
                <w:sz w:val="24"/>
              </w:rPr>
            </w:pPr>
          </w:p>
        </w:tc>
        <w:tc>
          <w:tcPr>
            <w:tcW w:w="1559" w:type="dxa"/>
            <w:noWrap/>
            <w:vAlign w:val="center"/>
          </w:tcPr>
          <w:p w14:paraId="7971768F">
            <w:pPr>
              <w:jc w:val="left"/>
              <w:rPr>
                <w:rFonts w:hint="eastAsia" w:ascii="宋体" w:hAnsi="宋体" w:eastAsia="宋体" w:cs="宋体"/>
                <w:color w:val="auto"/>
                <w:sz w:val="24"/>
              </w:rPr>
            </w:pPr>
          </w:p>
        </w:tc>
        <w:tc>
          <w:tcPr>
            <w:tcW w:w="1275" w:type="dxa"/>
            <w:noWrap/>
            <w:vAlign w:val="center"/>
          </w:tcPr>
          <w:p w14:paraId="266AA42C">
            <w:pPr>
              <w:jc w:val="left"/>
              <w:rPr>
                <w:rFonts w:hint="eastAsia" w:ascii="宋体" w:hAnsi="宋体" w:eastAsia="宋体" w:cs="宋体"/>
                <w:color w:val="auto"/>
                <w:sz w:val="24"/>
              </w:rPr>
            </w:pPr>
          </w:p>
        </w:tc>
        <w:tc>
          <w:tcPr>
            <w:tcW w:w="1134" w:type="dxa"/>
            <w:noWrap/>
            <w:vAlign w:val="center"/>
          </w:tcPr>
          <w:p w14:paraId="12A48400">
            <w:pPr>
              <w:jc w:val="left"/>
              <w:rPr>
                <w:rFonts w:hint="eastAsia" w:ascii="宋体" w:hAnsi="宋体" w:eastAsia="宋体" w:cs="宋体"/>
                <w:color w:val="auto"/>
                <w:sz w:val="24"/>
              </w:rPr>
            </w:pPr>
          </w:p>
        </w:tc>
        <w:tc>
          <w:tcPr>
            <w:tcW w:w="1134" w:type="dxa"/>
            <w:noWrap/>
            <w:vAlign w:val="center"/>
          </w:tcPr>
          <w:p w14:paraId="738B5822">
            <w:pPr>
              <w:jc w:val="left"/>
              <w:rPr>
                <w:rFonts w:hint="eastAsia" w:ascii="宋体" w:hAnsi="宋体" w:eastAsia="宋体" w:cs="宋体"/>
                <w:color w:val="auto"/>
                <w:sz w:val="24"/>
              </w:rPr>
            </w:pPr>
          </w:p>
        </w:tc>
        <w:tc>
          <w:tcPr>
            <w:tcW w:w="993" w:type="dxa"/>
            <w:noWrap/>
            <w:vAlign w:val="center"/>
          </w:tcPr>
          <w:p w14:paraId="3E975F65">
            <w:pPr>
              <w:jc w:val="left"/>
              <w:rPr>
                <w:rFonts w:hint="eastAsia" w:ascii="宋体" w:hAnsi="宋体" w:eastAsia="宋体" w:cs="宋体"/>
                <w:color w:val="auto"/>
                <w:sz w:val="24"/>
              </w:rPr>
            </w:pPr>
          </w:p>
        </w:tc>
        <w:tc>
          <w:tcPr>
            <w:tcW w:w="1134" w:type="dxa"/>
            <w:noWrap/>
            <w:vAlign w:val="center"/>
          </w:tcPr>
          <w:p w14:paraId="6DF3975A">
            <w:pPr>
              <w:jc w:val="left"/>
              <w:rPr>
                <w:rFonts w:hint="eastAsia" w:ascii="宋体" w:hAnsi="宋体" w:eastAsia="宋体" w:cs="宋体"/>
                <w:color w:val="auto"/>
                <w:sz w:val="24"/>
              </w:rPr>
            </w:pPr>
          </w:p>
        </w:tc>
      </w:tr>
      <w:tr w14:paraId="09EF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6DA011D8">
            <w:pPr>
              <w:jc w:val="left"/>
              <w:rPr>
                <w:rFonts w:hint="eastAsia" w:ascii="宋体" w:hAnsi="宋体" w:eastAsia="宋体" w:cs="宋体"/>
                <w:color w:val="auto"/>
                <w:sz w:val="24"/>
              </w:rPr>
            </w:pPr>
          </w:p>
        </w:tc>
        <w:tc>
          <w:tcPr>
            <w:tcW w:w="2127" w:type="dxa"/>
            <w:noWrap/>
            <w:vAlign w:val="center"/>
          </w:tcPr>
          <w:p w14:paraId="0D9E1E60">
            <w:pPr>
              <w:jc w:val="left"/>
              <w:rPr>
                <w:rFonts w:hint="eastAsia" w:ascii="宋体" w:hAnsi="宋体" w:eastAsia="宋体" w:cs="宋体"/>
                <w:color w:val="auto"/>
                <w:sz w:val="24"/>
              </w:rPr>
            </w:pPr>
          </w:p>
        </w:tc>
        <w:tc>
          <w:tcPr>
            <w:tcW w:w="1559" w:type="dxa"/>
            <w:noWrap/>
            <w:vAlign w:val="center"/>
          </w:tcPr>
          <w:p w14:paraId="234C202B">
            <w:pPr>
              <w:jc w:val="left"/>
              <w:rPr>
                <w:rFonts w:hint="eastAsia" w:ascii="宋体" w:hAnsi="宋体" w:eastAsia="宋体" w:cs="宋体"/>
                <w:color w:val="auto"/>
                <w:sz w:val="24"/>
              </w:rPr>
            </w:pPr>
          </w:p>
        </w:tc>
        <w:tc>
          <w:tcPr>
            <w:tcW w:w="1275" w:type="dxa"/>
            <w:noWrap/>
            <w:vAlign w:val="center"/>
          </w:tcPr>
          <w:p w14:paraId="5D320626">
            <w:pPr>
              <w:jc w:val="left"/>
              <w:rPr>
                <w:rFonts w:hint="eastAsia" w:ascii="宋体" w:hAnsi="宋体" w:eastAsia="宋体" w:cs="宋体"/>
                <w:color w:val="auto"/>
                <w:sz w:val="24"/>
              </w:rPr>
            </w:pPr>
          </w:p>
        </w:tc>
        <w:tc>
          <w:tcPr>
            <w:tcW w:w="1134" w:type="dxa"/>
            <w:noWrap/>
            <w:vAlign w:val="center"/>
          </w:tcPr>
          <w:p w14:paraId="05EB8AA2">
            <w:pPr>
              <w:jc w:val="left"/>
              <w:rPr>
                <w:rFonts w:hint="eastAsia" w:ascii="宋体" w:hAnsi="宋体" w:eastAsia="宋体" w:cs="宋体"/>
                <w:color w:val="auto"/>
                <w:sz w:val="24"/>
              </w:rPr>
            </w:pPr>
          </w:p>
        </w:tc>
        <w:tc>
          <w:tcPr>
            <w:tcW w:w="1134" w:type="dxa"/>
            <w:noWrap/>
            <w:vAlign w:val="center"/>
          </w:tcPr>
          <w:p w14:paraId="43B242D1">
            <w:pPr>
              <w:jc w:val="left"/>
              <w:rPr>
                <w:rFonts w:hint="eastAsia" w:ascii="宋体" w:hAnsi="宋体" w:eastAsia="宋体" w:cs="宋体"/>
                <w:color w:val="auto"/>
                <w:sz w:val="24"/>
              </w:rPr>
            </w:pPr>
          </w:p>
        </w:tc>
        <w:tc>
          <w:tcPr>
            <w:tcW w:w="993" w:type="dxa"/>
            <w:noWrap/>
            <w:vAlign w:val="center"/>
          </w:tcPr>
          <w:p w14:paraId="10C8D3BC">
            <w:pPr>
              <w:jc w:val="left"/>
              <w:rPr>
                <w:rFonts w:hint="eastAsia" w:ascii="宋体" w:hAnsi="宋体" w:eastAsia="宋体" w:cs="宋体"/>
                <w:color w:val="auto"/>
                <w:sz w:val="24"/>
              </w:rPr>
            </w:pPr>
          </w:p>
        </w:tc>
        <w:tc>
          <w:tcPr>
            <w:tcW w:w="1134" w:type="dxa"/>
            <w:noWrap/>
            <w:vAlign w:val="center"/>
          </w:tcPr>
          <w:p w14:paraId="47DE5994">
            <w:pPr>
              <w:jc w:val="left"/>
              <w:rPr>
                <w:rFonts w:hint="eastAsia" w:ascii="宋体" w:hAnsi="宋体" w:eastAsia="宋体" w:cs="宋体"/>
                <w:color w:val="auto"/>
                <w:sz w:val="24"/>
              </w:rPr>
            </w:pPr>
          </w:p>
        </w:tc>
      </w:tr>
      <w:tr w14:paraId="350C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5F4A50EC">
            <w:pPr>
              <w:jc w:val="left"/>
              <w:rPr>
                <w:rFonts w:hint="eastAsia" w:ascii="宋体" w:hAnsi="宋体" w:eastAsia="宋体" w:cs="宋体"/>
                <w:color w:val="auto"/>
                <w:sz w:val="24"/>
              </w:rPr>
            </w:pPr>
          </w:p>
        </w:tc>
        <w:tc>
          <w:tcPr>
            <w:tcW w:w="2127" w:type="dxa"/>
            <w:noWrap/>
            <w:vAlign w:val="center"/>
          </w:tcPr>
          <w:p w14:paraId="6A29F451">
            <w:pPr>
              <w:jc w:val="left"/>
              <w:rPr>
                <w:rFonts w:hint="eastAsia" w:ascii="宋体" w:hAnsi="宋体" w:eastAsia="宋体" w:cs="宋体"/>
                <w:color w:val="auto"/>
                <w:sz w:val="24"/>
              </w:rPr>
            </w:pPr>
          </w:p>
        </w:tc>
        <w:tc>
          <w:tcPr>
            <w:tcW w:w="1559" w:type="dxa"/>
            <w:noWrap/>
            <w:vAlign w:val="center"/>
          </w:tcPr>
          <w:p w14:paraId="099F0D74">
            <w:pPr>
              <w:jc w:val="left"/>
              <w:rPr>
                <w:rFonts w:hint="eastAsia" w:ascii="宋体" w:hAnsi="宋体" w:eastAsia="宋体" w:cs="宋体"/>
                <w:color w:val="auto"/>
                <w:sz w:val="24"/>
              </w:rPr>
            </w:pPr>
          </w:p>
        </w:tc>
        <w:tc>
          <w:tcPr>
            <w:tcW w:w="1275" w:type="dxa"/>
            <w:noWrap/>
            <w:vAlign w:val="center"/>
          </w:tcPr>
          <w:p w14:paraId="5E2B38FE">
            <w:pPr>
              <w:jc w:val="left"/>
              <w:rPr>
                <w:rFonts w:hint="eastAsia" w:ascii="宋体" w:hAnsi="宋体" w:eastAsia="宋体" w:cs="宋体"/>
                <w:color w:val="auto"/>
                <w:sz w:val="24"/>
              </w:rPr>
            </w:pPr>
          </w:p>
        </w:tc>
        <w:tc>
          <w:tcPr>
            <w:tcW w:w="1134" w:type="dxa"/>
            <w:noWrap/>
            <w:vAlign w:val="center"/>
          </w:tcPr>
          <w:p w14:paraId="5EA2E840">
            <w:pPr>
              <w:jc w:val="left"/>
              <w:rPr>
                <w:rFonts w:hint="eastAsia" w:ascii="宋体" w:hAnsi="宋体" w:eastAsia="宋体" w:cs="宋体"/>
                <w:color w:val="auto"/>
                <w:sz w:val="24"/>
              </w:rPr>
            </w:pPr>
          </w:p>
        </w:tc>
        <w:tc>
          <w:tcPr>
            <w:tcW w:w="1134" w:type="dxa"/>
            <w:noWrap/>
            <w:vAlign w:val="center"/>
          </w:tcPr>
          <w:p w14:paraId="615799D8">
            <w:pPr>
              <w:jc w:val="left"/>
              <w:rPr>
                <w:rFonts w:hint="eastAsia" w:ascii="宋体" w:hAnsi="宋体" w:eastAsia="宋体" w:cs="宋体"/>
                <w:color w:val="auto"/>
                <w:sz w:val="24"/>
              </w:rPr>
            </w:pPr>
          </w:p>
        </w:tc>
        <w:tc>
          <w:tcPr>
            <w:tcW w:w="993" w:type="dxa"/>
            <w:noWrap/>
            <w:vAlign w:val="center"/>
          </w:tcPr>
          <w:p w14:paraId="51560B77">
            <w:pPr>
              <w:jc w:val="left"/>
              <w:rPr>
                <w:rFonts w:hint="eastAsia" w:ascii="宋体" w:hAnsi="宋体" w:eastAsia="宋体" w:cs="宋体"/>
                <w:color w:val="auto"/>
                <w:sz w:val="24"/>
              </w:rPr>
            </w:pPr>
          </w:p>
        </w:tc>
        <w:tc>
          <w:tcPr>
            <w:tcW w:w="1134" w:type="dxa"/>
            <w:noWrap/>
            <w:vAlign w:val="center"/>
          </w:tcPr>
          <w:p w14:paraId="16B3224F">
            <w:pPr>
              <w:jc w:val="left"/>
              <w:rPr>
                <w:rFonts w:hint="eastAsia" w:ascii="宋体" w:hAnsi="宋体" w:eastAsia="宋体" w:cs="宋体"/>
                <w:color w:val="auto"/>
                <w:sz w:val="24"/>
              </w:rPr>
            </w:pPr>
          </w:p>
        </w:tc>
      </w:tr>
      <w:tr w14:paraId="30D9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14:paraId="413AC72F">
            <w:pPr>
              <w:jc w:val="left"/>
              <w:rPr>
                <w:rFonts w:hint="eastAsia" w:ascii="宋体" w:hAnsi="宋体" w:eastAsia="宋体" w:cs="宋体"/>
                <w:color w:val="auto"/>
                <w:sz w:val="24"/>
              </w:rPr>
            </w:pPr>
          </w:p>
        </w:tc>
        <w:tc>
          <w:tcPr>
            <w:tcW w:w="2127" w:type="dxa"/>
            <w:noWrap/>
            <w:vAlign w:val="center"/>
          </w:tcPr>
          <w:p w14:paraId="2178603C">
            <w:pPr>
              <w:jc w:val="left"/>
              <w:rPr>
                <w:rFonts w:hint="eastAsia" w:ascii="宋体" w:hAnsi="宋体" w:eastAsia="宋体" w:cs="宋体"/>
                <w:color w:val="auto"/>
                <w:sz w:val="24"/>
              </w:rPr>
            </w:pPr>
          </w:p>
        </w:tc>
        <w:tc>
          <w:tcPr>
            <w:tcW w:w="1559" w:type="dxa"/>
            <w:noWrap/>
            <w:vAlign w:val="center"/>
          </w:tcPr>
          <w:p w14:paraId="52B7F863">
            <w:pPr>
              <w:jc w:val="left"/>
              <w:rPr>
                <w:rFonts w:hint="eastAsia" w:ascii="宋体" w:hAnsi="宋体" w:eastAsia="宋体" w:cs="宋体"/>
                <w:color w:val="auto"/>
                <w:sz w:val="24"/>
              </w:rPr>
            </w:pPr>
          </w:p>
        </w:tc>
        <w:tc>
          <w:tcPr>
            <w:tcW w:w="1275" w:type="dxa"/>
            <w:noWrap/>
            <w:vAlign w:val="center"/>
          </w:tcPr>
          <w:p w14:paraId="5A5BDCFA">
            <w:pPr>
              <w:jc w:val="left"/>
              <w:rPr>
                <w:rFonts w:hint="eastAsia" w:ascii="宋体" w:hAnsi="宋体" w:eastAsia="宋体" w:cs="宋体"/>
                <w:color w:val="auto"/>
                <w:sz w:val="24"/>
              </w:rPr>
            </w:pPr>
          </w:p>
        </w:tc>
        <w:tc>
          <w:tcPr>
            <w:tcW w:w="1134" w:type="dxa"/>
            <w:noWrap/>
            <w:vAlign w:val="center"/>
          </w:tcPr>
          <w:p w14:paraId="1A7DB058">
            <w:pPr>
              <w:jc w:val="left"/>
              <w:rPr>
                <w:rFonts w:hint="eastAsia" w:ascii="宋体" w:hAnsi="宋体" w:eastAsia="宋体" w:cs="宋体"/>
                <w:color w:val="auto"/>
                <w:sz w:val="24"/>
              </w:rPr>
            </w:pPr>
          </w:p>
        </w:tc>
        <w:tc>
          <w:tcPr>
            <w:tcW w:w="1134" w:type="dxa"/>
            <w:noWrap/>
            <w:vAlign w:val="center"/>
          </w:tcPr>
          <w:p w14:paraId="480E6969">
            <w:pPr>
              <w:jc w:val="left"/>
              <w:rPr>
                <w:rFonts w:hint="eastAsia" w:ascii="宋体" w:hAnsi="宋体" w:eastAsia="宋体" w:cs="宋体"/>
                <w:color w:val="auto"/>
                <w:sz w:val="24"/>
              </w:rPr>
            </w:pPr>
          </w:p>
        </w:tc>
        <w:tc>
          <w:tcPr>
            <w:tcW w:w="993" w:type="dxa"/>
            <w:noWrap/>
            <w:vAlign w:val="center"/>
          </w:tcPr>
          <w:p w14:paraId="0D16CA45">
            <w:pPr>
              <w:jc w:val="left"/>
              <w:rPr>
                <w:rFonts w:hint="eastAsia" w:ascii="宋体" w:hAnsi="宋体" w:eastAsia="宋体" w:cs="宋体"/>
                <w:color w:val="auto"/>
                <w:sz w:val="24"/>
              </w:rPr>
            </w:pPr>
          </w:p>
        </w:tc>
        <w:tc>
          <w:tcPr>
            <w:tcW w:w="1134" w:type="dxa"/>
            <w:noWrap/>
            <w:vAlign w:val="center"/>
          </w:tcPr>
          <w:p w14:paraId="286C32DF">
            <w:pPr>
              <w:jc w:val="left"/>
              <w:rPr>
                <w:rFonts w:hint="eastAsia" w:ascii="宋体" w:hAnsi="宋体" w:eastAsia="宋体" w:cs="宋体"/>
                <w:color w:val="auto"/>
                <w:sz w:val="24"/>
              </w:rPr>
            </w:pPr>
          </w:p>
        </w:tc>
      </w:tr>
    </w:tbl>
    <w:p w14:paraId="18256680">
      <w:pPr>
        <w:spacing w:line="360" w:lineRule="auto"/>
        <w:jc w:val="left"/>
        <w:rPr>
          <w:rFonts w:hint="eastAsia" w:ascii="宋体" w:hAnsi="宋体" w:eastAsia="宋体" w:cs="宋体"/>
          <w:b/>
          <w:color w:val="auto"/>
          <w:sz w:val="24"/>
        </w:rPr>
      </w:pPr>
      <w:r>
        <w:rPr>
          <w:rFonts w:hint="eastAsia" w:ascii="宋体" w:hAnsi="宋体" w:eastAsia="宋体" w:cs="宋体"/>
          <w:b/>
          <w:color w:val="auto"/>
          <w:sz w:val="24"/>
        </w:rPr>
        <w:t>备注：</w:t>
      </w:r>
    </w:p>
    <w:p w14:paraId="35B414AA">
      <w:pPr>
        <w:spacing w:line="360" w:lineRule="auto"/>
        <w:jc w:val="left"/>
        <w:rPr>
          <w:rFonts w:hint="eastAsia" w:ascii="宋体" w:hAnsi="宋体" w:eastAsia="宋体" w:cs="宋体"/>
          <w:b/>
          <w:color w:val="auto"/>
          <w:w w:val="90"/>
          <w:kern w:val="0"/>
          <w:sz w:val="24"/>
        </w:rPr>
      </w:pPr>
      <w:r>
        <w:rPr>
          <w:rFonts w:hint="eastAsia" w:ascii="宋体" w:hAnsi="宋体" w:eastAsia="宋体" w:cs="宋体"/>
          <w:b/>
          <w:color w:val="auto"/>
          <w:sz w:val="24"/>
        </w:rPr>
        <w:t>（1）后附证明材料，证明材料详见评审办法要求。</w:t>
      </w:r>
    </w:p>
    <w:p w14:paraId="7C1F4158">
      <w:pPr>
        <w:spacing w:line="360" w:lineRule="auto"/>
        <w:jc w:val="left"/>
        <w:rPr>
          <w:rFonts w:hint="eastAsia" w:ascii="宋体" w:hAnsi="宋体" w:eastAsia="宋体" w:cs="宋体"/>
          <w:b/>
          <w:color w:val="auto"/>
          <w:sz w:val="24"/>
        </w:rPr>
      </w:pPr>
      <w:r>
        <w:rPr>
          <w:rFonts w:hint="eastAsia" w:ascii="宋体" w:hAnsi="宋体" w:eastAsia="宋体" w:cs="宋体"/>
          <w:b/>
          <w:color w:val="auto"/>
          <w:kern w:val="0"/>
          <w:sz w:val="24"/>
        </w:rPr>
        <w:t>（2）没有</w:t>
      </w:r>
      <w:r>
        <w:rPr>
          <w:rFonts w:hint="eastAsia" w:ascii="宋体" w:hAnsi="宋体" w:cs="宋体"/>
          <w:b/>
          <w:color w:val="auto"/>
          <w:kern w:val="0"/>
          <w:sz w:val="24"/>
          <w:lang w:val="en-US" w:eastAsia="zh-CN"/>
        </w:rPr>
        <w:t>同类或</w:t>
      </w:r>
      <w:r>
        <w:rPr>
          <w:rFonts w:hint="eastAsia" w:ascii="宋体" w:hAnsi="宋体" w:eastAsia="宋体" w:cs="宋体"/>
          <w:b/>
          <w:color w:val="auto"/>
          <w:kern w:val="0"/>
          <w:sz w:val="24"/>
        </w:rPr>
        <w:t>类似工程的，此表可以不提供。</w:t>
      </w:r>
    </w:p>
    <w:p w14:paraId="530B71AD">
      <w:pPr>
        <w:spacing w:line="360" w:lineRule="auto"/>
        <w:jc w:val="left"/>
        <w:rPr>
          <w:rFonts w:hint="eastAsia" w:ascii="宋体" w:hAnsi="宋体" w:eastAsia="宋体" w:cs="宋体"/>
          <w:color w:val="auto"/>
          <w:sz w:val="24"/>
        </w:rPr>
      </w:pPr>
    </w:p>
    <w:p w14:paraId="3627661C">
      <w:pPr>
        <w:wordWrap w:val="0"/>
        <w:snapToGrid w:val="0"/>
        <w:spacing w:line="360" w:lineRule="auto"/>
        <w:jc w:val="right"/>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磋商供应商</w:t>
      </w:r>
      <w:r>
        <w:rPr>
          <w:rFonts w:hint="eastAsia" w:ascii="宋体" w:hAnsi="宋体" w:eastAsia="宋体" w:cs="宋体"/>
          <w:color w:val="auto"/>
          <w:sz w:val="28"/>
          <w:szCs w:val="28"/>
        </w:rPr>
        <w:t>名称（加盖法人电子印章）：</w:t>
      </w:r>
      <w:r>
        <w:rPr>
          <w:rFonts w:hint="eastAsia" w:ascii="宋体" w:hAnsi="宋体" w:cs="宋体"/>
          <w:color w:val="auto"/>
          <w:w w:val="90"/>
          <w:kern w:val="0"/>
          <w:sz w:val="28"/>
          <w:szCs w:val="28"/>
          <w:u w:val="single"/>
          <w:lang w:val="en-US" w:eastAsia="zh-CN"/>
        </w:rPr>
        <w:t xml:space="preserve">                            </w:t>
      </w:r>
    </w:p>
    <w:p w14:paraId="4E383D40">
      <w:pPr>
        <w:autoSpaceDE w:val="0"/>
        <w:autoSpaceDN w:val="0"/>
        <w:adjustRightInd w:val="0"/>
        <w:spacing w:line="360" w:lineRule="auto"/>
        <w:ind w:firstLine="420"/>
        <w:jc w:val="right"/>
        <w:rPr>
          <w:rFonts w:hint="eastAsia" w:ascii="宋体" w:hAnsi="宋体" w:eastAsia="宋体" w:cs="宋体"/>
          <w:color w:val="auto"/>
          <w:w w:val="90"/>
          <w:kern w:val="0"/>
          <w:sz w:val="28"/>
          <w:szCs w:val="28"/>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1CD5B070">
      <w:pPr>
        <w:autoSpaceDE w:val="0"/>
        <w:autoSpaceDN w:val="0"/>
        <w:adjustRightInd w:val="0"/>
        <w:spacing w:line="360" w:lineRule="auto"/>
        <w:ind w:firstLine="420"/>
        <w:jc w:val="left"/>
        <w:rPr>
          <w:rFonts w:hint="eastAsia" w:ascii="宋体" w:hAnsi="宋体" w:eastAsia="宋体" w:cs="宋体"/>
          <w:color w:val="auto"/>
          <w:w w:val="90"/>
          <w:kern w:val="0"/>
          <w:sz w:val="28"/>
          <w:szCs w:val="28"/>
        </w:rPr>
        <w:sectPr>
          <w:pgSz w:w="11906" w:h="16838"/>
          <w:pgMar w:top="1440" w:right="1416" w:bottom="1440" w:left="1560" w:header="851" w:footer="992" w:gutter="0"/>
          <w:pgNumType w:fmt="decimal" w:chapStyle="1"/>
          <w:cols w:space="720" w:num="1"/>
          <w:docGrid w:linePitch="312" w:charSpace="0"/>
        </w:sectPr>
      </w:pPr>
    </w:p>
    <w:p w14:paraId="2362CF20">
      <w:pPr>
        <w:tabs>
          <w:tab w:val="left" w:pos="720"/>
        </w:tabs>
        <w:spacing w:line="440" w:lineRule="exact"/>
        <w:ind w:firstLine="1157" w:firstLineChars="360"/>
        <w:rPr>
          <w:rFonts w:hint="eastAsia" w:ascii="宋体" w:hAnsi="宋体" w:eastAsia="宋体" w:cs="宋体"/>
          <w:b/>
          <w:bCs/>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w:t>
      </w:r>
      <w:bookmarkStart w:id="1156" w:name="_Toc246392155"/>
      <w:bookmarkStart w:id="1157" w:name="_Toc152042586"/>
      <w:bookmarkStart w:id="1158" w:name="_Toc179632817"/>
      <w:bookmarkStart w:id="1159" w:name="_Toc144974865"/>
      <w:bookmarkStart w:id="1160" w:name="_Toc152045797"/>
      <w:r>
        <w:rPr>
          <w:rFonts w:hint="eastAsia" w:ascii="宋体" w:hAnsi="宋体" w:eastAsia="宋体" w:cs="宋体"/>
          <w:b/>
          <w:bCs/>
          <w:sz w:val="32"/>
          <w:szCs w:val="32"/>
          <w:highlight w:val="none"/>
        </w:rPr>
        <w:t>施工组织设计</w:t>
      </w:r>
    </w:p>
    <w:p w14:paraId="36A94105">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磋商响应供应商编制施工组织设计的要求：磋商供应商应根据磋商文件和对现场的勘察情况，采用文字并结合图表形式，参考以下要点编制本工程的施工组织设计： </w:t>
      </w:r>
    </w:p>
    <w:p w14:paraId="195CE34F">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a施工组织方案</w:t>
      </w:r>
    </w:p>
    <w:p w14:paraId="68EA5F6C">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b施工进度计划方案</w:t>
      </w:r>
    </w:p>
    <w:p w14:paraId="3A307CAF">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c施工质量控制方案</w:t>
      </w:r>
    </w:p>
    <w:p w14:paraId="4A33B10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d安全文明施工保障措施方案</w:t>
      </w:r>
    </w:p>
    <w:p w14:paraId="5835F63C">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e重、难点分析方案</w:t>
      </w:r>
    </w:p>
    <w:p w14:paraId="23DF826F">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f应急预案和紧急事件处置措施</w:t>
      </w:r>
    </w:p>
    <w:p w14:paraId="2C367084">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2．施工组织设计除采用文字表述外可附下列图表，图表及格式要求附后。 </w:t>
      </w:r>
    </w:p>
    <w:p w14:paraId="1AFC22EB">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附表一  拟投入本工程的主要施工设备表 </w:t>
      </w:r>
    </w:p>
    <w:p w14:paraId="50E87F28">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拟配备的试验和检测仪器设备表</w:t>
      </w:r>
    </w:p>
    <w:p w14:paraId="63B4C32D">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附表三  项目管理班子配备情况表</w:t>
      </w:r>
    </w:p>
    <w:p w14:paraId="13102FC1">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附表四  项目经理简历表</w:t>
      </w:r>
    </w:p>
    <w:p w14:paraId="295BC115">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 xml:space="preserve">附表五  </w:t>
      </w:r>
      <w:r>
        <w:rPr>
          <w:rFonts w:hint="eastAsia" w:ascii="宋体" w:hAnsi="宋体" w:eastAsia="宋体" w:cs="宋体"/>
          <w:sz w:val="24"/>
          <w:szCs w:val="24"/>
          <w:highlight w:val="none"/>
          <w:lang w:bidi="ar"/>
        </w:rPr>
        <w:t>技术负责人简历表、</w:t>
      </w:r>
      <w:r>
        <w:rPr>
          <w:rFonts w:hint="eastAsia" w:ascii="宋体" w:hAnsi="宋体" w:eastAsia="宋体" w:cs="宋体"/>
          <w:color w:val="000000" w:themeColor="text1"/>
          <w:sz w:val="24"/>
          <w:szCs w:val="24"/>
          <w:highlight w:val="none"/>
          <w14:textFill>
            <w14:solidFill>
              <w14:schemeClr w14:val="tx1"/>
            </w14:solidFill>
          </w14:textFill>
        </w:rPr>
        <w:t>劳动力计划表</w:t>
      </w:r>
    </w:p>
    <w:p w14:paraId="6B00D2F9">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附表六  计划开、竣工日期和施工进度网络图</w:t>
      </w:r>
    </w:p>
    <w:p w14:paraId="699F641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 xml:space="preserve">  施工总平面图</w:t>
      </w:r>
    </w:p>
    <w:p w14:paraId="24691662">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 xml:space="preserve">  临时用地表  </w:t>
      </w:r>
    </w:p>
    <w:p w14:paraId="20540ED3">
      <w:pPr>
        <w:pStyle w:val="3"/>
        <w:rPr>
          <w:rFonts w:hint="eastAsia" w:ascii="宋体" w:hAnsi="宋体" w:eastAsia="宋体" w:cs="宋体"/>
        </w:rPr>
      </w:pPr>
    </w:p>
    <w:p w14:paraId="65C85659">
      <w:pPr>
        <w:rPr>
          <w:rFonts w:hint="eastAsia" w:ascii="宋体" w:hAnsi="宋体" w:eastAsia="宋体" w:cs="宋体"/>
        </w:rPr>
      </w:pPr>
    </w:p>
    <w:p w14:paraId="044E68E9">
      <w:pPr>
        <w:tabs>
          <w:tab w:val="left" w:pos="720"/>
        </w:tabs>
        <w:spacing w:line="440" w:lineRule="exact"/>
        <w:jc w:val="left"/>
        <w:rPr>
          <w:rFonts w:hint="eastAsia" w:ascii="宋体" w:hAnsi="宋体" w:eastAsia="宋体" w:cs="宋体"/>
          <w:b/>
          <w:bCs/>
          <w:sz w:val="22"/>
        </w:rPr>
      </w:pPr>
    </w:p>
    <w:p w14:paraId="234F784A">
      <w:pPr>
        <w:tabs>
          <w:tab w:val="left" w:pos="720"/>
        </w:tabs>
        <w:spacing w:line="440" w:lineRule="exact"/>
        <w:jc w:val="left"/>
        <w:rPr>
          <w:rFonts w:hint="eastAsia" w:ascii="宋体" w:hAnsi="宋体" w:eastAsia="宋体" w:cs="宋体"/>
          <w:b/>
          <w:bCs/>
          <w:sz w:val="22"/>
        </w:rPr>
      </w:pPr>
    </w:p>
    <w:p w14:paraId="795DEF2E">
      <w:pPr>
        <w:tabs>
          <w:tab w:val="left" w:pos="720"/>
        </w:tabs>
        <w:spacing w:line="440" w:lineRule="exact"/>
        <w:jc w:val="left"/>
        <w:rPr>
          <w:rFonts w:hint="eastAsia" w:ascii="宋体" w:hAnsi="宋体" w:eastAsia="宋体" w:cs="宋体"/>
          <w:b/>
          <w:bCs/>
          <w:sz w:val="22"/>
        </w:rPr>
      </w:pPr>
    </w:p>
    <w:p w14:paraId="4C1476A8">
      <w:pPr>
        <w:tabs>
          <w:tab w:val="left" w:pos="720"/>
        </w:tabs>
        <w:spacing w:line="440" w:lineRule="exact"/>
        <w:jc w:val="left"/>
        <w:rPr>
          <w:rFonts w:hint="eastAsia" w:ascii="宋体" w:hAnsi="宋体" w:eastAsia="宋体" w:cs="宋体"/>
          <w:b/>
          <w:bCs/>
          <w:sz w:val="22"/>
        </w:rPr>
      </w:pPr>
    </w:p>
    <w:p w14:paraId="528D6C17">
      <w:pPr>
        <w:pStyle w:val="3"/>
        <w:rPr>
          <w:rFonts w:hint="eastAsia" w:ascii="宋体" w:hAnsi="宋体" w:eastAsia="宋体" w:cs="宋体"/>
        </w:rPr>
      </w:pPr>
    </w:p>
    <w:p w14:paraId="757147B7">
      <w:pPr>
        <w:tabs>
          <w:tab w:val="left" w:pos="720"/>
        </w:tabs>
        <w:spacing w:line="440" w:lineRule="exact"/>
        <w:jc w:val="left"/>
        <w:rPr>
          <w:rFonts w:hint="eastAsia" w:ascii="宋体" w:hAnsi="宋体" w:eastAsia="宋体" w:cs="宋体"/>
          <w:b/>
          <w:bCs/>
          <w:sz w:val="22"/>
        </w:rPr>
      </w:pPr>
    </w:p>
    <w:p w14:paraId="6266FC15">
      <w:pPr>
        <w:tabs>
          <w:tab w:val="left" w:pos="720"/>
        </w:tabs>
        <w:spacing w:line="440" w:lineRule="exact"/>
        <w:jc w:val="left"/>
        <w:rPr>
          <w:rFonts w:hint="eastAsia" w:ascii="宋体" w:hAnsi="宋体" w:eastAsia="宋体" w:cs="宋体"/>
          <w:b/>
          <w:bCs/>
          <w:sz w:val="22"/>
        </w:rPr>
      </w:pPr>
    </w:p>
    <w:p w14:paraId="5AE78C58">
      <w:pPr>
        <w:rPr>
          <w:rFonts w:hint="eastAsia" w:ascii="宋体" w:hAnsi="宋体" w:eastAsia="宋体" w:cs="宋体"/>
          <w:b/>
          <w:bCs/>
          <w:sz w:val="22"/>
        </w:rPr>
      </w:pPr>
    </w:p>
    <w:p w14:paraId="2B9B8942">
      <w:pPr>
        <w:rPr>
          <w:rFonts w:hint="eastAsia" w:ascii="宋体" w:hAnsi="宋体" w:eastAsia="宋体" w:cs="宋体"/>
          <w:b/>
          <w:bCs/>
          <w:sz w:val="24"/>
          <w:szCs w:val="28"/>
        </w:rPr>
      </w:pPr>
      <w:r>
        <w:rPr>
          <w:rFonts w:hint="eastAsia" w:ascii="宋体" w:hAnsi="宋体" w:eastAsia="宋体" w:cs="宋体"/>
          <w:b/>
          <w:bCs/>
          <w:sz w:val="24"/>
          <w:szCs w:val="28"/>
        </w:rPr>
        <w:br w:type="page"/>
      </w:r>
    </w:p>
    <w:p w14:paraId="18796AE8">
      <w:pPr>
        <w:spacing w:line="440" w:lineRule="exact"/>
        <w:rPr>
          <w:rFonts w:hint="eastAsia" w:ascii="宋体" w:hAnsi="宋体" w:eastAsia="宋体" w:cs="宋体"/>
          <w:b/>
          <w:bCs/>
          <w:sz w:val="24"/>
          <w:szCs w:val="28"/>
        </w:rPr>
      </w:pPr>
      <w:r>
        <w:rPr>
          <w:rFonts w:hint="eastAsia" w:ascii="宋体" w:hAnsi="宋体" w:eastAsia="宋体" w:cs="宋体"/>
          <w:b/>
          <w:bCs/>
          <w:sz w:val="24"/>
          <w:szCs w:val="28"/>
        </w:rPr>
        <w:t>附表一：拟投入的主要施工设备表</w:t>
      </w:r>
    </w:p>
    <w:p w14:paraId="1EE27397">
      <w:pPr>
        <w:pStyle w:val="3"/>
        <w:rPr>
          <w:rFonts w:hint="eastAsia" w:ascii="宋体" w:hAnsi="宋体" w:eastAsia="宋体" w:cs="宋体"/>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14:paraId="10F9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shd w:val="clear" w:color="auto" w:fill="auto"/>
            <w:noWrap/>
            <w:vAlign w:val="center"/>
          </w:tcPr>
          <w:p w14:paraId="483B387C">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07" w:type="dxa"/>
            <w:shd w:val="clear" w:color="auto" w:fill="auto"/>
            <w:noWrap/>
            <w:vAlign w:val="center"/>
          </w:tcPr>
          <w:p w14:paraId="50A0A2E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w:t>
            </w:r>
          </w:p>
          <w:p w14:paraId="6DB46F4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776" w:type="dxa"/>
            <w:shd w:val="clear" w:color="auto" w:fill="auto"/>
            <w:noWrap/>
            <w:vAlign w:val="center"/>
          </w:tcPr>
          <w:p w14:paraId="36D226B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71B55D5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802" w:type="dxa"/>
            <w:shd w:val="clear" w:color="auto" w:fill="auto"/>
            <w:noWrap/>
            <w:vAlign w:val="center"/>
          </w:tcPr>
          <w:p w14:paraId="56CFEF2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684" w:type="dxa"/>
            <w:shd w:val="clear" w:color="auto" w:fill="auto"/>
            <w:noWrap/>
            <w:vAlign w:val="center"/>
          </w:tcPr>
          <w:p w14:paraId="377C8E3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528B990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754" w:type="dxa"/>
            <w:shd w:val="clear" w:color="auto" w:fill="auto"/>
            <w:noWrap/>
            <w:vAlign w:val="center"/>
          </w:tcPr>
          <w:p w14:paraId="20EAD89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238EA83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098" w:type="dxa"/>
            <w:shd w:val="clear" w:color="auto" w:fill="auto"/>
            <w:noWrap/>
            <w:vAlign w:val="center"/>
          </w:tcPr>
          <w:p w14:paraId="482968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额定功率（KW）</w:t>
            </w:r>
          </w:p>
        </w:tc>
        <w:tc>
          <w:tcPr>
            <w:tcW w:w="892" w:type="dxa"/>
            <w:shd w:val="clear" w:color="auto" w:fill="auto"/>
            <w:noWrap/>
            <w:vAlign w:val="center"/>
          </w:tcPr>
          <w:p w14:paraId="488FA73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生产</w:t>
            </w:r>
          </w:p>
          <w:p w14:paraId="360B9CA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能力</w:t>
            </w:r>
          </w:p>
        </w:tc>
        <w:tc>
          <w:tcPr>
            <w:tcW w:w="1035" w:type="dxa"/>
            <w:shd w:val="clear" w:color="auto" w:fill="auto"/>
            <w:noWrap/>
            <w:vAlign w:val="center"/>
          </w:tcPr>
          <w:p w14:paraId="4703C21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用于施工部位</w:t>
            </w:r>
          </w:p>
        </w:tc>
        <w:tc>
          <w:tcPr>
            <w:tcW w:w="699" w:type="dxa"/>
            <w:shd w:val="clear" w:color="auto" w:fill="auto"/>
            <w:noWrap/>
            <w:vAlign w:val="center"/>
          </w:tcPr>
          <w:p w14:paraId="107A651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7853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shd w:val="clear" w:color="auto" w:fill="auto"/>
            <w:noWrap/>
            <w:vAlign w:val="center"/>
          </w:tcPr>
          <w:p w14:paraId="1EC357C0">
            <w:pPr>
              <w:spacing w:line="240" w:lineRule="auto"/>
              <w:jc w:val="center"/>
              <w:rPr>
                <w:rFonts w:hint="eastAsia" w:ascii="宋体" w:hAnsi="宋体" w:eastAsia="宋体" w:cs="宋体"/>
                <w:sz w:val="24"/>
                <w:szCs w:val="24"/>
              </w:rPr>
            </w:pPr>
          </w:p>
        </w:tc>
        <w:tc>
          <w:tcPr>
            <w:tcW w:w="1107" w:type="dxa"/>
            <w:shd w:val="clear" w:color="auto" w:fill="auto"/>
            <w:noWrap/>
            <w:vAlign w:val="center"/>
          </w:tcPr>
          <w:p w14:paraId="7DAADD57">
            <w:pPr>
              <w:spacing w:line="240" w:lineRule="auto"/>
              <w:jc w:val="center"/>
              <w:rPr>
                <w:rFonts w:hint="eastAsia" w:ascii="宋体" w:hAnsi="宋体" w:eastAsia="宋体" w:cs="宋体"/>
                <w:sz w:val="24"/>
                <w:szCs w:val="24"/>
              </w:rPr>
            </w:pPr>
          </w:p>
        </w:tc>
        <w:tc>
          <w:tcPr>
            <w:tcW w:w="776" w:type="dxa"/>
            <w:shd w:val="clear" w:color="auto" w:fill="auto"/>
            <w:noWrap/>
            <w:vAlign w:val="center"/>
          </w:tcPr>
          <w:p w14:paraId="1CB524A5">
            <w:pPr>
              <w:spacing w:line="240" w:lineRule="auto"/>
              <w:jc w:val="center"/>
              <w:rPr>
                <w:rFonts w:hint="eastAsia" w:ascii="宋体" w:hAnsi="宋体" w:eastAsia="宋体" w:cs="宋体"/>
                <w:sz w:val="24"/>
                <w:szCs w:val="24"/>
              </w:rPr>
            </w:pPr>
          </w:p>
        </w:tc>
        <w:tc>
          <w:tcPr>
            <w:tcW w:w="802" w:type="dxa"/>
            <w:shd w:val="clear" w:color="auto" w:fill="auto"/>
            <w:noWrap/>
            <w:vAlign w:val="center"/>
          </w:tcPr>
          <w:p w14:paraId="6499763A">
            <w:pPr>
              <w:spacing w:line="240" w:lineRule="auto"/>
              <w:jc w:val="center"/>
              <w:rPr>
                <w:rFonts w:hint="eastAsia" w:ascii="宋体" w:hAnsi="宋体" w:eastAsia="宋体" w:cs="宋体"/>
                <w:sz w:val="24"/>
                <w:szCs w:val="24"/>
              </w:rPr>
            </w:pPr>
          </w:p>
        </w:tc>
        <w:tc>
          <w:tcPr>
            <w:tcW w:w="684" w:type="dxa"/>
            <w:shd w:val="clear" w:color="auto" w:fill="auto"/>
            <w:noWrap/>
            <w:vAlign w:val="center"/>
          </w:tcPr>
          <w:p w14:paraId="3718ADCA">
            <w:pPr>
              <w:spacing w:line="240" w:lineRule="auto"/>
              <w:jc w:val="center"/>
              <w:rPr>
                <w:rFonts w:hint="eastAsia" w:ascii="宋体" w:hAnsi="宋体" w:eastAsia="宋体" w:cs="宋体"/>
                <w:sz w:val="24"/>
                <w:szCs w:val="24"/>
              </w:rPr>
            </w:pPr>
          </w:p>
        </w:tc>
        <w:tc>
          <w:tcPr>
            <w:tcW w:w="754" w:type="dxa"/>
            <w:shd w:val="clear" w:color="auto" w:fill="auto"/>
            <w:noWrap/>
            <w:vAlign w:val="center"/>
          </w:tcPr>
          <w:p w14:paraId="1EC3A5DF">
            <w:pPr>
              <w:spacing w:line="240" w:lineRule="auto"/>
              <w:jc w:val="center"/>
              <w:rPr>
                <w:rFonts w:hint="eastAsia" w:ascii="宋体" w:hAnsi="宋体" w:eastAsia="宋体" w:cs="宋体"/>
                <w:sz w:val="24"/>
                <w:szCs w:val="24"/>
              </w:rPr>
            </w:pPr>
          </w:p>
        </w:tc>
        <w:tc>
          <w:tcPr>
            <w:tcW w:w="1098" w:type="dxa"/>
            <w:shd w:val="clear" w:color="auto" w:fill="auto"/>
            <w:noWrap/>
            <w:vAlign w:val="center"/>
          </w:tcPr>
          <w:p w14:paraId="2BC15D1B">
            <w:pPr>
              <w:spacing w:line="240" w:lineRule="auto"/>
              <w:jc w:val="center"/>
              <w:rPr>
                <w:rFonts w:hint="eastAsia" w:ascii="宋体" w:hAnsi="宋体" w:eastAsia="宋体" w:cs="宋体"/>
                <w:sz w:val="24"/>
                <w:szCs w:val="24"/>
              </w:rPr>
            </w:pPr>
          </w:p>
        </w:tc>
        <w:tc>
          <w:tcPr>
            <w:tcW w:w="892" w:type="dxa"/>
            <w:shd w:val="clear" w:color="auto" w:fill="auto"/>
            <w:noWrap/>
            <w:vAlign w:val="center"/>
          </w:tcPr>
          <w:p w14:paraId="0E8BB8DC">
            <w:pPr>
              <w:spacing w:line="240" w:lineRule="auto"/>
              <w:jc w:val="center"/>
              <w:rPr>
                <w:rFonts w:hint="eastAsia" w:ascii="宋体" w:hAnsi="宋体" w:eastAsia="宋体" w:cs="宋体"/>
                <w:sz w:val="24"/>
                <w:szCs w:val="24"/>
              </w:rPr>
            </w:pPr>
          </w:p>
        </w:tc>
        <w:tc>
          <w:tcPr>
            <w:tcW w:w="1035" w:type="dxa"/>
            <w:shd w:val="clear" w:color="auto" w:fill="auto"/>
            <w:noWrap/>
            <w:vAlign w:val="center"/>
          </w:tcPr>
          <w:p w14:paraId="6B7E8D02">
            <w:pPr>
              <w:spacing w:line="240" w:lineRule="auto"/>
              <w:jc w:val="center"/>
              <w:rPr>
                <w:rFonts w:hint="eastAsia" w:ascii="宋体" w:hAnsi="宋体" w:eastAsia="宋体" w:cs="宋体"/>
                <w:sz w:val="24"/>
                <w:szCs w:val="24"/>
              </w:rPr>
            </w:pPr>
          </w:p>
        </w:tc>
        <w:tc>
          <w:tcPr>
            <w:tcW w:w="699" w:type="dxa"/>
            <w:shd w:val="clear" w:color="auto" w:fill="auto"/>
            <w:noWrap/>
            <w:vAlign w:val="center"/>
          </w:tcPr>
          <w:p w14:paraId="31B817E6">
            <w:pPr>
              <w:spacing w:line="240" w:lineRule="auto"/>
              <w:jc w:val="center"/>
              <w:rPr>
                <w:rFonts w:hint="eastAsia" w:ascii="宋体" w:hAnsi="宋体" w:eastAsia="宋体" w:cs="宋体"/>
                <w:sz w:val="24"/>
                <w:szCs w:val="24"/>
              </w:rPr>
            </w:pPr>
          </w:p>
        </w:tc>
      </w:tr>
      <w:tr w14:paraId="610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shd w:val="clear" w:color="auto" w:fill="auto"/>
            <w:noWrap/>
            <w:vAlign w:val="center"/>
          </w:tcPr>
          <w:p w14:paraId="1D3389E9">
            <w:pPr>
              <w:spacing w:line="240" w:lineRule="auto"/>
              <w:jc w:val="center"/>
              <w:rPr>
                <w:rFonts w:hint="eastAsia" w:ascii="宋体" w:hAnsi="宋体" w:eastAsia="宋体" w:cs="宋体"/>
                <w:sz w:val="24"/>
                <w:szCs w:val="24"/>
              </w:rPr>
            </w:pPr>
          </w:p>
        </w:tc>
        <w:tc>
          <w:tcPr>
            <w:tcW w:w="1107" w:type="dxa"/>
            <w:shd w:val="clear" w:color="auto" w:fill="auto"/>
            <w:noWrap/>
            <w:vAlign w:val="center"/>
          </w:tcPr>
          <w:p w14:paraId="749AEB2A">
            <w:pPr>
              <w:spacing w:line="240" w:lineRule="auto"/>
              <w:jc w:val="center"/>
              <w:rPr>
                <w:rFonts w:hint="eastAsia" w:ascii="宋体" w:hAnsi="宋体" w:eastAsia="宋体" w:cs="宋体"/>
                <w:sz w:val="24"/>
                <w:szCs w:val="24"/>
              </w:rPr>
            </w:pPr>
          </w:p>
        </w:tc>
        <w:tc>
          <w:tcPr>
            <w:tcW w:w="776" w:type="dxa"/>
            <w:shd w:val="clear" w:color="auto" w:fill="auto"/>
            <w:noWrap/>
            <w:vAlign w:val="center"/>
          </w:tcPr>
          <w:p w14:paraId="56D19901">
            <w:pPr>
              <w:spacing w:line="240" w:lineRule="auto"/>
              <w:jc w:val="center"/>
              <w:rPr>
                <w:rFonts w:hint="eastAsia" w:ascii="宋体" w:hAnsi="宋体" w:eastAsia="宋体" w:cs="宋体"/>
                <w:sz w:val="24"/>
                <w:szCs w:val="24"/>
              </w:rPr>
            </w:pPr>
          </w:p>
        </w:tc>
        <w:tc>
          <w:tcPr>
            <w:tcW w:w="802" w:type="dxa"/>
            <w:shd w:val="clear" w:color="auto" w:fill="auto"/>
            <w:noWrap/>
            <w:vAlign w:val="center"/>
          </w:tcPr>
          <w:p w14:paraId="69266B67">
            <w:pPr>
              <w:spacing w:line="240" w:lineRule="auto"/>
              <w:jc w:val="center"/>
              <w:rPr>
                <w:rFonts w:hint="eastAsia" w:ascii="宋体" w:hAnsi="宋体" w:eastAsia="宋体" w:cs="宋体"/>
                <w:sz w:val="24"/>
                <w:szCs w:val="24"/>
              </w:rPr>
            </w:pPr>
          </w:p>
        </w:tc>
        <w:tc>
          <w:tcPr>
            <w:tcW w:w="684" w:type="dxa"/>
            <w:shd w:val="clear" w:color="auto" w:fill="auto"/>
            <w:noWrap/>
            <w:vAlign w:val="center"/>
          </w:tcPr>
          <w:p w14:paraId="3D2E5243">
            <w:pPr>
              <w:spacing w:line="240" w:lineRule="auto"/>
              <w:jc w:val="center"/>
              <w:rPr>
                <w:rFonts w:hint="eastAsia" w:ascii="宋体" w:hAnsi="宋体" w:eastAsia="宋体" w:cs="宋体"/>
                <w:sz w:val="24"/>
                <w:szCs w:val="24"/>
              </w:rPr>
            </w:pPr>
          </w:p>
        </w:tc>
        <w:tc>
          <w:tcPr>
            <w:tcW w:w="754" w:type="dxa"/>
            <w:shd w:val="clear" w:color="auto" w:fill="auto"/>
            <w:noWrap/>
            <w:vAlign w:val="center"/>
          </w:tcPr>
          <w:p w14:paraId="5EB4352D">
            <w:pPr>
              <w:spacing w:line="240" w:lineRule="auto"/>
              <w:jc w:val="center"/>
              <w:rPr>
                <w:rFonts w:hint="eastAsia" w:ascii="宋体" w:hAnsi="宋体" w:eastAsia="宋体" w:cs="宋体"/>
                <w:sz w:val="24"/>
                <w:szCs w:val="24"/>
              </w:rPr>
            </w:pPr>
          </w:p>
        </w:tc>
        <w:tc>
          <w:tcPr>
            <w:tcW w:w="1098" w:type="dxa"/>
            <w:shd w:val="clear" w:color="auto" w:fill="auto"/>
            <w:noWrap/>
            <w:vAlign w:val="center"/>
          </w:tcPr>
          <w:p w14:paraId="7BDDF6A7">
            <w:pPr>
              <w:spacing w:line="240" w:lineRule="auto"/>
              <w:jc w:val="center"/>
              <w:rPr>
                <w:rFonts w:hint="eastAsia" w:ascii="宋体" w:hAnsi="宋体" w:eastAsia="宋体" w:cs="宋体"/>
                <w:sz w:val="24"/>
                <w:szCs w:val="24"/>
              </w:rPr>
            </w:pPr>
          </w:p>
        </w:tc>
        <w:tc>
          <w:tcPr>
            <w:tcW w:w="892" w:type="dxa"/>
            <w:shd w:val="clear" w:color="auto" w:fill="auto"/>
            <w:noWrap/>
            <w:vAlign w:val="center"/>
          </w:tcPr>
          <w:p w14:paraId="49B10C66">
            <w:pPr>
              <w:spacing w:line="240" w:lineRule="auto"/>
              <w:jc w:val="center"/>
              <w:rPr>
                <w:rFonts w:hint="eastAsia" w:ascii="宋体" w:hAnsi="宋体" w:eastAsia="宋体" w:cs="宋体"/>
                <w:sz w:val="24"/>
                <w:szCs w:val="24"/>
              </w:rPr>
            </w:pPr>
          </w:p>
        </w:tc>
        <w:tc>
          <w:tcPr>
            <w:tcW w:w="1035" w:type="dxa"/>
            <w:shd w:val="clear" w:color="auto" w:fill="auto"/>
            <w:noWrap/>
            <w:vAlign w:val="center"/>
          </w:tcPr>
          <w:p w14:paraId="7255FC06">
            <w:pPr>
              <w:spacing w:line="240" w:lineRule="auto"/>
              <w:jc w:val="center"/>
              <w:rPr>
                <w:rFonts w:hint="eastAsia" w:ascii="宋体" w:hAnsi="宋体" w:eastAsia="宋体" w:cs="宋体"/>
                <w:sz w:val="24"/>
                <w:szCs w:val="24"/>
              </w:rPr>
            </w:pPr>
          </w:p>
        </w:tc>
        <w:tc>
          <w:tcPr>
            <w:tcW w:w="699" w:type="dxa"/>
            <w:shd w:val="clear" w:color="auto" w:fill="auto"/>
            <w:noWrap/>
            <w:vAlign w:val="center"/>
          </w:tcPr>
          <w:p w14:paraId="73F851B8">
            <w:pPr>
              <w:spacing w:line="240" w:lineRule="auto"/>
              <w:jc w:val="center"/>
              <w:rPr>
                <w:rFonts w:hint="eastAsia" w:ascii="宋体" w:hAnsi="宋体" w:eastAsia="宋体" w:cs="宋体"/>
                <w:sz w:val="24"/>
                <w:szCs w:val="24"/>
              </w:rPr>
            </w:pPr>
          </w:p>
        </w:tc>
      </w:tr>
      <w:tr w14:paraId="36C8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shd w:val="clear" w:color="auto" w:fill="auto"/>
            <w:noWrap/>
          </w:tcPr>
          <w:p w14:paraId="4D23FF5D">
            <w:pPr>
              <w:spacing w:line="240" w:lineRule="auto"/>
              <w:jc w:val="center"/>
              <w:rPr>
                <w:rFonts w:hint="eastAsia" w:ascii="宋体" w:hAnsi="宋体" w:eastAsia="宋体" w:cs="宋体"/>
                <w:sz w:val="24"/>
                <w:szCs w:val="24"/>
              </w:rPr>
            </w:pPr>
          </w:p>
        </w:tc>
        <w:tc>
          <w:tcPr>
            <w:tcW w:w="1107" w:type="dxa"/>
            <w:shd w:val="clear" w:color="auto" w:fill="auto"/>
            <w:noWrap/>
          </w:tcPr>
          <w:p w14:paraId="73C0ED30">
            <w:pPr>
              <w:spacing w:line="240" w:lineRule="auto"/>
              <w:jc w:val="center"/>
              <w:rPr>
                <w:rFonts w:hint="eastAsia" w:ascii="宋体" w:hAnsi="宋体" w:eastAsia="宋体" w:cs="宋体"/>
                <w:sz w:val="24"/>
                <w:szCs w:val="24"/>
              </w:rPr>
            </w:pPr>
          </w:p>
        </w:tc>
        <w:tc>
          <w:tcPr>
            <w:tcW w:w="776" w:type="dxa"/>
            <w:shd w:val="clear" w:color="auto" w:fill="auto"/>
            <w:noWrap/>
          </w:tcPr>
          <w:p w14:paraId="6BFC7C43">
            <w:pPr>
              <w:spacing w:line="240" w:lineRule="auto"/>
              <w:jc w:val="center"/>
              <w:rPr>
                <w:rFonts w:hint="eastAsia" w:ascii="宋体" w:hAnsi="宋体" w:eastAsia="宋体" w:cs="宋体"/>
                <w:sz w:val="24"/>
                <w:szCs w:val="24"/>
              </w:rPr>
            </w:pPr>
          </w:p>
        </w:tc>
        <w:tc>
          <w:tcPr>
            <w:tcW w:w="802" w:type="dxa"/>
            <w:shd w:val="clear" w:color="auto" w:fill="auto"/>
            <w:noWrap/>
          </w:tcPr>
          <w:p w14:paraId="21DAC7D0">
            <w:pPr>
              <w:spacing w:line="240" w:lineRule="auto"/>
              <w:jc w:val="center"/>
              <w:rPr>
                <w:rFonts w:hint="eastAsia" w:ascii="宋体" w:hAnsi="宋体" w:eastAsia="宋体" w:cs="宋体"/>
                <w:sz w:val="24"/>
                <w:szCs w:val="24"/>
              </w:rPr>
            </w:pPr>
          </w:p>
        </w:tc>
        <w:tc>
          <w:tcPr>
            <w:tcW w:w="684" w:type="dxa"/>
            <w:shd w:val="clear" w:color="auto" w:fill="auto"/>
            <w:noWrap/>
          </w:tcPr>
          <w:p w14:paraId="071B7548">
            <w:pPr>
              <w:spacing w:line="240" w:lineRule="auto"/>
              <w:jc w:val="center"/>
              <w:rPr>
                <w:rFonts w:hint="eastAsia" w:ascii="宋体" w:hAnsi="宋体" w:eastAsia="宋体" w:cs="宋体"/>
                <w:sz w:val="24"/>
                <w:szCs w:val="24"/>
              </w:rPr>
            </w:pPr>
          </w:p>
        </w:tc>
        <w:tc>
          <w:tcPr>
            <w:tcW w:w="754" w:type="dxa"/>
            <w:shd w:val="clear" w:color="auto" w:fill="auto"/>
            <w:noWrap/>
          </w:tcPr>
          <w:p w14:paraId="55C6D690">
            <w:pPr>
              <w:spacing w:line="240" w:lineRule="auto"/>
              <w:jc w:val="center"/>
              <w:rPr>
                <w:rFonts w:hint="eastAsia" w:ascii="宋体" w:hAnsi="宋体" w:eastAsia="宋体" w:cs="宋体"/>
                <w:sz w:val="24"/>
                <w:szCs w:val="24"/>
              </w:rPr>
            </w:pPr>
          </w:p>
        </w:tc>
        <w:tc>
          <w:tcPr>
            <w:tcW w:w="1098" w:type="dxa"/>
            <w:shd w:val="clear" w:color="auto" w:fill="auto"/>
            <w:noWrap/>
          </w:tcPr>
          <w:p w14:paraId="23DD7249">
            <w:pPr>
              <w:spacing w:line="240" w:lineRule="auto"/>
              <w:jc w:val="center"/>
              <w:rPr>
                <w:rFonts w:hint="eastAsia" w:ascii="宋体" w:hAnsi="宋体" w:eastAsia="宋体" w:cs="宋体"/>
                <w:sz w:val="24"/>
                <w:szCs w:val="24"/>
              </w:rPr>
            </w:pPr>
          </w:p>
        </w:tc>
        <w:tc>
          <w:tcPr>
            <w:tcW w:w="892" w:type="dxa"/>
            <w:shd w:val="clear" w:color="auto" w:fill="auto"/>
            <w:noWrap/>
          </w:tcPr>
          <w:p w14:paraId="3B338A7A">
            <w:pPr>
              <w:spacing w:line="240" w:lineRule="auto"/>
              <w:jc w:val="center"/>
              <w:rPr>
                <w:rFonts w:hint="eastAsia" w:ascii="宋体" w:hAnsi="宋体" w:eastAsia="宋体" w:cs="宋体"/>
                <w:sz w:val="24"/>
                <w:szCs w:val="24"/>
              </w:rPr>
            </w:pPr>
          </w:p>
        </w:tc>
        <w:tc>
          <w:tcPr>
            <w:tcW w:w="1035" w:type="dxa"/>
            <w:shd w:val="clear" w:color="auto" w:fill="auto"/>
            <w:noWrap/>
          </w:tcPr>
          <w:p w14:paraId="32FE8104">
            <w:pPr>
              <w:spacing w:line="240" w:lineRule="auto"/>
              <w:jc w:val="center"/>
              <w:rPr>
                <w:rFonts w:hint="eastAsia" w:ascii="宋体" w:hAnsi="宋体" w:eastAsia="宋体" w:cs="宋体"/>
                <w:sz w:val="24"/>
                <w:szCs w:val="24"/>
              </w:rPr>
            </w:pPr>
          </w:p>
        </w:tc>
        <w:tc>
          <w:tcPr>
            <w:tcW w:w="699" w:type="dxa"/>
            <w:shd w:val="clear" w:color="auto" w:fill="auto"/>
            <w:noWrap/>
          </w:tcPr>
          <w:p w14:paraId="1483833F">
            <w:pPr>
              <w:spacing w:line="240" w:lineRule="auto"/>
              <w:jc w:val="center"/>
              <w:rPr>
                <w:rFonts w:hint="eastAsia" w:ascii="宋体" w:hAnsi="宋体" w:eastAsia="宋体" w:cs="宋体"/>
                <w:sz w:val="24"/>
                <w:szCs w:val="24"/>
              </w:rPr>
            </w:pPr>
          </w:p>
        </w:tc>
      </w:tr>
    </w:tbl>
    <w:p w14:paraId="06DEDA5B">
      <w:pPr>
        <w:tabs>
          <w:tab w:val="left" w:pos="720"/>
        </w:tabs>
        <w:spacing w:line="440" w:lineRule="exact"/>
        <w:jc w:val="left"/>
        <w:rPr>
          <w:rFonts w:hint="eastAsia" w:ascii="宋体" w:hAnsi="宋体" w:eastAsia="宋体" w:cs="宋体"/>
          <w:b/>
          <w:bCs/>
          <w:sz w:val="22"/>
        </w:rPr>
      </w:pPr>
    </w:p>
    <w:p w14:paraId="2896436C">
      <w:pPr>
        <w:tabs>
          <w:tab w:val="left" w:pos="720"/>
        </w:tabs>
        <w:spacing w:line="440" w:lineRule="exact"/>
        <w:jc w:val="left"/>
        <w:rPr>
          <w:rFonts w:hint="eastAsia" w:ascii="宋体" w:hAnsi="宋体" w:eastAsia="宋体" w:cs="宋体"/>
          <w:b/>
          <w:bCs/>
          <w:sz w:val="22"/>
        </w:rPr>
      </w:pPr>
    </w:p>
    <w:p w14:paraId="46642B30">
      <w:pPr>
        <w:tabs>
          <w:tab w:val="left" w:pos="720"/>
        </w:tabs>
        <w:spacing w:line="440" w:lineRule="exact"/>
        <w:jc w:val="left"/>
        <w:rPr>
          <w:rFonts w:hint="eastAsia" w:ascii="宋体" w:hAnsi="宋体" w:eastAsia="宋体" w:cs="宋体"/>
          <w:b/>
          <w:bCs/>
          <w:sz w:val="22"/>
        </w:rPr>
      </w:pPr>
    </w:p>
    <w:p w14:paraId="5C461A04">
      <w:pPr>
        <w:tabs>
          <w:tab w:val="left" w:pos="720"/>
        </w:tabs>
        <w:spacing w:line="440" w:lineRule="exact"/>
        <w:jc w:val="left"/>
        <w:rPr>
          <w:rFonts w:hint="eastAsia" w:ascii="宋体" w:hAnsi="宋体" w:eastAsia="宋体" w:cs="宋体"/>
          <w:b/>
          <w:bCs/>
          <w:sz w:val="22"/>
        </w:rPr>
      </w:pPr>
    </w:p>
    <w:p w14:paraId="5E12C3DF">
      <w:pPr>
        <w:tabs>
          <w:tab w:val="left" w:pos="720"/>
        </w:tabs>
        <w:spacing w:line="440" w:lineRule="exact"/>
        <w:jc w:val="left"/>
        <w:rPr>
          <w:rFonts w:hint="eastAsia" w:ascii="宋体" w:hAnsi="宋体" w:eastAsia="宋体" w:cs="宋体"/>
          <w:b/>
          <w:bCs/>
          <w:sz w:val="22"/>
        </w:rPr>
      </w:pPr>
    </w:p>
    <w:p w14:paraId="5CA7F2C9">
      <w:p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rPr>
        <w:t>附表二：拟配备的试验和检测仪器设备表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14:paraId="410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noWrap/>
            <w:vAlign w:val="center"/>
          </w:tcPr>
          <w:p w14:paraId="09D826BB">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77" w:type="dxa"/>
            <w:noWrap/>
            <w:vAlign w:val="center"/>
          </w:tcPr>
          <w:p w14:paraId="34D0E9F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仪器设备名称</w:t>
            </w:r>
          </w:p>
        </w:tc>
        <w:tc>
          <w:tcPr>
            <w:tcW w:w="822" w:type="dxa"/>
            <w:noWrap/>
            <w:vAlign w:val="center"/>
          </w:tcPr>
          <w:p w14:paraId="73C40FD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1981AF2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1073" w:type="dxa"/>
            <w:noWrap/>
            <w:vAlign w:val="center"/>
          </w:tcPr>
          <w:p w14:paraId="026EF69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27" w:type="dxa"/>
            <w:noWrap/>
            <w:vAlign w:val="center"/>
          </w:tcPr>
          <w:p w14:paraId="20656CB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124916B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800" w:type="dxa"/>
            <w:noWrap/>
            <w:vAlign w:val="center"/>
          </w:tcPr>
          <w:p w14:paraId="578534D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3D0CE98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312" w:type="dxa"/>
            <w:noWrap/>
            <w:vAlign w:val="center"/>
          </w:tcPr>
          <w:p w14:paraId="5DEE4F5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已使用台时数</w:t>
            </w:r>
          </w:p>
        </w:tc>
        <w:tc>
          <w:tcPr>
            <w:tcW w:w="1151" w:type="dxa"/>
            <w:noWrap/>
            <w:vAlign w:val="center"/>
          </w:tcPr>
          <w:p w14:paraId="0D657A5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用途</w:t>
            </w:r>
          </w:p>
        </w:tc>
        <w:tc>
          <w:tcPr>
            <w:tcW w:w="742" w:type="dxa"/>
            <w:noWrap/>
            <w:vAlign w:val="center"/>
          </w:tcPr>
          <w:p w14:paraId="3833303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6EF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6D933A72">
            <w:pPr>
              <w:spacing w:line="240" w:lineRule="auto"/>
              <w:jc w:val="center"/>
              <w:rPr>
                <w:rFonts w:hint="eastAsia" w:ascii="宋体" w:hAnsi="宋体" w:eastAsia="宋体" w:cs="宋体"/>
                <w:sz w:val="24"/>
                <w:szCs w:val="24"/>
              </w:rPr>
            </w:pPr>
          </w:p>
        </w:tc>
        <w:tc>
          <w:tcPr>
            <w:tcW w:w="1177" w:type="dxa"/>
            <w:noWrap/>
            <w:vAlign w:val="center"/>
          </w:tcPr>
          <w:p w14:paraId="687416FA">
            <w:pPr>
              <w:spacing w:line="240" w:lineRule="auto"/>
              <w:jc w:val="center"/>
              <w:rPr>
                <w:rFonts w:hint="eastAsia" w:ascii="宋体" w:hAnsi="宋体" w:eastAsia="宋体" w:cs="宋体"/>
                <w:sz w:val="24"/>
                <w:szCs w:val="24"/>
              </w:rPr>
            </w:pPr>
          </w:p>
        </w:tc>
        <w:tc>
          <w:tcPr>
            <w:tcW w:w="822" w:type="dxa"/>
            <w:noWrap/>
            <w:vAlign w:val="center"/>
          </w:tcPr>
          <w:p w14:paraId="6F229519">
            <w:pPr>
              <w:spacing w:line="240" w:lineRule="auto"/>
              <w:jc w:val="center"/>
              <w:rPr>
                <w:rFonts w:hint="eastAsia" w:ascii="宋体" w:hAnsi="宋体" w:eastAsia="宋体" w:cs="宋体"/>
                <w:sz w:val="24"/>
                <w:szCs w:val="24"/>
              </w:rPr>
            </w:pPr>
          </w:p>
        </w:tc>
        <w:tc>
          <w:tcPr>
            <w:tcW w:w="1073" w:type="dxa"/>
            <w:noWrap/>
            <w:vAlign w:val="center"/>
          </w:tcPr>
          <w:p w14:paraId="1069B249">
            <w:pPr>
              <w:spacing w:line="240" w:lineRule="auto"/>
              <w:jc w:val="center"/>
              <w:rPr>
                <w:rFonts w:hint="eastAsia" w:ascii="宋体" w:hAnsi="宋体" w:eastAsia="宋体" w:cs="宋体"/>
                <w:sz w:val="24"/>
                <w:szCs w:val="24"/>
              </w:rPr>
            </w:pPr>
          </w:p>
        </w:tc>
        <w:tc>
          <w:tcPr>
            <w:tcW w:w="727" w:type="dxa"/>
            <w:noWrap/>
            <w:vAlign w:val="center"/>
          </w:tcPr>
          <w:p w14:paraId="7832CA7F">
            <w:pPr>
              <w:spacing w:line="240" w:lineRule="auto"/>
              <w:jc w:val="center"/>
              <w:rPr>
                <w:rFonts w:hint="eastAsia" w:ascii="宋体" w:hAnsi="宋体" w:eastAsia="宋体" w:cs="宋体"/>
                <w:sz w:val="24"/>
                <w:szCs w:val="24"/>
              </w:rPr>
            </w:pPr>
          </w:p>
        </w:tc>
        <w:tc>
          <w:tcPr>
            <w:tcW w:w="800" w:type="dxa"/>
            <w:noWrap/>
            <w:vAlign w:val="center"/>
          </w:tcPr>
          <w:p w14:paraId="557D754D">
            <w:pPr>
              <w:spacing w:line="240" w:lineRule="auto"/>
              <w:jc w:val="center"/>
              <w:rPr>
                <w:rFonts w:hint="eastAsia" w:ascii="宋体" w:hAnsi="宋体" w:eastAsia="宋体" w:cs="宋体"/>
                <w:sz w:val="24"/>
                <w:szCs w:val="24"/>
              </w:rPr>
            </w:pPr>
          </w:p>
        </w:tc>
        <w:tc>
          <w:tcPr>
            <w:tcW w:w="1312" w:type="dxa"/>
            <w:noWrap/>
            <w:vAlign w:val="center"/>
          </w:tcPr>
          <w:p w14:paraId="7728CD1D">
            <w:pPr>
              <w:spacing w:line="240" w:lineRule="auto"/>
              <w:jc w:val="center"/>
              <w:rPr>
                <w:rFonts w:hint="eastAsia" w:ascii="宋体" w:hAnsi="宋体" w:eastAsia="宋体" w:cs="宋体"/>
                <w:sz w:val="24"/>
                <w:szCs w:val="24"/>
              </w:rPr>
            </w:pPr>
          </w:p>
        </w:tc>
        <w:tc>
          <w:tcPr>
            <w:tcW w:w="1151" w:type="dxa"/>
            <w:noWrap/>
            <w:vAlign w:val="center"/>
          </w:tcPr>
          <w:p w14:paraId="220DC139">
            <w:pPr>
              <w:spacing w:line="240" w:lineRule="auto"/>
              <w:jc w:val="center"/>
              <w:rPr>
                <w:rFonts w:hint="eastAsia" w:ascii="宋体" w:hAnsi="宋体" w:eastAsia="宋体" w:cs="宋体"/>
                <w:sz w:val="24"/>
                <w:szCs w:val="24"/>
              </w:rPr>
            </w:pPr>
          </w:p>
        </w:tc>
        <w:tc>
          <w:tcPr>
            <w:tcW w:w="742" w:type="dxa"/>
            <w:noWrap/>
            <w:vAlign w:val="center"/>
          </w:tcPr>
          <w:p w14:paraId="3036E98C">
            <w:pPr>
              <w:spacing w:line="240" w:lineRule="auto"/>
              <w:jc w:val="center"/>
              <w:rPr>
                <w:rFonts w:hint="eastAsia" w:ascii="宋体" w:hAnsi="宋体" w:eastAsia="宋体" w:cs="宋体"/>
                <w:sz w:val="24"/>
                <w:szCs w:val="24"/>
              </w:rPr>
            </w:pPr>
          </w:p>
        </w:tc>
      </w:tr>
      <w:tr w14:paraId="1BE3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1D9128D2">
            <w:pPr>
              <w:spacing w:line="240" w:lineRule="auto"/>
              <w:jc w:val="center"/>
              <w:rPr>
                <w:rFonts w:hint="eastAsia" w:ascii="宋体" w:hAnsi="宋体" w:eastAsia="宋体" w:cs="宋体"/>
                <w:sz w:val="24"/>
                <w:szCs w:val="24"/>
              </w:rPr>
            </w:pPr>
          </w:p>
        </w:tc>
        <w:tc>
          <w:tcPr>
            <w:tcW w:w="1177" w:type="dxa"/>
            <w:noWrap/>
            <w:vAlign w:val="center"/>
          </w:tcPr>
          <w:p w14:paraId="6840B76F">
            <w:pPr>
              <w:spacing w:line="240" w:lineRule="auto"/>
              <w:jc w:val="center"/>
              <w:rPr>
                <w:rFonts w:hint="eastAsia" w:ascii="宋体" w:hAnsi="宋体" w:eastAsia="宋体" w:cs="宋体"/>
                <w:sz w:val="24"/>
                <w:szCs w:val="24"/>
              </w:rPr>
            </w:pPr>
          </w:p>
        </w:tc>
        <w:tc>
          <w:tcPr>
            <w:tcW w:w="822" w:type="dxa"/>
            <w:noWrap/>
            <w:vAlign w:val="center"/>
          </w:tcPr>
          <w:p w14:paraId="6CFBC0E3">
            <w:pPr>
              <w:spacing w:line="240" w:lineRule="auto"/>
              <w:jc w:val="center"/>
              <w:rPr>
                <w:rFonts w:hint="eastAsia" w:ascii="宋体" w:hAnsi="宋体" w:eastAsia="宋体" w:cs="宋体"/>
                <w:sz w:val="24"/>
                <w:szCs w:val="24"/>
              </w:rPr>
            </w:pPr>
          </w:p>
        </w:tc>
        <w:tc>
          <w:tcPr>
            <w:tcW w:w="1073" w:type="dxa"/>
            <w:noWrap/>
            <w:vAlign w:val="center"/>
          </w:tcPr>
          <w:p w14:paraId="25F53CBC">
            <w:pPr>
              <w:spacing w:line="240" w:lineRule="auto"/>
              <w:jc w:val="center"/>
              <w:rPr>
                <w:rFonts w:hint="eastAsia" w:ascii="宋体" w:hAnsi="宋体" w:eastAsia="宋体" w:cs="宋体"/>
                <w:sz w:val="24"/>
                <w:szCs w:val="24"/>
              </w:rPr>
            </w:pPr>
          </w:p>
        </w:tc>
        <w:tc>
          <w:tcPr>
            <w:tcW w:w="727" w:type="dxa"/>
            <w:noWrap/>
            <w:vAlign w:val="center"/>
          </w:tcPr>
          <w:p w14:paraId="52A84C65">
            <w:pPr>
              <w:spacing w:line="240" w:lineRule="auto"/>
              <w:jc w:val="center"/>
              <w:rPr>
                <w:rFonts w:hint="eastAsia" w:ascii="宋体" w:hAnsi="宋体" w:eastAsia="宋体" w:cs="宋体"/>
                <w:sz w:val="24"/>
                <w:szCs w:val="24"/>
              </w:rPr>
            </w:pPr>
          </w:p>
        </w:tc>
        <w:tc>
          <w:tcPr>
            <w:tcW w:w="800" w:type="dxa"/>
            <w:noWrap/>
            <w:vAlign w:val="center"/>
          </w:tcPr>
          <w:p w14:paraId="5A279AA4">
            <w:pPr>
              <w:spacing w:line="240" w:lineRule="auto"/>
              <w:jc w:val="center"/>
              <w:rPr>
                <w:rFonts w:hint="eastAsia" w:ascii="宋体" w:hAnsi="宋体" w:eastAsia="宋体" w:cs="宋体"/>
                <w:sz w:val="24"/>
                <w:szCs w:val="24"/>
              </w:rPr>
            </w:pPr>
          </w:p>
        </w:tc>
        <w:tc>
          <w:tcPr>
            <w:tcW w:w="1312" w:type="dxa"/>
            <w:noWrap/>
            <w:vAlign w:val="center"/>
          </w:tcPr>
          <w:p w14:paraId="6C997AC0">
            <w:pPr>
              <w:spacing w:line="240" w:lineRule="auto"/>
              <w:jc w:val="center"/>
              <w:rPr>
                <w:rFonts w:hint="eastAsia" w:ascii="宋体" w:hAnsi="宋体" w:eastAsia="宋体" w:cs="宋体"/>
                <w:sz w:val="24"/>
                <w:szCs w:val="24"/>
              </w:rPr>
            </w:pPr>
          </w:p>
        </w:tc>
        <w:tc>
          <w:tcPr>
            <w:tcW w:w="1151" w:type="dxa"/>
            <w:noWrap/>
            <w:vAlign w:val="center"/>
          </w:tcPr>
          <w:p w14:paraId="2C606F06">
            <w:pPr>
              <w:spacing w:line="240" w:lineRule="auto"/>
              <w:jc w:val="center"/>
              <w:rPr>
                <w:rFonts w:hint="eastAsia" w:ascii="宋体" w:hAnsi="宋体" w:eastAsia="宋体" w:cs="宋体"/>
                <w:sz w:val="24"/>
                <w:szCs w:val="24"/>
              </w:rPr>
            </w:pPr>
          </w:p>
        </w:tc>
        <w:tc>
          <w:tcPr>
            <w:tcW w:w="742" w:type="dxa"/>
            <w:noWrap/>
            <w:vAlign w:val="center"/>
          </w:tcPr>
          <w:p w14:paraId="0FAFE7F3">
            <w:pPr>
              <w:spacing w:line="240" w:lineRule="auto"/>
              <w:jc w:val="center"/>
              <w:rPr>
                <w:rFonts w:hint="eastAsia" w:ascii="宋体" w:hAnsi="宋体" w:eastAsia="宋体" w:cs="宋体"/>
                <w:sz w:val="24"/>
                <w:szCs w:val="24"/>
              </w:rPr>
            </w:pPr>
          </w:p>
        </w:tc>
      </w:tr>
      <w:tr w14:paraId="63E6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tcPr>
          <w:p w14:paraId="2879592C">
            <w:pPr>
              <w:spacing w:line="240" w:lineRule="auto"/>
              <w:jc w:val="center"/>
              <w:rPr>
                <w:rFonts w:hint="eastAsia" w:ascii="宋体" w:hAnsi="宋体" w:eastAsia="宋体" w:cs="宋体"/>
                <w:sz w:val="24"/>
                <w:szCs w:val="24"/>
              </w:rPr>
            </w:pPr>
          </w:p>
        </w:tc>
        <w:tc>
          <w:tcPr>
            <w:tcW w:w="1177" w:type="dxa"/>
            <w:noWrap/>
          </w:tcPr>
          <w:p w14:paraId="3D5F3742">
            <w:pPr>
              <w:spacing w:line="240" w:lineRule="auto"/>
              <w:jc w:val="center"/>
              <w:rPr>
                <w:rFonts w:hint="eastAsia" w:ascii="宋体" w:hAnsi="宋体" w:eastAsia="宋体" w:cs="宋体"/>
                <w:sz w:val="24"/>
                <w:szCs w:val="24"/>
              </w:rPr>
            </w:pPr>
          </w:p>
        </w:tc>
        <w:tc>
          <w:tcPr>
            <w:tcW w:w="822" w:type="dxa"/>
            <w:noWrap/>
          </w:tcPr>
          <w:p w14:paraId="7B4A9B06">
            <w:pPr>
              <w:spacing w:line="240" w:lineRule="auto"/>
              <w:jc w:val="center"/>
              <w:rPr>
                <w:rFonts w:hint="eastAsia" w:ascii="宋体" w:hAnsi="宋体" w:eastAsia="宋体" w:cs="宋体"/>
                <w:sz w:val="24"/>
                <w:szCs w:val="24"/>
              </w:rPr>
            </w:pPr>
          </w:p>
        </w:tc>
        <w:tc>
          <w:tcPr>
            <w:tcW w:w="1073" w:type="dxa"/>
            <w:noWrap/>
          </w:tcPr>
          <w:p w14:paraId="71B9AE51">
            <w:pPr>
              <w:spacing w:line="240" w:lineRule="auto"/>
              <w:jc w:val="center"/>
              <w:rPr>
                <w:rFonts w:hint="eastAsia" w:ascii="宋体" w:hAnsi="宋体" w:eastAsia="宋体" w:cs="宋体"/>
                <w:sz w:val="24"/>
                <w:szCs w:val="24"/>
              </w:rPr>
            </w:pPr>
          </w:p>
        </w:tc>
        <w:tc>
          <w:tcPr>
            <w:tcW w:w="727" w:type="dxa"/>
            <w:noWrap/>
          </w:tcPr>
          <w:p w14:paraId="3A4256AA">
            <w:pPr>
              <w:spacing w:line="240" w:lineRule="auto"/>
              <w:jc w:val="center"/>
              <w:rPr>
                <w:rFonts w:hint="eastAsia" w:ascii="宋体" w:hAnsi="宋体" w:eastAsia="宋体" w:cs="宋体"/>
                <w:sz w:val="24"/>
                <w:szCs w:val="24"/>
              </w:rPr>
            </w:pPr>
          </w:p>
        </w:tc>
        <w:tc>
          <w:tcPr>
            <w:tcW w:w="800" w:type="dxa"/>
            <w:noWrap/>
          </w:tcPr>
          <w:p w14:paraId="215975E1">
            <w:pPr>
              <w:spacing w:line="240" w:lineRule="auto"/>
              <w:jc w:val="center"/>
              <w:rPr>
                <w:rFonts w:hint="eastAsia" w:ascii="宋体" w:hAnsi="宋体" w:eastAsia="宋体" w:cs="宋体"/>
                <w:sz w:val="24"/>
                <w:szCs w:val="24"/>
              </w:rPr>
            </w:pPr>
          </w:p>
        </w:tc>
        <w:tc>
          <w:tcPr>
            <w:tcW w:w="1312" w:type="dxa"/>
            <w:noWrap/>
          </w:tcPr>
          <w:p w14:paraId="788C75AC">
            <w:pPr>
              <w:spacing w:line="240" w:lineRule="auto"/>
              <w:jc w:val="center"/>
              <w:rPr>
                <w:rFonts w:hint="eastAsia" w:ascii="宋体" w:hAnsi="宋体" w:eastAsia="宋体" w:cs="宋体"/>
                <w:sz w:val="24"/>
                <w:szCs w:val="24"/>
              </w:rPr>
            </w:pPr>
          </w:p>
        </w:tc>
        <w:tc>
          <w:tcPr>
            <w:tcW w:w="1151" w:type="dxa"/>
            <w:noWrap/>
          </w:tcPr>
          <w:p w14:paraId="085C7FF3">
            <w:pPr>
              <w:spacing w:line="240" w:lineRule="auto"/>
              <w:jc w:val="center"/>
              <w:rPr>
                <w:rFonts w:hint="eastAsia" w:ascii="宋体" w:hAnsi="宋体" w:eastAsia="宋体" w:cs="宋体"/>
                <w:sz w:val="24"/>
                <w:szCs w:val="24"/>
              </w:rPr>
            </w:pPr>
          </w:p>
        </w:tc>
        <w:tc>
          <w:tcPr>
            <w:tcW w:w="742" w:type="dxa"/>
            <w:noWrap/>
          </w:tcPr>
          <w:p w14:paraId="787EC476">
            <w:pPr>
              <w:spacing w:line="240" w:lineRule="auto"/>
              <w:jc w:val="center"/>
              <w:rPr>
                <w:rFonts w:hint="eastAsia" w:ascii="宋体" w:hAnsi="宋体" w:eastAsia="宋体" w:cs="宋体"/>
                <w:sz w:val="24"/>
                <w:szCs w:val="24"/>
              </w:rPr>
            </w:pPr>
          </w:p>
        </w:tc>
      </w:tr>
      <w:tr w14:paraId="2FD2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noWrap/>
          </w:tcPr>
          <w:p w14:paraId="086CEB34">
            <w:pPr>
              <w:spacing w:line="240" w:lineRule="auto"/>
              <w:jc w:val="center"/>
              <w:rPr>
                <w:rFonts w:hint="eastAsia" w:ascii="宋体" w:hAnsi="宋体" w:eastAsia="宋体" w:cs="宋体"/>
                <w:sz w:val="24"/>
                <w:szCs w:val="24"/>
              </w:rPr>
            </w:pPr>
          </w:p>
        </w:tc>
        <w:tc>
          <w:tcPr>
            <w:tcW w:w="1177" w:type="dxa"/>
            <w:noWrap/>
          </w:tcPr>
          <w:p w14:paraId="78667110">
            <w:pPr>
              <w:spacing w:line="240" w:lineRule="auto"/>
              <w:jc w:val="center"/>
              <w:rPr>
                <w:rFonts w:hint="eastAsia" w:ascii="宋体" w:hAnsi="宋体" w:eastAsia="宋体" w:cs="宋体"/>
                <w:sz w:val="24"/>
                <w:szCs w:val="24"/>
              </w:rPr>
            </w:pPr>
          </w:p>
        </w:tc>
        <w:tc>
          <w:tcPr>
            <w:tcW w:w="822" w:type="dxa"/>
            <w:noWrap/>
          </w:tcPr>
          <w:p w14:paraId="4A501E89">
            <w:pPr>
              <w:spacing w:line="240" w:lineRule="auto"/>
              <w:jc w:val="center"/>
              <w:rPr>
                <w:rFonts w:hint="eastAsia" w:ascii="宋体" w:hAnsi="宋体" w:eastAsia="宋体" w:cs="宋体"/>
                <w:sz w:val="24"/>
                <w:szCs w:val="24"/>
              </w:rPr>
            </w:pPr>
          </w:p>
        </w:tc>
        <w:tc>
          <w:tcPr>
            <w:tcW w:w="1073" w:type="dxa"/>
            <w:noWrap/>
          </w:tcPr>
          <w:p w14:paraId="04A402C4">
            <w:pPr>
              <w:spacing w:line="240" w:lineRule="auto"/>
              <w:jc w:val="center"/>
              <w:rPr>
                <w:rFonts w:hint="eastAsia" w:ascii="宋体" w:hAnsi="宋体" w:eastAsia="宋体" w:cs="宋体"/>
                <w:sz w:val="24"/>
                <w:szCs w:val="24"/>
              </w:rPr>
            </w:pPr>
          </w:p>
        </w:tc>
        <w:tc>
          <w:tcPr>
            <w:tcW w:w="727" w:type="dxa"/>
            <w:noWrap/>
          </w:tcPr>
          <w:p w14:paraId="6A03B707">
            <w:pPr>
              <w:spacing w:line="240" w:lineRule="auto"/>
              <w:jc w:val="center"/>
              <w:rPr>
                <w:rFonts w:hint="eastAsia" w:ascii="宋体" w:hAnsi="宋体" w:eastAsia="宋体" w:cs="宋体"/>
                <w:sz w:val="24"/>
                <w:szCs w:val="24"/>
              </w:rPr>
            </w:pPr>
          </w:p>
        </w:tc>
        <w:tc>
          <w:tcPr>
            <w:tcW w:w="800" w:type="dxa"/>
            <w:noWrap/>
          </w:tcPr>
          <w:p w14:paraId="6730EE1C">
            <w:pPr>
              <w:spacing w:line="240" w:lineRule="auto"/>
              <w:jc w:val="center"/>
              <w:rPr>
                <w:rFonts w:hint="eastAsia" w:ascii="宋体" w:hAnsi="宋体" w:eastAsia="宋体" w:cs="宋体"/>
                <w:sz w:val="24"/>
                <w:szCs w:val="24"/>
              </w:rPr>
            </w:pPr>
          </w:p>
        </w:tc>
        <w:tc>
          <w:tcPr>
            <w:tcW w:w="1312" w:type="dxa"/>
            <w:noWrap/>
          </w:tcPr>
          <w:p w14:paraId="004319E1">
            <w:pPr>
              <w:spacing w:line="240" w:lineRule="auto"/>
              <w:jc w:val="center"/>
              <w:rPr>
                <w:rFonts w:hint="eastAsia" w:ascii="宋体" w:hAnsi="宋体" w:eastAsia="宋体" w:cs="宋体"/>
                <w:sz w:val="24"/>
                <w:szCs w:val="24"/>
              </w:rPr>
            </w:pPr>
          </w:p>
        </w:tc>
        <w:tc>
          <w:tcPr>
            <w:tcW w:w="1151" w:type="dxa"/>
            <w:noWrap/>
          </w:tcPr>
          <w:p w14:paraId="5ED53862">
            <w:pPr>
              <w:spacing w:line="240" w:lineRule="auto"/>
              <w:jc w:val="center"/>
              <w:rPr>
                <w:rFonts w:hint="eastAsia" w:ascii="宋体" w:hAnsi="宋体" w:eastAsia="宋体" w:cs="宋体"/>
                <w:sz w:val="24"/>
                <w:szCs w:val="24"/>
              </w:rPr>
            </w:pPr>
          </w:p>
        </w:tc>
        <w:tc>
          <w:tcPr>
            <w:tcW w:w="742" w:type="dxa"/>
            <w:noWrap/>
          </w:tcPr>
          <w:p w14:paraId="0F0B0164">
            <w:pPr>
              <w:spacing w:line="240" w:lineRule="auto"/>
              <w:jc w:val="center"/>
              <w:rPr>
                <w:rFonts w:hint="eastAsia" w:ascii="宋体" w:hAnsi="宋体" w:eastAsia="宋体" w:cs="宋体"/>
                <w:sz w:val="24"/>
                <w:szCs w:val="24"/>
              </w:rPr>
            </w:pPr>
          </w:p>
        </w:tc>
      </w:tr>
    </w:tbl>
    <w:p w14:paraId="1BCA3A65">
      <w:pPr>
        <w:spacing w:line="440" w:lineRule="exact"/>
        <w:rPr>
          <w:rFonts w:hint="eastAsia" w:ascii="宋体" w:hAnsi="宋体" w:eastAsia="宋体" w:cs="宋体"/>
          <w:b/>
          <w:bCs/>
          <w:sz w:val="24"/>
          <w:szCs w:val="28"/>
        </w:rPr>
      </w:pPr>
      <w:r>
        <w:rPr>
          <w:rFonts w:hint="eastAsia" w:ascii="宋体" w:hAnsi="宋体" w:eastAsia="宋体" w:cs="宋体"/>
          <w:b/>
          <w:bCs/>
          <w:sz w:val="22"/>
        </w:rPr>
        <w:br w:type="page"/>
      </w:r>
      <w:r>
        <w:rPr>
          <w:rFonts w:hint="eastAsia" w:ascii="宋体" w:hAnsi="宋体" w:eastAsia="宋体" w:cs="宋体"/>
          <w:b/>
          <w:bCs/>
          <w:sz w:val="24"/>
          <w:szCs w:val="28"/>
        </w:rPr>
        <w:t>附表三、项目管理班子配备情况表</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316C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ign w:val="center"/>
          </w:tcPr>
          <w:p w14:paraId="5760C67D">
            <w:pPr>
              <w:spacing w:line="240" w:lineRule="auto"/>
              <w:rPr>
                <w:rFonts w:hint="eastAsia" w:ascii="宋体" w:hAnsi="宋体" w:eastAsia="宋体" w:cs="宋体"/>
                <w:sz w:val="24"/>
                <w:szCs w:val="24"/>
              </w:rPr>
            </w:pPr>
            <w:r>
              <w:rPr>
                <w:rFonts w:hint="eastAsia" w:ascii="宋体" w:hAnsi="宋体" w:eastAsia="宋体" w:cs="宋体"/>
                <w:sz w:val="24"/>
                <w:szCs w:val="24"/>
              </w:rPr>
              <w:t>职务</w:t>
            </w:r>
          </w:p>
        </w:tc>
        <w:tc>
          <w:tcPr>
            <w:tcW w:w="720" w:type="dxa"/>
            <w:vMerge w:val="restart"/>
            <w:noWrap/>
            <w:vAlign w:val="center"/>
          </w:tcPr>
          <w:p w14:paraId="69B52F1A">
            <w:pPr>
              <w:spacing w:line="240" w:lineRule="auto"/>
              <w:rPr>
                <w:rFonts w:hint="eastAsia" w:ascii="宋体" w:hAnsi="宋体" w:eastAsia="宋体" w:cs="宋体"/>
                <w:sz w:val="24"/>
                <w:szCs w:val="24"/>
              </w:rPr>
            </w:pPr>
            <w:r>
              <w:rPr>
                <w:rFonts w:hint="eastAsia" w:ascii="宋体" w:hAnsi="宋体" w:eastAsia="宋体" w:cs="宋体"/>
                <w:sz w:val="24"/>
                <w:szCs w:val="24"/>
              </w:rPr>
              <w:t>姓名</w:t>
            </w:r>
          </w:p>
        </w:tc>
        <w:tc>
          <w:tcPr>
            <w:tcW w:w="720" w:type="dxa"/>
            <w:vMerge w:val="restart"/>
            <w:noWrap/>
            <w:vAlign w:val="center"/>
          </w:tcPr>
          <w:p w14:paraId="65476B8A">
            <w:pPr>
              <w:spacing w:line="240" w:lineRule="auto"/>
              <w:rPr>
                <w:rFonts w:hint="eastAsia" w:ascii="宋体" w:hAnsi="宋体" w:eastAsia="宋体" w:cs="宋体"/>
                <w:sz w:val="24"/>
                <w:szCs w:val="24"/>
              </w:rPr>
            </w:pPr>
            <w:r>
              <w:rPr>
                <w:rFonts w:hint="eastAsia" w:ascii="宋体" w:hAnsi="宋体" w:eastAsia="宋体" w:cs="宋体"/>
                <w:sz w:val="24"/>
                <w:szCs w:val="24"/>
              </w:rPr>
              <w:t>职称</w:t>
            </w:r>
          </w:p>
        </w:tc>
        <w:tc>
          <w:tcPr>
            <w:tcW w:w="5040" w:type="dxa"/>
            <w:gridSpan w:val="5"/>
            <w:noWrap/>
            <w:vAlign w:val="center"/>
          </w:tcPr>
          <w:p w14:paraId="6A661F74">
            <w:pPr>
              <w:spacing w:line="240" w:lineRule="auto"/>
              <w:rPr>
                <w:rFonts w:hint="eastAsia" w:ascii="宋体" w:hAnsi="宋体" w:eastAsia="宋体" w:cs="宋体"/>
                <w:sz w:val="24"/>
                <w:szCs w:val="24"/>
              </w:rPr>
            </w:pPr>
            <w:r>
              <w:rPr>
                <w:rFonts w:hint="eastAsia" w:ascii="宋体" w:hAnsi="宋体" w:eastAsia="宋体" w:cs="宋体"/>
                <w:sz w:val="24"/>
                <w:szCs w:val="24"/>
              </w:rPr>
              <w:t>上岗资格证明</w:t>
            </w:r>
          </w:p>
        </w:tc>
        <w:tc>
          <w:tcPr>
            <w:tcW w:w="1800" w:type="dxa"/>
            <w:gridSpan w:val="2"/>
            <w:noWrap/>
            <w:vAlign w:val="center"/>
          </w:tcPr>
          <w:p w14:paraId="42B02742">
            <w:pPr>
              <w:spacing w:line="240" w:lineRule="auto"/>
              <w:rPr>
                <w:rFonts w:hint="eastAsia" w:ascii="宋体" w:hAnsi="宋体" w:eastAsia="宋体" w:cs="宋体"/>
                <w:sz w:val="24"/>
                <w:szCs w:val="24"/>
              </w:rPr>
            </w:pPr>
            <w:r>
              <w:rPr>
                <w:rFonts w:hint="eastAsia" w:ascii="宋体" w:hAnsi="宋体" w:eastAsia="宋体" w:cs="宋体"/>
                <w:sz w:val="24"/>
                <w:szCs w:val="24"/>
              </w:rPr>
              <w:t>已承担在建工程情况</w:t>
            </w:r>
          </w:p>
        </w:tc>
      </w:tr>
      <w:tr w14:paraId="732F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tcPr>
          <w:p w14:paraId="35F8CE7B">
            <w:pPr>
              <w:spacing w:line="240" w:lineRule="auto"/>
              <w:rPr>
                <w:rFonts w:hint="eastAsia" w:ascii="宋体" w:hAnsi="宋体" w:eastAsia="宋体" w:cs="宋体"/>
                <w:sz w:val="24"/>
                <w:szCs w:val="24"/>
              </w:rPr>
            </w:pPr>
          </w:p>
        </w:tc>
        <w:tc>
          <w:tcPr>
            <w:tcW w:w="720" w:type="dxa"/>
            <w:vMerge w:val="continue"/>
            <w:noWrap/>
          </w:tcPr>
          <w:p w14:paraId="763DFA42">
            <w:pPr>
              <w:spacing w:line="240" w:lineRule="auto"/>
              <w:rPr>
                <w:rFonts w:hint="eastAsia" w:ascii="宋体" w:hAnsi="宋体" w:eastAsia="宋体" w:cs="宋体"/>
                <w:sz w:val="24"/>
                <w:szCs w:val="24"/>
              </w:rPr>
            </w:pPr>
          </w:p>
        </w:tc>
        <w:tc>
          <w:tcPr>
            <w:tcW w:w="720" w:type="dxa"/>
            <w:vMerge w:val="continue"/>
            <w:noWrap/>
          </w:tcPr>
          <w:p w14:paraId="4DC859E9">
            <w:pPr>
              <w:spacing w:line="240" w:lineRule="auto"/>
              <w:rPr>
                <w:rFonts w:hint="eastAsia" w:ascii="宋体" w:hAnsi="宋体" w:eastAsia="宋体" w:cs="宋体"/>
                <w:sz w:val="24"/>
                <w:szCs w:val="24"/>
              </w:rPr>
            </w:pPr>
          </w:p>
        </w:tc>
        <w:tc>
          <w:tcPr>
            <w:tcW w:w="888" w:type="dxa"/>
            <w:noWrap/>
            <w:vAlign w:val="center"/>
          </w:tcPr>
          <w:p w14:paraId="60217D82">
            <w:pPr>
              <w:spacing w:line="240" w:lineRule="auto"/>
              <w:rPr>
                <w:rFonts w:hint="eastAsia" w:ascii="宋体" w:hAnsi="宋体" w:eastAsia="宋体" w:cs="宋体"/>
                <w:sz w:val="24"/>
                <w:szCs w:val="24"/>
              </w:rPr>
            </w:pPr>
            <w:r>
              <w:rPr>
                <w:rFonts w:hint="eastAsia" w:ascii="宋体" w:hAnsi="宋体" w:eastAsia="宋体" w:cs="宋体"/>
                <w:sz w:val="24"/>
                <w:szCs w:val="24"/>
              </w:rPr>
              <w:t>证书</w:t>
            </w:r>
          </w:p>
          <w:p w14:paraId="4F9B0774">
            <w:pPr>
              <w:spacing w:line="240" w:lineRule="auto"/>
              <w:rPr>
                <w:rFonts w:hint="eastAsia" w:ascii="宋体" w:hAnsi="宋体" w:eastAsia="宋体" w:cs="宋体"/>
                <w:sz w:val="24"/>
                <w:szCs w:val="24"/>
              </w:rPr>
            </w:pPr>
            <w:r>
              <w:rPr>
                <w:rFonts w:hint="eastAsia" w:ascii="宋体" w:hAnsi="宋体" w:eastAsia="宋体" w:cs="宋体"/>
                <w:sz w:val="24"/>
                <w:szCs w:val="24"/>
              </w:rPr>
              <w:t>名称</w:t>
            </w:r>
          </w:p>
        </w:tc>
        <w:tc>
          <w:tcPr>
            <w:tcW w:w="888" w:type="dxa"/>
            <w:noWrap/>
            <w:vAlign w:val="center"/>
          </w:tcPr>
          <w:p w14:paraId="4D8335F4">
            <w:pPr>
              <w:spacing w:line="240" w:lineRule="auto"/>
              <w:rPr>
                <w:rFonts w:hint="eastAsia" w:ascii="宋体" w:hAnsi="宋体" w:eastAsia="宋体" w:cs="宋体"/>
                <w:sz w:val="24"/>
                <w:szCs w:val="24"/>
              </w:rPr>
            </w:pPr>
            <w:r>
              <w:rPr>
                <w:rFonts w:hint="eastAsia" w:ascii="宋体" w:hAnsi="宋体" w:eastAsia="宋体" w:cs="宋体"/>
                <w:sz w:val="24"/>
                <w:szCs w:val="24"/>
              </w:rPr>
              <w:t>级别</w:t>
            </w:r>
          </w:p>
        </w:tc>
        <w:tc>
          <w:tcPr>
            <w:tcW w:w="888" w:type="dxa"/>
            <w:noWrap/>
            <w:vAlign w:val="center"/>
          </w:tcPr>
          <w:p w14:paraId="0591C083">
            <w:pPr>
              <w:spacing w:line="240" w:lineRule="auto"/>
              <w:rPr>
                <w:rFonts w:hint="eastAsia" w:ascii="宋体" w:hAnsi="宋体" w:eastAsia="宋体" w:cs="宋体"/>
                <w:sz w:val="24"/>
                <w:szCs w:val="24"/>
              </w:rPr>
            </w:pPr>
            <w:r>
              <w:rPr>
                <w:rFonts w:hint="eastAsia" w:ascii="宋体" w:hAnsi="宋体" w:eastAsia="宋体" w:cs="宋体"/>
                <w:sz w:val="24"/>
                <w:szCs w:val="24"/>
              </w:rPr>
              <w:t>证号</w:t>
            </w:r>
          </w:p>
        </w:tc>
        <w:tc>
          <w:tcPr>
            <w:tcW w:w="888" w:type="dxa"/>
            <w:noWrap/>
            <w:vAlign w:val="center"/>
          </w:tcPr>
          <w:p w14:paraId="7A2BC71E">
            <w:pPr>
              <w:spacing w:line="240" w:lineRule="auto"/>
              <w:rPr>
                <w:rFonts w:hint="eastAsia" w:ascii="宋体" w:hAnsi="宋体" w:eastAsia="宋体" w:cs="宋体"/>
                <w:sz w:val="24"/>
                <w:szCs w:val="24"/>
              </w:rPr>
            </w:pPr>
            <w:r>
              <w:rPr>
                <w:rFonts w:hint="eastAsia" w:ascii="宋体" w:hAnsi="宋体" w:eastAsia="宋体" w:cs="宋体"/>
                <w:sz w:val="24"/>
                <w:szCs w:val="24"/>
              </w:rPr>
              <w:t>专业</w:t>
            </w:r>
          </w:p>
        </w:tc>
        <w:tc>
          <w:tcPr>
            <w:tcW w:w="1488" w:type="dxa"/>
            <w:noWrap/>
            <w:vAlign w:val="center"/>
          </w:tcPr>
          <w:p w14:paraId="0974A87F">
            <w:pPr>
              <w:spacing w:line="240" w:lineRule="auto"/>
              <w:rPr>
                <w:rFonts w:hint="eastAsia" w:ascii="宋体" w:hAnsi="宋体" w:eastAsia="宋体" w:cs="宋体"/>
                <w:sz w:val="24"/>
                <w:szCs w:val="24"/>
              </w:rPr>
            </w:pPr>
            <w:r>
              <w:rPr>
                <w:rFonts w:hint="eastAsia" w:ascii="宋体" w:hAnsi="宋体" w:eastAsia="宋体" w:cs="宋体"/>
                <w:sz w:val="24"/>
                <w:szCs w:val="24"/>
              </w:rPr>
              <w:t>原服务单位</w:t>
            </w:r>
          </w:p>
        </w:tc>
        <w:tc>
          <w:tcPr>
            <w:tcW w:w="889" w:type="dxa"/>
            <w:noWrap/>
            <w:vAlign w:val="center"/>
          </w:tcPr>
          <w:p w14:paraId="35E9C5A0">
            <w:pPr>
              <w:spacing w:line="240" w:lineRule="auto"/>
              <w:rPr>
                <w:rFonts w:hint="eastAsia" w:ascii="宋体" w:hAnsi="宋体" w:eastAsia="宋体" w:cs="宋体"/>
                <w:sz w:val="24"/>
                <w:szCs w:val="24"/>
              </w:rPr>
            </w:pPr>
            <w:r>
              <w:rPr>
                <w:rFonts w:hint="eastAsia" w:ascii="宋体" w:hAnsi="宋体" w:eastAsia="宋体" w:cs="宋体"/>
                <w:sz w:val="24"/>
                <w:szCs w:val="24"/>
              </w:rPr>
              <w:t>项目数</w:t>
            </w:r>
          </w:p>
        </w:tc>
        <w:tc>
          <w:tcPr>
            <w:tcW w:w="911" w:type="dxa"/>
            <w:noWrap/>
            <w:vAlign w:val="center"/>
          </w:tcPr>
          <w:p w14:paraId="1231BDD2">
            <w:pPr>
              <w:spacing w:line="240" w:lineRule="auto"/>
              <w:rPr>
                <w:rFonts w:hint="eastAsia" w:ascii="宋体" w:hAnsi="宋体" w:eastAsia="宋体" w:cs="宋体"/>
                <w:sz w:val="24"/>
                <w:szCs w:val="24"/>
              </w:rPr>
            </w:pPr>
            <w:r>
              <w:rPr>
                <w:rFonts w:hint="eastAsia" w:ascii="宋体" w:hAnsi="宋体" w:eastAsia="宋体" w:cs="宋体"/>
                <w:sz w:val="24"/>
                <w:szCs w:val="24"/>
              </w:rPr>
              <w:t>主要项目名称</w:t>
            </w:r>
          </w:p>
        </w:tc>
      </w:tr>
      <w:tr w14:paraId="1F96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62F46ABA">
            <w:pPr>
              <w:spacing w:line="240" w:lineRule="auto"/>
              <w:rPr>
                <w:rFonts w:hint="eastAsia" w:ascii="宋体" w:hAnsi="宋体" w:eastAsia="宋体" w:cs="宋体"/>
                <w:sz w:val="24"/>
                <w:szCs w:val="24"/>
              </w:rPr>
            </w:pPr>
          </w:p>
        </w:tc>
        <w:tc>
          <w:tcPr>
            <w:tcW w:w="720" w:type="dxa"/>
            <w:noWrap/>
          </w:tcPr>
          <w:p w14:paraId="03D07C9F">
            <w:pPr>
              <w:spacing w:line="240" w:lineRule="auto"/>
              <w:rPr>
                <w:rFonts w:hint="eastAsia" w:ascii="宋体" w:hAnsi="宋体" w:eastAsia="宋体" w:cs="宋体"/>
                <w:sz w:val="24"/>
                <w:szCs w:val="24"/>
              </w:rPr>
            </w:pPr>
          </w:p>
        </w:tc>
        <w:tc>
          <w:tcPr>
            <w:tcW w:w="720" w:type="dxa"/>
            <w:noWrap/>
          </w:tcPr>
          <w:p w14:paraId="2C472381">
            <w:pPr>
              <w:spacing w:line="240" w:lineRule="auto"/>
              <w:rPr>
                <w:rFonts w:hint="eastAsia" w:ascii="宋体" w:hAnsi="宋体" w:eastAsia="宋体" w:cs="宋体"/>
                <w:sz w:val="24"/>
                <w:szCs w:val="24"/>
              </w:rPr>
            </w:pPr>
          </w:p>
        </w:tc>
        <w:tc>
          <w:tcPr>
            <w:tcW w:w="888" w:type="dxa"/>
            <w:noWrap/>
          </w:tcPr>
          <w:p w14:paraId="019E4DF2">
            <w:pPr>
              <w:spacing w:line="240" w:lineRule="auto"/>
              <w:rPr>
                <w:rFonts w:hint="eastAsia" w:ascii="宋体" w:hAnsi="宋体" w:eastAsia="宋体" w:cs="宋体"/>
                <w:sz w:val="24"/>
                <w:szCs w:val="24"/>
              </w:rPr>
            </w:pPr>
          </w:p>
        </w:tc>
        <w:tc>
          <w:tcPr>
            <w:tcW w:w="888" w:type="dxa"/>
            <w:noWrap/>
          </w:tcPr>
          <w:p w14:paraId="29C78BB2">
            <w:pPr>
              <w:spacing w:line="240" w:lineRule="auto"/>
              <w:rPr>
                <w:rFonts w:hint="eastAsia" w:ascii="宋体" w:hAnsi="宋体" w:eastAsia="宋体" w:cs="宋体"/>
                <w:sz w:val="24"/>
                <w:szCs w:val="24"/>
              </w:rPr>
            </w:pPr>
          </w:p>
        </w:tc>
        <w:tc>
          <w:tcPr>
            <w:tcW w:w="888" w:type="dxa"/>
            <w:noWrap/>
          </w:tcPr>
          <w:p w14:paraId="78A6B97B">
            <w:pPr>
              <w:spacing w:line="240" w:lineRule="auto"/>
              <w:rPr>
                <w:rFonts w:hint="eastAsia" w:ascii="宋体" w:hAnsi="宋体" w:eastAsia="宋体" w:cs="宋体"/>
                <w:sz w:val="24"/>
                <w:szCs w:val="24"/>
              </w:rPr>
            </w:pPr>
          </w:p>
        </w:tc>
        <w:tc>
          <w:tcPr>
            <w:tcW w:w="888" w:type="dxa"/>
            <w:noWrap/>
          </w:tcPr>
          <w:p w14:paraId="579ACA8B">
            <w:pPr>
              <w:spacing w:line="240" w:lineRule="auto"/>
              <w:rPr>
                <w:rFonts w:hint="eastAsia" w:ascii="宋体" w:hAnsi="宋体" w:eastAsia="宋体" w:cs="宋体"/>
                <w:sz w:val="24"/>
                <w:szCs w:val="24"/>
              </w:rPr>
            </w:pPr>
          </w:p>
        </w:tc>
        <w:tc>
          <w:tcPr>
            <w:tcW w:w="1488" w:type="dxa"/>
            <w:noWrap/>
          </w:tcPr>
          <w:p w14:paraId="25E3BD76">
            <w:pPr>
              <w:spacing w:line="240" w:lineRule="auto"/>
              <w:rPr>
                <w:rFonts w:hint="eastAsia" w:ascii="宋体" w:hAnsi="宋体" w:eastAsia="宋体" w:cs="宋体"/>
                <w:sz w:val="24"/>
                <w:szCs w:val="24"/>
              </w:rPr>
            </w:pPr>
          </w:p>
        </w:tc>
        <w:tc>
          <w:tcPr>
            <w:tcW w:w="889" w:type="dxa"/>
            <w:noWrap/>
          </w:tcPr>
          <w:p w14:paraId="38FF7737">
            <w:pPr>
              <w:spacing w:line="240" w:lineRule="auto"/>
              <w:rPr>
                <w:rFonts w:hint="eastAsia" w:ascii="宋体" w:hAnsi="宋体" w:eastAsia="宋体" w:cs="宋体"/>
                <w:sz w:val="24"/>
                <w:szCs w:val="24"/>
              </w:rPr>
            </w:pPr>
          </w:p>
        </w:tc>
        <w:tc>
          <w:tcPr>
            <w:tcW w:w="911" w:type="dxa"/>
            <w:noWrap/>
          </w:tcPr>
          <w:p w14:paraId="67B6DA02">
            <w:pPr>
              <w:spacing w:line="240" w:lineRule="auto"/>
              <w:rPr>
                <w:rFonts w:hint="eastAsia" w:ascii="宋体" w:hAnsi="宋体" w:eastAsia="宋体" w:cs="宋体"/>
                <w:sz w:val="24"/>
                <w:szCs w:val="24"/>
              </w:rPr>
            </w:pPr>
          </w:p>
        </w:tc>
      </w:tr>
      <w:tr w14:paraId="324E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130899A9">
            <w:pPr>
              <w:spacing w:line="240" w:lineRule="auto"/>
              <w:rPr>
                <w:rFonts w:hint="eastAsia" w:ascii="宋体" w:hAnsi="宋体" w:eastAsia="宋体" w:cs="宋体"/>
                <w:sz w:val="24"/>
                <w:szCs w:val="24"/>
              </w:rPr>
            </w:pPr>
          </w:p>
        </w:tc>
        <w:tc>
          <w:tcPr>
            <w:tcW w:w="720" w:type="dxa"/>
            <w:noWrap/>
          </w:tcPr>
          <w:p w14:paraId="5ABE545A">
            <w:pPr>
              <w:spacing w:line="240" w:lineRule="auto"/>
              <w:rPr>
                <w:rFonts w:hint="eastAsia" w:ascii="宋体" w:hAnsi="宋体" w:eastAsia="宋体" w:cs="宋体"/>
                <w:sz w:val="24"/>
                <w:szCs w:val="24"/>
              </w:rPr>
            </w:pPr>
          </w:p>
        </w:tc>
        <w:tc>
          <w:tcPr>
            <w:tcW w:w="720" w:type="dxa"/>
            <w:noWrap/>
          </w:tcPr>
          <w:p w14:paraId="4FACA877">
            <w:pPr>
              <w:spacing w:line="240" w:lineRule="auto"/>
              <w:rPr>
                <w:rFonts w:hint="eastAsia" w:ascii="宋体" w:hAnsi="宋体" w:eastAsia="宋体" w:cs="宋体"/>
                <w:sz w:val="24"/>
                <w:szCs w:val="24"/>
              </w:rPr>
            </w:pPr>
          </w:p>
        </w:tc>
        <w:tc>
          <w:tcPr>
            <w:tcW w:w="888" w:type="dxa"/>
            <w:noWrap/>
          </w:tcPr>
          <w:p w14:paraId="687EA460">
            <w:pPr>
              <w:spacing w:line="240" w:lineRule="auto"/>
              <w:rPr>
                <w:rFonts w:hint="eastAsia" w:ascii="宋体" w:hAnsi="宋体" w:eastAsia="宋体" w:cs="宋体"/>
                <w:sz w:val="24"/>
                <w:szCs w:val="24"/>
              </w:rPr>
            </w:pPr>
          </w:p>
        </w:tc>
        <w:tc>
          <w:tcPr>
            <w:tcW w:w="888" w:type="dxa"/>
            <w:noWrap/>
          </w:tcPr>
          <w:p w14:paraId="23A238B7">
            <w:pPr>
              <w:spacing w:line="240" w:lineRule="auto"/>
              <w:rPr>
                <w:rFonts w:hint="eastAsia" w:ascii="宋体" w:hAnsi="宋体" w:eastAsia="宋体" w:cs="宋体"/>
                <w:sz w:val="24"/>
                <w:szCs w:val="24"/>
              </w:rPr>
            </w:pPr>
          </w:p>
        </w:tc>
        <w:tc>
          <w:tcPr>
            <w:tcW w:w="888" w:type="dxa"/>
            <w:noWrap/>
            <w:vAlign w:val="center"/>
          </w:tcPr>
          <w:p w14:paraId="4405FA87">
            <w:pPr>
              <w:spacing w:line="240" w:lineRule="auto"/>
              <w:jc w:val="center"/>
              <w:rPr>
                <w:rFonts w:hint="eastAsia" w:ascii="宋体" w:hAnsi="宋体" w:eastAsia="宋体" w:cs="宋体"/>
                <w:sz w:val="24"/>
                <w:szCs w:val="24"/>
              </w:rPr>
            </w:pPr>
          </w:p>
        </w:tc>
        <w:tc>
          <w:tcPr>
            <w:tcW w:w="888" w:type="dxa"/>
            <w:noWrap/>
          </w:tcPr>
          <w:p w14:paraId="64780A67">
            <w:pPr>
              <w:spacing w:line="240" w:lineRule="auto"/>
              <w:rPr>
                <w:rFonts w:hint="eastAsia" w:ascii="宋体" w:hAnsi="宋体" w:eastAsia="宋体" w:cs="宋体"/>
                <w:sz w:val="24"/>
                <w:szCs w:val="24"/>
              </w:rPr>
            </w:pPr>
          </w:p>
        </w:tc>
        <w:tc>
          <w:tcPr>
            <w:tcW w:w="1488" w:type="dxa"/>
            <w:noWrap/>
          </w:tcPr>
          <w:p w14:paraId="0D8572A6">
            <w:pPr>
              <w:spacing w:line="240" w:lineRule="auto"/>
              <w:rPr>
                <w:rFonts w:hint="eastAsia" w:ascii="宋体" w:hAnsi="宋体" w:eastAsia="宋体" w:cs="宋体"/>
                <w:sz w:val="24"/>
                <w:szCs w:val="24"/>
              </w:rPr>
            </w:pPr>
          </w:p>
        </w:tc>
        <w:tc>
          <w:tcPr>
            <w:tcW w:w="889" w:type="dxa"/>
            <w:noWrap/>
          </w:tcPr>
          <w:p w14:paraId="75387262">
            <w:pPr>
              <w:spacing w:line="240" w:lineRule="auto"/>
              <w:rPr>
                <w:rFonts w:hint="eastAsia" w:ascii="宋体" w:hAnsi="宋体" w:eastAsia="宋体" w:cs="宋体"/>
                <w:sz w:val="24"/>
                <w:szCs w:val="24"/>
              </w:rPr>
            </w:pPr>
          </w:p>
        </w:tc>
        <w:tc>
          <w:tcPr>
            <w:tcW w:w="911" w:type="dxa"/>
            <w:noWrap/>
          </w:tcPr>
          <w:p w14:paraId="350F2756">
            <w:pPr>
              <w:spacing w:line="240" w:lineRule="auto"/>
              <w:rPr>
                <w:rFonts w:hint="eastAsia" w:ascii="宋体" w:hAnsi="宋体" w:eastAsia="宋体" w:cs="宋体"/>
                <w:sz w:val="24"/>
                <w:szCs w:val="24"/>
              </w:rPr>
            </w:pPr>
          </w:p>
        </w:tc>
      </w:tr>
      <w:tr w14:paraId="4A6D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16B2CA64">
            <w:pPr>
              <w:spacing w:line="240" w:lineRule="auto"/>
              <w:rPr>
                <w:rFonts w:hint="eastAsia" w:ascii="宋体" w:hAnsi="宋体" w:eastAsia="宋体" w:cs="宋体"/>
                <w:sz w:val="24"/>
                <w:szCs w:val="24"/>
              </w:rPr>
            </w:pPr>
          </w:p>
        </w:tc>
        <w:tc>
          <w:tcPr>
            <w:tcW w:w="720" w:type="dxa"/>
            <w:noWrap/>
          </w:tcPr>
          <w:p w14:paraId="29A7E71F">
            <w:pPr>
              <w:spacing w:line="240" w:lineRule="auto"/>
              <w:rPr>
                <w:rFonts w:hint="eastAsia" w:ascii="宋体" w:hAnsi="宋体" w:eastAsia="宋体" w:cs="宋体"/>
                <w:sz w:val="24"/>
                <w:szCs w:val="24"/>
              </w:rPr>
            </w:pPr>
          </w:p>
        </w:tc>
        <w:tc>
          <w:tcPr>
            <w:tcW w:w="720" w:type="dxa"/>
            <w:noWrap/>
          </w:tcPr>
          <w:p w14:paraId="56CFBC68">
            <w:pPr>
              <w:spacing w:line="240" w:lineRule="auto"/>
              <w:rPr>
                <w:rFonts w:hint="eastAsia" w:ascii="宋体" w:hAnsi="宋体" w:eastAsia="宋体" w:cs="宋体"/>
                <w:sz w:val="24"/>
                <w:szCs w:val="24"/>
              </w:rPr>
            </w:pPr>
          </w:p>
        </w:tc>
        <w:tc>
          <w:tcPr>
            <w:tcW w:w="888" w:type="dxa"/>
            <w:noWrap/>
          </w:tcPr>
          <w:p w14:paraId="637F7231">
            <w:pPr>
              <w:spacing w:line="240" w:lineRule="auto"/>
              <w:rPr>
                <w:rFonts w:hint="eastAsia" w:ascii="宋体" w:hAnsi="宋体" w:eastAsia="宋体" w:cs="宋体"/>
                <w:sz w:val="24"/>
                <w:szCs w:val="24"/>
              </w:rPr>
            </w:pPr>
          </w:p>
        </w:tc>
        <w:tc>
          <w:tcPr>
            <w:tcW w:w="888" w:type="dxa"/>
            <w:noWrap/>
          </w:tcPr>
          <w:p w14:paraId="4D70F1A3">
            <w:pPr>
              <w:spacing w:line="240" w:lineRule="auto"/>
              <w:rPr>
                <w:rFonts w:hint="eastAsia" w:ascii="宋体" w:hAnsi="宋体" w:eastAsia="宋体" w:cs="宋体"/>
                <w:sz w:val="24"/>
                <w:szCs w:val="24"/>
              </w:rPr>
            </w:pPr>
          </w:p>
        </w:tc>
        <w:tc>
          <w:tcPr>
            <w:tcW w:w="888" w:type="dxa"/>
            <w:noWrap/>
          </w:tcPr>
          <w:p w14:paraId="4C74C054">
            <w:pPr>
              <w:spacing w:line="240" w:lineRule="auto"/>
              <w:rPr>
                <w:rFonts w:hint="eastAsia" w:ascii="宋体" w:hAnsi="宋体" w:eastAsia="宋体" w:cs="宋体"/>
                <w:sz w:val="24"/>
                <w:szCs w:val="24"/>
              </w:rPr>
            </w:pPr>
          </w:p>
        </w:tc>
        <w:tc>
          <w:tcPr>
            <w:tcW w:w="888" w:type="dxa"/>
            <w:noWrap/>
          </w:tcPr>
          <w:p w14:paraId="03779D6E">
            <w:pPr>
              <w:spacing w:line="240" w:lineRule="auto"/>
              <w:rPr>
                <w:rFonts w:hint="eastAsia" w:ascii="宋体" w:hAnsi="宋体" w:eastAsia="宋体" w:cs="宋体"/>
                <w:sz w:val="24"/>
                <w:szCs w:val="24"/>
              </w:rPr>
            </w:pPr>
          </w:p>
        </w:tc>
        <w:tc>
          <w:tcPr>
            <w:tcW w:w="1488" w:type="dxa"/>
            <w:noWrap/>
          </w:tcPr>
          <w:p w14:paraId="26692EFC">
            <w:pPr>
              <w:spacing w:line="240" w:lineRule="auto"/>
              <w:rPr>
                <w:rFonts w:hint="eastAsia" w:ascii="宋体" w:hAnsi="宋体" w:eastAsia="宋体" w:cs="宋体"/>
                <w:sz w:val="24"/>
                <w:szCs w:val="24"/>
              </w:rPr>
            </w:pPr>
          </w:p>
        </w:tc>
        <w:tc>
          <w:tcPr>
            <w:tcW w:w="889" w:type="dxa"/>
            <w:noWrap/>
          </w:tcPr>
          <w:p w14:paraId="20FA7FE3">
            <w:pPr>
              <w:spacing w:line="240" w:lineRule="auto"/>
              <w:rPr>
                <w:rFonts w:hint="eastAsia" w:ascii="宋体" w:hAnsi="宋体" w:eastAsia="宋体" w:cs="宋体"/>
                <w:sz w:val="24"/>
                <w:szCs w:val="24"/>
              </w:rPr>
            </w:pPr>
          </w:p>
        </w:tc>
        <w:tc>
          <w:tcPr>
            <w:tcW w:w="911" w:type="dxa"/>
            <w:noWrap/>
          </w:tcPr>
          <w:p w14:paraId="62E013BA">
            <w:pPr>
              <w:spacing w:line="240" w:lineRule="auto"/>
              <w:rPr>
                <w:rFonts w:hint="eastAsia" w:ascii="宋体" w:hAnsi="宋体" w:eastAsia="宋体" w:cs="宋体"/>
                <w:sz w:val="24"/>
                <w:szCs w:val="24"/>
              </w:rPr>
            </w:pPr>
          </w:p>
        </w:tc>
      </w:tr>
      <w:tr w14:paraId="3F8B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76ADDD9D">
            <w:pPr>
              <w:spacing w:line="240" w:lineRule="auto"/>
              <w:rPr>
                <w:rFonts w:hint="eastAsia" w:ascii="宋体" w:hAnsi="宋体" w:eastAsia="宋体" w:cs="宋体"/>
                <w:sz w:val="24"/>
                <w:szCs w:val="24"/>
              </w:rPr>
            </w:pPr>
          </w:p>
        </w:tc>
        <w:tc>
          <w:tcPr>
            <w:tcW w:w="720" w:type="dxa"/>
            <w:noWrap/>
          </w:tcPr>
          <w:p w14:paraId="6AB1C0A8">
            <w:pPr>
              <w:spacing w:line="240" w:lineRule="auto"/>
              <w:rPr>
                <w:rFonts w:hint="eastAsia" w:ascii="宋体" w:hAnsi="宋体" w:eastAsia="宋体" w:cs="宋体"/>
                <w:sz w:val="24"/>
                <w:szCs w:val="24"/>
              </w:rPr>
            </w:pPr>
          </w:p>
        </w:tc>
        <w:tc>
          <w:tcPr>
            <w:tcW w:w="720" w:type="dxa"/>
            <w:noWrap/>
          </w:tcPr>
          <w:p w14:paraId="3DD9D9C6">
            <w:pPr>
              <w:spacing w:line="240" w:lineRule="auto"/>
              <w:rPr>
                <w:rFonts w:hint="eastAsia" w:ascii="宋体" w:hAnsi="宋体" w:eastAsia="宋体" w:cs="宋体"/>
                <w:sz w:val="24"/>
                <w:szCs w:val="24"/>
              </w:rPr>
            </w:pPr>
          </w:p>
        </w:tc>
        <w:tc>
          <w:tcPr>
            <w:tcW w:w="888" w:type="dxa"/>
            <w:noWrap/>
          </w:tcPr>
          <w:p w14:paraId="1B54CFEE">
            <w:pPr>
              <w:spacing w:line="240" w:lineRule="auto"/>
              <w:rPr>
                <w:rFonts w:hint="eastAsia" w:ascii="宋体" w:hAnsi="宋体" w:eastAsia="宋体" w:cs="宋体"/>
                <w:sz w:val="24"/>
                <w:szCs w:val="24"/>
              </w:rPr>
            </w:pPr>
          </w:p>
        </w:tc>
        <w:tc>
          <w:tcPr>
            <w:tcW w:w="888" w:type="dxa"/>
            <w:noWrap/>
          </w:tcPr>
          <w:p w14:paraId="378D9397">
            <w:pPr>
              <w:spacing w:line="240" w:lineRule="auto"/>
              <w:rPr>
                <w:rFonts w:hint="eastAsia" w:ascii="宋体" w:hAnsi="宋体" w:eastAsia="宋体" w:cs="宋体"/>
                <w:sz w:val="24"/>
                <w:szCs w:val="24"/>
              </w:rPr>
            </w:pPr>
          </w:p>
        </w:tc>
        <w:tc>
          <w:tcPr>
            <w:tcW w:w="888" w:type="dxa"/>
            <w:noWrap/>
          </w:tcPr>
          <w:p w14:paraId="36764BF0">
            <w:pPr>
              <w:spacing w:line="240" w:lineRule="auto"/>
              <w:rPr>
                <w:rFonts w:hint="eastAsia" w:ascii="宋体" w:hAnsi="宋体" w:eastAsia="宋体" w:cs="宋体"/>
                <w:sz w:val="24"/>
                <w:szCs w:val="24"/>
              </w:rPr>
            </w:pPr>
          </w:p>
        </w:tc>
        <w:tc>
          <w:tcPr>
            <w:tcW w:w="888" w:type="dxa"/>
            <w:noWrap/>
          </w:tcPr>
          <w:p w14:paraId="230946B6">
            <w:pPr>
              <w:spacing w:line="240" w:lineRule="auto"/>
              <w:rPr>
                <w:rFonts w:hint="eastAsia" w:ascii="宋体" w:hAnsi="宋体" w:eastAsia="宋体" w:cs="宋体"/>
                <w:sz w:val="24"/>
                <w:szCs w:val="24"/>
              </w:rPr>
            </w:pPr>
          </w:p>
        </w:tc>
        <w:tc>
          <w:tcPr>
            <w:tcW w:w="1488" w:type="dxa"/>
            <w:noWrap/>
          </w:tcPr>
          <w:p w14:paraId="4EC9AA85">
            <w:pPr>
              <w:spacing w:line="240" w:lineRule="auto"/>
              <w:rPr>
                <w:rFonts w:hint="eastAsia" w:ascii="宋体" w:hAnsi="宋体" w:eastAsia="宋体" w:cs="宋体"/>
                <w:sz w:val="24"/>
                <w:szCs w:val="24"/>
              </w:rPr>
            </w:pPr>
          </w:p>
        </w:tc>
        <w:tc>
          <w:tcPr>
            <w:tcW w:w="889" w:type="dxa"/>
            <w:noWrap/>
          </w:tcPr>
          <w:p w14:paraId="1BF8628D">
            <w:pPr>
              <w:spacing w:line="240" w:lineRule="auto"/>
              <w:rPr>
                <w:rFonts w:hint="eastAsia" w:ascii="宋体" w:hAnsi="宋体" w:eastAsia="宋体" w:cs="宋体"/>
                <w:sz w:val="24"/>
                <w:szCs w:val="24"/>
              </w:rPr>
            </w:pPr>
          </w:p>
        </w:tc>
        <w:tc>
          <w:tcPr>
            <w:tcW w:w="911" w:type="dxa"/>
            <w:noWrap/>
          </w:tcPr>
          <w:p w14:paraId="27AB06BD">
            <w:pPr>
              <w:spacing w:line="240" w:lineRule="auto"/>
              <w:rPr>
                <w:rFonts w:hint="eastAsia" w:ascii="宋体" w:hAnsi="宋体" w:eastAsia="宋体" w:cs="宋体"/>
                <w:sz w:val="24"/>
                <w:szCs w:val="24"/>
              </w:rPr>
            </w:pPr>
          </w:p>
        </w:tc>
      </w:tr>
      <w:tr w14:paraId="212E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exact"/>
        </w:trPr>
        <w:tc>
          <w:tcPr>
            <w:tcW w:w="8928" w:type="dxa"/>
            <w:gridSpan w:val="10"/>
            <w:noWrap/>
          </w:tcPr>
          <w:p w14:paraId="323D6E3D">
            <w:pPr>
              <w:spacing w:line="440" w:lineRule="exact"/>
              <w:rPr>
                <w:rFonts w:hint="eastAsia" w:ascii="宋体" w:hAnsi="宋体" w:eastAsia="宋体" w:cs="宋体"/>
                <w:sz w:val="24"/>
                <w:szCs w:val="24"/>
              </w:rPr>
            </w:pPr>
            <w:r>
              <w:rPr>
                <w:rFonts w:hint="eastAsia" w:ascii="宋体" w:hAnsi="宋体" w:eastAsia="宋体" w:cs="宋体"/>
                <w:sz w:val="24"/>
                <w:szCs w:val="24"/>
              </w:rPr>
              <w:t>本工程一旦我单位成交，将实行项目经理负责制，并配备上述项目管理班子。上述填报内容真实，若不真实，愿按有关规定接受处理。项目管理班子机构设置、职责分工等情况另附资料说明。</w:t>
            </w:r>
          </w:p>
        </w:tc>
      </w:tr>
    </w:tbl>
    <w:p w14:paraId="31C937C9">
      <w:pPr>
        <w:spacing w:line="440" w:lineRule="exact"/>
        <w:rPr>
          <w:rFonts w:hint="eastAsia" w:ascii="宋体" w:hAnsi="宋体" w:eastAsia="宋体" w:cs="宋体"/>
          <w:b/>
          <w:bCs/>
          <w:sz w:val="22"/>
        </w:rPr>
      </w:pPr>
    </w:p>
    <w:p w14:paraId="53902B40">
      <w:p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rPr>
        <w:t>附表四、项目经理简历表</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3BD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0B28AE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480" w:type="dxa"/>
            <w:noWrap/>
          </w:tcPr>
          <w:p w14:paraId="2F825507">
            <w:pPr>
              <w:spacing w:line="240" w:lineRule="auto"/>
              <w:jc w:val="center"/>
              <w:rPr>
                <w:rFonts w:hint="eastAsia" w:ascii="宋体" w:hAnsi="宋体" w:eastAsia="宋体" w:cs="宋体"/>
                <w:kern w:val="0"/>
                <w:sz w:val="24"/>
                <w:szCs w:val="24"/>
              </w:rPr>
            </w:pPr>
          </w:p>
        </w:tc>
        <w:tc>
          <w:tcPr>
            <w:tcW w:w="1480" w:type="dxa"/>
            <w:noWrap/>
          </w:tcPr>
          <w:p w14:paraId="6E31826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1608" w:type="dxa"/>
            <w:noWrap/>
          </w:tcPr>
          <w:p w14:paraId="761E10BF">
            <w:pPr>
              <w:spacing w:line="240" w:lineRule="auto"/>
              <w:jc w:val="center"/>
              <w:rPr>
                <w:rFonts w:hint="eastAsia" w:ascii="宋体" w:hAnsi="宋体" w:eastAsia="宋体" w:cs="宋体"/>
                <w:kern w:val="0"/>
                <w:sz w:val="24"/>
                <w:szCs w:val="24"/>
              </w:rPr>
            </w:pPr>
          </w:p>
        </w:tc>
        <w:tc>
          <w:tcPr>
            <w:tcW w:w="1481" w:type="dxa"/>
            <w:noWrap/>
          </w:tcPr>
          <w:p w14:paraId="1F37DA5C">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年龄</w:t>
            </w:r>
          </w:p>
        </w:tc>
        <w:tc>
          <w:tcPr>
            <w:tcW w:w="1481" w:type="dxa"/>
            <w:noWrap/>
          </w:tcPr>
          <w:p w14:paraId="7FA4E6D0">
            <w:pPr>
              <w:spacing w:line="240" w:lineRule="auto"/>
              <w:jc w:val="center"/>
              <w:rPr>
                <w:rFonts w:hint="eastAsia" w:ascii="宋体" w:hAnsi="宋体" w:eastAsia="宋体" w:cs="宋体"/>
                <w:kern w:val="0"/>
                <w:sz w:val="24"/>
                <w:szCs w:val="24"/>
              </w:rPr>
            </w:pPr>
          </w:p>
        </w:tc>
      </w:tr>
      <w:tr w14:paraId="4BC3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46FAD26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1480" w:type="dxa"/>
            <w:noWrap/>
          </w:tcPr>
          <w:p w14:paraId="140D8F27">
            <w:pPr>
              <w:spacing w:line="240" w:lineRule="auto"/>
              <w:jc w:val="center"/>
              <w:rPr>
                <w:rFonts w:hint="eastAsia" w:ascii="宋体" w:hAnsi="宋体" w:eastAsia="宋体" w:cs="宋体"/>
                <w:kern w:val="0"/>
                <w:sz w:val="24"/>
                <w:szCs w:val="24"/>
              </w:rPr>
            </w:pPr>
          </w:p>
        </w:tc>
        <w:tc>
          <w:tcPr>
            <w:tcW w:w="1480" w:type="dxa"/>
            <w:noWrap/>
          </w:tcPr>
          <w:p w14:paraId="237607D5">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1608" w:type="dxa"/>
            <w:noWrap/>
          </w:tcPr>
          <w:p w14:paraId="03028AED">
            <w:pPr>
              <w:spacing w:line="240" w:lineRule="auto"/>
              <w:jc w:val="center"/>
              <w:rPr>
                <w:rFonts w:hint="eastAsia" w:ascii="宋体" w:hAnsi="宋体" w:eastAsia="宋体" w:cs="宋体"/>
                <w:kern w:val="0"/>
                <w:sz w:val="24"/>
                <w:szCs w:val="24"/>
              </w:rPr>
            </w:pPr>
          </w:p>
        </w:tc>
        <w:tc>
          <w:tcPr>
            <w:tcW w:w="1481" w:type="dxa"/>
            <w:noWrap/>
          </w:tcPr>
          <w:p w14:paraId="1462D56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学历</w:t>
            </w:r>
          </w:p>
        </w:tc>
        <w:tc>
          <w:tcPr>
            <w:tcW w:w="1481" w:type="dxa"/>
            <w:noWrap/>
          </w:tcPr>
          <w:p w14:paraId="03F7EE50">
            <w:pPr>
              <w:spacing w:line="240" w:lineRule="auto"/>
              <w:jc w:val="center"/>
              <w:rPr>
                <w:rFonts w:hint="eastAsia" w:ascii="宋体" w:hAnsi="宋体" w:eastAsia="宋体" w:cs="宋体"/>
                <w:kern w:val="0"/>
                <w:sz w:val="24"/>
                <w:szCs w:val="24"/>
              </w:rPr>
            </w:pPr>
          </w:p>
        </w:tc>
      </w:tr>
      <w:tr w14:paraId="02B5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2987684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参加工作时间</w:t>
            </w:r>
          </w:p>
        </w:tc>
        <w:tc>
          <w:tcPr>
            <w:tcW w:w="1480" w:type="dxa"/>
            <w:noWrap/>
          </w:tcPr>
          <w:p w14:paraId="06F2ED55">
            <w:pPr>
              <w:spacing w:line="240" w:lineRule="auto"/>
              <w:jc w:val="center"/>
              <w:rPr>
                <w:rFonts w:hint="eastAsia" w:ascii="宋体" w:hAnsi="宋体" w:eastAsia="宋体" w:cs="宋体"/>
                <w:kern w:val="0"/>
                <w:sz w:val="24"/>
                <w:szCs w:val="24"/>
              </w:rPr>
            </w:pPr>
          </w:p>
        </w:tc>
        <w:tc>
          <w:tcPr>
            <w:tcW w:w="3089" w:type="dxa"/>
            <w:gridSpan w:val="2"/>
            <w:noWrap/>
          </w:tcPr>
          <w:p w14:paraId="570F2C3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从事项目经理年限</w:t>
            </w:r>
          </w:p>
        </w:tc>
        <w:tc>
          <w:tcPr>
            <w:tcW w:w="1481" w:type="dxa"/>
            <w:noWrap/>
          </w:tcPr>
          <w:p w14:paraId="04F0FF6C">
            <w:pPr>
              <w:spacing w:line="240" w:lineRule="auto"/>
              <w:jc w:val="center"/>
              <w:rPr>
                <w:rFonts w:hint="eastAsia" w:ascii="宋体" w:hAnsi="宋体" w:eastAsia="宋体" w:cs="宋体"/>
                <w:kern w:val="0"/>
                <w:sz w:val="24"/>
                <w:szCs w:val="24"/>
              </w:rPr>
            </w:pPr>
          </w:p>
        </w:tc>
      </w:tr>
      <w:tr w14:paraId="4A9A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3C21F93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项目经理资格证书编号</w:t>
            </w:r>
          </w:p>
        </w:tc>
        <w:tc>
          <w:tcPr>
            <w:tcW w:w="6050" w:type="dxa"/>
            <w:gridSpan w:val="4"/>
            <w:noWrap/>
          </w:tcPr>
          <w:p w14:paraId="3F785EF7">
            <w:pPr>
              <w:spacing w:line="240" w:lineRule="auto"/>
              <w:jc w:val="center"/>
              <w:rPr>
                <w:rFonts w:hint="eastAsia" w:ascii="宋体" w:hAnsi="宋体" w:eastAsia="宋体" w:cs="宋体"/>
                <w:kern w:val="0"/>
                <w:sz w:val="24"/>
                <w:szCs w:val="24"/>
              </w:rPr>
            </w:pPr>
          </w:p>
        </w:tc>
      </w:tr>
      <w:tr w14:paraId="458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65594AF9">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在建和已完工程项目情况</w:t>
            </w:r>
          </w:p>
        </w:tc>
      </w:tr>
      <w:tr w14:paraId="694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31B2925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建设单位</w:t>
            </w:r>
          </w:p>
        </w:tc>
        <w:tc>
          <w:tcPr>
            <w:tcW w:w="1480" w:type="dxa"/>
            <w:noWrap/>
          </w:tcPr>
          <w:p w14:paraId="42BC6E1A">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480" w:type="dxa"/>
            <w:noWrap/>
          </w:tcPr>
          <w:p w14:paraId="63597D9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608" w:type="dxa"/>
            <w:noWrap/>
          </w:tcPr>
          <w:p w14:paraId="125849B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开、竣工日期</w:t>
            </w:r>
          </w:p>
        </w:tc>
        <w:tc>
          <w:tcPr>
            <w:tcW w:w="1481" w:type="dxa"/>
            <w:noWrap/>
          </w:tcPr>
          <w:p w14:paraId="134C0820">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在建或已完</w:t>
            </w:r>
          </w:p>
        </w:tc>
        <w:tc>
          <w:tcPr>
            <w:tcW w:w="1481" w:type="dxa"/>
            <w:noWrap/>
          </w:tcPr>
          <w:p w14:paraId="21C68E0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工程质量</w:t>
            </w:r>
          </w:p>
        </w:tc>
      </w:tr>
      <w:tr w14:paraId="6817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7AC9F0D">
            <w:pPr>
              <w:spacing w:line="240" w:lineRule="auto"/>
              <w:rPr>
                <w:rFonts w:hint="eastAsia" w:ascii="宋体" w:hAnsi="宋体" w:eastAsia="宋体" w:cs="宋体"/>
                <w:kern w:val="0"/>
                <w:sz w:val="24"/>
                <w:szCs w:val="24"/>
              </w:rPr>
            </w:pPr>
          </w:p>
        </w:tc>
        <w:tc>
          <w:tcPr>
            <w:tcW w:w="1480" w:type="dxa"/>
            <w:noWrap/>
          </w:tcPr>
          <w:p w14:paraId="5F35B98F">
            <w:pPr>
              <w:spacing w:line="240" w:lineRule="auto"/>
              <w:rPr>
                <w:rFonts w:hint="eastAsia" w:ascii="宋体" w:hAnsi="宋体" w:eastAsia="宋体" w:cs="宋体"/>
                <w:kern w:val="0"/>
                <w:sz w:val="24"/>
                <w:szCs w:val="24"/>
              </w:rPr>
            </w:pPr>
          </w:p>
        </w:tc>
        <w:tc>
          <w:tcPr>
            <w:tcW w:w="1480" w:type="dxa"/>
            <w:noWrap/>
          </w:tcPr>
          <w:p w14:paraId="3D76EAC0">
            <w:pPr>
              <w:spacing w:line="240" w:lineRule="auto"/>
              <w:rPr>
                <w:rFonts w:hint="eastAsia" w:ascii="宋体" w:hAnsi="宋体" w:eastAsia="宋体" w:cs="宋体"/>
                <w:kern w:val="0"/>
                <w:sz w:val="24"/>
                <w:szCs w:val="24"/>
              </w:rPr>
            </w:pPr>
          </w:p>
        </w:tc>
        <w:tc>
          <w:tcPr>
            <w:tcW w:w="1608" w:type="dxa"/>
            <w:noWrap/>
          </w:tcPr>
          <w:p w14:paraId="0A6C2681">
            <w:pPr>
              <w:spacing w:line="240" w:lineRule="auto"/>
              <w:rPr>
                <w:rFonts w:hint="eastAsia" w:ascii="宋体" w:hAnsi="宋体" w:eastAsia="宋体" w:cs="宋体"/>
                <w:kern w:val="0"/>
                <w:sz w:val="24"/>
                <w:szCs w:val="24"/>
              </w:rPr>
            </w:pPr>
          </w:p>
        </w:tc>
        <w:tc>
          <w:tcPr>
            <w:tcW w:w="1481" w:type="dxa"/>
            <w:noWrap/>
          </w:tcPr>
          <w:p w14:paraId="4B98DE34">
            <w:pPr>
              <w:spacing w:line="240" w:lineRule="auto"/>
              <w:rPr>
                <w:rFonts w:hint="eastAsia" w:ascii="宋体" w:hAnsi="宋体" w:eastAsia="宋体" w:cs="宋体"/>
                <w:kern w:val="0"/>
                <w:sz w:val="24"/>
                <w:szCs w:val="24"/>
              </w:rPr>
            </w:pPr>
          </w:p>
        </w:tc>
        <w:tc>
          <w:tcPr>
            <w:tcW w:w="1481" w:type="dxa"/>
            <w:noWrap/>
          </w:tcPr>
          <w:p w14:paraId="0115B220">
            <w:pPr>
              <w:spacing w:line="240" w:lineRule="auto"/>
              <w:rPr>
                <w:rFonts w:hint="eastAsia" w:ascii="宋体" w:hAnsi="宋体" w:eastAsia="宋体" w:cs="宋体"/>
                <w:kern w:val="0"/>
                <w:sz w:val="24"/>
                <w:szCs w:val="24"/>
              </w:rPr>
            </w:pPr>
          </w:p>
        </w:tc>
      </w:tr>
      <w:tr w14:paraId="7DD8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6AAADEF0">
            <w:pPr>
              <w:spacing w:line="240" w:lineRule="auto"/>
              <w:rPr>
                <w:rFonts w:hint="eastAsia" w:ascii="宋体" w:hAnsi="宋体" w:eastAsia="宋体" w:cs="宋体"/>
                <w:kern w:val="0"/>
                <w:sz w:val="24"/>
                <w:szCs w:val="24"/>
              </w:rPr>
            </w:pPr>
          </w:p>
        </w:tc>
        <w:tc>
          <w:tcPr>
            <w:tcW w:w="1480" w:type="dxa"/>
            <w:noWrap/>
          </w:tcPr>
          <w:p w14:paraId="2461F603">
            <w:pPr>
              <w:spacing w:line="240" w:lineRule="auto"/>
              <w:rPr>
                <w:rFonts w:hint="eastAsia" w:ascii="宋体" w:hAnsi="宋体" w:eastAsia="宋体" w:cs="宋体"/>
                <w:kern w:val="0"/>
                <w:sz w:val="24"/>
                <w:szCs w:val="24"/>
              </w:rPr>
            </w:pPr>
          </w:p>
        </w:tc>
        <w:tc>
          <w:tcPr>
            <w:tcW w:w="1480" w:type="dxa"/>
            <w:noWrap/>
          </w:tcPr>
          <w:p w14:paraId="470D6F8D">
            <w:pPr>
              <w:spacing w:line="240" w:lineRule="auto"/>
              <w:rPr>
                <w:rFonts w:hint="eastAsia" w:ascii="宋体" w:hAnsi="宋体" w:eastAsia="宋体" w:cs="宋体"/>
                <w:kern w:val="0"/>
                <w:sz w:val="24"/>
                <w:szCs w:val="24"/>
              </w:rPr>
            </w:pPr>
          </w:p>
        </w:tc>
        <w:tc>
          <w:tcPr>
            <w:tcW w:w="1608" w:type="dxa"/>
            <w:noWrap/>
          </w:tcPr>
          <w:p w14:paraId="24C8161F">
            <w:pPr>
              <w:spacing w:line="240" w:lineRule="auto"/>
              <w:rPr>
                <w:rFonts w:hint="eastAsia" w:ascii="宋体" w:hAnsi="宋体" w:eastAsia="宋体" w:cs="宋体"/>
                <w:kern w:val="0"/>
                <w:sz w:val="24"/>
                <w:szCs w:val="24"/>
              </w:rPr>
            </w:pPr>
          </w:p>
        </w:tc>
        <w:tc>
          <w:tcPr>
            <w:tcW w:w="1481" w:type="dxa"/>
            <w:noWrap/>
          </w:tcPr>
          <w:p w14:paraId="393A7DB0">
            <w:pPr>
              <w:spacing w:line="240" w:lineRule="auto"/>
              <w:rPr>
                <w:rFonts w:hint="eastAsia" w:ascii="宋体" w:hAnsi="宋体" w:eastAsia="宋体" w:cs="宋体"/>
                <w:kern w:val="0"/>
                <w:sz w:val="24"/>
                <w:szCs w:val="24"/>
              </w:rPr>
            </w:pPr>
          </w:p>
        </w:tc>
        <w:tc>
          <w:tcPr>
            <w:tcW w:w="1481" w:type="dxa"/>
            <w:noWrap/>
          </w:tcPr>
          <w:p w14:paraId="332C0CDD">
            <w:pPr>
              <w:spacing w:line="240" w:lineRule="auto"/>
              <w:rPr>
                <w:rFonts w:hint="eastAsia" w:ascii="宋体" w:hAnsi="宋体" w:eastAsia="宋体" w:cs="宋体"/>
                <w:kern w:val="0"/>
                <w:sz w:val="24"/>
                <w:szCs w:val="24"/>
              </w:rPr>
            </w:pPr>
          </w:p>
        </w:tc>
      </w:tr>
      <w:tr w14:paraId="50B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rPr>
        <w:tc>
          <w:tcPr>
            <w:tcW w:w="1480" w:type="dxa"/>
            <w:noWrap/>
          </w:tcPr>
          <w:p w14:paraId="25CDD3F1">
            <w:pPr>
              <w:spacing w:line="240" w:lineRule="auto"/>
              <w:rPr>
                <w:rFonts w:hint="eastAsia" w:ascii="宋体" w:hAnsi="宋体" w:eastAsia="宋体" w:cs="宋体"/>
                <w:kern w:val="0"/>
                <w:sz w:val="24"/>
                <w:szCs w:val="24"/>
              </w:rPr>
            </w:pPr>
          </w:p>
        </w:tc>
        <w:tc>
          <w:tcPr>
            <w:tcW w:w="1480" w:type="dxa"/>
            <w:noWrap/>
          </w:tcPr>
          <w:p w14:paraId="7EEF73E6">
            <w:pPr>
              <w:spacing w:line="240" w:lineRule="auto"/>
              <w:rPr>
                <w:rFonts w:hint="eastAsia" w:ascii="宋体" w:hAnsi="宋体" w:eastAsia="宋体" w:cs="宋体"/>
                <w:kern w:val="0"/>
                <w:sz w:val="24"/>
                <w:szCs w:val="24"/>
              </w:rPr>
            </w:pPr>
          </w:p>
        </w:tc>
        <w:tc>
          <w:tcPr>
            <w:tcW w:w="1480" w:type="dxa"/>
            <w:noWrap/>
          </w:tcPr>
          <w:p w14:paraId="0EEDFB94">
            <w:pPr>
              <w:spacing w:line="240" w:lineRule="auto"/>
              <w:rPr>
                <w:rFonts w:hint="eastAsia" w:ascii="宋体" w:hAnsi="宋体" w:eastAsia="宋体" w:cs="宋体"/>
                <w:kern w:val="0"/>
                <w:sz w:val="24"/>
                <w:szCs w:val="24"/>
              </w:rPr>
            </w:pPr>
          </w:p>
        </w:tc>
        <w:tc>
          <w:tcPr>
            <w:tcW w:w="1608" w:type="dxa"/>
            <w:noWrap/>
          </w:tcPr>
          <w:p w14:paraId="730E5C61">
            <w:pPr>
              <w:spacing w:line="240" w:lineRule="auto"/>
              <w:rPr>
                <w:rFonts w:hint="eastAsia" w:ascii="宋体" w:hAnsi="宋体" w:eastAsia="宋体" w:cs="宋体"/>
                <w:kern w:val="0"/>
                <w:sz w:val="24"/>
                <w:szCs w:val="24"/>
              </w:rPr>
            </w:pPr>
          </w:p>
        </w:tc>
        <w:tc>
          <w:tcPr>
            <w:tcW w:w="1481" w:type="dxa"/>
            <w:noWrap/>
          </w:tcPr>
          <w:p w14:paraId="014A3A5F">
            <w:pPr>
              <w:spacing w:line="240" w:lineRule="auto"/>
              <w:rPr>
                <w:rFonts w:hint="eastAsia" w:ascii="宋体" w:hAnsi="宋体" w:eastAsia="宋体" w:cs="宋体"/>
                <w:kern w:val="0"/>
                <w:sz w:val="24"/>
                <w:szCs w:val="24"/>
              </w:rPr>
            </w:pPr>
          </w:p>
        </w:tc>
        <w:tc>
          <w:tcPr>
            <w:tcW w:w="1481" w:type="dxa"/>
            <w:noWrap/>
          </w:tcPr>
          <w:p w14:paraId="40C1A7E3">
            <w:pPr>
              <w:spacing w:line="240" w:lineRule="auto"/>
              <w:rPr>
                <w:rFonts w:hint="eastAsia" w:ascii="宋体" w:hAnsi="宋体" w:eastAsia="宋体" w:cs="宋体"/>
                <w:kern w:val="0"/>
                <w:sz w:val="24"/>
                <w:szCs w:val="24"/>
              </w:rPr>
            </w:pPr>
          </w:p>
        </w:tc>
      </w:tr>
    </w:tbl>
    <w:p w14:paraId="004743E8">
      <w:pPr>
        <w:spacing w:line="360" w:lineRule="auto"/>
        <w:jc w:val="left"/>
        <w:rPr>
          <w:rFonts w:hint="eastAsia" w:ascii="宋体" w:hAnsi="宋体" w:eastAsia="宋体" w:cs="宋体"/>
          <w:b/>
          <w:bCs/>
          <w:kern w:val="0"/>
          <w:sz w:val="22"/>
        </w:rPr>
      </w:pPr>
      <w:r>
        <w:rPr>
          <w:rFonts w:hint="eastAsia" w:ascii="宋体" w:hAnsi="宋体" w:eastAsia="宋体" w:cs="宋体"/>
          <w:sz w:val="22"/>
        </w:rPr>
        <w:br w:type="page"/>
      </w:r>
      <w:r>
        <w:rPr>
          <w:rFonts w:hint="eastAsia" w:ascii="宋体" w:hAnsi="宋体" w:eastAsia="宋体" w:cs="宋体"/>
          <w:b/>
          <w:bCs/>
          <w:sz w:val="24"/>
          <w:szCs w:val="28"/>
        </w:rPr>
        <w:t>附表五、技术负责人简历表</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51DA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0" w:type="dxa"/>
            <w:noWrap/>
          </w:tcPr>
          <w:p w14:paraId="5AAECD6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480" w:type="dxa"/>
            <w:noWrap/>
          </w:tcPr>
          <w:p w14:paraId="1515DF39">
            <w:pPr>
              <w:spacing w:line="240" w:lineRule="auto"/>
              <w:jc w:val="center"/>
              <w:rPr>
                <w:rFonts w:hint="eastAsia" w:ascii="宋体" w:hAnsi="宋体" w:eastAsia="宋体" w:cs="宋体"/>
                <w:kern w:val="0"/>
                <w:sz w:val="24"/>
                <w:szCs w:val="24"/>
              </w:rPr>
            </w:pPr>
          </w:p>
        </w:tc>
        <w:tc>
          <w:tcPr>
            <w:tcW w:w="1480" w:type="dxa"/>
            <w:noWrap/>
          </w:tcPr>
          <w:p w14:paraId="0BCEA87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1608" w:type="dxa"/>
            <w:noWrap/>
          </w:tcPr>
          <w:p w14:paraId="6CB46652">
            <w:pPr>
              <w:spacing w:line="240" w:lineRule="auto"/>
              <w:jc w:val="center"/>
              <w:rPr>
                <w:rFonts w:hint="eastAsia" w:ascii="宋体" w:hAnsi="宋体" w:eastAsia="宋体" w:cs="宋体"/>
                <w:kern w:val="0"/>
                <w:sz w:val="24"/>
                <w:szCs w:val="24"/>
              </w:rPr>
            </w:pPr>
          </w:p>
        </w:tc>
        <w:tc>
          <w:tcPr>
            <w:tcW w:w="1481" w:type="dxa"/>
            <w:noWrap/>
          </w:tcPr>
          <w:p w14:paraId="07C72C1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年龄</w:t>
            </w:r>
          </w:p>
        </w:tc>
        <w:tc>
          <w:tcPr>
            <w:tcW w:w="1481" w:type="dxa"/>
            <w:noWrap/>
          </w:tcPr>
          <w:p w14:paraId="6E019973">
            <w:pPr>
              <w:spacing w:line="240" w:lineRule="auto"/>
              <w:jc w:val="center"/>
              <w:rPr>
                <w:rFonts w:hint="eastAsia" w:ascii="宋体" w:hAnsi="宋体" w:eastAsia="宋体" w:cs="宋体"/>
                <w:kern w:val="0"/>
                <w:sz w:val="24"/>
                <w:szCs w:val="24"/>
              </w:rPr>
            </w:pPr>
          </w:p>
        </w:tc>
      </w:tr>
      <w:tr w14:paraId="5798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BFA978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1480" w:type="dxa"/>
            <w:noWrap/>
          </w:tcPr>
          <w:p w14:paraId="5AC4F2B5">
            <w:pPr>
              <w:spacing w:line="240" w:lineRule="auto"/>
              <w:jc w:val="center"/>
              <w:rPr>
                <w:rFonts w:hint="eastAsia" w:ascii="宋体" w:hAnsi="宋体" w:eastAsia="宋体" w:cs="宋体"/>
                <w:kern w:val="0"/>
                <w:sz w:val="24"/>
                <w:szCs w:val="24"/>
              </w:rPr>
            </w:pPr>
          </w:p>
        </w:tc>
        <w:tc>
          <w:tcPr>
            <w:tcW w:w="1480" w:type="dxa"/>
            <w:noWrap/>
          </w:tcPr>
          <w:p w14:paraId="2AF8AD3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1608" w:type="dxa"/>
            <w:noWrap/>
          </w:tcPr>
          <w:p w14:paraId="0B1B6DA3">
            <w:pPr>
              <w:spacing w:line="240" w:lineRule="auto"/>
              <w:jc w:val="center"/>
              <w:rPr>
                <w:rFonts w:hint="eastAsia" w:ascii="宋体" w:hAnsi="宋体" w:eastAsia="宋体" w:cs="宋体"/>
                <w:kern w:val="0"/>
                <w:sz w:val="24"/>
                <w:szCs w:val="24"/>
              </w:rPr>
            </w:pPr>
          </w:p>
        </w:tc>
        <w:tc>
          <w:tcPr>
            <w:tcW w:w="1481" w:type="dxa"/>
            <w:noWrap/>
          </w:tcPr>
          <w:p w14:paraId="29ED4325">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学历</w:t>
            </w:r>
          </w:p>
        </w:tc>
        <w:tc>
          <w:tcPr>
            <w:tcW w:w="1481" w:type="dxa"/>
            <w:noWrap/>
          </w:tcPr>
          <w:p w14:paraId="3F59C542">
            <w:pPr>
              <w:spacing w:line="240" w:lineRule="auto"/>
              <w:jc w:val="center"/>
              <w:rPr>
                <w:rFonts w:hint="eastAsia" w:ascii="宋体" w:hAnsi="宋体" w:eastAsia="宋体" w:cs="宋体"/>
                <w:kern w:val="0"/>
                <w:sz w:val="24"/>
                <w:szCs w:val="24"/>
              </w:rPr>
            </w:pPr>
          </w:p>
        </w:tc>
      </w:tr>
      <w:tr w14:paraId="6455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60C04EF3">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参加工作时间</w:t>
            </w:r>
          </w:p>
        </w:tc>
        <w:tc>
          <w:tcPr>
            <w:tcW w:w="1480" w:type="dxa"/>
            <w:noWrap/>
          </w:tcPr>
          <w:p w14:paraId="696B691E">
            <w:pPr>
              <w:spacing w:line="240" w:lineRule="auto"/>
              <w:jc w:val="center"/>
              <w:rPr>
                <w:rFonts w:hint="eastAsia" w:ascii="宋体" w:hAnsi="宋体" w:eastAsia="宋体" w:cs="宋体"/>
                <w:kern w:val="0"/>
                <w:sz w:val="24"/>
                <w:szCs w:val="24"/>
              </w:rPr>
            </w:pPr>
          </w:p>
        </w:tc>
        <w:tc>
          <w:tcPr>
            <w:tcW w:w="3089" w:type="dxa"/>
            <w:gridSpan w:val="2"/>
            <w:noWrap/>
          </w:tcPr>
          <w:p w14:paraId="0AD497C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从事技术负责人年限</w:t>
            </w:r>
          </w:p>
        </w:tc>
        <w:tc>
          <w:tcPr>
            <w:tcW w:w="1481" w:type="dxa"/>
            <w:noWrap/>
          </w:tcPr>
          <w:p w14:paraId="52CE85C6">
            <w:pPr>
              <w:spacing w:line="240" w:lineRule="auto"/>
              <w:jc w:val="center"/>
              <w:rPr>
                <w:rFonts w:hint="eastAsia" w:ascii="宋体" w:hAnsi="宋体" w:eastAsia="宋体" w:cs="宋体"/>
                <w:kern w:val="0"/>
                <w:sz w:val="24"/>
                <w:szCs w:val="24"/>
              </w:rPr>
            </w:pPr>
          </w:p>
        </w:tc>
      </w:tr>
      <w:tr w14:paraId="0BED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181F101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资格证书名称及编号</w:t>
            </w:r>
          </w:p>
        </w:tc>
        <w:tc>
          <w:tcPr>
            <w:tcW w:w="6050" w:type="dxa"/>
            <w:gridSpan w:val="4"/>
            <w:noWrap/>
          </w:tcPr>
          <w:p w14:paraId="48AED45D">
            <w:pPr>
              <w:spacing w:line="240" w:lineRule="auto"/>
              <w:jc w:val="center"/>
              <w:rPr>
                <w:rFonts w:hint="eastAsia" w:ascii="宋体" w:hAnsi="宋体" w:eastAsia="宋体" w:cs="宋体"/>
                <w:kern w:val="0"/>
                <w:sz w:val="24"/>
                <w:szCs w:val="24"/>
              </w:rPr>
            </w:pPr>
          </w:p>
        </w:tc>
      </w:tr>
      <w:tr w14:paraId="30E8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44E0B8C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在建和已完工程项目情况</w:t>
            </w:r>
          </w:p>
        </w:tc>
      </w:tr>
      <w:tr w14:paraId="6F0B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03C613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建设单位</w:t>
            </w:r>
          </w:p>
        </w:tc>
        <w:tc>
          <w:tcPr>
            <w:tcW w:w="1480" w:type="dxa"/>
            <w:noWrap/>
          </w:tcPr>
          <w:p w14:paraId="0337162D">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480" w:type="dxa"/>
            <w:noWrap/>
          </w:tcPr>
          <w:p w14:paraId="1E5A5C60">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608" w:type="dxa"/>
            <w:noWrap/>
          </w:tcPr>
          <w:p w14:paraId="40D9D11A">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开、竣工日期</w:t>
            </w:r>
          </w:p>
        </w:tc>
        <w:tc>
          <w:tcPr>
            <w:tcW w:w="1481" w:type="dxa"/>
            <w:noWrap/>
          </w:tcPr>
          <w:p w14:paraId="3AA0D31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在建或已完</w:t>
            </w:r>
          </w:p>
        </w:tc>
        <w:tc>
          <w:tcPr>
            <w:tcW w:w="1481" w:type="dxa"/>
            <w:noWrap/>
          </w:tcPr>
          <w:p w14:paraId="679FFD7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工程质量</w:t>
            </w:r>
          </w:p>
        </w:tc>
      </w:tr>
      <w:tr w14:paraId="19A5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D63898C">
            <w:pPr>
              <w:spacing w:line="240" w:lineRule="auto"/>
              <w:rPr>
                <w:rFonts w:hint="eastAsia" w:ascii="宋体" w:hAnsi="宋体" w:eastAsia="宋体" w:cs="宋体"/>
                <w:kern w:val="0"/>
                <w:sz w:val="24"/>
                <w:szCs w:val="24"/>
              </w:rPr>
            </w:pPr>
          </w:p>
        </w:tc>
        <w:tc>
          <w:tcPr>
            <w:tcW w:w="1480" w:type="dxa"/>
            <w:noWrap/>
          </w:tcPr>
          <w:p w14:paraId="502F7EBA">
            <w:pPr>
              <w:spacing w:line="240" w:lineRule="auto"/>
              <w:rPr>
                <w:rFonts w:hint="eastAsia" w:ascii="宋体" w:hAnsi="宋体" w:eastAsia="宋体" w:cs="宋体"/>
                <w:kern w:val="0"/>
                <w:sz w:val="24"/>
                <w:szCs w:val="24"/>
              </w:rPr>
            </w:pPr>
          </w:p>
        </w:tc>
        <w:tc>
          <w:tcPr>
            <w:tcW w:w="1480" w:type="dxa"/>
            <w:noWrap/>
          </w:tcPr>
          <w:p w14:paraId="09873554">
            <w:pPr>
              <w:spacing w:line="240" w:lineRule="auto"/>
              <w:rPr>
                <w:rFonts w:hint="eastAsia" w:ascii="宋体" w:hAnsi="宋体" w:eastAsia="宋体" w:cs="宋体"/>
                <w:kern w:val="0"/>
                <w:sz w:val="24"/>
                <w:szCs w:val="24"/>
              </w:rPr>
            </w:pPr>
          </w:p>
        </w:tc>
        <w:tc>
          <w:tcPr>
            <w:tcW w:w="1608" w:type="dxa"/>
            <w:noWrap/>
          </w:tcPr>
          <w:p w14:paraId="0D4F9FC0">
            <w:pPr>
              <w:spacing w:line="240" w:lineRule="auto"/>
              <w:rPr>
                <w:rFonts w:hint="eastAsia" w:ascii="宋体" w:hAnsi="宋体" w:eastAsia="宋体" w:cs="宋体"/>
                <w:kern w:val="0"/>
                <w:sz w:val="24"/>
                <w:szCs w:val="24"/>
              </w:rPr>
            </w:pPr>
          </w:p>
        </w:tc>
        <w:tc>
          <w:tcPr>
            <w:tcW w:w="1481" w:type="dxa"/>
            <w:noWrap/>
          </w:tcPr>
          <w:p w14:paraId="6F7ECD11">
            <w:pPr>
              <w:spacing w:line="240" w:lineRule="auto"/>
              <w:rPr>
                <w:rFonts w:hint="eastAsia" w:ascii="宋体" w:hAnsi="宋体" w:eastAsia="宋体" w:cs="宋体"/>
                <w:kern w:val="0"/>
                <w:sz w:val="24"/>
                <w:szCs w:val="24"/>
              </w:rPr>
            </w:pPr>
          </w:p>
        </w:tc>
        <w:tc>
          <w:tcPr>
            <w:tcW w:w="1481" w:type="dxa"/>
            <w:noWrap/>
          </w:tcPr>
          <w:p w14:paraId="3C251D63">
            <w:pPr>
              <w:spacing w:line="240" w:lineRule="auto"/>
              <w:rPr>
                <w:rFonts w:hint="eastAsia" w:ascii="宋体" w:hAnsi="宋体" w:eastAsia="宋体" w:cs="宋体"/>
                <w:kern w:val="0"/>
                <w:sz w:val="24"/>
                <w:szCs w:val="24"/>
              </w:rPr>
            </w:pPr>
          </w:p>
        </w:tc>
      </w:tr>
      <w:tr w14:paraId="6F2E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rPr>
        <w:tc>
          <w:tcPr>
            <w:tcW w:w="1480" w:type="dxa"/>
            <w:noWrap/>
          </w:tcPr>
          <w:p w14:paraId="53CC48C3">
            <w:pPr>
              <w:spacing w:line="240" w:lineRule="auto"/>
              <w:rPr>
                <w:rFonts w:hint="eastAsia" w:ascii="宋体" w:hAnsi="宋体" w:eastAsia="宋体" w:cs="宋体"/>
                <w:kern w:val="0"/>
                <w:sz w:val="24"/>
                <w:szCs w:val="24"/>
              </w:rPr>
            </w:pPr>
          </w:p>
        </w:tc>
        <w:tc>
          <w:tcPr>
            <w:tcW w:w="1480" w:type="dxa"/>
            <w:noWrap/>
          </w:tcPr>
          <w:p w14:paraId="43B05406">
            <w:pPr>
              <w:spacing w:line="240" w:lineRule="auto"/>
              <w:rPr>
                <w:rFonts w:hint="eastAsia" w:ascii="宋体" w:hAnsi="宋体" w:eastAsia="宋体" w:cs="宋体"/>
                <w:kern w:val="0"/>
                <w:sz w:val="24"/>
                <w:szCs w:val="24"/>
              </w:rPr>
            </w:pPr>
          </w:p>
        </w:tc>
        <w:tc>
          <w:tcPr>
            <w:tcW w:w="1480" w:type="dxa"/>
            <w:noWrap/>
          </w:tcPr>
          <w:p w14:paraId="368962D0">
            <w:pPr>
              <w:spacing w:line="240" w:lineRule="auto"/>
              <w:rPr>
                <w:rFonts w:hint="eastAsia" w:ascii="宋体" w:hAnsi="宋体" w:eastAsia="宋体" w:cs="宋体"/>
                <w:kern w:val="0"/>
                <w:sz w:val="24"/>
                <w:szCs w:val="24"/>
              </w:rPr>
            </w:pPr>
          </w:p>
        </w:tc>
        <w:tc>
          <w:tcPr>
            <w:tcW w:w="1608" w:type="dxa"/>
            <w:noWrap/>
          </w:tcPr>
          <w:p w14:paraId="0363318F">
            <w:pPr>
              <w:spacing w:line="240" w:lineRule="auto"/>
              <w:rPr>
                <w:rFonts w:hint="eastAsia" w:ascii="宋体" w:hAnsi="宋体" w:eastAsia="宋体" w:cs="宋体"/>
                <w:kern w:val="0"/>
                <w:sz w:val="24"/>
                <w:szCs w:val="24"/>
              </w:rPr>
            </w:pPr>
          </w:p>
        </w:tc>
        <w:tc>
          <w:tcPr>
            <w:tcW w:w="1481" w:type="dxa"/>
            <w:noWrap/>
          </w:tcPr>
          <w:p w14:paraId="7878EE02">
            <w:pPr>
              <w:spacing w:line="240" w:lineRule="auto"/>
              <w:rPr>
                <w:rFonts w:hint="eastAsia" w:ascii="宋体" w:hAnsi="宋体" w:eastAsia="宋体" w:cs="宋体"/>
                <w:kern w:val="0"/>
                <w:sz w:val="24"/>
                <w:szCs w:val="24"/>
              </w:rPr>
            </w:pPr>
          </w:p>
        </w:tc>
        <w:tc>
          <w:tcPr>
            <w:tcW w:w="1481" w:type="dxa"/>
            <w:noWrap/>
          </w:tcPr>
          <w:p w14:paraId="08F4A00D">
            <w:pPr>
              <w:spacing w:line="240" w:lineRule="auto"/>
              <w:rPr>
                <w:rFonts w:hint="eastAsia" w:ascii="宋体" w:hAnsi="宋体" w:eastAsia="宋体" w:cs="宋体"/>
                <w:kern w:val="0"/>
                <w:sz w:val="24"/>
                <w:szCs w:val="24"/>
              </w:rPr>
            </w:pPr>
          </w:p>
        </w:tc>
      </w:tr>
      <w:tr w14:paraId="3D7C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rPr>
        <w:tc>
          <w:tcPr>
            <w:tcW w:w="1480" w:type="dxa"/>
            <w:noWrap/>
          </w:tcPr>
          <w:p w14:paraId="27FF6F15">
            <w:pPr>
              <w:spacing w:line="240" w:lineRule="auto"/>
              <w:rPr>
                <w:rFonts w:hint="eastAsia" w:ascii="宋体" w:hAnsi="宋体" w:eastAsia="宋体" w:cs="宋体"/>
                <w:kern w:val="0"/>
                <w:sz w:val="24"/>
                <w:szCs w:val="24"/>
              </w:rPr>
            </w:pPr>
          </w:p>
        </w:tc>
        <w:tc>
          <w:tcPr>
            <w:tcW w:w="1480" w:type="dxa"/>
            <w:noWrap/>
          </w:tcPr>
          <w:p w14:paraId="76943C4A">
            <w:pPr>
              <w:spacing w:line="240" w:lineRule="auto"/>
              <w:rPr>
                <w:rFonts w:hint="eastAsia" w:ascii="宋体" w:hAnsi="宋体" w:eastAsia="宋体" w:cs="宋体"/>
                <w:kern w:val="0"/>
                <w:sz w:val="24"/>
                <w:szCs w:val="24"/>
              </w:rPr>
            </w:pPr>
          </w:p>
        </w:tc>
        <w:tc>
          <w:tcPr>
            <w:tcW w:w="1480" w:type="dxa"/>
            <w:noWrap/>
          </w:tcPr>
          <w:p w14:paraId="6CFAF2F3">
            <w:pPr>
              <w:spacing w:line="240" w:lineRule="auto"/>
              <w:rPr>
                <w:rFonts w:hint="eastAsia" w:ascii="宋体" w:hAnsi="宋体" w:eastAsia="宋体" w:cs="宋体"/>
                <w:kern w:val="0"/>
                <w:sz w:val="24"/>
                <w:szCs w:val="24"/>
              </w:rPr>
            </w:pPr>
          </w:p>
        </w:tc>
        <w:tc>
          <w:tcPr>
            <w:tcW w:w="1608" w:type="dxa"/>
            <w:noWrap/>
          </w:tcPr>
          <w:p w14:paraId="4965AED8">
            <w:pPr>
              <w:spacing w:line="240" w:lineRule="auto"/>
              <w:rPr>
                <w:rFonts w:hint="eastAsia" w:ascii="宋体" w:hAnsi="宋体" w:eastAsia="宋体" w:cs="宋体"/>
                <w:kern w:val="0"/>
                <w:sz w:val="24"/>
                <w:szCs w:val="24"/>
              </w:rPr>
            </w:pPr>
          </w:p>
        </w:tc>
        <w:tc>
          <w:tcPr>
            <w:tcW w:w="1481" w:type="dxa"/>
            <w:noWrap/>
          </w:tcPr>
          <w:p w14:paraId="316814E5">
            <w:pPr>
              <w:spacing w:line="240" w:lineRule="auto"/>
              <w:rPr>
                <w:rFonts w:hint="eastAsia" w:ascii="宋体" w:hAnsi="宋体" w:eastAsia="宋体" w:cs="宋体"/>
                <w:kern w:val="0"/>
                <w:sz w:val="24"/>
                <w:szCs w:val="24"/>
              </w:rPr>
            </w:pPr>
          </w:p>
        </w:tc>
        <w:tc>
          <w:tcPr>
            <w:tcW w:w="1481" w:type="dxa"/>
            <w:noWrap/>
          </w:tcPr>
          <w:p w14:paraId="05DDB682">
            <w:pPr>
              <w:spacing w:line="240" w:lineRule="auto"/>
              <w:rPr>
                <w:rFonts w:hint="eastAsia" w:ascii="宋体" w:hAnsi="宋体" w:eastAsia="宋体" w:cs="宋体"/>
                <w:kern w:val="0"/>
                <w:sz w:val="24"/>
                <w:szCs w:val="24"/>
              </w:rPr>
            </w:pPr>
          </w:p>
        </w:tc>
      </w:tr>
    </w:tbl>
    <w:p w14:paraId="20C1E950">
      <w:pPr>
        <w:spacing w:line="360" w:lineRule="auto"/>
        <w:rPr>
          <w:rFonts w:hint="eastAsia" w:ascii="宋体" w:hAnsi="宋体" w:eastAsia="宋体" w:cs="宋体"/>
          <w:b/>
          <w:bCs/>
          <w:kern w:val="0"/>
          <w:sz w:val="22"/>
        </w:rPr>
      </w:pPr>
    </w:p>
    <w:p w14:paraId="246D7BC0">
      <w:p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rPr>
        <w:t>劳动力计划表</w:t>
      </w:r>
    </w:p>
    <w:p w14:paraId="2CB816B0">
      <w:pPr>
        <w:spacing w:line="440" w:lineRule="exact"/>
        <w:ind w:right="410"/>
        <w:jc w:val="right"/>
        <w:rPr>
          <w:rFonts w:hint="eastAsia" w:ascii="宋体" w:hAnsi="宋体" w:eastAsia="宋体" w:cs="宋体"/>
          <w:sz w:val="22"/>
        </w:rPr>
      </w:pPr>
      <w:r>
        <w:rPr>
          <w:rFonts w:hint="eastAsia" w:ascii="宋体" w:hAnsi="宋体" w:eastAsia="宋体" w:cs="宋体"/>
          <w:sz w:val="22"/>
        </w:rPr>
        <w:t>单位：人</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14:paraId="0716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21499EC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工种</w:t>
            </w:r>
          </w:p>
        </w:tc>
        <w:tc>
          <w:tcPr>
            <w:tcW w:w="7622" w:type="dxa"/>
            <w:gridSpan w:val="7"/>
            <w:noWrap/>
            <w:vAlign w:val="center"/>
          </w:tcPr>
          <w:p w14:paraId="32CCF11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14:paraId="7701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356CBE05">
            <w:pPr>
              <w:spacing w:line="440" w:lineRule="exact"/>
              <w:jc w:val="center"/>
              <w:rPr>
                <w:rFonts w:hint="eastAsia" w:ascii="宋体" w:hAnsi="宋体" w:eastAsia="宋体" w:cs="宋体"/>
                <w:sz w:val="24"/>
                <w:szCs w:val="24"/>
              </w:rPr>
            </w:pPr>
          </w:p>
        </w:tc>
        <w:tc>
          <w:tcPr>
            <w:tcW w:w="872" w:type="dxa"/>
            <w:noWrap/>
            <w:vAlign w:val="center"/>
          </w:tcPr>
          <w:p w14:paraId="687AB3E1">
            <w:pPr>
              <w:spacing w:line="440" w:lineRule="exact"/>
              <w:jc w:val="center"/>
              <w:rPr>
                <w:rFonts w:hint="eastAsia" w:ascii="宋体" w:hAnsi="宋体" w:eastAsia="宋体" w:cs="宋体"/>
                <w:sz w:val="24"/>
                <w:szCs w:val="24"/>
              </w:rPr>
            </w:pPr>
          </w:p>
        </w:tc>
        <w:tc>
          <w:tcPr>
            <w:tcW w:w="1133" w:type="dxa"/>
            <w:noWrap/>
            <w:vAlign w:val="center"/>
          </w:tcPr>
          <w:p w14:paraId="330EDFBC">
            <w:pPr>
              <w:spacing w:line="440" w:lineRule="exact"/>
              <w:jc w:val="center"/>
              <w:rPr>
                <w:rFonts w:hint="eastAsia" w:ascii="宋体" w:hAnsi="宋体" w:eastAsia="宋体" w:cs="宋体"/>
                <w:sz w:val="24"/>
                <w:szCs w:val="24"/>
              </w:rPr>
            </w:pPr>
          </w:p>
        </w:tc>
        <w:tc>
          <w:tcPr>
            <w:tcW w:w="1133" w:type="dxa"/>
            <w:noWrap/>
            <w:vAlign w:val="center"/>
          </w:tcPr>
          <w:p w14:paraId="5E3A59A3">
            <w:pPr>
              <w:spacing w:line="440" w:lineRule="exact"/>
              <w:jc w:val="center"/>
              <w:rPr>
                <w:rFonts w:hint="eastAsia" w:ascii="宋体" w:hAnsi="宋体" w:eastAsia="宋体" w:cs="宋体"/>
                <w:sz w:val="24"/>
                <w:szCs w:val="24"/>
              </w:rPr>
            </w:pPr>
          </w:p>
        </w:tc>
        <w:tc>
          <w:tcPr>
            <w:tcW w:w="875" w:type="dxa"/>
            <w:noWrap/>
            <w:vAlign w:val="center"/>
          </w:tcPr>
          <w:p w14:paraId="1CEFB2D3">
            <w:pPr>
              <w:spacing w:line="440" w:lineRule="exact"/>
              <w:jc w:val="center"/>
              <w:rPr>
                <w:rFonts w:hint="eastAsia" w:ascii="宋体" w:hAnsi="宋体" w:eastAsia="宋体" w:cs="宋体"/>
                <w:sz w:val="24"/>
                <w:szCs w:val="24"/>
              </w:rPr>
            </w:pPr>
          </w:p>
        </w:tc>
        <w:tc>
          <w:tcPr>
            <w:tcW w:w="1133" w:type="dxa"/>
            <w:noWrap/>
            <w:vAlign w:val="center"/>
          </w:tcPr>
          <w:p w14:paraId="6E305E80">
            <w:pPr>
              <w:spacing w:line="440" w:lineRule="exact"/>
              <w:jc w:val="center"/>
              <w:rPr>
                <w:rFonts w:hint="eastAsia" w:ascii="宋体" w:hAnsi="宋体" w:eastAsia="宋体" w:cs="宋体"/>
                <w:sz w:val="24"/>
                <w:szCs w:val="24"/>
              </w:rPr>
            </w:pPr>
          </w:p>
        </w:tc>
        <w:tc>
          <w:tcPr>
            <w:tcW w:w="1133" w:type="dxa"/>
            <w:noWrap/>
            <w:vAlign w:val="center"/>
          </w:tcPr>
          <w:p w14:paraId="061E61BE">
            <w:pPr>
              <w:spacing w:line="440" w:lineRule="exact"/>
              <w:jc w:val="center"/>
              <w:rPr>
                <w:rFonts w:hint="eastAsia" w:ascii="宋体" w:hAnsi="宋体" w:eastAsia="宋体" w:cs="宋体"/>
                <w:sz w:val="24"/>
                <w:szCs w:val="24"/>
              </w:rPr>
            </w:pPr>
          </w:p>
        </w:tc>
        <w:tc>
          <w:tcPr>
            <w:tcW w:w="1343" w:type="dxa"/>
            <w:noWrap/>
            <w:vAlign w:val="center"/>
          </w:tcPr>
          <w:p w14:paraId="3E7F89EE">
            <w:pPr>
              <w:spacing w:line="440" w:lineRule="exact"/>
              <w:jc w:val="center"/>
              <w:rPr>
                <w:rFonts w:hint="eastAsia" w:ascii="宋体" w:hAnsi="宋体" w:eastAsia="宋体" w:cs="宋体"/>
                <w:sz w:val="24"/>
                <w:szCs w:val="24"/>
              </w:rPr>
            </w:pPr>
          </w:p>
        </w:tc>
      </w:tr>
      <w:tr w14:paraId="4BCC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2FC2DD7E">
            <w:pPr>
              <w:spacing w:line="440" w:lineRule="exact"/>
              <w:jc w:val="center"/>
              <w:rPr>
                <w:rFonts w:hint="eastAsia" w:ascii="宋体" w:hAnsi="宋体" w:eastAsia="宋体" w:cs="宋体"/>
                <w:sz w:val="24"/>
                <w:szCs w:val="24"/>
              </w:rPr>
            </w:pPr>
          </w:p>
        </w:tc>
        <w:tc>
          <w:tcPr>
            <w:tcW w:w="872" w:type="dxa"/>
            <w:noWrap/>
            <w:vAlign w:val="center"/>
          </w:tcPr>
          <w:p w14:paraId="3D5A2B1A">
            <w:pPr>
              <w:spacing w:line="440" w:lineRule="exact"/>
              <w:jc w:val="center"/>
              <w:rPr>
                <w:rFonts w:hint="eastAsia" w:ascii="宋体" w:hAnsi="宋体" w:eastAsia="宋体" w:cs="宋体"/>
                <w:sz w:val="24"/>
                <w:szCs w:val="24"/>
              </w:rPr>
            </w:pPr>
          </w:p>
        </w:tc>
        <w:tc>
          <w:tcPr>
            <w:tcW w:w="1133" w:type="dxa"/>
            <w:noWrap/>
            <w:vAlign w:val="center"/>
          </w:tcPr>
          <w:p w14:paraId="03C52A5B">
            <w:pPr>
              <w:spacing w:line="440" w:lineRule="exact"/>
              <w:jc w:val="center"/>
              <w:rPr>
                <w:rFonts w:hint="eastAsia" w:ascii="宋体" w:hAnsi="宋体" w:eastAsia="宋体" w:cs="宋体"/>
                <w:sz w:val="24"/>
                <w:szCs w:val="24"/>
              </w:rPr>
            </w:pPr>
          </w:p>
        </w:tc>
        <w:tc>
          <w:tcPr>
            <w:tcW w:w="1133" w:type="dxa"/>
            <w:noWrap/>
            <w:vAlign w:val="center"/>
          </w:tcPr>
          <w:p w14:paraId="15B4BD78">
            <w:pPr>
              <w:spacing w:line="440" w:lineRule="exact"/>
              <w:jc w:val="center"/>
              <w:rPr>
                <w:rFonts w:hint="eastAsia" w:ascii="宋体" w:hAnsi="宋体" w:eastAsia="宋体" w:cs="宋体"/>
                <w:sz w:val="24"/>
                <w:szCs w:val="24"/>
              </w:rPr>
            </w:pPr>
          </w:p>
        </w:tc>
        <w:tc>
          <w:tcPr>
            <w:tcW w:w="875" w:type="dxa"/>
            <w:noWrap/>
            <w:vAlign w:val="center"/>
          </w:tcPr>
          <w:p w14:paraId="06692FEF">
            <w:pPr>
              <w:spacing w:line="440" w:lineRule="exact"/>
              <w:jc w:val="center"/>
              <w:rPr>
                <w:rFonts w:hint="eastAsia" w:ascii="宋体" w:hAnsi="宋体" w:eastAsia="宋体" w:cs="宋体"/>
                <w:sz w:val="24"/>
                <w:szCs w:val="24"/>
              </w:rPr>
            </w:pPr>
          </w:p>
        </w:tc>
        <w:tc>
          <w:tcPr>
            <w:tcW w:w="1133" w:type="dxa"/>
            <w:noWrap/>
            <w:vAlign w:val="center"/>
          </w:tcPr>
          <w:p w14:paraId="1FC59150">
            <w:pPr>
              <w:spacing w:line="440" w:lineRule="exact"/>
              <w:jc w:val="center"/>
              <w:rPr>
                <w:rFonts w:hint="eastAsia" w:ascii="宋体" w:hAnsi="宋体" w:eastAsia="宋体" w:cs="宋体"/>
                <w:sz w:val="24"/>
                <w:szCs w:val="24"/>
              </w:rPr>
            </w:pPr>
          </w:p>
        </w:tc>
        <w:tc>
          <w:tcPr>
            <w:tcW w:w="1133" w:type="dxa"/>
            <w:noWrap/>
            <w:vAlign w:val="center"/>
          </w:tcPr>
          <w:p w14:paraId="327045B5">
            <w:pPr>
              <w:spacing w:line="440" w:lineRule="exact"/>
              <w:jc w:val="center"/>
              <w:rPr>
                <w:rFonts w:hint="eastAsia" w:ascii="宋体" w:hAnsi="宋体" w:eastAsia="宋体" w:cs="宋体"/>
                <w:sz w:val="24"/>
                <w:szCs w:val="24"/>
              </w:rPr>
            </w:pPr>
          </w:p>
        </w:tc>
        <w:tc>
          <w:tcPr>
            <w:tcW w:w="1343" w:type="dxa"/>
            <w:noWrap/>
            <w:vAlign w:val="center"/>
          </w:tcPr>
          <w:p w14:paraId="4CAC5804">
            <w:pPr>
              <w:spacing w:line="440" w:lineRule="exact"/>
              <w:jc w:val="center"/>
              <w:rPr>
                <w:rFonts w:hint="eastAsia" w:ascii="宋体" w:hAnsi="宋体" w:eastAsia="宋体" w:cs="宋体"/>
                <w:sz w:val="24"/>
                <w:szCs w:val="24"/>
              </w:rPr>
            </w:pPr>
          </w:p>
        </w:tc>
      </w:tr>
      <w:tr w14:paraId="04BA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0407AEB9">
            <w:pPr>
              <w:spacing w:line="440" w:lineRule="exact"/>
              <w:jc w:val="center"/>
              <w:rPr>
                <w:rFonts w:hint="eastAsia" w:ascii="宋体" w:hAnsi="宋体" w:eastAsia="宋体" w:cs="宋体"/>
                <w:sz w:val="24"/>
                <w:szCs w:val="24"/>
              </w:rPr>
            </w:pPr>
          </w:p>
        </w:tc>
        <w:tc>
          <w:tcPr>
            <w:tcW w:w="872" w:type="dxa"/>
            <w:noWrap/>
          </w:tcPr>
          <w:p w14:paraId="4D914E43">
            <w:pPr>
              <w:spacing w:line="440" w:lineRule="exact"/>
              <w:jc w:val="center"/>
              <w:rPr>
                <w:rFonts w:hint="eastAsia" w:ascii="宋体" w:hAnsi="宋体" w:eastAsia="宋体" w:cs="宋体"/>
                <w:sz w:val="24"/>
                <w:szCs w:val="24"/>
              </w:rPr>
            </w:pPr>
          </w:p>
        </w:tc>
        <w:tc>
          <w:tcPr>
            <w:tcW w:w="1133" w:type="dxa"/>
            <w:noWrap/>
          </w:tcPr>
          <w:p w14:paraId="466A7C93">
            <w:pPr>
              <w:spacing w:line="440" w:lineRule="exact"/>
              <w:jc w:val="center"/>
              <w:rPr>
                <w:rFonts w:hint="eastAsia" w:ascii="宋体" w:hAnsi="宋体" w:eastAsia="宋体" w:cs="宋体"/>
                <w:sz w:val="24"/>
                <w:szCs w:val="24"/>
              </w:rPr>
            </w:pPr>
          </w:p>
        </w:tc>
        <w:tc>
          <w:tcPr>
            <w:tcW w:w="1133" w:type="dxa"/>
            <w:noWrap/>
          </w:tcPr>
          <w:p w14:paraId="2003EDDC">
            <w:pPr>
              <w:spacing w:line="440" w:lineRule="exact"/>
              <w:jc w:val="center"/>
              <w:rPr>
                <w:rFonts w:hint="eastAsia" w:ascii="宋体" w:hAnsi="宋体" w:eastAsia="宋体" w:cs="宋体"/>
                <w:sz w:val="24"/>
                <w:szCs w:val="24"/>
              </w:rPr>
            </w:pPr>
          </w:p>
        </w:tc>
        <w:tc>
          <w:tcPr>
            <w:tcW w:w="875" w:type="dxa"/>
            <w:noWrap/>
          </w:tcPr>
          <w:p w14:paraId="0F035F08">
            <w:pPr>
              <w:spacing w:line="440" w:lineRule="exact"/>
              <w:jc w:val="center"/>
              <w:rPr>
                <w:rFonts w:hint="eastAsia" w:ascii="宋体" w:hAnsi="宋体" w:eastAsia="宋体" w:cs="宋体"/>
                <w:sz w:val="24"/>
                <w:szCs w:val="24"/>
              </w:rPr>
            </w:pPr>
          </w:p>
        </w:tc>
        <w:tc>
          <w:tcPr>
            <w:tcW w:w="1133" w:type="dxa"/>
            <w:noWrap/>
          </w:tcPr>
          <w:p w14:paraId="7AD34B18">
            <w:pPr>
              <w:spacing w:line="440" w:lineRule="exact"/>
              <w:jc w:val="center"/>
              <w:rPr>
                <w:rFonts w:hint="eastAsia" w:ascii="宋体" w:hAnsi="宋体" w:eastAsia="宋体" w:cs="宋体"/>
                <w:sz w:val="24"/>
                <w:szCs w:val="24"/>
              </w:rPr>
            </w:pPr>
          </w:p>
        </w:tc>
        <w:tc>
          <w:tcPr>
            <w:tcW w:w="1133" w:type="dxa"/>
            <w:noWrap/>
          </w:tcPr>
          <w:p w14:paraId="79BAA44F">
            <w:pPr>
              <w:spacing w:line="440" w:lineRule="exact"/>
              <w:jc w:val="center"/>
              <w:rPr>
                <w:rFonts w:hint="eastAsia" w:ascii="宋体" w:hAnsi="宋体" w:eastAsia="宋体" w:cs="宋体"/>
                <w:sz w:val="24"/>
                <w:szCs w:val="24"/>
              </w:rPr>
            </w:pPr>
          </w:p>
        </w:tc>
        <w:tc>
          <w:tcPr>
            <w:tcW w:w="1343" w:type="dxa"/>
            <w:noWrap/>
          </w:tcPr>
          <w:p w14:paraId="0C54451D">
            <w:pPr>
              <w:spacing w:line="440" w:lineRule="exact"/>
              <w:jc w:val="center"/>
              <w:rPr>
                <w:rFonts w:hint="eastAsia" w:ascii="宋体" w:hAnsi="宋体" w:eastAsia="宋体" w:cs="宋体"/>
                <w:sz w:val="24"/>
                <w:szCs w:val="24"/>
              </w:rPr>
            </w:pPr>
          </w:p>
        </w:tc>
      </w:tr>
      <w:tr w14:paraId="7F53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6AADD645">
            <w:pPr>
              <w:spacing w:line="440" w:lineRule="exact"/>
              <w:jc w:val="center"/>
              <w:rPr>
                <w:rFonts w:hint="eastAsia" w:ascii="宋体" w:hAnsi="宋体" w:eastAsia="宋体" w:cs="宋体"/>
                <w:sz w:val="24"/>
                <w:szCs w:val="24"/>
              </w:rPr>
            </w:pPr>
          </w:p>
        </w:tc>
        <w:tc>
          <w:tcPr>
            <w:tcW w:w="872" w:type="dxa"/>
            <w:noWrap/>
          </w:tcPr>
          <w:p w14:paraId="005B0E29">
            <w:pPr>
              <w:spacing w:line="440" w:lineRule="exact"/>
              <w:jc w:val="center"/>
              <w:rPr>
                <w:rFonts w:hint="eastAsia" w:ascii="宋体" w:hAnsi="宋体" w:eastAsia="宋体" w:cs="宋体"/>
                <w:sz w:val="24"/>
                <w:szCs w:val="24"/>
              </w:rPr>
            </w:pPr>
          </w:p>
        </w:tc>
        <w:tc>
          <w:tcPr>
            <w:tcW w:w="1133" w:type="dxa"/>
            <w:noWrap/>
          </w:tcPr>
          <w:p w14:paraId="2037F8DB">
            <w:pPr>
              <w:spacing w:line="440" w:lineRule="exact"/>
              <w:jc w:val="center"/>
              <w:rPr>
                <w:rFonts w:hint="eastAsia" w:ascii="宋体" w:hAnsi="宋体" w:eastAsia="宋体" w:cs="宋体"/>
                <w:sz w:val="24"/>
                <w:szCs w:val="24"/>
              </w:rPr>
            </w:pPr>
          </w:p>
        </w:tc>
        <w:tc>
          <w:tcPr>
            <w:tcW w:w="1133" w:type="dxa"/>
            <w:noWrap/>
          </w:tcPr>
          <w:p w14:paraId="05F62128">
            <w:pPr>
              <w:spacing w:line="440" w:lineRule="exact"/>
              <w:jc w:val="center"/>
              <w:rPr>
                <w:rFonts w:hint="eastAsia" w:ascii="宋体" w:hAnsi="宋体" w:eastAsia="宋体" w:cs="宋体"/>
                <w:sz w:val="24"/>
                <w:szCs w:val="24"/>
              </w:rPr>
            </w:pPr>
          </w:p>
        </w:tc>
        <w:tc>
          <w:tcPr>
            <w:tcW w:w="875" w:type="dxa"/>
            <w:noWrap/>
          </w:tcPr>
          <w:p w14:paraId="30997920">
            <w:pPr>
              <w:spacing w:line="440" w:lineRule="exact"/>
              <w:jc w:val="center"/>
              <w:rPr>
                <w:rFonts w:hint="eastAsia" w:ascii="宋体" w:hAnsi="宋体" w:eastAsia="宋体" w:cs="宋体"/>
                <w:sz w:val="24"/>
                <w:szCs w:val="24"/>
              </w:rPr>
            </w:pPr>
          </w:p>
        </w:tc>
        <w:tc>
          <w:tcPr>
            <w:tcW w:w="1133" w:type="dxa"/>
            <w:noWrap/>
          </w:tcPr>
          <w:p w14:paraId="5BA30D98">
            <w:pPr>
              <w:spacing w:line="440" w:lineRule="exact"/>
              <w:jc w:val="center"/>
              <w:rPr>
                <w:rFonts w:hint="eastAsia" w:ascii="宋体" w:hAnsi="宋体" w:eastAsia="宋体" w:cs="宋体"/>
                <w:sz w:val="24"/>
                <w:szCs w:val="24"/>
              </w:rPr>
            </w:pPr>
          </w:p>
        </w:tc>
        <w:tc>
          <w:tcPr>
            <w:tcW w:w="1133" w:type="dxa"/>
            <w:noWrap/>
          </w:tcPr>
          <w:p w14:paraId="3EF0847A">
            <w:pPr>
              <w:spacing w:line="440" w:lineRule="exact"/>
              <w:jc w:val="center"/>
              <w:rPr>
                <w:rFonts w:hint="eastAsia" w:ascii="宋体" w:hAnsi="宋体" w:eastAsia="宋体" w:cs="宋体"/>
                <w:sz w:val="24"/>
                <w:szCs w:val="24"/>
              </w:rPr>
            </w:pPr>
          </w:p>
        </w:tc>
        <w:tc>
          <w:tcPr>
            <w:tcW w:w="1343" w:type="dxa"/>
            <w:noWrap/>
          </w:tcPr>
          <w:p w14:paraId="664AAD83">
            <w:pPr>
              <w:spacing w:line="440" w:lineRule="exact"/>
              <w:jc w:val="center"/>
              <w:rPr>
                <w:rFonts w:hint="eastAsia" w:ascii="宋体" w:hAnsi="宋体" w:eastAsia="宋体" w:cs="宋体"/>
                <w:sz w:val="24"/>
                <w:szCs w:val="24"/>
              </w:rPr>
            </w:pPr>
          </w:p>
        </w:tc>
      </w:tr>
      <w:tr w14:paraId="0734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04922E05">
            <w:pPr>
              <w:spacing w:line="440" w:lineRule="exact"/>
              <w:jc w:val="center"/>
              <w:rPr>
                <w:rFonts w:hint="eastAsia" w:ascii="宋体" w:hAnsi="宋体" w:eastAsia="宋体" w:cs="宋体"/>
                <w:sz w:val="24"/>
                <w:szCs w:val="24"/>
              </w:rPr>
            </w:pPr>
          </w:p>
        </w:tc>
        <w:tc>
          <w:tcPr>
            <w:tcW w:w="872" w:type="dxa"/>
            <w:noWrap/>
          </w:tcPr>
          <w:p w14:paraId="3D8B7D2D">
            <w:pPr>
              <w:spacing w:line="440" w:lineRule="exact"/>
              <w:jc w:val="center"/>
              <w:rPr>
                <w:rFonts w:hint="eastAsia" w:ascii="宋体" w:hAnsi="宋体" w:eastAsia="宋体" w:cs="宋体"/>
                <w:sz w:val="24"/>
                <w:szCs w:val="24"/>
              </w:rPr>
            </w:pPr>
          </w:p>
        </w:tc>
        <w:tc>
          <w:tcPr>
            <w:tcW w:w="1133" w:type="dxa"/>
            <w:noWrap/>
          </w:tcPr>
          <w:p w14:paraId="7159224C">
            <w:pPr>
              <w:spacing w:line="440" w:lineRule="exact"/>
              <w:jc w:val="center"/>
              <w:rPr>
                <w:rFonts w:hint="eastAsia" w:ascii="宋体" w:hAnsi="宋体" w:eastAsia="宋体" w:cs="宋体"/>
                <w:sz w:val="24"/>
                <w:szCs w:val="24"/>
              </w:rPr>
            </w:pPr>
          </w:p>
        </w:tc>
        <w:tc>
          <w:tcPr>
            <w:tcW w:w="1133" w:type="dxa"/>
            <w:noWrap/>
          </w:tcPr>
          <w:p w14:paraId="67BF51DD">
            <w:pPr>
              <w:spacing w:line="440" w:lineRule="exact"/>
              <w:jc w:val="center"/>
              <w:rPr>
                <w:rFonts w:hint="eastAsia" w:ascii="宋体" w:hAnsi="宋体" w:eastAsia="宋体" w:cs="宋体"/>
                <w:sz w:val="24"/>
                <w:szCs w:val="24"/>
              </w:rPr>
            </w:pPr>
          </w:p>
        </w:tc>
        <w:tc>
          <w:tcPr>
            <w:tcW w:w="875" w:type="dxa"/>
            <w:noWrap/>
          </w:tcPr>
          <w:p w14:paraId="5FB4F5AA">
            <w:pPr>
              <w:spacing w:line="440" w:lineRule="exact"/>
              <w:jc w:val="center"/>
              <w:rPr>
                <w:rFonts w:hint="eastAsia" w:ascii="宋体" w:hAnsi="宋体" w:eastAsia="宋体" w:cs="宋体"/>
                <w:sz w:val="24"/>
                <w:szCs w:val="24"/>
              </w:rPr>
            </w:pPr>
          </w:p>
        </w:tc>
        <w:tc>
          <w:tcPr>
            <w:tcW w:w="1133" w:type="dxa"/>
            <w:noWrap/>
          </w:tcPr>
          <w:p w14:paraId="3A73E856">
            <w:pPr>
              <w:spacing w:line="440" w:lineRule="exact"/>
              <w:jc w:val="center"/>
              <w:rPr>
                <w:rFonts w:hint="eastAsia" w:ascii="宋体" w:hAnsi="宋体" w:eastAsia="宋体" w:cs="宋体"/>
                <w:sz w:val="24"/>
                <w:szCs w:val="24"/>
              </w:rPr>
            </w:pPr>
          </w:p>
        </w:tc>
        <w:tc>
          <w:tcPr>
            <w:tcW w:w="1133" w:type="dxa"/>
            <w:noWrap/>
          </w:tcPr>
          <w:p w14:paraId="585628A6">
            <w:pPr>
              <w:spacing w:line="440" w:lineRule="exact"/>
              <w:jc w:val="center"/>
              <w:rPr>
                <w:rFonts w:hint="eastAsia" w:ascii="宋体" w:hAnsi="宋体" w:eastAsia="宋体" w:cs="宋体"/>
                <w:sz w:val="24"/>
                <w:szCs w:val="24"/>
              </w:rPr>
            </w:pPr>
          </w:p>
        </w:tc>
        <w:tc>
          <w:tcPr>
            <w:tcW w:w="1343" w:type="dxa"/>
            <w:noWrap/>
          </w:tcPr>
          <w:p w14:paraId="0ACCBFB1">
            <w:pPr>
              <w:spacing w:line="440" w:lineRule="exact"/>
              <w:jc w:val="center"/>
              <w:rPr>
                <w:rFonts w:hint="eastAsia" w:ascii="宋体" w:hAnsi="宋体" w:eastAsia="宋体" w:cs="宋体"/>
                <w:sz w:val="24"/>
                <w:szCs w:val="24"/>
              </w:rPr>
            </w:pPr>
          </w:p>
        </w:tc>
      </w:tr>
    </w:tbl>
    <w:p w14:paraId="6C93AB93">
      <w:pPr>
        <w:topLinePunct/>
        <w:spacing w:line="440" w:lineRule="exact"/>
        <w:jc w:val="center"/>
        <w:rPr>
          <w:rFonts w:hint="eastAsia" w:ascii="宋体" w:hAnsi="宋体" w:eastAsia="宋体" w:cs="宋体"/>
          <w:sz w:val="22"/>
        </w:rPr>
      </w:pPr>
    </w:p>
    <w:p w14:paraId="7D5166DE">
      <w:pPr>
        <w:spacing w:line="360" w:lineRule="auto"/>
        <w:jc w:val="left"/>
        <w:rPr>
          <w:rFonts w:hint="eastAsia" w:ascii="宋体" w:hAnsi="宋体" w:eastAsia="宋体" w:cs="宋体"/>
          <w:sz w:val="22"/>
        </w:rPr>
      </w:pPr>
      <w:r>
        <w:rPr>
          <w:rFonts w:hint="eastAsia" w:ascii="宋体" w:hAnsi="宋体" w:eastAsia="宋体" w:cs="宋体"/>
          <w:b/>
          <w:bCs/>
          <w:sz w:val="24"/>
          <w:szCs w:val="28"/>
        </w:rPr>
        <w:t>附表六：计划开、竣工日期和施工进度网络图</w:t>
      </w:r>
    </w:p>
    <w:p w14:paraId="0B9A502D">
      <w:pPr>
        <w:spacing w:line="440" w:lineRule="exact"/>
        <w:jc w:val="left"/>
        <w:rPr>
          <w:rFonts w:hint="eastAsia" w:ascii="宋体" w:hAnsi="宋体" w:eastAsia="宋体" w:cs="宋体"/>
          <w:sz w:val="28"/>
          <w:szCs w:val="28"/>
        </w:rPr>
      </w:pPr>
      <w:r>
        <w:rPr>
          <w:rFonts w:hint="eastAsia" w:ascii="宋体" w:hAnsi="宋体" w:eastAsia="宋体" w:cs="宋体"/>
          <w:sz w:val="28"/>
          <w:szCs w:val="28"/>
        </w:rPr>
        <w:t>1. 磋商响应供应商应递交施工进度网络图或施工进度表，说明按磋商文件要求的计划工期进行施工的各个关键日期。</w:t>
      </w:r>
    </w:p>
    <w:p w14:paraId="462FB3F3">
      <w:pPr>
        <w:spacing w:line="440" w:lineRule="exact"/>
        <w:jc w:val="left"/>
        <w:rPr>
          <w:rFonts w:hint="eastAsia" w:ascii="宋体" w:hAnsi="宋体" w:eastAsia="宋体" w:cs="宋体"/>
          <w:sz w:val="28"/>
          <w:szCs w:val="28"/>
        </w:rPr>
      </w:pPr>
      <w:r>
        <w:rPr>
          <w:rFonts w:hint="eastAsia" w:ascii="宋体" w:hAnsi="宋体" w:eastAsia="宋体" w:cs="宋体"/>
          <w:sz w:val="28"/>
          <w:szCs w:val="28"/>
        </w:rPr>
        <w:t>2. 施工进度表可采用网络图（或横道图）表示。</w:t>
      </w:r>
    </w:p>
    <w:p w14:paraId="241C46D6">
      <w:pPr>
        <w:pStyle w:val="5"/>
        <w:ind w:firstLine="220"/>
        <w:rPr>
          <w:rFonts w:hint="eastAsia" w:ascii="宋体" w:hAnsi="宋体" w:eastAsia="宋体" w:cs="宋体"/>
          <w:sz w:val="22"/>
          <w:szCs w:val="22"/>
        </w:rPr>
      </w:pPr>
    </w:p>
    <w:p w14:paraId="2FFE459B">
      <w:pPr>
        <w:wordWrap w:val="0"/>
        <w:snapToGrid w:val="0"/>
        <w:spacing w:line="360" w:lineRule="auto"/>
        <w:jc w:val="left"/>
        <w:outlineLvl w:val="9"/>
        <w:rPr>
          <w:rFonts w:hint="eastAsia" w:ascii="宋体" w:hAnsi="宋体" w:eastAsia="宋体" w:cs="宋体"/>
          <w:sz w:val="24"/>
          <w:szCs w:val="28"/>
        </w:rPr>
      </w:pPr>
    </w:p>
    <w:p w14:paraId="016BC618">
      <w:pPr>
        <w:rPr>
          <w:rFonts w:hint="eastAsia" w:ascii="宋体" w:hAnsi="宋体" w:eastAsia="宋体" w:cs="宋体"/>
          <w:b/>
          <w:bCs/>
          <w:sz w:val="24"/>
          <w:szCs w:val="28"/>
        </w:rPr>
      </w:pPr>
      <w:r>
        <w:rPr>
          <w:rFonts w:hint="eastAsia" w:ascii="宋体" w:hAnsi="宋体" w:eastAsia="宋体" w:cs="宋体"/>
          <w:b/>
          <w:bCs/>
          <w:sz w:val="24"/>
          <w:szCs w:val="28"/>
        </w:rPr>
        <w:br w:type="page"/>
      </w:r>
    </w:p>
    <w:p w14:paraId="426536F6">
      <w:pPr>
        <w:wordWrap w:val="0"/>
        <w:snapToGrid w:val="0"/>
        <w:spacing w:line="360" w:lineRule="auto"/>
        <w:jc w:val="left"/>
        <w:outlineLvl w:val="9"/>
        <w:rPr>
          <w:rFonts w:hint="eastAsia" w:ascii="宋体" w:hAnsi="宋体" w:eastAsia="宋体" w:cs="宋体"/>
          <w:b/>
          <w:bCs/>
          <w:sz w:val="24"/>
          <w:szCs w:val="28"/>
        </w:rPr>
      </w:pPr>
      <w:r>
        <w:rPr>
          <w:rFonts w:hint="eastAsia" w:ascii="宋体" w:hAnsi="宋体" w:eastAsia="宋体" w:cs="宋体"/>
          <w:b/>
          <w:bCs/>
          <w:sz w:val="24"/>
          <w:szCs w:val="28"/>
        </w:rPr>
        <w:t>附表</w:t>
      </w:r>
      <w:r>
        <w:rPr>
          <w:rFonts w:hint="eastAsia" w:ascii="宋体" w:hAnsi="宋体" w:eastAsia="宋体" w:cs="宋体"/>
          <w:b/>
          <w:bCs/>
          <w:sz w:val="24"/>
          <w:szCs w:val="28"/>
          <w:lang w:val="en-US" w:eastAsia="zh-CN"/>
        </w:rPr>
        <w:t>七</w:t>
      </w:r>
      <w:r>
        <w:rPr>
          <w:rFonts w:hint="eastAsia" w:ascii="宋体" w:hAnsi="宋体" w:eastAsia="宋体" w:cs="宋体"/>
          <w:b/>
          <w:bCs/>
          <w:sz w:val="24"/>
          <w:szCs w:val="28"/>
        </w:rPr>
        <w:t>：施工总平面图</w:t>
      </w:r>
    </w:p>
    <w:p w14:paraId="2CE69E23">
      <w:pPr>
        <w:wordWrap w:val="0"/>
        <w:snapToGrid w:val="0"/>
        <w:spacing w:line="360" w:lineRule="auto"/>
        <w:ind w:firstLine="480"/>
        <w:jc w:val="left"/>
        <w:outlineLvl w:val="9"/>
        <w:rPr>
          <w:rFonts w:hint="eastAsia" w:ascii="宋体" w:hAnsi="宋体" w:eastAsia="宋体" w:cs="宋体"/>
          <w:sz w:val="28"/>
          <w:szCs w:val="32"/>
        </w:rPr>
      </w:pPr>
      <w:r>
        <w:rPr>
          <w:rFonts w:hint="eastAsia" w:ascii="宋体" w:hAnsi="宋体" w:eastAsia="宋体" w:cs="宋体"/>
          <w:sz w:val="28"/>
          <w:szCs w:val="32"/>
        </w:rPr>
        <w:t>磋商供应商应递交一份施工总平面图，绘出现场临时设施布置图表并附文字说明，说明临时设施、加工车间、现场办公、设备及仓储、供电、供水、卫生、生活、道路、消防等设施的情况和布置。</w:t>
      </w:r>
    </w:p>
    <w:p w14:paraId="2CF96B1C">
      <w:pPr>
        <w:wordWrap w:val="0"/>
        <w:snapToGrid w:val="0"/>
        <w:spacing w:line="360" w:lineRule="auto"/>
        <w:jc w:val="left"/>
        <w:outlineLvl w:val="9"/>
        <w:rPr>
          <w:rFonts w:hint="eastAsia" w:ascii="宋体" w:hAnsi="宋体" w:eastAsia="宋体" w:cs="宋体"/>
          <w:sz w:val="24"/>
          <w:szCs w:val="28"/>
        </w:rPr>
      </w:pPr>
    </w:p>
    <w:p w14:paraId="76C9C3EF">
      <w:pPr>
        <w:wordWrap w:val="0"/>
        <w:snapToGrid w:val="0"/>
        <w:spacing w:line="360" w:lineRule="auto"/>
        <w:jc w:val="left"/>
        <w:outlineLvl w:val="9"/>
        <w:rPr>
          <w:rFonts w:hint="eastAsia" w:ascii="宋体" w:hAnsi="宋体" w:eastAsia="宋体" w:cs="宋体"/>
          <w:b/>
          <w:bCs/>
          <w:sz w:val="24"/>
          <w:szCs w:val="28"/>
        </w:rPr>
      </w:pPr>
      <w:r>
        <w:rPr>
          <w:rFonts w:hint="eastAsia" w:ascii="宋体" w:hAnsi="宋体" w:eastAsia="宋体" w:cs="宋体"/>
          <w:b/>
          <w:bCs/>
          <w:sz w:val="24"/>
          <w:szCs w:val="28"/>
        </w:rPr>
        <w:t>附表</w:t>
      </w:r>
      <w:r>
        <w:rPr>
          <w:rFonts w:hint="eastAsia" w:ascii="宋体" w:hAnsi="宋体" w:cs="宋体"/>
          <w:b/>
          <w:bCs/>
          <w:sz w:val="24"/>
          <w:szCs w:val="28"/>
          <w:lang w:val="en-US" w:eastAsia="zh-CN"/>
        </w:rPr>
        <w:t>八</w:t>
      </w:r>
      <w:r>
        <w:rPr>
          <w:rFonts w:hint="eastAsia" w:ascii="宋体" w:hAnsi="宋体" w:eastAsia="宋体" w:cs="宋体"/>
          <w:b/>
          <w:bCs/>
          <w:sz w:val="24"/>
          <w:szCs w:val="28"/>
        </w:rPr>
        <w:t>：临时用地表</w:t>
      </w:r>
    </w:p>
    <w:tbl>
      <w:tblPr>
        <w:tblStyle w:val="2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14:paraId="3E0E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CEF13DA">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用  途</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5110CD8">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面积（平方米）</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87CFD82">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位  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AF1202">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需用时间</w:t>
            </w:r>
          </w:p>
        </w:tc>
      </w:tr>
      <w:tr w14:paraId="5736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EE6A241">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B5B5EF9">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A691D18">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A9144C">
            <w:pPr>
              <w:wordWrap w:val="0"/>
              <w:snapToGrid w:val="0"/>
              <w:spacing w:line="240" w:lineRule="auto"/>
              <w:outlineLvl w:val="9"/>
              <w:rPr>
                <w:rFonts w:hint="eastAsia" w:ascii="宋体" w:hAnsi="宋体" w:eastAsia="宋体" w:cs="宋体"/>
                <w:sz w:val="24"/>
                <w:szCs w:val="28"/>
              </w:rPr>
            </w:pPr>
          </w:p>
        </w:tc>
      </w:tr>
      <w:tr w14:paraId="4DA5B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26802EC">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4A1E56F">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EDA3905">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0B8DE8">
            <w:pPr>
              <w:wordWrap w:val="0"/>
              <w:snapToGrid w:val="0"/>
              <w:spacing w:line="240" w:lineRule="auto"/>
              <w:outlineLvl w:val="9"/>
              <w:rPr>
                <w:rFonts w:hint="eastAsia" w:ascii="宋体" w:hAnsi="宋体" w:eastAsia="宋体" w:cs="宋体"/>
                <w:sz w:val="24"/>
                <w:szCs w:val="28"/>
              </w:rPr>
            </w:pPr>
          </w:p>
        </w:tc>
      </w:tr>
      <w:tr w14:paraId="173E1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3CF91CE">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2A233C3">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3874159">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87B867">
            <w:pPr>
              <w:wordWrap w:val="0"/>
              <w:snapToGrid w:val="0"/>
              <w:spacing w:line="240" w:lineRule="auto"/>
              <w:outlineLvl w:val="9"/>
              <w:rPr>
                <w:rFonts w:hint="eastAsia" w:ascii="宋体" w:hAnsi="宋体" w:eastAsia="宋体" w:cs="宋体"/>
                <w:sz w:val="24"/>
                <w:szCs w:val="28"/>
              </w:rPr>
            </w:pPr>
          </w:p>
        </w:tc>
      </w:tr>
      <w:tr w14:paraId="16FD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AEACC86">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D9B97FD">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FCAEA3C">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E7643B9">
            <w:pPr>
              <w:wordWrap w:val="0"/>
              <w:snapToGrid w:val="0"/>
              <w:spacing w:line="240" w:lineRule="auto"/>
              <w:outlineLvl w:val="9"/>
              <w:rPr>
                <w:rFonts w:hint="eastAsia" w:ascii="宋体" w:hAnsi="宋体" w:eastAsia="宋体" w:cs="宋体"/>
                <w:sz w:val="24"/>
                <w:szCs w:val="28"/>
              </w:rPr>
            </w:pPr>
          </w:p>
        </w:tc>
      </w:tr>
      <w:tr w14:paraId="4BB20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5643497">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160AD88">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5765515">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FC4EFF">
            <w:pPr>
              <w:wordWrap w:val="0"/>
              <w:snapToGrid w:val="0"/>
              <w:spacing w:line="240" w:lineRule="auto"/>
              <w:outlineLvl w:val="9"/>
              <w:rPr>
                <w:rFonts w:hint="eastAsia" w:ascii="宋体" w:hAnsi="宋体" w:eastAsia="宋体" w:cs="宋体"/>
                <w:sz w:val="24"/>
                <w:szCs w:val="28"/>
              </w:rPr>
            </w:pPr>
          </w:p>
        </w:tc>
      </w:tr>
      <w:tr w14:paraId="7C6D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9A99B7D">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60C4E6A">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16A456E">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88D382">
            <w:pPr>
              <w:wordWrap w:val="0"/>
              <w:snapToGrid w:val="0"/>
              <w:spacing w:line="240" w:lineRule="auto"/>
              <w:outlineLvl w:val="9"/>
              <w:rPr>
                <w:rFonts w:hint="eastAsia" w:ascii="宋体" w:hAnsi="宋体" w:eastAsia="宋体" w:cs="宋体"/>
                <w:sz w:val="24"/>
                <w:szCs w:val="28"/>
              </w:rPr>
            </w:pPr>
          </w:p>
        </w:tc>
      </w:tr>
      <w:tr w14:paraId="434A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E413EC0">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B5B8C92">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7B97C73">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431176">
            <w:pPr>
              <w:wordWrap w:val="0"/>
              <w:snapToGrid w:val="0"/>
              <w:spacing w:line="240" w:lineRule="auto"/>
              <w:outlineLvl w:val="9"/>
              <w:rPr>
                <w:rFonts w:hint="eastAsia" w:ascii="宋体" w:hAnsi="宋体" w:eastAsia="宋体" w:cs="宋体"/>
                <w:sz w:val="24"/>
                <w:szCs w:val="28"/>
              </w:rPr>
            </w:pPr>
          </w:p>
        </w:tc>
      </w:tr>
      <w:tr w14:paraId="01F6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09B134C">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AF377DB">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B6A70C4">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FC7074">
            <w:pPr>
              <w:wordWrap w:val="0"/>
              <w:snapToGrid w:val="0"/>
              <w:spacing w:line="240" w:lineRule="auto"/>
              <w:outlineLvl w:val="9"/>
              <w:rPr>
                <w:rFonts w:hint="eastAsia" w:ascii="宋体" w:hAnsi="宋体" w:eastAsia="宋体" w:cs="宋体"/>
                <w:sz w:val="24"/>
                <w:szCs w:val="28"/>
              </w:rPr>
            </w:pPr>
          </w:p>
        </w:tc>
      </w:tr>
      <w:tr w14:paraId="1BC8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6071091">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6BA6DE8">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33591F1">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96AC04">
            <w:pPr>
              <w:wordWrap w:val="0"/>
              <w:snapToGrid w:val="0"/>
              <w:spacing w:line="240" w:lineRule="auto"/>
              <w:outlineLvl w:val="9"/>
              <w:rPr>
                <w:rFonts w:hint="eastAsia" w:ascii="宋体" w:hAnsi="宋体" w:eastAsia="宋体" w:cs="宋体"/>
                <w:sz w:val="24"/>
                <w:szCs w:val="28"/>
              </w:rPr>
            </w:pPr>
          </w:p>
        </w:tc>
      </w:tr>
      <w:tr w14:paraId="3EDEB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027121B">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009284F">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5BDB482">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4E6E37">
            <w:pPr>
              <w:wordWrap w:val="0"/>
              <w:snapToGrid w:val="0"/>
              <w:spacing w:line="240" w:lineRule="auto"/>
              <w:outlineLvl w:val="9"/>
              <w:rPr>
                <w:rFonts w:hint="eastAsia" w:ascii="宋体" w:hAnsi="宋体" w:eastAsia="宋体" w:cs="宋体"/>
                <w:sz w:val="24"/>
                <w:szCs w:val="28"/>
              </w:rPr>
            </w:pPr>
          </w:p>
        </w:tc>
      </w:tr>
      <w:tr w14:paraId="646B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585684A">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FB93FB4">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B0C252E">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124B4D">
            <w:pPr>
              <w:wordWrap w:val="0"/>
              <w:snapToGrid w:val="0"/>
              <w:spacing w:line="240" w:lineRule="auto"/>
              <w:outlineLvl w:val="9"/>
              <w:rPr>
                <w:rFonts w:hint="eastAsia" w:ascii="宋体" w:hAnsi="宋体" w:eastAsia="宋体" w:cs="宋体"/>
                <w:sz w:val="24"/>
                <w:szCs w:val="28"/>
              </w:rPr>
            </w:pPr>
          </w:p>
        </w:tc>
      </w:tr>
      <w:tr w14:paraId="66A7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79D1BC6">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E451A36">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BDA38D3">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0A8A05">
            <w:pPr>
              <w:wordWrap w:val="0"/>
              <w:snapToGrid w:val="0"/>
              <w:spacing w:line="240" w:lineRule="auto"/>
              <w:outlineLvl w:val="9"/>
              <w:rPr>
                <w:rFonts w:hint="eastAsia" w:ascii="宋体" w:hAnsi="宋体" w:eastAsia="宋体" w:cs="宋体"/>
                <w:sz w:val="24"/>
                <w:szCs w:val="28"/>
              </w:rPr>
            </w:pPr>
          </w:p>
        </w:tc>
      </w:tr>
      <w:tr w14:paraId="47F4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0E6E989">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4490467">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99B04BF">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44F383">
            <w:pPr>
              <w:wordWrap w:val="0"/>
              <w:snapToGrid w:val="0"/>
              <w:spacing w:line="240" w:lineRule="auto"/>
              <w:outlineLvl w:val="9"/>
              <w:rPr>
                <w:rFonts w:hint="eastAsia" w:ascii="宋体" w:hAnsi="宋体" w:eastAsia="宋体" w:cs="宋体"/>
                <w:sz w:val="24"/>
                <w:szCs w:val="28"/>
              </w:rPr>
            </w:pPr>
          </w:p>
        </w:tc>
      </w:tr>
      <w:tr w14:paraId="3B2E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7A03A86">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D1BE8B7">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A805CEB">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E33AB0C">
            <w:pPr>
              <w:wordWrap w:val="0"/>
              <w:snapToGrid w:val="0"/>
              <w:spacing w:line="240" w:lineRule="auto"/>
              <w:outlineLvl w:val="9"/>
              <w:rPr>
                <w:rFonts w:hint="eastAsia" w:ascii="宋体" w:hAnsi="宋体" w:eastAsia="宋体" w:cs="宋体"/>
                <w:sz w:val="24"/>
                <w:szCs w:val="28"/>
              </w:rPr>
            </w:pPr>
          </w:p>
        </w:tc>
      </w:tr>
    </w:tbl>
    <w:p w14:paraId="0EA7D18D">
      <w:pPr>
        <w:pStyle w:val="6"/>
        <w:rPr>
          <w:rFonts w:hint="eastAsia" w:ascii="宋体" w:hAnsi="宋体" w:eastAsia="宋体" w:cs="宋体"/>
        </w:rPr>
        <w:sectPr>
          <w:pgSz w:w="11906" w:h="16838"/>
          <w:pgMar w:top="1440" w:right="1416" w:bottom="1440" w:left="1560" w:header="851" w:footer="992" w:gutter="0"/>
          <w:pgNumType w:fmt="decimal"/>
          <w:cols w:space="720" w:num="1"/>
          <w:docGrid w:linePitch="312" w:charSpace="0"/>
        </w:sectPr>
      </w:pPr>
    </w:p>
    <w:bookmarkEnd w:id="1155"/>
    <w:bookmarkEnd w:id="1156"/>
    <w:bookmarkEnd w:id="1157"/>
    <w:bookmarkEnd w:id="1158"/>
    <w:bookmarkEnd w:id="1159"/>
    <w:bookmarkEnd w:id="1160"/>
    <w:p w14:paraId="68C0AC37">
      <w:pPr>
        <w:rPr>
          <w:rFonts w:hint="eastAsia" w:ascii="宋体" w:hAnsi="宋体" w:eastAsia="宋体" w:cs="宋体"/>
          <w:b/>
          <w:bCs/>
          <w:color w:val="auto"/>
          <w:sz w:val="36"/>
          <w:szCs w:val="40"/>
        </w:rPr>
      </w:pPr>
      <w:r>
        <w:rPr>
          <w:rFonts w:hint="eastAsia" w:ascii="宋体" w:hAnsi="宋体" w:eastAsia="宋体" w:cs="宋体"/>
          <w:b/>
          <w:bCs/>
          <w:color w:val="auto"/>
          <w:sz w:val="36"/>
          <w:szCs w:val="40"/>
        </w:rPr>
        <w:t>2-</w:t>
      </w:r>
      <w:r>
        <w:rPr>
          <w:rFonts w:hint="eastAsia" w:ascii="宋体" w:hAnsi="宋体" w:cs="宋体"/>
          <w:b/>
          <w:bCs/>
          <w:color w:val="auto"/>
          <w:sz w:val="36"/>
          <w:szCs w:val="40"/>
          <w:lang w:val="en-US" w:eastAsia="zh-CN"/>
        </w:rPr>
        <w:t>7</w:t>
      </w:r>
      <w:r>
        <w:rPr>
          <w:rFonts w:hint="eastAsia" w:ascii="宋体" w:hAnsi="宋体" w:eastAsia="宋体" w:cs="宋体"/>
          <w:b/>
          <w:bCs/>
          <w:color w:val="auto"/>
          <w:sz w:val="36"/>
          <w:szCs w:val="40"/>
        </w:rPr>
        <w:t>、其他资料</w:t>
      </w:r>
    </w:p>
    <w:p w14:paraId="7A6EB9AE">
      <w:pPr>
        <w:spacing w:line="360" w:lineRule="auto"/>
        <w:jc w:val="center"/>
        <w:rPr>
          <w:rFonts w:hint="eastAsia" w:ascii="宋体" w:hAnsi="宋体" w:eastAsia="宋体" w:cs="宋体"/>
          <w:b/>
          <w:color w:val="auto"/>
          <w:sz w:val="40"/>
        </w:rPr>
      </w:pPr>
      <w:r>
        <w:rPr>
          <w:rFonts w:hint="eastAsia" w:ascii="宋体" w:hAnsi="宋体" w:eastAsia="宋体" w:cs="宋体"/>
          <w:b/>
          <w:color w:val="auto"/>
          <w:sz w:val="40"/>
        </w:rPr>
        <w:t>其他资料</w:t>
      </w:r>
    </w:p>
    <w:p w14:paraId="54493A44">
      <w:pPr>
        <w:spacing w:line="360" w:lineRule="auto"/>
        <w:jc w:val="left"/>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rPr>
        <w:t>项目名称：</w:t>
      </w:r>
      <w:r>
        <w:rPr>
          <w:rFonts w:hint="eastAsia" w:ascii="宋体" w:hAnsi="宋体" w:cs="宋体"/>
          <w:color w:val="auto"/>
          <w:sz w:val="28"/>
          <w:szCs w:val="24"/>
          <w:lang w:val="en-US" w:eastAsia="zh-CN"/>
        </w:rPr>
        <w:t>太古镇2026年蔬菜大棚新建改造项目</w:t>
      </w:r>
    </w:p>
    <w:p w14:paraId="301B3A81">
      <w:pPr>
        <w:spacing w:line="360" w:lineRule="auto"/>
        <w:jc w:val="left"/>
        <w:rPr>
          <w:rFonts w:hint="eastAsia" w:ascii="宋体" w:hAnsi="宋体" w:eastAsia="宋体" w:cs="宋体"/>
          <w:color w:val="auto"/>
          <w:kern w:val="0"/>
          <w:sz w:val="28"/>
          <w:szCs w:val="24"/>
          <w:u w:val="single"/>
          <w:lang w:val="en-US" w:eastAsia="zh-CN"/>
        </w:rPr>
      </w:pPr>
      <w:r>
        <w:rPr>
          <w:rFonts w:hint="eastAsia" w:ascii="宋体" w:hAnsi="宋体" w:eastAsia="宋体" w:cs="宋体"/>
          <w:color w:val="auto"/>
          <w:sz w:val="28"/>
          <w:szCs w:val="24"/>
        </w:rPr>
        <w:t>项目编号</w:t>
      </w:r>
      <w:r>
        <w:rPr>
          <w:rFonts w:hint="eastAsia" w:ascii="宋体" w:hAnsi="宋体" w:eastAsia="宋体" w:cs="宋体"/>
          <w:color w:val="auto"/>
          <w:sz w:val="28"/>
          <w:szCs w:val="24"/>
          <w:highlight w:val="none"/>
        </w:rPr>
        <w:t>：</w:t>
      </w:r>
    </w:p>
    <w:tbl>
      <w:tblPr>
        <w:tblStyle w:val="24"/>
        <w:tblW w:w="0" w:type="auto"/>
        <w:tblInd w:w="113" w:type="dxa"/>
        <w:tblBorders>
          <w:top w:val="single" w:color="auto" w:sz="4" w:space="0"/>
          <w:left w:val="single" w:color="auto" w:sz="4" w:space="0"/>
          <w:bottom w:val="single" w:color="auto" w:sz="4" w:space="0"/>
          <w:right w:val="single" w:color="auto"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0A7C944E">
        <w:tblPrEx>
          <w:tblBorders>
            <w:top w:val="single" w:color="auto" w:sz="4" w:space="0"/>
            <w:left w:val="single" w:color="auto" w:sz="4" w:space="0"/>
            <w:bottom w:val="single" w:color="auto" w:sz="4" w:space="0"/>
            <w:right w:val="single" w:color="auto"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noWrap/>
          </w:tcPr>
          <w:p w14:paraId="5AFF8C17">
            <w:pPr>
              <w:spacing w:line="324" w:lineRule="auto"/>
              <w:jc w:val="left"/>
              <w:rPr>
                <w:rFonts w:hint="eastAsia" w:ascii="宋体" w:hAnsi="宋体" w:eastAsia="宋体" w:cs="宋体"/>
                <w:color w:val="auto"/>
                <w:sz w:val="22"/>
                <w:szCs w:val="21"/>
              </w:rPr>
            </w:pPr>
          </w:p>
        </w:tc>
      </w:tr>
    </w:tbl>
    <w:p w14:paraId="5EA17249">
      <w:pPr>
        <w:wordWrap w:val="0"/>
        <w:snapToGrid w:val="0"/>
        <w:spacing w:line="360" w:lineRule="auto"/>
        <w:jc w:val="right"/>
        <w:rPr>
          <w:rFonts w:hint="eastAsia" w:ascii="宋体" w:hAnsi="宋体" w:eastAsia="宋体" w:cs="宋体"/>
          <w:kern w:val="0"/>
          <w:sz w:val="28"/>
          <w:szCs w:val="28"/>
          <w:lang w:eastAsia="zh-CN"/>
        </w:rPr>
      </w:pPr>
    </w:p>
    <w:p w14:paraId="2CC08203">
      <w:pPr>
        <w:wordWrap w:val="0"/>
        <w:snapToGrid w:val="0"/>
        <w:spacing w:line="360" w:lineRule="auto"/>
        <w:jc w:val="right"/>
        <w:rPr>
          <w:rFonts w:hint="default" w:ascii="宋体" w:hAnsi="宋体" w:eastAsia="宋体" w:cs="宋体"/>
          <w:color w:val="auto"/>
          <w:sz w:val="24"/>
          <w:szCs w:val="24"/>
          <w:lang w:val="en-US" w:eastAsia="zh-CN"/>
        </w:rPr>
      </w:pPr>
      <w:r>
        <w:rPr>
          <w:rFonts w:hint="eastAsia" w:ascii="宋体" w:hAnsi="宋体" w:eastAsia="宋体" w:cs="宋体"/>
          <w:kern w:val="0"/>
          <w:sz w:val="28"/>
          <w:szCs w:val="28"/>
          <w:lang w:eastAsia="zh-CN"/>
        </w:rPr>
        <w:t>磋商供应商</w:t>
      </w:r>
      <w:r>
        <w:rPr>
          <w:rFonts w:hint="eastAsia" w:ascii="宋体" w:hAnsi="宋体" w:eastAsia="宋体" w:cs="宋体"/>
          <w:kern w:val="0"/>
          <w:sz w:val="28"/>
          <w:szCs w:val="28"/>
        </w:rPr>
        <w:t>名称（加盖法人电子印章）：</w:t>
      </w:r>
      <w:r>
        <w:rPr>
          <w:rFonts w:hint="eastAsia" w:ascii="宋体" w:hAnsi="宋体" w:eastAsia="宋体" w:cs="宋体"/>
          <w:kern w:val="0"/>
          <w:sz w:val="28"/>
          <w:szCs w:val="28"/>
          <w:u w:val="single"/>
          <w:lang w:val="en-US" w:eastAsia="zh-CN"/>
        </w:rPr>
        <w:t xml:space="preserve">                 </w:t>
      </w:r>
    </w:p>
    <w:p w14:paraId="476076F5">
      <w:pPr>
        <w:jc w:val="right"/>
        <w:rPr>
          <w:rFonts w:hint="eastAsia" w:ascii="宋体" w:hAnsi="宋体" w:eastAsia="宋体" w:cs="宋体"/>
          <w:color w:val="auto"/>
          <w:sz w:val="24"/>
          <w:szCs w:val="24"/>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73383170">
      <w:pPr>
        <w:jc w:val="left"/>
        <w:rPr>
          <w:rFonts w:hint="eastAsia" w:ascii="宋体" w:hAnsi="宋体" w:eastAsia="宋体" w:cs="宋体"/>
          <w:color w:val="auto"/>
          <w:sz w:val="24"/>
          <w:szCs w:val="24"/>
        </w:rPr>
      </w:pPr>
    </w:p>
    <w:p w14:paraId="05C39D3C">
      <w:pPr>
        <w:jc w:val="left"/>
        <w:rPr>
          <w:rFonts w:hint="eastAsia" w:ascii="宋体" w:hAnsi="宋体" w:eastAsia="宋体" w:cs="宋体"/>
          <w:color w:val="auto"/>
        </w:rPr>
      </w:pPr>
    </w:p>
    <w:p w14:paraId="69078582">
      <w:pPr>
        <w:jc w:val="left"/>
        <w:rPr>
          <w:rFonts w:hint="eastAsia" w:ascii="宋体" w:hAnsi="宋体" w:eastAsia="宋体" w:cs="宋体"/>
          <w:color w:val="auto"/>
        </w:rPr>
      </w:pPr>
    </w:p>
    <w:p w14:paraId="4684ABE3">
      <w:pPr>
        <w:pStyle w:val="4"/>
        <w:jc w:val="left"/>
        <w:rPr>
          <w:rFonts w:hint="eastAsia" w:ascii="宋体" w:hAnsi="宋体" w:eastAsia="宋体" w:cs="宋体"/>
          <w:color w:val="auto"/>
        </w:rPr>
      </w:pPr>
      <w:bookmarkStart w:id="1161" w:name="_Toc81341339"/>
      <w:bookmarkStart w:id="1162" w:name="_Toc22427"/>
      <w:r>
        <w:rPr>
          <w:rFonts w:hint="eastAsia" w:ascii="宋体" w:hAnsi="宋体" w:eastAsia="宋体" w:cs="宋体"/>
          <w:color w:val="auto"/>
        </w:rPr>
        <w:t>三、报价文件部分格式</w:t>
      </w:r>
      <w:bookmarkEnd w:id="1161"/>
      <w:bookmarkEnd w:id="1162"/>
    </w:p>
    <w:p w14:paraId="17904ACC">
      <w:pPr>
        <w:adjustRightInd w:val="0"/>
        <w:snapToGrid w:val="0"/>
        <w:spacing w:line="480" w:lineRule="auto"/>
        <w:ind w:left="2345" w:leftChars="450" w:hanging="1400" w:hangingChars="500"/>
        <w:jc w:val="left"/>
        <w:rPr>
          <w:rFonts w:hint="eastAsia" w:ascii="宋体" w:hAnsi="宋体" w:eastAsia="宋体" w:cs="宋体"/>
          <w:color w:val="auto"/>
          <w:kern w:val="0"/>
          <w:sz w:val="28"/>
          <w:szCs w:val="28"/>
        </w:rPr>
      </w:pPr>
    </w:p>
    <w:p w14:paraId="5C4B74F5">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项目名称：</w:t>
      </w:r>
      <w:r>
        <w:rPr>
          <w:rFonts w:hint="eastAsia" w:ascii="宋体" w:hAnsi="宋体" w:cs="宋体"/>
          <w:color w:val="auto"/>
          <w:kern w:val="0"/>
          <w:sz w:val="28"/>
          <w:szCs w:val="28"/>
          <w:lang w:val="en-US" w:eastAsia="zh-CN"/>
        </w:rPr>
        <w:t>太古镇2026年蔬菜大棚新建改造项目</w:t>
      </w:r>
    </w:p>
    <w:p w14:paraId="2ECEB4FA">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b/>
          <w:bCs/>
          <w:color w:val="auto"/>
          <w:kern w:val="0"/>
          <w:sz w:val="24"/>
          <w:szCs w:val="24"/>
          <w:highlight w:val="red"/>
          <w:u w:val="single"/>
          <w:lang w:val="en-US" w:eastAsia="zh-CN"/>
        </w:rPr>
      </w:pPr>
      <w:r>
        <w:rPr>
          <w:rFonts w:hint="eastAsia" w:ascii="宋体" w:hAnsi="宋体" w:eastAsia="宋体" w:cs="宋体"/>
          <w:color w:val="auto"/>
          <w:kern w:val="0"/>
          <w:sz w:val="28"/>
          <w:szCs w:val="28"/>
        </w:rPr>
        <w:t>项目编号：</w:t>
      </w:r>
    </w:p>
    <w:p w14:paraId="62909258">
      <w:pPr>
        <w:autoSpaceDE w:val="0"/>
        <w:autoSpaceDN w:val="0"/>
        <w:adjustRightInd w:val="0"/>
        <w:snapToGrid w:val="0"/>
        <w:spacing w:line="360" w:lineRule="auto"/>
        <w:jc w:val="left"/>
        <w:rPr>
          <w:rFonts w:hint="eastAsia" w:ascii="宋体" w:hAnsi="宋体" w:eastAsia="宋体" w:cs="宋体"/>
          <w:color w:val="auto"/>
          <w:kern w:val="0"/>
          <w:sz w:val="24"/>
          <w:szCs w:val="24"/>
        </w:rPr>
      </w:pPr>
    </w:p>
    <w:p w14:paraId="336726D0">
      <w:pPr>
        <w:autoSpaceDE w:val="0"/>
        <w:autoSpaceDN w:val="0"/>
        <w:adjustRightInd w:val="0"/>
        <w:snapToGrid w:val="0"/>
        <w:spacing w:line="360" w:lineRule="auto"/>
        <w:jc w:val="left"/>
        <w:rPr>
          <w:rFonts w:hint="eastAsia" w:ascii="宋体" w:hAnsi="宋体" w:eastAsia="宋体" w:cs="宋体"/>
          <w:color w:val="auto"/>
          <w:kern w:val="0"/>
          <w:sz w:val="24"/>
        </w:rPr>
      </w:pPr>
    </w:p>
    <w:p w14:paraId="497BC6EF">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rPr>
      </w:pPr>
      <w:r>
        <w:rPr>
          <w:rFonts w:hint="eastAsia" w:ascii="宋体" w:hAnsi="宋体" w:eastAsia="宋体" w:cs="宋体"/>
          <w:color w:val="auto"/>
          <w:kern w:val="0"/>
          <w:sz w:val="72"/>
        </w:rPr>
        <w:t>响应文件</w:t>
      </w:r>
    </w:p>
    <w:p w14:paraId="5AB426CE">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rPr>
      </w:pPr>
      <w:r>
        <w:rPr>
          <w:rFonts w:hint="eastAsia" w:ascii="宋体" w:hAnsi="宋体" w:eastAsia="宋体" w:cs="宋体"/>
          <w:color w:val="auto"/>
          <w:kern w:val="0"/>
          <w:sz w:val="72"/>
        </w:rPr>
        <w:t>（报价文件）</w:t>
      </w:r>
    </w:p>
    <w:p w14:paraId="77CD5130">
      <w:pPr>
        <w:autoSpaceDE w:val="0"/>
        <w:autoSpaceDN w:val="0"/>
        <w:adjustRightInd w:val="0"/>
        <w:snapToGrid w:val="0"/>
        <w:spacing w:line="360" w:lineRule="auto"/>
        <w:jc w:val="left"/>
        <w:rPr>
          <w:rFonts w:hint="eastAsia" w:ascii="宋体" w:hAnsi="宋体" w:eastAsia="宋体" w:cs="宋体"/>
          <w:color w:val="auto"/>
          <w:kern w:val="0"/>
          <w:sz w:val="20"/>
        </w:rPr>
      </w:pPr>
    </w:p>
    <w:p w14:paraId="13F1F669">
      <w:pPr>
        <w:autoSpaceDE w:val="0"/>
        <w:autoSpaceDN w:val="0"/>
        <w:adjustRightInd w:val="0"/>
        <w:snapToGrid w:val="0"/>
        <w:spacing w:line="360" w:lineRule="auto"/>
        <w:jc w:val="left"/>
        <w:rPr>
          <w:rFonts w:hint="eastAsia" w:ascii="宋体" w:hAnsi="宋体" w:eastAsia="宋体" w:cs="宋体"/>
          <w:color w:val="auto"/>
          <w:kern w:val="0"/>
          <w:sz w:val="20"/>
        </w:rPr>
      </w:pPr>
    </w:p>
    <w:p w14:paraId="6D4B54CF">
      <w:pPr>
        <w:autoSpaceDE w:val="0"/>
        <w:autoSpaceDN w:val="0"/>
        <w:adjustRightInd w:val="0"/>
        <w:snapToGrid w:val="0"/>
        <w:spacing w:line="360" w:lineRule="auto"/>
        <w:jc w:val="left"/>
        <w:rPr>
          <w:rFonts w:hint="eastAsia" w:ascii="宋体" w:hAnsi="宋体" w:eastAsia="宋体" w:cs="宋体"/>
          <w:color w:val="auto"/>
          <w:kern w:val="0"/>
          <w:sz w:val="20"/>
        </w:rPr>
      </w:pPr>
    </w:p>
    <w:p w14:paraId="1C16233B">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磋商供应商（加盖法人电子印章）</w:t>
      </w:r>
      <w:r>
        <w:rPr>
          <w:rFonts w:hint="eastAsia" w:ascii="宋体" w:hAnsi="宋体" w:eastAsia="宋体" w:cs="宋体"/>
          <w:color w:val="auto"/>
          <w:sz w:val="28"/>
        </w:rPr>
        <w:t>：</w:t>
      </w:r>
    </w:p>
    <w:p w14:paraId="23580771">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地址：</w:t>
      </w:r>
    </w:p>
    <w:p w14:paraId="74BFF8E8">
      <w:pPr>
        <w:pStyle w:val="12"/>
        <w:spacing w:line="360" w:lineRule="auto"/>
        <w:ind w:firstLine="840" w:firstLineChars="300"/>
        <w:rPr>
          <w:rFonts w:hint="eastAsia" w:ascii="宋体" w:hAnsi="宋体" w:eastAsia="宋体" w:cs="宋体"/>
          <w:color w:val="auto"/>
          <w:sz w:val="28"/>
          <w:u w:val="single"/>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联系电话：</w:t>
      </w:r>
    </w:p>
    <w:p w14:paraId="077DBA62">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rPr>
      </w:pPr>
    </w:p>
    <w:p w14:paraId="30D5ACDE">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rPr>
      </w:pPr>
      <w:r>
        <w:rPr>
          <w:rFonts w:hint="eastAsia" w:ascii="宋体" w:hAnsi="宋体" w:eastAsia="宋体" w:cs="宋体"/>
          <w:color w:val="auto"/>
          <w:kern w:val="0"/>
          <w:sz w:val="28"/>
        </w:rPr>
        <w:t xml:space="preserve">  年   月   日</w:t>
      </w:r>
    </w:p>
    <w:p w14:paraId="30135C8A">
      <w:pPr>
        <w:jc w:val="left"/>
        <w:rPr>
          <w:rFonts w:hint="eastAsia" w:ascii="宋体" w:hAnsi="宋体" w:eastAsia="宋体" w:cs="宋体"/>
          <w:color w:val="auto"/>
        </w:rPr>
        <w:sectPr>
          <w:pgSz w:w="11906" w:h="16838"/>
          <w:pgMar w:top="1440" w:right="1416" w:bottom="1440" w:left="1560" w:header="851" w:footer="992" w:gutter="0"/>
          <w:pgNumType w:fmt="decimal"/>
          <w:cols w:space="720" w:num="1"/>
          <w:docGrid w:linePitch="312" w:charSpace="0"/>
        </w:sectPr>
      </w:pPr>
    </w:p>
    <w:bookmarkEnd w:id="1144"/>
    <w:bookmarkEnd w:id="1145"/>
    <w:bookmarkEnd w:id="1146"/>
    <w:p w14:paraId="57D65B16">
      <w:pPr>
        <w:pStyle w:val="5"/>
        <w:jc w:val="left"/>
        <w:rPr>
          <w:rFonts w:hint="eastAsia" w:ascii="宋体" w:hAnsi="宋体" w:eastAsia="宋体" w:cs="宋体"/>
          <w:color w:val="auto"/>
        </w:rPr>
      </w:pPr>
      <w:r>
        <w:rPr>
          <w:rFonts w:hint="eastAsia" w:ascii="宋体" w:hAnsi="宋体" w:eastAsia="宋体" w:cs="宋体"/>
          <w:color w:val="auto"/>
          <w:kern w:val="0"/>
          <w:szCs w:val="28"/>
        </w:rPr>
        <w:t>（1）★响应函</w:t>
      </w:r>
    </w:p>
    <w:p w14:paraId="212B243B">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★响应函</w:t>
      </w:r>
    </w:p>
    <w:p w14:paraId="69DE1DD7">
      <w:pPr>
        <w:spacing w:afterLines="100" w:line="360" w:lineRule="auto"/>
        <w:jc w:val="left"/>
        <w:rPr>
          <w:rFonts w:hint="eastAsia" w:ascii="宋体" w:hAnsi="宋体" w:eastAsia="宋体" w:cs="宋体"/>
          <w:color w:val="auto"/>
          <w:sz w:val="28"/>
          <w:szCs w:val="24"/>
          <w:highlight w:val="none"/>
        </w:rPr>
      </w:pPr>
      <w:r>
        <w:rPr>
          <w:rFonts w:hint="eastAsia" w:ascii="宋体" w:hAnsi="宋体" w:cs="宋体"/>
          <w:color w:val="auto"/>
          <w:kern w:val="0"/>
          <w:sz w:val="28"/>
          <w:szCs w:val="28"/>
          <w:highlight w:val="none"/>
          <w:u w:val="single"/>
          <w:lang w:eastAsia="zh-CN"/>
        </w:rPr>
        <w:t>山西新昱工程项目管理有限公司</w:t>
      </w:r>
      <w:r>
        <w:rPr>
          <w:rFonts w:hint="eastAsia" w:ascii="宋体" w:hAnsi="宋体" w:eastAsia="宋体" w:cs="宋体"/>
          <w:color w:val="auto"/>
          <w:sz w:val="28"/>
          <w:szCs w:val="24"/>
          <w:highlight w:val="none"/>
        </w:rPr>
        <w:t>：</w:t>
      </w:r>
    </w:p>
    <w:p w14:paraId="3D50E5E0">
      <w:pPr>
        <w:pStyle w:val="12"/>
        <w:spacing w:line="48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lang w:val="en-US" w:eastAsia="zh-CN"/>
        </w:rPr>
        <w:t>太古镇2026年蔬菜大棚新建改造项目</w:t>
      </w:r>
      <w:r>
        <w:rPr>
          <w:rFonts w:hint="eastAsia" w:ascii="宋体" w:hAnsi="宋体" w:eastAsia="宋体" w:cs="宋体"/>
          <w:color w:val="auto"/>
          <w:sz w:val="28"/>
          <w:szCs w:val="28"/>
          <w:highlight w:val="none"/>
        </w:rPr>
        <w:t>施工磋商文件的全部内容，愿意以人民币（大写）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 （小写）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元（¥）的磋商总报价，工期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日历天，项目经理：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），按合同约定实施和完成承包工程，修补工程中的任何缺陷，工程质量达到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标准。</w:t>
      </w:r>
    </w:p>
    <w:p w14:paraId="0A064770">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2．我方承诺在竞争性磋商有效期</w:t>
      </w:r>
      <w:r>
        <w:rPr>
          <w:rFonts w:hint="eastAsia" w:ascii="宋体" w:hAnsi="宋体" w:cs="宋体"/>
          <w:color w:val="auto"/>
          <w:sz w:val="28"/>
          <w:szCs w:val="24"/>
          <w:highlight w:val="none"/>
          <w:u w:val="single"/>
          <w:lang w:val="en-US" w:eastAsia="zh-CN"/>
        </w:rPr>
        <w:t xml:space="preserve"> </w:t>
      </w:r>
      <w:r>
        <w:rPr>
          <w:rFonts w:hint="eastAsia" w:ascii="宋体" w:hAnsi="宋体" w:cs="宋体"/>
          <w:color w:val="auto"/>
          <w:sz w:val="28"/>
          <w:szCs w:val="24"/>
          <w:highlight w:val="none"/>
          <w:lang w:val="en-US" w:eastAsia="zh-CN"/>
        </w:rPr>
        <w:t>日</w:t>
      </w:r>
      <w:r>
        <w:rPr>
          <w:rFonts w:hint="eastAsia" w:ascii="宋体" w:hAnsi="宋体" w:eastAsia="宋体" w:cs="宋体"/>
          <w:color w:val="auto"/>
          <w:sz w:val="28"/>
          <w:szCs w:val="24"/>
          <w:highlight w:val="none"/>
        </w:rPr>
        <w:t>内不修改、撤销磋商响应文件。</w:t>
      </w:r>
    </w:p>
    <w:p w14:paraId="615ECFD3">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3．如我方成交：</w:t>
      </w:r>
    </w:p>
    <w:p w14:paraId="7480922F">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（1）我方承诺在收到成交通知书后，在成交通知书规定的期限内与你方签订合同。</w:t>
      </w:r>
    </w:p>
    <w:p w14:paraId="4F12CC31">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（2）我方承诺按照磋商文件规定向你方递交预付款担保。</w:t>
      </w:r>
    </w:p>
    <w:p w14:paraId="7C218EA0">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（3）我方承诺在合同约定的期限内完成并移交全部合同工程。</w:t>
      </w:r>
    </w:p>
    <w:p w14:paraId="4575AFED">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4．我方在此声明，所递交的磋商响应文件及有关资料内容完整、真实和准确。</w:t>
      </w:r>
    </w:p>
    <w:p w14:paraId="1BC846B9">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5．（其他补充说明）。</w:t>
      </w:r>
    </w:p>
    <w:p w14:paraId="383EB6B3">
      <w:pPr>
        <w:spacing w:line="360" w:lineRule="auto"/>
        <w:ind w:firstLine="562" w:firstLineChars="200"/>
        <w:jc w:val="left"/>
        <w:rPr>
          <w:rFonts w:hint="eastAsia" w:ascii="宋体" w:hAnsi="宋体" w:eastAsia="宋体" w:cs="宋体"/>
          <w:color w:val="auto"/>
          <w:kern w:val="0"/>
          <w:sz w:val="28"/>
          <w:szCs w:val="24"/>
        </w:rPr>
      </w:pPr>
      <w:r>
        <w:rPr>
          <w:rFonts w:hint="eastAsia" w:ascii="宋体" w:hAnsi="宋体" w:eastAsia="宋体" w:cs="宋体"/>
          <w:b/>
          <w:color w:val="auto"/>
          <w:sz w:val="28"/>
          <w:szCs w:val="24"/>
        </w:rPr>
        <w:t>说明：</w:t>
      </w:r>
      <w:r>
        <w:rPr>
          <w:rFonts w:hint="eastAsia" w:ascii="宋体" w:hAnsi="宋体" w:eastAsia="宋体" w:cs="宋体"/>
          <w:b/>
          <w:color w:val="auto"/>
          <w:kern w:val="0"/>
          <w:sz w:val="28"/>
          <w:szCs w:val="24"/>
          <w:u w:val="single"/>
          <w:lang w:eastAsia="zh-CN"/>
        </w:rPr>
        <w:t>磋商供应商</w:t>
      </w:r>
      <w:r>
        <w:rPr>
          <w:rFonts w:hint="eastAsia" w:ascii="宋体" w:hAnsi="宋体" w:eastAsia="宋体" w:cs="宋体"/>
          <w:b/>
          <w:color w:val="auto"/>
          <w:kern w:val="0"/>
          <w:sz w:val="28"/>
          <w:szCs w:val="24"/>
          <w:u w:val="single"/>
        </w:rPr>
        <w:t>在“山西省政府采购网”进行标书关联时，在政采云系统上填报的投标报价（总价，元）金额与加密的报价文件中所列的投标报价（总价，元）金额不一致时，以加密的报价文件中所列的金额为准进行修正</w:t>
      </w:r>
      <w:r>
        <w:rPr>
          <w:rFonts w:hint="eastAsia" w:ascii="宋体" w:hAnsi="宋体" w:eastAsia="宋体" w:cs="宋体"/>
          <w:b/>
          <w:color w:val="auto"/>
          <w:kern w:val="0"/>
          <w:sz w:val="28"/>
          <w:szCs w:val="24"/>
        </w:rPr>
        <w:t>。</w:t>
      </w:r>
    </w:p>
    <w:p w14:paraId="7525FEC2">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lang w:eastAsia="zh-CN"/>
        </w:rPr>
        <w:t>磋商供应商（加盖法人电子印章）</w:t>
      </w:r>
      <w:r>
        <w:rPr>
          <w:rFonts w:hint="eastAsia" w:ascii="宋体" w:hAnsi="宋体" w:eastAsia="宋体" w:cs="宋体"/>
          <w:color w:val="auto"/>
          <w:sz w:val="28"/>
          <w:szCs w:val="24"/>
        </w:rPr>
        <w:t>：</w:t>
      </w:r>
    </w:p>
    <w:p w14:paraId="66D15194">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地址：</w:t>
      </w:r>
    </w:p>
    <w:p w14:paraId="0C3FFC12">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电话：</w:t>
      </w:r>
    </w:p>
    <w:p w14:paraId="1461A833">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传真：</w:t>
      </w:r>
    </w:p>
    <w:p w14:paraId="4E982F29">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邮政编码：</w:t>
      </w:r>
    </w:p>
    <w:p w14:paraId="6C86DD9E">
      <w:pPr>
        <w:spacing w:line="360" w:lineRule="auto"/>
        <w:ind w:firstLine="280" w:firstLineChars="100"/>
        <w:jc w:val="right"/>
        <w:rPr>
          <w:rFonts w:hint="eastAsia" w:ascii="宋体" w:hAnsi="宋体" w:eastAsia="宋体" w:cs="宋体"/>
          <w:color w:val="auto"/>
          <w:szCs w:val="24"/>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r>
        <w:rPr>
          <w:rFonts w:hint="eastAsia" w:ascii="宋体" w:hAnsi="宋体" w:eastAsia="宋体" w:cs="宋体"/>
          <w:color w:val="auto"/>
          <w:szCs w:val="24"/>
        </w:rPr>
        <w:br w:type="page"/>
      </w:r>
    </w:p>
    <w:p w14:paraId="0C2525B8">
      <w:pPr>
        <w:pStyle w:val="5"/>
        <w:jc w:val="left"/>
        <w:rPr>
          <w:rFonts w:hint="eastAsia" w:ascii="宋体" w:hAnsi="宋体" w:eastAsia="宋体" w:cs="宋体"/>
          <w:color w:val="auto"/>
          <w:szCs w:val="21"/>
        </w:rPr>
      </w:pPr>
      <w:r>
        <w:rPr>
          <w:rFonts w:hint="eastAsia" w:ascii="宋体" w:hAnsi="宋体" w:eastAsia="宋体" w:cs="宋体"/>
          <w:color w:val="auto"/>
          <w:szCs w:val="24"/>
        </w:rPr>
        <w:t>（2）</w:t>
      </w:r>
      <w:r>
        <w:rPr>
          <w:rFonts w:hint="eastAsia" w:ascii="宋体" w:hAnsi="宋体" w:eastAsia="宋体" w:cs="宋体"/>
          <w:color w:val="auto"/>
          <w:kern w:val="0"/>
          <w:szCs w:val="28"/>
        </w:rPr>
        <w:t>★</w:t>
      </w:r>
      <w:r>
        <w:rPr>
          <w:rFonts w:hint="eastAsia" w:ascii="宋体" w:hAnsi="宋体" w:eastAsia="宋体" w:cs="宋体"/>
          <w:color w:val="auto"/>
          <w:szCs w:val="24"/>
        </w:rPr>
        <w:t>已标价工程量清单</w:t>
      </w:r>
    </w:p>
    <w:p w14:paraId="0D99C1F7">
      <w:pPr>
        <w:pStyle w:val="6"/>
        <w:spacing w:before="156" w:after="156"/>
        <w:ind w:left="1260" w:hanging="420"/>
        <w:jc w:val="left"/>
        <w:rPr>
          <w:rFonts w:hint="eastAsia" w:ascii="宋体" w:hAnsi="宋体" w:eastAsia="宋体" w:cs="宋体"/>
          <w:color w:val="auto"/>
        </w:rPr>
      </w:pPr>
    </w:p>
    <w:tbl>
      <w:tblPr>
        <w:tblStyle w:val="24"/>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14:paraId="32FD0E87">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14:paraId="6152EAF7">
            <w:pPr>
              <w:pStyle w:val="6"/>
              <w:spacing w:before="156" w:after="156"/>
              <w:ind w:left="1400" w:hanging="560"/>
              <w:jc w:val="left"/>
              <w:rPr>
                <w:rFonts w:hint="eastAsia" w:ascii="宋体" w:hAnsi="宋体" w:eastAsia="宋体" w:cs="宋体"/>
                <w:i/>
                <w:color w:val="auto"/>
                <w:sz w:val="28"/>
                <w:szCs w:val="28"/>
              </w:rPr>
            </w:pPr>
          </w:p>
        </w:tc>
      </w:tr>
    </w:tbl>
    <w:p w14:paraId="37854402">
      <w:pPr>
        <w:rPr>
          <w:rFonts w:hint="eastAsia" w:ascii="宋体" w:hAnsi="宋体" w:eastAsia="宋体" w:cs="宋体"/>
          <w:b/>
          <w:bCs/>
          <w:color w:val="auto"/>
          <w:sz w:val="32"/>
          <w:szCs w:val="24"/>
        </w:rPr>
      </w:pPr>
      <w:r>
        <w:rPr>
          <w:rFonts w:hint="eastAsia" w:ascii="宋体" w:hAnsi="宋体" w:eastAsia="宋体" w:cs="宋体"/>
          <w:b/>
          <w:bCs/>
          <w:color w:val="auto"/>
          <w:sz w:val="32"/>
          <w:szCs w:val="24"/>
        </w:rPr>
        <w:br w:type="page"/>
      </w:r>
    </w:p>
    <w:p w14:paraId="551B5D4B">
      <w:pPr>
        <w:jc w:val="left"/>
        <w:rPr>
          <w:rFonts w:hint="eastAsia" w:ascii="宋体" w:hAnsi="宋体" w:eastAsia="宋体" w:cs="宋体"/>
          <w:b/>
          <w:bCs/>
          <w:color w:val="auto"/>
        </w:rPr>
      </w:pPr>
      <w:r>
        <w:rPr>
          <w:rFonts w:hint="eastAsia" w:ascii="宋体" w:hAnsi="宋体" w:eastAsia="宋体" w:cs="宋体"/>
          <w:b/>
          <w:bCs/>
          <w:color w:val="auto"/>
          <w:sz w:val="32"/>
          <w:szCs w:val="24"/>
        </w:rPr>
        <w:t>（3）供应商认为其他需要提供的资料（如有）</w:t>
      </w:r>
    </w:p>
    <w:p w14:paraId="0F929C0D">
      <w:pPr>
        <w:pStyle w:val="6"/>
        <w:spacing w:before="156" w:after="156"/>
        <w:ind w:left="1260" w:hanging="420"/>
        <w:jc w:val="left"/>
        <w:rPr>
          <w:rFonts w:hint="eastAsia" w:ascii="宋体" w:hAnsi="宋体" w:eastAsia="宋体" w:cs="宋体"/>
          <w:color w:val="auto"/>
        </w:rPr>
      </w:pPr>
    </w:p>
    <w:tbl>
      <w:tblPr>
        <w:tblStyle w:val="24"/>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14:paraId="2ED3DC0A">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14:paraId="1B9EC097">
            <w:pPr>
              <w:pStyle w:val="6"/>
              <w:spacing w:before="156" w:after="156"/>
              <w:ind w:left="1400" w:hanging="560"/>
              <w:jc w:val="left"/>
              <w:rPr>
                <w:rFonts w:hint="eastAsia" w:ascii="宋体" w:hAnsi="宋体" w:eastAsia="宋体" w:cs="宋体"/>
                <w:i/>
                <w:color w:val="auto"/>
                <w:sz w:val="28"/>
                <w:szCs w:val="28"/>
              </w:rPr>
            </w:pPr>
          </w:p>
        </w:tc>
      </w:tr>
    </w:tbl>
    <w:p w14:paraId="473AD7AA">
      <w:pPr>
        <w:pStyle w:val="6"/>
        <w:spacing w:before="156" w:after="156"/>
        <w:ind w:left="1260" w:hanging="420"/>
        <w:jc w:val="left"/>
        <w:rPr>
          <w:rFonts w:hint="eastAsia" w:ascii="宋体" w:hAnsi="宋体" w:eastAsia="宋体" w:cs="宋体"/>
          <w:color w:val="auto"/>
        </w:rPr>
      </w:pPr>
    </w:p>
    <w:p w14:paraId="389D105C">
      <w:pPr>
        <w:pStyle w:val="6"/>
        <w:spacing w:before="156" w:after="156"/>
        <w:ind w:left="1260" w:hanging="420"/>
        <w:jc w:val="left"/>
        <w:rPr>
          <w:rFonts w:hint="eastAsia" w:ascii="宋体" w:hAnsi="宋体" w:eastAsia="宋体" w:cs="宋体"/>
          <w:color w:val="auto"/>
        </w:rPr>
      </w:pPr>
    </w:p>
    <w:p w14:paraId="6236383F">
      <w:pPr>
        <w:pStyle w:val="6"/>
        <w:spacing w:before="156" w:after="156"/>
        <w:ind w:left="1260" w:hanging="420"/>
        <w:jc w:val="left"/>
        <w:rPr>
          <w:rFonts w:hint="eastAsia" w:ascii="宋体" w:hAnsi="宋体" w:eastAsia="宋体" w:cs="宋体"/>
          <w:color w:val="auto"/>
        </w:rPr>
      </w:pPr>
    </w:p>
    <w:p w14:paraId="48817633">
      <w:pPr>
        <w:pStyle w:val="3"/>
        <w:pageBreakBefore/>
        <w:jc w:val="center"/>
        <w:rPr>
          <w:rFonts w:hint="eastAsia" w:ascii="宋体" w:hAnsi="宋体" w:eastAsia="宋体" w:cs="宋体"/>
          <w:color w:val="auto"/>
        </w:rPr>
      </w:pPr>
      <w:bookmarkStart w:id="1163" w:name="_Toc4519"/>
      <w:bookmarkStart w:id="1164" w:name="_Toc81341340"/>
      <w:r>
        <w:rPr>
          <w:rFonts w:hint="eastAsia" w:ascii="宋体" w:hAnsi="宋体" w:eastAsia="宋体" w:cs="宋体"/>
          <w:color w:val="auto"/>
        </w:rPr>
        <w:t>第六章  评审办法</w:t>
      </w:r>
      <w:bookmarkEnd w:id="1163"/>
      <w:bookmarkEnd w:id="1164"/>
    </w:p>
    <w:p w14:paraId="53378DA1">
      <w:pPr>
        <w:rPr>
          <w:rFonts w:hint="eastAsia"/>
        </w:rPr>
      </w:pPr>
    </w:p>
    <w:p w14:paraId="0F9F8314">
      <w:pPr>
        <w:pStyle w:val="17"/>
        <w:rPr>
          <w:rFonts w:hint="eastAsia"/>
        </w:rPr>
      </w:pPr>
    </w:p>
    <w:p w14:paraId="5A71387A">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为公正、公平、科学地选择中标（成交）供应商，根据《政府采购竞争性磋商采购方式管理暂行办法》等有关法律法规的规定，并结合本项目的实际，制定本办法。</w:t>
      </w:r>
    </w:p>
    <w:p w14:paraId="01265475">
      <w:pPr>
        <w:spacing w:line="360" w:lineRule="auto"/>
        <w:ind w:firstLine="480" w:firstLineChars="200"/>
        <w:jc w:val="left"/>
        <w:rPr>
          <w:rFonts w:hint="eastAsia" w:ascii="宋体" w:hAnsi="宋体" w:eastAsia="宋体" w:cs="宋体"/>
          <w:color w:val="auto"/>
          <w:kern w:val="0"/>
          <w:sz w:val="22"/>
        </w:rPr>
      </w:pPr>
      <w:r>
        <w:rPr>
          <w:rFonts w:hint="eastAsia" w:ascii="宋体" w:hAnsi="宋体" w:eastAsia="宋体" w:cs="宋体"/>
          <w:color w:val="auto"/>
          <w:kern w:val="0"/>
          <w:sz w:val="24"/>
        </w:rPr>
        <w:t>本办法适用于本磋商文件规定项目的评审。</w:t>
      </w:r>
    </w:p>
    <w:p w14:paraId="4C7E2E8F">
      <w:pPr>
        <w:pStyle w:val="4"/>
        <w:ind w:firstLine="281" w:firstLineChars="100"/>
        <w:jc w:val="left"/>
        <w:rPr>
          <w:rFonts w:hint="eastAsia" w:ascii="宋体" w:hAnsi="宋体" w:eastAsia="宋体" w:cs="宋体"/>
          <w:color w:val="auto"/>
          <w:sz w:val="28"/>
          <w:szCs w:val="28"/>
        </w:rPr>
      </w:pPr>
      <w:bookmarkStart w:id="1165" w:name="_Toc520824345"/>
      <w:bookmarkStart w:id="1166" w:name="_Toc4747"/>
      <w:bookmarkStart w:id="1167" w:name="_Toc482590097"/>
      <w:bookmarkStart w:id="1168" w:name="_Toc81341341"/>
      <w:r>
        <w:rPr>
          <w:rFonts w:hint="eastAsia" w:ascii="宋体" w:hAnsi="宋体" w:eastAsia="宋体" w:cs="宋体"/>
          <w:color w:val="auto"/>
          <w:sz w:val="28"/>
          <w:szCs w:val="28"/>
        </w:rPr>
        <w:t>一、总则</w:t>
      </w:r>
      <w:bookmarkEnd w:id="1165"/>
      <w:bookmarkEnd w:id="1166"/>
      <w:bookmarkEnd w:id="1167"/>
      <w:bookmarkEnd w:id="1168"/>
    </w:p>
    <w:p w14:paraId="6A61D61F">
      <w:pPr>
        <w:autoSpaceDE w:val="0"/>
        <w:autoSpaceDN w:val="0"/>
        <w:adjustRightInd w:val="0"/>
        <w:spacing w:line="360" w:lineRule="auto"/>
        <w:ind w:firstLine="463" w:firstLineChars="192"/>
        <w:jc w:val="left"/>
        <w:rPr>
          <w:rFonts w:hint="eastAsia" w:ascii="宋体" w:hAnsi="宋体" w:eastAsia="宋体" w:cs="宋体"/>
          <w:color w:val="auto"/>
          <w:sz w:val="24"/>
        </w:rPr>
      </w:pPr>
      <w:r>
        <w:rPr>
          <w:rFonts w:hint="eastAsia" w:ascii="宋体" w:hAnsi="宋体" w:eastAsia="宋体" w:cs="宋体"/>
          <w:b/>
          <w:color w:val="auto"/>
          <w:sz w:val="24"/>
        </w:rPr>
        <w:t>本项目为工程类项目，采用综合评分法，满分100分。</w:t>
      </w:r>
      <w:r>
        <w:rPr>
          <w:rFonts w:hint="eastAsia" w:ascii="宋体" w:hAnsi="宋体" w:eastAsia="宋体" w:cs="宋体"/>
          <w:color w:val="auto"/>
          <w:sz w:val="24"/>
        </w:rPr>
        <w:t>磋商小组将对经磋商确定最终采购需求和提交最后报价的</w:t>
      </w:r>
      <w:r>
        <w:rPr>
          <w:rFonts w:hint="eastAsia" w:ascii="宋体" w:hAnsi="宋体" w:eastAsia="宋体" w:cs="宋体"/>
          <w:color w:val="auto"/>
          <w:sz w:val="24"/>
          <w:lang w:eastAsia="zh-CN"/>
        </w:rPr>
        <w:t>磋商供应商</w:t>
      </w:r>
      <w:r>
        <w:rPr>
          <w:rFonts w:hint="eastAsia" w:ascii="宋体" w:hAnsi="宋体" w:eastAsia="宋体" w:cs="宋体"/>
          <w:color w:val="auto"/>
          <w:sz w:val="24"/>
        </w:rPr>
        <w:t>，根据商务技术、最后报价情况由各成员独立记名打分。评分过程中采用四舍五入法，并保留小数2位。</w:t>
      </w:r>
    </w:p>
    <w:p w14:paraId="26CDD436">
      <w:pPr>
        <w:autoSpaceDE w:val="0"/>
        <w:autoSpaceDN w:val="0"/>
        <w:adjustRightInd w:val="0"/>
        <w:spacing w:line="360" w:lineRule="auto"/>
        <w:ind w:firstLine="463" w:firstLineChars="192"/>
        <w:jc w:val="left"/>
        <w:rPr>
          <w:rFonts w:hint="eastAsia" w:ascii="宋体" w:hAnsi="宋体" w:eastAsia="宋体" w:cs="宋体"/>
          <w:b/>
          <w:color w:val="auto"/>
          <w:sz w:val="24"/>
        </w:rPr>
      </w:pP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最终得分=商务技术分+最后报价分</w:t>
      </w:r>
    </w:p>
    <w:p w14:paraId="58C4B21A">
      <w:pPr>
        <w:pStyle w:val="4"/>
        <w:ind w:firstLine="281" w:firstLineChars="100"/>
        <w:jc w:val="left"/>
        <w:rPr>
          <w:rFonts w:hint="eastAsia" w:ascii="宋体" w:hAnsi="宋体" w:eastAsia="宋体" w:cs="宋体"/>
          <w:color w:val="auto"/>
          <w:sz w:val="28"/>
          <w:szCs w:val="28"/>
        </w:rPr>
      </w:pPr>
      <w:bookmarkStart w:id="1169" w:name="_Toc482590098"/>
      <w:bookmarkStart w:id="1170" w:name="_Toc520824346"/>
      <w:bookmarkStart w:id="1171" w:name="_Toc81341342"/>
      <w:bookmarkStart w:id="1172" w:name="_Toc9589"/>
      <w:r>
        <w:rPr>
          <w:rFonts w:hint="eastAsia" w:ascii="宋体" w:hAnsi="宋体" w:eastAsia="宋体" w:cs="宋体"/>
          <w:color w:val="auto"/>
          <w:sz w:val="28"/>
          <w:szCs w:val="28"/>
        </w:rPr>
        <w:t>二、评审程序</w:t>
      </w:r>
      <w:bookmarkEnd w:id="1169"/>
      <w:bookmarkEnd w:id="1170"/>
      <w:bookmarkEnd w:id="1171"/>
      <w:bookmarkEnd w:id="1172"/>
    </w:p>
    <w:p w14:paraId="0D428DC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2.1评审前</w:t>
      </w:r>
    </w:p>
    <w:p w14:paraId="17C0A2DB">
      <w:pPr>
        <w:spacing w:line="360" w:lineRule="auto"/>
        <w:ind w:firstLine="458" w:firstLineChars="191"/>
        <w:jc w:val="left"/>
        <w:rPr>
          <w:rFonts w:hint="eastAsia" w:ascii="宋体" w:hAnsi="宋体" w:eastAsia="宋体" w:cs="宋体"/>
          <w:color w:val="auto"/>
          <w:kern w:val="0"/>
          <w:sz w:val="24"/>
        </w:rPr>
      </w:pPr>
      <w:r>
        <w:rPr>
          <w:rFonts w:hint="eastAsia" w:ascii="宋体" w:hAnsi="宋体" w:eastAsia="宋体" w:cs="宋体"/>
          <w:color w:val="auto"/>
          <w:kern w:val="0"/>
          <w:sz w:val="24"/>
        </w:rPr>
        <w:t>组织磋商小组签到、核对评委身份，推选磋商小组组长，由组长召集成员阅读磋商文件及相关补充、质疑、答复文件、项目书面说明等材料，了解采购项目基本情况、磋商有关事项等。</w:t>
      </w:r>
    </w:p>
    <w:p w14:paraId="069327D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2.2磋商响应文件的资格、符合性审查</w:t>
      </w:r>
    </w:p>
    <w:p w14:paraId="13A10ABA">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bCs/>
          <w:color w:val="auto"/>
          <w:sz w:val="24"/>
        </w:rPr>
        <w:t>2.2.1</w:t>
      </w:r>
      <w:r>
        <w:rPr>
          <w:rFonts w:hint="eastAsia" w:ascii="宋体" w:hAnsi="宋体" w:eastAsia="宋体" w:cs="宋体"/>
          <w:bCs/>
          <w:color w:val="auto"/>
          <w:kern w:val="0"/>
          <w:sz w:val="24"/>
        </w:rPr>
        <w:t>开标（标书信息开启）后，磋商小组首先依法对</w:t>
      </w:r>
      <w:r>
        <w:rPr>
          <w:rFonts w:hint="eastAsia" w:ascii="宋体" w:hAnsi="宋体" w:eastAsia="宋体" w:cs="宋体"/>
          <w:bCs/>
          <w:color w:val="auto"/>
          <w:kern w:val="0"/>
          <w:sz w:val="24"/>
          <w:lang w:eastAsia="zh-CN"/>
        </w:rPr>
        <w:t>磋商供应商</w:t>
      </w:r>
      <w:r>
        <w:rPr>
          <w:rFonts w:hint="eastAsia" w:ascii="宋体" w:hAnsi="宋体" w:eastAsia="宋体" w:cs="宋体"/>
          <w:bCs/>
          <w:color w:val="auto"/>
          <w:kern w:val="0"/>
          <w:sz w:val="24"/>
        </w:rPr>
        <w:t>的资格文件进行审查，审查各</w:t>
      </w:r>
      <w:r>
        <w:rPr>
          <w:rFonts w:hint="eastAsia" w:ascii="宋体" w:hAnsi="宋体" w:eastAsia="宋体" w:cs="宋体"/>
          <w:bCs/>
          <w:color w:val="auto"/>
          <w:kern w:val="0"/>
          <w:sz w:val="24"/>
          <w:lang w:eastAsia="zh-CN"/>
        </w:rPr>
        <w:t>磋商供应商</w:t>
      </w:r>
      <w:r>
        <w:rPr>
          <w:rFonts w:hint="eastAsia" w:ascii="宋体" w:hAnsi="宋体" w:eastAsia="宋体" w:cs="宋体"/>
          <w:bCs/>
          <w:color w:val="auto"/>
          <w:kern w:val="0"/>
          <w:sz w:val="24"/>
        </w:rPr>
        <w:t>的资格符合情况。</w:t>
      </w:r>
      <w:r>
        <w:rPr>
          <w:rFonts w:hint="eastAsia" w:ascii="宋体" w:hAnsi="宋体" w:eastAsia="宋体" w:cs="宋体"/>
          <w:color w:val="auto"/>
          <w:sz w:val="24"/>
        </w:rPr>
        <w:t>磋商小组对</w:t>
      </w:r>
      <w:r>
        <w:rPr>
          <w:rFonts w:hint="eastAsia" w:ascii="宋体" w:hAnsi="宋体" w:eastAsia="宋体" w:cs="宋体"/>
          <w:color w:val="auto"/>
          <w:sz w:val="24"/>
          <w:lang w:eastAsia="zh-CN"/>
        </w:rPr>
        <w:t>磋商供应商</w:t>
      </w:r>
      <w:r>
        <w:rPr>
          <w:rFonts w:hint="eastAsia" w:ascii="宋体" w:hAnsi="宋体" w:eastAsia="宋体" w:cs="宋体"/>
          <w:color w:val="auto"/>
          <w:sz w:val="24"/>
        </w:rPr>
        <w:t>所递交的资格证明材料仅负审核的责任。如发现</w:t>
      </w:r>
      <w:r>
        <w:rPr>
          <w:rFonts w:hint="eastAsia" w:ascii="宋体" w:hAnsi="宋体" w:eastAsia="宋体" w:cs="宋体"/>
          <w:color w:val="auto"/>
          <w:sz w:val="24"/>
          <w:lang w:eastAsia="zh-CN"/>
        </w:rPr>
        <w:t>磋商供应商</w:t>
      </w:r>
      <w:r>
        <w:rPr>
          <w:rFonts w:hint="eastAsia" w:ascii="宋体" w:hAnsi="宋体" w:eastAsia="宋体" w:cs="宋体"/>
          <w:color w:val="auto"/>
          <w:sz w:val="24"/>
        </w:rPr>
        <w:t>所递交的资格证明材料不合法或与事实不符，采购人可取消其成交资格并追究</w:t>
      </w:r>
      <w:r>
        <w:rPr>
          <w:rFonts w:hint="eastAsia" w:ascii="宋体" w:hAnsi="宋体" w:eastAsia="宋体" w:cs="宋体"/>
          <w:color w:val="auto"/>
          <w:sz w:val="24"/>
          <w:lang w:eastAsia="zh-CN"/>
        </w:rPr>
        <w:t>磋商供应商</w:t>
      </w:r>
      <w:r>
        <w:rPr>
          <w:rFonts w:hint="eastAsia" w:ascii="宋体" w:hAnsi="宋体" w:eastAsia="宋体" w:cs="宋体"/>
          <w:color w:val="auto"/>
          <w:sz w:val="24"/>
        </w:rPr>
        <w:t>的法律责任。</w:t>
      </w:r>
    </w:p>
    <w:p w14:paraId="0F032C93">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递交的资格证明材料无法证明其符合竞争性磋商文件规定的“</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资格要求”的，磋商小组将对其作“资格审查不合格”处理（无效投标），并不再进行后续评审。</w:t>
      </w:r>
    </w:p>
    <w:p w14:paraId="677D0CCD">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kern w:val="0"/>
          <w:sz w:val="24"/>
        </w:rPr>
        <w:t>（2）供应商</w:t>
      </w:r>
      <w:r>
        <w:rPr>
          <w:rFonts w:hint="eastAsia" w:ascii="宋体" w:hAnsi="宋体" w:eastAsia="宋体" w:cs="宋体"/>
          <w:b/>
          <w:color w:val="auto"/>
          <w:sz w:val="24"/>
        </w:rPr>
        <w:t>信用记录查询与使用：</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2C2A436F">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kern w:val="0"/>
          <w:sz w:val="24"/>
        </w:rPr>
        <w:t>（3）资格审查合格的</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不足三家的，项目不再进行评审。除采购任务取消情形外，采购人可选择以下方式之一处理：</w:t>
      </w:r>
    </w:p>
    <w:p w14:paraId="17926FEB">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1）将本标项作废标处理，重新组织采购；</w:t>
      </w:r>
    </w:p>
    <w:p w14:paraId="1E2E0E8D">
      <w:pPr>
        <w:spacing w:line="360" w:lineRule="auto"/>
        <w:ind w:firstLine="424" w:firstLineChars="177"/>
        <w:jc w:val="left"/>
        <w:rPr>
          <w:rFonts w:hint="eastAsia" w:ascii="宋体" w:hAnsi="宋体" w:eastAsia="宋体" w:cs="宋体"/>
          <w:color w:val="auto"/>
        </w:rPr>
      </w:pPr>
      <w:r>
        <w:rPr>
          <w:rFonts w:hint="eastAsia" w:ascii="宋体" w:hAnsi="宋体" w:eastAsia="宋体" w:cs="宋体"/>
          <w:color w:val="auto"/>
          <w:kern w:val="0"/>
          <w:sz w:val="24"/>
        </w:rPr>
        <w:t>2）按同级政府采购监督管理部门的审批意见采用其他采购方式组织采购。</w:t>
      </w:r>
    </w:p>
    <w:p w14:paraId="13800A0C">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sz w:val="24"/>
        </w:rPr>
        <w:t>2.2.2对符合资格的</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的磋商响应文件进行符合性审查，以确定其是否满足采购文件的实质性要求。</w:t>
      </w:r>
    </w:p>
    <w:p w14:paraId="35E7F309">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2.2.3《商务技术文件》存在下列情形之一的，经磋商小组认定后作无效标处理：</w:t>
      </w:r>
    </w:p>
    <w:p w14:paraId="12F05F5A">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rPr>
        <w:t>磋商响应文件没有对本采购文件作出实质性响应的，或不满足（不响应）本磋商文件中标注★的实质性要求条款的</w:t>
      </w:r>
      <w:r>
        <w:rPr>
          <w:rFonts w:hint="eastAsia" w:ascii="宋体" w:hAnsi="宋体" w:eastAsia="宋体" w:cs="宋体"/>
          <w:b/>
          <w:color w:val="auto"/>
          <w:w w:val="90"/>
          <w:kern w:val="0"/>
          <w:sz w:val="24"/>
        </w:rPr>
        <w:t>；</w:t>
      </w:r>
    </w:p>
    <w:p w14:paraId="5B47475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eastAsia="宋体" w:cs="宋体"/>
          <w:b/>
          <w:color w:val="auto"/>
          <w:kern w:val="0"/>
          <w:sz w:val="24"/>
          <w:u w:val="single"/>
        </w:rPr>
        <w:t>磋商响应文件存在一个或一个以上备选（替代）方案的</w:t>
      </w:r>
      <w:r>
        <w:rPr>
          <w:rFonts w:hint="eastAsia" w:ascii="宋体" w:hAnsi="宋体" w:eastAsia="宋体" w:cs="宋体"/>
          <w:b/>
          <w:color w:val="auto"/>
          <w:kern w:val="0"/>
          <w:sz w:val="24"/>
        </w:rPr>
        <w:t>；</w:t>
      </w:r>
    </w:p>
    <w:p w14:paraId="43D90E40">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eastAsia="宋体" w:cs="宋体"/>
          <w:b/>
          <w:color w:val="auto"/>
          <w:sz w:val="24"/>
          <w:u w:val="single"/>
        </w:rPr>
        <w:t>仅提交“备份磋商响应文件”的</w:t>
      </w:r>
      <w:r>
        <w:rPr>
          <w:rFonts w:hint="eastAsia" w:ascii="宋体" w:hAnsi="宋体" w:eastAsia="宋体" w:cs="宋体"/>
          <w:b/>
          <w:color w:val="auto"/>
          <w:kern w:val="0"/>
          <w:sz w:val="24"/>
        </w:rPr>
        <w:t>；</w:t>
      </w:r>
    </w:p>
    <w:p w14:paraId="5EE60DA1">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w:t>
      </w:r>
      <w:r>
        <w:rPr>
          <w:rFonts w:hint="eastAsia" w:ascii="宋体" w:hAnsi="宋体" w:eastAsia="宋体" w:cs="宋体"/>
          <w:b/>
          <w:color w:val="auto"/>
          <w:kern w:val="0"/>
          <w:sz w:val="24"/>
          <w:u w:val="single"/>
        </w:rPr>
        <w:t>磋商响应文件未按本磋商文件《第二章磋商须知及前附表》或《第五章磋商响应文件格式》标注的要求进行盖章或签署的</w:t>
      </w:r>
      <w:r>
        <w:rPr>
          <w:rFonts w:hint="eastAsia" w:ascii="宋体" w:hAnsi="宋体" w:eastAsia="宋体" w:cs="宋体"/>
          <w:b/>
          <w:color w:val="auto"/>
          <w:kern w:val="0"/>
          <w:sz w:val="24"/>
        </w:rPr>
        <w:t>；</w:t>
      </w:r>
    </w:p>
    <w:p w14:paraId="61CE686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（5）</w:t>
      </w:r>
      <w:r>
        <w:rPr>
          <w:rFonts w:hint="eastAsia" w:ascii="宋体" w:hAnsi="宋体" w:eastAsia="宋体" w:cs="宋体"/>
          <w:b/>
          <w:color w:val="auto"/>
          <w:kern w:val="0"/>
          <w:sz w:val="24"/>
          <w:u w:val="single"/>
        </w:rPr>
        <w:t>磋商响应文件组成内容不齐全，本磋商文件规定必须提供而未提供的（属于资格审查范围的除外）</w:t>
      </w:r>
      <w:r>
        <w:rPr>
          <w:rFonts w:hint="eastAsia" w:ascii="宋体" w:hAnsi="宋体" w:eastAsia="宋体" w:cs="宋体"/>
          <w:b/>
          <w:color w:val="auto"/>
          <w:kern w:val="0"/>
          <w:sz w:val="24"/>
        </w:rPr>
        <w:t>；</w:t>
      </w:r>
    </w:p>
    <w:p w14:paraId="161150BF">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（6）</w:t>
      </w:r>
      <w:r>
        <w:rPr>
          <w:rFonts w:hint="eastAsia" w:ascii="宋体" w:hAnsi="宋体" w:eastAsia="宋体" w:cs="宋体"/>
          <w:b/>
          <w:color w:val="auto"/>
          <w:kern w:val="0"/>
          <w:sz w:val="24"/>
          <w:u w:val="single"/>
        </w:rPr>
        <w:t>磋商响应文件标注的响应或偏离情况与事实不符，或提供了虚假材料的</w:t>
      </w:r>
      <w:r>
        <w:rPr>
          <w:rFonts w:hint="eastAsia" w:ascii="宋体" w:hAnsi="宋体" w:eastAsia="宋体" w:cs="宋体"/>
          <w:b/>
          <w:color w:val="auto"/>
          <w:kern w:val="0"/>
          <w:sz w:val="24"/>
        </w:rPr>
        <w:t>；</w:t>
      </w:r>
    </w:p>
    <w:p w14:paraId="4104D6E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（7）</w:t>
      </w:r>
      <w:r>
        <w:rPr>
          <w:rFonts w:hint="eastAsia" w:ascii="宋体" w:hAnsi="宋体" w:eastAsia="宋体" w:cs="宋体"/>
          <w:b/>
          <w:color w:val="auto"/>
          <w:kern w:val="0"/>
          <w:sz w:val="24"/>
          <w:u w:val="single"/>
        </w:rPr>
        <w:t>磋商响应文件有效期不符合本磋商文件要求的</w:t>
      </w:r>
      <w:r>
        <w:rPr>
          <w:rFonts w:hint="eastAsia" w:ascii="宋体" w:hAnsi="宋体" w:eastAsia="宋体" w:cs="宋体"/>
          <w:b/>
          <w:color w:val="auto"/>
          <w:kern w:val="0"/>
          <w:sz w:val="24"/>
        </w:rPr>
        <w:t>；</w:t>
      </w:r>
    </w:p>
    <w:p w14:paraId="2797F99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（8）</w:t>
      </w:r>
      <w:r>
        <w:rPr>
          <w:rFonts w:hint="eastAsia" w:ascii="宋体" w:hAnsi="宋体" w:eastAsia="宋体" w:cs="宋体"/>
          <w:b/>
          <w:color w:val="auto"/>
          <w:kern w:val="0"/>
          <w:sz w:val="24"/>
          <w:u w:val="single"/>
        </w:rPr>
        <w:t>磋商响应文件含有采购人不能接受的附加条件的</w:t>
      </w:r>
      <w:r>
        <w:rPr>
          <w:rFonts w:hint="eastAsia" w:ascii="宋体" w:hAnsi="宋体" w:eastAsia="宋体" w:cs="宋体"/>
          <w:b/>
          <w:color w:val="auto"/>
          <w:kern w:val="0"/>
          <w:sz w:val="24"/>
        </w:rPr>
        <w:t>；</w:t>
      </w:r>
    </w:p>
    <w:p w14:paraId="77757F31">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（9）</w:t>
      </w:r>
      <w:r>
        <w:rPr>
          <w:rFonts w:hint="eastAsia" w:ascii="宋体" w:hAnsi="宋体" w:eastAsia="宋体" w:cs="宋体"/>
          <w:b/>
          <w:color w:val="auto"/>
          <w:kern w:val="0"/>
          <w:sz w:val="24"/>
          <w:u w:val="single"/>
        </w:rPr>
        <w:t>参加同一合同项下政府采购活动的不同供应商之间存在利害关系并且存在影响政府采购公平竞争行为的</w:t>
      </w:r>
      <w:r>
        <w:rPr>
          <w:rFonts w:hint="eastAsia" w:ascii="宋体" w:hAnsi="宋体" w:eastAsia="宋体" w:cs="宋体"/>
          <w:b/>
          <w:color w:val="auto"/>
          <w:kern w:val="0"/>
          <w:sz w:val="24"/>
        </w:rPr>
        <w:t>；</w:t>
      </w:r>
    </w:p>
    <w:p w14:paraId="53107368">
      <w:pPr>
        <w:spacing w:line="360" w:lineRule="auto"/>
        <w:ind w:firstLine="426" w:firstLineChars="177"/>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（10）存在法律、法规和采购文件规定的其他无效情形的。</w:t>
      </w:r>
    </w:p>
    <w:p w14:paraId="6F6F339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2.2.4《磋商响应文件》存在下列情形之一的，经磋商小组认定后作无效标处理：</w:t>
      </w:r>
    </w:p>
    <w:p w14:paraId="2EB420E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rPr>
        <w:t>磋商响应文件没有对本采购文件作出实质性响应的，或不满足（不响应）本采购文件中标注★的实质性要求条款的</w:t>
      </w:r>
      <w:r>
        <w:rPr>
          <w:rFonts w:hint="eastAsia" w:ascii="宋体" w:hAnsi="宋体" w:eastAsia="宋体" w:cs="宋体"/>
          <w:b/>
          <w:color w:val="auto"/>
          <w:w w:val="90"/>
          <w:kern w:val="0"/>
          <w:sz w:val="24"/>
        </w:rPr>
        <w:t>；</w:t>
      </w:r>
    </w:p>
    <w:p w14:paraId="2382806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eastAsia="宋体" w:cs="宋体"/>
          <w:b/>
          <w:color w:val="auto"/>
          <w:kern w:val="0"/>
          <w:sz w:val="24"/>
          <w:u w:val="single"/>
        </w:rPr>
        <w:t>磋商响应文件存在一个或一个以上备选（替代）投标方案的</w:t>
      </w:r>
      <w:r>
        <w:rPr>
          <w:rFonts w:hint="eastAsia" w:ascii="宋体" w:hAnsi="宋体" w:eastAsia="宋体" w:cs="宋体"/>
          <w:b/>
          <w:color w:val="auto"/>
          <w:kern w:val="0"/>
          <w:sz w:val="24"/>
        </w:rPr>
        <w:t>；</w:t>
      </w:r>
    </w:p>
    <w:p w14:paraId="4EEE95CA">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eastAsia="宋体" w:cs="宋体"/>
          <w:b/>
          <w:color w:val="auto"/>
          <w:kern w:val="0"/>
          <w:sz w:val="24"/>
          <w:u w:val="single"/>
        </w:rPr>
        <w:t>未按照磋商文件标明的币种报价的，或者磋商报价涵盖的内容不符合磋商文件要求的</w:t>
      </w:r>
      <w:r>
        <w:rPr>
          <w:rFonts w:hint="eastAsia" w:ascii="宋体" w:hAnsi="宋体" w:eastAsia="宋体" w:cs="宋体"/>
          <w:b/>
          <w:color w:val="auto"/>
          <w:kern w:val="0"/>
          <w:sz w:val="24"/>
        </w:rPr>
        <w:t>；</w:t>
      </w:r>
    </w:p>
    <w:p w14:paraId="2788EEA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w:t>
      </w:r>
      <w:r>
        <w:rPr>
          <w:rFonts w:hint="eastAsia" w:ascii="宋体" w:hAnsi="宋体" w:eastAsia="宋体" w:cs="宋体"/>
          <w:b/>
          <w:color w:val="auto"/>
          <w:kern w:val="0"/>
          <w:sz w:val="24"/>
          <w:u w:val="single"/>
        </w:rPr>
        <w:t>报价出现前后不一致时拒绝按照磋商文件规定的错误修正原则进行修正的</w:t>
      </w:r>
      <w:r>
        <w:rPr>
          <w:rFonts w:hint="eastAsia" w:ascii="宋体" w:hAnsi="宋体" w:eastAsia="宋体" w:cs="宋体"/>
          <w:b/>
          <w:color w:val="auto"/>
          <w:kern w:val="0"/>
          <w:sz w:val="24"/>
        </w:rPr>
        <w:t>；</w:t>
      </w:r>
    </w:p>
    <w:p w14:paraId="180FF8A3">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（5）</w:t>
      </w:r>
      <w:r>
        <w:rPr>
          <w:rFonts w:hint="eastAsia" w:ascii="宋体" w:hAnsi="宋体" w:eastAsia="宋体" w:cs="宋体"/>
          <w:b/>
          <w:color w:val="auto"/>
          <w:kern w:val="0"/>
          <w:sz w:val="24"/>
          <w:u w:val="single"/>
        </w:rPr>
        <w:t>磋商报价具有选择性的</w:t>
      </w:r>
      <w:r>
        <w:rPr>
          <w:rFonts w:hint="eastAsia" w:ascii="宋体" w:hAnsi="宋体" w:eastAsia="宋体" w:cs="宋体"/>
          <w:b/>
          <w:color w:val="auto"/>
          <w:kern w:val="0"/>
          <w:sz w:val="24"/>
        </w:rPr>
        <w:t>；</w:t>
      </w:r>
    </w:p>
    <w:p w14:paraId="6A2B9BBD">
      <w:pPr>
        <w:spacing w:line="360" w:lineRule="auto"/>
        <w:ind w:firstLine="424" w:firstLineChars="176"/>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（6）</w:t>
      </w:r>
      <w:r>
        <w:rPr>
          <w:rFonts w:hint="eastAsia" w:ascii="宋体" w:hAnsi="宋体" w:eastAsia="宋体" w:cs="宋体"/>
          <w:b/>
          <w:color w:val="auto"/>
          <w:kern w:val="0"/>
          <w:sz w:val="24"/>
          <w:u w:val="single"/>
        </w:rPr>
        <w:t>报价超过磋商文件中规定的预算金额或者最高限价的；</w:t>
      </w:r>
    </w:p>
    <w:p w14:paraId="15CA98D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（7）</w:t>
      </w:r>
      <w:r>
        <w:rPr>
          <w:rFonts w:hint="eastAsia" w:ascii="宋体" w:hAnsi="宋体" w:eastAsia="宋体" w:cs="宋体"/>
          <w:b/>
          <w:color w:val="auto"/>
          <w:kern w:val="0"/>
          <w:sz w:val="24"/>
          <w:u w:val="single"/>
        </w:rPr>
        <w:t>磋商响应文件未按本磋商文件《第二章磋商须知及前附表》或《第五章磋商响应文件格式》标注的要求进行盖章或签署的</w:t>
      </w:r>
      <w:r>
        <w:rPr>
          <w:rFonts w:hint="eastAsia" w:ascii="宋体" w:hAnsi="宋体" w:eastAsia="宋体" w:cs="宋体"/>
          <w:b/>
          <w:color w:val="auto"/>
          <w:kern w:val="0"/>
          <w:sz w:val="24"/>
        </w:rPr>
        <w:t>；</w:t>
      </w:r>
    </w:p>
    <w:p w14:paraId="343C755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（8）</w:t>
      </w:r>
      <w:r>
        <w:rPr>
          <w:rFonts w:hint="eastAsia" w:ascii="宋体" w:hAnsi="宋体" w:eastAsia="宋体" w:cs="宋体"/>
          <w:b/>
          <w:color w:val="auto"/>
          <w:kern w:val="0"/>
          <w:sz w:val="24"/>
          <w:u w:val="single"/>
        </w:rPr>
        <w:t>磋商响应文件组成内容不齐全，本磋商文件规定必须提供而未提供的（属于资格审查范围的除外）</w:t>
      </w:r>
      <w:r>
        <w:rPr>
          <w:rFonts w:hint="eastAsia" w:ascii="宋体" w:hAnsi="宋体" w:eastAsia="宋体" w:cs="宋体"/>
          <w:b/>
          <w:color w:val="auto"/>
          <w:kern w:val="0"/>
          <w:sz w:val="24"/>
        </w:rPr>
        <w:t>；</w:t>
      </w:r>
    </w:p>
    <w:p w14:paraId="6C7F766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sz w:val="24"/>
        </w:rPr>
        <w:t>（9）</w:t>
      </w:r>
      <w:r>
        <w:rPr>
          <w:rFonts w:hint="eastAsia" w:ascii="宋体" w:hAnsi="宋体" w:eastAsia="宋体" w:cs="宋体"/>
          <w:b/>
          <w:color w:val="auto"/>
          <w:sz w:val="24"/>
          <w:u w:val="single"/>
        </w:rPr>
        <w:t>磋商小组认为</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的报价明显低于其他通过符合性审查的</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的报价有可能影响产品质量或者不能诚信履约时，</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不能在规定的时间证明其报价合理性的；</w:t>
      </w:r>
    </w:p>
    <w:p w14:paraId="7819BEE7">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（10）</w:t>
      </w:r>
      <w:r>
        <w:rPr>
          <w:rFonts w:hint="eastAsia" w:ascii="宋体" w:hAnsi="宋体" w:eastAsia="宋体" w:cs="宋体"/>
          <w:b/>
          <w:color w:val="auto"/>
          <w:kern w:val="0"/>
          <w:sz w:val="24"/>
          <w:u w:val="single"/>
        </w:rPr>
        <w:t>磋商响应文件含有采购人不能接受的附加条件的</w:t>
      </w:r>
      <w:r>
        <w:rPr>
          <w:rFonts w:hint="eastAsia" w:ascii="宋体" w:hAnsi="宋体" w:eastAsia="宋体" w:cs="宋体"/>
          <w:b/>
          <w:color w:val="auto"/>
          <w:kern w:val="0"/>
          <w:sz w:val="24"/>
        </w:rPr>
        <w:t>；</w:t>
      </w:r>
    </w:p>
    <w:p w14:paraId="77E330C2">
      <w:pPr>
        <w:spacing w:line="360" w:lineRule="auto"/>
        <w:ind w:firstLine="426" w:firstLineChars="177"/>
        <w:jc w:val="left"/>
        <w:rPr>
          <w:rFonts w:hint="eastAsia" w:ascii="宋体" w:hAnsi="宋体" w:eastAsia="宋体" w:cs="宋体"/>
          <w:color w:val="auto"/>
          <w:w w:val="90"/>
          <w:kern w:val="0"/>
          <w:sz w:val="22"/>
        </w:rPr>
      </w:pPr>
      <w:r>
        <w:rPr>
          <w:rFonts w:hint="eastAsia" w:ascii="宋体" w:hAnsi="宋体" w:eastAsia="宋体" w:cs="宋体"/>
          <w:b/>
          <w:color w:val="auto"/>
          <w:kern w:val="0"/>
          <w:sz w:val="24"/>
        </w:rPr>
        <w:t>（11）</w:t>
      </w:r>
      <w:r>
        <w:rPr>
          <w:rFonts w:hint="eastAsia" w:ascii="宋体" w:hAnsi="宋体" w:eastAsia="宋体" w:cs="宋体"/>
          <w:b/>
          <w:color w:val="auto"/>
          <w:kern w:val="0"/>
          <w:sz w:val="24"/>
          <w:u w:val="single"/>
        </w:rPr>
        <w:t>存在法律、法规和磋商文件规定的其他无效情形的。</w:t>
      </w:r>
    </w:p>
    <w:p w14:paraId="2C39DA0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2.3 磋商响应文件的磋商、澄清、说明或补正</w:t>
      </w:r>
    </w:p>
    <w:p w14:paraId="6738A3CC">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2.3.1对于磋商响应文件中含义不明确、同类问题表述不一致或者有明显文字和计算错误的内容，</w:t>
      </w:r>
      <w:r>
        <w:rPr>
          <w:rFonts w:hint="eastAsia" w:ascii="宋体" w:hAnsi="宋体" w:eastAsia="宋体" w:cs="宋体"/>
          <w:b/>
          <w:color w:val="auto"/>
          <w:kern w:val="0"/>
          <w:sz w:val="24"/>
        </w:rPr>
        <w:t>磋商小组将通过“山西省政府采购网”在线询标的方式</w:t>
      </w:r>
      <w:r>
        <w:rPr>
          <w:rFonts w:hint="eastAsia" w:ascii="宋体" w:hAnsi="宋体" w:eastAsia="宋体" w:cs="宋体"/>
          <w:color w:val="auto"/>
          <w:kern w:val="0"/>
          <w:sz w:val="24"/>
        </w:rPr>
        <w:t>要求</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在规定的时间内作出必要的澄清、说明或者补正，</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澄清、说明或补正时间为30分钟。</w:t>
      </w:r>
    </w:p>
    <w:p w14:paraId="63F683D9">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2.3.2</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的澄清、说明或者补正应当通过“山西省政府采购网”在线答复的方式提交，并加盖公章，或者由法定代表人或其授权的代表签字。</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的澄清、说明或者补正不得超出磋商响应文件的范围或者改变磋商响应文件的实质性内容。</w:t>
      </w:r>
    </w:p>
    <w:p w14:paraId="1BD44042">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2.3.3评审过程中如有商务技术、报价磋商的，磋商小组所有成员汇总所有变动情况及要求通过“山西省政府采购网”在线询标的方式与每个供应商分别进行磋商（给予所有参加磋商的供应商平等的磋商机会），要求</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在规定的时间内重新提交响应文件（须加盖公章，或者由法定代表人或其授权的代表签字），</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响应回复时间为30分钟。</w:t>
      </w:r>
    </w:p>
    <w:p w14:paraId="6F82C264">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2.3.4在磋商过程中，</w:t>
      </w:r>
      <w:r>
        <w:rPr>
          <w:rFonts w:hint="eastAsia" w:ascii="宋体" w:hAnsi="宋体" w:eastAsia="宋体" w:cs="宋体"/>
          <w:b/>
          <w:bCs/>
          <w:color w:val="auto"/>
          <w:kern w:val="0"/>
          <w:sz w:val="24"/>
        </w:rPr>
        <w:t>磋商小组可以根据磋商文件和磋商情况实质性变动采购需求中的技术、服务要求以及合同草案条款</w:t>
      </w:r>
      <w:r>
        <w:rPr>
          <w:rFonts w:hint="eastAsia" w:ascii="宋体" w:hAnsi="宋体" w:eastAsia="宋体" w:cs="宋体"/>
          <w:color w:val="auto"/>
          <w:kern w:val="0"/>
          <w:sz w:val="24"/>
        </w:rPr>
        <w:t>，但不得变动磋商文件中的其他内容。实质性变动的内容，须经采购人代表确认。</w:t>
      </w:r>
    </w:p>
    <w:p w14:paraId="03DAE347">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2.3.5对磋商文件作出的实质性变动是磋商文件的有效组成部分，磋商小组通过“山西省政府采购网”在线询标的方式同时通知所有参加磋商的供应商。</w:t>
      </w:r>
    </w:p>
    <w:p w14:paraId="1C7B0158">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2.3.6按磋商程序规定开始并完成磋商。</w:t>
      </w:r>
    </w:p>
    <w:p w14:paraId="2D5BCD59">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2.3.7所有磋商结束后，确定提交最后报价的供应商名单，确定提交最后报价的时间，并告知相关供应商，要求在规定时间内（30分钟内）通过“山西省政府采购网”在线上传最后报价（须加盖公章，或者由法定代表人或其授权的代表签字）。</w:t>
      </w:r>
    </w:p>
    <w:p w14:paraId="5A446C2D">
      <w:pPr>
        <w:spacing w:line="360" w:lineRule="auto"/>
        <w:ind w:firstLine="426" w:firstLineChars="177"/>
        <w:jc w:val="left"/>
        <w:rPr>
          <w:rFonts w:hint="eastAsia" w:ascii="宋体" w:hAnsi="宋体" w:eastAsia="宋体" w:cs="宋体"/>
          <w:color w:val="auto"/>
        </w:rPr>
      </w:pPr>
      <w:r>
        <w:rPr>
          <w:rFonts w:hint="eastAsia" w:ascii="宋体" w:hAnsi="宋体" w:eastAsia="宋体" w:cs="宋体"/>
          <w:b/>
          <w:color w:val="auto"/>
          <w:kern w:val="0"/>
          <w:sz w:val="24"/>
        </w:rPr>
        <w:t>2.3.</w:t>
      </w:r>
      <w:r>
        <w:rPr>
          <w:rFonts w:hint="eastAsia" w:ascii="宋体" w:hAnsi="宋体" w:cs="宋体"/>
          <w:b/>
          <w:color w:val="auto"/>
          <w:kern w:val="0"/>
          <w:sz w:val="24"/>
          <w:lang w:val="en-US" w:eastAsia="zh-CN"/>
        </w:rPr>
        <w:t>8</w:t>
      </w:r>
      <w:r>
        <w:rPr>
          <w:rFonts w:hint="eastAsia" w:ascii="宋体" w:hAnsi="宋体" w:eastAsia="宋体" w:cs="宋体"/>
          <w:b/>
          <w:color w:val="auto"/>
          <w:kern w:val="0"/>
          <w:sz w:val="24"/>
        </w:rPr>
        <w:t>上述询标、澄清、说明和补正工作如因客观原因无法通过“山西省政府采购网”在线进行的，将采用书面（含邮件）形式进行。</w:t>
      </w:r>
    </w:p>
    <w:p w14:paraId="5FFD1C2C">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2.4 磋商响应文件的错误修正</w:t>
      </w:r>
    </w:p>
    <w:p w14:paraId="538F60ED">
      <w:pPr>
        <w:spacing w:line="360" w:lineRule="auto"/>
        <w:ind w:firstLine="422" w:firstLineChars="175"/>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2.4.1《磋商响应文件》报价出现前后不一致的，按照下列规定修正：</w:t>
      </w:r>
    </w:p>
    <w:p w14:paraId="2ABFEFB3">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（1）《磋商响应文件》中响应函与磋商响应文件中相应内容不一致的，以响应函为准</w:t>
      </w:r>
      <w:r>
        <w:rPr>
          <w:rFonts w:hint="eastAsia" w:ascii="宋体" w:hAnsi="宋体" w:eastAsia="宋体" w:cs="宋体"/>
          <w:color w:val="auto"/>
          <w:kern w:val="0"/>
          <w:sz w:val="24"/>
        </w:rPr>
        <w:t>。</w:t>
      </w:r>
    </w:p>
    <w:p w14:paraId="1F269141">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（2）大写金额和小写金额不一致的，以大写金额为准；</w:t>
      </w:r>
    </w:p>
    <w:p w14:paraId="646FCD61">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（3）单价金额小数点或者百分比有明显错位的，应以响应函的总价为准，并修改单价；</w:t>
      </w:r>
    </w:p>
    <w:p w14:paraId="31060D6A">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（4）总价金额与按单价汇总金额不一致的，以单价金额计算结果为准。</w:t>
      </w:r>
    </w:p>
    <w:p w14:paraId="3BA63EA1">
      <w:pPr>
        <w:spacing w:line="360" w:lineRule="auto"/>
        <w:ind w:firstLine="422" w:firstLineChars="175"/>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备注：同时出现两种以上不一致的，按照前款规定的顺序修正。修正后的报价按本章节第2.3.2款的规定经</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确认后产生约束力，</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不确认的，其磋商响应无效。</w:t>
      </w:r>
    </w:p>
    <w:p w14:paraId="2DEBD388">
      <w:pPr>
        <w:spacing w:line="360" w:lineRule="auto"/>
        <w:ind w:firstLine="422" w:firstLineChars="175"/>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2.4.2对不同文字文本《磋商响应文件》的解释发生异议的，以中文文本为准。</w:t>
      </w:r>
    </w:p>
    <w:p w14:paraId="12AA88D9">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2.5 磋商响应文件的评价、评分</w:t>
      </w:r>
    </w:p>
    <w:p w14:paraId="4859CB16">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2.5.1磋商小组应当按照</w:t>
      </w:r>
      <w:r>
        <w:rPr>
          <w:rFonts w:hint="eastAsia" w:ascii="宋体" w:hAnsi="宋体" w:eastAsia="宋体" w:cs="宋体"/>
          <w:color w:val="auto"/>
          <w:kern w:val="0"/>
          <w:sz w:val="24"/>
          <w:lang w:eastAsia="zh-CN"/>
        </w:rPr>
        <w:t>磋商文件</w:t>
      </w:r>
      <w:r>
        <w:rPr>
          <w:rFonts w:hint="eastAsia" w:ascii="宋体" w:hAnsi="宋体" w:eastAsia="宋体" w:cs="宋体"/>
          <w:color w:val="auto"/>
          <w:kern w:val="0"/>
          <w:sz w:val="24"/>
        </w:rPr>
        <w:t>中规定的评审方法和标准，对资格、符合性审查合格的磋商响应文件进行商务和技术评价与评分。评标时，磋商小组各成员将独立对每个</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的磋商响应文件进行评价，并汇总每个</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的得分。</w:t>
      </w:r>
    </w:p>
    <w:p w14:paraId="2340C2FE">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2.5.2对采购组织机构工作人员汇总的评审结果进行确认。如发现分值汇总计算错误、分项评分超出评分标准范围、客观评分不一致以及存在畸高、畸低情形的，磋商小组组长应提醒相关评审人员当场改正或书面说明理由，拒不改正又不作书面说明的，由现场监督员如实记载后存入项目档案资料。</w:t>
      </w:r>
    </w:p>
    <w:p w14:paraId="4085E84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2.6 修改评审结果</w:t>
      </w:r>
    </w:p>
    <w:p w14:paraId="1A765D67">
      <w:pPr>
        <w:spacing w:line="360" w:lineRule="auto"/>
        <w:ind w:firstLine="424" w:firstLineChars="176"/>
        <w:jc w:val="left"/>
        <w:rPr>
          <w:rFonts w:hint="eastAsia" w:ascii="宋体" w:hAnsi="宋体" w:eastAsia="宋体" w:cs="宋体"/>
          <w:b/>
          <w:color w:val="auto"/>
          <w:sz w:val="24"/>
          <w:szCs w:val="28"/>
        </w:rPr>
      </w:pPr>
      <w:r>
        <w:rPr>
          <w:rFonts w:hint="eastAsia" w:ascii="宋体" w:hAnsi="宋体" w:eastAsia="宋体" w:cs="宋体"/>
          <w:b/>
          <w:color w:val="auto"/>
          <w:sz w:val="24"/>
          <w:szCs w:val="28"/>
        </w:rPr>
        <w:t>2.6.1评标结果汇总完成后，除下列情形外，任何人不得修改评标结果：</w:t>
      </w:r>
    </w:p>
    <w:p w14:paraId="3BC40600">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（1）分值汇总计算错误的；</w:t>
      </w:r>
    </w:p>
    <w:p w14:paraId="69A91409">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（2）分项评分超出评分标准范围的；</w:t>
      </w:r>
    </w:p>
    <w:p w14:paraId="6D9E3186">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（3）磋商小组成员对客观评审因素评分不一致的；</w:t>
      </w:r>
    </w:p>
    <w:p w14:paraId="0CEC687A">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（4）经磋商小组认定评分畸高、畸低的。</w:t>
      </w:r>
    </w:p>
    <w:p w14:paraId="28A4303C">
      <w:pPr>
        <w:spacing w:line="360" w:lineRule="auto"/>
        <w:ind w:firstLine="424" w:firstLineChars="176"/>
        <w:jc w:val="left"/>
        <w:rPr>
          <w:rFonts w:hint="eastAsia" w:ascii="宋体" w:hAnsi="宋体" w:eastAsia="宋体" w:cs="宋体"/>
          <w:b/>
          <w:color w:val="auto"/>
          <w:sz w:val="28"/>
          <w:szCs w:val="28"/>
        </w:rPr>
      </w:pPr>
      <w:r>
        <w:rPr>
          <w:rFonts w:hint="eastAsia" w:ascii="宋体" w:hAnsi="宋体" w:eastAsia="宋体" w:cs="宋体"/>
          <w:b/>
          <w:color w:val="auto"/>
          <w:sz w:val="24"/>
          <w:szCs w:val="28"/>
        </w:rPr>
        <w:t>2.6.2评标报告签署前，经复核发现存在以上情形之一的，磋商小组将当场修改评标结果，并在评标报告中记载。</w:t>
      </w:r>
    </w:p>
    <w:p w14:paraId="3EF5F92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2.7 供应商排序及推荐中标（成交）候选供应商</w:t>
      </w:r>
    </w:p>
    <w:p w14:paraId="37623FC8">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磋商小组根据以下规定确定供应商排名并推荐中标（成交）候选供应商。</w:t>
      </w:r>
    </w:p>
    <w:p w14:paraId="1F7DF85F">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sz w:val="24"/>
        </w:rPr>
        <w:t>2.7.1磋商小组根据各</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的综合得分（商务技术分与最后报价得分之和）从高到低依次进行排名排序。特殊情形按以下原则处理：</w:t>
      </w:r>
    </w:p>
    <w:p w14:paraId="62C381C7">
      <w:pPr>
        <w:spacing w:line="360" w:lineRule="auto"/>
        <w:ind w:firstLine="422" w:firstLineChars="176"/>
        <w:jc w:val="left"/>
        <w:rPr>
          <w:rFonts w:hint="eastAsia" w:ascii="宋体" w:hAnsi="宋体" w:eastAsia="宋体" w:cs="宋体"/>
          <w:color w:val="auto"/>
          <w:sz w:val="24"/>
        </w:rPr>
      </w:pPr>
      <w:r>
        <w:rPr>
          <w:rFonts w:hint="eastAsia" w:ascii="宋体" w:hAnsi="宋体" w:eastAsia="宋体" w:cs="宋体"/>
          <w:color w:val="auto"/>
          <w:sz w:val="24"/>
        </w:rPr>
        <w:t>（1）综合得分相同的，按最后报价低的优先原则确定排名；</w:t>
      </w:r>
    </w:p>
    <w:p w14:paraId="1A20D887">
      <w:pPr>
        <w:spacing w:line="360" w:lineRule="auto"/>
        <w:ind w:firstLine="422" w:firstLineChars="176"/>
        <w:jc w:val="left"/>
        <w:rPr>
          <w:rFonts w:hint="eastAsia" w:ascii="宋体" w:hAnsi="宋体" w:eastAsia="宋体" w:cs="宋体"/>
          <w:color w:val="auto"/>
          <w:sz w:val="24"/>
        </w:rPr>
      </w:pPr>
      <w:r>
        <w:rPr>
          <w:rFonts w:hint="eastAsia" w:ascii="宋体" w:hAnsi="宋体" w:eastAsia="宋体" w:cs="宋体"/>
          <w:color w:val="auto"/>
          <w:sz w:val="24"/>
        </w:rPr>
        <w:t>（2）综合得分和最后报价均相同的，按技术指标得分从高到低确定排名；</w:t>
      </w:r>
    </w:p>
    <w:p w14:paraId="10212FB3">
      <w:pPr>
        <w:spacing w:line="360" w:lineRule="auto"/>
        <w:ind w:firstLine="422" w:firstLineChars="176"/>
        <w:jc w:val="left"/>
        <w:rPr>
          <w:rFonts w:hint="eastAsia" w:ascii="宋体" w:hAnsi="宋体" w:eastAsia="宋体" w:cs="宋体"/>
          <w:color w:val="auto"/>
          <w:sz w:val="24"/>
        </w:rPr>
      </w:pPr>
      <w:r>
        <w:rPr>
          <w:rFonts w:hint="eastAsia" w:ascii="宋体" w:hAnsi="宋体" w:eastAsia="宋体" w:cs="宋体"/>
          <w:color w:val="auto"/>
          <w:sz w:val="24"/>
        </w:rPr>
        <w:t>（3）综合得分、最后报价和商务技术得分均相同的由磋商小组全体成员记名投票按少数服从多数的原则确定排名。</w:t>
      </w:r>
    </w:p>
    <w:p w14:paraId="112F2E18">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sz w:val="24"/>
        </w:rPr>
        <w:t>2.7.2根据最终得分排序，磋商小组直接确定供应商或通过书面评审报告的形式，向采购人推荐综合得分由高到低顺序推荐3名以上</w:t>
      </w:r>
      <w:r>
        <w:rPr>
          <w:rFonts w:hint="eastAsia" w:ascii="宋体" w:hAnsi="宋体" w:eastAsia="宋体" w:cs="宋体"/>
          <w:b/>
          <w:color w:val="auto"/>
          <w:kern w:val="0"/>
          <w:sz w:val="24"/>
        </w:rPr>
        <w:t>成交候选供应商</w:t>
      </w:r>
      <w:r>
        <w:rPr>
          <w:rFonts w:hint="eastAsia" w:ascii="宋体" w:hAnsi="宋体" w:eastAsia="宋体" w:cs="宋体"/>
          <w:b/>
          <w:color w:val="auto"/>
          <w:sz w:val="24"/>
        </w:rPr>
        <w:t>。</w:t>
      </w:r>
    </w:p>
    <w:p w14:paraId="3849C3F2">
      <w:pPr>
        <w:keepNext/>
        <w:keepLines/>
        <w:spacing w:beforeLines="30" w:afterLines="30" w:line="360" w:lineRule="auto"/>
        <w:ind w:firstLine="402" w:firstLineChars="167"/>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2.8 起草、签署评审报告</w:t>
      </w:r>
    </w:p>
    <w:p w14:paraId="51E581DC">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color w:val="auto"/>
          <w:sz w:val="24"/>
        </w:rPr>
        <w:t>评审结束后，磋商小组将通过“山西省政府采购网”起草评审报告，磋商小组成员应当在评审报告上签字（或加注电子签章），对自己的评审意见承担法律责任。对评审报告有异议的，应当在评审报告上签署不同意见，并说明理由，否则视为同意评审报告。</w:t>
      </w:r>
    </w:p>
    <w:p w14:paraId="1DFB124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2.9 重新评审</w:t>
      </w:r>
    </w:p>
    <w:p w14:paraId="34DDCC3F">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sz w:val="24"/>
        </w:rPr>
        <w:t>评审报告签署后，采购人或者</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发现存在下列情形之一的，将组织原磋商小组进行重新评审，重新评审改变评标结果的，将书面报告同级财政部门：</w:t>
      </w:r>
    </w:p>
    <w:p w14:paraId="492A36C6">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（1）分值汇总计算错误的；</w:t>
      </w:r>
    </w:p>
    <w:p w14:paraId="6BF0B4A8">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（2）分项评分超出评分标准范围的；</w:t>
      </w:r>
    </w:p>
    <w:p w14:paraId="6A9C08E5">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（3）磋商小组成员对客观评审因素评分不一致的；</w:t>
      </w:r>
    </w:p>
    <w:p w14:paraId="46868304">
      <w:pPr>
        <w:spacing w:line="360" w:lineRule="auto"/>
        <w:ind w:firstLine="424" w:firstLineChars="177"/>
        <w:jc w:val="left"/>
        <w:rPr>
          <w:rFonts w:hint="eastAsia" w:ascii="宋体" w:hAnsi="宋体" w:eastAsia="宋体" w:cs="宋体"/>
          <w:color w:val="auto"/>
          <w:w w:val="90"/>
          <w:sz w:val="22"/>
        </w:rPr>
      </w:pPr>
      <w:r>
        <w:rPr>
          <w:rFonts w:hint="eastAsia" w:ascii="宋体" w:hAnsi="宋体" w:eastAsia="宋体" w:cs="宋体"/>
          <w:color w:val="auto"/>
          <w:sz w:val="24"/>
          <w:szCs w:val="28"/>
        </w:rPr>
        <w:t>（4）经磋商小组认定评分畸高、畸低的。</w:t>
      </w:r>
      <w:bookmarkStart w:id="1173" w:name="_Toc520824347"/>
      <w:bookmarkStart w:id="1174" w:name="_Toc482590099"/>
    </w:p>
    <w:p w14:paraId="12B9A220">
      <w:pPr>
        <w:pStyle w:val="4"/>
        <w:ind w:firstLine="281" w:firstLineChars="100"/>
        <w:jc w:val="left"/>
        <w:rPr>
          <w:rFonts w:hint="eastAsia" w:ascii="宋体" w:hAnsi="宋体" w:eastAsia="宋体" w:cs="宋体"/>
          <w:color w:val="auto"/>
          <w:sz w:val="28"/>
          <w:szCs w:val="28"/>
        </w:rPr>
      </w:pPr>
      <w:bookmarkStart w:id="1175" w:name="_Toc81341343"/>
      <w:bookmarkStart w:id="1176" w:name="_Toc998"/>
      <w:r>
        <w:rPr>
          <w:rFonts w:hint="eastAsia" w:ascii="宋体" w:hAnsi="宋体" w:eastAsia="宋体" w:cs="宋体"/>
          <w:color w:val="auto"/>
          <w:sz w:val="28"/>
          <w:szCs w:val="28"/>
        </w:rPr>
        <w:t>三、评分标准</w:t>
      </w:r>
      <w:bookmarkEnd w:id="1173"/>
      <w:bookmarkEnd w:id="1174"/>
      <w:bookmarkEnd w:id="1175"/>
      <w:bookmarkEnd w:id="1176"/>
    </w:p>
    <w:p w14:paraId="2258DC35">
      <w:pPr>
        <w:jc w:val="left"/>
        <w:rPr>
          <w:rFonts w:hint="eastAsia" w:ascii="宋体" w:hAnsi="宋体" w:eastAsia="宋体" w:cs="宋体"/>
          <w:color w:val="auto"/>
          <w:sz w:val="24"/>
          <w:szCs w:val="28"/>
        </w:rPr>
      </w:pPr>
      <w:r>
        <w:rPr>
          <w:rFonts w:hint="eastAsia" w:ascii="宋体" w:hAnsi="宋体" w:eastAsia="宋体" w:cs="宋体"/>
          <w:color w:val="auto"/>
          <w:sz w:val="24"/>
          <w:szCs w:val="28"/>
        </w:rPr>
        <w:t>（1）资格性审查</w:t>
      </w:r>
    </w:p>
    <w:tbl>
      <w:tblPr>
        <w:tblStyle w:val="24"/>
        <w:tblW w:w="8654" w:type="dxa"/>
        <w:tblInd w:w="-168" w:type="dxa"/>
        <w:tblLayout w:type="fixed"/>
        <w:tblCellMar>
          <w:top w:w="0" w:type="dxa"/>
          <w:left w:w="0" w:type="dxa"/>
          <w:bottom w:w="0" w:type="dxa"/>
          <w:right w:w="0" w:type="dxa"/>
        </w:tblCellMar>
      </w:tblPr>
      <w:tblGrid>
        <w:gridCol w:w="931"/>
        <w:gridCol w:w="3869"/>
        <w:gridCol w:w="3854"/>
      </w:tblGrid>
      <w:tr w14:paraId="3CCE37A1">
        <w:tblPrEx>
          <w:tblCellMar>
            <w:top w:w="0" w:type="dxa"/>
            <w:left w:w="0" w:type="dxa"/>
            <w:bottom w:w="0" w:type="dxa"/>
            <w:right w:w="0" w:type="dxa"/>
          </w:tblCellMar>
        </w:tblPrEx>
        <w:trPr>
          <w:trHeight w:val="650" w:hRule="atLeast"/>
        </w:trPr>
        <w:tc>
          <w:tcPr>
            <w:tcW w:w="931" w:type="dxa"/>
            <w:tcBorders>
              <w:top w:val="single" w:color="DCDCDC" w:sz="6" w:space="0"/>
              <w:left w:val="single" w:color="DCDCDC" w:sz="6" w:space="0"/>
              <w:bottom w:val="single" w:color="auto" w:sz="4" w:space="0"/>
              <w:right w:val="single" w:color="DCDCDC" w:sz="6" w:space="0"/>
            </w:tcBorders>
            <w:shd w:val="clear" w:color="auto" w:fill="FAFAFA"/>
            <w:vAlign w:val="center"/>
          </w:tcPr>
          <w:p w14:paraId="37FE8E15">
            <w:pPr>
              <w:autoSpaceDE w:val="0"/>
              <w:autoSpaceDN w:val="0"/>
              <w:adjustRightInd w:val="0"/>
              <w:spacing w:line="375" w:lineRule="exact"/>
              <w:ind w:left="456" w:right="481"/>
              <w:jc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3869" w:type="dxa"/>
            <w:tcBorders>
              <w:top w:val="single" w:color="DCDCDC" w:sz="6" w:space="0"/>
              <w:left w:val="nil"/>
              <w:bottom w:val="single" w:color="auto" w:sz="4" w:space="0"/>
              <w:right w:val="single" w:color="DCDCDC" w:sz="6" w:space="0"/>
            </w:tcBorders>
            <w:shd w:val="clear" w:color="auto" w:fill="FAFAFA"/>
            <w:vAlign w:val="center"/>
          </w:tcPr>
          <w:p w14:paraId="3A5E57AD">
            <w:pPr>
              <w:autoSpaceDE w:val="0"/>
              <w:autoSpaceDN w:val="0"/>
              <w:adjustRightInd w:val="0"/>
              <w:spacing w:line="375" w:lineRule="exact"/>
              <w:ind w:left="1236" w:right="1261"/>
              <w:jc w:val="center"/>
              <w:rPr>
                <w:rFonts w:hint="eastAsia" w:ascii="宋体" w:hAnsi="宋体" w:eastAsia="宋体" w:cs="宋体"/>
                <w:b/>
                <w:sz w:val="24"/>
                <w:szCs w:val="24"/>
              </w:rPr>
            </w:pPr>
            <w:r>
              <w:rPr>
                <w:rFonts w:hint="eastAsia" w:ascii="宋体" w:hAnsi="宋体" w:eastAsia="宋体" w:cs="宋体"/>
                <w:b/>
                <w:sz w:val="24"/>
                <w:szCs w:val="24"/>
                <w:lang w:bidi="ar"/>
              </w:rPr>
              <w:t>评审</w:t>
            </w:r>
          </w:p>
          <w:p w14:paraId="16C5115B">
            <w:pPr>
              <w:autoSpaceDE w:val="0"/>
              <w:autoSpaceDN w:val="0"/>
              <w:adjustRightInd w:val="0"/>
              <w:spacing w:line="375" w:lineRule="exact"/>
              <w:ind w:left="1236" w:right="1261"/>
              <w:jc w:val="center"/>
              <w:rPr>
                <w:rFonts w:hint="eastAsia" w:ascii="宋体" w:hAnsi="宋体" w:eastAsia="宋体" w:cs="宋体"/>
                <w:b/>
                <w:sz w:val="24"/>
                <w:szCs w:val="24"/>
              </w:rPr>
            </w:pPr>
            <w:r>
              <w:rPr>
                <w:rFonts w:hint="eastAsia" w:ascii="宋体" w:hAnsi="宋体" w:eastAsia="宋体" w:cs="宋体"/>
                <w:b/>
                <w:sz w:val="24"/>
                <w:szCs w:val="24"/>
                <w:lang w:bidi="ar"/>
              </w:rPr>
              <w:t>因素</w:t>
            </w:r>
          </w:p>
        </w:tc>
        <w:tc>
          <w:tcPr>
            <w:tcW w:w="3854" w:type="dxa"/>
            <w:tcBorders>
              <w:top w:val="single" w:color="DCDCDC" w:sz="6" w:space="0"/>
              <w:left w:val="nil"/>
              <w:bottom w:val="single" w:color="auto" w:sz="4" w:space="0"/>
              <w:right w:val="single" w:color="DCDCDC" w:sz="6" w:space="0"/>
            </w:tcBorders>
            <w:shd w:val="clear" w:color="auto" w:fill="FAFAFA"/>
            <w:vAlign w:val="center"/>
          </w:tcPr>
          <w:p w14:paraId="4B95B15D">
            <w:pPr>
              <w:autoSpaceDE w:val="0"/>
              <w:autoSpaceDN w:val="0"/>
              <w:adjustRightInd w:val="0"/>
              <w:spacing w:line="375" w:lineRule="exact"/>
              <w:ind w:left="1244" w:right="1269"/>
              <w:jc w:val="center"/>
              <w:rPr>
                <w:rFonts w:hint="eastAsia" w:ascii="宋体" w:hAnsi="宋体" w:eastAsia="宋体" w:cs="宋体"/>
                <w:b/>
                <w:sz w:val="24"/>
                <w:szCs w:val="24"/>
              </w:rPr>
            </w:pPr>
            <w:r>
              <w:rPr>
                <w:rFonts w:hint="eastAsia" w:ascii="宋体" w:hAnsi="宋体" w:eastAsia="宋体" w:cs="宋体"/>
                <w:b/>
                <w:sz w:val="24"/>
                <w:szCs w:val="24"/>
                <w:lang w:bidi="ar"/>
              </w:rPr>
              <w:t>评审</w:t>
            </w:r>
          </w:p>
          <w:p w14:paraId="50EF86B3">
            <w:pPr>
              <w:autoSpaceDE w:val="0"/>
              <w:autoSpaceDN w:val="0"/>
              <w:adjustRightInd w:val="0"/>
              <w:spacing w:line="375" w:lineRule="exact"/>
              <w:ind w:left="1244" w:right="1269"/>
              <w:jc w:val="center"/>
              <w:rPr>
                <w:rFonts w:hint="eastAsia" w:ascii="宋体" w:hAnsi="宋体" w:eastAsia="宋体" w:cs="宋体"/>
                <w:b/>
                <w:sz w:val="24"/>
                <w:szCs w:val="24"/>
              </w:rPr>
            </w:pPr>
            <w:r>
              <w:rPr>
                <w:rFonts w:hint="eastAsia" w:ascii="宋体" w:hAnsi="宋体" w:eastAsia="宋体" w:cs="宋体"/>
                <w:b/>
                <w:sz w:val="24"/>
                <w:szCs w:val="24"/>
                <w:lang w:bidi="ar"/>
              </w:rPr>
              <w:t>标准</w:t>
            </w:r>
          </w:p>
        </w:tc>
      </w:tr>
      <w:tr w14:paraId="493940C7">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53CC5B6">
            <w:pPr>
              <w:jc w:val="center"/>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3869" w:type="dxa"/>
            <w:tcBorders>
              <w:top w:val="single" w:color="auto" w:sz="4" w:space="0"/>
              <w:left w:val="nil"/>
              <w:bottom w:val="single" w:color="auto" w:sz="4" w:space="0"/>
              <w:right w:val="single" w:color="auto" w:sz="4" w:space="0"/>
            </w:tcBorders>
            <w:shd w:val="clear" w:color="auto" w:fill="auto"/>
            <w:vAlign w:val="center"/>
          </w:tcPr>
          <w:p w14:paraId="209E3F3D">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3854" w:type="dxa"/>
            <w:tcBorders>
              <w:top w:val="single" w:color="auto" w:sz="4" w:space="0"/>
              <w:left w:val="nil"/>
              <w:bottom w:val="single" w:color="auto" w:sz="4" w:space="0"/>
              <w:right w:val="single" w:color="auto" w:sz="4" w:space="0"/>
            </w:tcBorders>
            <w:shd w:val="clear" w:color="auto" w:fill="auto"/>
            <w:vAlign w:val="center"/>
          </w:tcPr>
          <w:p w14:paraId="7004BA00">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提供供应商信用承诺书。</w:t>
            </w:r>
          </w:p>
          <w:p w14:paraId="316DEA25">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0B176C90">
        <w:tblPrEx>
          <w:tblCellMar>
            <w:top w:w="0" w:type="dxa"/>
            <w:left w:w="0" w:type="dxa"/>
            <w:bottom w:w="0" w:type="dxa"/>
            <w:right w:w="0" w:type="dxa"/>
          </w:tblCellMar>
        </w:tblPrEx>
        <w:trPr>
          <w:trHeight w:val="611"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D9759F4">
            <w:pPr>
              <w:jc w:val="center"/>
              <w:rPr>
                <w:rFonts w:hint="eastAsia" w:ascii="宋体" w:hAnsi="宋体" w:eastAsia="宋体" w:cs="宋体"/>
                <w:sz w:val="24"/>
                <w:szCs w:val="24"/>
                <w:lang w:bidi="ar"/>
              </w:rPr>
            </w:pPr>
            <w:r>
              <w:rPr>
                <w:rFonts w:hint="eastAsia" w:ascii="宋体" w:hAnsi="宋体" w:eastAsia="宋体" w:cs="宋体"/>
                <w:sz w:val="24"/>
                <w:szCs w:val="24"/>
                <w:lang w:bidi="ar"/>
              </w:rPr>
              <w:t>2</w:t>
            </w:r>
          </w:p>
        </w:tc>
        <w:tc>
          <w:tcPr>
            <w:tcW w:w="3869" w:type="dxa"/>
            <w:tcBorders>
              <w:top w:val="single" w:color="auto" w:sz="4" w:space="0"/>
              <w:left w:val="nil"/>
              <w:bottom w:val="single" w:color="auto" w:sz="4" w:space="0"/>
              <w:right w:val="single" w:color="auto" w:sz="4" w:space="0"/>
            </w:tcBorders>
            <w:shd w:val="clear" w:color="auto" w:fill="auto"/>
            <w:vAlign w:val="center"/>
          </w:tcPr>
          <w:p w14:paraId="498227B5">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0804D7E0">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提供供应商信用承诺书。</w:t>
            </w:r>
          </w:p>
          <w:p w14:paraId="40D34995">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6089AFF5">
        <w:tblPrEx>
          <w:tblCellMar>
            <w:top w:w="0" w:type="dxa"/>
            <w:left w:w="0" w:type="dxa"/>
            <w:bottom w:w="0" w:type="dxa"/>
            <w:right w:w="0" w:type="dxa"/>
          </w:tblCellMar>
        </w:tblPrEx>
        <w:trPr>
          <w:trHeight w:val="60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6B57B57">
            <w:pPr>
              <w:jc w:val="center"/>
              <w:rPr>
                <w:rFonts w:hint="eastAsia" w:ascii="宋体" w:hAnsi="宋体" w:eastAsia="宋体" w:cs="宋体"/>
                <w:sz w:val="24"/>
                <w:szCs w:val="24"/>
                <w:lang w:bidi="ar"/>
              </w:rPr>
            </w:pPr>
            <w:r>
              <w:rPr>
                <w:rFonts w:hint="eastAsia" w:ascii="宋体" w:hAnsi="宋体" w:eastAsia="宋体" w:cs="宋体"/>
                <w:sz w:val="24"/>
                <w:szCs w:val="24"/>
                <w:lang w:bidi="ar"/>
              </w:rPr>
              <w:t>3</w:t>
            </w:r>
          </w:p>
        </w:tc>
        <w:tc>
          <w:tcPr>
            <w:tcW w:w="3869" w:type="dxa"/>
            <w:tcBorders>
              <w:top w:val="single" w:color="auto" w:sz="4" w:space="0"/>
              <w:left w:val="nil"/>
              <w:bottom w:val="single" w:color="auto" w:sz="4" w:space="0"/>
              <w:right w:val="single" w:color="auto" w:sz="4" w:space="0"/>
            </w:tcBorders>
            <w:shd w:val="clear" w:color="auto" w:fill="auto"/>
            <w:vAlign w:val="center"/>
          </w:tcPr>
          <w:p w14:paraId="6CAA41C4">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75319AEA">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提供供应商信用承诺书。</w:t>
            </w:r>
          </w:p>
          <w:p w14:paraId="0447F5AF">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013DA8E4">
        <w:tblPrEx>
          <w:tblCellMar>
            <w:top w:w="0" w:type="dxa"/>
            <w:left w:w="0" w:type="dxa"/>
            <w:bottom w:w="0" w:type="dxa"/>
            <w:right w:w="0" w:type="dxa"/>
          </w:tblCellMar>
        </w:tblPrEx>
        <w:trPr>
          <w:trHeight w:val="63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E7A34E6">
            <w:pPr>
              <w:jc w:val="center"/>
              <w:rPr>
                <w:rFonts w:hint="eastAsia" w:ascii="宋体" w:hAnsi="宋体" w:eastAsia="宋体" w:cs="宋体"/>
                <w:sz w:val="24"/>
                <w:szCs w:val="24"/>
                <w:lang w:bidi="ar"/>
              </w:rPr>
            </w:pPr>
            <w:r>
              <w:rPr>
                <w:rFonts w:hint="eastAsia" w:ascii="宋体" w:hAnsi="宋体" w:eastAsia="宋体" w:cs="宋体"/>
                <w:sz w:val="24"/>
                <w:szCs w:val="24"/>
                <w:lang w:bidi="ar"/>
              </w:rPr>
              <w:t>4</w:t>
            </w:r>
          </w:p>
        </w:tc>
        <w:tc>
          <w:tcPr>
            <w:tcW w:w="3869" w:type="dxa"/>
            <w:tcBorders>
              <w:top w:val="single" w:color="auto" w:sz="4" w:space="0"/>
              <w:left w:val="nil"/>
              <w:bottom w:val="single" w:color="auto" w:sz="4" w:space="0"/>
              <w:right w:val="single" w:color="auto" w:sz="4" w:space="0"/>
            </w:tcBorders>
            <w:shd w:val="clear" w:color="auto" w:fill="auto"/>
            <w:vAlign w:val="center"/>
          </w:tcPr>
          <w:p w14:paraId="2471F3E7">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具有依法缴纳税收和社会保障金的良好记录的证明材料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20288A60">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提供供应商信用承诺书。</w:t>
            </w:r>
          </w:p>
          <w:p w14:paraId="1338006B">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595B3294">
        <w:tblPrEx>
          <w:tblCellMar>
            <w:top w:w="0" w:type="dxa"/>
            <w:left w:w="0" w:type="dxa"/>
            <w:bottom w:w="0" w:type="dxa"/>
            <w:right w:w="0" w:type="dxa"/>
          </w:tblCellMar>
        </w:tblPrEx>
        <w:trPr>
          <w:trHeight w:val="71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0BD6035">
            <w:pPr>
              <w:jc w:val="center"/>
              <w:rPr>
                <w:rFonts w:hint="eastAsia" w:ascii="宋体" w:hAnsi="宋体" w:eastAsia="宋体" w:cs="宋体"/>
                <w:sz w:val="24"/>
                <w:szCs w:val="24"/>
                <w:lang w:bidi="ar"/>
              </w:rPr>
            </w:pPr>
            <w:r>
              <w:rPr>
                <w:rFonts w:hint="eastAsia" w:ascii="宋体" w:hAnsi="宋体" w:eastAsia="宋体" w:cs="宋体"/>
                <w:sz w:val="24"/>
                <w:szCs w:val="24"/>
                <w:lang w:bidi="ar"/>
              </w:rPr>
              <w:t>5</w:t>
            </w:r>
          </w:p>
        </w:tc>
        <w:tc>
          <w:tcPr>
            <w:tcW w:w="3869" w:type="dxa"/>
            <w:tcBorders>
              <w:top w:val="single" w:color="auto" w:sz="4" w:space="0"/>
              <w:left w:val="nil"/>
              <w:bottom w:val="single" w:color="auto" w:sz="4" w:space="0"/>
              <w:right w:val="single" w:color="auto" w:sz="4" w:space="0"/>
            </w:tcBorders>
            <w:shd w:val="clear" w:color="auto" w:fill="auto"/>
            <w:vAlign w:val="center"/>
          </w:tcPr>
          <w:p w14:paraId="72030DB1">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参加本次采购活动前三年内在经营活动中没有重大违法记录</w:t>
            </w:r>
          </w:p>
        </w:tc>
        <w:tc>
          <w:tcPr>
            <w:tcW w:w="3854" w:type="dxa"/>
            <w:tcBorders>
              <w:top w:val="single" w:color="auto" w:sz="4" w:space="0"/>
              <w:left w:val="nil"/>
              <w:bottom w:val="single" w:color="auto" w:sz="4" w:space="0"/>
              <w:right w:val="single" w:color="auto" w:sz="4" w:space="0"/>
            </w:tcBorders>
            <w:shd w:val="clear" w:color="auto" w:fill="auto"/>
            <w:vAlign w:val="center"/>
          </w:tcPr>
          <w:p w14:paraId="578A093A">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提供供应商信用承诺书。</w:t>
            </w:r>
          </w:p>
          <w:p w14:paraId="5BA7D642">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2380C1F2">
        <w:tblPrEx>
          <w:tblCellMar>
            <w:top w:w="0" w:type="dxa"/>
            <w:left w:w="0" w:type="dxa"/>
            <w:bottom w:w="0" w:type="dxa"/>
            <w:right w:w="0" w:type="dxa"/>
          </w:tblCellMar>
        </w:tblPrEx>
        <w:trPr>
          <w:trHeight w:val="1869"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C2D0D6D">
            <w:pPr>
              <w:jc w:val="center"/>
              <w:rPr>
                <w:rFonts w:hint="eastAsia" w:ascii="宋体" w:hAnsi="宋体" w:eastAsia="宋体" w:cs="宋体"/>
                <w:sz w:val="24"/>
                <w:szCs w:val="24"/>
                <w:lang w:eastAsia="zh-CN" w:bidi="ar"/>
              </w:rPr>
            </w:pPr>
            <w:r>
              <w:rPr>
                <w:rFonts w:hint="eastAsia" w:ascii="宋体" w:hAnsi="宋体" w:cs="宋体"/>
                <w:sz w:val="24"/>
                <w:szCs w:val="24"/>
                <w:lang w:val="en-US" w:eastAsia="zh-CN" w:bidi="ar"/>
              </w:rPr>
              <w:t>6</w:t>
            </w:r>
          </w:p>
        </w:tc>
        <w:tc>
          <w:tcPr>
            <w:tcW w:w="3869" w:type="dxa"/>
            <w:tcBorders>
              <w:top w:val="single" w:color="auto" w:sz="4" w:space="0"/>
              <w:left w:val="nil"/>
              <w:bottom w:val="single" w:color="auto" w:sz="4" w:space="0"/>
              <w:right w:val="single" w:color="auto" w:sz="4" w:space="0"/>
            </w:tcBorders>
            <w:shd w:val="clear" w:color="auto" w:fill="auto"/>
            <w:vAlign w:val="center"/>
          </w:tcPr>
          <w:p w14:paraId="54D248C9">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未被“信用中国”（www.creditchina.gov.cn）、中国政府采购网（www.ccgp.gov.cn）列入失信被执行人名单、</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rPr>
              <w:t>、政府采购严重违法失信行为记录名单的证明材料：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3EB16C00">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提供《没有失信记录承诺函》，按照磋商文件签署公章</w:t>
            </w:r>
          </w:p>
        </w:tc>
      </w:tr>
      <w:tr w14:paraId="494D3F75">
        <w:tblPrEx>
          <w:tblCellMar>
            <w:top w:w="0" w:type="dxa"/>
            <w:left w:w="0" w:type="dxa"/>
            <w:bottom w:w="0" w:type="dxa"/>
            <w:right w:w="0" w:type="dxa"/>
          </w:tblCellMar>
        </w:tblPrEx>
        <w:trPr>
          <w:trHeight w:val="919"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771A01E">
            <w:pPr>
              <w:jc w:val="center"/>
              <w:rPr>
                <w:rFonts w:hint="eastAsia" w:ascii="宋体" w:hAnsi="宋体" w:eastAsia="宋体" w:cs="宋体"/>
                <w:sz w:val="24"/>
                <w:szCs w:val="24"/>
                <w:lang w:eastAsia="zh-CN" w:bidi="ar"/>
              </w:rPr>
            </w:pPr>
            <w:r>
              <w:rPr>
                <w:rFonts w:hint="eastAsia" w:ascii="宋体" w:hAnsi="宋体" w:cs="宋体"/>
                <w:sz w:val="24"/>
                <w:szCs w:val="24"/>
                <w:lang w:val="en-US" w:eastAsia="zh-CN" w:bidi="ar"/>
              </w:rPr>
              <w:t>7</w:t>
            </w:r>
          </w:p>
        </w:tc>
        <w:tc>
          <w:tcPr>
            <w:tcW w:w="3869" w:type="dxa"/>
            <w:tcBorders>
              <w:top w:val="single" w:color="auto" w:sz="4" w:space="0"/>
              <w:left w:val="nil"/>
              <w:bottom w:val="single" w:color="auto" w:sz="4" w:space="0"/>
              <w:right w:val="single" w:color="auto" w:sz="4" w:space="0"/>
            </w:tcBorders>
            <w:shd w:val="clear" w:color="auto" w:fill="auto"/>
            <w:vAlign w:val="center"/>
          </w:tcPr>
          <w:p w14:paraId="132D5721">
            <w:pPr>
              <w:pStyle w:val="21"/>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非联合体的证明材料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6A9CC4CF">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本项目要求</w:t>
            </w:r>
            <w:r>
              <w:rPr>
                <w:rFonts w:hint="eastAsia" w:ascii="宋体" w:hAnsi="宋体" w:cs="宋体"/>
                <w:sz w:val="24"/>
                <w:szCs w:val="24"/>
                <w:lang w:val="en-US" w:eastAsia="zh-CN"/>
              </w:rPr>
              <w:t>非</w:t>
            </w:r>
            <w:r>
              <w:rPr>
                <w:rFonts w:hint="eastAsia" w:ascii="宋体" w:hAnsi="宋体" w:eastAsia="宋体" w:cs="宋体"/>
                <w:sz w:val="24"/>
                <w:szCs w:val="24"/>
              </w:rPr>
              <w:t>联合体，需提供《非联合体声明书》，并按照磋商文件签署公章</w:t>
            </w:r>
          </w:p>
        </w:tc>
      </w:tr>
      <w:tr w14:paraId="14F92600">
        <w:tblPrEx>
          <w:tblCellMar>
            <w:top w:w="0" w:type="dxa"/>
            <w:left w:w="0" w:type="dxa"/>
            <w:bottom w:w="0" w:type="dxa"/>
            <w:right w:w="0" w:type="dxa"/>
          </w:tblCellMar>
        </w:tblPrEx>
        <w:trPr>
          <w:trHeight w:val="92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59D94C7">
            <w:pPr>
              <w:jc w:val="center"/>
              <w:rPr>
                <w:rFonts w:hint="eastAsia" w:ascii="宋体" w:hAnsi="宋体" w:eastAsia="宋体" w:cs="宋体"/>
                <w:sz w:val="24"/>
                <w:szCs w:val="24"/>
                <w:lang w:eastAsia="zh-CN" w:bidi="ar"/>
              </w:rPr>
            </w:pPr>
            <w:r>
              <w:rPr>
                <w:rFonts w:hint="eastAsia" w:ascii="宋体" w:hAnsi="宋体" w:cs="宋体"/>
                <w:sz w:val="24"/>
                <w:szCs w:val="24"/>
                <w:lang w:val="en-US" w:eastAsia="zh-CN" w:bidi="ar"/>
              </w:rPr>
              <w:t>8</w:t>
            </w:r>
          </w:p>
        </w:tc>
        <w:tc>
          <w:tcPr>
            <w:tcW w:w="3869" w:type="dxa"/>
            <w:tcBorders>
              <w:top w:val="single" w:color="auto" w:sz="4" w:space="0"/>
              <w:left w:val="nil"/>
              <w:bottom w:val="single" w:color="auto" w:sz="4" w:space="0"/>
              <w:right w:val="single" w:color="auto" w:sz="4" w:space="0"/>
            </w:tcBorders>
            <w:shd w:val="clear" w:color="auto" w:fill="auto"/>
            <w:vAlign w:val="center"/>
          </w:tcPr>
          <w:p w14:paraId="034CB5DA">
            <w:pPr>
              <w:pStyle w:val="21"/>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供应商应为中小企业</w:t>
            </w:r>
          </w:p>
        </w:tc>
        <w:tc>
          <w:tcPr>
            <w:tcW w:w="3854" w:type="dxa"/>
            <w:tcBorders>
              <w:top w:val="single" w:color="auto" w:sz="4" w:space="0"/>
              <w:left w:val="nil"/>
              <w:bottom w:val="single" w:color="auto" w:sz="4" w:space="0"/>
              <w:right w:val="single" w:color="auto" w:sz="4" w:space="0"/>
            </w:tcBorders>
            <w:shd w:val="clear" w:color="auto" w:fill="auto"/>
            <w:vAlign w:val="center"/>
          </w:tcPr>
          <w:p w14:paraId="28AC726F">
            <w:pPr>
              <w:pStyle w:val="21"/>
              <w:keepNext w:val="0"/>
              <w:keepLines w:val="0"/>
              <w:pageBreakBefore w:val="0"/>
              <w:widowControl w:val="0"/>
              <w:kinsoku/>
              <w:wordWrap w:val="0"/>
              <w:overflowPunct/>
              <w:topLinePunct/>
              <w:autoSpaceDE/>
              <w:autoSpaceDN/>
              <w:bidi w:val="0"/>
              <w:adjustRightInd w:val="0"/>
              <w:snapToGrid/>
              <w:spacing w:before="0" w:beforeAutospacing="0" w:after="0" w:afterAutospacing="0"/>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请根据要求单独上传《中小企业声明函》。格式以采购文件要求为准。</w:t>
            </w:r>
          </w:p>
        </w:tc>
      </w:tr>
      <w:tr w14:paraId="21EDE150">
        <w:tblPrEx>
          <w:tblCellMar>
            <w:top w:w="0" w:type="dxa"/>
            <w:left w:w="0" w:type="dxa"/>
            <w:bottom w:w="0" w:type="dxa"/>
            <w:right w:w="0" w:type="dxa"/>
          </w:tblCellMar>
        </w:tblPrEx>
        <w:trPr>
          <w:trHeight w:val="747"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C972D54">
            <w:pPr>
              <w:jc w:val="center"/>
              <w:rPr>
                <w:rFonts w:hint="eastAsia" w:ascii="宋体" w:hAnsi="宋体" w:eastAsia="宋体" w:cs="宋体"/>
                <w:sz w:val="24"/>
                <w:szCs w:val="24"/>
                <w:lang w:eastAsia="zh-CN"/>
              </w:rPr>
            </w:pPr>
            <w:r>
              <w:rPr>
                <w:rFonts w:hint="eastAsia" w:ascii="宋体" w:hAnsi="宋体" w:cs="宋体"/>
                <w:sz w:val="24"/>
                <w:szCs w:val="24"/>
                <w:lang w:val="en-US" w:eastAsia="zh-CN" w:bidi="ar"/>
              </w:rPr>
              <w:t>9</w:t>
            </w:r>
          </w:p>
        </w:tc>
        <w:tc>
          <w:tcPr>
            <w:tcW w:w="3869" w:type="dxa"/>
            <w:tcBorders>
              <w:top w:val="single" w:color="auto" w:sz="4" w:space="0"/>
              <w:left w:val="nil"/>
              <w:bottom w:val="single" w:color="auto" w:sz="4" w:space="0"/>
              <w:right w:val="single" w:color="auto" w:sz="4" w:space="0"/>
            </w:tcBorders>
            <w:shd w:val="clear" w:color="auto" w:fill="auto"/>
            <w:vAlign w:val="center"/>
          </w:tcPr>
          <w:p w14:paraId="6DEEE7ED">
            <w:pPr>
              <w:pStyle w:val="21"/>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color w:val="auto"/>
                <w:lang w:val="en-US" w:eastAsia="zh-CN"/>
              </w:rPr>
              <w:t>供应商须具备建筑工程施工总承包叁级及以上资质；拟派往本工程的项目经理须具备建筑工程专业贰级及以上注册建造师执业资格，具备有效的安全生产考核合格证书，且未担任其他在建工程项目的项目经理；拟派往本工程项目技术负责人须具备相关专业的中级及以上职称证</w:t>
            </w:r>
          </w:p>
        </w:tc>
        <w:tc>
          <w:tcPr>
            <w:tcW w:w="3854" w:type="dxa"/>
            <w:tcBorders>
              <w:top w:val="single" w:color="auto" w:sz="4" w:space="0"/>
              <w:left w:val="nil"/>
              <w:bottom w:val="single" w:color="auto" w:sz="4" w:space="0"/>
              <w:right w:val="single" w:color="auto" w:sz="4" w:space="0"/>
            </w:tcBorders>
            <w:shd w:val="clear" w:color="auto" w:fill="auto"/>
            <w:vAlign w:val="center"/>
          </w:tcPr>
          <w:p w14:paraId="710D07BC">
            <w:pPr>
              <w:pStyle w:val="21"/>
              <w:keepNext w:val="0"/>
              <w:keepLines w:val="0"/>
              <w:pageBreakBefore w:val="0"/>
              <w:widowControl w:val="0"/>
              <w:numPr>
                <w:ilvl w:val="0"/>
                <w:numId w:val="0"/>
              </w:numPr>
              <w:kinsoku/>
              <w:wordWrap w:val="0"/>
              <w:overflowPunct/>
              <w:topLinePunct/>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lang w:val="en-US" w:eastAsia="zh-CN" w:bidi="ar-SA"/>
              </w:rPr>
              <w:t>扫描件清晰、符合要求。</w:t>
            </w:r>
          </w:p>
        </w:tc>
      </w:tr>
      <w:tr w14:paraId="42CA83AA">
        <w:tblPrEx>
          <w:tblCellMar>
            <w:top w:w="0" w:type="dxa"/>
            <w:left w:w="0" w:type="dxa"/>
            <w:bottom w:w="0" w:type="dxa"/>
            <w:right w:w="0" w:type="dxa"/>
          </w:tblCellMar>
        </w:tblPrEx>
        <w:trPr>
          <w:trHeight w:val="92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9E2865">
            <w:pPr>
              <w:jc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10</w:t>
            </w:r>
          </w:p>
        </w:tc>
        <w:tc>
          <w:tcPr>
            <w:tcW w:w="3869" w:type="dxa"/>
            <w:tcBorders>
              <w:top w:val="single" w:color="auto" w:sz="4" w:space="0"/>
              <w:left w:val="nil"/>
              <w:bottom w:val="single" w:color="auto" w:sz="4" w:space="0"/>
              <w:right w:val="single" w:color="auto" w:sz="4" w:space="0"/>
            </w:tcBorders>
            <w:shd w:val="clear" w:color="auto" w:fill="auto"/>
            <w:vAlign w:val="center"/>
          </w:tcPr>
          <w:p w14:paraId="03BBE19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外省企业入晋</w:t>
            </w:r>
          </w:p>
        </w:tc>
        <w:tc>
          <w:tcPr>
            <w:tcW w:w="3854" w:type="dxa"/>
            <w:tcBorders>
              <w:top w:val="single" w:color="auto" w:sz="4" w:space="0"/>
              <w:left w:val="nil"/>
              <w:bottom w:val="single" w:color="auto" w:sz="4" w:space="0"/>
              <w:right w:val="single" w:color="auto" w:sz="4" w:space="0"/>
            </w:tcBorders>
            <w:shd w:val="clear" w:color="auto" w:fill="auto"/>
            <w:vAlign w:val="center"/>
          </w:tcPr>
          <w:p w14:paraId="7976E39B">
            <w:pPr>
              <w:keepNext w:val="0"/>
              <w:keepLines w:val="0"/>
              <w:pageBreakBefore w:val="0"/>
              <w:widowControl w:val="0"/>
              <w:kinsoku/>
              <w:overflowPunct/>
              <w:bidi w:val="0"/>
              <w:snapToGrid/>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应符合晋建市字【2016】3号文件报送企业基本信息，并将公示的企业基本信息网页</w:t>
            </w:r>
            <w:r>
              <w:rPr>
                <w:rFonts w:hint="eastAsia" w:ascii="宋体" w:hAnsi="宋体" w:eastAsia="宋体" w:cs="宋体"/>
                <w:sz w:val="24"/>
                <w:szCs w:val="24"/>
                <w:highlight w:val="none"/>
                <w:lang w:val="en-US" w:eastAsia="zh-CN"/>
              </w:rPr>
              <w:t>截图</w:t>
            </w:r>
            <w:r>
              <w:rPr>
                <w:rFonts w:hint="eastAsia" w:ascii="宋体" w:hAnsi="宋体" w:eastAsia="宋体" w:cs="宋体"/>
                <w:sz w:val="24"/>
                <w:szCs w:val="24"/>
                <w:highlight w:val="none"/>
              </w:rPr>
              <w:t>加盖单位公章，并附在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w:t>
            </w:r>
          </w:p>
        </w:tc>
      </w:tr>
      <w:tr w14:paraId="31BB6360">
        <w:tblPrEx>
          <w:tblCellMar>
            <w:top w:w="0" w:type="dxa"/>
            <w:left w:w="0" w:type="dxa"/>
            <w:bottom w:w="0" w:type="dxa"/>
            <w:right w:w="0" w:type="dxa"/>
          </w:tblCellMar>
        </w:tblPrEx>
        <w:trPr>
          <w:trHeight w:val="78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A9121EF">
            <w:pPr>
              <w:jc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11</w:t>
            </w:r>
          </w:p>
        </w:tc>
        <w:tc>
          <w:tcPr>
            <w:tcW w:w="3869" w:type="dxa"/>
            <w:tcBorders>
              <w:top w:val="single" w:color="auto" w:sz="4" w:space="0"/>
              <w:left w:val="nil"/>
              <w:bottom w:val="single" w:color="auto" w:sz="4" w:space="0"/>
              <w:right w:val="single" w:color="auto" w:sz="4" w:space="0"/>
            </w:tcBorders>
            <w:shd w:val="clear" w:color="auto" w:fill="auto"/>
            <w:vAlign w:val="center"/>
          </w:tcPr>
          <w:p w14:paraId="33871976">
            <w:pPr>
              <w:jc w:val="center"/>
              <w:rPr>
                <w:rFonts w:hint="eastAsia" w:ascii="宋体" w:hAnsi="宋体" w:eastAsia="宋体" w:cs="宋体"/>
                <w:sz w:val="24"/>
                <w:szCs w:val="24"/>
              </w:rPr>
            </w:pPr>
            <w:r>
              <w:rPr>
                <w:rFonts w:hint="eastAsia" w:ascii="宋体" w:hAnsi="宋体" w:eastAsia="宋体" w:cs="宋体"/>
                <w:sz w:val="24"/>
                <w:szCs w:val="24"/>
              </w:rPr>
              <w:t>基本存款账户信息及保证金的交纳情况</w:t>
            </w:r>
          </w:p>
        </w:tc>
        <w:tc>
          <w:tcPr>
            <w:tcW w:w="3854" w:type="dxa"/>
            <w:tcBorders>
              <w:top w:val="single" w:color="auto" w:sz="4" w:space="0"/>
              <w:left w:val="nil"/>
              <w:bottom w:val="single" w:color="auto" w:sz="4" w:space="0"/>
              <w:right w:val="single" w:color="auto" w:sz="4" w:space="0"/>
            </w:tcBorders>
            <w:shd w:val="clear" w:color="auto" w:fill="auto"/>
            <w:vAlign w:val="center"/>
          </w:tcPr>
          <w:p w14:paraId="6A6EA518">
            <w:pPr>
              <w:keepNext w:val="0"/>
              <w:keepLines w:val="0"/>
              <w:pageBreakBefore w:val="0"/>
              <w:widowControl w:val="0"/>
              <w:kinsoku/>
              <w:overflowPunct/>
              <w:bidi w:val="0"/>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提供磋商供应商基本存款账户信息及保证金交纳回单或回执扫描件或保函扫描件加盖磋商响应供应商公章；</w:t>
            </w:r>
          </w:p>
          <w:p w14:paraId="3104717F">
            <w:pPr>
              <w:keepNext w:val="0"/>
              <w:keepLines w:val="0"/>
              <w:pageBreakBefore w:val="0"/>
              <w:widowControl w:val="0"/>
              <w:kinsoku/>
              <w:overflowPunct/>
              <w:bidi w:val="0"/>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按照磋商文件签署公章</w:t>
            </w:r>
          </w:p>
        </w:tc>
      </w:tr>
      <w:tr w14:paraId="707F1870">
        <w:tblPrEx>
          <w:tblCellMar>
            <w:top w:w="0" w:type="dxa"/>
            <w:left w:w="0" w:type="dxa"/>
            <w:bottom w:w="0" w:type="dxa"/>
            <w:right w:w="0" w:type="dxa"/>
          </w:tblCellMar>
        </w:tblPrEx>
        <w:trPr>
          <w:trHeight w:val="78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588CF0B">
            <w:pPr>
              <w:jc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12</w:t>
            </w:r>
          </w:p>
        </w:tc>
        <w:tc>
          <w:tcPr>
            <w:tcW w:w="3869" w:type="dxa"/>
            <w:tcBorders>
              <w:top w:val="single" w:color="auto" w:sz="4" w:space="0"/>
              <w:left w:val="nil"/>
              <w:bottom w:val="single" w:color="auto" w:sz="4" w:space="0"/>
              <w:right w:val="single" w:color="auto" w:sz="4" w:space="0"/>
            </w:tcBorders>
            <w:shd w:val="clear" w:color="auto" w:fill="auto"/>
            <w:vAlign w:val="center"/>
          </w:tcPr>
          <w:p w14:paraId="7C5A894F">
            <w:pPr>
              <w:pStyle w:val="21"/>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“与采购人不存在利害关系及其他违规行为”的证明材料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49563AAD">
            <w:pPr>
              <w:keepNext w:val="0"/>
              <w:keepLines w:val="0"/>
              <w:pageBreakBefore w:val="0"/>
              <w:widowControl w:val="0"/>
              <w:kinsoku/>
              <w:wordWrap w:val="0"/>
              <w:overflowPunct/>
              <w:topLinePunct/>
              <w:autoSpaceDE/>
              <w:autoSpaceDN/>
              <w:bidi w:val="0"/>
              <w:adjustRightInd w:val="0"/>
              <w:snapToGrid/>
              <w:ind w:left="0"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提供《承诺函》，按照磋商文件签署公章</w:t>
            </w:r>
          </w:p>
        </w:tc>
      </w:tr>
    </w:tbl>
    <w:p w14:paraId="5EDEDC3F">
      <w:pPr>
        <w:rPr>
          <w:rFonts w:hint="eastAsia" w:ascii="宋体" w:hAnsi="宋体" w:eastAsia="宋体" w:cs="宋体"/>
          <w:b w:val="0"/>
          <w:bCs w:val="0"/>
          <w:color w:val="auto"/>
          <w:kern w:val="2"/>
          <w:sz w:val="24"/>
          <w:szCs w:val="28"/>
          <w:highlight w:val="none"/>
        </w:rPr>
      </w:pPr>
      <w:r>
        <w:rPr>
          <w:rFonts w:hint="eastAsia" w:ascii="宋体" w:hAnsi="宋体" w:eastAsia="宋体" w:cs="宋体"/>
          <w:b w:val="0"/>
          <w:bCs w:val="0"/>
          <w:color w:val="auto"/>
          <w:kern w:val="2"/>
          <w:sz w:val="24"/>
          <w:szCs w:val="28"/>
          <w:highlight w:val="none"/>
        </w:rPr>
        <w:br w:type="page"/>
      </w:r>
    </w:p>
    <w:p w14:paraId="191E1340">
      <w:pPr>
        <w:pStyle w:val="3"/>
        <w:jc w:val="left"/>
        <w:rPr>
          <w:rFonts w:hint="eastAsia" w:ascii="宋体" w:hAnsi="宋体" w:eastAsia="宋体" w:cs="宋体"/>
          <w:b w:val="0"/>
          <w:bCs w:val="0"/>
          <w:color w:val="auto"/>
          <w:kern w:val="2"/>
          <w:sz w:val="24"/>
          <w:szCs w:val="28"/>
          <w:highlight w:val="none"/>
        </w:rPr>
      </w:pPr>
      <w:r>
        <w:rPr>
          <w:rFonts w:hint="eastAsia" w:ascii="宋体" w:hAnsi="宋体" w:eastAsia="宋体" w:cs="宋体"/>
          <w:b w:val="0"/>
          <w:bCs w:val="0"/>
          <w:color w:val="auto"/>
          <w:kern w:val="2"/>
          <w:sz w:val="24"/>
          <w:szCs w:val="28"/>
          <w:highlight w:val="none"/>
        </w:rPr>
        <w:t>（2）符合性审查</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4"/>
        <w:gridCol w:w="3446"/>
        <w:gridCol w:w="4294"/>
      </w:tblGrid>
      <w:tr w14:paraId="4F24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1364" w:type="dxa"/>
            <w:shd w:val="clear" w:color="auto" w:fill="FAFAFA"/>
            <w:vAlign w:val="center"/>
          </w:tcPr>
          <w:p w14:paraId="25752B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446" w:type="dxa"/>
            <w:shd w:val="clear" w:color="auto" w:fill="FAFAFA"/>
            <w:vAlign w:val="center"/>
          </w:tcPr>
          <w:p w14:paraId="2C84B2F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4294" w:type="dxa"/>
            <w:shd w:val="clear" w:color="auto" w:fill="FAFAFA"/>
            <w:vAlign w:val="center"/>
          </w:tcPr>
          <w:p w14:paraId="226CA32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评审要求</w:t>
            </w:r>
          </w:p>
        </w:tc>
      </w:tr>
      <w:tr w14:paraId="069F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exact"/>
          <w:jc w:val="center"/>
        </w:trPr>
        <w:tc>
          <w:tcPr>
            <w:tcW w:w="1364" w:type="dxa"/>
            <w:vAlign w:val="center"/>
          </w:tcPr>
          <w:p w14:paraId="4A6A7CBD">
            <w:pPr>
              <w:autoSpaceDE w:val="0"/>
              <w:autoSpaceDN w:val="0"/>
              <w:adjustRightInd w:val="0"/>
              <w:spacing w:before="97"/>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46" w:type="dxa"/>
            <w:vAlign w:val="center"/>
          </w:tcPr>
          <w:p w14:paraId="10CC6C68">
            <w:pPr>
              <w:jc w:val="center"/>
              <w:rPr>
                <w:rFonts w:hint="eastAsia" w:ascii="宋体" w:hAnsi="宋体" w:eastAsia="宋体" w:cs="宋体"/>
                <w:sz w:val="24"/>
                <w:szCs w:val="24"/>
              </w:rPr>
            </w:pPr>
            <w:r>
              <w:rPr>
                <w:rFonts w:hint="eastAsia" w:ascii="宋体" w:hAnsi="宋体" w:eastAsia="宋体" w:cs="宋体"/>
                <w:sz w:val="24"/>
                <w:szCs w:val="24"/>
              </w:rPr>
              <w:t>响应函</w:t>
            </w:r>
          </w:p>
        </w:tc>
        <w:tc>
          <w:tcPr>
            <w:tcW w:w="4294" w:type="dxa"/>
            <w:vAlign w:val="center"/>
          </w:tcPr>
          <w:p w14:paraId="1D3DBFCD">
            <w:pPr>
              <w:autoSpaceDE w:val="0"/>
              <w:autoSpaceDN w:val="0"/>
              <w:adjustRightInd w:val="0"/>
              <w:spacing w:before="71" w:line="240" w:lineRule="auto"/>
              <w:ind w:left="209" w:right="26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内容齐全，签署符合磋商文件要求；</w:t>
            </w:r>
          </w:p>
        </w:tc>
      </w:tr>
      <w:tr w14:paraId="7226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exact"/>
          <w:jc w:val="center"/>
        </w:trPr>
        <w:tc>
          <w:tcPr>
            <w:tcW w:w="1364" w:type="dxa"/>
            <w:vAlign w:val="center"/>
          </w:tcPr>
          <w:p w14:paraId="207A0ADC">
            <w:pPr>
              <w:autoSpaceDE w:val="0"/>
              <w:autoSpaceDN w:val="0"/>
              <w:adjustRightInd w:val="0"/>
              <w:spacing w:before="97"/>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46" w:type="dxa"/>
            <w:vAlign w:val="center"/>
          </w:tcPr>
          <w:p w14:paraId="64588CF3">
            <w:pPr>
              <w:jc w:val="center"/>
              <w:rPr>
                <w:rFonts w:hint="eastAsia" w:ascii="宋体" w:hAnsi="宋体" w:eastAsia="宋体" w:cs="宋体"/>
                <w:sz w:val="24"/>
                <w:szCs w:val="24"/>
              </w:rPr>
            </w:pPr>
            <w:r>
              <w:rPr>
                <w:rFonts w:hint="eastAsia" w:ascii="宋体" w:hAnsi="宋体" w:eastAsia="宋体" w:cs="宋体"/>
                <w:sz w:val="24"/>
                <w:szCs w:val="24"/>
              </w:rPr>
              <w:t>法定代表人资格证明书、法定代表人授权委托书</w:t>
            </w:r>
          </w:p>
        </w:tc>
        <w:tc>
          <w:tcPr>
            <w:tcW w:w="4294" w:type="dxa"/>
            <w:vAlign w:val="center"/>
          </w:tcPr>
          <w:p w14:paraId="30580AEE">
            <w:pPr>
              <w:autoSpaceDE w:val="0"/>
              <w:autoSpaceDN w:val="0"/>
              <w:adjustRightInd w:val="0"/>
              <w:spacing w:before="71" w:line="165" w:lineRule="auto"/>
              <w:ind w:left="209" w:right="26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内容齐全，签署符合磋商文件要求；</w:t>
            </w:r>
          </w:p>
        </w:tc>
      </w:tr>
      <w:tr w14:paraId="2462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exact"/>
          <w:jc w:val="center"/>
        </w:trPr>
        <w:tc>
          <w:tcPr>
            <w:tcW w:w="1364" w:type="dxa"/>
            <w:vAlign w:val="center"/>
          </w:tcPr>
          <w:p w14:paraId="10DA9BF4">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46" w:type="dxa"/>
            <w:vAlign w:val="center"/>
          </w:tcPr>
          <w:p w14:paraId="0F325C6D">
            <w:pPr>
              <w:jc w:val="center"/>
              <w:rPr>
                <w:rFonts w:hint="eastAsia" w:ascii="宋体" w:hAnsi="宋体" w:eastAsia="宋体" w:cs="宋体"/>
                <w:sz w:val="24"/>
                <w:szCs w:val="24"/>
              </w:rPr>
            </w:pPr>
            <w:r>
              <w:rPr>
                <w:rFonts w:hint="eastAsia" w:ascii="宋体" w:hAnsi="宋体" w:eastAsia="宋体" w:cs="宋体"/>
                <w:sz w:val="24"/>
                <w:szCs w:val="24"/>
              </w:rPr>
              <w:t>工期</w:t>
            </w:r>
          </w:p>
        </w:tc>
        <w:tc>
          <w:tcPr>
            <w:tcW w:w="4294" w:type="dxa"/>
            <w:vAlign w:val="center"/>
          </w:tcPr>
          <w:p w14:paraId="168BE19C">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r>
              <w:rPr>
                <w:rFonts w:hint="eastAsia" w:ascii="宋体" w:hAnsi="宋体" w:eastAsia="宋体" w:cs="宋体"/>
                <w:color w:val="auto"/>
                <w:sz w:val="24"/>
                <w:szCs w:val="24"/>
                <w:highlight w:val="none"/>
                <w:lang w:eastAsia="zh-CN"/>
              </w:rPr>
              <w:t>；</w:t>
            </w:r>
          </w:p>
        </w:tc>
      </w:tr>
      <w:tr w14:paraId="15A1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exact"/>
          <w:jc w:val="center"/>
        </w:trPr>
        <w:tc>
          <w:tcPr>
            <w:tcW w:w="1364" w:type="dxa"/>
            <w:vAlign w:val="center"/>
          </w:tcPr>
          <w:p w14:paraId="0D150DA6">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46" w:type="dxa"/>
            <w:vAlign w:val="center"/>
          </w:tcPr>
          <w:p w14:paraId="3A32657F">
            <w:pPr>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4294" w:type="dxa"/>
            <w:vAlign w:val="center"/>
          </w:tcPr>
          <w:p w14:paraId="23B49171">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r>
              <w:rPr>
                <w:rFonts w:hint="eastAsia" w:ascii="宋体" w:hAnsi="宋体" w:eastAsia="宋体" w:cs="宋体"/>
                <w:color w:val="auto"/>
                <w:sz w:val="24"/>
                <w:szCs w:val="24"/>
                <w:highlight w:val="none"/>
                <w:lang w:eastAsia="zh-CN"/>
              </w:rPr>
              <w:t>；</w:t>
            </w:r>
          </w:p>
        </w:tc>
      </w:tr>
      <w:tr w14:paraId="4871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jc w:val="center"/>
        </w:trPr>
        <w:tc>
          <w:tcPr>
            <w:tcW w:w="1364" w:type="dxa"/>
            <w:vAlign w:val="center"/>
          </w:tcPr>
          <w:p w14:paraId="0E4116CB">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46" w:type="dxa"/>
            <w:vAlign w:val="center"/>
          </w:tcPr>
          <w:p w14:paraId="0FE26E3A">
            <w:pPr>
              <w:jc w:val="center"/>
              <w:rPr>
                <w:rFonts w:hint="eastAsia" w:ascii="宋体" w:hAnsi="宋体" w:eastAsia="宋体" w:cs="宋体"/>
                <w:sz w:val="24"/>
                <w:szCs w:val="24"/>
              </w:rPr>
            </w:pPr>
            <w:r>
              <w:rPr>
                <w:rFonts w:hint="eastAsia" w:ascii="宋体" w:hAnsi="宋体" w:eastAsia="宋体" w:cs="宋体"/>
                <w:sz w:val="24"/>
                <w:szCs w:val="24"/>
              </w:rPr>
              <w:t>响应性有效期要求</w:t>
            </w:r>
          </w:p>
        </w:tc>
        <w:tc>
          <w:tcPr>
            <w:tcW w:w="4294" w:type="dxa"/>
            <w:vAlign w:val="center"/>
          </w:tcPr>
          <w:p w14:paraId="79093B07">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r>
              <w:rPr>
                <w:rFonts w:hint="eastAsia" w:ascii="宋体" w:hAnsi="宋体" w:eastAsia="宋体" w:cs="宋体"/>
                <w:color w:val="auto"/>
                <w:sz w:val="24"/>
                <w:szCs w:val="24"/>
                <w:highlight w:val="none"/>
                <w:lang w:eastAsia="zh-CN"/>
              </w:rPr>
              <w:t>；</w:t>
            </w:r>
          </w:p>
        </w:tc>
      </w:tr>
      <w:tr w14:paraId="5308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exact"/>
          <w:jc w:val="center"/>
        </w:trPr>
        <w:tc>
          <w:tcPr>
            <w:tcW w:w="1364" w:type="dxa"/>
            <w:vAlign w:val="center"/>
          </w:tcPr>
          <w:p w14:paraId="28FCA915">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46" w:type="dxa"/>
            <w:vAlign w:val="center"/>
          </w:tcPr>
          <w:p w14:paraId="42183910">
            <w:pPr>
              <w:jc w:val="center"/>
              <w:rPr>
                <w:rFonts w:hint="eastAsia" w:ascii="宋体" w:hAnsi="宋体" w:eastAsia="宋体" w:cs="宋体"/>
                <w:sz w:val="24"/>
                <w:szCs w:val="24"/>
              </w:rPr>
            </w:pPr>
            <w:r>
              <w:rPr>
                <w:rFonts w:hint="eastAsia" w:ascii="宋体" w:hAnsi="宋体" w:eastAsia="宋体" w:cs="宋体"/>
                <w:sz w:val="24"/>
                <w:szCs w:val="24"/>
              </w:rPr>
              <w:t>总报价</w:t>
            </w:r>
          </w:p>
        </w:tc>
        <w:tc>
          <w:tcPr>
            <w:tcW w:w="4294" w:type="dxa"/>
            <w:vAlign w:val="center"/>
          </w:tcPr>
          <w:p w14:paraId="18E39F2C">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低于（含等于）控制总价</w:t>
            </w:r>
            <w:r>
              <w:rPr>
                <w:rFonts w:hint="eastAsia" w:ascii="宋体" w:hAnsi="宋体" w:eastAsia="宋体" w:cs="宋体"/>
                <w:color w:val="auto"/>
                <w:sz w:val="24"/>
                <w:szCs w:val="24"/>
                <w:highlight w:val="none"/>
                <w:lang w:eastAsia="zh-CN"/>
              </w:rPr>
              <w:t>；</w:t>
            </w:r>
          </w:p>
        </w:tc>
      </w:tr>
      <w:tr w14:paraId="5F24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exact"/>
          <w:jc w:val="center"/>
        </w:trPr>
        <w:tc>
          <w:tcPr>
            <w:tcW w:w="1364" w:type="dxa"/>
            <w:vAlign w:val="center"/>
          </w:tcPr>
          <w:p w14:paraId="170B4266">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446" w:type="dxa"/>
            <w:vAlign w:val="center"/>
          </w:tcPr>
          <w:p w14:paraId="1B9291D9">
            <w:pPr>
              <w:jc w:val="center"/>
              <w:rPr>
                <w:rFonts w:hint="eastAsia" w:ascii="宋体" w:hAnsi="宋体" w:eastAsia="宋体" w:cs="宋体"/>
                <w:sz w:val="24"/>
                <w:szCs w:val="24"/>
              </w:rPr>
            </w:pPr>
            <w:r>
              <w:rPr>
                <w:rFonts w:hint="eastAsia" w:ascii="宋体" w:hAnsi="宋体" w:eastAsia="宋体" w:cs="宋体"/>
                <w:sz w:val="24"/>
                <w:szCs w:val="24"/>
              </w:rPr>
              <w:t>已标价工程量清单</w:t>
            </w:r>
          </w:p>
        </w:tc>
        <w:tc>
          <w:tcPr>
            <w:tcW w:w="4294" w:type="dxa"/>
            <w:vAlign w:val="center"/>
          </w:tcPr>
          <w:p w14:paraId="4AF120C2">
            <w:pPr>
              <w:autoSpaceDE w:val="0"/>
              <w:autoSpaceDN w:val="0"/>
              <w:adjustRightInd w:val="0"/>
              <w:spacing w:line="375" w:lineRule="exact"/>
              <w:ind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按照现行的《山西省建设工程计价依据》等相关规定及采购人提供的“工程量清单”要求</w:t>
            </w:r>
            <w:r>
              <w:rPr>
                <w:rFonts w:hint="eastAsia" w:ascii="宋体" w:hAnsi="宋体" w:eastAsia="宋体" w:cs="宋体"/>
                <w:color w:val="auto"/>
                <w:sz w:val="24"/>
                <w:szCs w:val="24"/>
                <w:highlight w:val="none"/>
                <w:lang w:eastAsia="zh-CN"/>
              </w:rPr>
              <w:t>；</w:t>
            </w:r>
          </w:p>
        </w:tc>
      </w:tr>
      <w:tr w14:paraId="20E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364" w:type="dxa"/>
            <w:vAlign w:val="center"/>
          </w:tcPr>
          <w:p w14:paraId="23174133">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446" w:type="dxa"/>
            <w:vAlign w:val="center"/>
          </w:tcPr>
          <w:p w14:paraId="49BE3492">
            <w:pPr>
              <w:jc w:val="center"/>
              <w:rPr>
                <w:rFonts w:hint="eastAsia" w:ascii="宋体" w:hAnsi="宋体" w:eastAsia="宋体" w:cs="宋体"/>
                <w:sz w:val="24"/>
                <w:szCs w:val="24"/>
              </w:rPr>
            </w:pPr>
            <w:r>
              <w:rPr>
                <w:rFonts w:hint="eastAsia" w:ascii="宋体" w:hAnsi="宋体" w:eastAsia="宋体" w:cs="宋体"/>
                <w:sz w:val="24"/>
                <w:szCs w:val="24"/>
              </w:rPr>
              <w:t>节能产品、环境标志产品承诺</w:t>
            </w:r>
          </w:p>
        </w:tc>
        <w:tc>
          <w:tcPr>
            <w:tcW w:w="4294" w:type="dxa"/>
            <w:vAlign w:val="center"/>
          </w:tcPr>
          <w:p w14:paraId="25053533">
            <w:pPr>
              <w:autoSpaceDE w:val="0"/>
              <w:autoSpaceDN w:val="0"/>
              <w:adjustRightInd w:val="0"/>
              <w:spacing w:line="375" w:lineRule="exact"/>
              <w:ind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提供《承诺函》，符合磋商文件要求</w:t>
            </w:r>
            <w:r>
              <w:rPr>
                <w:rFonts w:hint="eastAsia" w:ascii="宋体" w:hAnsi="宋体" w:eastAsia="宋体" w:cs="宋体"/>
                <w:color w:val="auto"/>
                <w:sz w:val="24"/>
                <w:szCs w:val="24"/>
                <w:highlight w:val="none"/>
                <w:lang w:eastAsia="zh-CN"/>
              </w:rPr>
              <w:t>；</w:t>
            </w:r>
          </w:p>
        </w:tc>
      </w:tr>
      <w:tr w14:paraId="6E4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exact"/>
          <w:jc w:val="center"/>
        </w:trPr>
        <w:tc>
          <w:tcPr>
            <w:tcW w:w="1364" w:type="dxa"/>
            <w:vAlign w:val="center"/>
          </w:tcPr>
          <w:p w14:paraId="0153F27E">
            <w:pPr>
              <w:autoSpaceDE w:val="0"/>
              <w:autoSpaceDN w:val="0"/>
              <w:adjustRightInd w:val="0"/>
              <w:spacing w:line="375" w:lineRule="exact"/>
              <w:ind w:left="561" w:right="5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446" w:type="dxa"/>
            <w:vAlign w:val="center"/>
          </w:tcPr>
          <w:p w14:paraId="4A08CF4A">
            <w:pPr>
              <w:jc w:val="center"/>
              <w:rPr>
                <w:rFonts w:hint="eastAsia" w:ascii="宋体" w:hAnsi="宋体" w:eastAsia="宋体" w:cs="宋体"/>
                <w:sz w:val="24"/>
                <w:szCs w:val="24"/>
              </w:rPr>
            </w:pPr>
            <w:r>
              <w:rPr>
                <w:rFonts w:hint="eastAsia" w:ascii="宋体" w:hAnsi="宋体" w:eastAsia="宋体" w:cs="宋体"/>
                <w:sz w:val="24"/>
                <w:szCs w:val="24"/>
              </w:rPr>
              <w:t>商品包装和快递包装承诺</w:t>
            </w:r>
          </w:p>
        </w:tc>
        <w:tc>
          <w:tcPr>
            <w:tcW w:w="4294" w:type="dxa"/>
            <w:vAlign w:val="center"/>
          </w:tcPr>
          <w:p w14:paraId="00035323">
            <w:pPr>
              <w:autoSpaceDE w:val="0"/>
              <w:autoSpaceDN w:val="0"/>
              <w:adjustRightInd w:val="0"/>
              <w:spacing w:line="375" w:lineRule="exact"/>
              <w:ind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提供《承诺函》，符合磋商文件要求</w:t>
            </w:r>
            <w:r>
              <w:rPr>
                <w:rFonts w:hint="eastAsia" w:ascii="宋体" w:hAnsi="宋体" w:eastAsia="宋体" w:cs="宋体"/>
                <w:color w:val="auto"/>
                <w:sz w:val="24"/>
                <w:szCs w:val="24"/>
                <w:highlight w:val="none"/>
                <w:lang w:eastAsia="zh-CN"/>
              </w:rPr>
              <w:t>；</w:t>
            </w:r>
          </w:p>
        </w:tc>
      </w:tr>
    </w:tbl>
    <w:p w14:paraId="0628C4F0">
      <w:pPr>
        <w:pStyle w:val="3"/>
        <w:rPr>
          <w:rFonts w:hint="eastAsia" w:ascii="宋体" w:hAnsi="宋体" w:eastAsia="宋体" w:cs="宋体"/>
          <w:b w:val="0"/>
          <w:bCs w:val="0"/>
          <w:color w:val="auto"/>
          <w:kern w:val="2"/>
          <w:sz w:val="21"/>
          <w:szCs w:val="22"/>
          <w:highlight w:val="none"/>
        </w:rPr>
      </w:pPr>
    </w:p>
    <w:p w14:paraId="397E018C">
      <w:pPr>
        <w:rPr>
          <w:rFonts w:hint="eastAsia" w:ascii="宋体" w:hAnsi="宋体" w:eastAsia="宋体" w:cs="宋体"/>
          <w:color w:val="auto"/>
          <w:highlight w:val="none"/>
        </w:rPr>
      </w:pPr>
    </w:p>
    <w:p w14:paraId="0F017589">
      <w:pPr>
        <w:jc w:val="left"/>
        <w:rPr>
          <w:rFonts w:hint="eastAsia" w:ascii="宋体" w:hAnsi="宋体" w:eastAsia="宋体" w:cs="宋体"/>
          <w:color w:val="auto"/>
          <w:sz w:val="24"/>
          <w:szCs w:val="28"/>
          <w:highlight w:val="none"/>
        </w:rPr>
      </w:pPr>
      <w:bookmarkStart w:id="1177" w:name="PO_TDCUS_ITEM_SM_TABLE_1"/>
    </w:p>
    <w:p w14:paraId="425F4916">
      <w:pPr>
        <w:jc w:val="left"/>
        <w:rPr>
          <w:rFonts w:hint="eastAsia" w:ascii="宋体" w:hAnsi="宋体" w:eastAsia="宋体" w:cs="宋体"/>
          <w:color w:val="auto"/>
          <w:sz w:val="24"/>
          <w:szCs w:val="28"/>
        </w:rPr>
      </w:pPr>
    </w:p>
    <w:p w14:paraId="0F5ACCB6">
      <w:pPr>
        <w:jc w:val="left"/>
        <w:rPr>
          <w:rFonts w:hint="eastAsia" w:ascii="宋体" w:hAnsi="宋体" w:eastAsia="宋体" w:cs="宋体"/>
          <w:color w:val="auto"/>
          <w:sz w:val="24"/>
          <w:szCs w:val="28"/>
        </w:rPr>
      </w:pPr>
    </w:p>
    <w:p w14:paraId="4CFC58AE">
      <w:pPr>
        <w:jc w:val="left"/>
        <w:rPr>
          <w:rFonts w:hint="eastAsia" w:ascii="宋体" w:hAnsi="宋体" w:eastAsia="宋体" w:cs="宋体"/>
          <w:color w:val="auto"/>
          <w:sz w:val="24"/>
          <w:szCs w:val="28"/>
        </w:rPr>
      </w:pPr>
    </w:p>
    <w:p w14:paraId="3802704F">
      <w:pPr>
        <w:jc w:val="left"/>
        <w:rPr>
          <w:rFonts w:hint="eastAsia" w:ascii="宋体" w:hAnsi="宋体" w:eastAsia="宋体" w:cs="宋体"/>
          <w:color w:val="auto"/>
          <w:sz w:val="24"/>
          <w:szCs w:val="28"/>
        </w:rPr>
      </w:pPr>
    </w:p>
    <w:p w14:paraId="78FA3B96">
      <w:pPr>
        <w:jc w:val="left"/>
        <w:rPr>
          <w:rFonts w:hint="eastAsia" w:ascii="宋体" w:hAnsi="宋体" w:eastAsia="宋体" w:cs="宋体"/>
          <w:color w:val="auto"/>
          <w:sz w:val="24"/>
          <w:szCs w:val="28"/>
        </w:rPr>
      </w:pPr>
    </w:p>
    <w:p w14:paraId="128B1775">
      <w:pPr>
        <w:jc w:val="left"/>
        <w:rPr>
          <w:rFonts w:hint="eastAsia" w:ascii="宋体" w:hAnsi="宋体" w:eastAsia="宋体" w:cs="宋体"/>
          <w:color w:val="auto"/>
          <w:sz w:val="24"/>
          <w:szCs w:val="28"/>
        </w:rPr>
      </w:pPr>
    </w:p>
    <w:p w14:paraId="1BED4932">
      <w:pPr>
        <w:rPr>
          <w:rFonts w:hint="eastAsia" w:ascii="宋体" w:hAnsi="宋体" w:eastAsia="宋体" w:cs="宋体"/>
          <w:color w:val="auto"/>
          <w:sz w:val="24"/>
          <w:szCs w:val="28"/>
        </w:rPr>
      </w:pPr>
      <w:r>
        <w:rPr>
          <w:rFonts w:hint="eastAsia" w:ascii="宋体" w:hAnsi="宋体" w:eastAsia="宋体" w:cs="宋体"/>
          <w:color w:val="auto"/>
          <w:sz w:val="24"/>
          <w:szCs w:val="28"/>
        </w:rPr>
        <w:br w:type="page"/>
      </w:r>
    </w:p>
    <w:p w14:paraId="6E5ADBD5">
      <w:pPr>
        <w:jc w:val="lef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rPr>
        <w:t>3、</w:t>
      </w:r>
      <w:r>
        <w:rPr>
          <w:rFonts w:hint="eastAsia" w:ascii="宋体" w:hAnsi="宋体" w:eastAsia="宋体" w:cs="宋体"/>
          <w:color w:val="auto"/>
          <w:sz w:val="24"/>
          <w:szCs w:val="28"/>
          <w:lang w:val="en-US" w:eastAsia="zh-CN"/>
        </w:rPr>
        <w:t>综合评分细则</w:t>
      </w:r>
    </w:p>
    <w:bookmarkEnd w:id="1177"/>
    <w:tbl>
      <w:tblPr>
        <w:tblStyle w:val="25"/>
        <w:tblpPr w:leftFromText="180" w:rightFromText="180" w:vertAnchor="text" w:horzAnchor="page" w:tblpX="1778" w:tblpY="29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056"/>
        <w:gridCol w:w="4653"/>
        <w:gridCol w:w="1062"/>
        <w:gridCol w:w="844"/>
      </w:tblGrid>
      <w:tr w14:paraId="52DA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36BDE78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056" w:type="dxa"/>
          </w:tcPr>
          <w:p w14:paraId="1E69789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类型</w:t>
            </w:r>
          </w:p>
        </w:tc>
        <w:tc>
          <w:tcPr>
            <w:tcW w:w="5715" w:type="dxa"/>
            <w:gridSpan w:val="2"/>
          </w:tcPr>
          <w:p w14:paraId="12FF139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评分标准</w:t>
            </w:r>
          </w:p>
        </w:tc>
        <w:tc>
          <w:tcPr>
            <w:tcW w:w="844" w:type="dxa"/>
          </w:tcPr>
          <w:p w14:paraId="0EA77AE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分值权重</w:t>
            </w:r>
          </w:p>
        </w:tc>
      </w:tr>
      <w:tr w14:paraId="4329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E9D9F8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56" w:type="dxa"/>
          </w:tcPr>
          <w:p w14:paraId="0029E383">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w:t>
            </w:r>
          </w:p>
        </w:tc>
        <w:tc>
          <w:tcPr>
            <w:tcW w:w="5715" w:type="dxa"/>
            <w:gridSpan w:val="2"/>
          </w:tcPr>
          <w:p w14:paraId="77E05B6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(最低报价/投标报价)“最大分值</w:t>
            </w:r>
          </w:p>
        </w:tc>
        <w:tc>
          <w:tcPr>
            <w:tcW w:w="844" w:type="dxa"/>
          </w:tcPr>
          <w:p w14:paraId="734C370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30</w:t>
            </w:r>
          </w:p>
        </w:tc>
      </w:tr>
      <w:tr w14:paraId="4315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DA91CB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技术商务资信分：70</w:t>
            </w:r>
          </w:p>
        </w:tc>
      </w:tr>
      <w:tr w14:paraId="3217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1AEDBF3D">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056" w:type="dxa"/>
            <w:vAlign w:val="top"/>
          </w:tcPr>
          <w:p w14:paraId="32B4CEB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类型</w:t>
            </w:r>
          </w:p>
        </w:tc>
        <w:tc>
          <w:tcPr>
            <w:tcW w:w="4653" w:type="dxa"/>
          </w:tcPr>
          <w:p w14:paraId="6808FC4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评分标准</w:t>
            </w:r>
          </w:p>
        </w:tc>
        <w:tc>
          <w:tcPr>
            <w:tcW w:w="1062" w:type="dxa"/>
          </w:tcPr>
          <w:p w14:paraId="6B92A246">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分值权重</w:t>
            </w:r>
          </w:p>
        </w:tc>
        <w:tc>
          <w:tcPr>
            <w:tcW w:w="844" w:type="dxa"/>
          </w:tcPr>
          <w:p w14:paraId="43B8920C">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打分方法</w:t>
            </w:r>
          </w:p>
        </w:tc>
      </w:tr>
      <w:tr w14:paraId="7743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F542B6C">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w:t>
            </w:r>
          </w:p>
        </w:tc>
        <w:tc>
          <w:tcPr>
            <w:tcW w:w="1056" w:type="dxa"/>
            <w:vAlign w:val="center"/>
          </w:tcPr>
          <w:p w14:paraId="48CC426B">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商务资信</w:t>
            </w:r>
          </w:p>
        </w:tc>
        <w:tc>
          <w:tcPr>
            <w:tcW w:w="4653" w:type="dxa"/>
            <w:vAlign w:val="top"/>
          </w:tcPr>
          <w:p w14:paraId="2757FAA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供应商同类或类似合同案例</w:t>
            </w:r>
          </w:p>
          <w:p w14:paraId="78C7328C">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供应商业绩以提供同类或类似近三年（自202</w:t>
            </w:r>
            <w:r>
              <w:rPr>
                <w:rFonts w:hint="eastAsia" w:ascii="宋体" w:hAnsi="宋体" w:cs="宋体"/>
                <w:color w:val="auto"/>
                <w:sz w:val="24"/>
                <w:szCs w:val="28"/>
                <w:lang w:val="en-US" w:eastAsia="zh-CN"/>
              </w:rPr>
              <w:t>3</w:t>
            </w:r>
            <w:r>
              <w:rPr>
                <w:rFonts w:hint="eastAsia" w:ascii="宋体" w:hAnsi="宋体" w:eastAsia="宋体" w:cs="宋体"/>
                <w:color w:val="auto"/>
                <w:sz w:val="24"/>
                <w:szCs w:val="28"/>
                <w:lang w:val="en-US" w:eastAsia="zh-CN"/>
              </w:rPr>
              <w:t>年</w:t>
            </w:r>
            <w:r>
              <w:rPr>
                <w:rFonts w:hint="eastAsia" w:ascii="宋体" w:hAnsi="宋体" w:cs="宋体"/>
                <w:color w:val="auto"/>
                <w:sz w:val="24"/>
                <w:szCs w:val="28"/>
                <w:lang w:val="en-US" w:eastAsia="zh-CN"/>
              </w:rPr>
              <w:t>4</w:t>
            </w:r>
            <w:r>
              <w:rPr>
                <w:rFonts w:hint="eastAsia" w:ascii="宋体" w:hAnsi="宋体" w:eastAsia="宋体" w:cs="宋体"/>
                <w:color w:val="auto"/>
                <w:sz w:val="24"/>
                <w:szCs w:val="28"/>
                <w:lang w:val="en-US" w:eastAsia="zh-CN"/>
              </w:rPr>
              <w:t>月至今）内的合同为准：</w:t>
            </w:r>
          </w:p>
          <w:p w14:paraId="1EAFA32D">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以中标通知书、合同及竣工验收证明为准（合同要求必须提供与最终用户签订的合同首页、合同金额所在页、签字盖章页复印件作为证明），每签署一份同类或类似项目合同的得3分，最高得6分。</w:t>
            </w:r>
          </w:p>
          <w:p w14:paraId="273FC541">
            <w:pPr>
              <w:jc w:val="left"/>
              <w:outlineLvl w:val="9"/>
              <w:rPr>
                <w:rFonts w:hint="default" w:ascii="宋体" w:hAnsi="宋体" w:eastAsia="宋体" w:cs="宋体"/>
                <w:color w:val="auto"/>
                <w:sz w:val="24"/>
                <w:szCs w:val="28"/>
                <w:lang w:val="en-US" w:eastAsia="zh-CN"/>
              </w:rPr>
            </w:pPr>
            <w:r>
              <w:rPr>
                <w:rFonts w:hint="eastAsia" w:ascii="宋体" w:hAnsi="宋体" w:eastAsia="宋体" w:cs="宋体"/>
                <w:b/>
                <w:bCs/>
                <w:color w:val="auto"/>
                <w:sz w:val="22"/>
                <w:szCs w:val="24"/>
                <w:lang w:val="en-US" w:eastAsia="zh-CN"/>
              </w:rPr>
              <w:t>注：项目经理与企业同类或类似工程不能是同一项，应分别提供。</w:t>
            </w:r>
          </w:p>
        </w:tc>
        <w:tc>
          <w:tcPr>
            <w:tcW w:w="1062" w:type="dxa"/>
            <w:vAlign w:val="center"/>
          </w:tcPr>
          <w:p w14:paraId="0E42762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6分</w:t>
            </w:r>
          </w:p>
        </w:tc>
        <w:tc>
          <w:tcPr>
            <w:tcW w:w="844" w:type="dxa"/>
            <w:vAlign w:val="center"/>
          </w:tcPr>
          <w:p w14:paraId="009DCD8D">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客观</w:t>
            </w:r>
            <w:r>
              <w:rPr>
                <w:rFonts w:hint="eastAsia" w:ascii="宋体" w:hAnsi="宋体" w:cs="宋体"/>
                <w:color w:val="auto"/>
                <w:sz w:val="24"/>
                <w:szCs w:val="28"/>
                <w:lang w:val="en-US" w:eastAsia="zh-CN"/>
              </w:rPr>
              <w:t>分</w:t>
            </w:r>
          </w:p>
        </w:tc>
      </w:tr>
      <w:tr w14:paraId="6ED0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907" w:type="dxa"/>
            <w:vAlign w:val="center"/>
          </w:tcPr>
          <w:p w14:paraId="370E2D8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2</w:t>
            </w:r>
          </w:p>
        </w:tc>
        <w:tc>
          <w:tcPr>
            <w:tcW w:w="1056" w:type="dxa"/>
            <w:vAlign w:val="center"/>
          </w:tcPr>
          <w:p w14:paraId="52D2E1D9">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商务资信</w:t>
            </w:r>
          </w:p>
        </w:tc>
        <w:tc>
          <w:tcPr>
            <w:tcW w:w="4653" w:type="dxa"/>
            <w:vAlign w:val="top"/>
          </w:tcPr>
          <w:p w14:paraId="6C93CAC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项目经理同类或类似合同案例</w:t>
            </w:r>
          </w:p>
          <w:p w14:paraId="14EA7ABF">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项目经理近三年（自202</w:t>
            </w:r>
            <w:r>
              <w:rPr>
                <w:rFonts w:hint="eastAsia" w:ascii="宋体" w:hAnsi="宋体" w:cs="宋体"/>
                <w:color w:val="auto"/>
                <w:sz w:val="24"/>
                <w:szCs w:val="28"/>
                <w:lang w:val="en-US" w:eastAsia="zh-CN"/>
              </w:rPr>
              <w:t>2</w:t>
            </w:r>
            <w:r>
              <w:rPr>
                <w:rFonts w:hint="eastAsia" w:ascii="宋体" w:hAnsi="宋体" w:eastAsia="宋体" w:cs="宋体"/>
                <w:color w:val="auto"/>
                <w:sz w:val="24"/>
                <w:szCs w:val="28"/>
                <w:lang w:val="en-US" w:eastAsia="zh-CN"/>
              </w:rPr>
              <w:t>年</w:t>
            </w: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月至今）承担过一项与拟磋商工程同类或类似工程的合同为准：</w:t>
            </w:r>
          </w:p>
          <w:p w14:paraId="269CAF8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以中标通知书、合同及竣工验收证明为准（合同要求必须提供与最终用户签订的合同首页、合同金额所在页、签字盖章页复印件作为证明），每签署一份同类或类似项目合同的得2分，最高得4分。</w:t>
            </w:r>
          </w:p>
          <w:p w14:paraId="69AEF62E">
            <w:pPr>
              <w:jc w:val="left"/>
              <w:outlineLvl w:val="9"/>
              <w:rPr>
                <w:rFonts w:hint="eastAsia" w:ascii="宋体" w:hAnsi="宋体" w:eastAsia="宋体" w:cs="宋体"/>
                <w:color w:val="auto"/>
                <w:sz w:val="24"/>
                <w:szCs w:val="28"/>
                <w:lang w:val="en-US" w:eastAsia="zh-CN"/>
              </w:rPr>
            </w:pPr>
            <w:r>
              <w:rPr>
                <w:rFonts w:hint="eastAsia" w:ascii="宋体" w:hAnsi="宋体" w:eastAsia="宋体" w:cs="宋体"/>
                <w:b/>
                <w:bCs/>
                <w:color w:val="auto"/>
                <w:sz w:val="22"/>
                <w:szCs w:val="24"/>
                <w:lang w:val="en-US" w:eastAsia="zh-CN"/>
              </w:rPr>
              <w:t>注：项目经理与企业同类或类似工程不能是同一项，应分别提供。</w:t>
            </w:r>
          </w:p>
        </w:tc>
        <w:tc>
          <w:tcPr>
            <w:tcW w:w="1062" w:type="dxa"/>
            <w:vAlign w:val="center"/>
          </w:tcPr>
          <w:p w14:paraId="1F91E77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4分</w:t>
            </w:r>
          </w:p>
        </w:tc>
        <w:tc>
          <w:tcPr>
            <w:tcW w:w="844" w:type="dxa"/>
            <w:vAlign w:val="center"/>
          </w:tcPr>
          <w:p w14:paraId="6E0A6D19">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客观</w:t>
            </w:r>
            <w:r>
              <w:rPr>
                <w:rFonts w:hint="eastAsia" w:ascii="宋体" w:hAnsi="宋体" w:cs="宋体"/>
                <w:color w:val="auto"/>
                <w:sz w:val="24"/>
                <w:szCs w:val="28"/>
                <w:lang w:val="en-US" w:eastAsia="zh-CN"/>
              </w:rPr>
              <w:t>分</w:t>
            </w:r>
          </w:p>
        </w:tc>
      </w:tr>
      <w:tr w14:paraId="0B83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7" w:type="dxa"/>
            <w:vAlign w:val="center"/>
          </w:tcPr>
          <w:p w14:paraId="2278861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3</w:t>
            </w:r>
          </w:p>
        </w:tc>
        <w:tc>
          <w:tcPr>
            <w:tcW w:w="1056" w:type="dxa"/>
            <w:vAlign w:val="center"/>
          </w:tcPr>
          <w:p w14:paraId="0AC4594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35B9D904">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施工组织方案</w:t>
            </w:r>
          </w:p>
          <w:p w14:paraId="44CD786E">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根据磋商文件要求和服务响应情况，对供应商提供的施工组织方案进行评价，其中包括：</w:t>
            </w:r>
          </w:p>
          <w:p w14:paraId="2F3F094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（1）施工总体方案</w:t>
            </w:r>
          </w:p>
          <w:p w14:paraId="26AD007A">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（2）拟投入的人员及设备</w:t>
            </w:r>
          </w:p>
          <w:p w14:paraId="75FF6519">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（3）劳动组织准备</w:t>
            </w:r>
          </w:p>
          <w:p w14:paraId="25A6791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（4）施工到竣工验收等组织方案</w:t>
            </w:r>
          </w:p>
          <w:p w14:paraId="3525E09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上述四项内容均进行了阐述且满足本项目服务要求的得1</w:t>
            </w: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 xml:space="preserve">分； </w:t>
            </w:r>
          </w:p>
          <w:p w14:paraId="577EAA0B">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每有一项内容虽阐述但未贴合项目实际情况进行论述，或内容中未包括具体实施细节及措施，扣</w:t>
            </w:r>
            <w:r>
              <w:rPr>
                <w:rFonts w:hint="eastAsia" w:ascii="宋体" w:hAnsi="宋体" w:cs="宋体"/>
                <w:color w:val="auto"/>
                <w:sz w:val="24"/>
                <w:szCs w:val="28"/>
                <w:lang w:val="en-US" w:eastAsia="zh-CN"/>
              </w:rPr>
              <w:t>2</w:t>
            </w:r>
            <w:r>
              <w:rPr>
                <w:rFonts w:hint="eastAsia" w:ascii="宋体" w:hAnsi="宋体" w:eastAsia="宋体" w:cs="宋体"/>
                <w:color w:val="auto"/>
                <w:sz w:val="24"/>
                <w:szCs w:val="28"/>
                <w:lang w:val="en-US" w:eastAsia="zh-CN"/>
              </w:rPr>
              <w:t xml:space="preserve">分； </w:t>
            </w:r>
          </w:p>
          <w:p w14:paraId="2BA3280B">
            <w:pPr>
              <w:jc w:val="left"/>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z w:val="24"/>
                <w:szCs w:val="28"/>
                <w:lang w:val="en-US" w:eastAsia="zh-CN"/>
              </w:rPr>
              <w:t>每有一项内容未阐述或不符合项目实际情况且未提供具体实施细节及措施，扣</w:t>
            </w:r>
            <w:r>
              <w:rPr>
                <w:rFonts w:hint="eastAsia" w:ascii="宋体" w:hAnsi="宋体" w:cs="宋体"/>
                <w:color w:val="auto"/>
                <w:sz w:val="24"/>
                <w:szCs w:val="28"/>
                <w:lang w:val="en-US" w:eastAsia="zh-CN"/>
              </w:rPr>
              <w:t>4</w:t>
            </w:r>
            <w:r>
              <w:rPr>
                <w:rFonts w:hint="eastAsia" w:ascii="宋体" w:hAnsi="宋体" w:eastAsia="宋体" w:cs="宋体"/>
                <w:color w:val="auto"/>
                <w:sz w:val="24"/>
                <w:szCs w:val="28"/>
                <w:lang w:val="en-US" w:eastAsia="zh-CN"/>
              </w:rPr>
              <w:t>分，最低得0分。</w:t>
            </w:r>
          </w:p>
        </w:tc>
        <w:tc>
          <w:tcPr>
            <w:tcW w:w="1062" w:type="dxa"/>
            <w:vAlign w:val="center"/>
          </w:tcPr>
          <w:p w14:paraId="0AFC729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w:t>
            </w: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分</w:t>
            </w:r>
          </w:p>
        </w:tc>
        <w:tc>
          <w:tcPr>
            <w:tcW w:w="844" w:type="dxa"/>
            <w:vAlign w:val="center"/>
          </w:tcPr>
          <w:p w14:paraId="43A5C41B">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6679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DDDA62C">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4</w:t>
            </w:r>
          </w:p>
        </w:tc>
        <w:tc>
          <w:tcPr>
            <w:tcW w:w="1056" w:type="dxa"/>
            <w:vAlign w:val="center"/>
          </w:tcPr>
          <w:p w14:paraId="03FBBA9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5E8167E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施工进度计划方案</w:t>
            </w:r>
          </w:p>
          <w:p w14:paraId="41584194">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根据磋商文件要求和服务响应情况，对供应商提供的施工进度计划方案进行评价，其中包括：</w:t>
            </w:r>
          </w:p>
          <w:p w14:paraId="3087176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（1）施工过程</w:t>
            </w:r>
          </w:p>
          <w:p w14:paraId="4E6DB4D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（2）工期计划安排</w:t>
            </w:r>
          </w:p>
          <w:p w14:paraId="18FB3A1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（3）保障措施</w:t>
            </w:r>
          </w:p>
          <w:p w14:paraId="1F2A623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上述三项内容均进行了阐述且满足本项目服务要求的得12分； </w:t>
            </w:r>
          </w:p>
          <w:p w14:paraId="08BF325C">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每有一项内容虽阐述但未贴合项目实际情况进行论述，或内容中未包括具体实施细节及措施，扣2分； </w:t>
            </w:r>
          </w:p>
          <w:p w14:paraId="72FF8137">
            <w:pPr>
              <w:jc w:val="left"/>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每有一项内容未阐述或不符合项目实际情况且未提供具体实施细节及措施，扣4分，最低得0分。</w:t>
            </w:r>
          </w:p>
        </w:tc>
        <w:tc>
          <w:tcPr>
            <w:tcW w:w="1062" w:type="dxa"/>
            <w:vAlign w:val="center"/>
          </w:tcPr>
          <w:p w14:paraId="50FCEE4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12分</w:t>
            </w:r>
          </w:p>
        </w:tc>
        <w:tc>
          <w:tcPr>
            <w:tcW w:w="844" w:type="dxa"/>
            <w:vAlign w:val="center"/>
          </w:tcPr>
          <w:p w14:paraId="7E4507D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60E5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5619A1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5</w:t>
            </w:r>
          </w:p>
        </w:tc>
        <w:tc>
          <w:tcPr>
            <w:tcW w:w="1056" w:type="dxa"/>
            <w:vAlign w:val="center"/>
          </w:tcPr>
          <w:p w14:paraId="648642B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13336C02">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施工质量控制方案</w:t>
            </w:r>
          </w:p>
          <w:p w14:paraId="038EB9E3">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根据磋商文件要求和服务响应情况，对供应商提供的施工质量控制方案进行评价，其中包括：</w:t>
            </w:r>
          </w:p>
          <w:p w14:paraId="6E0EF99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（1）工程技术管理</w:t>
            </w:r>
          </w:p>
          <w:p w14:paraId="728CBF59">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（2）施工管理</w:t>
            </w:r>
          </w:p>
          <w:p w14:paraId="1A06A6E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（3）工程质量控制保障</w:t>
            </w:r>
          </w:p>
          <w:p w14:paraId="1EA64F6B">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（4）质量违约责任承诺</w:t>
            </w:r>
          </w:p>
          <w:p w14:paraId="5541E18F">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上述</w:t>
            </w:r>
            <w:r>
              <w:rPr>
                <w:rFonts w:hint="eastAsia" w:ascii="宋体" w:hAnsi="宋体" w:cs="宋体"/>
                <w:color w:val="auto"/>
                <w:sz w:val="24"/>
                <w:szCs w:val="28"/>
                <w:lang w:val="en-US" w:eastAsia="zh-CN"/>
              </w:rPr>
              <w:t>四</w:t>
            </w:r>
            <w:r>
              <w:rPr>
                <w:rFonts w:hint="eastAsia" w:ascii="宋体" w:hAnsi="宋体" w:eastAsia="宋体" w:cs="宋体"/>
                <w:color w:val="auto"/>
                <w:sz w:val="24"/>
                <w:szCs w:val="28"/>
                <w:lang w:val="en-US" w:eastAsia="zh-CN"/>
              </w:rPr>
              <w:t xml:space="preserve">项内容均进行了阐述且满足本项目服务要求的得12分； </w:t>
            </w:r>
          </w:p>
          <w:p w14:paraId="3FDB337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每有一项内容虽阐述但未贴合项目实际情况进行论述，或内容中未包括具体实施细节及措施，扣1.5分； </w:t>
            </w:r>
          </w:p>
          <w:p w14:paraId="118FD34F">
            <w:pPr>
              <w:jc w:val="left"/>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每有一项内容未阐述或不符合项目实际情况且未提供具体实施细节及措施，扣3分，最低得0分。</w:t>
            </w:r>
          </w:p>
        </w:tc>
        <w:tc>
          <w:tcPr>
            <w:tcW w:w="1062" w:type="dxa"/>
            <w:vAlign w:val="center"/>
          </w:tcPr>
          <w:p w14:paraId="602C3DF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12分</w:t>
            </w:r>
          </w:p>
        </w:tc>
        <w:tc>
          <w:tcPr>
            <w:tcW w:w="844" w:type="dxa"/>
            <w:vAlign w:val="center"/>
          </w:tcPr>
          <w:p w14:paraId="76B19F0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1C1E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91BB6D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6</w:t>
            </w:r>
          </w:p>
        </w:tc>
        <w:tc>
          <w:tcPr>
            <w:tcW w:w="1056" w:type="dxa"/>
            <w:vAlign w:val="center"/>
          </w:tcPr>
          <w:p w14:paraId="365E802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6ECFB23B">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安全文明施工保障措施方案</w:t>
            </w:r>
          </w:p>
          <w:p w14:paraId="343F9303">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根据磋商文件要求和服务响应情况，对供应商提供的安全文明施工保障措施方案进行评价，其中包括：</w:t>
            </w:r>
          </w:p>
          <w:p w14:paraId="51FCD0F1">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（1）施工管理制度</w:t>
            </w:r>
          </w:p>
          <w:p w14:paraId="6182740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（2）施工操作规程</w:t>
            </w:r>
          </w:p>
          <w:p w14:paraId="404DB006">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（3）现场管控措施</w:t>
            </w:r>
          </w:p>
          <w:p w14:paraId="65CBFDA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上述三项内容均进行了阐述且满足本项目服务要求的得9分； </w:t>
            </w:r>
          </w:p>
          <w:p w14:paraId="6607EED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每有一项内容虽阐述但未贴合项目实际情况进行论述，或内容中未包括具体实施细节及措施，扣1.5分； </w:t>
            </w:r>
          </w:p>
          <w:p w14:paraId="14FB1413">
            <w:pPr>
              <w:jc w:val="left"/>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每有一项内容未阐述或不符合项目实际情况且未提供具体实施细节及措施，扣3分，最低得0分。</w:t>
            </w:r>
          </w:p>
        </w:tc>
        <w:tc>
          <w:tcPr>
            <w:tcW w:w="1062" w:type="dxa"/>
            <w:vAlign w:val="center"/>
          </w:tcPr>
          <w:p w14:paraId="0548676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9分</w:t>
            </w:r>
          </w:p>
        </w:tc>
        <w:tc>
          <w:tcPr>
            <w:tcW w:w="844" w:type="dxa"/>
            <w:vAlign w:val="center"/>
          </w:tcPr>
          <w:p w14:paraId="2DBB7F62">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6CD9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A0AF5F2">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7</w:t>
            </w:r>
          </w:p>
        </w:tc>
        <w:tc>
          <w:tcPr>
            <w:tcW w:w="1056" w:type="dxa"/>
            <w:vAlign w:val="center"/>
          </w:tcPr>
          <w:p w14:paraId="4AF0C16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0DA5580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重、难点分析方案</w:t>
            </w:r>
          </w:p>
          <w:p w14:paraId="2E670D8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根据磋商文件要求和服务响应情况，对供应商提供的重、难点分析方案进行评价，其中包括：</w:t>
            </w:r>
          </w:p>
          <w:p w14:paraId="3BD8D14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（1）关键重点、难点问题分析</w:t>
            </w:r>
          </w:p>
          <w:p w14:paraId="7B47DF86">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（2）相应的技术保障措施</w:t>
            </w:r>
          </w:p>
          <w:p w14:paraId="10CA87B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上述两项内容均进行了阐述且满足本项目服务要求的得</w:t>
            </w: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 xml:space="preserve">分； </w:t>
            </w:r>
          </w:p>
          <w:p w14:paraId="6E09830C">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每有一项内容虽阐述但未贴合项目实际情况进行论述，或内容中未包括具体实施细节及措施，扣</w:t>
            </w:r>
            <w:r>
              <w:rPr>
                <w:rFonts w:hint="eastAsia" w:ascii="宋体" w:hAnsi="宋体" w:cs="宋体"/>
                <w:color w:val="auto"/>
                <w:sz w:val="24"/>
                <w:szCs w:val="28"/>
                <w:lang w:val="en-US" w:eastAsia="zh-CN"/>
              </w:rPr>
              <w:t>1.5</w:t>
            </w:r>
            <w:r>
              <w:rPr>
                <w:rFonts w:hint="eastAsia" w:ascii="宋体" w:hAnsi="宋体" w:eastAsia="宋体" w:cs="宋体"/>
                <w:color w:val="auto"/>
                <w:sz w:val="24"/>
                <w:szCs w:val="28"/>
                <w:lang w:val="en-US" w:eastAsia="zh-CN"/>
              </w:rPr>
              <w:t xml:space="preserve">分； </w:t>
            </w:r>
          </w:p>
          <w:p w14:paraId="34C88AB8">
            <w:pPr>
              <w:jc w:val="left"/>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w:t>
            </w:r>
            <w:r>
              <w:rPr>
                <w:rFonts w:hint="eastAsia" w:ascii="宋体" w:hAnsi="宋体" w:cs="宋体"/>
                <w:color w:val="auto"/>
                <w:sz w:val="24"/>
                <w:szCs w:val="28"/>
                <w:lang w:val="en-US" w:eastAsia="zh-CN"/>
              </w:rPr>
              <w:t>3</w:t>
            </w:r>
            <w:r>
              <w:rPr>
                <w:rFonts w:hint="eastAsia" w:ascii="宋体" w:hAnsi="宋体" w:eastAsia="宋体" w:cs="宋体"/>
                <w:color w:val="auto"/>
                <w:sz w:val="24"/>
                <w:szCs w:val="28"/>
                <w:lang w:val="en-US" w:eastAsia="zh-CN"/>
              </w:rPr>
              <w:t>分，最低得0分。</w:t>
            </w:r>
          </w:p>
        </w:tc>
        <w:tc>
          <w:tcPr>
            <w:tcW w:w="1062" w:type="dxa"/>
            <w:vAlign w:val="center"/>
          </w:tcPr>
          <w:p w14:paraId="12C31EEA">
            <w:pPr>
              <w:jc w:val="center"/>
              <w:outlineLvl w:val="9"/>
              <w:rPr>
                <w:rFonts w:hint="eastAsia" w:ascii="宋体" w:hAnsi="宋体" w:eastAsia="宋体" w:cs="宋体"/>
                <w:b w:val="0"/>
                <w:bCs w:val="0"/>
                <w:sz w:val="24"/>
                <w:szCs w:val="24"/>
                <w:lang w:val="en-US" w:eastAsia="zh-CN"/>
              </w:rPr>
            </w:pP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分</w:t>
            </w:r>
          </w:p>
        </w:tc>
        <w:tc>
          <w:tcPr>
            <w:tcW w:w="844" w:type="dxa"/>
            <w:vAlign w:val="center"/>
          </w:tcPr>
          <w:p w14:paraId="27D58F6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789E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699216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8</w:t>
            </w:r>
          </w:p>
        </w:tc>
        <w:tc>
          <w:tcPr>
            <w:tcW w:w="1056" w:type="dxa"/>
            <w:vAlign w:val="center"/>
          </w:tcPr>
          <w:p w14:paraId="4D7D4E3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544BA48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应急预案和紧急事件处置措施</w:t>
            </w:r>
          </w:p>
          <w:p w14:paraId="39A3E7F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根据磋商文件要求和服务响应情况，对供应商提供的应急预案和紧急事件处置措施进行评价，其中包括：</w:t>
            </w:r>
          </w:p>
          <w:p w14:paraId="31B1F2E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（1）突发事件的处理措施</w:t>
            </w:r>
          </w:p>
          <w:p w14:paraId="31CC543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（2）突发事故应急维修时间、响应速度及服务便捷性</w:t>
            </w:r>
          </w:p>
          <w:p w14:paraId="726BDDA6">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上述两项内容均进行了阐述且满足本项目服务要求的得5分； </w:t>
            </w:r>
          </w:p>
          <w:p w14:paraId="712C300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每有一项内容虽阐述但未贴合项目实际情况进行论述，或内容中未包括具体实施细节及措施，扣1分； </w:t>
            </w:r>
          </w:p>
          <w:p w14:paraId="4C84B1AB">
            <w:pPr>
              <w:jc w:val="left"/>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每有一项内容未阐述或不符合项目实际情况且未提供具体实施细节及措施，扣2.5分，最低得0分。</w:t>
            </w:r>
          </w:p>
        </w:tc>
        <w:tc>
          <w:tcPr>
            <w:tcW w:w="1062" w:type="dxa"/>
            <w:vAlign w:val="center"/>
          </w:tcPr>
          <w:p w14:paraId="36D2CC22">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5分</w:t>
            </w:r>
          </w:p>
        </w:tc>
        <w:tc>
          <w:tcPr>
            <w:tcW w:w="844" w:type="dxa"/>
            <w:vAlign w:val="center"/>
          </w:tcPr>
          <w:p w14:paraId="6C66FA4E">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bl>
    <w:p w14:paraId="704593A4">
      <w:pPr>
        <w:rPr>
          <w:rFonts w:hint="eastAsia" w:ascii="宋体" w:hAnsi="宋体" w:eastAsia="宋体" w:cs="宋体"/>
          <w:color w:val="auto"/>
          <w:sz w:val="24"/>
          <w:szCs w:val="28"/>
        </w:rPr>
      </w:pPr>
    </w:p>
    <w:p w14:paraId="6EEABEFA">
      <w:pPr>
        <w:jc w:val="left"/>
        <w:rPr>
          <w:rFonts w:hint="eastAsia" w:ascii="宋体" w:hAnsi="宋体" w:eastAsia="宋体" w:cs="宋体"/>
          <w:color w:val="auto"/>
        </w:rPr>
      </w:pPr>
    </w:p>
    <w:p w14:paraId="5A00F33A">
      <w:pPr>
        <w:spacing w:line="276" w:lineRule="auto"/>
        <w:jc w:val="left"/>
        <w:rPr>
          <w:rFonts w:hint="eastAsia" w:ascii="宋体" w:hAnsi="宋体" w:eastAsia="宋体" w:cs="宋体"/>
          <w:color w:val="auto"/>
          <w:sz w:val="24"/>
        </w:rPr>
      </w:pPr>
      <w:bookmarkStart w:id="1178" w:name="_Toc520824348"/>
      <w:bookmarkStart w:id="1179" w:name="_Toc474729562"/>
      <w:bookmarkStart w:id="1180" w:name="_Toc440162797"/>
      <w:bookmarkStart w:id="1181" w:name="_Toc81341344"/>
      <w:bookmarkStart w:id="1182" w:name="_Toc23347"/>
      <w:r>
        <w:rPr>
          <w:rFonts w:hint="eastAsia" w:ascii="宋体" w:hAnsi="宋体" w:eastAsia="宋体" w:cs="宋体"/>
          <w:color w:val="auto"/>
          <w:sz w:val="28"/>
          <w:szCs w:val="28"/>
        </w:rPr>
        <w:t>四、</w:t>
      </w:r>
      <w:bookmarkEnd w:id="1178"/>
      <w:bookmarkEnd w:id="1179"/>
      <w:bookmarkEnd w:id="1180"/>
      <w:r>
        <w:rPr>
          <w:rFonts w:hint="eastAsia" w:ascii="宋体" w:hAnsi="宋体" w:eastAsia="宋体" w:cs="宋体"/>
          <w:color w:val="auto"/>
          <w:sz w:val="28"/>
          <w:szCs w:val="28"/>
        </w:rPr>
        <w:t>其他评审事项规定</w:t>
      </w:r>
      <w:bookmarkEnd w:id="1181"/>
      <w:bookmarkEnd w:id="1182"/>
    </w:p>
    <w:p w14:paraId="135C8471">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4.1 串通投标的认定</w:t>
      </w:r>
    </w:p>
    <w:p w14:paraId="62C27E54">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4.1.1在评审过程中发现以下情形，被视为串通投标的：</w:t>
      </w:r>
    </w:p>
    <w:p w14:paraId="265DAD18">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的磋商响应文件由同一单位或个人编制或上传电子</w:t>
      </w:r>
      <w:r>
        <w:rPr>
          <w:rFonts w:hint="eastAsia" w:ascii="宋体" w:hAnsi="宋体" w:eastAsia="宋体" w:cs="宋体"/>
          <w:b/>
          <w:color w:val="auto"/>
          <w:kern w:val="0"/>
          <w:sz w:val="24"/>
          <w:u w:val="single"/>
          <w:lang w:val="en-US" w:eastAsia="zh-CN"/>
        </w:rPr>
        <w:t>响应</w:t>
      </w:r>
      <w:r>
        <w:rPr>
          <w:rFonts w:hint="eastAsia" w:ascii="宋体" w:hAnsi="宋体" w:eastAsia="宋体" w:cs="宋体"/>
          <w:b/>
          <w:color w:val="auto"/>
          <w:kern w:val="0"/>
          <w:sz w:val="24"/>
          <w:u w:val="single"/>
        </w:rPr>
        <w:t>文件的IP地址一致的</w:t>
      </w:r>
      <w:r>
        <w:rPr>
          <w:rFonts w:hint="eastAsia" w:ascii="宋体" w:hAnsi="宋体" w:eastAsia="宋体" w:cs="宋体"/>
          <w:b/>
          <w:color w:val="auto"/>
          <w:kern w:val="0"/>
          <w:sz w:val="24"/>
        </w:rPr>
        <w:t>；</w:t>
      </w:r>
    </w:p>
    <w:p w14:paraId="28C2D907">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委托同一单位或个人办理投标事宜</w:t>
      </w:r>
      <w:r>
        <w:rPr>
          <w:rFonts w:hint="eastAsia" w:ascii="宋体" w:hAnsi="宋体" w:eastAsia="宋体" w:cs="宋体"/>
          <w:b/>
          <w:color w:val="auto"/>
          <w:kern w:val="0"/>
          <w:sz w:val="24"/>
        </w:rPr>
        <w:t>；</w:t>
      </w:r>
    </w:p>
    <w:p w14:paraId="72D6966B">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的磋商响应文件载明的项目管理成员或联系人员为同一人</w:t>
      </w:r>
      <w:r>
        <w:rPr>
          <w:rFonts w:hint="eastAsia" w:ascii="宋体" w:hAnsi="宋体" w:eastAsia="宋体" w:cs="宋体"/>
          <w:b/>
          <w:color w:val="auto"/>
          <w:kern w:val="0"/>
          <w:sz w:val="24"/>
        </w:rPr>
        <w:t>；</w:t>
      </w:r>
    </w:p>
    <w:p w14:paraId="71826F1B">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（4）</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的磋商响应文件异常一致或者投标报价呈规律性差异</w:t>
      </w:r>
      <w:r>
        <w:rPr>
          <w:rFonts w:hint="eastAsia" w:ascii="宋体" w:hAnsi="宋体" w:eastAsia="宋体" w:cs="宋体"/>
          <w:b/>
          <w:color w:val="auto"/>
          <w:kern w:val="0"/>
          <w:sz w:val="24"/>
        </w:rPr>
        <w:t>；</w:t>
      </w:r>
    </w:p>
    <w:p w14:paraId="43800AD5">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（5）</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val="en-US" w:eastAsia="zh-CN"/>
        </w:rPr>
        <w:t>磋商供应商</w:t>
      </w:r>
      <w:r>
        <w:rPr>
          <w:rFonts w:hint="eastAsia" w:ascii="宋体" w:hAnsi="宋体" w:eastAsia="宋体" w:cs="宋体"/>
          <w:b/>
          <w:color w:val="auto"/>
          <w:kern w:val="0"/>
          <w:sz w:val="24"/>
          <w:u w:val="single"/>
        </w:rPr>
        <w:t>的保证金从同一单位或者个人的账户转出</w:t>
      </w:r>
      <w:r>
        <w:rPr>
          <w:rFonts w:hint="eastAsia" w:ascii="宋体" w:hAnsi="宋体" w:eastAsia="宋体" w:cs="宋体"/>
          <w:b/>
          <w:color w:val="auto"/>
          <w:kern w:val="0"/>
          <w:sz w:val="24"/>
        </w:rPr>
        <w:t>。</w:t>
      </w:r>
    </w:p>
    <w:p w14:paraId="1F88FDB1">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4.1.2</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应当遵循公平竞争的原则，不得恶意串通，不得妨碍其他</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的竞争行为，不得损害采购人或者其他</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的合法权益。在评审过程中，发现</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有上述串通投标情形的，磋商响应无效，并书面报告本级财政部门。</w:t>
      </w:r>
    </w:p>
    <w:p w14:paraId="4552163C">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 xml:space="preserve">4.2 </w:t>
      </w:r>
      <w:r>
        <w:rPr>
          <w:rFonts w:hint="eastAsia" w:ascii="宋体" w:hAnsi="宋体" w:eastAsia="宋体" w:cs="宋体"/>
          <w:color w:val="auto"/>
          <w:sz w:val="24"/>
          <w:lang w:eastAsia="zh-CN"/>
        </w:rPr>
        <w:t>磋商供应商</w:t>
      </w:r>
      <w:r>
        <w:rPr>
          <w:rFonts w:hint="eastAsia" w:ascii="宋体" w:hAnsi="宋体" w:eastAsia="宋体" w:cs="宋体"/>
          <w:color w:val="auto"/>
          <w:sz w:val="24"/>
        </w:rPr>
        <w:t>违法等重大事项的处理</w:t>
      </w:r>
    </w:p>
    <w:p w14:paraId="24F69A4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有下列情形之一的，磋商响应无效且将《磋商响应文件》、《询标记录》等报同级政府采购监管部门或有关职能部门查处：</w:t>
      </w:r>
    </w:p>
    <w:p w14:paraId="1B1BD15C">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（1）未如实提供债权债务、重大违法记录、利害关系等信息，影响或者可能影响成交结果的；</w:t>
      </w:r>
    </w:p>
    <w:p w14:paraId="1B58240B">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（2）不遵循公平竞争原则、恶意串通、妨碍其他</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的竞争、损害采购人或其他</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合法权益的；</w:t>
      </w:r>
    </w:p>
    <w:p w14:paraId="7C761369">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（3）政府采购活动中存在违法行为的；</w:t>
      </w:r>
    </w:p>
    <w:p w14:paraId="7E83390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（3）其他严重干扰招投标秩序的行为的。</w:t>
      </w:r>
    </w:p>
    <w:p w14:paraId="08D366FF">
      <w:pPr>
        <w:pStyle w:val="5"/>
        <w:ind w:firstLine="241"/>
        <w:jc w:val="left"/>
        <w:rPr>
          <w:rFonts w:hint="eastAsia" w:ascii="宋体" w:hAnsi="宋体" w:eastAsia="宋体" w:cs="宋体"/>
          <w:color w:val="auto"/>
          <w:sz w:val="24"/>
        </w:rPr>
      </w:pPr>
      <w:r>
        <w:rPr>
          <w:rFonts w:hint="eastAsia" w:ascii="宋体" w:hAnsi="宋体" w:eastAsia="宋体" w:cs="宋体"/>
          <w:color w:val="auto"/>
          <w:sz w:val="24"/>
        </w:rPr>
        <w:t>4.3 评审中合格</w:t>
      </w:r>
      <w:r>
        <w:rPr>
          <w:rFonts w:hint="eastAsia" w:ascii="宋体" w:hAnsi="宋体" w:eastAsia="宋体" w:cs="宋体"/>
          <w:color w:val="auto"/>
          <w:sz w:val="24"/>
          <w:lang w:eastAsia="zh-CN"/>
        </w:rPr>
        <w:t>磋商供应商</w:t>
      </w:r>
      <w:r>
        <w:rPr>
          <w:rFonts w:hint="eastAsia" w:ascii="宋体" w:hAnsi="宋体" w:eastAsia="宋体" w:cs="宋体"/>
          <w:color w:val="auto"/>
          <w:sz w:val="24"/>
        </w:rPr>
        <w:t>不足法定数量的处理</w:t>
      </w:r>
    </w:p>
    <w:p w14:paraId="4A6FABFD">
      <w:pPr>
        <w:pStyle w:val="5"/>
        <w:ind w:firstLine="516" w:firstLineChars="214"/>
        <w:jc w:val="left"/>
        <w:rPr>
          <w:rFonts w:hint="eastAsia" w:ascii="宋体" w:hAnsi="宋体" w:eastAsia="宋体" w:cs="宋体"/>
          <w:color w:val="auto"/>
        </w:rPr>
      </w:pPr>
      <w:r>
        <w:rPr>
          <w:rFonts w:hint="eastAsia" w:ascii="宋体" w:hAnsi="宋体" w:eastAsia="宋体" w:cs="宋体"/>
          <w:b/>
          <w:color w:val="auto"/>
          <w:kern w:val="0"/>
          <w:sz w:val="24"/>
          <w:lang w:val="en-US" w:eastAsia="zh-CN"/>
        </w:rPr>
        <w:t>竞争性磋商</w:t>
      </w:r>
      <w:r>
        <w:rPr>
          <w:rFonts w:hint="eastAsia" w:ascii="宋体" w:hAnsi="宋体" w:eastAsia="宋体" w:cs="宋体"/>
          <w:b/>
          <w:color w:val="auto"/>
          <w:kern w:val="0"/>
          <w:sz w:val="24"/>
        </w:rPr>
        <w:t>的采购项目，在评审过程中，若某个标项的有效</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不足三家的，除采购任务取消情形外，采购人可选择以下方式之一处理：</w:t>
      </w:r>
    </w:p>
    <w:p w14:paraId="5F168D79">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（1）将本标项作废标处理，重新组织采购；</w:t>
      </w:r>
    </w:p>
    <w:p w14:paraId="109E694A">
      <w:pPr>
        <w:spacing w:line="360" w:lineRule="auto"/>
        <w:ind w:firstLine="420" w:firstLineChars="175"/>
        <w:jc w:val="left"/>
        <w:rPr>
          <w:rFonts w:hint="eastAsia" w:ascii="宋体" w:hAnsi="宋体" w:eastAsia="宋体" w:cs="宋体"/>
          <w:b/>
          <w:color w:val="auto"/>
          <w:sz w:val="24"/>
        </w:rPr>
      </w:pPr>
      <w:r>
        <w:rPr>
          <w:rFonts w:hint="eastAsia" w:ascii="宋体" w:hAnsi="宋体" w:eastAsia="宋体" w:cs="宋体"/>
          <w:color w:val="auto"/>
          <w:kern w:val="0"/>
          <w:sz w:val="24"/>
        </w:rPr>
        <w:t>（2）按同级政府采购监督管理部门的审批意见采用其他采购方式组织采购。</w:t>
      </w:r>
    </w:p>
    <w:p w14:paraId="47F814E7">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4.4 废标适用情形</w:t>
      </w:r>
    </w:p>
    <w:p w14:paraId="4F486D95">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在招标采购中，出现下列情形之一的，项目将予以废标：</w:t>
      </w:r>
    </w:p>
    <w:p w14:paraId="10BD7628">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（1）符合专业条件的供应商或者对竞争性磋商文件作实质响应的供应商不足三家的；</w:t>
      </w:r>
    </w:p>
    <w:p w14:paraId="5C150451">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（2）出现影响采购公正的违法、违规行为的；</w:t>
      </w:r>
    </w:p>
    <w:p w14:paraId="2E9B2E9F">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的报价均超过了采购预算，采购人不能支付的；</w:t>
      </w:r>
    </w:p>
    <w:p w14:paraId="40F20AD5">
      <w:pPr>
        <w:widowControl/>
        <w:spacing w:line="360" w:lineRule="auto"/>
        <w:ind w:firstLine="48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（4）因重大变故，采购任务取消的。</w:t>
      </w:r>
    </w:p>
    <w:p w14:paraId="0D8CEAA9">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4.5 可中止电子交易活动的情形</w:t>
      </w:r>
    </w:p>
    <w:p w14:paraId="1F7F3F35">
      <w:pPr>
        <w:spacing w:line="360" w:lineRule="auto"/>
        <w:ind w:firstLine="424" w:firstLineChars="176"/>
        <w:jc w:val="left"/>
        <w:rPr>
          <w:rFonts w:hint="eastAsia" w:ascii="宋体" w:hAnsi="宋体" w:eastAsia="宋体" w:cs="宋体"/>
          <w:color w:val="auto"/>
          <w:sz w:val="24"/>
          <w:szCs w:val="28"/>
        </w:rPr>
      </w:pPr>
      <w:r>
        <w:rPr>
          <w:rFonts w:hint="eastAsia" w:ascii="宋体" w:hAnsi="宋体" w:eastAsia="宋体" w:cs="宋体"/>
          <w:b/>
          <w:color w:val="auto"/>
          <w:sz w:val="24"/>
          <w:szCs w:val="28"/>
        </w:rPr>
        <w:t>采购过程中出现以下情形，导致电子交易平台无法正常运行，或者无法保证电子交易的公平、公正和安全时，采购组织机构可中止电子交易活动：</w:t>
      </w:r>
    </w:p>
    <w:p w14:paraId="65ECE6D7">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（一）电子交易平台发生故障而无法登录访问的；</w:t>
      </w:r>
    </w:p>
    <w:p w14:paraId="34674EF2">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（二）电子交易平台应用或数据库出现错误，不能进行正常操作的；</w:t>
      </w:r>
    </w:p>
    <w:p w14:paraId="136B3B21">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（三）电子交易平台发现严重安全漏洞，有潜在泄密危险的；</w:t>
      </w:r>
    </w:p>
    <w:p w14:paraId="78902595">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（四）病毒发作导致不能进行正常操作的；</w:t>
      </w:r>
    </w:p>
    <w:p w14:paraId="2B5258C3">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（五）其他无法保证电子交易的公平、公正和安全的情况。</w:t>
      </w:r>
    </w:p>
    <w:p w14:paraId="49ADEB54">
      <w:pPr>
        <w:spacing w:line="360" w:lineRule="auto"/>
        <w:ind w:firstLine="465" w:firstLineChars="193"/>
        <w:jc w:val="left"/>
        <w:rPr>
          <w:rFonts w:hint="eastAsia" w:ascii="宋体" w:hAnsi="宋体" w:eastAsia="宋体" w:cs="宋体"/>
          <w:color w:val="auto"/>
        </w:rPr>
      </w:pPr>
      <w:r>
        <w:rPr>
          <w:rFonts w:hint="eastAsia" w:ascii="宋体" w:hAnsi="宋体" w:eastAsia="宋体" w:cs="宋体"/>
          <w:b/>
          <w:color w:val="auto"/>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14:paraId="0450753F">
      <w:pPr>
        <w:jc w:val="left"/>
        <w:rPr>
          <w:rFonts w:hint="eastAsia" w:ascii="宋体" w:hAnsi="宋体" w:eastAsia="宋体" w:cs="宋体"/>
          <w:color w:val="auto"/>
        </w:rPr>
      </w:pPr>
    </w:p>
    <w:p w14:paraId="2CAF07BD">
      <w:pPr>
        <w:jc w:val="left"/>
        <w:rPr>
          <w:rFonts w:hint="eastAsia" w:ascii="宋体" w:hAnsi="宋体" w:eastAsia="宋体" w:cs="宋体"/>
          <w:color w:val="auto"/>
        </w:rPr>
      </w:pPr>
    </w:p>
    <w:p w14:paraId="73DADD6E">
      <w:pPr>
        <w:rPr>
          <w:rFonts w:hint="eastAsia" w:ascii="宋体" w:hAnsi="宋体" w:eastAsia="宋体" w:cs="宋体"/>
        </w:rPr>
      </w:pPr>
    </w:p>
    <w:p w14:paraId="034B6C96">
      <w:pPr>
        <w:rPr>
          <w:rFonts w:hint="eastAsia" w:ascii="宋体" w:hAnsi="宋体" w:eastAsia="宋体" w:cs="宋体"/>
        </w:rPr>
      </w:pPr>
    </w:p>
    <w:sectPr>
      <w:headerReference r:id="rId20" w:type="default"/>
      <w:footerReference r:id="rId21" w:type="default"/>
      <w:pgSz w:w="11906" w:h="16838"/>
      <w:pgMar w:top="1417" w:right="1701" w:bottom="1417"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A1AE97-A26C-4D2B-AFE1-EE8F9CA118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2A271F19-5657-4EBC-B88B-3D1DB3239A93}"/>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D11F9FD5-8B34-4122-B654-75E84ECAC180}"/>
  </w:font>
  <w:font w:name="仿宋">
    <w:panose1 w:val="02010609060101010101"/>
    <w:charset w:val="86"/>
    <w:family w:val="modern"/>
    <w:pitch w:val="default"/>
    <w:sig w:usb0="800002BF" w:usb1="38CF7CFA" w:usb2="00000016" w:usb3="00000000" w:csb0="00040001" w:csb1="00000000"/>
    <w:embedRegular r:id="rId4" w:fontKey="{2843FA3F-6D12-4C0E-AD0D-349AF2F0CB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E178">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91D1C8">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YM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tKHLc48PP3b+cfv84/v5LX&#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uSGDIAQAAmQMAAA4AAAAAAAAAAQAgAAAAHgEAAGRycy9lMm9Eb2Mu&#10;eG1sUEsFBgAAAAAGAAYAWQEAAFgFAAAAAA==&#10;">
              <v:fill on="f" focussize="0,0"/>
              <v:stroke on="f"/>
              <v:imagedata o:title=""/>
              <o:lock v:ext="edit" aspectratio="f"/>
              <v:textbox inset="0mm,0mm,0mm,0mm" style="mso-fit-shape-to-text:t;">
                <w:txbxContent>
                  <w:p w14:paraId="7891D1C8">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5B9A">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7BB2">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581B5">
                          <w:pPr>
                            <w:pStyle w:val="17"/>
                            <w:rPr>
                              <w:rStyle w:val="28"/>
                            </w:rPr>
                          </w:pPr>
                          <w:r>
                            <w:fldChar w:fldCharType="begin"/>
                          </w:r>
                          <w:r>
                            <w:rPr>
                              <w:rStyle w:val="28"/>
                            </w:rPr>
                            <w:instrText xml:space="preserve">PAGE  </w:instrText>
                          </w:r>
                          <w:r>
                            <w:fldChar w:fldCharType="separate"/>
                          </w:r>
                          <w:r>
                            <w:rPr>
                              <w:rStyle w:val="28"/>
                            </w:rP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D581B5">
                    <w:pPr>
                      <w:pStyle w:val="17"/>
                      <w:rPr>
                        <w:rStyle w:val="28"/>
                      </w:rPr>
                    </w:pPr>
                    <w:r>
                      <w:fldChar w:fldCharType="begin"/>
                    </w:r>
                    <w:r>
                      <w:rPr>
                        <w:rStyle w:val="28"/>
                      </w:rPr>
                      <w:instrText xml:space="preserve">PAGE  </w:instrText>
                    </w:r>
                    <w:r>
                      <w:fldChar w:fldCharType="separate"/>
                    </w:r>
                    <w:r>
                      <w:rPr>
                        <w:rStyle w:val="28"/>
                      </w:rPr>
                      <w:t>98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5433">
    <w:pPr>
      <w:jc w:val="center"/>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D236">
                          <w:pPr>
                            <w:jc w:val="cente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A2D236">
                    <w:pPr>
                      <w:jc w:val="cente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CB56">
    <w:pPr>
      <w:pStyle w:val="17"/>
      <w:ind w:firstLine="48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4A406">
                          <w:pPr>
                            <w:pStyle w:val="17"/>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bM7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JszsyQEAAJoDAAAOAAAAAAAAAAEAIAAAAB4BAABkcnMvZTJvRG9j&#10;LnhtbFBLBQYAAAAABgAGAFkBAABZBQAAAAA=&#10;">
              <v:fill on="f" focussize="0,0"/>
              <v:stroke on="f"/>
              <v:imagedata o:title=""/>
              <o:lock v:ext="edit" aspectratio="f"/>
              <v:textbox inset="0mm,0mm,0mm,0mm" style="mso-fit-shape-to-text:t;">
                <w:txbxContent>
                  <w:p w14:paraId="1C94A406">
                    <w:pPr>
                      <w:pStyle w:val="17"/>
                    </w:pPr>
                    <w:r>
                      <w:fldChar w:fldCharType="begin"/>
                    </w:r>
                    <w:r>
                      <w:instrText xml:space="preserve"> PAGE  \* MERGEFORMAT </w:instrText>
                    </w:r>
                    <w:r>
                      <w:fldChar w:fldCharType="separate"/>
                    </w:r>
                    <w:r>
                      <w:t>112</w:t>
                    </w:r>
                    <w:r>
                      <w:fldChar w:fldCharType="end"/>
                    </w:r>
                  </w:p>
                </w:txbxContent>
              </v:textbox>
            </v:shape>
          </w:pict>
        </mc:Fallback>
      </mc:AlternateContent>
    </w:r>
  </w:p>
  <w:p w14:paraId="361C09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9777">
    <w:pPr>
      <w:pStyle w:val="17"/>
      <w:framePr w:wrap="around" w:vAnchor="text" w:hAnchor="margin" w:xAlign="center" w:y="1"/>
      <w:jc w:val="center"/>
      <w:rPr>
        <w:rStyle w:val="28"/>
      </w:rPr>
    </w:pPr>
    <w:r>
      <w:rPr>
        <w:rStyle w:val="28"/>
      </w:rPr>
      <w:fldChar w:fldCharType="begin"/>
    </w:r>
    <w:r>
      <w:rPr>
        <w:rStyle w:val="28"/>
      </w:rPr>
      <w:instrText xml:space="preserve">PAGE  </w:instrText>
    </w:r>
    <w:r>
      <w:rPr>
        <w:rStyle w:val="28"/>
      </w:rPr>
      <w:fldChar w:fldCharType="end"/>
    </w:r>
  </w:p>
  <w:p w14:paraId="252D3103">
    <w:pPr>
      <w:pStyle w:val="1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F821">
    <w:pPr>
      <w:pStyle w:val="17"/>
      <w:jc w:val="center"/>
      <w:rPr>
        <w:rStyle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CF2D5">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Vl8c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kVl8cBAACaAwAADgAAAAAAAAABACAAAAAeAQAAZHJzL2Uyb0RvYy54&#10;bWxQSwUGAAAAAAYABgBZAQAAVwUAAAAA&#10;">
              <v:fill on="f" focussize="0,0"/>
              <v:stroke on="f"/>
              <v:imagedata o:title=""/>
              <o:lock v:ext="edit" aspectratio="f"/>
              <v:textbox inset="0mm,0mm,0mm,0mm" style="mso-fit-shape-to-text:t;">
                <w:txbxContent>
                  <w:p w14:paraId="1C1CF2D5">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64B1BC9F">
    <w:pPr>
      <w:pStyle w:val="17"/>
      <w:framePr w:wrap="around" w:vAnchor="text" w:hAnchor="page" w:x="6439" w:y="332"/>
      <w:jc w:val="center"/>
      <w:rPr>
        <w:rStyle w:val="28"/>
      </w:rPr>
    </w:pPr>
  </w:p>
  <w:p w14:paraId="40E65957">
    <w:pPr>
      <w:pStyle w:val="17"/>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JOKu2QAAAAwBAAAPAAAAAAAAAAEAIAAAACIAAABkcnMvZG93bnJldi54bWxQSwEC&#10;FAAUAAAACACHTuJAoN7m0PMBAADkAwAADgAAAAAAAAABACAAAAAoAQAAZHJzL2Uyb0RvYy54bWxQ&#10;SwUGAAAAAAYABgBZAQAAj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9D0D">
    <w:pPr>
      <w:pStyle w:val="17"/>
      <w:ind w:firstLine="48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4B97C">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v:fill on="f" focussize="0,0"/>
              <v:stroke on="f"/>
              <v:imagedata o:title=""/>
              <o:lock v:ext="edit" aspectratio="f"/>
              <v:textbox inset="0mm,0mm,0mm,0mm" style="mso-fit-shape-to-text:t;">
                <w:txbxContent>
                  <w:p w14:paraId="4884B97C">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215CB3B0">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9727">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A782F">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5Uc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DlRzyQEAAJoDAAAOAAAAAAAAAAEAIAAAAB4BAABkcnMvZTJvRG9j&#10;LnhtbFBLBQYAAAAABgAGAFkBAABZBQAAAAA=&#10;">
              <v:fill on="f" focussize="0,0"/>
              <v:stroke on="f"/>
              <v:imagedata o:title=""/>
              <o:lock v:ext="edit" aspectratio="f"/>
              <v:textbox inset="0mm,0mm,0mm,0mm" style="mso-fit-shape-to-text:t;">
                <w:txbxContent>
                  <w:p w14:paraId="2EAA782F">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7E4C2453">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DF76">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98</w:t>
    </w:r>
    <w:r>
      <w:fldChar w:fldCharType="end"/>
    </w:r>
  </w:p>
  <w:p w14:paraId="52EB1202">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7CBD">
    <w:pPr>
      <w:pStyle w:val="17"/>
      <w:framePr w:wrap="around" w:vAnchor="text" w:hAnchor="margin" w:xAlign="center" w:y="1"/>
      <w:rPr>
        <w:rStyle w:val="28"/>
      </w:rPr>
    </w:pPr>
    <w:r>
      <w:fldChar w:fldCharType="begin"/>
    </w:r>
    <w:r>
      <w:rPr>
        <w:rStyle w:val="28"/>
      </w:rPr>
      <w:instrText xml:space="preserve">PAGE  </w:instrText>
    </w:r>
    <w:r>
      <w:fldChar w:fldCharType="end"/>
    </w:r>
  </w:p>
  <w:p w14:paraId="72A7AB70">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0313">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8B18">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98</w:t>
    </w:r>
    <w:r>
      <w:fldChar w:fldCharType="end"/>
    </w:r>
  </w:p>
  <w:p w14:paraId="299557A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7FC7">
    <w:pPr>
      <w:pStyle w:val="18"/>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FDF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20F7">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8950">
    <w:pPr>
      <w:pStyle w:val="18"/>
      <w:pBdr>
        <w:bottom w:val="none" w:color="auto" w:sz="0" w:space="0"/>
      </w:pBdr>
      <w:ind w:firstLine="6840" w:firstLineChars="3800"/>
      <w:jc w:val="both"/>
    </w:pPr>
    <w:r>
      <w:rPr>
        <w:rFonts w:hint="eastAsia"/>
      </w:rPr>
      <w:t>项目编号：</w:t>
    </w:r>
    <w:r>
      <w:t>CGZX(CS)-2020-010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8EC7">
    <w:pPr>
      <w:pStyle w:val="18"/>
      <w:ind w:firstLine="1980" w:firstLineChars="1100"/>
      <w:jc w:val="righ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3038">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D3B7B"/>
    <w:multiLevelType w:val="singleLevel"/>
    <w:tmpl w:val="C4ED3B7B"/>
    <w:lvl w:ilvl="0" w:tentative="0">
      <w:start w:val="2"/>
      <w:numFmt w:val="chineseCounting"/>
      <w:suff w:val="space"/>
      <w:lvlText w:val="第%1章"/>
      <w:lvlJc w:val="left"/>
      <w:rPr>
        <w:rFonts w:hint="eastAsia"/>
      </w:rPr>
    </w:lvl>
  </w:abstractNum>
  <w:abstractNum w:abstractNumId="1">
    <w:nsid w:val="CCC8956D"/>
    <w:multiLevelType w:val="singleLevel"/>
    <w:tmpl w:val="CCC8956D"/>
    <w:lvl w:ilvl="0" w:tentative="0">
      <w:start w:val="1"/>
      <w:numFmt w:val="decimal"/>
      <w:pStyle w:val="7"/>
      <w:lvlText w:val="%1."/>
      <w:lvlJc w:val="left"/>
      <w:pPr>
        <w:tabs>
          <w:tab w:val="left" w:pos="2040"/>
        </w:tabs>
        <w:ind w:left="2040" w:hanging="360"/>
      </w:pPr>
    </w:lvl>
  </w:abstractNum>
  <w:abstractNum w:abstractNumId="2">
    <w:nsid w:val="D91A6FAE"/>
    <w:multiLevelType w:val="singleLevel"/>
    <w:tmpl w:val="D91A6FAE"/>
    <w:lvl w:ilvl="0" w:tentative="0">
      <w:start w:val="1"/>
      <w:numFmt w:val="decimal"/>
      <w:suff w:val="nothing"/>
      <w:lvlText w:val="（%1）"/>
      <w:lvlJc w:val="left"/>
    </w:lvl>
  </w:abstractNum>
  <w:abstractNum w:abstractNumId="3">
    <w:nsid w:val="0000000A"/>
    <w:multiLevelType w:val="singleLevel"/>
    <w:tmpl w:val="0000000A"/>
    <w:lvl w:ilvl="0" w:tentative="0">
      <w:start w:val="1"/>
      <w:numFmt w:val="decimal"/>
      <w:suff w:val="nothing"/>
      <w:lvlText w:val="（%1）"/>
      <w:lvlJc w:val="left"/>
    </w:lvl>
  </w:abstractNum>
  <w:abstractNum w:abstractNumId="4">
    <w:nsid w:val="0E420E39"/>
    <w:multiLevelType w:val="singleLevel"/>
    <w:tmpl w:val="0E420E39"/>
    <w:lvl w:ilvl="0" w:tentative="0">
      <w:start w:val="1"/>
      <w:numFmt w:val="decimal"/>
      <w:suff w:val="space"/>
      <w:lvlText w:val="（%1）"/>
      <w:lvlJc w:val="left"/>
    </w:lvl>
  </w:abstractNum>
  <w:abstractNum w:abstractNumId="5">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6">
    <w:nsid w:val="55B9ADB2"/>
    <w:multiLevelType w:val="singleLevel"/>
    <w:tmpl w:val="55B9ADB2"/>
    <w:lvl w:ilvl="0" w:tentative="0">
      <w:start w:val="1"/>
      <w:numFmt w:val="decimal"/>
      <w:suff w:val="space"/>
      <w:lvlText w:val="（%1）"/>
      <w:lvlJc w:val="left"/>
    </w:lvl>
  </w:abstractNum>
  <w:abstractNum w:abstractNumId="7">
    <w:nsid w:val="6F1E1537"/>
    <w:multiLevelType w:val="multilevel"/>
    <w:tmpl w:val="6F1E15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7"/>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Dk1NjAxOTczMDFjZDgxOGFjNTNkMGZlNjQ3YWMifQ=="/>
  </w:docVars>
  <w:rsids>
    <w:rsidRoot w:val="2FDB7BF4"/>
    <w:rsid w:val="00494E6B"/>
    <w:rsid w:val="008102F1"/>
    <w:rsid w:val="01596F3D"/>
    <w:rsid w:val="021607C1"/>
    <w:rsid w:val="02275C5D"/>
    <w:rsid w:val="02A4476B"/>
    <w:rsid w:val="02DD4265"/>
    <w:rsid w:val="032454B7"/>
    <w:rsid w:val="03394EB3"/>
    <w:rsid w:val="03584CCF"/>
    <w:rsid w:val="03F73665"/>
    <w:rsid w:val="03F759CB"/>
    <w:rsid w:val="04160396"/>
    <w:rsid w:val="04705343"/>
    <w:rsid w:val="04B86FE6"/>
    <w:rsid w:val="05753C56"/>
    <w:rsid w:val="058638F4"/>
    <w:rsid w:val="05C976D8"/>
    <w:rsid w:val="06141C07"/>
    <w:rsid w:val="068A44E3"/>
    <w:rsid w:val="06B1290E"/>
    <w:rsid w:val="06D373CC"/>
    <w:rsid w:val="071C2703"/>
    <w:rsid w:val="07243284"/>
    <w:rsid w:val="0738636A"/>
    <w:rsid w:val="07611C3D"/>
    <w:rsid w:val="078E2BD6"/>
    <w:rsid w:val="07DD49A7"/>
    <w:rsid w:val="0866083C"/>
    <w:rsid w:val="08BF4FB6"/>
    <w:rsid w:val="08C3695D"/>
    <w:rsid w:val="08D456C7"/>
    <w:rsid w:val="0B903ADE"/>
    <w:rsid w:val="0BC13366"/>
    <w:rsid w:val="0BE42B17"/>
    <w:rsid w:val="0BF35D07"/>
    <w:rsid w:val="0BFF23C7"/>
    <w:rsid w:val="0C0276B3"/>
    <w:rsid w:val="0CDC47E1"/>
    <w:rsid w:val="0DFF4F4B"/>
    <w:rsid w:val="0E4D7E8B"/>
    <w:rsid w:val="0F080B33"/>
    <w:rsid w:val="0F591024"/>
    <w:rsid w:val="0F9B61DE"/>
    <w:rsid w:val="10BB784F"/>
    <w:rsid w:val="11255382"/>
    <w:rsid w:val="11513D10"/>
    <w:rsid w:val="121A05A5"/>
    <w:rsid w:val="12266F4A"/>
    <w:rsid w:val="12333431"/>
    <w:rsid w:val="12CF2B4F"/>
    <w:rsid w:val="13C03DD5"/>
    <w:rsid w:val="14181217"/>
    <w:rsid w:val="14777781"/>
    <w:rsid w:val="14AE0DB4"/>
    <w:rsid w:val="17143815"/>
    <w:rsid w:val="1846306F"/>
    <w:rsid w:val="1A2E2E40"/>
    <w:rsid w:val="1A9439EA"/>
    <w:rsid w:val="1AF204A2"/>
    <w:rsid w:val="1AF71484"/>
    <w:rsid w:val="1C307D8D"/>
    <w:rsid w:val="1CA3669E"/>
    <w:rsid w:val="1CC04B30"/>
    <w:rsid w:val="1D1D0F4A"/>
    <w:rsid w:val="1DBE02EC"/>
    <w:rsid w:val="1E32707A"/>
    <w:rsid w:val="1EC224F6"/>
    <w:rsid w:val="1F896D4B"/>
    <w:rsid w:val="1F9C3471"/>
    <w:rsid w:val="1FC1710F"/>
    <w:rsid w:val="20005F1A"/>
    <w:rsid w:val="202E5C54"/>
    <w:rsid w:val="207859AA"/>
    <w:rsid w:val="208539D6"/>
    <w:rsid w:val="211B1C44"/>
    <w:rsid w:val="21DA1AFF"/>
    <w:rsid w:val="21E943CC"/>
    <w:rsid w:val="21F77FBB"/>
    <w:rsid w:val="22F46BD8"/>
    <w:rsid w:val="23273F12"/>
    <w:rsid w:val="235A4CA6"/>
    <w:rsid w:val="242A269E"/>
    <w:rsid w:val="24637B8A"/>
    <w:rsid w:val="24D82326"/>
    <w:rsid w:val="25973F8F"/>
    <w:rsid w:val="25F4285C"/>
    <w:rsid w:val="26867B60"/>
    <w:rsid w:val="26993446"/>
    <w:rsid w:val="27926D10"/>
    <w:rsid w:val="29312005"/>
    <w:rsid w:val="29736B71"/>
    <w:rsid w:val="2A0B6CFA"/>
    <w:rsid w:val="2B3A5C8D"/>
    <w:rsid w:val="2BD80E5D"/>
    <w:rsid w:val="2C4E299C"/>
    <w:rsid w:val="2CF77A09"/>
    <w:rsid w:val="2DA323BF"/>
    <w:rsid w:val="2E311911"/>
    <w:rsid w:val="2EE61AE3"/>
    <w:rsid w:val="2EEF5ABF"/>
    <w:rsid w:val="2FDB7BF4"/>
    <w:rsid w:val="305B2034"/>
    <w:rsid w:val="309F4B45"/>
    <w:rsid w:val="317E5127"/>
    <w:rsid w:val="3264169D"/>
    <w:rsid w:val="32C2446B"/>
    <w:rsid w:val="32FD29A0"/>
    <w:rsid w:val="33D4015C"/>
    <w:rsid w:val="341C4B0F"/>
    <w:rsid w:val="343C3FC2"/>
    <w:rsid w:val="35466E38"/>
    <w:rsid w:val="35687B6A"/>
    <w:rsid w:val="35B82173"/>
    <w:rsid w:val="364D41F6"/>
    <w:rsid w:val="376D0FF4"/>
    <w:rsid w:val="382611A3"/>
    <w:rsid w:val="382947EF"/>
    <w:rsid w:val="38934A8A"/>
    <w:rsid w:val="38AD71CE"/>
    <w:rsid w:val="397A7DCE"/>
    <w:rsid w:val="3ACC2184"/>
    <w:rsid w:val="3B6B3A72"/>
    <w:rsid w:val="3BE127E4"/>
    <w:rsid w:val="3CC35212"/>
    <w:rsid w:val="3DBB238D"/>
    <w:rsid w:val="3DFE3F81"/>
    <w:rsid w:val="3EF76A35"/>
    <w:rsid w:val="3EF913BF"/>
    <w:rsid w:val="403745BE"/>
    <w:rsid w:val="4090365D"/>
    <w:rsid w:val="415C197B"/>
    <w:rsid w:val="416B1829"/>
    <w:rsid w:val="422F22B7"/>
    <w:rsid w:val="42E95C01"/>
    <w:rsid w:val="4368693D"/>
    <w:rsid w:val="43DB72E5"/>
    <w:rsid w:val="442073EE"/>
    <w:rsid w:val="44A83877"/>
    <w:rsid w:val="454545D2"/>
    <w:rsid w:val="454612BA"/>
    <w:rsid w:val="45596713"/>
    <w:rsid w:val="45BA09E3"/>
    <w:rsid w:val="463761C8"/>
    <w:rsid w:val="4654337F"/>
    <w:rsid w:val="469F5F9A"/>
    <w:rsid w:val="4779309D"/>
    <w:rsid w:val="482A4397"/>
    <w:rsid w:val="484F3FDA"/>
    <w:rsid w:val="488B0FAD"/>
    <w:rsid w:val="49094D33"/>
    <w:rsid w:val="49725FF6"/>
    <w:rsid w:val="49771BDB"/>
    <w:rsid w:val="4A40492E"/>
    <w:rsid w:val="4A593EE1"/>
    <w:rsid w:val="4A8444F0"/>
    <w:rsid w:val="4AE03433"/>
    <w:rsid w:val="4BD44687"/>
    <w:rsid w:val="4C837462"/>
    <w:rsid w:val="4CAF57B3"/>
    <w:rsid w:val="4D4001B9"/>
    <w:rsid w:val="4E033CE1"/>
    <w:rsid w:val="4E797136"/>
    <w:rsid w:val="4EAD187E"/>
    <w:rsid w:val="4F391C1A"/>
    <w:rsid w:val="500E7C72"/>
    <w:rsid w:val="513464AB"/>
    <w:rsid w:val="51FA7F99"/>
    <w:rsid w:val="525F27C9"/>
    <w:rsid w:val="5311054D"/>
    <w:rsid w:val="53D8114B"/>
    <w:rsid w:val="541D3002"/>
    <w:rsid w:val="546237F5"/>
    <w:rsid w:val="548E3F00"/>
    <w:rsid w:val="54AA4A58"/>
    <w:rsid w:val="54B96538"/>
    <w:rsid w:val="54D67D81"/>
    <w:rsid w:val="55684773"/>
    <w:rsid w:val="57A476C7"/>
    <w:rsid w:val="58293C48"/>
    <w:rsid w:val="58CF117B"/>
    <w:rsid w:val="59C53F20"/>
    <w:rsid w:val="5A461504"/>
    <w:rsid w:val="5A944961"/>
    <w:rsid w:val="5B1E5FDD"/>
    <w:rsid w:val="5B780F2C"/>
    <w:rsid w:val="5C0C22DA"/>
    <w:rsid w:val="5DD94D45"/>
    <w:rsid w:val="5E3625B5"/>
    <w:rsid w:val="5E8F1553"/>
    <w:rsid w:val="5E9E081B"/>
    <w:rsid w:val="5F0F13E4"/>
    <w:rsid w:val="5F381638"/>
    <w:rsid w:val="5F7932F9"/>
    <w:rsid w:val="601C5AEF"/>
    <w:rsid w:val="607C5AC9"/>
    <w:rsid w:val="60F90953"/>
    <w:rsid w:val="617359A7"/>
    <w:rsid w:val="61D24B9C"/>
    <w:rsid w:val="62260ABE"/>
    <w:rsid w:val="626B762E"/>
    <w:rsid w:val="63C82F8A"/>
    <w:rsid w:val="64BD24AB"/>
    <w:rsid w:val="65DB2823"/>
    <w:rsid w:val="65F32756"/>
    <w:rsid w:val="66155733"/>
    <w:rsid w:val="665F5CBC"/>
    <w:rsid w:val="667201BD"/>
    <w:rsid w:val="67374BC5"/>
    <w:rsid w:val="6758386C"/>
    <w:rsid w:val="6767284E"/>
    <w:rsid w:val="678418BE"/>
    <w:rsid w:val="67F77E08"/>
    <w:rsid w:val="695D4175"/>
    <w:rsid w:val="698D2934"/>
    <w:rsid w:val="69B0082E"/>
    <w:rsid w:val="69CD7BBD"/>
    <w:rsid w:val="69D275B6"/>
    <w:rsid w:val="6ACC6301"/>
    <w:rsid w:val="6B510DE7"/>
    <w:rsid w:val="6D5B4E6F"/>
    <w:rsid w:val="6DAF43AE"/>
    <w:rsid w:val="6DF51284"/>
    <w:rsid w:val="6EA676F8"/>
    <w:rsid w:val="6EE77A57"/>
    <w:rsid w:val="6F9603E0"/>
    <w:rsid w:val="6FC7059A"/>
    <w:rsid w:val="719434D1"/>
    <w:rsid w:val="71A67FBC"/>
    <w:rsid w:val="71C64881"/>
    <w:rsid w:val="71ED1E0E"/>
    <w:rsid w:val="71F4319C"/>
    <w:rsid w:val="71FB277D"/>
    <w:rsid w:val="71FC42C7"/>
    <w:rsid w:val="73790370"/>
    <w:rsid w:val="744F4CF8"/>
    <w:rsid w:val="74772B20"/>
    <w:rsid w:val="74E7523A"/>
    <w:rsid w:val="74FC3F3E"/>
    <w:rsid w:val="74FE4348"/>
    <w:rsid w:val="7516167C"/>
    <w:rsid w:val="75246B75"/>
    <w:rsid w:val="7590142E"/>
    <w:rsid w:val="759A405B"/>
    <w:rsid w:val="75B4336E"/>
    <w:rsid w:val="75FD516F"/>
    <w:rsid w:val="76C70490"/>
    <w:rsid w:val="76EB275A"/>
    <w:rsid w:val="776526F9"/>
    <w:rsid w:val="77905715"/>
    <w:rsid w:val="7932694D"/>
    <w:rsid w:val="793B5B55"/>
    <w:rsid w:val="7B3D3E06"/>
    <w:rsid w:val="7B5642C9"/>
    <w:rsid w:val="7B88740B"/>
    <w:rsid w:val="7BBE594D"/>
    <w:rsid w:val="7C40562F"/>
    <w:rsid w:val="7CA12A12"/>
    <w:rsid w:val="7D593E5F"/>
    <w:rsid w:val="7E4C5EFE"/>
    <w:rsid w:val="7E987FE1"/>
    <w:rsid w:val="7EC00FD6"/>
    <w:rsid w:val="7ED95BF4"/>
    <w:rsid w:val="7FCD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autoSpaceDE w:val="0"/>
      <w:autoSpaceDN w:val="0"/>
      <w:adjustRightInd w:val="0"/>
      <w:spacing w:line="360" w:lineRule="auto"/>
      <w:jc w:val="center"/>
      <w:outlineLvl w:val="0"/>
    </w:pPr>
    <w:rPr>
      <w:rFonts w:eastAsia="隶书"/>
      <w:b/>
      <w:bCs/>
      <w:kern w:val="0"/>
      <w:sz w:val="36"/>
      <w:szCs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9">
    <w:name w:val="heading 5"/>
    <w:basedOn w:val="1"/>
    <w:next w:val="1"/>
    <w:autoRedefine/>
    <w:qFormat/>
    <w:uiPriority w:val="0"/>
    <w:pPr>
      <w:keepNext/>
      <w:keepLines/>
      <w:widowControl/>
      <w:spacing w:before="120" w:after="120" w:line="360" w:lineRule="auto"/>
      <w:ind w:firstLine="499"/>
      <w:jc w:val="left"/>
      <w:outlineLvl w:val="4"/>
    </w:pPr>
    <w:rPr>
      <w:rFonts w:ascii="宋体" w:hAnsi="宋体" w:cs="宋体"/>
      <w:b/>
      <w:kern w:val="0"/>
      <w:sz w:val="24"/>
      <w:szCs w:val="20"/>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Plain Text"/>
    <w:basedOn w:val="1"/>
    <w:next w:val="7"/>
    <w:autoRedefine/>
    <w:qFormat/>
    <w:uiPriority w:val="0"/>
    <w:pPr>
      <w:spacing w:beforeLines="50" w:afterLines="50" w:line="400" w:lineRule="exact"/>
    </w:pPr>
    <w:rPr>
      <w:rFonts w:ascii="宋体" w:hAnsi="Courier New"/>
      <w:sz w:val="24"/>
      <w:szCs w:val="24"/>
    </w:rPr>
  </w:style>
  <w:style w:type="paragraph" w:styleId="7">
    <w:name w:val="List Number 5"/>
    <w:basedOn w:val="1"/>
    <w:autoRedefine/>
    <w:qFormat/>
    <w:uiPriority w:val="0"/>
    <w:pPr>
      <w:numPr>
        <w:ilvl w:val="0"/>
        <w:numId w:val="1"/>
      </w:numPr>
    </w:pPr>
  </w:style>
  <w:style w:type="paragraph" w:styleId="10">
    <w:name w:val="Normal Indent"/>
    <w:basedOn w:val="1"/>
    <w:next w:val="1"/>
    <w:autoRedefine/>
    <w:qFormat/>
    <w:uiPriority w:val="0"/>
    <w:pPr>
      <w:ind w:firstLine="420"/>
    </w:pPr>
    <w:rPr>
      <w:szCs w:val="20"/>
    </w:rPr>
  </w:style>
  <w:style w:type="paragraph" w:styleId="11">
    <w:name w:val="Body Text"/>
    <w:basedOn w:val="1"/>
    <w:next w:val="12"/>
    <w:autoRedefine/>
    <w:qFormat/>
    <w:uiPriority w:val="0"/>
    <w:pPr>
      <w:spacing w:after="120"/>
      <w:jc w:val="left"/>
    </w:pPr>
    <w:rPr>
      <w:rFonts w:cs="Times New Roman"/>
      <w:sz w:val="24"/>
    </w:rPr>
  </w:style>
  <w:style w:type="paragraph" w:customStyle="1" w:styleId="12">
    <w:name w:val="Default"/>
    <w:next w:val="1"/>
    <w:autoRedefine/>
    <w:qFormat/>
    <w:uiPriority w:val="0"/>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styleId="13">
    <w:name w:val="Body Text Indent"/>
    <w:basedOn w:val="1"/>
    <w:next w:val="14"/>
    <w:autoRedefine/>
    <w:semiHidden/>
    <w:unhideWhenUsed/>
    <w:qFormat/>
    <w:uiPriority w:val="0"/>
    <w:pPr>
      <w:spacing w:line="200" w:lineRule="exact"/>
      <w:ind w:firstLine="301"/>
    </w:pPr>
    <w:rPr>
      <w:rFonts w:ascii="宋体" w:hAnsi="Courier New"/>
      <w:spacing w:val="-4"/>
      <w:sz w:val="18"/>
      <w:szCs w:val="20"/>
    </w:rPr>
  </w:style>
  <w:style w:type="paragraph" w:styleId="14">
    <w:name w:val="envelope return"/>
    <w:basedOn w:val="1"/>
    <w:autoRedefine/>
    <w:unhideWhenUsed/>
    <w:qFormat/>
    <w:uiPriority w:val="99"/>
    <w:pPr>
      <w:snapToGrid w:val="0"/>
    </w:pPr>
    <w:rPr>
      <w:rFonts w:ascii="Arial" w:hAnsi="Arial"/>
    </w:rPr>
  </w:style>
  <w:style w:type="paragraph" w:styleId="15">
    <w:name w:val="toc 5"/>
    <w:basedOn w:val="1"/>
    <w:next w:val="1"/>
    <w:autoRedefine/>
    <w:qFormat/>
    <w:uiPriority w:val="39"/>
    <w:pPr>
      <w:ind w:left="840"/>
      <w:jc w:val="left"/>
    </w:pPr>
    <w:rPr>
      <w:sz w:val="18"/>
      <w:szCs w:val="18"/>
    </w:rPr>
  </w:style>
  <w:style w:type="paragraph" w:styleId="16">
    <w:name w:val="toc 3"/>
    <w:basedOn w:val="1"/>
    <w:next w:val="1"/>
    <w:autoRedefine/>
    <w:qFormat/>
    <w:uiPriority w:val="39"/>
    <w:pPr>
      <w:ind w:left="420"/>
      <w:jc w:val="left"/>
    </w:pPr>
    <w:rPr>
      <w:i/>
      <w:iCs/>
      <w:sz w:val="20"/>
      <w:szCs w:val="20"/>
    </w:rPr>
  </w:style>
  <w:style w:type="paragraph" w:styleId="17">
    <w:name w:val="footer"/>
    <w:basedOn w:val="1"/>
    <w:autoRedefine/>
    <w:unhideWhenUsed/>
    <w:qFormat/>
    <w:uiPriority w:val="0"/>
    <w:pPr>
      <w:tabs>
        <w:tab w:val="center" w:pos="4153"/>
        <w:tab w:val="right" w:pos="8306"/>
      </w:tabs>
      <w:snapToGrid w:val="0"/>
      <w:jc w:val="left"/>
    </w:pPr>
    <w:rPr>
      <w:sz w:val="18"/>
      <w:szCs w:val="18"/>
    </w:rPr>
  </w:style>
  <w:style w:type="paragraph" w:styleId="1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b/>
      <w:bCs/>
      <w:caps/>
      <w:sz w:val="20"/>
      <w:szCs w:val="20"/>
    </w:rPr>
  </w:style>
  <w:style w:type="paragraph" w:styleId="20">
    <w:name w:val="toc 4"/>
    <w:basedOn w:val="1"/>
    <w:next w:val="1"/>
    <w:autoRedefine/>
    <w:qFormat/>
    <w:uiPriority w:val="39"/>
    <w:pPr>
      <w:ind w:left="630"/>
      <w:jc w:val="left"/>
    </w:pPr>
    <w:rPr>
      <w:sz w:val="18"/>
      <w:szCs w:val="18"/>
    </w:rPr>
  </w:style>
  <w:style w:type="paragraph" w:styleId="21">
    <w:name w:val="Normal (Web)"/>
    <w:basedOn w:val="1"/>
    <w:autoRedefine/>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1"/>
    <w:next w:val="23"/>
    <w:autoRedefine/>
    <w:qFormat/>
    <w:uiPriority w:val="0"/>
    <w:pPr>
      <w:ind w:firstLine="420" w:firstLineChars="100"/>
    </w:pPr>
  </w:style>
  <w:style w:type="paragraph" w:styleId="23">
    <w:name w:val="Body Text First Indent 2"/>
    <w:basedOn w:val="13"/>
    <w:next w:val="22"/>
    <w:autoRedefine/>
    <w:semiHidden/>
    <w:unhideWhenUsed/>
    <w:qFormat/>
    <w:uiPriority w:val="0"/>
    <w:pPr>
      <w:spacing w:after="120" w:line="240" w:lineRule="auto"/>
      <w:ind w:left="420" w:leftChars="200" w:firstLine="420" w:firstLineChars="200"/>
    </w:pPr>
    <w:rPr>
      <w:rFonts w:ascii="Times New Roman" w:hAnsi="Times New Roman"/>
      <w:spacing w:val="0"/>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semiHidden/>
    <w:unhideWhenUsed/>
    <w:qFormat/>
    <w:uiPriority w:val="0"/>
  </w:style>
  <w:style w:type="character" w:styleId="29">
    <w:name w:val="Hyperlink"/>
    <w:basedOn w:val="26"/>
    <w:autoRedefine/>
    <w:semiHidden/>
    <w:unhideWhenUsed/>
    <w:qFormat/>
    <w:uiPriority w:val="0"/>
    <w:rPr>
      <w:color w:val="0000FF"/>
      <w:u w:val="single"/>
    </w:rPr>
  </w:style>
  <w:style w:type="character" w:styleId="30">
    <w:name w:val="HTML Sample"/>
    <w:basedOn w:val="26"/>
    <w:autoRedefine/>
    <w:qFormat/>
    <w:uiPriority w:val="0"/>
    <w:rPr>
      <w:rFonts w:ascii="Courier New" w:hAnsi="Courier New"/>
    </w:rPr>
  </w:style>
  <w:style w:type="paragraph" w:customStyle="1" w:styleId="31">
    <w:name w:val="No Spacing_ad81b47b-6779-4c76-b471-79375858c8cb"/>
    <w:basedOn w:val="1"/>
    <w:autoRedefine/>
    <w:qFormat/>
    <w:uiPriority w:val="0"/>
    <w:pPr>
      <w:ind w:firstLine="200" w:firstLineChars="200"/>
    </w:pPr>
  </w:style>
  <w:style w:type="paragraph" w:customStyle="1" w:styleId="3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_Style 976"/>
    <w:basedOn w:val="1"/>
    <w:next w:val="34"/>
    <w:autoRedefine/>
    <w:qFormat/>
    <w:uiPriority w:val="99"/>
    <w:pPr>
      <w:ind w:firstLine="420" w:firstLineChars="200"/>
    </w:pPr>
    <w:rPr>
      <w:szCs w:val="24"/>
    </w:rPr>
  </w:style>
  <w:style w:type="paragraph" w:styleId="34">
    <w:name w:val="List Paragraph"/>
    <w:basedOn w:val="1"/>
    <w:autoRedefine/>
    <w:qFormat/>
    <w:uiPriority w:val="34"/>
    <w:pPr>
      <w:ind w:firstLine="420" w:firstLineChars="200"/>
    </w:pPr>
    <w:rPr>
      <w:szCs w:val="24"/>
    </w:rPr>
  </w:style>
  <w:style w:type="paragraph" w:customStyle="1" w:styleId="35">
    <w:name w:val="样式1"/>
    <w:basedOn w:val="1"/>
    <w:autoRedefine/>
    <w:qFormat/>
    <w:uiPriority w:val="0"/>
    <w:pPr>
      <w:pBdr>
        <w:bottom w:val="single" w:color="auto" w:sz="4" w:space="1"/>
      </w:pBdr>
    </w:pPr>
    <w:rPr>
      <w:rFonts w:ascii="Times New Roman" w:hAnsi="Times New Roman"/>
      <w:szCs w:val="24"/>
    </w:rPr>
  </w:style>
  <w:style w:type="paragraph" w:customStyle="1" w:styleId="36">
    <w:name w:val="正文2"/>
    <w:basedOn w:val="1"/>
    <w:autoRedefine/>
    <w:qFormat/>
    <w:uiPriority w:val="0"/>
    <w:pPr>
      <w:spacing w:before="156" w:line="360" w:lineRule="auto"/>
      <w:ind w:firstLine="510" w:firstLineChars="200"/>
    </w:pPr>
    <w:rPr>
      <w:rFonts w:ascii="Times New Roman" w:hAnsi="Times New Roman"/>
      <w:sz w:val="24"/>
      <w:szCs w:val="20"/>
    </w:rPr>
  </w:style>
  <w:style w:type="paragraph" w:customStyle="1" w:styleId="37">
    <w:name w:val="样式 样式1 + 首行缩进:  2 字符"/>
    <w:basedOn w:val="1"/>
    <w:autoRedefine/>
    <w:qFormat/>
    <w:uiPriority w:val="0"/>
    <w:pPr>
      <w:spacing w:line="360" w:lineRule="exact"/>
      <w:ind w:firstLine="420" w:firstLineChars="200"/>
    </w:pPr>
    <w:rPr>
      <w:rFonts w:ascii="Arial" w:hAnsi="Arial"/>
      <w:szCs w:val="20"/>
    </w:rPr>
  </w:style>
  <w:style w:type="paragraph" w:customStyle="1" w:styleId="38">
    <w:name w:val="表格文字"/>
    <w:basedOn w:val="6"/>
    <w:next w:val="1"/>
    <w:autoRedefine/>
    <w:qFormat/>
    <w:uiPriority w:val="99"/>
    <w:pPr>
      <w:jc w:val="left"/>
      <w:textAlignment w:val="top"/>
    </w:pPr>
    <w:rPr>
      <w:rFonts w:ascii="Times New Roman" w:hAnsi="Times New Roman"/>
      <w:sz w:val="18"/>
      <w:szCs w:val="24"/>
    </w:rPr>
  </w:style>
  <w:style w:type="paragraph" w:customStyle="1" w:styleId="39">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40">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41">
    <w:name w:val="TOC 标题1"/>
    <w:basedOn w:val="3"/>
    <w:next w:val="1"/>
    <w:autoRedefine/>
    <w:qFormat/>
    <w:uiPriority w:val="0"/>
    <w:pPr>
      <w:outlineLvl w:val="9"/>
    </w:pPr>
  </w:style>
  <w:style w:type="character" w:customStyle="1" w:styleId="42">
    <w:name w:val="NormalCharacter"/>
    <w:autoRedefine/>
    <w:qFormat/>
    <w:uiPriority w:val="0"/>
    <w:rPr>
      <w:kern w:val="2"/>
      <w:sz w:val="21"/>
      <w:szCs w:val="22"/>
      <w:lang w:val="en-US" w:eastAsia="zh-CN" w:bidi="ar-SA"/>
    </w:rPr>
  </w:style>
  <w:style w:type="paragraph" w:customStyle="1" w:styleId="43">
    <w:name w:val="BodyText"/>
    <w:basedOn w:val="1"/>
    <w:autoRedefine/>
    <w:qFormat/>
    <w:uiPriority w:val="0"/>
    <w:pPr>
      <w:spacing w:after="60" w:line="360" w:lineRule="atLeast"/>
      <w:ind w:left="72" w:leftChars="30" w:right="30" w:rightChars="30"/>
      <w:jc w:val="center"/>
      <w:textAlignment w:val="baseline"/>
    </w:pPr>
    <w:rPr>
      <w:rFonts w:ascii="Times New Roman" w:hAnsi="Times New Roman"/>
      <w:kern w:val="0"/>
      <w:sz w:val="20"/>
      <w:szCs w:val="20"/>
    </w:rPr>
  </w:style>
  <w:style w:type="table" w:customStyle="1" w:styleId="44">
    <w:name w:val="Table Normal"/>
    <w:autoRedefine/>
    <w:semiHidden/>
    <w:unhideWhenUsed/>
    <w:qFormat/>
    <w:uiPriority w:val="0"/>
    <w:rPr>
      <w:rFonts w:ascii="Times New Roman" w:hAnsi="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wmf"/><Relationship Id="rId31" Type="http://schemas.openxmlformats.org/officeDocument/2006/relationships/oleObject" Target="embeddings/oleObject5.bin"/><Relationship Id="rId30" Type="http://schemas.openxmlformats.org/officeDocument/2006/relationships/image" Target="media/image4.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3.wmf"/><Relationship Id="rId27" Type="http://schemas.openxmlformats.org/officeDocument/2006/relationships/oleObject" Target="embeddings/oleObject3.bin"/><Relationship Id="rId26" Type="http://schemas.openxmlformats.org/officeDocument/2006/relationships/image" Target="media/image2.wmf"/><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204</Pages>
  <Words>8487</Words>
  <Characters>9983</Characters>
  <Lines>0</Lines>
  <Paragraphs>0</Paragraphs>
  <TotalTime>37</TotalTime>
  <ScaleCrop>false</ScaleCrop>
  <LinksUpToDate>false</LinksUpToDate>
  <CharactersWithSpaces>10082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2022-07-21T01:30:00Z</dcterms:created>
  <dc:creator>Administrator</dc:creator>
  <cp:lastModifiedBy>still walking</cp:lastModifiedBy>
  <cp:lastPrinted>2024-08-28T09:37:00Z</cp:lastPrinted>
  <dcterms:modified xsi:type="dcterms:W3CDTF">2026-04-13T11:23:54Z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248B772B72A940EA9EC2EA335FBEB128_13</vt:lpwstr>
  </property>
  <property fmtid="{D5CDD505-2E9C-101B-9397-08002B2CF9AE}" pid="4" name="KSOTemplateDocerSaveRecord">
    <vt:lpwstr>eyJoZGlkIjoiOWMxMjIxYzViYzUxYmFmNTQ4NTk2YzczMzA2NzU4YTYiLCJ1c2VySWQiOiI0MTgyMTMzNjkifQ==</vt:lpwstr>
  </property>
</Properties>
</file>