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2368B">
      <w:pPr>
        <w:rPr>
          <w:rFonts w:hint="eastAsia" w:ascii="华文中宋" w:hAnsi="华文中宋" w:eastAsia="华文中宋" w:cs="华文中宋"/>
          <w:color w:val="auto"/>
          <w:highlight w:val="none"/>
        </w:rPr>
      </w:pPr>
    </w:p>
    <w:p w14:paraId="7FE376F7">
      <w:pPr>
        <w:rPr>
          <w:rFonts w:hint="eastAsia" w:ascii="华文中宋" w:hAnsi="华文中宋" w:eastAsia="华文中宋" w:cs="华文中宋"/>
          <w:color w:val="auto"/>
          <w:highlight w:val="none"/>
        </w:rPr>
      </w:pPr>
    </w:p>
    <w:p w14:paraId="5457E754">
      <w:pPr>
        <w:rPr>
          <w:rFonts w:hint="eastAsia" w:ascii="华文中宋" w:hAnsi="华文中宋" w:eastAsia="华文中宋" w:cs="华文中宋"/>
          <w:color w:val="auto"/>
          <w:highlight w:val="none"/>
        </w:rPr>
      </w:pPr>
    </w:p>
    <w:p w14:paraId="057B4806">
      <w:pPr>
        <w:rPr>
          <w:rFonts w:hint="eastAsia" w:ascii="华文中宋" w:hAnsi="华文中宋" w:eastAsia="华文中宋" w:cs="华文中宋"/>
          <w:color w:val="auto"/>
          <w:highlight w:val="none"/>
        </w:rPr>
      </w:pPr>
    </w:p>
    <w:p w14:paraId="0E12F25B">
      <w:pPr>
        <w:rPr>
          <w:rFonts w:hint="eastAsia" w:ascii="华文中宋" w:hAnsi="华文中宋" w:eastAsia="华文中宋" w:cs="华文中宋"/>
          <w:color w:val="auto"/>
          <w:highlight w:val="none"/>
        </w:rPr>
      </w:pPr>
    </w:p>
    <w:p w14:paraId="4B525642">
      <w:pPr>
        <w:rPr>
          <w:rFonts w:hint="eastAsia" w:ascii="华文中宋" w:hAnsi="华文中宋" w:eastAsia="华文中宋" w:cs="华文中宋"/>
          <w:color w:val="auto"/>
          <w:highlight w:val="none"/>
        </w:rPr>
      </w:pPr>
    </w:p>
    <w:p w14:paraId="30C40C87">
      <w:pPr>
        <w:jc w:val="center"/>
        <w:rPr>
          <w:rFonts w:hint="eastAsia" w:ascii="华文中宋" w:hAnsi="华文中宋" w:eastAsia="华文中宋" w:cs="华文中宋"/>
          <w:b/>
          <w:bCs/>
          <w:color w:val="auto"/>
          <w:sz w:val="72"/>
          <w:szCs w:val="72"/>
          <w:highlight w:val="none"/>
        </w:rPr>
      </w:pPr>
      <w:r>
        <w:rPr>
          <w:rFonts w:hint="eastAsia" w:ascii="华文中宋" w:hAnsi="华文中宋" w:eastAsia="华文中宋" w:cs="华文中宋"/>
          <w:b/>
          <w:bCs/>
          <w:color w:val="auto"/>
          <w:sz w:val="72"/>
          <w:szCs w:val="72"/>
          <w:highlight w:val="none"/>
        </w:rPr>
        <w:t>招 标 文 件</w:t>
      </w:r>
    </w:p>
    <w:p w14:paraId="6C2155C1">
      <w:pPr>
        <w:rPr>
          <w:rFonts w:hint="eastAsia" w:ascii="华文中宋" w:hAnsi="华文中宋" w:eastAsia="华文中宋" w:cs="华文中宋"/>
          <w:color w:val="auto"/>
          <w:highlight w:val="none"/>
        </w:rPr>
      </w:pPr>
    </w:p>
    <w:p w14:paraId="55E3CE97">
      <w:pPr>
        <w:rPr>
          <w:rFonts w:hint="eastAsia" w:ascii="华文中宋" w:hAnsi="华文中宋" w:eastAsia="华文中宋" w:cs="华文中宋"/>
          <w:color w:val="auto"/>
          <w:highlight w:val="none"/>
        </w:rPr>
      </w:pPr>
    </w:p>
    <w:p w14:paraId="1F794BE7">
      <w:pPr>
        <w:rPr>
          <w:rFonts w:hint="eastAsia" w:ascii="华文中宋" w:hAnsi="华文中宋" w:eastAsia="华文中宋" w:cs="华文中宋"/>
          <w:color w:val="auto"/>
          <w:highlight w:val="none"/>
        </w:rPr>
      </w:pPr>
    </w:p>
    <w:p w14:paraId="0B61969E">
      <w:pPr>
        <w:rPr>
          <w:rFonts w:hint="eastAsia" w:ascii="华文中宋" w:hAnsi="华文中宋" w:eastAsia="华文中宋" w:cs="华文中宋"/>
          <w:b/>
          <w:bCs/>
          <w:color w:val="auto"/>
          <w:sz w:val="30"/>
          <w:szCs w:val="30"/>
          <w:highlight w:val="none"/>
        </w:rPr>
      </w:pPr>
      <w:r>
        <w:rPr>
          <w:rFonts w:hint="eastAsia" w:ascii="华文中宋" w:hAnsi="华文中宋" w:eastAsia="华文中宋" w:cs="华文中宋"/>
          <w:b/>
          <w:bCs/>
          <w:color w:val="auto"/>
          <w:sz w:val="30"/>
          <w:szCs w:val="30"/>
          <w:highlight w:val="none"/>
        </w:rPr>
        <w:t>项目编号：</w:t>
      </w:r>
      <w:r>
        <w:rPr>
          <w:rFonts w:hint="eastAsia" w:ascii="华文中宋" w:hAnsi="华文中宋" w:eastAsia="华文中宋" w:cs="华文中宋"/>
          <w:b/>
          <w:bCs/>
          <w:color w:val="auto"/>
          <w:sz w:val="30"/>
          <w:szCs w:val="30"/>
          <w:highlight w:val="none"/>
        </w:rPr>
        <w:fldChar w:fldCharType="begin"/>
      </w:r>
      <w:r>
        <w:rPr>
          <w:rFonts w:hint="eastAsia" w:ascii="华文中宋" w:hAnsi="华文中宋" w:eastAsia="华文中宋" w:cs="华文中宋"/>
          <w:b/>
          <w:bCs/>
          <w:color w:val="auto"/>
          <w:sz w:val="30"/>
          <w:szCs w:val="30"/>
          <w:highlight w:val="none"/>
        </w:rPr>
        <w:instrText xml:space="preserve"> HYPERLINK "https://www.sxzfcg.zcygov.cn/gaea/api/project/flow/redirect?projectId=7340409503333744722&amp;newUrl=https://www.sxzfcg.zcygov.cn/micro-app-back-index/blank?_flow_type_=agency&amp;_flow_projectId_=7340409503333744722&amp;_jump_page_type_=project_procurement_management_flow&amp;_app_=zcy.procurement&amp;oldUrl=https://www.sxzfcg.zcygov.cn/project-center/_procurement_/project-result-detail/7340409503333744722" \t "https://www.sxzfcg.zcygov.cn/project-center/_procurement_/self-project/_blank" </w:instrText>
      </w:r>
      <w:r>
        <w:rPr>
          <w:rFonts w:hint="eastAsia" w:ascii="华文中宋" w:hAnsi="华文中宋" w:eastAsia="华文中宋" w:cs="华文中宋"/>
          <w:b/>
          <w:bCs/>
          <w:color w:val="auto"/>
          <w:sz w:val="30"/>
          <w:szCs w:val="30"/>
          <w:highlight w:val="none"/>
        </w:rPr>
        <w:fldChar w:fldCharType="separate"/>
      </w:r>
      <w:r>
        <w:rPr>
          <w:rFonts w:hint="eastAsia" w:ascii="华文中宋" w:hAnsi="华文中宋" w:eastAsia="华文中宋" w:cs="华文中宋"/>
          <w:b/>
          <w:bCs/>
          <w:color w:val="auto"/>
          <w:sz w:val="30"/>
          <w:szCs w:val="30"/>
          <w:highlight w:val="none"/>
        </w:rPr>
        <w:t>1411262026AGK00002</w:t>
      </w:r>
      <w:r>
        <w:rPr>
          <w:rFonts w:hint="eastAsia" w:ascii="华文中宋" w:hAnsi="华文中宋" w:eastAsia="华文中宋" w:cs="华文中宋"/>
          <w:b/>
          <w:bCs/>
          <w:color w:val="auto"/>
          <w:sz w:val="30"/>
          <w:szCs w:val="30"/>
          <w:highlight w:val="none"/>
        </w:rPr>
        <w:fldChar w:fldCharType="end"/>
      </w:r>
    </w:p>
    <w:p w14:paraId="39DBD9A1">
      <w:pPr>
        <w:rPr>
          <w:rFonts w:hint="eastAsia" w:ascii="华文中宋" w:hAnsi="华文中宋" w:eastAsia="华文中宋" w:cs="华文中宋"/>
          <w:b/>
          <w:bCs/>
          <w:color w:val="auto"/>
          <w:sz w:val="30"/>
          <w:szCs w:val="30"/>
          <w:highlight w:val="none"/>
        </w:rPr>
      </w:pPr>
      <w:r>
        <w:rPr>
          <w:rFonts w:hint="eastAsia" w:ascii="华文中宋" w:hAnsi="华文中宋" w:eastAsia="华文中宋" w:cs="华文中宋"/>
          <w:b/>
          <w:bCs/>
          <w:color w:val="auto"/>
          <w:sz w:val="30"/>
          <w:szCs w:val="30"/>
          <w:highlight w:val="none"/>
        </w:rPr>
        <w:t>项目名称：石楼县人民医院迁建项目医疗信息化建设项目</w:t>
      </w:r>
    </w:p>
    <w:p w14:paraId="4238D21A">
      <w:pPr>
        <w:rPr>
          <w:rFonts w:hint="eastAsia" w:ascii="华文中宋" w:hAnsi="华文中宋" w:eastAsia="华文中宋" w:cs="华文中宋"/>
          <w:color w:val="auto"/>
          <w:highlight w:val="none"/>
        </w:rPr>
      </w:pPr>
    </w:p>
    <w:p w14:paraId="18E0F668">
      <w:pPr>
        <w:rPr>
          <w:rFonts w:hint="eastAsia" w:ascii="华文中宋" w:hAnsi="华文中宋" w:eastAsia="华文中宋" w:cs="华文中宋"/>
          <w:color w:val="auto"/>
          <w:highlight w:val="none"/>
        </w:rPr>
      </w:pPr>
    </w:p>
    <w:p w14:paraId="0959A7C9">
      <w:pPr>
        <w:rPr>
          <w:rFonts w:hint="eastAsia" w:ascii="华文中宋" w:hAnsi="华文中宋" w:eastAsia="华文中宋" w:cs="华文中宋"/>
          <w:color w:val="auto"/>
          <w:highlight w:val="none"/>
        </w:rPr>
      </w:pPr>
    </w:p>
    <w:p w14:paraId="4F867FBE">
      <w:pPr>
        <w:rPr>
          <w:rFonts w:hint="eastAsia" w:ascii="华文中宋" w:hAnsi="华文中宋" w:eastAsia="华文中宋" w:cs="华文中宋"/>
          <w:color w:val="auto"/>
          <w:highlight w:val="none"/>
        </w:rPr>
      </w:pPr>
    </w:p>
    <w:p w14:paraId="6CA4CDD3">
      <w:pPr>
        <w:rPr>
          <w:rFonts w:hint="eastAsia" w:ascii="华文中宋" w:hAnsi="华文中宋" w:eastAsia="华文中宋" w:cs="华文中宋"/>
          <w:color w:val="auto"/>
          <w:highlight w:val="none"/>
        </w:rPr>
      </w:pPr>
    </w:p>
    <w:p w14:paraId="7FB12438">
      <w:pPr>
        <w:rPr>
          <w:rFonts w:hint="eastAsia" w:ascii="华文中宋" w:hAnsi="华文中宋" w:eastAsia="华文中宋" w:cs="华文中宋"/>
          <w:color w:val="auto"/>
          <w:highlight w:val="none"/>
        </w:rPr>
      </w:pPr>
    </w:p>
    <w:p w14:paraId="51A920E2">
      <w:pPr>
        <w:rPr>
          <w:rFonts w:hint="eastAsia" w:ascii="华文中宋" w:hAnsi="华文中宋" w:eastAsia="华文中宋" w:cs="华文中宋"/>
          <w:color w:val="auto"/>
          <w:highlight w:val="none"/>
        </w:rPr>
      </w:pPr>
    </w:p>
    <w:p w14:paraId="20B2075F">
      <w:pPr>
        <w:rPr>
          <w:rFonts w:hint="eastAsia" w:ascii="华文中宋" w:hAnsi="华文中宋" w:eastAsia="华文中宋" w:cs="华文中宋"/>
          <w:color w:val="auto"/>
          <w:highlight w:val="none"/>
        </w:rPr>
      </w:pPr>
    </w:p>
    <w:p w14:paraId="75DF7EED">
      <w:pPr>
        <w:rPr>
          <w:rFonts w:hint="eastAsia" w:ascii="华文中宋" w:hAnsi="华文中宋" w:eastAsia="华文中宋" w:cs="华文中宋"/>
          <w:color w:val="auto"/>
          <w:highlight w:val="none"/>
        </w:rPr>
      </w:pPr>
    </w:p>
    <w:p w14:paraId="3E3CD007">
      <w:pPr>
        <w:jc w:val="center"/>
        <w:rPr>
          <w:rFonts w:hint="eastAsia" w:ascii="华文中宋" w:hAnsi="华文中宋" w:eastAsia="华文中宋" w:cs="华文中宋"/>
          <w:b/>
          <w:bCs/>
          <w:color w:val="auto"/>
          <w:sz w:val="30"/>
          <w:szCs w:val="30"/>
          <w:highlight w:val="none"/>
        </w:rPr>
      </w:pPr>
    </w:p>
    <w:p w14:paraId="79519252">
      <w:pPr>
        <w:jc w:val="center"/>
        <w:rPr>
          <w:rFonts w:hint="eastAsia" w:ascii="华文中宋" w:hAnsi="华文中宋" w:eastAsia="华文中宋" w:cs="华文中宋"/>
          <w:b/>
          <w:bCs/>
          <w:color w:val="auto"/>
          <w:sz w:val="30"/>
          <w:szCs w:val="30"/>
          <w:highlight w:val="none"/>
          <w:lang w:eastAsia="zh-CN"/>
        </w:rPr>
      </w:pPr>
      <w:r>
        <w:rPr>
          <w:rFonts w:hint="eastAsia" w:ascii="华文中宋" w:hAnsi="华文中宋" w:eastAsia="华文中宋" w:cs="华文中宋"/>
          <w:b/>
          <w:bCs/>
          <w:color w:val="auto"/>
          <w:sz w:val="30"/>
          <w:szCs w:val="30"/>
          <w:highlight w:val="none"/>
          <w:lang w:eastAsia="zh-CN"/>
        </w:rPr>
        <w:t>石楼县</w:t>
      </w:r>
      <w:r>
        <w:rPr>
          <w:rFonts w:hint="eastAsia" w:ascii="华文中宋" w:hAnsi="华文中宋" w:cs="华文中宋"/>
          <w:b/>
          <w:bCs/>
          <w:color w:val="auto"/>
          <w:sz w:val="30"/>
          <w:szCs w:val="30"/>
          <w:highlight w:val="none"/>
          <w:lang w:eastAsia="zh-CN"/>
        </w:rPr>
        <w:t>政务服务中心</w:t>
      </w:r>
    </w:p>
    <w:p w14:paraId="7DEBA49C">
      <w:pPr>
        <w:jc w:val="center"/>
        <w:rPr>
          <w:rFonts w:hint="eastAsia" w:ascii="华文中宋" w:hAnsi="华文中宋" w:eastAsia="华文中宋" w:cs="华文中宋"/>
          <w:b/>
          <w:bCs/>
          <w:color w:val="auto"/>
          <w:sz w:val="30"/>
          <w:szCs w:val="30"/>
          <w:highlight w:val="none"/>
        </w:rPr>
      </w:pPr>
    </w:p>
    <w:p w14:paraId="1BB9EB9E">
      <w:pPr>
        <w:ind w:left="0" w:leftChars="0" w:firstLine="0" w:firstLineChars="0"/>
        <w:jc w:val="center"/>
        <w:rPr>
          <w:rFonts w:hint="eastAsia" w:ascii="华文中宋" w:hAnsi="华文中宋" w:eastAsia="华文中宋" w:cs="华文中宋"/>
          <w:b/>
          <w:bCs/>
          <w:color w:val="auto"/>
          <w:sz w:val="28"/>
          <w:szCs w:val="28"/>
          <w:highlight w:val="none"/>
        </w:rPr>
      </w:pPr>
    </w:p>
    <w:p w14:paraId="7DB8E98C">
      <w:pPr>
        <w:ind w:left="0" w:leftChars="0" w:firstLine="0" w:firstLineChars="0"/>
        <w:jc w:val="center"/>
        <w:rPr>
          <w:rFonts w:hint="eastAsia" w:ascii="华文中宋" w:hAnsi="华文中宋" w:eastAsia="华文中宋" w:cs="华文中宋"/>
          <w:b/>
          <w:bCs/>
          <w:color w:val="auto"/>
          <w:sz w:val="28"/>
          <w:szCs w:val="28"/>
          <w:highlight w:val="none"/>
        </w:rPr>
      </w:pPr>
    </w:p>
    <w:sdt>
      <w:sdtPr>
        <w:rPr>
          <w:rFonts w:hint="eastAsia" w:ascii="华文中宋" w:hAnsi="华文中宋" w:eastAsia="华文中宋" w:cs="华文中宋"/>
          <w:color w:val="auto"/>
          <w:kern w:val="2"/>
          <w:sz w:val="21"/>
          <w:szCs w:val="24"/>
          <w:highlight w:val="none"/>
          <w:lang w:val="en-US" w:eastAsia="zh-CN" w:bidi="ar-SA"/>
        </w:rPr>
        <w:id w:val="147482731"/>
        <w15:color w:val="DBDBDB"/>
        <w:docPartObj>
          <w:docPartGallery w:val="Table of Contents"/>
          <w:docPartUnique/>
        </w:docPartObj>
      </w:sdtPr>
      <w:sdtEndPr>
        <w:rPr>
          <w:rFonts w:hint="eastAsia" w:ascii="华文中宋" w:hAnsi="华文中宋" w:eastAsia="华文中宋" w:cs="华文中宋"/>
          <w:color w:val="auto"/>
          <w:kern w:val="2"/>
          <w:sz w:val="24"/>
          <w:szCs w:val="24"/>
          <w:highlight w:val="none"/>
          <w:lang w:val="en-US" w:eastAsia="zh-CN" w:bidi="ar-SA"/>
        </w:rPr>
      </w:sdtEndPr>
      <w:sdtContent>
        <w:p w14:paraId="2263246F">
          <w:pPr>
            <w:spacing w:before="0" w:beforeLines="0" w:after="0" w:afterLines="0" w:line="240" w:lineRule="auto"/>
            <w:ind w:left="0" w:leftChars="0" w:right="0" w:rightChars="0" w:firstLine="0" w:firstLineChars="0"/>
            <w:jc w:val="center"/>
            <w:rPr>
              <w:rFonts w:hint="eastAsia" w:ascii="华文中宋" w:hAnsi="华文中宋" w:eastAsia="华文中宋" w:cs="华文中宋"/>
              <w:b/>
              <w:bCs/>
              <w:color w:val="auto"/>
              <w:sz w:val="30"/>
              <w:szCs w:val="30"/>
              <w:highlight w:val="none"/>
            </w:rPr>
          </w:pPr>
          <w:r>
            <w:rPr>
              <w:rFonts w:hint="eastAsia" w:ascii="华文中宋" w:hAnsi="华文中宋" w:eastAsia="华文中宋" w:cs="华文中宋"/>
              <w:b/>
              <w:bCs/>
              <w:color w:val="auto"/>
              <w:sz w:val="30"/>
              <w:szCs w:val="30"/>
              <w:highlight w:val="none"/>
            </w:rPr>
            <w:t>目</w:t>
          </w:r>
          <w:r>
            <w:rPr>
              <w:rFonts w:hint="eastAsia" w:ascii="华文中宋" w:hAnsi="华文中宋" w:eastAsia="华文中宋" w:cs="华文中宋"/>
              <w:b/>
              <w:bCs/>
              <w:color w:val="auto"/>
              <w:sz w:val="30"/>
              <w:szCs w:val="30"/>
              <w:highlight w:val="none"/>
              <w:lang w:val="en-US" w:eastAsia="zh-CN"/>
            </w:rPr>
            <w:t xml:space="preserve"> </w:t>
          </w:r>
          <w:r>
            <w:rPr>
              <w:rFonts w:hint="eastAsia" w:ascii="华文中宋" w:hAnsi="华文中宋" w:eastAsia="华文中宋" w:cs="华文中宋"/>
              <w:b/>
              <w:bCs/>
              <w:color w:val="auto"/>
              <w:sz w:val="30"/>
              <w:szCs w:val="30"/>
              <w:highlight w:val="none"/>
            </w:rPr>
            <w:t>录</w:t>
          </w:r>
        </w:p>
        <w:p w14:paraId="4D6F2C58">
          <w:pPr>
            <w:spacing w:before="0" w:beforeLines="0" w:after="0" w:afterLines="0" w:line="240" w:lineRule="auto"/>
            <w:ind w:left="0" w:leftChars="0" w:right="0" w:rightChars="0" w:firstLine="0" w:firstLineChars="0"/>
            <w:jc w:val="center"/>
            <w:rPr>
              <w:rFonts w:hint="eastAsia" w:ascii="华文中宋" w:hAnsi="华文中宋" w:eastAsia="华文中宋" w:cs="华文中宋"/>
              <w:b/>
              <w:bCs/>
              <w:color w:val="auto"/>
              <w:sz w:val="30"/>
              <w:szCs w:val="30"/>
              <w:highlight w:val="none"/>
            </w:rPr>
          </w:pPr>
        </w:p>
        <w:p w14:paraId="4379C607">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TOC \o "1-1" \h \u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_Toc25005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第一部分</w:t>
          </w:r>
          <w:r>
            <w:rPr>
              <w:rFonts w:hint="eastAsia" w:ascii="华文中宋" w:hAnsi="华文中宋" w:eastAsia="华文中宋" w:cs="华文中宋"/>
              <w:color w:val="auto"/>
              <w:highlight w:val="none"/>
              <w:lang w:val="en-US" w:eastAsia="zh-CN"/>
            </w:rPr>
            <w:t xml:space="preserve">  招标公告</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_Toc25005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1833F0F4">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_Toc32025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第二部分  投标人须知前附表</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_Toc32025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1CAE3A23">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_Toc25324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第三部分  投标人须知</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_Toc25324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12</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64FF47BF">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_Toc11546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第四部分 采购需求</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_Toc11546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27</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3A829D5A">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_Toc12236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第五部分  资格审查内容及标准</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_Toc12236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252</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21D563EA">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_Toc17499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第六部分  评标标准和评标方法</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_Toc17499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254</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73E8E27F">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_Toc3080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第七部分  合同范本</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_Toc3080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264</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452727CE">
          <w:pPr>
            <w:pStyle w:val="14"/>
            <w:tabs>
              <w:tab w:val="right" w:leader="dot" w:pos="9014"/>
            </w:tabs>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_Toc18935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第八部分  投标文件内容要求及格式</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PAGEREF _Toc18935 \h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highlight w:val="none"/>
            </w:rPr>
            <w:t>270</w:t>
          </w:r>
          <w:r>
            <w:rPr>
              <w:rFonts w:hint="eastAsia" w:ascii="华文中宋" w:hAnsi="华文中宋" w:eastAsia="华文中宋" w:cs="华文中宋"/>
              <w:color w:val="auto"/>
              <w:highlight w:val="none"/>
            </w:rPr>
            <w:fldChar w:fldCharType="end"/>
          </w:r>
          <w:r>
            <w:rPr>
              <w:rFonts w:hint="eastAsia" w:ascii="华文中宋" w:hAnsi="华文中宋" w:eastAsia="华文中宋" w:cs="华文中宋"/>
              <w:color w:val="auto"/>
              <w:highlight w:val="none"/>
            </w:rPr>
            <w:fldChar w:fldCharType="end"/>
          </w:r>
        </w:p>
        <w:p w14:paraId="0F4DDA3C">
          <w:pPr>
            <w:ind w:left="0" w:leftChars="0" w:firstLine="0" w:firstLineChars="0"/>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highlight w:val="none"/>
            </w:rPr>
            <w:fldChar w:fldCharType="end"/>
          </w:r>
        </w:p>
      </w:sdtContent>
    </w:sdt>
    <w:p w14:paraId="0FD2707F">
      <w:pPr>
        <w:ind w:left="0" w:leftChars="0" w:firstLine="0" w:firstLineChars="0"/>
        <w:rPr>
          <w:rFonts w:hint="eastAsia" w:ascii="华文中宋" w:hAnsi="华文中宋" w:eastAsia="华文中宋" w:cs="华文中宋"/>
          <w:color w:val="auto"/>
          <w:kern w:val="2"/>
          <w:sz w:val="24"/>
          <w:szCs w:val="24"/>
          <w:highlight w:val="none"/>
          <w:lang w:val="en-US" w:eastAsia="zh-CN" w:bidi="ar-SA"/>
        </w:rPr>
        <w:sectPr>
          <w:headerReference r:id="rId5" w:type="default"/>
          <w:pgSz w:w="11906" w:h="16838"/>
          <w:pgMar w:top="1134" w:right="1361" w:bottom="1021" w:left="1531" w:header="851" w:footer="992" w:gutter="0"/>
          <w:pgNumType w:start="1"/>
          <w:cols w:space="425" w:num="1"/>
          <w:docGrid w:type="lines" w:linePitch="312" w:charSpace="0"/>
        </w:sectPr>
      </w:pPr>
    </w:p>
    <w:p w14:paraId="4E497F5E">
      <w:pPr>
        <w:pStyle w:val="2"/>
        <w:numPr>
          <w:ilvl w:val="0"/>
          <w:numId w:val="0"/>
        </w:numPr>
        <w:bidi w:val="0"/>
        <w:ind w:leftChars="0"/>
        <w:jc w:val="center"/>
        <w:rPr>
          <w:rFonts w:hint="eastAsia" w:ascii="华文中宋" w:hAnsi="华文中宋" w:eastAsia="华文中宋" w:cs="华文中宋"/>
          <w:color w:val="auto"/>
          <w:highlight w:val="none"/>
          <w:lang w:val="en-US" w:eastAsia="zh-CN"/>
        </w:rPr>
      </w:pPr>
      <w:bookmarkStart w:id="0" w:name="_Toc25005"/>
      <w:bookmarkStart w:id="1" w:name="_Toc91694417"/>
      <w:bookmarkStart w:id="2" w:name="_Toc424378682"/>
      <w:bookmarkStart w:id="3" w:name="_Toc352761927"/>
      <w:r>
        <w:rPr>
          <w:rFonts w:hint="eastAsia" w:ascii="华文中宋" w:hAnsi="华文中宋" w:eastAsia="华文中宋" w:cs="华文中宋"/>
          <w:color w:val="auto"/>
          <w:highlight w:val="none"/>
        </w:rPr>
        <w:t>第一部分</w:t>
      </w:r>
      <w:r>
        <w:rPr>
          <w:rFonts w:hint="eastAsia" w:ascii="华文中宋" w:hAnsi="华文中宋" w:eastAsia="华文中宋" w:cs="华文中宋"/>
          <w:color w:val="auto"/>
          <w:highlight w:val="none"/>
          <w:lang w:val="en-US" w:eastAsia="zh-CN"/>
        </w:rPr>
        <w:t xml:space="preserve">  招标公告</w:t>
      </w:r>
      <w:bookmarkEnd w:id="0"/>
    </w:p>
    <w:p w14:paraId="51EC96A2">
      <w:pPr>
        <w:pStyle w:val="3"/>
        <w:numPr>
          <w:ilvl w:val="1"/>
          <w:numId w:val="0"/>
        </w:numPr>
        <w:bidi w:val="0"/>
        <w:ind w:leftChars="0"/>
        <w:jc w:val="both"/>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一、项目基本情况</w:t>
      </w:r>
    </w:p>
    <w:p w14:paraId="0FD8FD3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项目编号：</w:t>
      </w:r>
      <w:r>
        <w:rPr>
          <w:rFonts w:hint="eastAsia" w:ascii="华文中宋" w:hAnsi="华文中宋" w:eastAsia="华文中宋" w:cs="华文中宋"/>
          <w:color w:val="auto"/>
          <w:highlight w:val="none"/>
          <w:lang w:val="en-US" w:eastAsia="zh-CN"/>
        </w:rPr>
        <w:fldChar w:fldCharType="begin"/>
      </w:r>
      <w:r>
        <w:rPr>
          <w:rFonts w:hint="eastAsia" w:ascii="华文中宋" w:hAnsi="华文中宋" w:eastAsia="华文中宋" w:cs="华文中宋"/>
          <w:color w:val="auto"/>
          <w:highlight w:val="none"/>
          <w:lang w:val="en-US" w:eastAsia="zh-CN"/>
        </w:rPr>
        <w:instrText xml:space="preserve"> HYPERLINK "https://www.sxzfcg.zcygov.cn/gaea/api/project/flow/redirect?projectId=7340409503333744722&amp;newUrl=https://www.sxzfcg.zcygov.cn/micro-app-back-index/blank?_flow_type_=agency&amp;_flow_projectId_=7340409503333744722&amp;_jump_page_type_=project_procurement_management_flow&amp;_app_=zcy.procurement&amp;oldUrl=https://www.sxzfcg.zcygov.cn/project-center/_procurement_/project-result-detail/7340409503333744722" \t "https://www.sxzfcg.zcygov.cn/project-center/_procurement_/self-project/_blank" </w:instrText>
      </w:r>
      <w:r>
        <w:rPr>
          <w:rFonts w:hint="eastAsia" w:ascii="华文中宋" w:hAnsi="华文中宋" w:eastAsia="华文中宋" w:cs="华文中宋"/>
          <w:color w:val="auto"/>
          <w:highlight w:val="none"/>
          <w:lang w:val="en-US" w:eastAsia="zh-CN"/>
        </w:rPr>
        <w:fldChar w:fldCharType="separate"/>
      </w:r>
      <w:r>
        <w:rPr>
          <w:rFonts w:hint="eastAsia" w:ascii="华文中宋" w:hAnsi="华文中宋" w:eastAsia="华文中宋" w:cs="华文中宋"/>
          <w:color w:val="auto"/>
          <w:highlight w:val="none"/>
          <w:lang w:val="en-US" w:eastAsia="zh-CN"/>
        </w:rPr>
        <w:t>1411262026AGK00002</w:t>
      </w:r>
      <w:r>
        <w:rPr>
          <w:rFonts w:hint="eastAsia" w:ascii="华文中宋" w:hAnsi="华文中宋" w:eastAsia="华文中宋" w:cs="华文中宋"/>
          <w:color w:val="auto"/>
          <w:highlight w:val="none"/>
          <w:lang w:val="en-US" w:eastAsia="zh-CN"/>
        </w:rPr>
        <w:fldChar w:fldCharType="end"/>
      </w:r>
    </w:p>
    <w:p w14:paraId="6CD6DA9C">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项目名称：</w:t>
      </w:r>
      <w:r>
        <w:rPr>
          <w:rFonts w:hint="eastAsia" w:ascii="华文中宋" w:hAnsi="华文中宋" w:eastAsia="华文中宋" w:cs="华文中宋"/>
          <w:color w:val="auto"/>
          <w:highlight w:val="none"/>
        </w:rPr>
        <w:t>石楼县人民医院迁建项目医疗信息化建设项目</w:t>
      </w:r>
    </w:p>
    <w:p w14:paraId="3218CBB8">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采购方式：公开招标</w:t>
      </w:r>
    </w:p>
    <w:p w14:paraId="623B6C5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预算金额(元)：</w:t>
      </w:r>
      <w:r>
        <w:rPr>
          <w:rFonts w:hint="eastAsia" w:ascii="华文中宋" w:hAnsi="华文中宋" w:eastAsia="华文中宋" w:cs="华文中宋"/>
          <w:color w:val="auto"/>
          <w:highlight w:val="none"/>
        </w:rPr>
        <w:t>4430 万元。</w:t>
      </w:r>
    </w:p>
    <w:p w14:paraId="16C99FB2">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最高限价(元)：4001.016321</w:t>
      </w:r>
      <w:r>
        <w:rPr>
          <w:rFonts w:hint="eastAsia" w:ascii="华文中宋" w:hAnsi="华文中宋" w:eastAsia="华文中宋" w:cs="华文中宋"/>
          <w:color w:val="auto"/>
          <w:highlight w:val="none"/>
        </w:rPr>
        <w:t>万元。</w:t>
      </w:r>
    </w:p>
    <w:p w14:paraId="3BFD4C8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招标范围：本项目共一包。 详见招标文件“第四部分  采购需求”。</w:t>
      </w:r>
    </w:p>
    <w:p w14:paraId="08B59B3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合同履行期限：签订合同之日起软件系统须在签订合同后12个月内上线；硬件设备须在合同签订后3个月内完成交货，安装及调试</w:t>
      </w:r>
      <w:r>
        <w:rPr>
          <w:rFonts w:hint="eastAsia" w:ascii="华文中宋" w:hAnsi="华文中宋" w:cs="华文中宋"/>
          <w:color w:val="auto"/>
          <w:highlight w:val="none"/>
          <w:lang w:val="en-US" w:eastAsia="zh-CN"/>
        </w:rPr>
        <w:t>，具备验收条件</w:t>
      </w:r>
      <w:r>
        <w:rPr>
          <w:rFonts w:hint="eastAsia" w:ascii="华文中宋" w:hAnsi="华文中宋" w:eastAsia="华文中宋" w:cs="华文中宋"/>
          <w:color w:val="auto"/>
          <w:highlight w:val="none"/>
          <w:lang w:val="en-US" w:eastAsia="zh-CN"/>
        </w:rPr>
        <w:t>。</w:t>
      </w:r>
    </w:p>
    <w:p w14:paraId="346FADF9">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本项目不接受联合体参与。</w:t>
      </w:r>
    </w:p>
    <w:p w14:paraId="4E2B3CF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质量标准：满足国家、行业和地方标准以及采购需求。</w:t>
      </w:r>
    </w:p>
    <w:p w14:paraId="62464E7C">
      <w:pPr>
        <w:rPr>
          <w:rFonts w:hint="eastAsia" w:ascii="华文中宋" w:hAnsi="华文中宋" w:eastAsia="华文中宋" w:cs="华文中宋"/>
          <w:color w:val="auto"/>
          <w:highlight w:val="none"/>
          <w:lang w:val="en-US" w:eastAsia="zh"/>
          <w:woUserID w:val="1"/>
        </w:rPr>
      </w:pPr>
      <w:r>
        <w:rPr>
          <w:rFonts w:hint="eastAsia" w:ascii="华文中宋" w:hAnsi="华文中宋" w:eastAsia="华文中宋" w:cs="华文中宋"/>
          <w:color w:val="auto"/>
          <w:highlight w:val="none"/>
          <w:lang w:val="en-US" w:eastAsia="zh"/>
          <w:woUserID w:val="1"/>
        </w:rPr>
        <w:t>项目实施地点：石楼县</w:t>
      </w:r>
      <w:r>
        <w:rPr>
          <w:rFonts w:hint="eastAsia" w:ascii="华文中宋" w:hAnsi="华文中宋" w:cs="华文中宋"/>
          <w:color w:val="auto"/>
          <w:highlight w:val="none"/>
          <w:lang w:val="en-US" w:eastAsia="zh-CN"/>
          <w:woUserID w:val="1"/>
        </w:rPr>
        <w:t>灵泉镇郭村</w:t>
      </w:r>
      <w:r>
        <w:rPr>
          <w:rFonts w:hint="eastAsia" w:ascii="华文中宋" w:hAnsi="华文中宋" w:eastAsia="华文中宋" w:cs="华文中宋"/>
          <w:color w:val="auto"/>
          <w:highlight w:val="none"/>
          <w:lang w:val="en-US" w:eastAsia="zh"/>
          <w:woUserID w:val="1"/>
        </w:rPr>
        <w:t>。</w:t>
      </w:r>
    </w:p>
    <w:p w14:paraId="7F6ED7BA">
      <w:pPr>
        <w:pStyle w:val="3"/>
        <w:numPr>
          <w:ilvl w:val="1"/>
          <w:numId w:val="0"/>
        </w:numPr>
        <w:bidi w:val="0"/>
        <w:ind w:leftChars="0"/>
        <w:jc w:val="both"/>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二、申请人的资格要求：</w:t>
      </w:r>
    </w:p>
    <w:p w14:paraId="084014CB">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1.满足《中华人民共和国政府采购法》第二十二条规定：</w:t>
      </w:r>
    </w:p>
    <w:p w14:paraId="549989E9">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2.落实政府采购政策需满足的资格要求：包1：无。</w:t>
      </w:r>
    </w:p>
    <w:p w14:paraId="2E292AD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3.本项目的特定资格要求：</w:t>
      </w:r>
    </w:p>
    <w:p w14:paraId="135614AE">
      <w:pPr>
        <w:rPr>
          <w:rFonts w:hint="eastAsia" w:ascii="华文中宋" w:hAnsi="华文中宋" w:eastAsia="华文中宋" w:cs="华文中宋"/>
          <w:color w:val="auto"/>
          <w:highlight w:val="none"/>
          <w:lang w:val="en-US" w:eastAsia="zh"/>
          <w:woUserID w:val="1"/>
        </w:rPr>
      </w:pPr>
      <w:r>
        <w:rPr>
          <w:rFonts w:hint="eastAsia" w:ascii="华文中宋" w:hAnsi="华文中宋" w:eastAsia="华文中宋" w:cs="华文中宋"/>
          <w:color w:val="auto"/>
          <w:highlight w:val="none"/>
          <w:lang w:val="en-US" w:eastAsia="zh"/>
          <w:woUserID w:val="1"/>
        </w:rPr>
        <w:t>本招标项目的招标范围涉及二类医疗器械产品：</w:t>
      </w:r>
    </w:p>
    <w:p w14:paraId="3B1D1FA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①投标人属于医疗器械生产企业直接参加投标的，提供生产企业许可证和经营备案凭证。医疗器械注册人、备案人在其住所或者生产地址销售其注册、备案的医疗器械，无需办理医疗器械备案凭证，但应当符合经营的条件。</w:t>
      </w:r>
    </w:p>
    <w:p w14:paraId="6754FB1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②投标人属于医疗器械经营企业参加投标的，提供经营备案凭证。</w:t>
      </w:r>
    </w:p>
    <w:p w14:paraId="6A6D6F6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③本次投标产品属于二类医疗器械，须提供医疗器械注册证。 </w:t>
      </w:r>
    </w:p>
    <w:p w14:paraId="04166B4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所投产品不属于医疗器械可不提供上述特定资格要求中①、②、③要求的内容。</w:t>
      </w:r>
    </w:p>
    <w:p w14:paraId="09BD70EB">
      <w:pPr>
        <w:rPr>
          <w:rFonts w:hint="eastAsia" w:ascii="华文中宋" w:hAnsi="华文中宋" w:eastAsia="华文中宋" w:cs="华文中宋"/>
          <w:color w:val="auto"/>
          <w:highlight w:val="none"/>
          <w:lang w:eastAsia="zh-CN"/>
          <w:woUserID w:val="1"/>
        </w:rPr>
      </w:pPr>
      <w:r>
        <w:rPr>
          <w:rFonts w:hint="eastAsia" w:ascii="华文中宋" w:hAnsi="华文中宋" w:eastAsia="华文中宋" w:cs="华文中宋"/>
          <w:color w:val="auto"/>
          <w:highlight w:val="none"/>
          <w:lang w:val="en-US" w:eastAsia="zh"/>
          <w:woUserID w:val="1"/>
        </w:rPr>
        <w:t>4.</w:t>
      </w:r>
      <w:r>
        <w:rPr>
          <w:rFonts w:hint="eastAsia" w:ascii="华文中宋" w:hAnsi="华文中宋" w:eastAsia="华文中宋" w:cs="华文中宋"/>
          <w:color w:val="auto"/>
          <w:highlight w:val="none"/>
          <w:woUserID w:val="1"/>
        </w:rPr>
        <w:t>单位负责人为同一人或者存在直接控股、管理关系的不同供应商，不得参加同一合同项下的政府采购活动</w:t>
      </w:r>
      <w:r>
        <w:rPr>
          <w:rFonts w:hint="eastAsia" w:ascii="华文中宋" w:hAnsi="华文中宋" w:cs="华文中宋"/>
          <w:color w:val="auto"/>
          <w:highlight w:val="none"/>
          <w:lang w:eastAsia="zh-CN"/>
          <w:woUserID w:val="1"/>
        </w:rPr>
        <w:t>。</w:t>
      </w:r>
    </w:p>
    <w:p w14:paraId="197616A8">
      <w:pPr>
        <w:rPr>
          <w:rFonts w:hint="eastAsia" w:ascii="华文中宋" w:hAnsi="华文中宋" w:eastAsia="华文中宋" w:cs="华文中宋"/>
          <w:b/>
          <w:bCs/>
          <w:color w:val="auto"/>
          <w:highlight w:val="none"/>
          <w:lang w:val="en-US" w:eastAsia="zh-CN"/>
        </w:rPr>
      </w:pPr>
      <w:r>
        <w:rPr>
          <w:rFonts w:hint="eastAsia" w:ascii="华文中宋" w:hAnsi="华文中宋" w:eastAsia="华文中宋" w:cs="华文中宋"/>
          <w:b/>
          <w:bCs/>
          <w:color w:val="auto"/>
          <w:kern w:val="44"/>
          <w:sz w:val="28"/>
          <w:szCs w:val="28"/>
          <w:highlight w:val="none"/>
          <w:lang w:val="en-US" w:eastAsia="zh-CN" w:bidi="ar-SA"/>
        </w:rPr>
        <w:t>三、获取招标文件</w:t>
      </w:r>
    </w:p>
    <w:p w14:paraId="2BEA36A8">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时间：</w:t>
      </w:r>
      <w:r>
        <w:rPr>
          <w:rFonts w:hint="eastAsia" w:ascii="华文中宋" w:hAnsi="华文中宋" w:eastAsia="华文中宋" w:cs="华文中宋"/>
          <w:color w:val="auto"/>
          <w:highlight w:val="none"/>
          <w:lang w:val="en-US" w:eastAsia="zh-CN"/>
        </w:rPr>
        <w:t>2026年</w:t>
      </w:r>
      <w:r>
        <w:rPr>
          <w:rFonts w:hint="eastAsia" w:ascii="华文中宋" w:hAnsi="华文中宋" w:cs="华文中宋"/>
          <w:color w:val="auto"/>
          <w:highlight w:val="none"/>
          <w:lang w:val="en-US" w:eastAsia="zh-CN"/>
        </w:rPr>
        <w:t>03</w:t>
      </w:r>
      <w:r>
        <w:rPr>
          <w:rFonts w:hint="eastAsia" w:ascii="华文中宋" w:hAnsi="华文中宋" w:eastAsia="华文中宋" w:cs="华文中宋"/>
          <w:color w:val="auto"/>
          <w:highlight w:val="none"/>
          <w:lang w:val="en-US" w:eastAsia="zh-CN"/>
        </w:rPr>
        <w:t>月</w:t>
      </w:r>
      <w:r>
        <w:rPr>
          <w:rFonts w:hint="eastAsia" w:ascii="华文中宋" w:hAnsi="华文中宋" w:cs="华文中宋"/>
          <w:color w:val="auto"/>
          <w:highlight w:val="none"/>
          <w:lang w:val="en-US" w:eastAsia="zh-CN"/>
        </w:rPr>
        <w:t>02</w:t>
      </w:r>
      <w:r>
        <w:rPr>
          <w:rFonts w:hint="eastAsia" w:ascii="华文中宋" w:hAnsi="华文中宋" w:eastAsia="华文中宋" w:cs="华文中宋"/>
          <w:color w:val="auto"/>
          <w:highlight w:val="none"/>
          <w:lang w:val="en-US" w:eastAsia="zh-CN"/>
        </w:rPr>
        <w:t>日</w:t>
      </w:r>
      <w:r>
        <w:rPr>
          <w:rFonts w:hint="eastAsia" w:ascii="华文中宋" w:hAnsi="华文中宋" w:eastAsia="华文中宋" w:cs="华文中宋"/>
          <w:color w:val="auto"/>
          <w:highlight w:val="none"/>
          <w:lang w:eastAsia="zh-CN"/>
        </w:rPr>
        <w:t>至</w:t>
      </w:r>
      <w:r>
        <w:rPr>
          <w:rFonts w:hint="eastAsia" w:ascii="华文中宋" w:hAnsi="华文中宋" w:eastAsia="华文中宋" w:cs="华文中宋"/>
          <w:color w:val="auto"/>
          <w:highlight w:val="none"/>
          <w:lang w:val="en-US" w:eastAsia="zh-CN"/>
        </w:rPr>
        <w:t>2026年</w:t>
      </w:r>
      <w:r>
        <w:rPr>
          <w:rFonts w:hint="eastAsia" w:ascii="华文中宋" w:hAnsi="华文中宋" w:cs="华文中宋"/>
          <w:color w:val="auto"/>
          <w:highlight w:val="none"/>
          <w:lang w:val="en-US" w:eastAsia="zh-CN"/>
        </w:rPr>
        <w:t>03</w:t>
      </w:r>
      <w:r>
        <w:rPr>
          <w:rFonts w:hint="eastAsia" w:ascii="华文中宋" w:hAnsi="华文中宋" w:eastAsia="华文中宋" w:cs="华文中宋"/>
          <w:color w:val="auto"/>
          <w:highlight w:val="none"/>
          <w:lang w:val="en-US" w:eastAsia="zh-CN"/>
        </w:rPr>
        <w:t>月</w:t>
      </w:r>
      <w:r>
        <w:rPr>
          <w:rFonts w:hint="eastAsia" w:ascii="华文中宋" w:hAnsi="华文中宋" w:cs="华文中宋"/>
          <w:color w:val="auto"/>
          <w:highlight w:val="none"/>
          <w:lang w:val="en-US" w:eastAsia="zh-CN"/>
        </w:rPr>
        <w:t>06</w:t>
      </w:r>
      <w:r>
        <w:rPr>
          <w:rFonts w:hint="eastAsia" w:ascii="华文中宋" w:hAnsi="华文中宋" w:eastAsia="华文中宋" w:cs="华文中宋"/>
          <w:color w:val="auto"/>
          <w:highlight w:val="none"/>
          <w:lang w:val="en-US" w:eastAsia="zh-CN"/>
        </w:rPr>
        <w:t>日</w:t>
      </w:r>
      <w:r>
        <w:rPr>
          <w:rFonts w:hint="eastAsia" w:ascii="华文中宋" w:hAnsi="华文中宋" w:eastAsia="华文中宋" w:cs="华文中宋"/>
          <w:color w:val="auto"/>
          <w:highlight w:val="none"/>
          <w:lang w:eastAsia="zh-CN"/>
        </w:rPr>
        <w:t>，每天上午00:00至12:00，下午12:00至23:59（北京时间，法定节假日除外）</w:t>
      </w:r>
    </w:p>
    <w:p w14:paraId="58CF8738">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2.地点：政采云平台线上获取 </w:t>
      </w:r>
    </w:p>
    <w:p w14:paraId="3D616AB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（登录中国政府采购网山西分网（www.ccgp-shanxi.gov.cn），通过项目采购公告下方点击“潜在供应商”免费下载招标文件）</w:t>
      </w:r>
    </w:p>
    <w:p w14:paraId="1DBA51D0">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3、方式：在线获取</w:t>
      </w:r>
    </w:p>
    <w:p w14:paraId="76156D6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4、售价：免费</w:t>
      </w:r>
    </w:p>
    <w:p w14:paraId="5E6843F2">
      <w:pPr>
        <w:pStyle w:val="3"/>
        <w:numPr>
          <w:ilvl w:val="1"/>
          <w:numId w:val="0"/>
        </w:numPr>
        <w:bidi w:val="0"/>
        <w:ind w:leftChars="0"/>
        <w:jc w:val="both"/>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四、提交投标文件截止时间、开标时间、地点和方式</w:t>
      </w:r>
    </w:p>
    <w:p w14:paraId="521122F9">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1、提交投标文件截止时间及开标时间：2026年</w:t>
      </w:r>
      <w:r>
        <w:rPr>
          <w:rFonts w:hint="eastAsia" w:ascii="华文中宋" w:hAnsi="华文中宋" w:cs="华文中宋"/>
          <w:color w:val="auto"/>
          <w:highlight w:val="none"/>
          <w:lang w:val="en-US" w:eastAsia="zh-CN"/>
        </w:rPr>
        <w:t>05</w:t>
      </w:r>
      <w:r>
        <w:rPr>
          <w:rFonts w:hint="eastAsia" w:ascii="华文中宋" w:hAnsi="华文中宋" w:eastAsia="华文中宋" w:cs="华文中宋"/>
          <w:color w:val="auto"/>
          <w:highlight w:val="none"/>
          <w:lang w:val="en-US" w:eastAsia="zh-CN"/>
        </w:rPr>
        <w:t>月</w:t>
      </w:r>
      <w:r>
        <w:rPr>
          <w:rFonts w:hint="eastAsia" w:ascii="华文中宋" w:hAnsi="华文中宋" w:cs="华文中宋"/>
          <w:color w:val="auto"/>
          <w:highlight w:val="none"/>
          <w:lang w:val="en-US" w:eastAsia="zh-CN"/>
        </w:rPr>
        <w:t>11</w:t>
      </w:r>
      <w:bookmarkStart w:id="100" w:name="_GoBack"/>
      <w:bookmarkEnd w:id="100"/>
      <w:r>
        <w:rPr>
          <w:rFonts w:hint="eastAsia" w:ascii="华文中宋" w:hAnsi="华文中宋" w:eastAsia="华文中宋" w:cs="华文中宋"/>
          <w:color w:val="auto"/>
          <w:highlight w:val="none"/>
          <w:lang w:val="en-US" w:eastAsia="zh-CN"/>
        </w:rPr>
        <w:t>日</w:t>
      </w:r>
      <w:r>
        <w:rPr>
          <w:rFonts w:hint="eastAsia" w:ascii="华文中宋" w:hAnsi="华文中宋" w:cs="华文中宋"/>
          <w:color w:val="auto"/>
          <w:highlight w:val="none"/>
          <w:lang w:val="en-US" w:eastAsia="zh-CN"/>
        </w:rPr>
        <w:t>09</w:t>
      </w:r>
      <w:r>
        <w:rPr>
          <w:rFonts w:hint="eastAsia" w:ascii="华文中宋" w:hAnsi="华文中宋" w:eastAsia="华文中宋" w:cs="华文中宋"/>
          <w:color w:val="auto"/>
          <w:highlight w:val="none"/>
          <w:lang w:val="en-US" w:eastAsia="zh-CN"/>
        </w:rPr>
        <w:t>点</w:t>
      </w:r>
      <w:r>
        <w:rPr>
          <w:rFonts w:hint="eastAsia" w:ascii="华文中宋" w:hAnsi="华文中宋" w:cs="华文中宋"/>
          <w:color w:val="auto"/>
          <w:highlight w:val="none"/>
          <w:lang w:val="en-US" w:eastAsia="zh-CN"/>
        </w:rPr>
        <w:t>00</w:t>
      </w:r>
      <w:r>
        <w:rPr>
          <w:rFonts w:hint="eastAsia" w:ascii="华文中宋" w:hAnsi="华文中宋" w:eastAsia="华文中宋" w:cs="华文中宋"/>
          <w:color w:val="auto"/>
          <w:highlight w:val="none"/>
          <w:lang w:val="en-US" w:eastAsia="zh-CN"/>
        </w:rPr>
        <w:t>分（北京时间）</w:t>
      </w:r>
    </w:p>
    <w:p w14:paraId="3E55B8E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2、投标地点（网址）：请登录政采云投标客户端投标 </w:t>
      </w:r>
    </w:p>
    <w:p w14:paraId="4F3A85E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3、方式：登录中国政府采购网山西分网上传投标文件。投标截止时间前未完成提交的，将拒收投标文件。</w:t>
      </w:r>
    </w:p>
    <w:p w14:paraId="7B2F628E">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开标时登录中国政府采购网山西分网在规定时间内解密电子投标文件，解密设备及网络环境由投标人自行准备。</w:t>
      </w:r>
    </w:p>
    <w:p w14:paraId="1FE75B62">
      <w:pPr>
        <w:rPr>
          <w:rFonts w:hint="eastAsia" w:ascii="华文中宋" w:hAnsi="华文中宋" w:eastAsia="华文中宋" w:cs="华文中宋"/>
          <w:b/>
          <w:bCs/>
          <w:color w:val="auto"/>
          <w:highlight w:val="none"/>
          <w:lang w:val="en-US" w:eastAsia="zh-CN"/>
        </w:rPr>
      </w:pPr>
      <w:r>
        <w:rPr>
          <w:rFonts w:hint="eastAsia" w:ascii="华文中宋" w:hAnsi="华文中宋" w:eastAsia="华文中宋" w:cs="华文中宋"/>
          <w:color w:val="auto"/>
          <w:highlight w:val="none"/>
          <w:lang w:val="en-US" w:eastAsia="zh-CN"/>
        </w:rPr>
        <w:t>4、开标地点：本项目采用网上电子开标的方式进行</w:t>
      </w:r>
    </w:p>
    <w:p w14:paraId="56C1A400">
      <w:pPr>
        <w:rPr>
          <w:rFonts w:hint="eastAsia" w:ascii="华文中宋" w:hAnsi="华文中宋" w:eastAsia="华文中宋" w:cs="华文中宋"/>
          <w:b/>
          <w:bCs/>
          <w:color w:val="auto"/>
          <w:highlight w:val="none"/>
          <w:lang w:val="en-US" w:eastAsia="zh-CN"/>
        </w:rPr>
      </w:pPr>
      <w:r>
        <w:rPr>
          <w:rFonts w:hint="eastAsia" w:ascii="华文中宋" w:hAnsi="华文中宋" w:eastAsia="华文中宋" w:cs="华文中宋"/>
          <w:b/>
          <w:bCs/>
          <w:color w:val="auto"/>
          <w:highlight w:val="none"/>
          <w:lang w:val="en-US" w:eastAsia="zh-CN"/>
        </w:rPr>
        <w:t>五、公告期限</w:t>
      </w:r>
    </w:p>
    <w:p w14:paraId="3999A38E">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自本公告发布之日起5个工作日。</w:t>
      </w:r>
    </w:p>
    <w:p w14:paraId="1DE02B15">
      <w:pPr>
        <w:rPr>
          <w:rFonts w:hint="eastAsia" w:ascii="华文中宋" w:hAnsi="华文中宋" w:eastAsia="华文中宋" w:cs="华文中宋"/>
          <w:b/>
          <w:bCs/>
          <w:color w:val="auto"/>
          <w:highlight w:val="none"/>
          <w:lang w:val="en-US" w:eastAsia="zh-CN"/>
        </w:rPr>
      </w:pPr>
      <w:r>
        <w:rPr>
          <w:rFonts w:hint="eastAsia" w:ascii="华文中宋" w:hAnsi="华文中宋" w:eastAsia="华文中宋" w:cs="华文中宋"/>
          <w:b/>
          <w:bCs/>
          <w:color w:val="auto"/>
          <w:highlight w:val="none"/>
          <w:lang w:val="en-US" w:eastAsia="zh-CN"/>
        </w:rPr>
        <w:t>六、其他补充事宜</w:t>
      </w:r>
    </w:p>
    <w:p w14:paraId="069E805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41C9938E">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 代理费支付方式：无需代理费</w:t>
      </w:r>
    </w:p>
    <w:p w14:paraId="3FA9E728">
      <w:pPr>
        <w:rPr>
          <w:rFonts w:hint="eastAsia" w:ascii="华文中宋" w:hAnsi="华文中宋" w:eastAsia="华文中宋" w:cs="华文中宋"/>
          <w:b/>
          <w:bCs/>
          <w:color w:val="auto"/>
          <w:highlight w:val="none"/>
          <w:lang w:val="en-US" w:eastAsia="zh-CN"/>
        </w:rPr>
      </w:pPr>
      <w:r>
        <w:rPr>
          <w:rFonts w:hint="eastAsia" w:ascii="华文中宋" w:hAnsi="华文中宋" w:eastAsia="华文中宋" w:cs="华文中宋"/>
          <w:b/>
          <w:bCs/>
          <w:color w:val="auto"/>
          <w:highlight w:val="none"/>
          <w:lang w:val="en-US" w:eastAsia="zh-CN"/>
        </w:rPr>
        <w:t>七、凡对本次采购提出询问，请按以下方式联系。</w:t>
      </w:r>
    </w:p>
    <w:p w14:paraId="5C58D838">
      <w:pPr>
        <w:rPr>
          <w:rFonts w:hint="eastAsia" w:ascii="华文中宋" w:hAnsi="华文中宋" w:eastAsia="华文中宋" w:cs="华文中宋"/>
          <w:color w:val="auto"/>
          <w:highlight w:val="none"/>
        </w:rPr>
      </w:pPr>
      <w:bookmarkStart w:id="4" w:name="_Toc28359003"/>
      <w:bookmarkEnd w:id="4"/>
      <w:bookmarkStart w:id="5" w:name="_Toc28359015"/>
      <w:bookmarkEnd w:id="5"/>
      <w:bookmarkStart w:id="6" w:name="_Toc28359082"/>
      <w:bookmarkEnd w:id="6"/>
      <w:bookmarkStart w:id="7" w:name="_Toc35393801"/>
      <w:bookmarkEnd w:id="7"/>
      <w:bookmarkStart w:id="8" w:name="_Toc28359005"/>
      <w:bookmarkEnd w:id="8"/>
      <w:bookmarkStart w:id="9" w:name="_Toc35393791"/>
      <w:bookmarkEnd w:id="9"/>
      <w:bookmarkStart w:id="10" w:name="_Toc35393793"/>
      <w:bookmarkEnd w:id="10"/>
      <w:bookmarkStart w:id="11" w:name="_Toc35393622"/>
      <w:bookmarkEnd w:id="11"/>
      <w:bookmarkStart w:id="12" w:name="_Toc35393624"/>
      <w:bookmarkEnd w:id="12"/>
      <w:bookmarkStart w:id="13" w:name="_Toc35393632"/>
      <w:bookmarkEnd w:id="13"/>
      <w:bookmarkStart w:id="14" w:name="_Toc28359080"/>
      <w:bookmarkEnd w:id="14"/>
      <w:bookmarkStart w:id="15" w:name="_Toc28359092"/>
      <w:bookmarkEnd w:id="15"/>
      <w:r>
        <w:rPr>
          <w:rFonts w:hint="eastAsia" w:ascii="华文中宋" w:hAnsi="华文中宋" w:eastAsia="华文中宋" w:cs="华文中宋"/>
          <w:color w:val="auto"/>
          <w:highlight w:val="none"/>
        </w:rPr>
        <w:t>采购人基本信息</w:t>
      </w:r>
    </w:p>
    <w:p w14:paraId="6EA21A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单位名称：石楼县卫生健康局</w:t>
      </w:r>
    </w:p>
    <w:p w14:paraId="081601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地     址：石楼县城内东征大街</w:t>
      </w:r>
    </w:p>
    <w:p w14:paraId="6BA093CA">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项目联系人：</w:t>
      </w:r>
      <w:r>
        <w:rPr>
          <w:rFonts w:hint="eastAsia" w:ascii="华文中宋" w:hAnsi="华文中宋" w:eastAsia="华文中宋" w:cs="华文中宋"/>
          <w:color w:val="auto"/>
          <w:highlight w:val="none"/>
          <w:lang w:val="en-US" w:eastAsia="zh-CN"/>
        </w:rPr>
        <w:t>高先生</w:t>
      </w:r>
    </w:p>
    <w:p w14:paraId="68F600DE">
      <w:pPr>
        <w:rPr>
          <w:rFonts w:hint="eastAsia" w:ascii="华文中宋" w:hAnsi="华文中宋" w:eastAsia="华文中宋" w:cs="华文中宋"/>
          <w:b w:val="0"/>
          <w:bCs w:val="0"/>
          <w:color w:val="auto"/>
          <w:highlight w:val="none"/>
        </w:rPr>
      </w:pPr>
      <w:r>
        <w:rPr>
          <w:rFonts w:hint="eastAsia" w:ascii="华文中宋" w:hAnsi="华文中宋" w:eastAsia="华文中宋" w:cs="华文中宋"/>
          <w:b w:val="0"/>
          <w:bCs w:val="0"/>
          <w:color w:val="auto"/>
          <w:highlight w:val="none"/>
        </w:rPr>
        <w:t>联系电话：0358-5726816</w:t>
      </w:r>
    </w:p>
    <w:p w14:paraId="0089C9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集采机构基本信息</w:t>
      </w:r>
    </w:p>
    <w:p w14:paraId="006D96C2">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单位名称：</w:t>
      </w:r>
      <w:r>
        <w:rPr>
          <w:rFonts w:hint="eastAsia" w:ascii="华文中宋" w:hAnsi="华文中宋" w:eastAsia="华文中宋" w:cs="华文中宋"/>
          <w:color w:val="auto"/>
          <w:highlight w:val="none"/>
          <w:lang w:eastAsia="zh-CN"/>
        </w:rPr>
        <w:t>石楼县</w:t>
      </w:r>
      <w:r>
        <w:rPr>
          <w:rFonts w:hint="eastAsia" w:ascii="华文中宋" w:hAnsi="华文中宋" w:cs="华文中宋"/>
          <w:color w:val="auto"/>
          <w:highlight w:val="none"/>
          <w:lang w:eastAsia="zh-CN"/>
        </w:rPr>
        <w:t>政务服务中心</w:t>
      </w:r>
    </w:p>
    <w:p w14:paraId="632AF0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地址：石楼县政务大楼三楼</w:t>
      </w:r>
    </w:p>
    <w:p w14:paraId="634D92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联系人：王小健</w:t>
      </w:r>
    </w:p>
    <w:p w14:paraId="1A9CEA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联系电话：0358-5724995</w:t>
      </w:r>
    </w:p>
    <w:p w14:paraId="5FECD4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政采云平台</w:t>
      </w:r>
    </w:p>
    <w:p w14:paraId="4772DB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技术支持电话：95763     </w:t>
      </w:r>
    </w:p>
    <w:p w14:paraId="0C8A85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0351-7731616    </w:t>
      </w:r>
    </w:p>
    <w:p w14:paraId="44966081">
      <w:pPr>
        <w:rPr>
          <w:rFonts w:hint="eastAsia" w:ascii="华文中宋" w:hAnsi="华文中宋" w:eastAsia="华文中宋" w:cs="华文中宋"/>
          <w:color w:val="auto"/>
          <w:highlight w:val="none"/>
        </w:rPr>
      </w:pPr>
    </w:p>
    <w:p w14:paraId="71C3DA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注：本招标文件所表述的时间均为北京时间。</w:t>
      </w:r>
    </w:p>
    <w:p w14:paraId="66A673B7">
      <w:pPr>
        <w:jc w:val="right"/>
        <w:rPr>
          <w:rFonts w:hint="eastAsia" w:ascii="华文中宋" w:hAnsi="华文中宋" w:eastAsia="华文中宋" w:cs="华文中宋"/>
          <w:color w:val="auto"/>
          <w:highlight w:val="none"/>
        </w:rPr>
      </w:pPr>
    </w:p>
    <w:p w14:paraId="4C32338A">
      <w:pPr>
        <w:jc w:val="right"/>
        <w:rPr>
          <w:rFonts w:hint="eastAsia" w:ascii="华文中宋" w:hAnsi="华文中宋" w:eastAsia="华文中宋" w:cs="华文中宋"/>
          <w:color w:val="auto"/>
          <w:highlight w:val="none"/>
        </w:rPr>
      </w:pPr>
    </w:p>
    <w:p w14:paraId="6DD08AFB">
      <w:pPr>
        <w:jc w:val="right"/>
        <w:rPr>
          <w:rFonts w:hint="eastAsia" w:ascii="华文中宋" w:hAnsi="华文中宋" w:eastAsia="华文中宋" w:cs="华文中宋"/>
          <w:color w:val="auto"/>
          <w:highlight w:val="none"/>
        </w:rPr>
      </w:pPr>
    </w:p>
    <w:p w14:paraId="558A6307">
      <w:pPr>
        <w:jc w:val="right"/>
        <w:rPr>
          <w:rFonts w:hint="eastAsia" w:ascii="华文中宋" w:hAnsi="华文中宋" w:eastAsia="华文中宋" w:cs="华文中宋"/>
          <w:color w:val="auto"/>
          <w:highlight w:val="none"/>
        </w:rPr>
      </w:pPr>
    </w:p>
    <w:p w14:paraId="7FD5B40C">
      <w:pPr>
        <w:jc w:val="right"/>
        <w:rPr>
          <w:rFonts w:hint="eastAsia" w:ascii="华文中宋" w:hAnsi="华文中宋" w:eastAsia="华文中宋" w:cs="华文中宋"/>
          <w:color w:val="auto"/>
          <w:highlight w:val="none"/>
        </w:rPr>
      </w:pPr>
    </w:p>
    <w:p w14:paraId="733A31D8">
      <w:pPr>
        <w:jc w:val="right"/>
        <w:rPr>
          <w:rFonts w:hint="eastAsia" w:ascii="华文中宋" w:hAnsi="华文中宋" w:eastAsia="华文中宋" w:cs="华文中宋"/>
          <w:color w:val="auto"/>
          <w:highlight w:val="none"/>
        </w:rPr>
      </w:pPr>
    </w:p>
    <w:p w14:paraId="69E021FC">
      <w:pPr>
        <w:jc w:val="right"/>
        <w:rPr>
          <w:rFonts w:hint="eastAsia" w:ascii="华文中宋" w:hAnsi="华文中宋" w:eastAsia="华文中宋" w:cs="华文中宋"/>
          <w:color w:val="auto"/>
          <w:highlight w:val="none"/>
        </w:rPr>
      </w:pPr>
    </w:p>
    <w:p w14:paraId="2FE0BB53">
      <w:pPr>
        <w:jc w:val="right"/>
        <w:rPr>
          <w:rFonts w:hint="eastAsia" w:ascii="华文中宋" w:hAnsi="华文中宋" w:eastAsia="华文中宋" w:cs="华文中宋"/>
          <w:color w:val="auto"/>
          <w:highlight w:val="none"/>
        </w:rPr>
      </w:pPr>
    </w:p>
    <w:p w14:paraId="54F0A68A">
      <w:pPr>
        <w:jc w:val="right"/>
        <w:rPr>
          <w:rFonts w:hint="eastAsia" w:ascii="华文中宋" w:hAnsi="华文中宋" w:eastAsia="华文中宋" w:cs="华文中宋"/>
          <w:color w:val="auto"/>
          <w:highlight w:val="none"/>
        </w:rPr>
      </w:pPr>
    </w:p>
    <w:p w14:paraId="11D0C49A">
      <w:pPr>
        <w:jc w:val="right"/>
        <w:rPr>
          <w:rFonts w:hint="eastAsia" w:ascii="华文中宋" w:hAnsi="华文中宋" w:eastAsia="华文中宋" w:cs="华文中宋"/>
          <w:color w:val="auto"/>
          <w:highlight w:val="none"/>
        </w:rPr>
      </w:pPr>
    </w:p>
    <w:p w14:paraId="4626D657">
      <w:pPr>
        <w:jc w:val="right"/>
        <w:rPr>
          <w:rFonts w:hint="eastAsia" w:ascii="华文中宋" w:hAnsi="华文中宋" w:eastAsia="华文中宋" w:cs="华文中宋"/>
          <w:color w:val="auto"/>
          <w:highlight w:val="none"/>
        </w:rPr>
      </w:pPr>
    </w:p>
    <w:p w14:paraId="61EADEC5">
      <w:pPr>
        <w:jc w:val="right"/>
        <w:rPr>
          <w:rFonts w:hint="eastAsia" w:ascii="华文中宋" w:hAnsi="华文中宋" w:eastAsia="华文中宋" w:cs="华文中宋"/>
          <w:color w:val="auto"/>
          <w:highlight w:val="none"/>
        </w:rPr>
      </w:pPr>
    </w:p>
    <w:p w14:paraId="5108D9E9">
      <w:pPr>
        <w:jc w:val="right"/>
        <w:rPr>
          <w:rFonts w:hint="eastAsia" w:ascii="华文中宋" w:hAnsi="华文中宋" w:eastAsia="华文中宋" w:cs="华文中宋"/>
          <w:color w:val="auto"/>
          <w:highlight w:val="none"/>
        </w:rPr>
      </w:pPr>
    </w:p>
    <w:bookmarkEnd w:id="1"/>
    <w:bookmarkEnd w:id="2"/>
    <w:bookmarkEnd w:id="3"/>
    <w:p w14:paraId="5B187FA6">
      <w:pPr>
        <w:pStyle w:val="2"/>
        <w:bidi w:val="0"/>
        <w:rPr>
          <w:rFonts w:hint="eastAsia" w:ascii="华文中宋" w:hAnsi="华文中宋" w:eastAsia="华文中宋" w:cs="华文中宋"/>
          <w:color w:val="auto"/>
          <w:highlight w:val="none"/>
        </w:rPr>
      </w:pPr>
      <w:bookmarkStart w:id="16" w:name="_Toc424378683"/>
      <w:bookmarkStart w:id="17" w:name="_Toc352761928"/>
      <w:bookmarkStart w:id="18" w:name="_Toc32025"/>
      <w:bookmarkStart w:id="19" w:name="_Toc91694418"/>
      <w:r>
        <w:rPr>
          <w:rFonts w:hint="eastAsia" w:ascii="华文中宋" w:hAnsi="华文中宋" w:eastAsia="华文中宋" w:cs="华文中宋"/>
          <w:color w:val="auto"/>
          <w:highlight w:val="none"/>
        </w:rPr>
        <w:t>第二部分  投标人须知前附表</w:t>
      </w:r>
      <w:bookmarkEnd w:id="16"/>
      <w:bookmarkEnd w:id="17"/>
      <w:bookmarkEnd w:id="18"/>
      <w:bookmarkEnd w:id="19"/>
    </w:p>
    <w:tbl>
      <w:tblPr>
        <w:tblStyle w:val="19"/>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408B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vAlign w:val="center"/>
          </w:tcPr>
          <w:p w14:paraId="55E5F8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2011" w:type="dxa"/>
            <w:vAlign w:val="center"/>
          </w:tcPr>
          <w:p w14:paraId="726F57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内容</w:t>
            </w:r>
          </w:p>
        </w:tc>
        <w:tc>
          <w:tcPr>
            <w:tcW w:w="6448" w:type="dxa"/>
            <w:vAlign w:val="center"/>
          </w:tcPr>
          <w:p w14:paraId="3479D2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说明与要求</w:t>
            </w:r>
          </w:p>
        </w:tc>
      </w:tr>
      <w:tr w14:paraId="2E87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49" w:type="dxa"/>
            <w:vAlign w:val="center"/>
          </w:tcPr>
          <w:p w14:paraId="44ED30D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2011" w:type="dxa"/>
            <w:vAlign w:val="center"/>
          </w:tcPr>
          <w:p w14:paraId="4A08490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投标人应具备的资格要求</w:t>
            </w:r>
          </w:p>
        </w:tc>
        <w:tc>
          <w:tcPr>
            <w:tcW w:w="6448" w:type="dxa"/>
            <w:vAlign w:val="center"/>
          </w:tcPr>
          <w:p w14:paraId="3AE6446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1．具备政府采购法第二十二条第一款规定的条件</w:t>
            </w:r>
          </w:p>
          <w:p w14:paraId="2EDBA38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2．本包是否接受联合体：</w:t>
            </w:r>
            <w:bookmarkStart w:id="20" w:name="PO_3000009613_PM007"/>
            <w:r>
              <w:rPr>
                <w:rFonts w:hint="eastAsia" w:ascii="华文中宋" w:hAnsi="华文中宋" w:eastAsia="华文中宋" w:cs="华文中宋"/>
                <w:color w:val="auto"/>
                <w:highlight w:val="none"/>
              </w:rPr>
              <w:t>不允许联合体投标</w:t>
            </w:r>
            <w:bookmarkEnd w:id="20"/>
          </w:p>
          <w:p w14:paraId="44A785B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lang w:val="en-US" w:eastAsia="zh-CN"/>
              </w:rPr>
              <w:t>本项目所需的其他特定资格条件：</w:t>
            </w:r>
            <w:bookmarkStart w:id="21" w:name="PO_3000009613_PM006"/>
            <w:r>
              <w:rPr>
                <w:rFonts w:hint="eastAsia" w:ascii="华文中宋" w:hAnsi="华文中宋" w:eastAsia="华文中宋" w:cs="华文中宋"/>
                <w:color w:val="auto"/>
                <w:highlight w:val="none"/>
                <w:lang w:val="en-US" w:eastAsia="zh-CN"/>
              </w:rPr>
              <w:t>①投标人属于医疗器械生产企业直接参加投标的，所投产品属于二类医疗器械的须提供生产企业许可证和经营备案凭证。医疗器械注册人、备案人在其住所或者生产地址销售其注册、备案的医疗器械，无需办理医疗器械备案凭证，但应当符合经营的条件。</w:t>
            </w:r>
          </w:p>
          <w:p w14:paraId="50BF2E7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②投标人属于医疗器械经营企业参加投标的，二类医疗器械的须提供经营备案凭证。</w:t>
            </w:r>
          </w:p>
          <w:p w14:paraId="40F2879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③本次投标产品属于二类医疗器械的，须提供医疗器械注册证。 </w:t>
            </w:r>
            <w:bookmarkEnd w:id="21"/>
          </w:p>
          <w:p w14:paraId="11FE5B2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所投产品不属于医疗器械可不提供上述特定资格要求中①、②、③要求的内容。</w:t>
            </w:r>
          </w:p>
          <w:p w14:paraId="3522FA6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本项目是否允许再分包：否</w:t>
            </w:r>
            <w:r>
              <w:rPr>
                <w:rFonts w:hint="eastAsia" w:ascii="华文中宋" w:hAnsi="华文中宋" w:eastAsia="华文中宋" w:cs="华文中宋"/>
                <w:color w:val="auto"/>
                <w:highlight w:val="none"/>
              </w:rPr>
              <w:sym w:font="Wingdings 2" w:char="0052"/>
            </w:r>
          </w:p>
          <w:p w14:paraId="19EE363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本项目是否专门面向中小企业项目：否</w:t>
            </w:r>
            <w:r>
              <w:rPr>
                <w:rFonts w:hint="eastAsia" w:ascii="华文中宋" w:hAnsi="华文中宋" w:eastAsia="华文中宋" w:cs="华文中宋"/>
                <w:color w:val="auto"/>
                <w:highlight w:val="none"/>
              </w:rPr>
              <w:sym w:font="Wingdings 2" w:char="0052"/>
            </w:r>
          </w:p>
          <w:p w14:paraId="4A1F5189">
            <w:pPr>
              <w:keepNext w:val="0"/>
              <w:keepLines w:val="0"/>
              <w:pageBreakBefore w:val="0"/>
              <w:widowControl w:val="0"/>
              <w:numPr>
                <w:ilvl w:val="0"/>
                <w:numId w:val="1"/>
              </w:numPr>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本项目是否属于绿色数据中心项目：否</w:t>
            </w:r>
            <w:r>
              <w:rPr>
                <w:rFonts w:hint="eastAsia" w:ascii="华文中宋" w:hAnsi="华文中宋" w:eastAsia="华文中宋" w:cs="华文中宋"/>
                <w:color w:val="auto"/>
                <w:highlight w:val="none"/>
              </w:rPr>
              <w:sym w:font="Wingdings 2" w:char="0052"/>
            </w:r>
          </w:p>
          <w:p w14:paraId="2AE91D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5.</w:t>
            </w:r>
            <w:r>
              <w:rPr>
                <w:rFonts w:hint="eastAsia" w:ascii="华文中宋" w:hAnsi="华文中宋" w:eastAsia="华文中宋" w:cs="华文中宋"/>
                <w:color w:val="auto"/>
                <w:highlight w:val="none"/>
                <w:woUserID w:val="1"/>
              </w:rPr>
              <w:t>单位负责人为同一人或者存在直接控股、管理关系的不同供应商，不得参加同一合同项下的政府采购活动</w:t>
            </w:r>
            <w:r>
              <w:rPr>
                <w:rFonts w:hint="eastAsia" w:ascii="华文中宋" w:hAnsi="华文中宋" w:eastAsia="华文中宋" w:cs="华文中宋"/>
                <w:color w:val="auto"/>
                <w:highlight w:val="none"/>
                <w:lang w:eastAsia="zh-CN"/>
                <w:woUserID w:val="1"/>
              </w:rPr>
              <w:t>。</w:t>
            </w:r>
          </w:p>
        </w:tc>
      </w:tr>
      <w:tr w14:paraId="4A61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B1987D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2011" w:type="dxa"/>
            <w:vAlign w:val="center"/>
          </w:tcPr>
          <w:p w14:paraId="0003657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投标文件（资格证明文件）</w:t>
            </w:r>
          </w:p>
        </w:tc>
        <w:tc>
          <w:tcPr>
            <w:tcW w:w="6448" w:type="dxa"/>
            <w:vAlign w:val="center"/>
          </w:tcPr>
          <w:p w14:paraId="1D581D8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1．投标人代表的证明（格式见第八部分）</w:t>
            </w:r>
          </w:p>
          <w:p w14:paraId="5871D7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法定代表人（负责人）参加投标的，提供“法定代表人（负责人）证明书”</w:t>
            </w:r>
          </w:p>
          <w:p w14:paraId="225403E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委托代理人参加投标的，提供“法定代表人（负责人）授权委托书”</w:t>
            </w:r>
          </w:p>
          <w:p w14:paraId="0C27500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自然人参加投标的，提供个人身份证明扫描件</w:t>
            </w:r>
          </w:p>
          <w:p w14:paraId="139AA13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3．以下内容仅需提供《政府集中采购供应商信用承诺书》一份即可（格式见第八部分）</w:t>
            </w:r>
          </w:p>
          <w:p w14:paraId="2E27905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具有独立承担民事责任的能力</w:t>
            </w:r>
          </w:p>
          <w:p w14:paraId="3ED895B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具有良好的商业信誉和健全的财务会计制度</w:t>
            </w:r>
          </w:p>
          <w:p w14:paraId="15F49E5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具有依法缴纳税收和社会保障资金的良好记录</w:t>
            </w:r>
          </w:p>
          <w:p w14:paraId="646A678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具有履行合同所必需的设备和专业技术能力</w:t>
            </w:r>
          </w:p>
          <w:p w14:paraId="6112D20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参加政府采购活动前三年内，在经营活动中没有重大违法记录</w:t>
            </w:r>
          </w:p>
          <w:p w14:paraId="26D8277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4．本项目所需的其他特定资格</w:t>
            </w:r>
            <w:r>
              <w:rPr>
                <w:rFonts w:hint="eastAsia" w:ascii="华文中宋" w:hAnsi="华文中宋" w:cs="华文中宋"/>
                <w:color w:val="auto"/>
                <w:highlight w:val="none"/>
                <w:lang w:val="en-US" w:eastAsia="zh-CN"/>
              </w:rPr>
              <w:t>要求</w:t>
            </w:r>
            <w:r>
              <w:rPr>
                <w:rFonts w:hint="eastAsia" w:ascii="华文中宋" w:hAnsi="华文中宋" w:eastAsia="华文中宋" w:cs="华文中宋"/>
                <w:color w:val="auto"/>
                <w:highlight w:val="none"/>
                <w:lang w:eastAsia="zh"/>
                <w:woUserID w:val="1"/>
              </w:rPr>
              <w:t>和合格投标人</w:t>
            </w:r>
            <w:r>
              <w:rPr>
                <w:rFonts w:hint="eastAsia" w:ascii="华文中宋" w:hAnsi="华文中宋" w:cs="华文中宋"/>
                <w:color w:val="auto"/>
                <w:highlight w:val="none"/>
                <w:lang w:val="en-US" w:eastAsia="zh-CN"/>
                <w:woUserID w:val="1"/>
              </w:rPr>
              <w:t>要求，</w:t>
            </w:r>
            <w:r>
              <w:rPr>
                <w:rFonts w:hint="eastAsia" w:ascii="华文中宋" w:hAnsi="华文中宋" w:eastAsia="华文中宋" w:cs="华文中宋"/>
                <w:color w:val="auto"/>
                <w:highlight w:val="none"/>
              </w:rPr>
              <w:t>按照</w:t>
            </w:r>
            <w:r>
              <w:rPr>
                <w:rFonts w:hint="eastAsia" w:ascii="华文中宋" w:hAnsi="华文中宋" w:eastAsia="华文中宋" w:cs="华文中宋"/>
                <w:color w:val="auto"/>
                <w:highlight w:val="none"/>
                <w:woUserID w:val="1"/>
              </w:rPr>
              <w:t>资格审查内容及标准</w:t>
            </w:r>
            <w:r>
              <w:rPr>
                <w:rFonts w:hint="eastAsia" w:ascii="华文中宋" w:hAnsi="华文中宋" w:eastAsia="华文中宋" w:cs="华文中宋"/>
                <w:color w:val="auto"/>
                <w:highlight w:val="none"/>
              </w:rPr>
              <w:t>提交相关证明文件。</w:t>
            </w:r>
          </w:p>
          <w:p w14:paraId="4D6FA9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5．投标保证金的缴纳情况</w:t>
            </w:r>
          </w:p>
          <w:p w14:paraId="0CA2534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本项目不需要提交投标保证金。</w:t>
            </w:r>
          </w:p>
        </w:tc>
      </w:tr>
      <w:tr w14:paraId="3CAF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09FEFDF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2011" w:type="dxa"/>
            <w:vAlign w:val="center"/>
          </w:tcPr>
          <w:p w14:paraId="4EAD183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投标文件（商务技术文件）</w:t>
            </w:r>
          </w:p>
        </w:tc>
        <w:tc>
          <w:tcPr>
            <w:tcW w:w="6448" w:type="dxa"/>
            <w:vAlign w:val="center"/>
          </w:tcPr>
          <w:p w14:paraId="13B834F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投标函</w:t>
            </w:r>
          </w:p>
          <w:p w14:paraId="145A791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开标报价一览表（格式见第八部分）</w:t>
            </w:r>
          </w:p>
          <w:p w14:paraId="6186370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．对采购需求的响应内容</w:t>
            </w:r>
          </w:p>
          <w:p w14:paraId="74FA64A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对项目实质性要求内容进行响应；</w:t>
            </w:r>
          </w:p>
          <w:p w14:paraId="44F45BB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对项目技术要求内容进行响应；</w:t>
            </w:r>
          </w:p>
          <w:p w14:paraId="6D6E8D6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对项目非实质性要求内容进行响应。</w:t>
            </w:r>
          </w:p>
          <w:p w14:paraId="4533D58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按照本采购文件第四部分采购需求内容进行响应，格式自拟。</w:t>
            </w:r>
          </w:p>
          <w:p w14:paraId="7092801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．招标文件要求或投标人认为需要提供的其他商务技术材料/文件</w:t>
            </w:r>
          </w:p>
          <w:p w14:paraId="0F153C1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说明：涉及相关要求的内容见本文件第四部分相对应内容。</w:t>
            </w:r>
          </w:p>
        </w:tc>
      </w:tr>
      <w:tr w14:paraId="125E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A2AE3A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2011" w:type="dxa"/>
            <w:vAlign w:val="center"/>
          </w:tcPr>
          <w:p w14:paraId="4A6D728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投标保证金</w:t>
            </w:r>
          </w:p>
        </w:tc>
        <w:tc>
          <w:tcPr>
            <w:tcW w:w="6448" w:type="dxa"/>
            <w:vAlign w:val="center"/>
          </w:tcPr>
          <w:p w14:paraId="63CEDF6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w:t>
            </w:r>
          </w:p>
        </w:tc>
      </w:tr>
      <w:tr w14:paraId="7332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FB9CEF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2011" w:type="dxa"/>
            <w:vAlign w:val="center"/>
          </w:tcPr>
          <w:p w14:paraId="2646968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投标有效期</w:t>
            </w:r>
          </w:p>
        </w:tc>
        <w:tc>
          <w:tcPr>
            <w:tcW w:w="6448" w:type="dxa"/>
            <w:vAlign w:val="center"/>
          </w:tcPr>
          <w:p w14:paraId="7D0991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cs="华文中宋"/>
                <w:color w:val="auto"/>
                <w:highlight w:val="none"/>
                <w:lang w:val="en-US" w:eastAsia="zh-CN"/>
              </w:rPr>
              <w:t>90</w:t>
            </w:r>
            <w:r>
              <w:rPr>
                <w:rFonts w:hint="eastAsia" w:ascii="华文中宋" w:hAnsi="华文中宋" w:eastAsia="华文中宋" w:cs="华文中宋"/>
                <w:color w:val="auto"/>
                <w:highlight w:val="none"/>
              </w:rPr>
              <w:t>日历天（自投标文件</w:t>
            </w:r>
            <w:r>
              <w:rPr>
                <w:rFonts w:hint="eastAsia" w:ascii="华文中宋" w:hAnsi="华文中宋" w:eastAsia="华文中宋" w:cs="华文中宋"/>
                <w:color w:val="auto"/>
                <w:highlight w:val="none"/>
                <w:lang w:val="en-US" w:eastAsia="zh-CN"/>
              </w:rPr>
              <w:t>递交</w:t>
            </w:r>
            <w:r>
              <w:rPr>
                <w:rFonts w:hint="eastAsia" w:ascii="华文中宋" w:hAnsi="华文中宋" w:eastAsia="华文中宋" w:cs="华文中宋"/>
                <w:color w:val="auto"/>
                <w:highlight w:val="none"/>
              </w:rPr>
              <w:t>截止之日起计算）</w:t>
            </w:r>
          </w:p>
        </w:tc>
      </w:tr>
      <w:tr w14:paraId="7D55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691AC3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2011" w:type="dxa"/>
            <w:vAlign w:val="center"/>
          </w:tcPr>
          <w:p w14:paraId="6EC6CF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政府采购相关政策要求（如涉及的话）</w:t>
            </w:r>
          </w:p>
        </w:tc>
        <w:tc>
          <w:tcPr>
            <w:tcW w:w="6448" w:type="dxa"/>
            <w:vAlign w:val="center"/>
          </w:tcPr>
          <w:p w14:paraId="5C18FD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1．涉及进口产品的要求：</w:t>
            </w:r>
          </w:p>
          <w:p w14:paraId="45BE3A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（1）本项目采购标的物未特别注明“进口产品”（通过中国海关报关验放进入中国境内且产自境外的产品）字样的，均必须采购国产产品。</w:t>
            </w:r>
          </w:p>
          <w:p w14:paraId="2DC5D23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461811C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2．涉及执行政府绿色采购政策的要求：</w:t>
            </w:r>
          </w:p>
          <w:p w14:paraId="0348751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（1）本</w:t>
            </w:r>
            <w:r>
              <w:rPr>
                <w:rFonts w:hint="eastAsia" w:ascii="华文中宋" w:hAnsi="华文中宋" w:cs="华文中宋"/>
                <w:color w:val="auto"/>
                <w:highlight w:val="none"/>
                <w:lang w:val="en-US" w:eastAsia="zh-CN"/>
              </w:rPr>
              <w:t>招标项目涉及</w:t>
            </w:r>
            <w:r>
              <w:rPr>
                <w:rFonts w:hint="eastAsia" w:ascii="华文中宋" w:hAnsi="华文中宋" w:eastAsia="华文中宋" w:cs="华文中宋"/>
                <w:color w:val="auto"/>
                <w:highlight w:val="none"/>
              </w:rPr>
              <w:t>强制采购绿色产品标的物，投标人必须投报“节能产品政府采购品目清单”中的强制节能产品，同时提供处于有效期之内的产品认证证书扫描件，不接受非强制采购产品。</w:t>
            </w:r>
          </w:p>
          <w:p w14:paraId="6384A14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（2）本</w:t>
            </w:r>
            <w:r>
              <w:rPr>
                <w:rFonts w:hint="eastAsia" w:ascii="华文中宋" w:hAnsi="华文中宋" w:cs="华文中宋"/>
                <w:color w:val="auto"/>
                <w:highlight w:val="none"/>
                <w:lang w:val="en-US" w:eastAsia="zh-CN"/>
              </w:rPr>
              <w:t>招标项目涉及</w:t>
            </w:r>
            <w:r>
              <w:rPr>
                <w:rFonts w:hint="eastAsia" w:ascii="华文中宋" w:hAnsi="华文中宋" w:eastAsia="华文中宋" w:cs="华文中宋"/>
                <w:color w:val="auto"/>
                <w:highlight w:val="none"/>
              </w:rPr>
              <w:t>优先采购的绿色产品标的物，投标人可以投报“节能产品政府采购品目清单”中的非强制类产品、“环境标志产品政府采购品目清单”中的产品，也可投报清单以外的产品。</w:t>
            </w:r>
          </w:p>
          <w:p w14:paraId="756AEAE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3.涉及绿色数据中心建设的要求：</w:t>
            </w:r>
          </w:p>
          <w:p w14:paraId="21C24AC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w:t>
            </w:r>
            <w:r>
              <w:rPr>
                <w:rFonts w:hint="eastAsia" w:ascii="华文中宋" w:hAnsi="华文中宋" w:cs="华文中宋"/>
                <w:color w:val="auto"/>
                <w:highlight w:val="none"/>
                <w:lang w:val="en-US" w:eastAsia="zh-CN"/>
              </w:rPr>
              <w:t>自拟</w:t>
            </w:r>
            <w:r>
              <w:rPr>
                <w:rFonts w:hint="eastAsia" w:ascii="华文中宋" w:hAnsi="华文中宋" w:eastAsia="华文中宋" w:cs="华文中宋"/>
                <w:color w:val="auto"/>
                <w:highlight w:val="none"/>
              </w:rPr>
              <w:t>。</w:t>
            </w:r>
          </w:p>
          <w:p w14:paraId="35BB8A3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4．涉及正版软件的要求：</w:t>
            </w:r>
          </w:p>
          <w:p w14:paraId="76B306B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本项目采购标的物涉及计算机产品或硬件产品内预装软件的，投标人须填写《正版软件承诺》（格式见</w:t>
            </w:r>
            <w:r>
              <w:rPr>
                <w:rFonts w:hint="eastAsia" w:ascii="华文中宋" w:hAnsi="华文中宋" w:eastAsia="华文中宋" w:cs="华文中宋"/>
                <w:color w:val="auto"/>
                <w:highlight w:val="none"/>
                <w:lang w:val="en-US" w:eastAsia="zh-CN"/>
              </w:rPr>
              <w:t>附件</w:t>
            </w:r>
            <w:r>
              <w:rPr>
                <w:rFonts w:hint="eastAsia" w:ascii="华文中宋" w:hAnsi="华文中宋" w:eastAsia="华文中宋" w:cs="华文中宋"/>
                <w:color w:val="auto"/>
                <w:highlight w:val="none"/>
              </w:rPr>
              <w:t>）。</w:t>
            </w:r>
          </w:p>
          <w:p w14:paraId="4D16BD4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5．涉及网络安全专用产品的要求：</w:t>
            </w:r>
          </w:p>
          <w:p w14:paraId="7C6747C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货物中如含有工信部会同有关部门制定下发的《网络关键设备和网络安全专用产品目录》中的网络安全专用产品，须提供提供由具备资格的机构安全认证合格或者安全检测符合要求的有效证明材料扫描件。（具备资格的机构是指列入《承担网络关键设备和网络安全专用产品安全认证和安全检测任务机构名录》的机构）。详情参加国务院2023年第1号《关于调整网络安全专用产品安全管理有关事项的公告》。</w:t>
            </w:r>
          </w:p>
          <w:p w14:paraId="213A272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6．涉及小型、微型企业参加投标的要求：</w:t>
            </w:r>
          </w:p>
          <w:p w14:paraId="4EFC553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w:t>
            </w:r>
            <w:r>
              <w:rPr>
                <w:rFonts w:hint="eastAsia" w:ascii="华文中宋" w:hAnsi="华文中宋" w:eastAsia="华文中宋" w:cs="华文中宋"/>
                <w:color w:val="auto"/>
                <w:highlight w:val="none"/>
                <w:lang w:val="en-US" w:eastAsia="zh-CN"/>
              </w:rPr>
              <w:t>附件</w:t>
            </w:r>
            <w:r>
              <w:rPr>
                <w:rFonts w:hint="eastAsia" w:ascii="华文中宋" w:hAnsi="华文中宋" w:eastAsia="华文中宋" w:cs="华文中宋"/>
                <w:color w:val="auto"/>
                <w:highlight w:val="none"/>
              </w:rPr>
              <w:t>）。</w:t>
            </w:r>
          </w:p>
          <w:p w14:paraId="415ED1B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（2）小型、微企业只有提供本企业制造的货物，或者提供其他小型、微企业制造的货物，享受投标货物的价格折扣。</w:t>
            </w:r>
          </w:p>
          <w:p w14:paraId="6DA10B8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（3）小型、微型企业提供的货物既有中小企业制造货物，也有大型企业制造货物的，不享受价格折扣。</w:t>
            </w:r>
          </w:p>
          <w:p w14:paraId="56456D3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w:t>
            </w:r>
            <w:r>
              <w:rPr>
                <w:rFonts w:hint="eastAsia" w:ascii="华文中宋" w:hAnsi="华文中宋" w:eastAsia="华文中宋" w:cs="华文中宋"/>
                <w:color w:val="auto"/>
                <w:highlight w:val="none"/>
                <w:lang w:val="en-US" w:eastAsia="zh-CN"/>
              </w:rPr>
              <w:t>附件</w:t>
            </w:r>
            <w:r>
              <w:rPr>
                <w:rFonts w:hint="eastAsia" w:ascii="华文中宋" w:hAnsi="华文中宋" w:eastAsia="华文中宋" w:cs="华文中宋"/>
                <w:color w:val="auto"/>
                <w:highlight w:val="none"/>
              </w:rPr>
              <w:t>）。</w:t>
            </w:r>
          </w:p>
          <w:p w14:paraId="407C22B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w:t>
            </w:r>
            <w:r>
              <w:rPr>
                <w:rFonts w:hint="eastAsia" w:ascii="华文中宋" w:hAnsi="华文中宋" w:eastAsia="华文中宋" w:cs="华文中宋"/>
                <w:color w:val="auto"/>
                <w:highlight w:val="none"/>
                <w:lang w:val="en-US" w:eastAsia="zh-CN"/>
              </w:rPr>
              <w:t>附件</w:t>
            </w:r>
            <w:r>
              <w:rPr>
                <w:rFonts w:hint="eastAsia" w:ascii="华文中宋" w:hAnsi="华文中宋" w:eastAsia="华文中宋" w:cs="华文中宋"/>
                <w:color w:val="auto"/>
                <w:highlight w:val="none"/>
              </w:rPr>
              <w:t>）</w:t>
            </w:r>
          </w:p>
          <w:p w14:paraId="754C756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（6）通过享受扶持政策、价格折扣并获得政府采购合同的：小微企业不得将合同分包给大中型企业；中型企业不得将合同分包给大型企业。</w:t>
            </w:r>
          </w:p>
          <w:p w14:paraId="1140259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p>
          <w:p w14:paraId="64EDF3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7．涉及残疾人福利性单位参加投标的要求：</w:t>
            </w:r>
          </w:p>
          <w:p w14:paraId="17B5C8E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（1）须根据财库【2017】141号《关于促进残疾人就业政府采购政策的通知》的要求，如实填写《残疾人福利性单位声明函》（格式见</w:t>
            </w:r>
            <w:r>
              <w:rPr>
                <w:rFonts w:hint="eastAsia" w:ascii="华文中宋" w:hAnsi="华文中宋" w:eastAsia="华文中宋" w:cs="华文中宋"/>
                <w:color w:val="auto"/>
                <w:highlight w:val="none"/>
                <w:lang w:val="en-US" w:eastAsia="zh-CN"/>
              </w:rPr>
              <w:t>附件</w:t>
            </w:r>
            <w:r>
              <w:rPr>
                <w:rFonts w:hint="eastAsia" w:ascii="华文中宋" w:hAnsi="华文中宋" w:eastAsia="华文中宋" w:cs="华文中宋"/>
                <w:color w:val="auto"/>
                <w:highlight w:val="none"/>
              </w:rPr>
              <w:t>）。</w:t>
            </w:r>
          </w:p>
          <w:p w14:paraId="33E88B1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（2）残疾人福利性单位提供本企业制造的货物或者服务，或者提供其他残疾人福利性单位制造的货物或服务的，视同小微企业，享受投标货物或服务的价格折扣。</w:t>
            </w:r>
          </w:p>
          <w:p w14:paraId="7B2D27B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8．涉及监狱企业参加投标的要求：</w:t>
            </w:r>
          </w:p>
          <w:p w14:paraId="0E5A0F1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（1）监狱企业参加投标视同小、微企业，需提供由省级以上监狱管理局或戒毒管理局出具的属于监狱企业的证明文件。</w:t>
            </w:r>
          </w:p>
          <w:p w14:paraId="3002D8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（2）监狱企业只有提供本企业制造的货物或服务，或者提供其他小、微企业制造的货物，享受投标货物的价格折扣。</w:t>
            </w:r>
          </w:p>
          <w:p w14:paraId="782C0DD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（3）监狱企业与中型企业组成联合体参加投标的，或者向监狱企业分包，且联合体协议或分包意向协议约定监狱企业的协议金额占到合同金额30%以上的，享受投标标的价格折扣，用扣除后的价格参与评审。</w:t>
            </w:r>
          </w:p>
          <w:p w14:paraId="4D1CB71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9.专门面向中小企业采购的项目，不重复执行中小企业发展、促进残疾人就业、支持监狱企业发展的价格优惠政策。</w:t>
            </w:r>
          </w:p>
          <w:p w14:paraId="61A9E00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10．涉及商品包装和快递包装的要求：</w:t>
            </w:r>
          </w:p>
          <w:p w14:paraId="4D04361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严格落实《商品包装政府采购需求标准（试行）》《快递包装政府采购需求标准（试行）》。本项目涉及商品包装和快递包装要求的，投标人须填写《商品包装和快递包装承诺函》（格式见</w:t>
            </w:r>
            <w:r>
              <w:rPr>
                <w:rFonts w:hint="eastAsia" w:ascii="华文中宋" w:hAnsi="华文中宋" w:eastAsia="华文中宋" w:cs="华文中宋"/>
                <w:color w:val="auto"/>
                <w:highlight w:val="none"/>
                <w:lang w:val="en-US" w:eastAsia="zh-CN"/>
              </w:rPr>
              <w:t>附件</w:t>
            </w:r>
            <w:r>
              <w:rPr>
                <w:rFonts w:hint="eastAsia" w:ascii="华文中宋" w:hAnsi="华文中宋" w:eastAsia="华文中宋" w:cs="华文中宋"/>
                <w:color w:val="auto"/>
                <w:highlight w:val="none"/>
              </w:rPr>
              <w:t>）。</w:t>
            </w:r>
          </w:p>
          <w:p w14:paraId="329B16EA">
            <w:pPr>
              <w:keepNext w:val="0"/>
              <w:keepLines w:val="0"/>
              <w:pageBreakBefore w:val="0"/>
              <w:widowControl w:val="0"/>
              <w:numPr>
                <w:ilvl w:val="0"/>
                <w:numId w:val="2"/>
              </w:numPr>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依据《国务院办公厅关于在政府采购中实施本国产品标准及相关政策的通知》（国办发〔2025〕34号）的规定“三、对本国产品的支持政策</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政府采购活动中既有本国产品又有非本国产品参与竞争的，依法对本国产品给予价格评审优惠，对本国产品的报价给予20%的价格扣除，用扣除后的价格参与评审。”</w:t>
            </w:r>
          </w:p>
          <w:p w14:paraId="33AAE45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E14E2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8FC6D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投标人提供《关于符合本国产品标准的声明函》或财政部会同有关部门规定的有关证明文件（如有），视为本国产品。</w:t>
            </w:r>
          </w:p>
          <w:p w14:paraId="3FCEF06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证明材料未提供、提供不完整、不足以证明或不符合要求的，不享受相应政策。</w:t>
            </w:r>
          </w:p>
          <w:p w14:paraId="0F88AD8C">
            <w:pPr>
              <w:ind w:left="0" w:leftChars="0" w:firstLine="0" w:firstLineChars="0"/>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所属行业：工业</w:t>
            </w:r>
          </w:p>
          <w:p w14:paraId="7F10ED8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小微企业的价格折扣比例：15%</w:t>
            </w:r>
          </w:p>
          <w:p w14:paraId="23630FC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本国产品给予价格评审优惠比例：20%</w:t>
            </w:r>
          </w:p>
          <w:p w14:paraId="5FA2030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
                <w:woUserID w:val="1"/>
              </w:rPr>
            </w:pPr>
            <w:r>
              <w:rPr>
                <w:rFonts w:hint="eastAsia" w:ascii="华文中宋" w:hAnsi="华文中宋" w:eastAsia="华文中宋" w:cs="华文中宋"/>
                <w:color w:val="auto"/>
                <w:highlight w:val="none"/>
              </w:rPr>
              <w:t>对中小微企业等主体,严格落实政府采购优惠政策,同时享受本国产品相关政策的价格扣除等评审优惠措施,分别计算、叠加执行</w:t>
            </w:r>
            <w:r>
              <w:rPr>
                <w:rFonts w:hint="eastAsia" w:ascii="华文中宋" w:hAnsi="华文中宋" w:cs="华文中宋"/>
                <w:color w:val="auto"/>
                <w:highlight w:val="none"/>
                <w:lang w:val="en-US" w:eastAsia="zh-CN"/>
              </w:rPr>
              <w:t>.</w:t>
            </w:r>
          </w:p>
        </w:tc>
      </w:tr>
      <w:tr w14:paraId="2F09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80CA3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2011" w:type="dxa"/>
            <w:vAlign w:val="center"/>
          </w:tcPr>
          <w:p w14:paraId="7EC666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现场考察（或标前答疑会）</w:t>
            </w:r>
          </w:p>
        </w:tc>
        <w:tc>
          <w:tcPr>
            <w:tcW w:w="6448" w:type="dxa"/>
            <w:vAlign w:val="center"/>
          </w:tcPr>
          <w:p w14:paraId="1C4570E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w:t>
            </w:r>
          </w:p>
        </w:tc>
      </w:tr>
      <w:tr w14:paraId="37CD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1CA91D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2011" w:type="dxa"/>
            <w:vAlign w:val="center"/>
          </w:tcPr>
          <w:p w14:paraId="1EEFAC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特别说明</w:t>
            </w:r>
          </w:p>
        </w:tc>
        <w:tc>
          <w:tcPr>
            <w:tcW w:w="6448" w:type="dxa"/>
            <w:vAlign w:val="center"/>
          </w:tcPr>
          <w:p w14:paraId="6BB5C8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投标供应商在解密自身投标文件后，保持投标终端网络畅通、联系方式畅通即可。如评审委员会需发起询问、澄清或告知，均会通过“政采云”系统发起或通过电话通知。</w:t>
            </w:r>
          </w:p>
        </w:tc>
      </w:tr>
    </w:tbl>
    <w:p w14:paraId="5D26498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20DEBDAC">
      <w:pPr>
        <w:pStyle w:val="2"/>
        <w:bidi w:val="0"/>
        <w:rPr>
          <w:rFonts w:hint="eastAsia" w:ascii="华文中宋" w:hAnsi="华文中宋" w:eastAsia="华文中宋" w:cs="华文中宋"/>
          <w:color w:val="auto"/>
          <w:highlight w:val="none"/>
        </w:rPr>
      </w:pPr>
      <w:bookmarkStart w:id="22" w:name="_Toc25324"/>
      <w:bookmarkStart w:id="23" w:name="_Toc424378684"/>
      <w:bookmarkStart w:id="24" w:name="_Toc352761929"/>
      <w:bookmarkStart w:id="25" w:name="_Toc91694419"/>
      <w:r>
        <w:rPr>
          <w:rFonts w:hint="eastAsia" w:ascii="华文中宋" w:hAnsi="华文中宋" w:eastAsia="华文中宋" w:cs="华文中宋"/>
          <w:color w:val="auto"/>
          <w:highlight w:val="none"/>
        </w:rPr>
        <w:t>第三部分  投标人须知</w:t>
      </w:r>
      <w:bookmarkEnd w:id="22"/>
      <w:bookmarkEnd w:id="23"/>
      <w:bookmarkEnd w:id="24"/>
      <w:bookmarkEnd w:id="25"/>
    </w:p>
    <w:p w14:paraId="1C1F20DD">
      <w:pPr>
        <w:pStyle w:val="3"/>
        <w:bidi w:val="0"/>
        <w:rPr>
          <w:rFonts w:hint="eastAsia" w:ascii="华文中宋" w:hAnsi="华文中宋" w:eastAsia="华文中宋" w:cs="华文中宋"/>
          <w:color w:val="auto"/>
          <w:highlight w:val="none"/>
        </w:rPr>
      </w:pPr>
      <w:bookmarkStart w:id="26" w:name="_Toc424378685"/>
      <w:bookmarkStart w:id="27" w:name="_Toc352761930"/>
      <w:bookmarkStart w:id="28" w:name="_Toc91694420"/>
      <w:r>
        <w:rPr>
          <w:rFonts w:hint="eastAsia" w:ascii="华文中宋" w:hAnsi="华文中宋" w:eastAsia="华文中宋" w:cs="华文中宋"/>
          <w:color w:val="auto"/>
          <w:highlight w:val="none"/>
          <w:lang w:val="en-US" w:eastAsia="zh-CN"/>
        </w:rPr>
        <w:t>一、</w:t>
      </w:r>
      <w:r>
        <w:rPr>
          <w:rFonts w:hint="eastAsia" w:ascii="华文中宋" w:hAnsi="华文中宋" w:eastAsia="华文中宋" w:cs="华文中宋"/>
          <w:color w:val="auto"/>
          <w:highlight w:val="none"/>
        </w:rPr>
        <w:t>总则</w:t>
      </w:r>
      <w:bookmarkEnd w:id="26"/>
      <w:bookmarkEnd w:id="27"/>
      <w:bookmarkEnd w:id="28"/>
    </w:p>
    <w:p w14:paraId="713C8CA8">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适用范围</w:t>
      </w:r>
    </w:p>
    <w:p w14:paraId="3AED091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本招标文件仅适用于本次招投标活动。</w:t>
      </w:r>
    </w:p>
    <w:p w14:paraId="328254CE">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定义</w:t>
      </w:r>
    </w:p>
    <w:p w14:paraId="4CFC25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 “采购人”指本次招标活动的采购单位。</w:t>
      </w:r>
    </w:p>
    <w:p w14:paraId="002713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 “集采机构”指组织本次招标活动的执行机构，即“</w:t>
      </w:r>
      <w:r>
        <w:rPr>
          <w:rFonts w:hint="eastAsia" w:ascii="华文中宋" w:hAnsi="华文中宋" w:cs="华文中宋"/>
          <w:color w:val="auto"/>
          <w:highlight w:val="none"/>
          <w:lang w:eastAsia="zh-CN"/>
        </w:rPr>
        <w:t>石楼县政务服务中心</w:t>
      </w:r>
      <w:r>
        <w:rPr>
          <w:rFonts w:hint="eastAsia" w:ascii="华文中宋" w:hAnsi="华文中宋" w:eastAsia="华文中宋" w:cs="华文中宋"/>
          <w:color w:val="auto"/>
          <w:highlight w:val="none"/>
        </w:rPr>
        <w:t>”。</w:t>
      </w:r>
    </w:p>
    <w:p w14:paraId="761A9E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 “投标人”指符合本招标文件规定并向集采机构提交投标文件的供应商。</w:t>
      </w:r>
    </w:p>
    <w:p w14:paraId="7631E3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 “货物”指供应商按招标文件的规定，须向采购人提供的各种形态和种类的物品及其他有关技术资料和材料。</w:t>
      </w:r>
    </w:p>
    <w:p w14:paraId="72E280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 “服务”指招标文件所表述的投标人须向采购人提供的服务和应当履行的承诺和义务。</w:t>
      </w:r>
    </w:p>
    <w:p w14:paraId="765BA0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 “电子印章”指可通过政采云电子投标客户端正确读取印章信息的电子印章（电子印章包含法人电子印章、法定代表人电子印章、自然人电子印章）。</w:t>
      </w:r>
    </w:p>
    <w:p w14:paraId="3432C9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2.7本文件规定按日计算期间的，开始当天不计入，从次日开始计算。</w:t>
      </w:r>
    </w:p>
    <w:p w14:paraId="1B6284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2.8本文件所称的“以上”、“以下”、“内”、“以内”，包含本数；所称的“不足”，不包含本数。</w:t>
      </w:r>
    </w:p>
    <w:p w14:paraId="2D8D1B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2.9本须知中单独对货物所描述的要求，只针对涉及采购货物。</w:t>
      </w:r>
    </w:p>
    <w:p w14:paraId="195515CD">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 合格的投标人</w:t>
      </w:r>
    </w:p>
    <w:p w14:paraId="703228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 具有本项目生产、制造、供应及/或实施能力，符合、承认并承诺履行本招标文件各项规定的国内供应商。</w:t>
      </w:r>
    </w:p>
    <w:p w14:paraId="4F3B09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 投标人必须是已在中国境内依法登记注册，并持有符合法律法规</w:t>
      </w:r>
      <w:r>
        <w:rPr>
          <w:rFonts w:hint="eastAsia" w:ascii="华文中宋" w:hAnsi="华文中宋" w:eastAsia="华文中宋" w:cs="华文中宋"/>
          <w:color w:val="auto"/>
          <w:highlight w:val="none"/>
          <w:lang w:val="en-US" w:eastAsia="zh-CN"/>
        </w:rPr>
        <w:t>及投标资格条件</w:t>
      </w:r>
      <w:r>
        <w:rPr>
          <w:rFonts w:hint="eastAsia" w:ascii="华文中宋" w:hAnsi="华文中宋" w:eastAsia="华文中宋" w:cs="华文中宋"/>
          <w:color w:val="auto"/>
          <w:highlight w:val="none"/>
        </w:rPr>
        <w:t>规定的有效证件的供应商。</w:t>
      </w:r>
    </w:p>
    <w:p w14:paraId="26D545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w:t>
      </w:r>
    </w:p>
    <w:p w14:paraId="5EC6EDD2">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3.4单位负责人为同一人或者存在直接控股、管理关系的不同供应商，不得参加同一合同项下的政府采购活动</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投标人须对此条做出承诺（格式自拟）。</w:t>
      </w:r>
    </w:p>
    <w:p w14:paraId="109E72ED">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3.5本次招标是否允许由两个以上供应商组成一个联合体以一个投标人身份共同参加投标，详见投标人须知前附表。</w:t>
      </w:r>
      <w:r>
        <w:rPr>
          <w:rFonts w:hint="eastAsia" w:ascii="华文中宋" w:hAnsi="华文中宋" w:cs="华文中宋"/>
          <w:color w:val="auto"/>
          <w:highlight w:val="none"/>
          <w:lang w:eastAsia="zh-CN"/>
        </w:rPr>
        <w:t>（</w:t>
      </w:r>
      <w:r>
        <w:rPr>
          <w:rFonts w:hint="eastAsia" w:ascii="华文中宋" w:hAnsi="华文中宋" w:cs="华文中宋"/>
          <w:color w:val="auto"/>
          <w:highlight w:val="none"/>
          <w:lang w:val="en-US" w:eastAsia="zh-CN"/>
        </w:rPr>
        <w:t>如涉及</w:t>
      </w:r>
      <w:r>
        <w:rPr>
          <w:rFonts w:hint="eastAsia" w:ascii="华文中宋" w:hAnsi="华文中宋" w:cs="华文中宋"/>
          <w:color w:val="auto"/>
          <w:highlight w:val="none"/>
          <w:lang w:eastAsia="zh-CN"/>
        </w:rPr>
        <w:t>）</w:t>
      </w:r>
    </w:p>
    <w:p w14:paraId="29AB95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（1）联合体各方均应当符合《政府采购法》第二十二条规定的条件，联合体各方均应按照本部分3.3条的要求提供相关材料。</w:t>
      </w:r>
    </w:p>
    <w:p w14:paraId="36880B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（2）本项目的特殊要求规定投标人特定资格条件的，联合体各方的同类资质按照资质等级较低的确定联合体资质等级。联合体各方不得再单独参加或者与其他供应商另外组成联合体参加本项目同一包的投标。</w:t>
      </w:r>
    </w:p>
    <w:p w14:paraId="1C2AB0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（3）联合体各方之间应当签订联合投标协议，明确约定联合体各方承担的工作和相应的责任，并将联合投标协议连同投标文件一并提交，联合投标协议格式见本招标文件第八部分。</w:t>
      </w:r>
    </w:p>
    <w:p w14:paraId="2CBB8A04">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 投标费用</w:t>
      </w:r>
    </w:p>
    <w:p w14:paraId="31AA8C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投标人应当承担所有与准备和参加投标有关的费用，集采机构和采购人在任何情况下均无义务和责任承担这些费用。</w:t>
      </w:r>
    </w:p>
    <w:p w14:paraId="76E95E87">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 通知的告知及获取</w:t>
      </w:r>
    </w:p>
    <w:p w14:paraId="71DC66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5.1通知的告知</w:t>
      </w:r>
    </w:p>
    <w:p w14:paraId="2F4657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与本项目有关的通知，集采机构将以在本次招标公告刊登的媒体上发布公告的形式告知所有已获取了招标文件的投标人及潜在投标人，投标人及潜在投标人可登录山西政府采购平台更正公告中查看本项目是否发布更正公告。</w:t>
      </w:r>
    </w:p>
    <w:p w14:paraId="388A4D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5.2通知的获取</w:t>
      </w:r>
    </w:p>
    <w:p w14:paraId="2CC496E2">
      <w:pPr>
        <w:rPr>
          <w:rFonts w:hint="eastAsia" w:ascii="华文中宋" w:hAnsi="华文中宋" w:eastAsia="华文中宋" w:cs="华文中宋"/>
          <w:color w:val="auto"/>
          <w:highlight w:val="none"/>
        </w:rPr>
      </w:pPr>
      <w:bookmarkStart w:id="29" w:name="_Toc24133"/>
      <w:bookmarkStart w:id="30" w:name="_Toc352761931"/>
      <w:bookmarkStart w:id="31" w:name="_Toc424378686"/>
      <w:r>
        <w:rPr>
          <w:rFonts w:hint="eastAsia" w:ascii="华文中宋" w:hAnsi="华文中宋" w:eastAsia="华文中宋" w:cs="华文中宋"/>
          <w:color w:val="auto"/>
          <w:highlight w:val="none"/>
        </w:rPr>
        <w:t>对与本项目有关的通知，投标人及潜在投标人可在本次招标公告刊登的媒体上获取，或登录山西政府采购平台获取。</w:t>
      </w:r>
    </w:p>
    <w:p w14:paraId="0CDD25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因网络线路故障导致通知延迟获取或无法获取，集采机构不因此承担任何责任，有关的招投标活动可以继续有效地进行。</w:t>
      </w:r>
    </w:p>
    <w:p w14:paraId="1AE18D74">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6．保证金</w:t>
      </w:r>
    </w:p>
    <w:p w14:paraId="59FC58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6.1 本项目是否要求投标人提交保证金，及要求投标人应提交的保证金金额详见投标人须知前附表。</w:t>
      </w:r>
    </w:p>
    <w:p w14:paraId="40E7C3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6.2 投标人可自主选择以银行转账、支票、汇票、本票或者金融机构、担保机构出具的保函等非现金形式提交投标保证金。</w:t>
      </w:r>
    </w:p>
    <w:p w14:paraId="16432E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6.3保证金提交方式</w:t>
      </w:r>
    </w:p>
    <w:p w14:paraId="2A4AD0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（一）银行转账形式</w:t>
      </w:r>
    </w:p>
    <w:p w14:paraId="132479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投标人须在投标文件上传截止时间之前将本项目的保证金从自己的基本存款账户缴纳到</w:t>
      </w:r>
      <w:r>
        <w:rPr>
          <w:rFonts w:hint="eastAsia" w:ascii="华文中宋" w:hAnsi="华文中宋" w:cs="华文中宋"/>
          <w:color w:val="auto"/>
          <w:highlight w:val="none"/>
          <w:lang w:eastAsia="zh-CN"/>
        </w:rPr>
        <w:t>石楼县政务服务中心</w:t>
      </w:r>
      <w:r>
        <w:rPr>
          <w:rFonts w:hint="eastAsia" w:ascii="华文中宋" w:hAnsi="华文中宋" w:eastAsia="华文中宋" w:cs="华文中宋"/>
          <w:color w:val="auto"/>
          <w:highlight w:val="none"/>
        </w:rPr>
        <w:t>专用存款账户（账户详细信息见本文件的第一部分招标邀请）。（保证金是否缴纳成功，以集采机构财务部门出具的最终入账信息为准）</w:t>
      </w:r>
    </w:p>
    <w:p w14:paraId="796450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未按照要求承诺通过投标人自身基本存款账户缴纳保证金的，投标文件将被拒绝。</w:t>
      </w:r>
    </w:p>
    <w:p w14:paraId="18732A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（二）电子保函形式  </w:t>
      </w:r>
    </w:p>
    <w:p w14:paraId="15393F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投标人需在投标文件上传截止时间之前通过“政采云”平台，根据系统相关要求在线进行办理。其中：承保期限不得少于本项目投标有效期限。</w:t>
      </w:r>
    </w:p>
    <w:p w14:paraId="50587A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（三）支票、汇票、本票、纸质保函形式  </w:t>
      </w:r>
    </w:p>
    <w:p w14:paraId="6D5392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须在投标文件上传截止时间之前，向集采机构财务部门递交支票/汇票/本票/纸质保函，财务人员核对票面/保函信息、有效期无误后，打印回执单，加盖“投标保证金业务专用章”，投标人签字领取《回执单》，财务人员须将收取的票据和保函妥善保管。由于支票、汇票、本票、纸质保函属于企业重要票据，集采机构不接受邮寄或速递方式提交，由此带来的不利后果或造成票据遗失情况，均由投标人自行承担。</w:t>
      </w:r>
    </w:p>
    <w:p w14:paraId="3A231C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（四）未按上述各项要求足额提交保证金或担保金额未达到保证金金额要求的，其投标文件无效。</w:t>
      </w:r>
    </w:p>
    <w:p w14:paraId="701014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6.4保证金的退还</w:t>
      </w:r>
    </w:p>
    <w:p w14:paraId="33FCE0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（1）投标人在投标文件上传截止时间前撤回已提交的投标文件的，集采机构自收到投标人书面撤回通知之日起５个工作日内，退还已收取的保证金，但因投标人自身原因导致无法及时退还的除外。</w:t>
      </w:r>
    </w:p>
    <w:p w14:paraId="0742A7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（2）未中标供应商的保证金自中标通知书发出之日起5个工作日内退还。</w:t>
      </w:r>
    </w:p>
    <w:p w14:paraId="231B15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（3）自政府采购合同签订之日起5个工作日内退还中标供应商的保证金。</w:t>
      </w:r>
    </w:p>
    <w:p w14:paraId="610AB4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（4）退还方式</w:t>
      </w:r>
    </w:p>
    <w:p w14:paraId="72B8AF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（一）银行转账形式：集采机构原路退还项目投标保证金；</w:t>
      </w:r>
    </w:p>
    <w:p w14:paraId="3238B0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二）电子保函形式：投标人采用电子保函形式提交投标担保的，出具保函的银行等金融机构的担保责任自保函有效期到期后自动解除，一般情况下电子保函无需退还。如遇特殊情况，投标人要求在系统中操作退还的，由集采机构负责退还。</w:t>
      </w:r>
    </w:p>
    <w:p w14:paraId="43DBF0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三）支票、汇票、本票、纸质保函形式：集采机构财务部门自中标通知书发出之日起5个工作日内通知未中标供应商持《回执单》领取票据/保函，并在领取时在回执单存根联签字确认；中标供应商自政府采购合同签订之日起5个工作日内持《回执单》至集采机构财务部门领取票据/保函，并在领取时在回执单存根联签字确认。</w:t>
      </w:r>
    </w:p>
    <w:p w14:paraId="67AC99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（5）因重大变故采购人取消采购任务的，集采机构在终止公告发布后5个工作日内退还供应商已缴纳的保证金。以电子保函形式提交投标担保的供应商要求退还电子保函的，由集采机构执行人在系统中及时办理。</w:t>
      </w:r>
    </w:p>
    <w:p w14:paraId="637A51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6.5有下列情形的，保证金不予退还：</w:t>
      </w:r>
    </w:p>
    <w:p w14:paraId="66878B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供应商在投标有效期内撤销投标文件的保证金不予退还。</w:t>
      </w:r>
    </w:p>
    <w:p w14:paraId="79043F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6.6 投标人账户发生变更的情形</w:t>
      </w:r>
    </w:p>
    <w:p w14:paraId="330FC0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投标人账户变更导致投标保证金不能按照来款账户信息退还的，由投标人提供加盖公章的相关资料（情况说明、准予变更登记通知书复印件、银行开户文件复印件等）办理退还。</w:t>
      </w:r>
    </w:p>
    <w:p w14:paraId="7E5927F2">
      <w:pPr>
        <w:pStyle w:val="3"/>
        <w:bidi w:val="0"/>
        <w:rPr>
          <w:rFonts w:hint="eastAsia" w:ascii="华文中宋" w:hAnsi="华文中宋" w:eastAsia="华文中宋" w:cs="华文中宋"/>
          <w:color w:val="auto"/>
          <w:highlight w:val="none"/>
        </w:rPr>
      </w:pPr>
      <w:bookmarkStart w:id="32" w:name="_Toc91694421"/>
      <w:r>
        <w:rPr>
          <w:rFonts w:hint="eastAsia" w:ascii="华文中宋" w:hAnsi="华文中宋" w:eastAsia="华文中宋" w:cs="华文中宋"/>
          <w:color w:val="auto"/>
          <w:highlight w:val="none"/>
        </w:rPr>
        <w:t>二、招标文件</w:t>
      </w:r>
      <w:bookmarkEnd w:id="29"/>
      <w:bookmarkEnd w:id="30"/>
      <w:bookmarkEnd w:id="31"/>
      <w:bookmarkEnd w:id="32"/>
    </w:p>
    <w:p w14:paraId="3D5E5E42">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 招标文件的内容</w:t>
      </w:r>
    </w:p>
    <w:p w14:paraId="6852E0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7.1 招标文件由下列内容组成：</w:t>
      </w:r>
    </w:p>
    <w:p w14:paraId="4E879FC5">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 xml:space="preserve">第一部分 </w:t>
      </w:r>
      <w:r>
        <w:rPr>
          <w:rFonts w:hint="eastAsia" w:ascii="华文中宋" w:hAnsi="华文中宋" w:eastAsia="华文中宋" w:cs="华文中宋"/>
          <w:color w:val="auto"/>
          <w:highlight w:val="none"/>
          <w:lang w:val="en-US" w:eastAsia="zh-CN"/>
        </w:rPr>
        <w:t>招标公告</w:t>
      </w:r>
    </w:p>
    <w:p w14:paraId="44092D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第二部分 投标人须知前附表</w:t>
      </w:r>
    </w:p>
    <w:p w14:paraId="2F1D6E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第三部分 投标人须知</w:t>
      </w:r>
    </w:p>
    <w:p w14:paraId="1727BC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第四部分 采购需求</w:t>
      </w:r>
    </w:p>
    <w:p w14:paraId="6A79E5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第五部分 资格审查内容及标准</w:t>
      </w:r>
    </w:p>
    <w:p w14:paraId="615C11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第六部分 评标标准和评分方法</w:t>
      </w:r>
    </w:p>
    <w:p w14:paraId="241757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第七部分 合同文本</w:t>
      </w:r>
    </w:p>
    <w:p w14:paraId="2E897A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第八部分 投标文件内容</w:t>
      </w:r>
      <w:r>
        <w:rPr>
          <w:rFonts w:hint="eastAsia" w:ascii="华文中宋" w:hAnsi="华文中宋" w:eastAsia="华文中宋" w:cs="华文中宋"/>
          <w:color w:val="auto"/>
          <w:highlight w:val="none"/>
          <w:lang w:val="en-US" w:eastAsia="zh-CN"/>
        </w:rPr>
        <w:t>要求</w:t>
      </w:r>
      <w:r>
        <w:rPr>
          <w:rFonts w:hint="eastAsia" w:ascii="华文中宋" w:hAnsi="华文中宋" w:eastAsia="华文中宋" w:cs="华文中宋"/>
          <w:color w:val="auto"/>
          <w:highlight w:val="none"/>
        </w:rPr>
        <w:t>及格式</w:t>
      </w:r>
    </w:p>
    <w:p w14:paraId="6B3EB6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7.2 招标文件中落实政府采购政策的相关要求详见投标人须知前附表。</w:t>
      </w:r>
    </w:p>
    <w:p w14:paraId="5FF436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7.3采购人或集采机构开标后对投标人的信用信息进行查询，查询渠道为信用中国网（http://www.creditchina.gov.cn）和中国政府采购网（http://www.ccgp.gov.cn）；截止时间为开标当日；查询内容为信用中国网的失信记录情况和中国政府采购网上的政府采购严重违法失信行为信息记录情况；查询结果予以记录，查询证据存档，查询后对列入失信被执行人、重大税收违法案件当事人名单、政府采购严重违法失信行为记录名单及其他不符合《中华人民共和国政府采购法》第二十二条规定条件的投标文件做无效投标处理。</w:t>
      </w:r>
    </w:p>
    <w:p w14:paraId="36D47E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7.4除非特殊要求，招标文件不单独提供招标项目使用地的自然环境、气候条件、公用设施情况，投标人被视为熟悉上述与履行合同有关的一切情况。</w:t>
      </w:r>
    </w:p>
    <w:p w14:paraId="1116C2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7.5 招标文件的解释权归集采机构所有，当对一个问题有多种解释时以集采机构解释为准。其中内容不包括采购需求及评分办法内容。</w:t>
      </w:r>
    </w:p>
    <w:p w14:paraId="31274E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7.6招标文件未作须知明示，而又有法律、法规规定的，集采机构将依据法律、法规的规定进行解释。</w:t>
      </w:r>
    </w:p>
    <w:p w14:paraId="4BFEF748">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 招标文件的澄清和修改</w:t>
      </w:r>
    </w:p>
    <w:p w14:paraId="0F616B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8.1集采机构可以对已发出的招标文件进行必要的澄清或者修改，澄清或者修改在原公告发布媒体上发布澄清公告。澄清或者修改的内容为招标文件的组成部分，对所有投标人均具有约束作用。</w:t>
      </w:r>
    </w:p>
    <w:p w14:paraId="276ED8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8.2澄清或者修改的内容可能影响投标文件编制的，集采机构在投标截止时间至少15日前，在本项目原招标公告刊登的媒体上以发布公告的形式通知所有获取招标文件的潜在投标人；不足15日的，顺延提交投标文件的截止时间。</w:t>
      </w:r>
    </w:p>
    <w:p w14:paraId="626DB780">
      <w:pPr>
        <w:pStyle w:val="3"/>
        <w:bidi w:val="0"/>
        <w:rPr>
          <w:rFonts w:hint="eastAsia" w:ascii="华文中宋" w:hAnsi="华文中宋" w:eastAsia="华文中宋" w:cs="华文中宋"/>
          <w:color w:val="auto"/>
          <w:highlight w:val="none"/>
        </w:rPr>
      </w:pPr>
      <w:bookmarkStart w:id="33" w:name="_Toc424378687"/>
      <w:bookmarkStart w:id="34" w:name="_Toc91694422"/>
      <w:bookmarkStart w:id="35" w:name="_Toc12041"/>
      <w:bookmarkStart w:id="36" w:name="_Toc352761932"/>
      <w:r>
        <w:rPr>
          <w:rFonts w:hint="eastAsia" w:ascii="华文中宋" w:hAnsi="华文中宋" w:eastAsia="华文中宋" w:cs="华文中宋"/>
          <w:color w:val="auto"/>
          <w:highlight w:val="none"/>
        </w:rPr>
        <w:t>三、投标文件</w:t>
      </w:r>
      <w:bookmarkEnd w:id="33"/>
      <w:bookmarkEnd w:id="34"/>
      <w:bookmarkEnd w:id="35"/>
      <w:bookmarkEnd w:id="36"/>
    </w:p>
    <w:p w14:paraId="2625910E">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 投标文件的语言和计量单位</w:t>
      </w:r>
    </w:p>
    <w:p w14:paraId="0A3A7A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9.1 投标人提交的投标文件，包括技术资料、图纸等中的说明以及投标人与集采机构就有关投标的所有来往函电均应使用中文简体字。外文资料必须提供中文译文，并保持与原文一致，否则，产生的不利后果由投标人承担。</w:t>
      </w:r>
    </w:p>
    <w:p w14:paraId="007E99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9.2 投标文件所使用的计量单位，必须使用国家法定计量单位。</w:t>
      </w:r>
    </w:p>
    <w:p w14:paraId="13C71969">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 投标文件的组成及相关要求</w:t>
      </w:r>
    </w:p>
    <w:p w14:paraId="58267E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10.1 投标文件分为资格证明文件、商务技术文件、开标报价一览表。</w:t>
      </w:r>
    </w:p>
    <w:p w14:paraId="57C64F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10.2投标文件要求内容详见投标人须知前附表，有格式的详见本招标文件第八部分。</w:t>
      </w:r>
    </w:p>
    <w:p w14:paraId="6DF52431">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11．投标报价</w:t>
      </w:r>
    </w:p>
    <w:p w14:paraId="707A57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208057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11.2 投标人投报多包的，应对每包分别报价并分别填报开标报价一览表。投标人报出的总价为货物/服务全部完成交付的最终价格。</w:t>
      </w:r>
    </w:p>
    <w:p w14:paraId="76A174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11.3投标人必须整包进行投标，不得拆包分项投标。</w:t>
      </w:r>
    </w:p>
    <w:p w14:paraId="2AF932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11.4 本次招标不接受可选择或可调整的投标和报价。</w:t>
      </w:r>
    </w:p>
    <w:p w14:paraId="3508C8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11.5 投标人应提供货物/服务的单价（包含货物报价、装箱、包装、包装物料、送货、安装调试费、保险费用及其他应有的费用）、总价及其他事项。</w:t>
      </w:r>
    </w:p>
    <w:p w14:paraId="2CFC7E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11.6 任何超出招标文件要求而额外赠送的货物、服务等其他形式的优惠，在评标时将不作为价格折算的必备条件。</w:t>
      </w:r>
    </w:p>
    <w:p w14:paraId="6D9528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11.7项目实施过程中需要主要辅材的项目，投标人自行设计表格，填写主要辅材清单，注明品牌、型号、产地、单价、数量等内容。</w:t>
      </w:r>
    </w:p>
    <w:p w14:paraId="0E3B40E0">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 投标文件填写说明</w:t>
      </w:r>
    </w:p>
    <w:p w14:paraId="12347B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12.1 投标人应详细阅读招标文件的全部内容，按招标文件的要求提供投标文件，并对招标文件中的内容做出实质性和完整性的响应，否则，投标人须自行承担由此引起的风险和责任。</w:t>
      </w:r>
    </w:p>
    <w:p w14:paraId="028080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12.2 招标文件有固定格式要求的须按第八部分提供的统一格式逐项填写；无相应内容可填的项填写“无”、“未测试”、“没有相应指标”、“/”等明确的回答。</w:t>
      </w:r>
    </w:p>
    <w:p w14:paraId="16CA2B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12.3开标报价一览表须按格式统一填写。</w:t>
      </w:r>
    </w:p>
    <w:p w14:paraId="64E68B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12.4投标人必须保证投标文件所提供的全部资料真实有效，并接受评标委员会对其中任何资料进一步审查的要求，且承担相应的法律责任。</w:t>
      </w:r>
    </w:p>
    <w:p w14:paraId="7B839D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12.5因投标文件字迹潦草、提交资料不清晰或表达不清楚所引起的不利后果由投标人承担。</w:t>
      </w:r>
    </w:p>
    <w:p w14:paraId="033A265A">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13．投标有效期限</w:t>
      </w:r>
    </w:p>
    <w:p w14:paraId="68DE0B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本项目投标有效期见投标人须知前附表。</w:t>
      </w:r>
    </w:p>
    <w:p w14:paraId="296C58A4">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14．投标文件的签署</w:t>
      </w:r>
    </w:p>
    <w:p w14:paraId="3C9150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14.1 组成投标文件的各种文件均应遵守本条规定。</w:t>
      </w:r>
    </w:p>
    <w:p w14:paraId="2DDBCE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14.2 上传至山西政府采购平台的投标文件须按招标文件格式要求加盖电子印章，投标文件（资格证明文件、商务技术文件）封面加盖电子印章后，投标文件中相关声明、承诺及投标人认为需要提供的其他内容均视为具有法律效力；但投标人在投标文件及相关文件的签订、履行、通知等事项中以及招标文件格式中明确要求加盖公章处，必须在“盖章”、“印章”、“公章”“签章”等处盖电子印章。</w:t>
      </w:r>
    </w:p>
    <w:p w14:paraId="649B40BC">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15．提交投标文件截止时间</w:t>
      </w:r>
    </w:p>
    <w:p w14:paraId="330F47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15.1投标人须在规定时间对投标文件进行上传并解密，如遇到外部环境原因而造成解密失败的，不利后果由投标人自行承担。</w:t>
      </w:r>
    </w:p>
    <w:p w14:paraId="6C307C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15.2集采机构根据本须知的规定，通过修改招标文件或自行决定延长提交投标文件截止日期的，采购人和投标人受提交截止日期制约的所有权利和义务均延长至新的截止日期。</w:t>
      </w:r>
    </w:p>
    <w:p w14:paraId="1B1E139C">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16．投标文件的补充、修改和撤回</w:t>
      </w:r>
    </w:p>
    <w:p w14:paraId="6BE2F59A">
      <w:pPr>
        <w:rPr>
          <w:rFonts w:hint="eastAsia" w:ascii="华文中宋" w:hAnsi="华文中宋" w:eastAsia="华文中宋" w:cs="华文中宋"/>
          <w:color w:val="auto"/>
          <w:highlight w:val="none"/>
        </w:rPr>
      </w:pPr>
      <w:bookmarkStart w:id="37" w:name="_Toc829"/>
      <w:bookmarkStart w:id="38" w:name="_Toc424378689"/>
      <w:bookmarkStart w:id="39" w:name="_Toc352761934"/>
      <w:r>
        <w:rPr>
          <w:rFonts w:hint="eastAsia" w:ascii="华文中宋" w:hAnsi="华文中宋" w:eastAsia="华文中宋" w:cs="华文中宋"/>
          <w:color w:val="auto"/>
          <w:highlight w:val="none"/>
        </w:rPr>
        <w:t>16.1投标人在投标文件解密截止时间前，可以对投标文件进行补充、修改或者撤回，补充、修改的内容作为投标文件的组成部分，补充、修改的内容与投标文件不一致的，以补充、修改的内容为准。</w:t>
      </w:r>
    </w:p>
    <w:p w14:paraId="7CF4FC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16.2在招标文件要求的投标文件提交截止时间之后，投标人不得对其投标文件进行补充、修改或撤回。</w:t>
      </w:r>
    </w:p>
    <w:p w14:paraId="5D762FCD">
      <w:pPr>
        <w:pStyle w:val="3"/>
        <w:bidi w:val="0"/>
        <w:rPr>
          <w:rFonts w:hint="eastAsia" w:ascii="华文中宋" w:hAnsi="华文中宋" w:eastAsia="华文中宋" w:cs="华文中宋"/>
          <w:color w:val="auto"/>
          <w:highlight w:val="none"/>
        </w:rPr>
      </w:pPr>
      <w:bookmarkStart w:id="40" w:name="_Toc91694423"/>
      <w:r>
        <w:rPr>
          <w:rFonts w:hint="eastAsia" w:ascii="华文中宋" w:hAnsi="华文中宋" w:eastAsia="华文中宋" w:cs="华文中宋"/>
          <w:color w:val="auto"/>
          <w:highlight w:val="none"/>
        </w:rPr>
        <w:t>四、开标</w:t>
      </w:r>
      <w:bookmarkEnd w:id="37"/>
      <w:bookmarkEnd w:id="38"/>
      <w:bookmarkEnd w:id="39"/>
      <w:bookmarkEnd w:id="40"/>
    </w:p>
    <w:p w14:paraId="1A14A46A">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 开标及其有关事项</w:t>
      </w:r>
    </w:p>
    <w:p w14:paraId="24F4414A">
      <w:pPr>
        <w:rPr>
          <w:rFonts w:hint="eastAsia" w:ascii="华文中宋" w:hAnsi="华文中宋" w:eastAsia="华文中宋" w:cs="华文中宋"/>
          <w:color w:val="auto"/>
          <w:highlight w:val="none"/>
        </w:rPr>
      </w:pPr>
      <w:bookmarkStart w:id="41" w:name="_Toc424378690"/>
      <w:bookmarkStart w:id="42" w:name="_Toc352761935"/>
      <w:r>
        <w:rPr>
          <w:rFonts w:hint="eastAsia" w:ascii="华文中宋" w:hAnsi="华文中宋" w:eastAsia="华文中宋" w:cs="华文中宋"/>
          <w:color w:val="auto"/>
          <w:highlight w:val="none"/>
        </w:rPr>
        <w:t>17.1投标人不足三家的，不得开标。</w:t>
      </w:r>
    </w:p>
    <w:p w14:paraId="497972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17.2 投标人在政府采购云平台中自行查看开标结果，对开标结果有异议的，可在政府采购云平台提出；对开标结果无异议的，系统在30分钟后默认为开标结果已被投标人确认。</w:t>
      </w:r>
    </w:p>
    <w:p w14:paraId="531733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17.3本项目采用网上电子开标的方式进行，因不可抗因素导致系统无法正常运行时，集采机构将等待系统恢复正常后继续进行开标。系统不能及时恢复正常时，集采机构将封标，待系统恢复正常后继续或重新进行开标。</w:t>
      </w:r>
    </w:p>
    <w:p w14:paraId="3C285C95">
      <w:pPr>
        <w:pStyle w:val="3"/>
        <w:bidi w:val="0"/>
        <w:rPr>
          <w:rFonts w:hint="eastAsia" w:ascii="华文中宋" w:hAnsi="华文中宋" w:eastAsia="华文中宋" w:cs="华文中宋"/>
          <w:color w:val="auto"/>
          <w:highlight w:val="none"/>
        </w:rPr>
      </w:pPr>
      <w:bookmarkStart w:id="43" w:name="_Toc8119"/>
      <w:bookmarkStart w:id="44" w:name="_Toc91694424"/>
      <w:r>
        <w:rPr>
          <w:rFonts w:hint="eastAsia" w:ascii="华文中宋" w:hAnsi="华文中宋" w:eastAsia="华文中宋" w:cs="华文中宋"/>
          <w:color w:val="auto"/>
          <w:highlight w:val="none"/>
        </w:rPr>
        <w:t>五、评标程序和要求</w:t>
      </w:r>
      <w:bookmarkEnd w:id="41"/>
      <w:bookmarkEnd w:id="42"/>
      <w:bookmarkEnd w:id="43"/>
      <w:bookmarkEnd w:id="44"/>
    </w:p>
    <w:p w14:paraId="73749D30">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 项目组织</w:t>
      </w:r>
    </w:p>
    <w:p w14:paraId="5BBF2B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18.1集采机构负责组织评标工作并履行相关职责。</w:t>
      </w:r>
    </w:p>
    <w:p w14:paraId="4FE951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18.2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44FA5609">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 投标人资格审查</w:t>
      </w:r>
    </w:p>
    <w:p w14:paraId="52C360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公开招标采购项目开标结束后，采购人按照招标文件资格审查的内容及标准对投标人提交的投标文件（资格证明文件）进行资格审查，以确定投标人是否具备投标资格。审查后合格投标人不足3家的不得评标。</w:t>
      </w:r>
    </w:p>
    <w:p w14:paraId="2C6A2CC8">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 组建评标委员会</w:t>
      </w:r>
    </w:p>
    <w:p w14:paraId="0044AF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20.1 根据政府采购有关法律法规的规定，依法组建评标委员会，评标委员会由采购人代表和有关专家共</w:t>
      </w:r>
      <w:r>
        <w:rPr>
          <w:rFonts w:hint="eastAsia" w:ascii="华文中宋" w:hAnsi="华文中宋" w:eastAsia="华文中宋" w:cs="华文中宋"/>
          <w:color w:val="auto"/>
          <w:highlight w:val="none"/>
          <w:lang w:val="en-US" w:eastAsia="zh-CN"/>
        </w:rPr>
        <w:t>7</w:t>
      </w:r>
      <w:r>
        <w:rPr>
          <w:rFonts w:hint="eastAsia" w:ascii="华文中宋" w:hAnsi="华文中宋" w:eastAsia="华文中宋" w:cs="华文中宋"/>
          <w:color w:val="auto"/>
          <w:highlight w:val="none"/>
        </w:rPr>
        <w:t>人以上单数组成。</w:t>
      </w:r>
    </w:p>
    <w:p w14:paraId="660CA5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20.2 评标委员会负责对符合资格的投标人的投标文件（商务技术文件）进行符合性审查及评标事务，出具经评标委员会签字的评标报告。</w:t>
      </w:r>
    </w:p>
    <w:p w14:paraId="0E3032DC">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21.投标文件（商务技术文件）符合性审查</w:t>
      </w:r>
    </w:p>
    <w:p w14:paraId="6A1BD6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评标委员会按照招标文件第六部分评标标准和评标办法中符合性审查的内容及标准对投标文件进行符合性审查，以确定投标文件是否对招标文件的实质性要求作出响应。</w:t>
      </w:r>
    </w:p>
    <w:p w14:paraId="490199C9">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22.评审中遵循的原则</w:t>
      </w:r>
    </w:p>
    <w:p w14:paraId="5D759C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22.1审查中，投标人存在下列情况之一的，投标无效：</w:t>
      </w:r>
    </w:p>
    <w:p w14:paraId="03FAC9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（1）未按招标文件的规定提交投标保证金的；</w:t>
      </w:r>
    </w:p>
    <w:p w14:paraId="47162F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（2）投标文件未按“投标文件的签署”要求签署、盖章的；</w:t>
      </w:r>
    </w:p>
    <w:p w14:paraId="392958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（3）不具备招标文件规定的资格要求的；</w:t>
      </w:r>
    </w:p>
    <w:p w14:paraId="022301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（4）报价超过招标文件规定预算金额或者最高限价的；</w:t>
      </w:r>
    </w:p>
    <w:p w14:paraId="13FE4A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（5）投标文件含有采购人不能接受的附加条件</w:t>
      </w:r>
      <w:r>
        <w:rPr>
          <w:rFonts w:hint="eastAsia" w:ascii="华文中宋" w:hAnsi="华文中宋" w:eastAsia="华文中宋" w:cs="华文中宋"/>
          <w:color w:val="auto"/>
          <w:highlight w:val="none"/>
          <w:lang w:val="en-US" w:eastAsia="zh-CN"/>
        </w:rPr>
        <w:t>或技术标准</w:t>
      </w:r>
      <w:r>
        <w:rPr>
          <w:rFonts w:hint="eastAsia" w:ascii="华文中宋" w:hAnsi="华文中宋" w:eastAsia="华文中宋" w:cs="华文中宋"/>
          <w:color w:val="auto"/>
          <w:highlight w:val="none"/>
        </w:rPr>
        <w:t>；</w:t>
      </w:r>
    </w:p>
    <w:p w14:paraId="1B278B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（6）法律、法规和招标文件规定的其他无效情形的。</w:t>
      </w:r>
    </w:p>
    <w:p w14:paraId="0C2D29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22.2审查中，投标文件报价出现前后不一致的，按照下列规定修正：</w:t>
      </w:r>
    </w:p>
    <w:p w14:paraId="3BA253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（1）开标报价一览表内容与投标文件中相应内容不一致的,以开标报价一览表为准；</w:t>
      </w:r>
    </w:p>
    <w:p w14:paraId="5D595D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（2）大写金额和小写金额不一致的，以大写金额为准；</w:t>
      </w:r>
    </w:p>
    <w:p w14:paraId="485C96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（3）单价金额小数点或百分比有明显错误的，以开标报价一览表的总价为准，并修改单价；</w:t>
      </w:r>
    </w:p>
    <w:p w14:paraId="2306BC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（4）总价金额与按单价汇总金额不一致的，以单价金额计算结果为准。</w:t>
      </w:r>
    </w:p>
    <w:p w14:paraId="54808B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评标委员会将要求投标人按上述原则调整确认，投标人确认后的报价对投标人具有约束力，如果投标人不予确认，其投标无效。</w:t>
      </w:r>
    </w:p>
    <w:p w14:paraId="627524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22.3如果多个投标人所投核心产品全部为同一品牌的按下述原则处理：</w:t>
      </w:r>
    </w:p>
    <w:p w14:paraId="4315F6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（1）采用最低评标价法的采购项目，提供相同品牌产品的不同投标人参加同一合同项下投标的，以其中通过资格审查、符合性审查且报价最低的参加评标；报价相同的采取随机抽取方式确定，其他投标无效。</w:t>
      </w:r>
    </w:p>
    <w:p w14:paraId="3C96EB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04CBB2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（3）非单一产品采购项目，标的物名称中标注“※”的产品为核心产品。多家投标人提供的核心产品品牌全部相同的，按前两款规定处理。</w:t>
      </w:r>
    </w:p>
    <w:p w14:paraId="159406BA">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 投标的澄清、说明或者补正</w:t>
      </w:r>
    </w:p>
    <w:p w14:paraId="6AD2C4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23.1 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4D97B685">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23.2 异常低价审查</w:t>
      </w:r>
      <w:r>
        <w:rPr>
          <w:rFonts w:hint="eastAsia" w:ascii="华文中宋" w:hAnsi="华文中宋" w:eastAsia="华文中宋" w:cs="华文中宋"/>
          <w:color w:val="auto"/>
          <w:highlight w:val="none"/>
          <w:lang w:val="en-US" w:eastAsia="zh-CN"/>
        </w:rPr>
        <w:t>条件</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r>
        <w:rPr>
          <w:rFonts w:hint="eastAsia" w:ascii="华文中宋" w:hAnsi="华文中宋" w:eastAsia="华文中宋" w:cs="华文中宋"/>
          <w:color w:val="auto"/>
          <w:highlight w:val="none"/>
          <w:lang w:eastAsia="zh-CN"/>
        </w:rPr>
        <w:t>：</w:t>
      </w:r>
    </w:p>
    <w:p w14:paraId="692F59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23.2</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投标（响应）报价低于全部通过符合性审查供应商投标（响应）报价平均值50%的，即投标（响应）报价&lt;全部通过符合性审查供应商投标（响应）报价平均值×50%； </w:t>
      </w:r>
    </w:p>
    <w:p w14:paraId="5C7934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23.2</w:t>
      </w: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投标（响应）报价低于通过符合性审查的次低报价供应商投标（响应）报价50%的，即投标（响应）报价&lt;通过符合性审查的次低报价供应商投标（响应）报价×50%； </w:t>
      </w:r>
    </w:p>
    <w:p w14:paraId="0F0244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23.2</w:t>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投标（响应）报价低于采购项目最高限价45%的，即投标（响应）报价&lt;采购项目最高限价×45%； </w:t>
      </w:r>
    </w:p>
    <w:p w14:paraId="65DFD3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23.2</w:t>
      </w: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评审委员会基于专业判断，认为供应商报价过低，有可能影响产品质量或者不能诚信履约的其他情形</w:t>
      </w:r>
      <w:r>
        <w:rPr>
          <w:rFonts w:hint="eastAsia" w:ascii="华文中宋" w:hAnsi="华文中宋" w:eastAsia="华文中宋" w:cs="华文中宋"/>
          <w:color w:val="auto"/>
          <w:highlight w:val="none"/>
          <w:lang w:eastAsia="zh-CN"/>
        </w:rPr>
        <w:t>。</w:t>
      </w:r>
    </w:p>
    <w:p w14:paraId="1B88A9D5">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 比较与评价</w:t>
      </w:r>
    </w:p>
    <w:p w14:paraId="64E80A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24.1 评标委员会按照招标文件中第六部分规定的评标标准和评标办法，对符合性审查合格的投标文件（商务技术文件）进行商务和技术评估，综合比较和评价。</w:t>
      </w:r>
    </w:p>
    <w:p w14:paraId="34F9CD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24.2 采用综合评分法评审的应按照招标文件第六部分评标标准和评标办法中规定的评标方法、中标条件以及评分细则进行。</w:t>
      </w:r>
    </w:p>
    <w:p w14:paraId="6E5E8E6F">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 评审复核</w:t>
      </w:r>
    </w:p>
    <w:p w14:paraId="3C8B2A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25.1评标结果汇总完成后，除下列情形外，任何人不得修改评标结果：</w:t>
      </w:r>
    </w:p>
    <w:p w14:paraId="41DC7D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（1）分值汇总计算错误的；</w:t>
      </w:r>
    </w:p>
    <w:p w14:paraId="42CC0E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（2）分项评分超出评分标准范围的；</w:t>
      </w:r>
    </w:p>
    <w:p w14:paraId="295E11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（3）评标委员会成员对客观评审因素评分不一致的；</w:t>
      </w:r>
    </w:p>
    <w:p w14:paraId="18C68F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（4）经评标委员会认定评分畸高、畸低的。</w:t>
      </w:r>
    </w:p>
    <w:p w14:paraId="147317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1E5262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25.2在评审过程中发现投标人有下列情形的，评标委员会应认定其投标无效，并书面报告本级财政部门：</w:t>
      </w:r>
    </w:p>
    <w:p w14:paraId="59A088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（1）有恶意串通的；</w:t>
      </w:r>
    </w:p>
    <w:p w14:paraId="7E9D8D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（2）有妨碍其他投标人的竞争行为的；</w:t>
      </w:r>
    </w:p>
    <w:p w14:paraId="7D39A1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（3）有损害采购人或者其他投标人的合法权益的；</w:t>
      </w:r>
    </w:p>
    <w:p w14:paraId="26E6AA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（4）不同投标人的投标文件由同一单位或者个人编制；</w:t>
      </w:r>
    </w:p>
    <w:p w14:paraId="7A2ACF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（5）不同投标人委托同一单位或者个人办理投标事宜；</w:t>
      </w:r>
    </w:p>
    <w:p w14:paraId="577686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（6）不同投标人的投标文件载明的项目管理成员或者联系人为同一人；</w:t>
      </w:r>
    </w:p>
    <w:p w14:paraId="790405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（7）不同投标人的投标文件异常一致或者投标报价呈规律性差异；</w:t>
      </w:r>
    </w:p>
    <w:p w14:paraId="2A5554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（8）不同投标人的投标文件相互混装；</w:t>
      </w:r>
    </w:p>
    <w:p w14:paraId="2693C2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（9）不同投标人的投标保证金从同一单位或者个人的账户转出。</w:t>
      </w:r>
    </w:p>
    <w:p w14:paraId="0D8CC1CB">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 确定/推荐中标候选供应商名单</w:t>
      </w:r>
    </w:p>
    <w:p w14:paraId="6BF337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26.1 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6CB36F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26.2 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3AD7ECF8">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 编写评标报告</w:t>
      </w:r>
    </w:p>
    <w:p w14:paraId="08AAC5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评标委员会评审组长根据全体评标成员签字的原始评标记录和评标结果编写评标报告，并由全体评标成员共同签字确认。</w:t>
      </w:r>
    </w:p>
    <w:p w14:paraId="1A557CB4">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 评标过程保密</w:t>
      </w:r>
    </w:p>
    <w:p w14:paraId="5C9DD3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采购人、集采机构要采取必要措施，保证评标在严格保密的情况下进行。除采购人代表、评标现场组织人员外，采购人的其他工作人员以及与评标工作无关的人员不得进入评标现场。</w:t>
      </w:r>
    </w:p>
    <w:p w14:paraId="2DB801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有关人员对评标情况以及在评标过程中获悉的国家秘密、商业秘密负有保密责任。</w:t>
      </w:r>
    </w:p>
    <w:p w14:paraId="070D5EEA">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 采购项目废标</w:t>
      </w:r>
    </w:p>
    <w:p w14:paraId="26FEEE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29.1 在评标过程中，评标委员会发现有下列情形之一的，应对采购项目予以废标：</w:t>
      </w:r>
    </w:p>
    <w:p w14:paraId="1D2001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（1）符合专业条件的投标供应商或者对招标文件作实质响应的供应商数量不足3家的；</w:t>
      </w:r>
    </w:p>
    <w:p w14:paraId="6FD69B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（2）投标人的报价均超过采购预算或最高限价的；</w:t>
      </w:r>
    </w:p>
    <w:p w14:paraId="17232B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（3）出现影响采购公正的违法、违规行为的；</w:t>
      </w:r>
    </w:p>
    <w:p w14:paraId="3B5B44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（4）因重大变故，采购任务取消的。</w:t>
      </w:r>
    </w:p>
    <w:p w14:paraId="376A65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采购项目废标后，评标委员会应做出书面报告。</w:t>
      </w:r>
    </w:p>
    <w:p w14:paraId="07B761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29.2 废标后，集采机构将在财政部门指定的媒体上发布废标结果公告。</w:t>
      </w:r>
    </w:p>
    <w:p w14:paraId="211ED83F">
      <w:pPr>
        <w:pStyle w:val="3"/>
        <w:bidi w:val="0"/>
        <w:rPr>
          <w:rFonts w:hint="eastAsia" w:ascii="华文中宋" w:hAnsi="华文中宋" w:eastAsia="华文中宋" w:cs="华文中宋"/>
          <w:color w:val="auto"/>
          <w:highlight w:val="none"/>
        </w:rPr>
      </w:pPr>
      <w:bookmarkStart w:id="45" w:name="_Toc424378691"/>
      <w:bookmarkStart w:id="46" w:name="_Toc32242"/>
      <w:bookmarkStart w:id="47" w:name="_Toc91694425"/>
      <w:r>
        <w:rPr>
          <w:rFonts w:hint="eastAsia" w:ascii="华文中宋" w:hAnsi="华文中宋" w:eastAsia="华文中宋" w:cs="华文中宋"/>
          <w:color w:val="auto"/>
          <w:highlight w:val="none"/>
        </w:rPr>
        <w:t>六、签订合同</w:t>
      </w:r>
      <w:bookmarkEnd w:id="45"/>
      <w:bookmarkEnd w:id="46"/>
      <w:bookmarkEnd w:id="47"/>
    </w:p>
    <w:p w14:paraId="375AA9DA">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30．中标通知</w:t>
      </w:r>
    </w:p>
    <w:p w14:paraId="2C32D6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30.1 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354F6F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30.2 集采机构对未中标的投标人不作未中标原因的解释。</w:t>
      </w:r>
    </w:p>
    <w:p w14:paraId="436A55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30.3 中标通知书是合同的组成部分。</w:t>
      </w:r>
    </w:p>
    <w:p w14:paraId="616ED00B">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31．签订合同</w:t>
      </w:r>
    </w:p>
    <w:p w14:paraId="73300E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31.1 采购人应当自中标通知书（在系统中自行下载）发出之日起30日内与中标人在山西政府采购业务执行系统中线上签订政府采购合同。</w:t>
      </w:r>
    </w:p>
    <w:p w14:paraId="159FF9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31.2 中标人应按照招标文件、投标文件及评标过程中的有关澄清、说明或者补正文件的内容与采购人签订合同。中标人不得再与采购人签订背离合同实质性内容的其它协议或声明。</w:t>
      </w:r>
    </w:p>
    <w:p w14:paraId="35254A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31.3本文件第四部分采购需求中要求中标供应商提交履约保证金的，中标供应商须按照规定向采购人提交履约保证金。</w:t>
      </w:r>
    </w:p>
    <w:p w14:paraId="729F0664">
      <w:pPr>
        <w:rPr>
          <w:rFonts w:hint="eastAsia" w:ascii="华文中宋" w:hAnsi="华文中宋" w:eastAsia="华文中宋" w:cs="华文中宋"/>
          <w:color w:val="auto"/>
          <w:highlight w:val="none"/>
        </w:rPr>
      </w:pPr>
      <w:bookmarkStart w:id="48" w:name="_Toc91694426"/>
      <w:bookmarkStart w:id="49" w:name="_Toc18682"/>
      <w:bookmarkStart w:id="50" w:name="_Toc424378692"/>
      <w:bookmarkStart w:id="51" w:name="_Toc421716587"/>
      <w:r>
        <w:rPr>
          <w:rStyle w:val="37"/>
          <w:rFonts w:hint="eastAsia" w:ascii="华文中宋" w:hAnsi="华文中宋" w:eastAsia="华文中宋" w:cs="华文中宋"/>
          <w:color w:val="auto"/>
          <w:highlight w:val="none"/>
        </w:rPr>
        <w:t>七、服务费</w:t>
      </w:r>
      <w:bookmarkEnd w:id="48"/>
      <w:bookmarkEnd w:id="49"/>
      <w:bookmarkEnd w:id="50"/>
      <w:bookmarkEnd w:id="51"/>
      <w:r>
        <w:rPr>
          <w:rFonts w:hint="eastAsia" w:ascii="华文中宋" w:hAnsi="华文中宋" w:eastAsia="华文中宋" w:cs="华文中宋"/>
          <w:color w:val="auto"/>
          <w:highlight w:val="none"/>
        </w:rPr>
        <w:t>　　</w:t>
      </w:r>
    </w:p>
    <w:p w14:paraId="59C5158D">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 服务费</w:t>
      </w:r>
    </w:p>
    <w:p w14:paraId="78D899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集采机构作为非营利事业法人，是集中采购项目的执行机构，在政府采购活动中不收取任何服务费。</w:t>
      </w:r>
    </w:p>
    <w:p w14:paraId="28806824">
      <w:pPr>
        <w:pStyle w:val="3"/>
        <w:bidi w:val="0"/>
        <w:rPr>
          <w:rFonts w:hint="eastAsia" w:ascii="华文中宋" w:hAnsi="华文中宋" w:eastAsia="华文中宋" w:cs="华文中宋"/>
          <w:color w:val="auto"/>
          <w:highlight w:val="none"/>
        </w:rPr>
      </w:pPr>
      <w:bookmarkStart w:id="52" w:name="_Toc424378693"/>
      <w:bookmarkStart w:id="53" w:name="_Toc91694427"/>
      <w:bookmarkStart w:id="54" w:name="_Toc29869"/>
      <w:bookmarkStart w:id="55" w:name="_Toc421716588"/>
      <w:r>
        <w:rPr>
          <w:rFonts w:hint="eastAsia" w:ascii="华文中宋" w:hAnsi="华文中宋" w:eastAsia="华文中宋" w:cs="华文中宋"/>
          <w:color w:val="auto"/>
          <w:highlight w:val="none"/>
        </w:rPr>
        <w:t>八、保密和披露</w:t>
      </w:r>
      <w:bookmarkEnd w:id="52"/>
      <w:bookmarkEnd w:id="53"/>
      <w:bookmarkEnd w:id="54"/>
      <w:bookmarkEnd w:id="55"/>
    </w:p>
    <w:p w14:paraId="61280185">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33. 保密</w:t>
      </w:r>
    </w:p>
    <w:p w14:paraId="56CF405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投标人自领取招标文件之日起，须承诺承担本招标项目下的保密义务，不得将因本次招标获得的信息外传。</w:t>
      </w:r>
    </w:p>
    <w:p w14:paraId="67E4B241">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 披露</w:t>
      </w:r>
    </w:p>
    <w:p w14:paraId="4B9767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34.1 集采机构有权将投标人提供的所有资料向有关政府部门或评审标书的有关人员披露。</w:t>
      </w:r>
    </w:p>
    <w:p w14:paraId="0A6DEE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34.2 在集采机构认为适当时或国家机关调查、审查、审计时以及其他符合法律法规规定的情形下，集采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36761F4D">
      <w:pPr>
        <w:pStyle w:val="3"/>
        <w:bidi w:val="0"/>
        <w:rPr>
          <w:rFonts w:hint="eastAsia" w:ascii="华文中宋" w:hAnsi="华文中宋" w:eastAsia="华文中宋" w:cs="华文中宋"/>
          <w:color w:val="auto"/>
          <w:highlight w:val="none"/>
        </w:rPr>
      </w:pPr>
      <w:bookmarkStart w:id="56" w:name="_Toc91694428"/>
      <w:bookmarkStart w:id="57" w:name="_Toc20833"/>
      <w:bookmarkStart w:id="58" w:name="_Toc352761941"/>
      <w:r>
        <w:rPr>
          <w:rFonts w:hint="eastAsia" w:ascii="华文中宋" w:hAnsi="华文中宋" w:eastAsia="华文中宋" w:cs="华文中宋"/>
          <w:color w:val="auto"/>
          <w:highlight w:val="none"/>
        </w:rPr>
        <w:t>九、询问和质疑</w:t>
      </w:r>
      <w:bookmarkEnd w:id="56"/>
      <w:bookmarkEnd w:id="57"/>
    </w:p>
    <w:p w14:paraId="6C9B9A12">
      <w:pPr>
        <w:pStyle w:val="4"/>
        <w:bidi w:val="0"/>
        <w:rPr>
          <w:rFonts w:hint="eastAsia" w:ascii="华文中宋" w:hAnsi="华文中宋" w:eastAsia="华文中宋" w:cs="华文中宋"/>
          <w:color w:val="auto"/>
          <w:highlight w:val="none"/>
        </w:rPr>
      </w:pPr>
      <w:bookmarkStart w:id="59" w:name="_Toc18768"/>
      <w:r>
        <w:rPr>
          <w:rFonts w:hint="eastAsia" w:ascii="华文中宋" w:hAnsi="华文中宋" w:eastAsia="华文中宋" w:cs="华文中宋"/>
          <w:color w:val="auto"/>
          <w:highlight w:val="none"/>
        </w:rPr>
        <w:t>35．询问和质疑的线上提交</w:t>
      </w:r>
    </w:p>
    <w:p w14:paraId="2872A1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35.1投标供应商对招标文件（除采购需求、综合评分细则）、评审过程、采购结果进行口头询问的，可按第一部分招标邀请中载明的联系方式、地址向集采机口头提出询问。</w:t>
      </w:r>
    </w:p>
    <w:p w14:paraId="509FC4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35.2投标供应商对招标文件的采购需求、综合评分细则进行口头询问的，可按第一部分招标邀请中载明的联系方式、地址向采购人口头提出询问。</w:t>
      </w:r>
    </w:p>
    <w:p w14:paraId="1C4CBB32">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35.3投标供应商对招标文件的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超过法定质疑期限，招标人不予受理。</w:t>
      </w:r>
    </w:p>
    <w:p w14:paraId="46B629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35.4投标供应商对采购程序进行书面询问或质疑的，须通过政府采购平台进入“项目质疑管理”，按照系统中询问列表、质疑列表填写相关内容，填写完成后在“被询问/质疑对象机构类型”中选择“代理机构”，向代理机构提交询问函或质疑函。</w:t>
      </w:r>
      <w:r>
        <w:rPr>
          <w:rFonts w:hint="eastAsia" w:ascii="华文中宋" w:hAnsi="华文中宋" w:eastAsia="华文中宋" w:cs="华文中宋"/>
          <w:color w:val="auto"/>
          <w:highlight w:val="none"/>
          <w:lang w:val="en-US" w:eastAsia="zh-CN"/>
        </w:rPr>
        <w:t>超过法定质疑期限，代理机构不予受理。</w:t>
      </w:r>
    </w:p>
    <w:p w14:paraId="556DB579">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36．询问和质疑的线上答复</w:t>
      </w:r>
    </w:p>
    <w:p w14:paraId="6CD7B8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36.1 向“采购单位”提交询问函或质疑函的，由采购人按照法律法规规定在系统中进行答复；向“代理机构”提交询问函或质疑函的，由代理机构（以下表述为集采机构）按照法律法规规定在系统中进行答复。</w:t>
      </w:r>
    </w:p>
    <w:p w14:paraId="2AC637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36.2质疑答复内容不得涉及商业秘密。</w:t>
      </w:r>
    </w:p>
    <w:p w14:paraId="114D93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36.3质疑供应商撤回质疑的，采购人或集采机构终止质疑处理。</w:t>
      </w:r>
    </w:p>
    <w:p w14:paraId="682A3F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36.4供应商质疑不成立，或者成立但未对中标结果构成影响的，继续开展采购活动；认为供应商质疑成立且影响或者可能影响中标结果的，按照下列情况处理：</w:t>
      </w:r>
    </w:p>
    <w:p w14:paraId="37C5DE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（1）对招标文件提出的质疑，依法通过澄清或者修改可以继续开展采购活动的，澄清或者修改招标文件后继续开展采购活动；否则应修改招标文件后重新开展采购活动。</w:t>
      </w:r>
    </w:p>
    <w:p w14:paraId="3D047F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（2）对采购过程、中标结果提出的质疑，合格供应商符合法定数量时，可以从合格的中标候选人中另行确定中标供应商的，应当依法另行确定中标供应商；否则应重新开展采购活动。</w:t>
      </w:r>
    </w:p>
    <w:p w14:paraId="70AADD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p>
    <w:p w14:paraId="66059C91">
      <w:pPr>
        <w:rPr>
          <w:rFonts w:hint="eastAsia" w:ascii="华文中宋" w:hAnsi="华文中宋" w:eastAsia="华文中宋" w:cs="华文中宋"/>
          <w:color w:val="auto"/>
          <w:highlight w:val="none"/>
        </w:rPr>
      </w:pPr>
    </w:p>
    <w:p w14:paraId="00544550">
      <w:pPr>
        <w:rPr>
          <w:rFonts w:hint="eastAsia" w:ascii="华文中宋" w:hAnsi="华文中宋" w:eastAsia="华文中宋" w:cs="华文中宋"/>
          <w:color w:val="auto"/>
          <w:highlight w:val="none"/>
        </w:rPr>
      </w:pPr>
    </w:p>
    <w:p w14:paraId="7CB47C3C">
      <w:pPr>
        <w:ind w:left="0" w:leftChars="0" w:firstLine="0" w:firstLineChars="0"/>
        <w:rPr>
          <w:rFonts w:hint="eastAsia" w:ascii="华文中宋" w:hAnsi="华文中宋" w:eastAsia="华文中宋" w:cs="华文中宋"/>
          <w:color w:val="auto"/>
          <w:highlight w:val="none"/>
        </w:rPr>
      </w:pPr>
    </w:p>
    <w:bookmarkEnd w:id="58"/>
    <w:bookmarkEnd w:id="59"/>
    <w:p w14:paraId="7896C886">
      <w:pPr>
        <w:rPr>
          <w:rFonts w:hint="eastAsia" w:ascii="华文中宋" w:hAnsi="华文中宋" w:eastAsia="华文中宋" w:cs="华文中宋"/>
          <w:color w:val="auto"/>
          <w:highlight w:val="none"/>
        </w:rPr>
      </w:pPr>
      <w:bookmarkStart w:id="60" w:name="_Toc91694429"/>
      <w:r>
        <w:rPr>
          <w:rFonts w:hint="eastAsia" w:ascii="华文中宋" w:hAnsi="华文中宋" w:eastAsia="华文中宋" w:cs="华文中宋"/>
          <w:color w:val="auto"/>
          <w:highlight w:val="none"/>
        </w:rPr>
        <w:br w:type="page"/>
      </w:r>
    </w:p>
    <w:p w14:paraId="330F16AA">
      <w:pPr>
        <w:pStyle w:val="2"/>
        <w:numPr>
          <w:ilvl w:val="0"/>
          <w:numId w:val="3"/>
        </w:num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 </w:t>
      </w:r>
      <w:bookmarkStart w:id="61" w:name="_Toc11546"/>
      <w:r>
        <w:rPr>
          <w:rFonts w:hint="eastAsia" w:ascii="华文中宋" w:hAnsi="华文中宋" w:eastAsia="华文中宋" w:cs="华文中宋"/>
          <w:color w:val="auto"/>
          <w:highlight w:val="none"/>
        </w:rPr>
        <w:t>采购需求</w:t>
      </w:r>
      <w:bookmarkEnd w:id="60"/>
      <w:bookmarkEnd w:id="61"/>
    </w:p>
    <w:p w14:paraId="7117700E">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一、</w:t>
      </w:r>
      <w:r>
        <w:rPr>
          <w:rFonts w:hint="eastAsia" w:ascii="华文中宋" w:hAnsi="华文中宋" w:eastAsia="华文中宋" w:cs="华文中宋"/>
          <w:color w:val="auto"/>
          <w:highlight w:val="none"/>
        </w:rPr>
        <w:t>项目概况</w:t>
      </w:r>
    </w:p>
    <w:p w14:paraId="63E88DA4">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1.项目基本情况</w:t>
      </w:r>
    </w:p>
    <w:p w14:paraId="7DB43A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石楼县人民医院成立于1950年，2011年晋升为二级甲等医院，是一所集医疗、教学、科研、预防保健、急救、康复于一体的综合性医院。承担着全县12万多人口的医疗保健服务。</w:t>
      </w:r>
    </w:p>
    <w:p w14:paraId="348D44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本项目旨在实现医院业务精细化、决策管理智慧化、患者服务便捷化等应用目标，计划购置信息化硬件设备</w:t>
      </w:r>
      <w:r>
        <w:rPr>
          <w:rFonts w:hint="eastAsia" w:ascii="华文中宋" w:hAnsi="华文中宋" w:cs="华文中宋"/>
          <w:color w:val="auto"/>
          <w:highlight w:val="none"/>
          <w:lang w:val="en-US" w:eastAsia="zh-CN"/>
        </w:rPr>
        <w:t>及</w:t>
      </w:r>
      <w:r>
        <w:rPr>
          <w:rFonts w:hint="eastAsia" w:ascii="华文中宋" w:hAnsi="华文中宋" w:eastAsia="华文中宋" w:cs="华文中宋"/>
          <w:color w:val="auto"/>
          <w:highlight w:val="none"/>
        </w:rPr>
        <w:t>软件系统。</w:t>
      </w:r>
    </w:p>
    <w:p w14:paraId="6650DC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目前石楼县人民医院迁建项目基建部分已实施过半，为了让石楼县人民医院迁建项目尽快发挥其使用功能，是石楼县当地群众尽早享受到优质医疗服务，医院信息化建设迫在眉睫，且医疗信息化建设是提高医院核心竞争力的有力手段。</w:t>
      </w:r>
    </w:p>
    <w:p w14:paraId="09FD09C8">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2.建设目标</w:t>
      </w:r>
    </w:p>
    <w:p w14:paraId="149E78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1）接入全民健康信息大数据平台并实现电子病历应用水平达 4 级、智慧服务分级评估达 2 级以上。</w:t>
      </w:r>
    </w:p>
    <w:p w14:paraId="0BE451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2）提升医疗服务质量：通过引入先进的医疗信息化技术，优化医疗服务流程，提高诊疗效率和准确性，为患者提供更加安全、高效的医疗服务。</w:t>
      </w:r>
    </w:p>
    <w:p w14:paraId="243DBF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3）增强患者就医体验：构建线上线下一体化的便捷就医环境，减少患者等待时间，提升患者满意度和忠诚度。</w:t>
      </w:r>
    </w:p>
    <w:p w14:paraId="0D6FE4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4）加强医院运营管理：实现医院资源的优化配置和高效利用，降低运营成本，提高管理效率和决策能力。</w:t>
      </w:r>
    </w:p>
    <w:p w14:paraId="76386C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5）完善机房环境：为医疗信息系统提供坚实的物理基础设施支持，加强物理安全措施，优化设备布局，控制环境温湿度，确保医院信息系统的稳定、可靠与高效运作，为医疗服务的顺利开展提供坚实支持。</w:t>
      </w:r>
    </w:p>
    <w:p w14:paraId="03DF8A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网络安全防护：保护敏感数据、保障系统运行连续性，并确保患者和医院信息的机密性和完整性，网络安全建设需要达到等保三级的标准，提升医院的信息安全防护能力，为患者和医院的正常运营提供有力保障。</w:t>
      </w:r>
    </w:p>
    <w:p w14:paraId="4A6E7DD6">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bookmarkStart w:id="62" w:name="_Toc18848"/>
      <w:bookmarkStart w:id="63" w:name="_Toc184477165"/>
      <w:bookmarkStart w:id="64" w:name="_Toc18164"/>
      <w:r>
        <w:rPr>
          <w:rFonts w:hint="eastAsia" w:ascii="华文中宋" w:hAnsi="华文中宋" w:eastAsia="华文中宋" w:cs="华文中宋"/>
          <w:color w:val="auto"/>
          <w:highlight w:val="none"/>
        </w:rPr>
        <w:t>采购内容</w:t>
      </w:r>
      <w:bookmarkEnd w:id="62"/>
      <w:bookmarkEnd w:id="63"/>
      <w:bookmarkEnd w:id="64"/>
    </w:p>
    <w:p w14:paraId="7373CF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硬件部分：包括数据中心、等保安全、桌面云及终端配套、</w:t>
      </w:r>
      <w:r>
        <w:rPr>
          <w:rFonts w:hint="eastAsia" w:ascii="华文中宋" w:hAnsi="华文中宋" w:cs="华文中宋"/>
          <w:color w:val="auto"/>
          <w:highlight w:val="none"/>
          <w:lang w:val="en-US" w:eastAsia="zh-CN"/>
        </w:rPr>
        <w:t>信息</w:t>
      </w:r>
      <w:r>
        <w:rPr>
          <w:rFonts w:hint="eastAsia" w:ascii="华文中宋" w:hAnsi="华文中宋" w:eastAsia="华文中宋" w:cs="华文中宋"/>
          <w:color w:val="auto"/>
          <w:highlight w:val="none"/>
        </w:rPr>
        <w:t>机房</w:t>
      </w:r>
      <w:r>
        <w:rPr>
          <w:rFonts w:hint="eastAsia" w:ascii="华文中宋" w:hAnsi="华文中宋" w:cs="华文中宋"/>
          <w:color w:val="auto"/>
          <w:highlight w:val="none"/>
          <w:lang w:val="en-US" w:eastAsia="zh-CN"/>
        </w:rPr>
        <w:t>系统</w:t>
      </w:r>
      <w:r>
        <w:rPr>
          <w:rFonts w:hint="eastAsia" w:ascii="华文中宋" w:hAnsi="华文中宋" w:eastAsia="华文中宋" w:cs="华文中宋"/>
          <w:color w:val="auto"/>
          <w:highlight w:val="none"/>
        </w:rPr>
        <w:t>、密码应用及数字证书系统、资产全生命周期管理系统、智慧档案室系统、数字化手术室系统、数字时钟系统、智能会议系统等。</w:t>
      </w:r>
    </w:p>
    <w:p w14:paraId="5C42D7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部分：包括门诊挂号管理系统、出入院管理系统、门诊医生工作站系统、住院医生工作站系统、住院临床路径管理系统、住院护士工作站系统、临床辅助决策支持信息系统、体检管理信息系统、实验室信息管理系统、输血管理信息系统、放射检查信息系统、医学影像管理系统、超声检查信息系统、内窥镜检查信息系统、手术麻醉信息系统、重症监护信息系统、心电检查信息系统、康复治疗信息系统、单病种管理系统、血液透析信息管理系统、药库管理系统、门诊药房管理系统、住院药房管理系统、物资管理系统、设备管理系统、抗菌药物管理系统、合理用药检测系统、病案统计管理系统、医保规则质控系统、医务管理系统、疾病监测报告管理系统、医院感染管理系统、医疗统计报表系统、医保管理系统、税务\电子票据接口、电子病历应用服务、单点登录管理系统、集成平台、临床数据中心、医院BI、DRGs管理系统、后勤管理系统、预算管理系统、成本管理系统、绩效管理系统、高值耗材、智慧医院、智慧就医、OA系统、危急值管理系统</w:t>
      </w:r>
      <w:r>
        <w:rPr>
          <w:rFonts w:hint="eastAsia" w:ascii="华文中宋" w:hAnsi="华文中宋" w:cs="华文中宋"/>
          <w:color w:val="auto"/>
          <w:highlight w:val="none"/>
          <w:lang w:val="en-US" w:eastAsia="zh-CN"/>
        </w:rPr>
        <w:t>等</w:t>
      </w:r>
      <w:r>
        <w:rPr>
          <w:rFonts w:hint="eastAsia" w:ascii="华文中宋" w:hAnsi="华文中宋" w:eastAsia="华文中宋" w:cs="华文中宋"/>
          <w:color w:val="auto"/>
          <w:highlight w:val="none"/>
        </w:rPr>
        <w:t>。</w:t>
      </w:r>
    </w:p>
    <w:p w14:paraId="6C27F701">
      <w:pPr>
        <w:pStyle w:val="3"/>
        <w:numPr>
          <w:ilvl w:val="0"/>
          <w:numId w:val="4"/>
        </w:num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项目要求</w:t>
      </w:r>
    </w:p>
    <w:p w14:paraId="2E29AA95">
      <w:pPr>
        <w:pStyle w:val="4"/>
        <w:numPr>
          <w:ilvl w:val="2"/>
          <w:numId w:val="0"/>
        </w:num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一</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商务要求</w:t>
      </w:r>
    </w:p>
    <w:p w14:paraId="2C1A95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lang w:eastAsia="zh-CN"/>
        </w:rPr>
        <w:t>合同履行期限</w:t>
      </w:r>
      <w:r>
        <w:rPr>
          <w:rFonts w:hint="eastAsia" w:ascii="华文中宋" w:hAnsi="华文中宋" w:eastAsia="华文中宋" w:cs="华文中宋"/>
          <w:color w:val="auto"/>
          <w:highlight w:val="none"/>
        </w:rPr>
        <w:t>限：</w:t>
      </w:r>
      <w:r>
        <w:rPr>
          <w:rFonts w:hint="eastAsia" w:ascii="华文中宋" w:hAnsi="华文中宋" w:eastAsia="华文中宋" w:cs="华文中宋"/>
          <w:color w:val="auto"/>
          <w:highlight w:val="none"/>
          <w:lang w:val="en-US" w:eastAsia="zh-CN"/>
        </w:rPr>
        <w:t>签订合同之日起软件系统须在签订合同后12个月内上线；硬件设备须在合同签订后3个月内完成交货，安装及调试。</w:t>
      </w:r>
    </w:p>
    <w:p w14:paraId="76CF8C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2.交货地点：</w:t>
      </w:r>
      <w:r>
        <w:rPr>
          <w:rFonts w:hint="eastAsia" w:ascii="华文中宋" w:hAnsi="华文中宋" w:eastAsia="华文中宋" w:cs="华文中宋"/>
          <w:color w:val="auto"/>
          <w:highlight w:val="none"/>
          <w:lang w:val="en-US" w:eastAsia="zh-CN"/>
        </w:rPr>
        <w:t>石楼县</w:t>
      </w:r>
      <w:r>
        <w:rPr>
          <w:rFonts w:hint="eastAsia" w:ascii="华文中宋" w:hAnsi="华文中宋" w:cs="华文中宋"/>
          <w:color w:val="auto"/>
          <w:highlight w:val="none"/>
          <w:lang w:val="en-US" w:eastAsia="zh-CN"/>
        </w:rPr>
        <w:t>灵泉镇郭村</w:t>
      </w:r>
      <w:r>
        <w:rPr>
          <w:rFonts w:hint="eastAsia" w:ascii="华文中宋" w:hAnsi="华文中宋" w:eastAsia="华文中宋" w:cs="华文中宋"/>
          <w:color w:val="auto"/>
          <w:highlight w:val="none"/>
        </w:rPr>
        <w:t>。</w:t>
      </w:r>
    </w:p>
    <w:p w14:paraId="14A834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付款条件：</w:t>
      </w:r>
      <w:r>
        <w:rPr>
          <w:rFonts w:hint="eastAsia" w:ascii="华文中宋" w:hAnsi="华文中宋" w:eastAsia="华文中宋" w:cs="华文中宋"/>
          <w:color w:val="auto"/>
          <w:szCs w:val="21"/>
          <w:highlight w:val="none"/>
          <w:lang w:val="en-US" w:eastAsia="zh-CN"/>
        </w:rPr>
        <w:t>合同签订并提供甲方认可的技术实施方案后10个工作日内支付合同金额的40%；硬件设备货到指定地点后，甲方对货物进行初步核对（核对内容包括货物数量、外观破损），核对无误后5个工作日甲方向乙方支付合同金额的30%；</w:t>
      </w:r>
      <w:r>
        <w:rPr>
          <w:rFonts w:hint="eastAsia" w:ascii="华文中宋" w:hAnsi="华文中宋" w:eastAsia="华文中宋" w:cs="华文中宋"/>
          <w:color w:val="auto"/>
          <w:highlight w:val="none"/>
          <w:lang w:val="en-US" w:eastAsia="zh-CN"/>
        </w:rPr>
        <w:t>待使用方石楼县人民医院验收合格后5个工作日支付合同金额的30%；</w:t>
      </w:r>
    </w:p>
    <w:p w14:paraId="0BD865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4.履约保证金：本项目</w:t>
      </w:r>
      <w:r>
        <w:rPr>
          <w:rFonts w:hint="eastAsia" w:ascii="华文中宋" w:hAnsi="华文中宋" w:eastAsia="华文中宋" w:cs="华文中宋"/>
          <w:color w:val="auto"/>
          <w:highlight w:val="none"/>
          <w:lang w:eastAsia="zh"/>
          <w:woUserID w:val="1"/>
        </w:rPr>
        <w:t>不</w:t>
      </w:r>
      <w:r>
        <w:rPr>
          <w:rFonts w:hint="eastAsia" w:ascii="华文中宋" w:hAnsi="华文中宋" w:eastAsia="华文中宋" w:cs="华文中宋"/>
          <w:color w:val="auto"/>
          <w:highlight w:val="none"/>
        </w:rPr>
        <w:t>要求中标供应商提交履约保证金。</w:t>
      </w:r>
    </w:p>
    <w:p w14:paraId="78729D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5.运输要求：合同签订后</w:t>
      </w:r>
      <w:r>
        <w:rPr>
          <w:rFonts w:hint="eastAsia" w:ascii="华文中宋" w:hAnsi="华文中宋" w:eastAsia="华文中宋" w:cs="华文中宋"/>
          <w:color w:val="auto"/>
          <w:highlight w:val="none"/>
          <w:lang w:eastAsia="zh"/>
          <w:woUserID w:val="1"/>
        </w:rPr>
        <w:t>6</w:t>
      </w:r>
      <w:r>
        <w:rPr>
          <w:rFonts w:hint="eastAsia" w:ascii="华文中宋" w:hAnsi="华文中宋" w:eastAsia="华文中宋" w:cs="华文中宋"/>
          <w:color w:val="auto"/>
          <w:highlight w:val="none"/>
        </w:rPr>
        <w:t>0天内，保证货物及时无误运输至交货地点。</w:t>
      </w:r>
    </w:p>
    <w:p w14:paraId="29506A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6.保险要求：报价中包含所有货物的保险费用，不再另外收费。</w:t>
      </w:r>
    </w:p>
    <w:p w14:paraId="523108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7.商品包装和快递包装要求：</w:t>
      </w:r>
    </w:p>
    <w:p w14:paraId="1C9AA5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（1）直接使用商品包装作为快递包装的商品，其商品包装满足《商品包装政府采购需求标准（试行）》即可。</w:t>
      </w:r>
    </w:p>
    <w:p w14:paraId="32116B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（2）快递包装产品质量和封装方式应符合相关国家或行业标准技术指标要求。</w:t>
      </w:r>
    </w:p>
    <w:p w14:paraId="18443522">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（二）政策性要求</w:t>
      </w:r>
    </w:p>
    <w:p w14:paraId="51A968D0">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cs="华文中宋"/>
          <w:color w:val="auto"/>
          <w:highlight w:val="none"/>
          <w:lang w:val="en-US" w:eastAsia="zh-CN"/>
        </w:rPr>
        <w:t>1.</w:t>
      </w:r>
      <w:r>
        <w:rPr>
          <w:rFonts w:hint="eastAsia" w:ascii="华文中宋" w:hAnsi="华文中宋" w:eastAsia="华文中宋" w:cs="华文中宋"/>
          <w:color w:val="auto"/>
          <w:highlight w:val="none"/>
        </w:rPr>
        <w:t>本</w:t>
      </w:r>
      <w:r>
        <w:rPr>
          <w:rFonts w:hint="eastAsia" w:ascii="华文中宋" w:hAnsi="华文中宋" w:cs="华文中宋"/>
          <w:color w:val="auto"/>
          <w:highlight w:val="none"/>
          <w:lang w:val="en-US" w:eastAsia="zh-CN"/>
        </w:rPr>
        <w:t>招标项目涉及</w:t>
      </w:r>
      <w:r>
        <w:rPr>
          <w:rFonts w:hint="eastAsia" w:ascii="华文中宋" w:hAnsi="华文中宋" w:eastAsia="华文中宋" w:cs="华文中宋"/>
          <w:color w:val="auto"/>
          <w:highlight w:val="none"/>
        </w:rPr>
        <w:t>强制采购绿色产品标的物，投标人必须投报“节能产品政府采购品目清单”中的强制节能产品，同时提供处于有效期之内的产品认证证书扫描件，不接受非强制采购产品。</w:t>
      </w:r>
    </w:p>
    <w:p w14:paraId="4547B90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cs="华文中宋"/>
          <w:color w:val="auto"/>
          <w:highlight w:val="none"/>
          <w:lang w:val="en-US" w:eastAsia="zh-CN"/>
        </w:rPr>
        <w:t>2.</w:t>
      </w:r>
      <w:r>
        <w:rPr>
          <w:rFonts w:hint="eastAsia" w:ascii="华文中宋" w:hAnsi="华文中宋" w:eastAsia="华文中宋" w:cs="华文中宋"/>
          <w:color w:val="auto"/>
          <w:highlight w:val="none"/>
        </w:rPr>
        <w:t>本</w:t>
      </w:r>
      <w:r>
        <w:rPr>
          <w:rFonts w:hint="eastAsia" w:ascii="华文中宋" w:hAnsi="华文中宋" w:cs="华文中宋"/>
          <w:color w:val="auto"/>
          <w:highlight w:val="none"/>
          <w:lang w:val="en-US" w:eastAsia="zh-CN"/>
        </w:rPr>
        <w:t>招标项目涉及</w:t>
      </w:r>
      <w:r>
        <w:rPr>
          <w:rFonts w:hint="eastAsia" w:ascii="华文中宋" w:hAnsi="华文中宋" w:eastAsia="华文中宋" w:cs="华文中宋"/>
          <w:color w:val="auto"/>
          <w:highlight w:val="none"/>
        </w:rPr>
        <w:t>优先采购的绿色产品标的物，投标人可以投报“节能产品政府采购品目清单”中的非强制类产品、“环境标志产品政府采购品目清单”中的产品，也可投报清单以外的产品。</w:t>
      </w:r>
    </w:p>
    <w:p w14:paraId="0EF3F6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3.政府采购绿色包装和绿色运输要求：</w:t>
      </w:r>
    </w:p>
    <w:p w14:paraId="40A235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中涉及到商品包装和快递包装的，其包装材料和运输环节的要求和履约验收要求严格执行《商品包装政府采购需求标准（试行）》，快递包装符合《快递包装政府采购需求标准（试行）》标准及相关要求，投标人在提交投标文件中需提供“商品包装和快递包装承诺”（格式见第八部分）。鼓励中标供应商在运输过程中推广使用新能源车辆进行配送，优化运输路线以减少空驶和碳排放，确保运输过程的环保性。</w:t>
      </w:r>
    </w:p>
    <w:p w14:paraId="6DD21F52">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4.工信部会同有关部门制定下发的《网络关键设备和网络安全专用产品目录》中的网络安全专用产品：</w:t>
      </w:r>
      <w:r>
        <w:rPr>
          <w:rFonts w:hint="eastAsia" w:ascii="华文中宋" w:hAnsi="华文中宋" w:eastAsia="华文中宋" w:cs="华文中宋"/>
          <w:color w:val="auto"/>
          <w:highlight w:val="none"/>
          <w:lang w:val="en-US" w:eastAsia="zh-CN"/>
        </w:rPr>
        <w:t>详见投标人须知前附表。</w:t>
      </w:r>
    </w:p>
    <w:p w14:paraId="1F012E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说明：详情参见《关于调整网络安全专用产品安全管理有关事项的公告》</w:t>
      </w:r>
    </w:p>
    <w:p w14:paraId="6C0C5D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5.正版软件承诺：承诺所投报的计算机预装正版操作系统，硬件产品内的预装软件为正版软件。</w:t>
      </w:r>
    </w:p>
    <w:p w14:paraId="687A25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6.财政部及工信部强制性要求或标准：</w:t>
      </w:r>
    </w:p>
    <w:p w14:paraId="2537CC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中所涉及设备及操作系统须符合财政部《通用服务器政府采购需求标准（2023年版）》《一体式计算机政府采购需求标准（2023年版）》《便携式计算机政府采购需求标准（2023年版）》《台式计算机政府采购需求标准（2023年版）》、《操作系统政府采购需求标准（2023 年版）》要求，投标人所投产品须全部符合加‘★’需求指标，并提供承诺函，格式自拟。</w:t>
      </w:r>
    </w:p>
    <w:p w14:paraId="7CA5B29B">
      <w:pPr>
        <w:numPr>
          <w:ilvl w:val="0"/>
          <w:numId w:val="5"/>
        </w:num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投标人承诺所投产品符合国家、行业和地方标准、规范和文件的规定，供货时</w:t>
      </w:r>
      <w:r>
        <w:rPr>
          <w:rFonts w:hint="eastAsia" w:ascii="华文中宋" w:hAnsi="华文中宋" w:cs="华文中宋"/>
          <w:color w:val="auto"/>
          <w:highlight w:val="none"/>
          <w:lang w:val="en-US" w:eastAsia="zh-CN"/>
        </w:rPr>
        <w:t>提供</w:t>
      </w:r>
      <w:r>
        <w:rPr>
          <w:rFonts w:hint="eastAsia" w:ascii="华文中宋" w:hAnsi="华文中宋" w:eastAsia="华文中宋" w:cs="华文中宋"/>
          <w:color w:val="auto"/>
          <w:highlight w:val="none"/>
          <w:lang w:val="en-US" w:eastAsia="zh-CN"/>
        </w:rPr>
        <w:t>相关检验检测报告或合格产品证明等材料。</w:t>
      </w:r>
    </w:p>
    <w:p w14:paraId="6971800B">
      <w:pPr>
        <w:pStyle w:val="4"/>
        <w:numPr>
          <w:ilvl w:val="0"/>
          <w:numId w:val="6"/>
        </w:num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服务类要求</w:t>
      </w:r>
    </w:p>
    <w:p w14:paraId="6C52E5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1.质保要求</w:t>
      </w:r>
    </w:p>
    <w:p w14:paraId="733E8E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本项目质保期</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软件</w:t>
      </w:r>
      <w:r>
        <w:rPr>
          <w:rFonts w:hint="eastAsia" w:ascii="华文中宋" w:hAnsi="华文中宋" w:eastAsia="华文中宋" w:cs="华文中宋"/>
          <w:color w:val="auto"/>
          <w:highlight w:val="none"/>
          <w:lang w:val="en-US" w:eastAsia="zh-CN"/>
        </w:rPr>
        <w:t>提供三</w:t>
      </w:r>
      <w:r>
        <w:rPr>
          <w:rFonts w:hint="eastAsia" w:ascii="华文中宋" w:hAnsi="华文中宋" w:eastAsia="华文中宋" w:cs="华文中宋"/>
          <w:color w:val="auto"/>
          <w:highlight w:val="none"/>
        </w:rPr>
        <w:t>年</w:t>
      </w:r>
      <w:r>
        <w:rPr>
          <w:rFonts w:hint="eastAsia" w:ascii="华文中宋" w:hAnsi="华文中宋" w:eastAsia="华文中宋" w:cs="华文中宋"/>
          <w:color w:val="auto"/>
          <w:highlight w:val="none"/>
          <w:lang w:val="en-US" w:eastAsia="zh-CN"/>
        </w:rPr>
        <w:t>的免费技术服务及升级服务</w:t>
      </w:r>
      <w:r>
        <w:rPr>
          <w:rFonts w:hint="eastAsia" w:ascii="华文中宋" w:hAnsi="华文中宋" w:eastAsia="华文中宋" w:cs="华文中宋"/>
          <w:color w:val="auto"/>
          <w:highlight w:val="none"/>
        </w:rPr>
        <w:t>、硬件</w:t>
      </w:r>
      <w:r>
        <w:rPr>
          <w:rFonts w:hint="eastAsia" w:ascii="华文中宋" w:hAnsi="华文中宋" w:eastAsia="华文中宋" w:cs="华文中宋"/>
          <w:color w:val="auto"/>
          <w:highlight w:val="none"/>
          <w:lang w:val="en-US" w:eastAsia="zh-CN"/>
        </w:rPr>
        <w:t>设备及其相关软件提供</w:t>
      </w:r>
      <w:r>
        <w:rPr>
          <w:rFonts w:hint="eastAsia" w:ascii="华文中宋" w:hAnsi="华文中宋" w:eastAsia="华文中宋" w:cs="华文中宋"/>
          <w:color w:val="auto"/>
          <w:highlight w:val="none"/>
        </w:rPr>
        <w:t>三年</w:t>
      </w:r>
      <w:r>
        <w:rPr>
          <w:rFonts w:hint="eastAsia" w:ascii="华文中宋" w:hAnsi="华文中宋" w:eastAsia="华文中宋" w:cs="华文中宋"/>
          <w:color w:val="auto"/>
          <w:highlight w:val="none"/>
          <w:lang w:val="en-US" w:eastAsia="zh-CN"/>
        </w:rPr>
        <w:t>质保</w:t>
      </w:r>
      <w:r>
        <w:rPr>
          <w:rFonts w:hint="eastAsia" w:ascii="华文中宋" w:hAnsi="华文中宋" w:eastAsia="华文中宋" w:cs="华文中宋"/>
          <w:color w:val="auto"/>
          <w:highlight w:val="none"/>
        </w:rPr>
        <w:t>，自双方完成</w:t>
      </w:r>
      <w:r>
        <w:rPr>
          <w:rFonts w:hint="eastAsia" w:ascii="华文中宋" w:hAnsi="华文中宋" w:cs="华文中宋"/>
          <w:color w:val="auto"/>
          <w:highlight w:val="none"/>
          <w:lang w:val="en-US" w:eastAsia="zh-CN"/>
        </w:rPr>
        <w:t>项目验收</w:t>
      </w:r>
      <w:r>
        <w:rPr>
          <w:rFonts w:hint="eastAsia" w:ascii="华文中宋" w:hAnsi="华文中宋" w:eastAsia="华文中宋" w:cs="华文中宋"/>
          <w:color w:val="auto"/>
          <w:highlight w:val="none"/>
        </w:rPr>
        <w:t>之日起计算。</w:t>
      </w:r>
    </w:p>
    <w:p w14:paraId="13CAD47F">
      <w:pPr>
        <w:numPr>
          <w:ilvl w:val="0"/>
          <w:numId w:val="7"/>
        </w:num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其它要求：</w:t>
      </w:r>
      <w:r>
        <w:rPr>
          <w:rFonts w:hint="eastAsia" w:ascii="华文中宋" w:hAnsi="华文中宋" w:eastAsia="华文中宋" w:cs="华文中宋"/>
          <w:color w:val="auto"/>
          <w:highlight w:val="none"/>
        </w:rPr>
        <w:t>本次采购需对接医院系统的设备，</w:t>
      </w:r>
      <w:r>
        <w:rPr>
          <w:rFonts w:hint="eastAsia" w:ascii="华文中宋" w:hAnsi="华文中宋" w:eastAsia="华文中宋" w:cs="华文中宋"/>
          <w:color w:val="auto"/>
          <w:highlight w:val="none"/>
          <w:lang w:val="en-US" w:eastAsia="zh-CN"/>
        </w:rPr>
        <w:t>投标人</w:t>
      </w:r>
      <w:r>
        <w:rPr>
          <w:rFonts w:hint="eastAsia" w:ascii="华文中宋" w:hAnsi="华文中宋" w:eastAsia="华文中宋" w:cs="华文中宋"/>
          <w:color w:val="auto"/>
          <w:highlight w:val="none"/>
        </w:rPr>
        <w:t>无条件开放接口，免费完成对接，费用含在投标总价内。</w:t>
      </w:r>
    </w:p>
    <w:p w14:paraId="5217908D">
      <w:pPr>
        <w:numPr>
          <w:ilvl w:val="0"/>
          <w:numId w:val="7"/>
        </w:numPr>
        <w:ind w:left="0" w:leftChars="0" w:firstLine="480" w:firstLineChars="200"/>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服务标准规范：</w:t>
      </w:r>
    </w:p>
    <w:p w14:paraId="75D99E31">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《医疗信息交换标准HL7》；</w:t>
      </w:r>
    </w:p>
    <w:p w14:paraId="4D67517F">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《医疗保障信息平台接口标准V1.0》；</w:t>
      </w:r>
    </w:p>
    <w:p w14:paraId="78843FE9">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《医院信息平台交互标准》（WS/T846）；</w:t>
      </w:r>
    </w:p>
    <w:p w14:paraId="295C4F36">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《病历书写基本规范》（2018版）；</w:t>
      </w:r>
    </w:p>
    <w:p w14:paraId="346A3201">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《互联网诊疗管理办法（试行）》；</w:t>
      </w:r>
    </w:p>
    <w:p w14:paraId="6228215E">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《互联网医院管理办法（试行）》；</w:t>
      </w:r>
    </w:p>
    <w:p w14:paraId="2C4067C8">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《远程医疗服务管理规范（试行）》；</w:t>
      </w:r>
    </w:p>
    <w:p w14:paraId="6BE8DA4D">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《医院信息化建设规范与评审标准》；</w:t>
      </w:r>
    </w:p>
    <w:p w14:paraId="72517A7B">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《医疗机构管理条例》；</w:t>
      </w:r>
    </w:p>
    <w:p w14:paraId="6B31302D">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《医疗质量安全核心制度要点》；</w:t>
      </w:r>
    </w:p>
    <w:p w14:paraId="7109D0A9">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《全国医院信息化建设标准与规范（试行）》；</w:t>
      </w:r>
    </w:p>
    <w:p w14:paraId="5D6486A3">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《电子病历系统应用水平分级评价标准（试行）》；</w:t>
      </w:r>
    </w:p>
    <w:p w14:paraId="575171BA">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《医院智慧服务分级评估标准体系（试行）》；</w:t>
      </w:r>
    </w:p>
    <w:p w14:paraId="6F30AF43">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《WST 500-电子病历共享文档规范-2016》；</w:t>
      </w:r>
    </w:p>
    <w:p w14:paraId="54520E3B">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《电子病历系统功能规范(试行)》；</w:t>
      </w:r>
    </w:p>
    <w:p w14:paraId="222A33EA">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《卫生信息数据元值域代码》（WS/T 364）；</w:t>
      </w:r>
    </w:p>
    <w:p w14:paraId="66A3CBF7">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《卫生健康信息数据元目录》（WS/T 363）；</w:t>
      </w:r>
    </w:p>
    <w:p w14:paraId="42EED26C">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《医院信息互联互通标准化成熟度测评方案（2020年版》；</w:t>
      </w:r>
    </w:p>
    <w:p w14:paraId="63F1862D">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《WS/T 447-2014 基于电子病历的医院信息平台技术规范》；</w:t>
      </w:r>
    </w:p>
    <w:p w14:paraId="556D1E4B">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《全国公共卫生信息化建设标准与规范（试行）》；</w:t>
      </w:r>
    </w:p>
    <w:p w14:paraId="17E6869B">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《山西省医疗保证信息平台定点医药机构接口规范》（V1.3.32）；</w:t>
      </w:r>
    </w:p>
    <w:p w14:paraId="4B55CCB7">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《区域卫生信息平台交互标准》（WS/T 790）；</w:t>
      </w:r>
    </w:p>
    <w:p w14:paraId="1ADEC54B">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晋医保办函2024 19号关于进一步加快推动进销存和追溯码信息采集工作；</w:t>
      </w:r>
    </w:p>
    <w:p w14:paraId="39F1BC01">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国家传染病智能监测预警前置软件数据集成和 API 接口规范；</w:t>
      </w:r>
    </w:p>
    <w:p w14:paraId="55D954F3">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《国家卫生统计信息网络直报管理规定（试行）》卫办发〔2007〕267号；</w:t>
      </w:r>
    </w:p>
    <w:p w14:paraId="35DADD24">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《增值税发票管理系统数据接口规范》；</w:t>
      </w:r>
    </w:p>
    <w:p w14:paraId="2FA54CDF">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《检查检验结果互认共享数据接口规范》；</w:t>
      </w:r>
    </w:p>
    <w:p w14:paraId="53AED83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《医保电子凭证密码核验认证服务接入规范》；</w:t>
      </w:r>
    </w:p>
    <w:p w14:paraId="7B5BA52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《国家区域医疗中心（中医）信息平台 基本功能规范》（T/CIATCM 124-2025）；</w:t>
      </w:r>
    </w:p>
    <w:p w14:paraId="0B5C56F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《医疗保障信息平台 便民服务相关技术规范》（GB/T 45230-2025）；</w:t>
      </w:r>
    </w:p>
    <w:p w14:paraId="149D281E">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《数据中心设计规范》； </w:t>
      </w:r>
    </w:p>
    <w:p w14:paraId="4799E20C">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《计算机场地安全要求》； </w:t>
      </w:r>
    </w:p>
    <w:p w14:paraId="7AF0F49A">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《计算机软件文档编制规范》； </w:t>
      </w:r>
    </w:p>
    <w:p w14:paraId="3EA57FA3">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《信息技术软件工程术语》；</w:t>
      </w:r>
    </w:p>
    <w:p w14:paraId="0BFFAE15">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《计算机软件需求规格说明规范》； </w:t>
      </w:r>
    </w:p>
    <w:p w14:paraId="52CE3466">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《计算机软件测试文件编制规范》； </w:t>
      </w:r>
    </w:p>
    <w:p w14:paraId="35FD2010">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《计算机软件可靠性和可维护性管理》；</w:t>
      </w:r>
    </w:p>
    <w:p w14:paraId="6106F2CA">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《计算机软件测试规范》；</w:t>
      </w:r>
    </w:p>
    <w:p w14:paraId="4554F3AB">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《信息技术服务运行维护第1部分：通用要求》；</w:t>
      </w:r>
    </w:p>
    <w:p w14:paraId="6EC8FC74">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《信息技术服务运行维护第2部分：交付规范》； </w:t>
      </w:r>
    </w:p>
    <w:p w14:paraId="6324046E">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《信息技术服务运行维护第3部分：应急响应规范》； </w:t>
      </w:r>
    </w:p>
    <w:p w14:paraId="466FFCE0">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 xml:space="preserve">《信息技术服务运行维护第4部分：数据中心规范》； </w:t>
      </w:r>
    </w:p>
    <w:p w14:paraId="1DC2F9FF">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《信息安全技术 网络安全等级保护基本要求》；</w:t>
      </w:r>
    </w:p>
    <w:p w14:paraId="29A63600">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《信息安全技术 网络安全等级保护安全设计技术要求》；</w:t>
      </w:r>
    </w:p>
    <w:p w14:paraId="0C3BDBD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《信息安全技术 网络安全等级保护安全管理中心技术要求》；</w:t>
      </w:r>
    </w:p>
    <w:p w14:paraId="7E58AE3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《综合布线系统工程设计规范》；</w:t>
      </w:r>
    </w:p>
    <w:p w14:paraId="4D5A454B">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《综合布线系统工程验收规范》；</w:t>
      </w:r>
    </w:p>
    <w:p w14:paraId="0BA2AC5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《全国医院信息化建设标准与规范（试行）》</w:t>
      </w:r>
    </w:p>
    <w:p w14:paraId="34D232A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RESTful API设计规范或《Web服务描述语言》（WSDL）</w:t>
      </w:r>
    </w:p>
    <w:p w14:paraId="1BDB2E72">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具体对接标准及要求：</w:t>
      </w:r>
    </w:p>
    <w:p w14:paraId="4067C882">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注：以上服务及对接标准及规范在项目实施过程中需执行最新文件版本规定，以及国家、地方、行业的其他相关规定要求。</w:t>
      </w:r>
    </w:p>
    <w:p w14:paraId="7E67FD5C">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三、</w:t>
      </w:r>
      <w:r>
        <w:rPr>
          <w:rFonts w:hint="eastAsia" w:ascii="华文中宋" w:hAnsi="华文中宋" w:eastAsia="华文中宋" w:cs="华文中宋"/>
          <w:color w:val="auto"/>
          <w:highlight w:val="none"/>
        </w:rPr>
        <w:t>项目技术要求</w:t>
      </w:r>
    </w:p>
    <w:p w14:paraId="3B1531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投标人应按照技术要求中的序号顺序编制技术要求响应内容。</w:t>
      </w:r>
    </w:p>
    <w:p w14:paraId="7D9EB1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技术要求响应内容的作用：投标人所提供的技术要求响应内容是评标委员会及其成员评定投标标的物是否实质性响应招标文件技术要求以及综合比较与评价的依据。</w:t>
      </w:r>
    </w:p>
    <w:p w14:paraId="018F9A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技术要求响应内容的要求：</w:t>
      </w:r>
    </w:p>
    <w:p w14:paraId="5B6909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3.1.</w:t>
      </w:r>
      <w:r>
        <w:rPr>
          <w:rFonts w:hint="eastAsia" w:ascii="华文中宋" w:hAnsi="华文中宋" w:eastAsia="华文中宋" w:cs="华文中宋"/>
          <w:color w:val="auto"/>
          <w:highlight w:val="none"/>
        </w:rPr>
        <w:t>能够证明投标标的物满足招标文件技术要求的证明材料，证明材料包括但不限于投报标的物技术指标的官网链接/功能截图/产品彩页/技术说明文件/运行性能的描述文件等，客观证明材料无法完整体现相应技术要求的，允许投标人提供自述的技术指标、性能、功能描述文件进行佐证；其中标注‘★’的技术需求必须提供</w:t>
      </w:r>
      <w:r>
        <w:rPr>
          <w:rFonts w:hint="eastAsia" w:ascii="华文中宋" w:hAnsi="华文中宋" w:eastAsia="华文中宋" w:cs="华文中宋"/>
          <w:color w:val="auto"/>
          <w:highlight w:val="none"/>
          <w:lang w:val="en-US" w:eastAsia="zh-CN"/>
        </w:rPr>
        <w:t>检测报告或产品说明书或产品性能描述等</w:t>
      </w:r>
      <w:r>
        <w:rPr>
          <w:rFonts w:hint="eastAsia" w:ascii="华文中宋" w:hAnsi="华文中宋" w:eastAsia="华文中宋" w:cs="华文中宋"/>
          <w:color w:val="auto"/>
          <w:highlight w:val="none"/>
        </w:rPr>
        <w:t>证明材料；一般技术指标投标人</w:t>
      </w:r>
      <w:r>
        <w:rPr>
          <w:rFonts w:hint="eastAsia" w:ascii="华文中宋" w:hAnsi="华文中宋" w:cs="华文中宋"/>
          <w:color w:val="auto"/>
          <w:highlight w:val="none"/>
          <w:lang w:val="en-US" w:eastAsia="zh-CN"/>
        </w:rPr>
        <w:t>根据所投产品如实填写</w:t>
      </w:r>
      <w:r>
        <w:rPr>
          <w:rFonts w:hint="eastAsia" w:ascii="华文中宋" w:hAnsi="华文中宋" w:eastAsia="华文中宋" w:cs="华文中宋"/>
          <w:color w:val="auto"/>
          <w:highlight w:val="none"/>
        </w:rPr>
        <w:t>技术偏离表，并客观真实体现偏离情况</w:t>
      </w:r>
      <w:r>
        <w:rPr>
          <w:rFonts w:hint="eastAsia" w:ascii="华文中宋" w:hAnsi="华文中宋" w:cs="华文中宋"/>
          <w:color w:val="auto"/>
          <w:highlight w:val="none"/>
          <w:lang w:eastAsia="zh-CN"/>
        </w:rPr>
        <w:t>，</w:t>
      </w:r>
      <w:r>
        <w:rPr>
          <w:rFonts w:hint="eastAsia" w:ascii="华文中宋" w:hAnsi="华文中宋" w:eastAsia="华文中宋" w:cs="华文中宋"/>
          <w:color w:val="auto"/>
          <w:highlight w:val="none"/>
        </w:rPr>
        <w:t>投标人对</w:t>
      </w:r>
      <w:r>
        <w:rPr>
          <w:rFonts w:hint="eastAsia" w:ascii="华文中宋" w:hAnsi="华文中宋" w:cs="华文中宋"/>
          <w:color w:val="auto"/>
          <w:highlight w:val="none"/>
          <w:lang w:val="en-US" w:eastAsia="zh-CN"/>
        </w:rPr>
        <w:t>所填</w:t>
      </w:r>
      <w:r>
        <w:rPr>
          <w:rFonts w:hint="eastAsia" w:ascii="华文中宋" w:hAnsi="华文中宋" w:eastAsia="华文中宋" w:cs="华文中宋"/>
          <w:color w:val="auto"/>
          <w:highlight w:val="none"/>
        </w:rPr>
        <w:t>内容</w:t>
      </w:r>
      <w:r>
        <w:rPr>
          <w:rFonts w:hint="eastAsia" w:ascii="华文中宋" w:hAnsi="华文中宋" w:cs="华文中宋"/>
          <w:color w:val="auto"/>
          <w:highlight w:val="none"/>
          <w:lang w:val="en-US" w:eastAsia="zh-CN"/>
        </w:rPr>
        <w:t>和证明材料</w:t>
      </w:r>
      <w:r>
        <w:rPr>
          <w:rFonts w:hint="eastAsia" w:ascii="华文中宋" w:hAnsi="华文中宋" w:eastAsia="华文中宋" w:cs="华文中宋"/>
          <w:color w:val="auto"/>
          <w:highlight w:val="none"/>
        </w:rPr>
        <w:t>的真实性</w:t>
      </w:r>
      <w:r>
        <w:rPr>
          <w:rFonts w:hint="eastAsia" w:ascii="华文中宋" w:hAnsi="华文中宋" w:cs="华文中宋"/>
          <w:color w:val="auto"/>
          <w:highlight w:val="none"/>
          <w:lang w:val="en-US" w:eastAsia="zh-CN"/>
        </w:rPr>
        <w:t>负</w:t>
      </w:r>
      <w:r>
        <w:rPr>
          <w:rFonts w:hint="eastAsia" w:ascii="华文中宋" w:hAnsi="华文中宋" w:eastAsia="华文中宋" w:cs="华文中宋"/>
          <w:color w:val="auto"/>
          <w:highlight w:val="none"/>
        </w:rPr>
        <w:t>法律责任！</w:t>
      </w:r>
    </w:p>
    <w:p w14:paraId="7B14D3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投标人认为需要提供的其他技术响应内容。</w:t>
      </w:r>
    </w:p>
    <w:p w14:paraId="5DFA00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3.3.</w:t>
      </w:r>
      <w:r>
        <w:rPr>
          <w:rFonts w:hint="eastAsia" w:ascii="华文中宋" w:hAnsi="华文中宋" w:eastAsia="华文中宋" w:cs="华文中宋"/>
          <w:color w:val="auto"/>
          <w:highlight w:val="none"/>
        </w:rPr>
        <w:t>投标人如实提供的投标产品技术指标对应技术偏离表；</w:t>
      </w:r>
    </w:p>
    <w:p w14:paraId="52C702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标注“★”的为核心参数，不允许有负偏离；其余为一般性参数，招标人只接受有限的一般性参数的负偏离</w:t>
      </w:r>
      <w:r>
        <w:rPr>
          <w:rFonts w:hint="eastAsia" w:ascii="华文中宋" w:hAnsi="华文中宋" w:eastAsia="华文中宋" w:cs="华文中宋"/>
          <w:color w:val="auto"/>
          <w:highlight w:val="none"/>
          <w:lang w:eastAsia="zh"/>
          <w:woUserID w:val="1"/>
        </w:rPr>
        <w:t>，详见</w:t>
      </w:r>
      <w:r>
        <w:rPr>
          <w:rFonts w:hint="eastAsia" w:ascii="华文中宋" w:hAnsi="华文中宋" w:cs="华文中宋"/>
          <w:color w:val="auto"/>
          <w:highlight w:val="none"/>
          <w:lang w:val="en-US" w:eastAsia="zh-CN"/>
          <w:woUserID w:val="1"/>
        </w:rPr>
        <w:t>采购需求</w:t>
      </w:r>
      <w:r>
        <w:rPr>
          <w:rFonts w:hint="eastAsia" w:ascii="华文中宋" w:hAnsi="华文中宋" w:eastAsia="华文中宋" w:cs="华文中宋"/>
          <w:color w:val="auto"/>
          <w:highlight w:val="none"/>
        </w:rPr>
        <w:t>。</w:t>
      </w:r>
    </w:p>
    <w:p w14:paraId="708A4A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标的物名称中标注“※”的产品为核心产品</w:t>
      </w:r>
    </w:p>
    <w:p w14:paraId="59E4FB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3.4.</w:t>
      </w:r>
      <w:r>
        <w:rPr>
          <w:rFonts w:hint="eastAsia" w:ascii="华文中宋" w:hAnsi="华文中宋" w:eastAsia="华文中宋" w:cs="华文中宋"/>
          <w:color w:val="auto"/>
          <w:highlight w:val="none"/>
        </w:rPr>
        <w:t>技术规范及服务要求：</w:t>
      </w:r>
    </w:p>
    <w:p w14:paraId="65F51A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软件开发</w:t>
      </w:r>
      <w:r>
        <w:rPr>
          <w:rFonts w:hint="eastAsia" w:ascii="华文中宋" w:hAnsi="华文中宋" w:cs="华文中宋"/>
          <w:color w:val="auto"/>
          <w:highlight w:val="none"/>
          <w:lang w:val="en-US" w:eastAsia="zh-CN"/>
        </w:rPr>
        <w:t>需</w:t>
      </w:r>
      <w:r>
        <w:rPr>
          <w:rFonts w:hint="eastAsia" w:ascii="华文中宋" w:hAnsi="华文中宋" w:eastAsia="华文中宋" w:cs="华文中宋"/>
          <w:color w:val="auto"/>
          <w:highlight w:val="none"/>
        </w:rPr>
        <w:t>执行国际软件工程的标准（CMM、ISO），符合国际医疗软件的规范（HL7、SNOMED、ICD-9/10、IHE、XML），符合卫生部《信息系统基本功能规范》要求，符合卫生部《电子病历基本架构与数据标准》的要求。软件的数据字典应遵循国家数据字典标准规范。软件须遵从国家和地方政府的相关法规，满足医疗保险政策和医疗改革政策对的要求，满足相关建设要求，支持国产操作系统、国产数据库、国产终端、国产服务器等。</w:t>
      </w:r>
    </w:p>
    <w:p w14:paraId="74F7E7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所投内容要严格遵循电子病历系统应用水平评级标准进行建设；系统功能设计应满足国家卫生健康委员会电子病历系统功能应用水平分级评价四级及以上的要求，并为医院未来进行国家医疗健康信息互联互通标准化成熟度测评提供技术支持与协助。</w:t>
      </w:r>
    </w:p>
    <w:p w14:paraId="7F1EC9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满足国家卫生健康委员会、国家医疗保障局、国家药品监督管理局等国家行政部门所下发的法律、法规、通知文件等相关要求。</w:t>
      </w:r>
    </w:p>
    <w:p w14:paraId="2CD2A5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3.5.</w:t>
      </w:r>
      <w:r>
        <w:rPr>
          <w:rFonts w:hint="eastAsia" w:ascii="华文中宋" w:hAnsi="华文中宋" w:eastAsia="华文中宋" w:cs="华文中宋"/>
          <w:color w:val="auto"/>
          <w:highlight w:val="none"/>
        </w:rPr>
        <w:t>卫生信息化标准规范：</w:t>
      </w:r>
    </w:p>
    <w:p w14:paraId="0FB41C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国家传染病智能监测预警前置软件数据集成和 API 接口规范；</w:t>
      </w:r>
    </w:p>
    <w:p w14:paraId="4F6488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关于进一步规范食源性疾病疾病病例监测系统弹窗目录的通知、技术路线-接口说明文档；</w:t>
      </w:r>
    </w:p>
    <w:p w14:paraId="1FC8E6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《关于印发门（急）诊诊疗信息页质量管理规定（试行）的通知》国卫办医政发〔2024〕16号。</w:t>
      </w:r>
    </w:p>
    <w:p w14:paraId="53BCF5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《增值税发票管理系统数据接口规范》；</w:t>
      </w:r>
    </w:p>
    <w:p w14:paraId="57C7AE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《检查检验结果互认共享数据接口规范》；</w:t>
      </w:r>
    </w:p>
    <w:p w14:paraId="127C10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《医保电子凭证密码核验认证服务接入规范》；</w:t>
      </w:r>
    </w:p>
    <w:p w14:paraId="0FA39CF4">
      <w:pPr>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《其它服务标准规范》</w:t>
      </w:r>
    </w:p>
    <w:p w14:paraId="5A4679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3.6.</w:t>
      </w:r>
      <w:r>
        <w:rPr>
          <w:rFonts w:hint="eastAsia" w:ascii="华文中宋" w:hAnsi="华文中宋" w:eastAsia="华文中宋" w:cs="华文中宋"/>
          <w:color w:val="auto"/>
          <w:highlight w:val="none"/>
        </w:rPr>
        <w:t>国产化要求：</w:t>
      </w:r>
    </w:p>
    <w:p w14:paraId="6F93B6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投标人需提供《国产化软硬件适配方案与承诺函》，</w:t>
      </w:r>
      <w:r>
        <w:rPr>
          <w:rFonts w:hint="eastAsia" w:ascii="华文中宋" w:hAnsi="华文中宋" w:eastAsia="华文中宋" w:cs="华文中宋"/>
          <w:color w:val="auto"/>
          <w:highlight w:val="none"/>
          <w:lang w:val="en-US" w:eastAsia="zh-CN"/>
        </w:rPr>
        <w:t>适配产品需提供安全可靠测评目录内的产品</w:t>
      </w:r>
      <w:r>
        <w:rPr>
          <w:rFonts w:hint="eastAsia" w:ascii="华文中宋" w:hAnsi="华文中宋" w:eastAsia="华文中宋" w:cs="华文中宋"/>
          <w:color w:val="auto"/>
          <w:highlight w:val="none"/>
        </w:rPr>
        <w:t>，还需承诺在质保期内，免费完成与采购人指定的国产化基础软硬件环境的适配、迁移与优化工作。</w:t>
      </w:r>
    </w:p>
    <w:p w14:paraId="3640A0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3.7</w:t>
      </w:r>
      <w:r>
        <w:rPr>
          <w:rFonts w:hint="eastAsia" w:ascii="华文中宋" w:hAnsi="华文中宋" w:eastAsia="华文中宋" w:cs="华文中宋"/>
          <w:color w:val="auto"/>
          <w:highlight w:val="none"/>
        </w:rPr>
        <w:t>.投标软件产品应拥有自主知识产权，核心业务模块关键代码应为自主开发；对于使用的开源软件，应确保符合开源许可协议，不存在知识产权法律风险，并提供开源组件清单。</w:t>
      </w:r>
    </w:p>
    <w:p w14:paraId="6D24E7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3.8</w:t>
      </w:r>
      <w:r>
        <w:rPr>
          <w:rFonts w:hint="eastAsia" w:ascii="华文中宋" w:hAnsi="华文中宋" w:eastAsia="华文中宋" w:cs="华文中宋"/>
          <w:color w:val="auto"/>
          <w:highlight w:val="none"/>
        </w:rPr>
        <w:t>.系统需全面支持国产商用密码算法，实现数据传输、存储加密及身份认证；所有数据处理过程须在院内完成。</w:t>
      </w:r>
    </w:p>
    <w:p w14:paraId="5545FA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接口设计要求：</w:t>
      </w:r>
    </w:p>
    <w:p w14:paraId="4E8767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4.1.</w:t>
      </w:r>
      <w:r>
        <w:rPr>
          <w:rFonts w:hint="eastAsia" w:ascii="华文中宋" w:hAnsi="华文中宋" w:eastAsia="华文中宋" w:cs="华文中宋"/>
          <w:color w:val="auto"/>
          <w:highlight w:val="none"/>
        </w:rPr>
        <w:t>本项目在开发与实施过程中，应保障系统的可伸缩、可扩展性。保障系统的易管理性与安全性。打造便捷、高效、安全、稳定的系统应用，充分保障业务系统的应用安全、数据安全与合理的权限管理，在不违反医疗规范的前提下尽量使系统运行贴合先进业务流程，降低医护人员操作难度，需提供完善的接口对接文档。</w:t>
      </w:r>
    </w:p>
    <w:p w14:paraId="4DB4C3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4.2.</w:t>
      </w:r>
      <w:r>
        <w:rPr>
          <w:rFonts w:hint="eastAsia" w:ascii="华文中宋" w:hAnsi="华文中宋" w:eastAsia="华文中宋" w:cs="华文中宋"/>
          <w:color w:val="auto"/>
          <w:highlight w:val="none"/>
        </w:rPr>
        <w:t>接口规范：除已列出的接口外，所有系统间接口、对外提供或调用的API，其设计、开发、文档须遵循RESTful API设计规范或《Web服务描述语言》等相关标准，并提供完整的标准化文档。</w:t>
      </w:r>
    </w:p>
    <w:p w14:paraId="3F1882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4.3.</w:t>
      </w:r>
      <w:r>
        <w:rPr>
          <w:rFonts w:hint="eastAsia" w:ascii="华文中宋" w:hAnsi="华文中宋" w:eastAsia="华文中宋" w:cs="华文中宋"/>
          <w:color w:val="auto"/>
          <w:highlight w:val="none"/>
        </w:rPr>
        <w:t>接口管理平台：投标方案需包含建设或使用统一的API全生命周期管理平台，实现对API的创建、发布、订阅、流控、监控、审计和版本管理。</w:t>
      </w:r>
    </w:p>
    <w:p w14:paraId="4AE0F9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w:t>
      </w:r>
      <w:r>
        <w:rPr>
          <w:rFonts w:hint="eastAsia" w:ascii="华文中宋" w:hAnsi="华文中宋" w:eastAsia="华文中宋" w:cs="华文中宋"/>
          <w:color w:val="auto"/>
          <w:highlight w:val="none"/>
        </w:rPr>
        <w:t>医保接口专项要求：须遵循山西省医保局最新接口规范，并承诺在合同期内免费跟随规范版本升级而进行接口适应性改造。需具备完善的交易对账、差错处理机制。</w:t>
      </w:r>
    </w:p>
    <w:p w14:paraId="2F97E6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4.4.1</w:t>
      </w:r>
      <w:r>
        <w:rPr>
          <w:rFonts w:hint="eastAsia" w:ascii="华文中宋" w:hAnsi="华文中宋" w:eastAsia="华文中宋" w:cs="华文中宋"/>
          <w:color w:val="auto"/>
          <w:highlight w:val="none"/>
        </w:rPr>
        <w:t>接口拓展要求：</w:t>
      </w:r>
    </w:p>
    <w:p w14:paraId="446610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在系统设计</w:t>
      </w:r>
      <w:r>
        <w:rPr>
          <w:rFonts w:hint="eastAsia" w:ascii="华文中宋" w:hAnsi="华文中宋" w:eastAsia="华文中宋" w:cs="华文中宋"/>
          <w:color w:val="auto"/>
          <w:highlight w:val="none"/>
          <w:lang w:val="en-US" w:eastAsia="zh-CN"/>
        </w:rPr>
        <w:t>之初可充分</w:t>
      </w:r>
      <w:r>
        <w:rPr>
          <w:rFonts w:hint="eastAsia" w:ascii="华文中宋" w:hAnsi="华文中宋" w:eastAsia="华文中宋" w:cs="华文中宋"/>
          <w:color w:val="auto"/>
          <w:highlight w:val="none"/>
        </w:rPr>
        <w:t>考虑三方接口接入和对外提供业务接口的延展性和扩展性。（根据国家政策）</w:t>
      </w:r>
    </w:p>
    <w:p w14:paraId="5E4DEB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4.4.2.</w:t>
      </w:r>
      <w:r>
        <w:rPr>
          <w:rFonts w:hint="eastAsia" w:ascii="华文中宋" w:hAnsi="华文中宋" w:eastAsia="华文中宋" w:cs="华文中宋"/>
          <w:color w:val="auto"/>
          <w:highlight w:val="none"/>
        </w:rPr>
        <w:t>接口费用要求</w:t>
      </w:r>
    </w:p>
    <w:p w14:paraId="34E1FB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本次投标报价应包含本项目所需全部接口开发、对接、调试、测试及维护费用，包括但不限于：电子健康卡接口、传染病上报接口、药品</w:t>
      </w:r>
      <w:r>
        <w:rPr>
          <w:rFonts w:hint="eastAsia" w:ascii="华文中宋" w:hAnsi="华文中宋" w:eastAsia="华文中宋" w:cs="华文中宋"/>
          <w:color w:val="auto"/>
          <w:highlight w:val="none"/>
          <w:lang w:val="en-US" w:eastAsia="zh-CN"/>
        </w:rPr>
        <w:t>耗材</w:t>
      </w:r>
      <w:r>
        <w:rPr>
          <w:rFonts w:hint="eastAsia" w:ascii="华文中宋" w:hAnsi="华文中宋" w:eastAsia="华文中宋" w:cs="华文中宋"/>
          <w:color w:val="auto"/>
          <w:highlight w:val="none"/>
        </w:rPr>
        <w:t>追溯接口</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临床信息系统</w:t>
      </w:r>
      <w:r>
        <w:rPr>
          <w:rFonts w:hint="eastAsia" w:ascii="华文中宋" w:hAnsi="华文中宋" w:eastAsia="华文中宋" w:cs="华文中宋"/>
          <w:color w:val="auto"/>
          <w:highlight w:val="none"/>
          <w:lang w:val="en-US" w:eastAsia="zh-CN"/>
        </w:rPr>
        <w:t>等</w:t>
      </w:r>
      <w:r>
        <w:rPr>
          <w:rFonts w:hint="eastAsia" w:ascii="华文中宋" w:hAnsi="华文中宋" w:eastAsia="华文中宋" w:cs="华文中宋"/>
          <w:color w:val="auto"/>
          <w:highlight w:val="none"/>
        </w:rPr>
        <w:t>对接，接口数量根据医院实际情况增加并对这些接口进行管理。</w:t>
      </w:r>
    </w:p>
    <w:p w14:paraId="731A7B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接口对接标准及要求：对接标准在项目实施过程中需执行最新文件版本规定，以及国家、地方、行业的其他相关规定和标准要求。</w:t>
      </w:r>
    </w:p>
    <w:p w14:paraId="03444E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4.4.3.</w:t>
      </w:r>
      <w:r>
        <w:rPr>
          <w:rFonts w:hint="eastAsia" w:ascii="华文中宋" w:hAnsi="华文中宋" w:eastAsia="华文中宋" w:cs="华文中宋"/>
          <w:color w:val="auto"/>
          <w:highlight w:val="none"/>
        </w:rPr>
        <w:t>接口技术要求：</w:t>
      </w:r>
    </w:p>
    <w:p w14:paraId="1FA767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接口类型：政策类接口对接</w:t>
      </w:r>
    </w:p>
    <w:p w14:paraId="2F67E8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4.4.3.1.</w:t>
      </w:r>
      <w:r>
        <w:rPr>
          <w:rFonts w:hint="eastAsia" w:ascii="华文中宋" w:hAnsi="华文中宋" w:eastAsia="华文中宋" w:cs="华文中宋"/>
          <w:color w:val="auto"/>
          <w:highlight w:val="none"/>
        </w:rPr>
        <w:t>电子健康卡接口</w:t>
      </w:r>
    </w:p>
    <w:p w14:paraId="53BD4F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依据《山西省电子健康卡（一码通）创新应用平台项目（信息服务）接口服务规范》进行对接，对接内容包含、电子健康卡注册、健康卡查看、健康卡变更、健康卡注销、健康卡绑定银行卡或医保、健康卡解绑银行卡或医保等内容。</w:t>
      </w:r>
    </w:p>
    <w:p w14:paraId="7BAD4B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4.4.3.2.</w:t>
      </w:r>
      <w:r>
        <w:rPr>
          <w:rFonts w:hint="eastAsia" w:ascii="华文中宋" w:hAnsi="华文中宋" w:eastAsia="华文中宋" w:cs="华文中宋"/>
          <w:color w:val="auto"/>
          <w:highlight w:val="none"/>
        </w:rPr>
        <w:t>传染病上报接口</w:t>
      </w:r>
    </w:p>
    <w:p w14:paraId="6BFC90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依据《国家传染病智能监测预警前置软件数据集成和API接口规范》进行对接，对接内容包含：患者基本信息、诊疗活动信息、传染病报告卡、门（急）诊病历、门（急）诊留观记录、入院记录、住院首次病程记录、住院日常病程记录、住院病案首页、出院记录、检查报告、检验报告、医院信息系统用户信息、医院信息系统科室信息等内容。</w:t>
      </w:r>
    </w:p>
    <w:p w14:paraId="690CA6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4.4.3.3.</w:t>
      </w:r>
      <w:r>
        <w:rPr>
          <w:rFonts w:hint="eastAsia" w:ascii="华文中宋" w:hAnsi="华文中宋" w:eastAsia="华文中宋" w:cs="华文中宋"/>
          <w:color w:val="auto"/>
          <w:highlight w:val="none"/>
        </w:rPr>
        <w:t>药品</w:t>
      </w:r>
      <w:r>
        <w:rPr>
          <w:rFonts w:hint="eastAsia" w:ascii="华文中宋" w:hAnsi="华文中宋" w:eastAsia="华文中宋" w:cs="华文中宋"/>
          <w:color w:val="auto"/>
          <w:highlight w:val="none"/>
          <w:lang w:val="en-US" w:eastAsia="zh-CN"/>
        </w:rPr>
        <w:t>耗材</w:t>
      </w:r>
      <w:r>
        <w:rPr>
          <w:rFonts w:hint="eastAsia" w:ascii="华文中宋" w:hAnsi="华文中宋" w:eastAsia="华文中宋" w:cs="华文中宋"/>
          <w:color w:val="auto"/>
          <w:highlight w:val="none"/>
        </w:rPr>
        <w:t>追溯码接口</w:t>
      </w:r>
    </w:p>
    <w:p w14:paraId="7CF50A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依据《药品</w:t>
      </w:r>
      <w:r>
        <w:rPr>
          <w:rFonts w:hint="eastAsia" w:ascii="华文中宋" w:hAnsi="华文中宋" w:eastAsia="华文中宋" w:cs="华文中宋"/>
          <w:color w:val="auto"/>
          <w:highlight w:val="none"/>
          <w:lang w:val="en-US" w:eastAsia="zh-CN"/>
        </w:rPr>
        <w:t>耗材</w:t>
      </w:r>
      <w:r>
        <w:rPr>
          <w:rFonts w:hint="eastAsia" w:ascii="华文中宋" w:hAnsi="华文中宋" w:eastAsia="华文中宋" w:cs="华文中宋"/>
          <w:color w:val="auto"/>
          <w:highlight w:val="none"/>
        </w:rPr>
        <w:t>追溯码标识规范》进行对接，实现在审核入</w:t>
      </w:r>
      <w:r>
        <w:rPr>
          <w:rFonts w:hint="eastAsia" w:ascii="华文中宋" w:hAnsi="华文中宋" w:eastAsia="华文中宋" w:cs="华文中宋"/>
          <w:color w:val="auto"/>
          <w:highlight w:val="none"/>
          <w:lang w:val="en-US" w:eastAsia="zh-CN"/>
        </w:rPr>
        <w:t>出</w:t>
      </w:r>
      <w:r>
        <w:rPr>
          <w:rFonts w:hint="eastAsia" w:ascii="华文中宋" w:hAnsi="华文中宋" w:eastAsia="华文中宋" w:cs="华文中宋"/>
          <w:color w:val="auto"/>
          <w:highlight w:val="none"/>
        </w:rPr>
        <w:t>库单时，通过药品</w:t>
      </w:r>
      <w:r>
        <w:rPr>
          <w:rFonts w:hint="eastAsia" w:ascii="华文中宋" w:hAnsi="华文中宋" w:eastAsia="华文中宋" w:cs="华文中宋"/>
          <w:color w:val="auto"/>
          <w:highlight w:val="none"/>
          <w:lang w:val="en-US" w:eastAsia="zh-CN"/>
        </w:rPr>
        <w:t>耗材</w:t>
      </w:r>
      <w:r>
        <w:rPr>
          <w:rFonts w:hint="eastAsia" w:ascii="华文中宋" w:hAnsi="华文中宋" w:eastAsia="华文中宋" w:cs="华文中宋"/>
          <w:color w:val="auto"/>
          <w:highlight w:val="none"/>
        </w:rPr>
        <w:t>追溯码接口获取追溯码信息，并绑定入</w:t>
      </w:r>
      <w:r>
        <w:rPr>
          <w:rFonts w:hint="eastAsia" w:ascii="华文中宋" w:hAnsi="华文中宋" w:eastAsia="华文中宋" w:cs="华文中宋"/>
          <w:color w:val="auto"/>
          <w:highlight w:val="none"/>
          <w:lang w:val="en-US" w:eastAsia="zh-CN"/>
        </w:rPr>
        <w:t>出</w:t>
      </w:r>
      <w:r>
        <w:rPr>
          <w:rFonts w:hint="eastAsia" w:ascii="华文中宋" w:hAnsi="华文中宋" w:eastAsia="华文中宋" w:cs="华文中宋"/>
          <w:color w:val="auto"/>
          <w:highlight w:val="none"/>
        </w:rPr>
        <w:t>库明细，并保存到入</w:t>
      </w:r>
      <w:r>
        <w:rPr>
          <w:rFonts w:hint="eastAsia" w:ascii="华文中宋" w:hAnsi="华文中宋" w:eastAsia="华文中宋" w:cs="华文中宋"/>
          <w:color w:val="auto"/>
          <w:highlight w:val="none"/>
          <w:lang w:val="en-US" w:eastAsia="zh-CN"/>
        </w:rPr>
        <w:t>出</w:t>
      </w:r>
      <w:r>
        <w:rPr>
          <w:rFonts w:hint="eastAsia" w:ascii="华文中宋" w:hAnsi="华文中宋" w:eastAsia="华文中宋" w:cs="华文中宋"/>
          <w:color w:val="auto"/>
          <w:highlight w:val="none"/>
        </w:rPr>
        <w:t>库中。</w:t>
      </w:r>
    </w:p>
    <w:p w14:paraId="693669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4.4.3.4.</w:t>
      </w:r>
      <w:r>
        <w:rPr>
          <w:rFonts w:hint="eastAsia" w:ascii="华文中宋" w:hAnsi="华文中宋" w:eastAsia="华文中宋" w:cs="华文中宋"/>
          <w:color w:val="auto"/>
          <w:highlight w:val="none"/>
        </w:rPr>
        <w:t>临床信息系统对接：</w:t>
      </w:r>
    </w:p>
    <w:p w14:paraId="1B68CC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（1）医保接口：</w:t>
      </w:r>
    </w:p>
    <w:p w14:paraId="2FB4A9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技术合规性：依据《山西省医疗保障信息平台定点接口规范_v1.3.37》及后续更新版本，确保在数据格式、加密算法、签名验签、报文头定义上完全一致。</w:t>
      </w:r>
    </w:p>
    <w:p w14:paraId="5B6CFA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高可用与容错：接口具备重试机制、事务一致性保障和对账能力。当医保平台短暂故障时，院内业务应能降级运行，并在恢复后自动完成数据补传与对账。</w:t>
      </w:r>
    </w:p>
    <w:p w14:paraId="48FE62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全流程覆盖：接口群需覆盖挂号、门诊收费、住院登记与结算、移动支付、电子处方流转、医保电子凭证、药品耗材溯源、事前事中审核等所有医保交互场景。</w:t>
      </w:r>
    </w:p>
    <w:p w14:paraId="7220BA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（2）公共卫生上报接口：</w:t>
      </w:r>
    </w:p>
    <w:p w14:paraId="4E5F25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数据自动采集：实现从业务系统（HIS, EMR, LIS, PACS）自动、实时采集上报所需数据，最大限度减少手工填报。</w:t>
      </w:r>
    </w:p>
    <w:p w14:paraId="7917D3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标准符合性：依据《国家传染病智能监测预警前置软件数据集成和API接口规范》等国家级规范，确保数据元、代码表与值域映射完全正确。</w:t>
      </w:r>
    </w:p>
    <w:p w14:paraId="029D29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状态可追溯：提供上报任务的状态查询接口（包括已上报、上报成功、上报失败及失败原因），便于管理人员追踪和干预。</w:t>
      </w:r>
    </w:p>
    <w:p w14:paraId="209FB1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4.4.4.</w:t>
      </w:r>
      <w:r>
        <w:rPr>
          <w:rFonts w:hint="eastAsia" w:ascii="华文中宋" w:hAnsi="华文中宋" w:eastAsia="华文中宋" w:cs="华文中宋"/>
          <w:color w:val="auto"/>
          <w:highlight w:val="none"/>
        </w:rPr>
        <w:t>接口安全与性能要求：</w:t>
      </w:r>
    </w:p>
    <w:p w14:paraId="63CBA0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（1）安全要求：</w:t>
      </w:r>
    </w:p>
    <w:p w14:paraId="6B47F2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身份认证与授权：支持接口使用非对称密钥方式进行加解密认证。内部接口也需有严格的基于角色的访问控制。</w:t>
      </w:r>
    </w:p>
    <w:p w14:paraId="21552A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数据传输与存储加密：所有涉及敏感信息（患者隐私、诊疗数据）的接口，支持https传输加密及以上协议进行传输层加密。</w:t>
      </w:r>
    </w:p>
    <w:p w14:paraId="0129D5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防篡改与抗重放：关键业务接口（包括医保结算、处方开具等）应支持数字签名和时间戳，防止数据在传输过程中被篡改或重放攻击。</w:t>
      </w:r>
    </w:p>
    <w:p w14:paraId="09678F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安全审计：所有接口调用必须记录详尽的审计日志，包括调用方、时间、接口名、请求参数（脱敏后）、响应结果、耗时等，日志保存时间不少于6个月，以满足网络安全等级保护（三级）测评、审计要求。</w:t>
      </w:r>
    </w:p>
    <w:p w14:paraId="784243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（2）性能与可靠性要求：</w:t>
      </w:r>
    </w:p>
    <w:p w14:paraId="66A472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性能指标：接口平均响应时间应</w:t>
      </w:r>
      <w:r>
        <w:rPr>
          <w:rFonts w:hint="eastAsia" w:ascii="华文中宋" w:hAnsi="华文中宋" w:eastAsia="华文中宋" w:cs="华文中宋"/>
          <w:b/>
          <w:bCs/>
          <w:color w:val="auto"/>
          <w:highlight w:val="none"/>
        </w:rPr>
        <w:t>≤</w:t>
      </w:r>
      <w:r>
        <w:rPr>
          <w:rFonts w:hint="eastAsia" w:ascii="华文中宋" w:hAnsi="华文中宋" w:eastAsia="华文中宋" w:cs="华文中宋"/>
          <w:color w:val="auto"/>
          <w:highlight w:val="none"/>
        </w:rPr>
        <w:t>500毫秒，在并发用户≥200的场景下，核心业务接口成功率应≥99%。</w:t>
      </w:r>
    </w:p>
    <w:p w14:paraId="52FC6B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服务保障：接口服务应具备负载均衡和熔断机制。当被调用方服务不稳定或不可用时，能快速失败并给出友好提示，避免对主业务流程造成阻塞。</w:t>
      </w:r>
    </w:p>
    <w:p w14:paraId="6C89CC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幂等性设计：对于创建、支付、状态更新等关键接口，必须支持幂等性，即同一请求被重复发送时，系统能正确处理，不会产生重复数据或重复业务操作。</w:t>
      </w:r>
    </w:p>
    <w:p w14:paraId="34CCEF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接口文档与交付物要求：</w:t>
      </w:r>
    </w:p>
    <w:p w14:paraId="187E3E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（1）交付文档：投标人/中标人需提供完整、可执行的接口相关文档，包括：</w:t>
      </w:r>
    </w:p>
    <w:p w14:paraId="3A4A69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《接口总体设计方案》</w:t>
      </w:r>
    </w:p>
    <w:p w14:paraId="1F656E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《API接口详细设计说明书》（含所有接口的请求/响应示例）</w:t>
      </w:r>
    </w:p>
    <w:p w14:paraId="73740A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《接口安全设计说明书》</w:t>
      </w:r>
    </w:p>
    <w:p w14:paraId="49590E4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《接口测试报告》（包括功能、性能、安全、稳定性测试）</w:t>
      </w:r>
    </w:p>
    <w:p w14:paraId="0FE7FB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《系统集成与联调方案》</w:t>
      </w:r>
    </w:p>
    <w:p w14:paraId="7A925D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（2）投标人需提供接口开发文档和数据文档。</w:t>
      </w:r>
    </w:p>
    <w:p w14:paraId="7F669E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4.4.5.</w:t>
      </w:r>
      <w:r>
        <w:rPr>
          <w:rFonts w:hint="eastAsia" w:ascii="华文中宋" w:hAnsi="华文中宋" w:eastAsia="华文中宋" w:cs="华文中宋"/>
          <w:color w:val="auto"/>
          <w:highlight w:val="none"/>
        </w:rPr>
        <w:t>软件开发及医疗信息标准化与互操作性要求：</w:t>
      </w:r>
    </w:p>
    <w:p w14:paraId="6C251F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（1）开发过程规范：软件开发全过程（需求、设计、编码、测试、部署、运维）应遵循《信息技术 软件工程 软件开发成本度量规范》（GB/T 36964）、《系统与软件工程软件生存周期过程》（GB/T 8566）等国家标准。需求分析、设计、测试等文档编制应符合《计算机软件文档编制规范》（GB/T 8567）系列标准。</w:t>
      </w:r>
    </w:p>
    <w:p w14:paraId="5E5D51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（2）代码质量与安全：应采用代码审计、安全编码规范，确保代码质量。源代码须进行安全漏洞扫描，并提供扫描报告。鼓励使用国密算法进行数据加密处理。</w:t>
      </w:r>
    </w:p>
    <w:p w14:paraId="0EA93B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核心标准：术语标准：诊断、手术操作等</w:t>
      </w:r>
      <w:r>
        <w:rPr>
          <w:rFonts w:hint="eastAsia" w:ascii="华文中宋" w:hAnsi="华文中宋" w:eastAsia="华文中宋" w:cs="华文中宋"/>
          <w:color w:val="auto"/>
          <w:highlight w:val="none"/>
          <w:lang w:val="en-US" w:eastAsia="zh-CN"/>
        </w:rPr>
        <w:t>需</w:t>
      </w:r>
      <w:r>
        <w:rPr>
          <w:rFonts w:hint="eastAsia" w:ascii="华文中宋" w:hAnsi="华文中宋" w:eastAsia="华文中宋" w:cs="华文中宋"/>
          <w:color w:val="auto"/>
          <w:highlight w:val="none"/>
        </w:rPr>
        <w:t>使用国家标准，《疾病分类与代码》（GB/T 14396）（对应ICD-10）、《中医病证分类与代码》（GB/T 15657）、《手术操作分类代码》（GB/T 21374）（对应ICD-9-CM-3）。</w:t>
      </w:r>
    </w:p>
    <w:p w14:paraId="782280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数据元与值域：遵循《卫生健康信息数据元目录》（WS 363）和《卫生健康信息数据元值域代码》（WS 364）系列标准。</w:t>
      </w:r>
    </w:p>
    <w:p w14:paraId="711FB6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电子病历与共享文档：系统产生的病历文书结构应符合 《电子病历基本数据集》（WS 445）系列标准，并能生成符合 《电子病历共享文档规范》（WS/T 500）系列的标准化共享文档。</w:t>
      </w:r>
    </w:p>
    <w:p w14:paraId="7AEBBB3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交互服务：基于医院信息平台的交互服务应遵循《医院信息平台交互标准》（WS/T 846），接口设计宜采用 HL7 FHIR等国际主流新标准，以提升互操作性和扩展性。</w:t>
      </w:r>
    </w:p>
    <w:p w14:paraId="627E18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评级支持：系统功能设计需满足并支撑医院达到《电子病历系统应用水平分级评价》四级及以上要求。投标人需针对评级标准中的关键项目（包括医嘱闭环、检查闭环、治疗闭环等）给出具体的功能实现方案和数据整合方案。</w:t>
      </w:r>
    </w:p>
    <w:p w14:paraId="2B63DB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本项目为新建医院的整体信息化建设，中标供应商需承担系统总集成责任。</w:t>
      </w:r>
    </w:p>
    <w:p w14:paraId="2D9387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供应商需承诺其产品支持主流标准协议（包括HL7、FHIR、DICOM、Web Service等），并具备根据项目实际情况进行定制化接口开发的能力。</w:t>
      </w:r>
    </w:p>
    <w:p w14:paraId="2EB413A8">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需接入</w:t>
      </w:r>
      <w:r>
        <w:rPr>
          <w:rFonts w:hint="eastAsia" w:ascii="华文中宋" w:hAnsi="华文中宋" w:eastAsia="华文中宋" w:cs="华文中宋"/>
          <w:color w:val="auto"/>
          <w:highlight w:val="none"/>
          <w:lang w:val="en-US" w:eastAsia="zh-CN"/>
        </w:rPr>
        <w:t>招标范围以外的接口要求</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lang w:val="en-US" w:eastAsia="zh-CN"/>
        </w:rPr>
        <w:t>由招标人</w:t>
      </w:r>
      <w:r>
        <w:rPr>
          <w:rFonts w:hint="eastAsia" w:ascii="华文中宋" w:hAnsi="华文中宋" w:eastAsia="华文中宋" w:cs="华文中宋"/>
          <w:color w:val="auto"/>
          <w:highlight w:val="none"/>
        </w:rPr>
        <w:t>提供</w:t>
      </w:r>
      <w:r>
        <w:rPr>
          <w:rFonts w:hint="eastAsia" w:ascii="华文中宋" w:hAnsi="华文中宋" w:eastAsia="华文中宋" w:cs="华文中宋"/>
          <w:color w:val="auto"/>
          <w:highlight w:val="none"/>
          <w:lang w:val="en-US" w:eastAsia="zh-CN"/>
        </w:rPr>
        <w:t>相关对接</w:t>
      </w:r>
      <w:r>
        <w:rPr>
          <w:rFonts w:hint="eastAsia" w:ascii="华文中宋" w:hAnsi="华文中宋" w:cs="华文中宋"/>
          <w:color w:val="auto"/>
          <w:highlight w:val="none"/>
          <w:lang w:val="en-US" w:eastAsia="zh-CN"/>
        </w:rPr>
        <w:t>信息</w:t>
      </w:r>
      <w:r>
        <w:rPr>
          <w:rFonts w:hint="eastAsia" w:ascii="华文中宋" w:hAnsi="华文中宋" w:eastAsia="华文中宋" w:cs="华文中宋"/>
          <w:color w:val="auto"/>
          <w:highlight w:val="none"/>
        </w:rPr>
        <w:t>，由此产生的相关费用</w:t>
      </w:r>
      <w:r>
        <w:rPr>
          <w:rFonts w:hint="eastAsia" w:ascii="华文中宋" w:hAnsi="华文中宋" w:eastAsia="华文中宋" w:cs="华文中宋"/>
          <w:color w:val="auto"/>
          <w:highlight w:val="none"/>
          <w:lang w:val="en-US" w:eastAsia="zh-CN"/>
        </w:rPr>
        <w:t>由招标人承担。</w:t>
      </w:r>
    </w:p>
    <w:p w14:paraId="243F63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5、</w:t>
      </w:r>
      <w:r>
        <w:rPr>
          <w:rFonts w:hint="eastAsia" w:ascii="华文中宋" w:hAnsi="华文中宋" w:eastAsia="华文中宋" w:cs="华文中宋"/>
          <w:color w:val="auto"/>
          <w:highlight w:val="none"/>
        </w:rPr>
        <w:t>项目实施过程中所需的主要辅材（若有的话，投标人按品牌、型号、产地、单价、数量。自行列表响应）；</w:t>
      </w:r>
    </w:p>
    <w:p w14:paraId="6A930C5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6、系统集成与部署要求：</w:t>
      </w:r>
    </w:p>
    <w:p w14:paraId="42062246">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（1）应结合医院数据中心建设情况，统筹规划资源、存储、网络以及数据库负载等，充分体现资源分级保障能力与后续扩展适应性。</w:t>
      </w:r>
    </w:p>
    <w:p w14:paraId="7205D2BA">
      <w:pPr>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（2）硬件平台应兼容主流操作系统（Windows、Linux、UNIX、国产信创系统）、数据库（SQL、Oracle、国产数据库）及中间件运行环境。</w:t>
      </w:r>
    </w:p>
    <w:p w14:paraId="3ECEC70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（3）投标人提供具体的技术实现路径、架构图或配置说明、以及与采购需求的映射关系。</w:t>
      </w:r>
    </w:p>
    <w:p w14:paraId="225B257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4）投标人提供业务集成，安全集成服务。投标人应具备较好的信息系统建设和服务能力，确保系统功能完备、技术达标、运行稳定，能够支撑起医院所需的各项指标。中标人承诺在项目实施时按采购人要求进行项目全过程文档(包括但不限于：需求分析、微服务架构设计、概要设计、详细设计、部署拓扑图、接口开发、信息资源设计、建设实施方案、验收报告、部署与运维手册)的编制。</w:t>
      </w:r>
    </w:p>
    <w:p w14:paraId="2164C1C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7、网络及安全要求：</w:t>
      </w:r>
    </w:p>
    <w:p w14:paraId="32086EB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本项目网络架构、系统建设、安全策略及运行管理应符合《中华人民共和国网络安全法》《数据安全法》《个人信息保护法》以及《信息安全技术 网络安全等级保护基本要求》（GB/T 22239-2019）第三级（等保三级2.0）的相关技术和管理要求。</w:t>
      </w:r>
    </w:p>
    <w:p w14:paraId="755091BC">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安全建设应覆盖网络基础设施、计算与存储平台、应用系统、数据资源及运维管理全过程，在保障系统安全可控的前提下，支持医院信息资源的合理共享与业务协同。</w:t>
      </w:r>
    </w:p>
    <w:p w14:paraId="44DBE60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8、验收要求：</w:t>
      </w:r>
    </w:p>
    <w:p w14:paraId="70D6CAD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中标人按照规定的时间完成开发工作并向采购人交付开发成果，其中技术文档包括但不限于：项目设计方案、培训方案、实施计划、部署手册、培训计划、安装调试手册、安装调试记录、需求分析、详细设计等。</w:t>
      </w:r>
    </w:p>
    <w:p w14:paraId="2D01AA0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根据招标文件、中标供应商的投标文件等进行验收，验收标准符合国家、地方及医疗行业有关标准规定基础上需满足以下验收要求：</w:t>
      </w:r>
    </w:p>
    <w:p w14:paraId="03CFC26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功能性验收要求：</w:t>
      </w:r>
    </w:p>
    <w:p w14:paraId="21F9916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1）用户需求验证：通过与用户的沟通和需求分析，确认软件是否满足用户的功能需求。</w:t>
      </w:r>
    </w:p>
    <w:p w14:paraId="09C90FE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 ）功能完整性：确保本项目软件的所有系统功能模块都已经开发完成，并且能够正常运行。</w:t>
      </w:r>
    </w:p>
    <w:p w14:paraId="5AD0A37B">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 ）功能正确性：验证软件的功能是否按照招标设计要求实现，并且能够正确地处理各种输入和操作。</w:t>
      </w:r>
    </w:p>
    <w:p w14:paraId="3051647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性能验收要求：</w:t>
      </w:r>
    </w:p>
    <w:p w14:paraId="2DB68E84">
      <w:pPr>
        <w:rPr>
          <w:rFonts w:hint="eastAsia"/>
          <w:color w:val="auto"/>
          <w:highlight w:val="none"/>
          <w:lang w:val="en-US" w:eastAsia="zh-CN"/>
        </w:rPr>
      </w:pPr>
      <w:r>
        <w:rPr>
          <w:rFonts w:hint="eastAsia"/>
          <w:color w:val="auto"/>
          <w:highlight w:val="none"/>
          <w:lang w:val="en-US" w:eastAsia="zh-CN"/>
        </w:rPr>
        <w:t>1）响应时间：测试系统软件在业务负载条件下的响应时间，保证用户在使用过程中能够获得良好的体验。</w:t>
      </w:r>
    </w:p>
    <w:p w14:paraId="4C8AEAAB">
      <w:pPr>
        <w:rPr>
          <w:rFonts w:hint="default"/>
          <w:color w:val="auto"/>
          <w:highlight w:val="none"/>
          <w:lang w:val="en-US" w:eastAsia="zh-CN"/>
        </w:rPr>
      </w:pPr>
      <w:r>
        <w:rPr>
          <w:rFonts w:hint="default"/>
          <w:color w:val="auto"/>
          <w:highlight w:val="none"/>
          <w:lang w:val="en-US" w:eastAsia="zh-CN"/>
        </w:rPr>
        <w:t>业务指标</w:t>
      </w:r>
      <w:r>
        <w:rPr>
          <w:rFonts w:hint="eastAsia"/>
          <w:color w:val="auto"/>
          <w:highlight w:val="none"/>
          <w:lang w:val="en-US" w:eastAsia="zh-CN"/>
        </w:rPr>
        <w:t>：</w:t>
      </w:r>
      <w:r>
        <w:rPr>
          <w:rFonts w:hint="default"/>
          <w:color w:val="auto"/>
          <w:highlight w:val="none"/>
          <w:lang w:val="en-US" w:eastAsia="zh-CN"/>
        </w:rPr>
        <w:t>门诊挂号、收费、药房发药、住院登记等简单事务处理的平均响应时间应≤1.5秒，95%的请求响应时间应≤3秒。</w:t>
      </w:r>
    </w:p>
    <w:p w14:paraId="226A502F">
      <w:pPr>
        <w:rPr>
          <w:rFonts w:hint="default"/>
          <w:color w:val="auto"/>
          <w:highlight w:val="none"/>
          <w:lang w:val="en-US" w:eastAsia="zh-CN"/>
        </w:rPr>
      </w:pPr>
      <w:r>
        <w:rPr>
          <w:rFonts w:hint="default"/>
          <w:color w:val="auto"/>
          <w:highlight w:val="none"/>
          <w:lang w:val="en-US" w:eastAsia="zh-CN"/>
        </w:rPr>
        <w:t>查询业务</w:t>
      </w:r>
      <w:r>
        <w:rPr>
          <w:rFonts w:hint="eastAsia"/>
          <w:color w:val="auto"/>
          <w:highlight w:val="none"/>
          <w:lang w:val="en-US" w:eastAsia="zh-CN"/>
        </w:rPr>
        <w:t>：</w:t>
      </w:r>
      <w:r>
        <w:rPr>
          <w:rFonts w:hint="default"/>
          <w:color w:val="auto"/>
          <w:highlight w:val="none"/>
          <w:lang w:val="en-US" w:eastAsia="zh-CN"/>
        </w:rPr>
        <w:t>病案统计、财务月结、院长查询等复杂查询的平均响应时间应≤5秒。</w:t>
      </w:r>
    </w:p>
    <w:p w14:paraId="42379968">
      <w:pPr>
        <w:rPr>
          <w:rFonts w:hint="eastAsia"/>
          <w:color w:val="auto"/>
          <w:highlight w:val="none"/>
          <w:lang w:val="en-US" w:eastAsia="zh-CN"/>
        </w:rPr>
      </w:pPr>
      <w:r>
        <w:rPr>
          <w:rFonts w:hint="default"/>
          <w:color w:val="auto"/>
          <w:highlight w:val="none"/>
          <w:lang w:val="en-US" w:eastAsia="zh-CN"/>
        </w:rPr>
        <w:t>影像业务</w:t>
      </w:r>
      <w:r>
        <w:rPr>
          <w:rFonts w:hint="eastAsia"/>
          <w:color w:val="auto"/>
          <w:highlight w:val="none"/>
          <w:lang w:val="en-US" w:eastAsia="zh-CN"/>
        </w:rPr>
        <w:t>：</w:t>
      </w:r>
      <w:r>
        <w:rPr>
          <w:rFonts w:hint="default"/>
          <w:color w:val="auto"/>
          <w:highlight w:val="none"/>
          <w:lang w:val="en-US" w:eastAsia="zh-CN"/>
        </w:rPr>
        <w:t>影像调阅的首次屏幕显示时间≤3秒。</w:t>
      </w:r>
    </w:p>
    <w:p w14:paraId="641B9651">
      <w:pPr>
        <w:rPr>
          <w:rFonts w:hint="eastAsia"/>
          <w:color w:val="auto"/>
          <w:highlight w:val="none"/>
          <w:lang w:val="en-US" w:eastAsia="zh-CN"/>
        </w:rPr>
      </w:pPr>
      <w:r>
        <w:rPr>
          <w:rFonts w:hint="eastAsia"/>
          <w:color w:val="auto"/>
          <w:highlight w:val="none"/>
          <w:lang w:val="en-US" w:eastAsia="zh-CN"/>
        </w:rPr>
        <w:t>2）并发处理能力：测试系统软件在多用户同时访问时的性能表现，确保系统能够按招标文件要求处理并发请求。</w:t>
      </w:r>
    </w:p>
    <w:p w14:paraId="6BA9E3B9">
      <w:pPr>
        <w:rPr>
          <w:rFonts w:hint="eastAsia"/>
          <w:color w:val="auto"/>
          <w:highlight w:val="none"/>
          <w:lang w:val="en-US" w:eastAsia="zh-CN"/>
        </w:rPr>
      </w:pPr>
      <w:r>
        <w:rPr>
          <w:rFonts w:hint="eastAsia"/>
          <w:color w:val="auto"/>
          <w:highlight w:val="none"/>
          <w:lang w:val="en-US" w:eastAsia="zh-CN"/>
        </w:rPr>
        <w:t>满足医院使用过程中多用户≥500个，同一个模块或子系统时不存在死锁或者对数据库进行增、删、查、改操作的响应时间不超过3秒；</w:t>
      </w:r>
    </w:p>
    <w:p w14:paraId="7F60D50F">
      <w:pPr>
        <w:rPr>
          <w:rFonts w:hint="eastAsia"/>
          <w:color w:val="auto"/>
          <w:highlight w:val="none"/>
          <w:lang w:val="en-US" w:eastAsia="zh-CN"/>
        </w:rPr>
      </w:pPr>
      <w:r>
        <w:rPr>
          <w:rFonts w:hint="eastAsia"/>
          <w:color w:val="auto"/>
          <w:highlight w:val="none"/>
          <w:lang w:val="en-US" w:eastAsia="zh-CN"/>
        </w:rPr>
        <w:t>3）稳定性和可靠性：测试系统软件在长时间运行和各种异常情况下的稳定性和可靠性，确保系统不会出现崩溃或数据丢失等问题。</w:t>
      </w:r>
    </w:p>
    <w:p w14:paraId="20EFBDED">
      <w:pPr>
        <w:rPr>
          <w:rFonts w:hint="eastAsia"/>
          <w:color w:val="auto"/>
          <w:highlight w:val="none"/>
          <w:lang w:val="en-US" w:eastAsia="zh-CN"/>
        </w:rPr>
      </w:pPr>
      <w:r>
        <w:rPr>
          <w:rFonts w:hint="eastAsia"/>
          <w:color w:val="auto"/>
          <w:highlight w:val="none"/>
          <w:lang w:val="en-US" w:eastAsia="zh-CN"/>
        </w:rPr>
        <w:t>系统具有7×24小时不间断运行特性，保证在达到峰值或平台故障时，可以通过调整、调节和方便的扩展、数据的恢复等手段使系统平稳运行。</w:t>
      </w:r>
    </w:p>
    <w:p w14:paraId="03A37B7E">
      <w:pPr>
        <w:rPr>
          <w:rFonts w:hint="eastAsia" w:ascii="华文中宋" w:hAnsi="华文中宋" w:eastAsia="华文中宋" w:cs="华文中宋"/>
          <w:color w:val="auto"/>
          <w:highlight w:val="none"/>
          <w:lang w:val="en-US" w:eastAsia="zh-CN"/>
        </w:rPr>
      </w:pPr>
      <w:r>
        <w:rPr>
          <w:rFonts w:hint="eastAsia"/>
          <w:color w:val="auto"/>
          <w:highlight w:val="none"/>
          <w:lang w:val="en-US" w:eastAsia="zh-CN"/>
        </w:rPr>
        <w:t>核心业务页面加载时间</w:t>
      </w:r>
      <w:r>
        <w:rPr>
          <w:rFonts w:hint="default"/>
          <w:color w:val="auto"/>
          <w:highlight w:val="none"/>
          <w:lang w:val="en-US" w:eastAsia="zh-CN"/>
        </w:rPr>
        <w:t>≤</w:t>
      </w:r>
      <w:r>
        <w:rPr>
          <w:rFonts w:hint="eastAsia"/>
          <w:color w:val="auto"/>
          <w:highlight w:val="none"/>
          <w:lang w:val="en-US" w:eastAsia="zh-CN"/>
        </w:rPr>
        <w:t>2秒，关键事务成功率≥99%，系统可用性≥99%，数据同步延时</w:t>
      </w:r>
      <w:r>
        <w:rPr>
          <w:rFonts w:hint="default"/>
          <w:color w:val="auto"/>
          <w:highlight w:val="none"/>
          <w:lang w:val="en-US" w:eastAsia="zh-CN"/>
        </w:rPr>
        <w:t>≤</w:t>
      </w:r>
      <w:r>
        <w:rPr>
          <w:rFonts w:hint="eastAsia"/>
          <w:color w:val="auto"/>
          <w:highlight w:val="none"/>
          <w:lang w:val="en-US" w:eastAsia="zh-CN"/>
        </w:rPr>
        <w:t>5分钟等。</w:t>
      </w:r>
    </w:p>
    <w:p w14:paraId="1639182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安全性验收要求：</w:t>
      </w:r>
    </w:p>
    <w:p w14:paraId="14092C0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1）数据保护：验证软件对用户数据的保护能力，保证用户的数据不会被非法获取或篡改。</w:t>
      </w:r>
    </w:p>
    <w:p w14:paraId="66BCA4B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2）权限控制：测试软件的权限管理功能，只有授权用户能够访问和操作相应的功能。</w:t>
      </w:r>
    </w:p>
    <w:p w14:paraId="59262949">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3）安全漏洞检测：对软件进行安全漏洞扫描和测试，保证软件没有的安全漏洞。</w:t>
      </w:r>
    </w:p>
    <w:p w14:paraId="3FD4DF1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可维护性验收要求：</w:t>
      </w:r>
    </w:p>
    <w:p w14:paraId="0FE18EE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1）可读性和可理解性：评估软件的代码质量，保证开发代码易读、易理解，及后续维护和升级。</w:t>
      </w:r>
    </w:p>
    <w:p w14:paraId="3CCF9F0B">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2）可测试性：评估软件的可测试性，保证系统软件的各个模块都能够进行单元测试和集成测试。</w:t>
      </w:r>
    </w:p>
    <w:p w14:paraId="1FB38900">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3）可扩展性：评估软件的可扩展性，保证系统软件能够方便地进行功能扩展和模块替换。</w:t>
      </w:r>
    </w:p>
    <w:p w14:paraId="34D82A1B">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4）错误处理和日志记录：系统软件保证妥善处理各种异常情况，并记录详细的日志信息以便于问题追踪和排查。</w:t>
      </w:r>
    </w:p>
    <w:p w14:paraId="0513460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用户界面验收要求</w:t>
      </w:r>
    </w:p>
    <w:p w14:paraId="733B8BB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1）界面友好性：评估软件产品的用户界面是否简洁明了、操作方便，确保用户可以轻松上手使用。</w:t>
      </w:r>
    </w:p>
    <w:p w14:paraId="1874840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2）交互体验：测试软件产品在用户操作过程中的反馈和提示，确保用户能够清楚地了解自己的操作结果。</w:t>
      </w:r>
    </w:p>
    <w:p w14:paraId="6752419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文档和材料的完备性要求：</w:t>
      </w:r>
    </w:p>
    <w:p w14:paraId="0C496E6C">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1）确认文档的编写：检查软件项目的相关文档是否齐全，包括用户手册、系统设计文档等。</w:t>
      </w:r>
    </w:p>
    <w:p w14:paraId="5E823A5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2）检查文档的准确性：验证文档中的内容是否与实际软件的功能和性能一致。</w:t>
      </w:r>
    </w:p>
    <w:p w14:paraId="346A4B9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3）验证培训材料的有效性：测试培训材料是否能够帮助用户快速上手软件，并且有效地解决常见问题。</w:t>
      </w:r>
    </w:p>
    <w:p w14:paraId="75F18EE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其它注意事项：</w:t>
      </w:r>
    </w:p>
    <w:p w14:paraId="3F60B1E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1）验收由采购人组织进行，对中标供应商的项目服务内容及资料进行验收形成“验收报告”。验收结果须双方共同确认。</w:t>
      </w:r>
    </w:p>
    <w:p w14:paraId="3DE97ED8">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2）中标供应商交付产品中的软件应无知识产权纠纷，若出现知识产权纠纷等法律问题，由中标供应商自行承担。</w:t>
      </w:r>
    </w:p>
    <w:p w14:paraId="43A7D20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3）中标供应商要严格遵守相关法律法规及行业标准，负责对本项目的运维服务，满足用户正常工作。</w:t>
      </w:r>
    </w:p>
    <w:p w14:paraId="52B6A17C">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9、培训要求</w:t>
      </w:r>
    </w:p>
    <w:p w14:paraId="7A09EEC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投标方应提供培训和技术服务，准备一份完整可行的培训方案，对医院各类人员进行相关的培训费用包含在总价内，包括系统管理员、系统维护员和最终用户等人员的现场和远程培训，培训时间直至本招标项目采购内容在采购方正常上线运行。要求全部为原厂技术培训非第三方委托机构。</w:t>
      </w:r>
    </w:p>
    <w:p w14:paraId="263631D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系统上线后，投标方需对医院信息人员进行相关培训：培训对象包括系统管理员、管理人员、操作员，系统管理人员培训内容为项目中涉及的相关技术内容；管理人员培训内容为系统流程和相关管理思想；操作员为系统的操作培训。与培训相关的费用，投标方应当一并计算在投标报价中，医院将不为此支付此类费用。</w:t>
      </w:r>
    </w:p>
    <w:p w14:paraId="69031A0E">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培训场地：采购方负责协调。</w:t>
      </w:r>
    </w:p>
    <w:p w14:paraId="5EECA498">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培训时间：组织培训不少于7个工作日，每次培训不少于三小时；确保受培训人员能够熟悉系统，每人培训不少于两轮次，熟练操作，考试合格，对不合格者则继续进行培训，直至达标。</w:t>
      </w:r>
    </w:p>
    <w:p w14:paraId="5708AC6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培训人员：医院系统使用人员和维护管理人员。</w:t>
      </w:r>
    </w:p>
    <w:p w14:paraId="3F81300C">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培训内容：由中标方负责。</w:t>
      </w:r>
    </w:p>
    <w:p w14:paraId="743739D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项目培训方案需包含但不限于：培训工具、培训方式、培训计划等。</w:t>
      </w:r>
    </w:p>
    <w:p w14:paraId="39BEC40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5）项目售后服务方案需包含但不限于：接口管理、运维预警、运维方式等。</w:t>
      </w:r>
    </w:p>
    <w:p w14:paraId="6580C85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b/>
          <w:bCs/>
          <w:color w:val="auto"/>
          <w:highlight w:val="none"/>
          <w:lang w:val="en-US" w:eastAsia="zh-CN"/>
        </w:rPr>
        <w:t>10、</w:t>
      </w:r>
      <w:r>
        <w:rPr>
          <w:rFonts w:hint="eastAsia" w:ascii="华文中宋" w:hAnsi="华文中宋" w:eastAsia="华文中宋" w:cs="华文中宋"/>
          <w:color w:val="auto"/>
          <w:highlight w:val="none"/>
          <w:lang w:val="en-US" w:eastAsia="zh-CN"/>
        </w:rPr>
        <w:t>售后服务：</w:t>
      </w:r>
    </w:p>
    <w:p w14:paraId="6BB25880">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对硬件设备及其相关软件提供三年的质保及技术服务，对医疗软件系统提供自验收合格之日起三年的技术服务。</w:t>
      </w:r>
    </w:p>
    <w:p w14:paraId="53D883F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（1）售后服务承诺</w:t>
      </w:r>
    </w:p>
    <w:p w14:paraId="66896142">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1）实现远程网络维护，作为现场维护的补充。 </w:t>
      </w:r>
    </w:p>
    <w:p w14:paraId="7E4E288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2）在医院信息系统建设中，投标单位应坚持长期合作、共同发展的原则，时刻跟踪最新技术，为用户提供最先进、最实用的技术及免费补丁升级等。  </w:t>
      </w:r>
    </w:p>
    <w:p w14:paraId="4F74EB40">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3）拥有完善的人员配备、包含项目经理、项目成员。可针对医院实际业务，进行现场支持/业务分析服务。 </w:t>
      </w:r>
    </w:p>
    <w:p w14:paraId="447BCEF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（2）售后服务方式 </w:t>
      </w:r>
    </w:p>
    <w:p w14:paraId="27F4DA7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1）远程服务 </w:t>
      </w:r>
    </w:p>
    <w:p w14:paraId="65336210">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技术服务人员需提供电话、远程网络进行技术服务，及时解决问题。 </w:t>
      </w:r>
    </w:p>
    <w:p w14:paraId="0C72F53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2）上门服务 </w:t>
      </w:r>
    </w:p>
    <w:p w14:paraId="54634C9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 xml:space="preserve">在远程服务不能解决问题的情况下，需要在 1 小时内安排技术人员，2 小时内提供上门服务。 </w:t>
      </w:r>
    </w:p>
    <w:p w14:paraId="6018996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质保期过后，通过竞争方式进入有偿服务期，由投标单位提供技术服务，需双方友好协商确定服务费收取标准，另行签订售后服务合同。</w:t>
      </w:r>
    </w:p>
    <w:p w14:paraId="758B3999">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3）平台化运维</w:t>
      </w:r>
    </w:p>
    <w:p w14:paraId="448E6D9A">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需实现接口管理、运维预警、日常运维的平台化管理</w:t>
      </w:r>
    </w:p>
    <w:p w14:paraId="37CF406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（3）其他服务要求</w:t>
      </w:r>
    </w:p>
    <w:p w14:paraId="59819E7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1）投标人需提供本项总体设计方案、项目实施方案、项目培训方案、售后服务方案等；</w:t>
      </w:r>
    </w:p>
    <w:p w14:paraId="6478791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a项目总体设计方案需包含总体技术架构、网络及安全设计、信息资源设计等。</w:t>
      </w:r>
    </w:p>
    <w:p w14:paraId="6A92A79C">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b项目需提供所有应用系统的详细功能响应方案，对应功能点。</w:t>
      </w:r>
    </w:p>
    <w:p w14:paraId="4A4D75E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c项目实施方案需包含但不限于部署方案、测试方案、项目实施保障措施等。</w:t>
      </w:r>
    </w:p>
    <w:p w14:paraId="6CF4BBEB">
      <w:pPr>
        <w:rPr>
          <w:rFonts w:hint="eastAsia" w:ascii="华文中宋" w:hAnsi="华文中宋" w:eastAsia="华文中宋" w:cs="华文中宋"/>
          <w:b/>
          <w:bCs/>
          <w:color w:val="auto"/>
          <w:kern w:val="32"/>
          <w:sz w:val="21"/>
          <w:szCs w:val="21"/>
          <w:highlight w:val="none"/>
          <w:lang w:val="en-US" w:eastAsia="zh-CN" w:bidi="ar"/>
        </w:rPr>
      </w:pPr>
      <w:r>
        <w:rPr>
          <w:rFonts w:hint="eastAsia" w:ascii="华文中宋" w:hAnsi="华文中宋" w:eastAsia="华文中宋" w:cs="华文中宋"/>
          <w:color w:val="auto"/>
          <w:highlight w:val="none"/>
          <w:lang w:val="en-US" w:eastAsia="zh-CN"/>
        </w:rPr>
        <w:t xml:space="preserve">2）投标人所投产品需满足采购需求中对于质量标准的相关规定。 </w:t>
      </w:r>
    </w:p>
    <w:p w14:paraId="3E6F46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11、</w:t>
      </w:r>
      <w:r>
        <w:rPr>
          <w:rFonts w:hint="eastAsia" w:ascii="华文中宋" w:hAnsi="华文中宋" w:eastAsia="华文中宋" w:cs="华文中宋"/>
          <w:color w:val="auto"/>
          <w:highlight w:val="none"/>
        </w:rPr>
        <w:t>投标人认为需要提供的其他技术响应内容。</w:t>
      </w:r>
    </w:p>
    <w:p w14:paraId="1F8045BC">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四、</w:t>
      </w:r>
      <w:r>
        <w:rPr>
          <w:rFonts w:hint="eastAsia" w:ascii="华文中宋" w:hAnsi="华文中宋" w:eastAsia="华文中宋" w:cs="华文中宋"/>
          <w:color w:val="auto"/>
          <w:highlight w:val="none"/>
        </w:rPr>
        <w:t>硬件清单</w:t>
      </w:r>
    </w:p>
    <w:tbl>
      <w:tblPr>
        <w:tblStyle w:val="19"/>
        <w:tblW w:w="8909" w:type="dxa"/>
        <w:jc w:val="center"/>
        <w:tblLayout w:type="fixed"/>
        <w:tblCellMar>
          <w:top w:w="0" w:type="dxa"/>
          <w:left w:w="108" w:type="dxa"/>
          <w:bottom w:w="0" w:type="dxa"/>
          <w:right w:w="108" w:type="dxa"/>
        </w:tblCellMar>
      </w:tblPr>
      <w:tblGrid>
        <w:gridCol w:w="540"/>
        <w:gridCol w:w="1068"/>
        <w:gridCol w:w="5831"/>
        <w:gridCol w:w="734"/>
        <w:gridCol w:w="736"/>
      </w:tblGrid>
      <w:tr w14:paraId="54510FA5">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6EA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一、数据中心</w:t>
            </w:r>
          </w:p>
        </w:tc>
      </w:tr>
      <w:tr w14:paraId="05980F7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5D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A8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72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32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66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28CEEA4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25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AC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※数据库一体机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73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1、设备高度：≥2U机架式设备；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★2、处理器:要求配置≥2颗处理器， 单颗处理器性能核数≥16核，主频≥2.8Ghz；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3、内存：配置≥512GB DDR5内存，内存总插槽数≥32个；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4、硬盘：配置≥2块480GB SSD系统盘；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5、Raid卡：支持raid0、raid1、raid10及JBOD直通模式；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6、网卡：配置≥4个千兆电口,≥4个万兆光口；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7、电源：配置冗余电源。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85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E8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588228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8A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80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高可用集群软件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36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1、提供数据库一体机的计算、存储、网络及数据库高可用管理软件。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2、配置集群环境一键健康监测功能；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3、配置坏道扫描功能；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4、配置自动化扩容数据库节点，包括节点规格和存储容量。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5、配置图形化的数据库拓扑监控和运行状态监控。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6、配置数据库一键诊断，可覆盖资源、会话、锁、性能分析。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7、配置实时的数据库锁分析，并对阻塞源会话进行查杀。</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27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F4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ED465E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FC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03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SAN交换机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75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1、存储交换机≥48个25G光口，≥8个40G/100G光口，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2、交换容量≥8Tbps/128Tbps，包转发率≥3000Mpps；</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86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6A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38FBF9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A7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30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核心存储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65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1、体系结构：非OEM产品，标准机架式设备，≥24盘位全NVMe存储架构，配置SAN、NAS和对象等协议。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2、控制器：冗余多控制器集群结构，控制器数量≥2个，配置管理块、文件和对象数据，配置≥2颗处理器。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3、缓存：配置≥256GB缓存。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4、硬盘：配置≥18块3.84T SSD硬盘。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5、网络：配置≥2*10Gb光口+4*25Gb光口+1*千兆电口。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5、配置勒索文件扩展名数据库，实时监测勒索文件并提供直接阻止可疑文件创建。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6、配置7*24小时监控，针对存储池、硬盘容量等亚健康状态及业务异常时告警。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4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24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418900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50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E5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业务集群平台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24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提供≥2颗处理器的计算虚拟化、存储虚拟化、网络虚拟化、云计算管理平台软件。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1、每个超融合节点出厂自带管理软件，设备上电后可登录任意一台来做超融合管理节点；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2、通过超融合管理平台即可实现对计算、存储、网络等资源进行统一管理，所有功能无需界面跳转即可实现全部操作；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3、实现对整个平台实现网络拓扑管理，实现在网络拓扑页面查看当前网络配置、增删虚拟交换机、增删虚拟网卡、增删虚拟防火墙、操作虚拟机、防火墙关联虚拟机网卡；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4、实现虚拟机迁移历史记录功能，记录中包含迁移的操作员、迁移方式、源主机、目的主机、开始时间、迁移耗时等信息；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5、同一节点同时实现虚拟化和≥3种存储功能，≥3个节点集群即同时提供虚拟化、分布式块、对象、文件存储服务。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6、实现2~6副本数，且可任意选择；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7、磁盘或者节点故障之后无需人工干预，数据在集群内硬盘的剩余空间中自动重构；</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硬件要求：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≥2U机架式设备；配置≥2颗处理器，核数≥32核，≥2.1Ghz；配置≥512GB DDR5内存，内存总插槽数≥32个；配置≥2块480GB SSD硬盘；配置≥2个1.92T SATA SSD硬盘;配置≥4个8T硬盘；Raid卡支持raid0、raid1、raid10及JBOD直通模式；配置≥4个千兆电口,≥4个万兆光口；配置冗余电源。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8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10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0DDED2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CC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AE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影像存储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78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次存储集群配置≥3个节点，单节点配置：≥2U机架式设备，配置≥2颗处理器，主频≥2.4GHz，核数≥12核，≥128GB内存，≥2块480GB固态硬盘，≥2块1.6T固态硬盘，≥4块16T硬盘，≥4个千兆网络接口，≥4个万兆网络接口（含万兆模块），配置RAID卡支持RAID0/1/5/6;配置冗余电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1、采用全对称分布式架构，元数据和数据都融合部署到存储节点上。</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2、配置系统内所有节点的存储资源被整合为一个超大容量的文件存储空间，资源完全共享，支持文件系统内任意数据可通过任意节点进行读写访问。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3、配置数据副本和纠删码K+M方式的冗余保护机制。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4、配置对存储资源状态进行监控。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5、配置病毒防护引擎，支持中毒前的勒索病毒防护拦截功能。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9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16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B4F18A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18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74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数据备份一体机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96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1.≥2U标准机架式设备,配置≥4个千兆电口,≥4个万兆光口（含光模块），≥2个16Gb HBA光纤口,配置冗余电源,配置≥2块480G固态硬盘，≥128GB内存；配置≥12块8T SATA硬盘。备份授权容量≥80TB，配置无限数量的文件备份模块，配置无限数量的操作系统备份模块，配置无限数量的数据库备份模块，配置无限数量虚拟机备份模块。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2.配置操作系统下文件、传统数据库、开源数据库，操作系统的定时及实时备份功能。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3.配置对象存储的备份数据直接在平台中通过挂载方式实现即时恢复功能。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F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1E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A9828E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B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94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前置集群平台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2D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提供≥2颗处理器的计算虚拟化、存储虚拟化、网络虚拟化、云计算管理平台软件授权。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1、每个超融合节点出厂自带管理软件，设备上电后可登录任意一台来做超融合管理节点；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2、通过超融合管理平台即可实现对计算、存储、网络等资源进行统一管理，所有功能无需界面跳转即可实现全部操作；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3、实现对整个平台实现网络拓扑管理，实现在网络拓扑页面查看当前网络配置、增删虚拟交换机、增删虚拟网卡、增删虚拟防火墙、操作虚拟机、防火墙关联虚拟机网卡；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4、实现虚拟机迁移历史记录功能，记录中包含迁移的操作员、迁移方式、源主机、目的主机、开始时间、迁移耗时等信息；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5、同一节点同时实现虚拟化和≥3种存储功能，≥3个节点集群即同时提供虚拟化、分布式块、对象、文件存储服务。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6、实现2~6副本数，且可任意选择；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7、磁盘或者节点故障之后无需人工干预，数据在集群内硬盘的剩余空间中自动重构；</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硬件要求：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≥2U机架式设备；配置≥2颗国产CPU，处理器性能≥16核≥2.5Ghz；配置≥256GB DDR5内存，内存总插槽数≥32个；配置≥2块480GB固态硬盘，≥1个960G固态硬盘;配置≥2个8T硬盘；Raid卡支持raid0、raid1、raid10及JBOD直通模式；配置≥4个千兆电口,≥4个万兆光口；配置冗余电源。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12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4C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04E3F8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33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E2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服务器交换机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81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1、万兆交换机，≥24个万兆光口，≥2个40GE光口，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2、交换容量≥2.56Tbps/25.6Tbps，包转发率≥810Mpps/1260Mpps；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3、支持跨设备链路聚合；</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29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C8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42463F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FC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3A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管理交换机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EA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1、包含≥24个千兆电口，≥4个万兆光口，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2、交换容量≥672Gbps/6.72TTbps，包转发率≥171Mpps/309Mpps；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3、支持跨设备链路聚合；</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B4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0F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2DE356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EE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8B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数据库防勒索容灾一体机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87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1、标准机架式设备，冗余电源，处理器≥2颗，核心数≥16核，主频≥2.9GHz，内存≥128GB，8T企业级硬盘≥5块，480G SSD硬盘≥2块，热插拔盘位≥12个，千兆以太网接口≥4个，万兆光口（含模块）≥2个。授权备份容量≥30T，无限制主机数据实时保护功能授权；节点容灾接管授权≥2个。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2、配置对客户端进行整机保护。</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3、配置生产系统操作系统、应用、数据一体化在线恢复，无需对恢复目标安装操作系统、配置软件、拷贝数据等操作。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4、配置接管恢复、备份恢复、实时恢复等多种恢复类型；支持整机恢复、磁盘恢复、分区/卷恢复等多种细粒度恢复。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54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B7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68F105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E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B8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数据库架构治理服务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3E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1、配置数据库的自动化部署；支持数据库单机、集群的自动化部署和图形化运维，</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2、配置对接本次采购的主要安全设备，防火墙、安全态势感知、端点安全，支持实时接收安全设备检测到的安全事件信息、安全日志数据提供7*24小时的服务。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3、实现使用安全工具对服务资产开展互联网暴露面探测，梳理资产面向互联网的开放情况。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4、每月对安全设备的防护策略进行检查。</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5、提供7*24小时的安全守护，7*24小时在线服务。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6、提供安全运营整体情况的总览页面。</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3C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23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r w14:paraId="7C6653D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B1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33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数据中心运维</w:t>
            </w:r>
            <w:r>
              <w:rPr>
                <w:rFonts w:hint="eastAsia" w:ascii="华文中宋" w:hAnsi="华文中宋" w:eastAsia="华文中宋" w:cs="华文中宋"/>
                <w:color w:val="auto"/>
                <w:highlight w:val="none"/>
                <w:lang w:val="en-US" w:eastAsia="zh-CN"/>
              </w:rPr>
              <w:t>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98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1、国产自主研发运维服务一体化管理系统。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2、国产化支持：系统支持国产信创产品。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3、配置对网络设备、主机设备、存储设备、操作系统、数据库、中间件、虚拟化软件等统一预警监控，通过对监控对象的监控预警、故障诊断、告警分析等功能。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一体化运维监控：配置国内外主流操作系统监控（CPU使用率、内存使用情况监控、磁盘IO、传输速率等）；配置虚拟化平台的宿主机、集群、虚拟机等监控；实现对不同品牌的网络及安全设备监控；配置主流服务器和存储设备的监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5、资产及配置管理：配置资产的自动化资产发现，实现资产关系可视化展示功能</w:t>
            </w:r>
            <w:r>
              <w:rPr>
                <w:rFonts w:hint="eastAsia" w:ascii="华文中宋" w:hAnsi="华文中宋" w:eastAsia="华文中宋" w:cs="华文中宋"/>
                <w:color w:val="auto"/>
                <w:highlight w:val="none"/>
                <w:lang w:eastAsia="zh-CN"/>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88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0E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r w14:paraId="047B6440">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39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二、等保安全</w:t>
            </w:r>
          </w:p>
        </w:tc>
      </w:tr>
      <w:tr w14:paraId="0F359C8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EA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DB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46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7D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BA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64095E4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D6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F8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虚拟化杀毒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3B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1.采用B/S架构的管理控制中心，实现终端安全可视，终端统一管理，统一威胁处置，统一漏洞修复，威胁响应处置，日志记录与查询等功能。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2.配置不同的权限角色，实现超级管理员、普通管理员（管理）、审计管理员（查看）三种权限，并配置可管辖的终端范围，支持管理员账号限制IP登录；管理员账号采用双因素认证。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3.配置勒索可疑行为检测，通过行为AI能力对勒索信息、命令行、修改文件等多种躲避式投放勒索病毒的高危高频场景进行精准告警和自动拦截。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4.配置文件实时监控文件的状态，实现在文件读、写、执行或者进入主机时主动进行扫描功能。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1C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39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C9C66D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14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46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终端杀毒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F5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1.采用B/S架构的管理控制中心，实现终端安全可视，终端统一管理，统一威胁处置，统一漏洞修复，威胁响应处置，日志记录与查询等功能。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2.配置不同的权限角色，实现超级管理员、普通管理员（管理）、审计管理员（查看）三种权限，并配置可管辖的终端范围，支持管理员账号限制IP登录；管理员账号采用双因素认证。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3.配置勒索可疑行为检测，通过行为AI能力对勒索信息、命令行、修改文件等多种躲避式投放勒索病毒的高危高频场景进行精准告警和自动拦截。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4.配置文件实时监控文件的状态，实现在文件读、写、执行或者进入主机时主动进行扫描功能。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26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AC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3CF960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1E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AC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※核心防火墙</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BC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1、标准机架式设备，配置≥6个千兆电口，网络层吞吐量≥20Gbps，应用层吞吐量≥15Gbps，并发连接数≥800万，每秒新建连接数≥16万，配置入侵防御模块、防病毒、WEB应用防护功能模块。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2、入侵防御：内置漏洞特征库数量≥16000种以上；配置僵尸主机检测功能，僵尸网络特征库≥160万种。</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3、应用控制：支持≥9000种应用的识别和控制；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4、Web应用防御：内置≥4500种WEB应用攻击类型进行防护。</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5、勒索专项防护：配置独立的勒索病毒防护模块，实现对特定的业务进行勒索风险自动化评估，并依据评估结果自动生成防护策略。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54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DE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CD097B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FB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08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日志审计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17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1、标准机架式硬件，配置≥100个主机审计许可，平均每秒处理日志数（eps）最大性能≥2500，硬盘配置≥4TB；提供≥6个千兆电口+≥2个万兆光口；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2、配置主动、被动相结合的数据采集方式，通过代理采集日志数据，实现通过syslog、SNMP Trap、JDBC、WMI、webservice、FTP、文件\文件夹读取、Kafka等多种方式完成日志收集；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3、支持对每个日志源设置过滤条件规则，自动过滤无用日志。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4、支持TLS加密方式进行日志传输。</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DC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68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C9C759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69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34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数据库审计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8B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1、标准机架式设备，端口配置≥6个千兆电口+≥4个千兆光口；审计流量≥3Gbps，SQL处理性能≥30000条SQL/s，日志检索性能≥600000条/秒；被审计DB服务数不限。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2、配置对审计日志中的敏感数据进行模糊化处理，对审计结果中的敏感数据进行脱敏模糊化处理。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3、配置发现数据库服务器主动外联通讯行为，外联审计结果全记录可追溯。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4、包含国内主流HIS系统的防统方规则库，支持自定义防统方规则库。</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36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7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D12279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EE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17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堡垒机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7C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1、标准机架式机箱，端口配置≥6个千兆电口，字符并发会话数≥200，图形并发会话数≥100，硬盘容量≥4TB；配置被管资源数≥50点。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2、配置用户在登录时选择认证方式，实现从手机令牌、USBKEY，内置动态令牌认证方式中切换；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3、配置完整记录用户的文件传输操作，并可对传输的文件信息进行留存，用于事后审计；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4、配置密码保管员手动备份资产账号密码；</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BF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F5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C87EF8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28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61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网闸</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54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1、标准机架式设备，采用内网单元+外网单元+FPGA专用隔离硬件架构，不能采用网线等形式直通，采用安全操作系统，加固内核；高度≥2U，支持≥6个千兆电口；吞吐量≥300M，最大并发连接数≥10万。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2、配置文件交换容错和告警功能；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3、支持主流视频厂商，支持主流国内外数据库的同步；</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4、支持同构、异构数据库之间的同步；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A6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E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A60A24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C5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74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网络准入系统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28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1、采用国产CPU及国产操作系统。标准机架式，端口配置≥6个千兆电口,硬盘容量≥480G固态硬盘；整机吞吐量≥3.6Gbps，支持准入控制、安全检查和身份认证功能，支持≥800个终端设备的准入。</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2、自动发现网络里面的终端，并获取IP、Mac、厂商、操作系统等信息。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3、配置对存储设备、网络设备、蓝牙设备、摄像头、打印机的使用管控功能；配置对终端上U盘和移动硬盘接入设置可读写、拒绝、可读、告警；配置U盘和移动硬盘拷贝的文件内容以及插入和拔出行为的审计；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5B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B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D5B790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5F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FC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漏洞扫描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94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1、标准机架式，端口配置≥6个千兆电口，≥2个千兆光口SFP，≥1T硬盘；具备系统漏洞扫描、Web应用扫描、基线核查功能。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2、实现从漏洞视角分类型呈现风险概览和详情信息，支持在线查看展示系统漏洞、WEB漏洞、弱口令</w:t>
            </w:r>
            <w:r>
              <w:rPr>
                <w:rFonts w:hint="eastAsia" w:ascii="华文中宋" w:hAnsi="华文中宋" w:cs="华文中宋"/>
                <w:color w:val="auto"/>
                <w:highlight w:val="none"/>
                <w:lang w:eastAsia="zh-CN"/>
              </w:rPr>
              <w:t>、</w:t>
            </w:r>
            <w:r>
              <w:rPr>
                <w:rFonts w:hint="eastAsia" w:ascii="华文中宋" w:hAnsi="华文中宋" w:eastAsia="华文中宋" w:cs="华文中宋"/>
                <w:color w:val="auto"/>
                <w:highlight w:val="none"/>
              </w:rPr>
              <w:t>基线风险的名称、风险等级、影响资产数、漏洞数、最近发现时间</w:t>
            </w:r>
            <w:r>
              <w:rPr>
                <w:rFonts w:hint="eastAsia" w:ascii="华文中宋" w:hAnsi="华文中宋" w:cs="华文中宋"/>
                <w:color w:val="auto"/>
                <w:highlight w:val="none"/>
                <w:lang w:val="en-US" w:eastAsia="zh-CN"/>
              </w:rPr>
              <w:t>等</w:t>
            </w:r>
            <w:r>
              <w:rPr>
                <w:rFonts w:hint="eastAsia" w:ascii="华文中宋" w:hAnsi="华文中宋" w:eastAsia="华文中宋" w:cs="华文中宋"/>
                <w:color w:val="auto"/>
                <w:highlight w:val="none"/>
              </w:rPr>
              <w:t>，并可关联漏洞详情。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7C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41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B1C03B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2B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34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态势感知平台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08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1、标准机架式设备，内存≥96GB，系统盘：≥480GB SATA SSD，数据盘：≥4*4TB机械硬盘，电源：冗余电源，接口：≥4千兆电口+≥4万兆光口。性能可达≥2亿日志量/天。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2、网络侧遥测数据采集≥20种，终端侧遥测数据采集：支持终端遥测数据采集。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3、配置≥50种分析检测引擎。</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4、配备针对风险应用查看是否有资产安装该应用功能，并查看该资产上风险应用的数量及风险应用的介绍。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B1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44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5A195C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1E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20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APT威胁探针</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E6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1、性能参数：吞吐量≥1Gbps；硬件参数：标准机架式设备，内存大小≥8G，硬盘容量≥128G SSD，接口≥8千兆电口+≥2万兆光口。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2、违规访问：配置检测内网主机的访问情况是否符合规定功能。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3、配置漏洞利用攻击检测功能。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4、支持与第三方安全分析平台对接。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F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92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3AA884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F5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CE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互联网防火墙</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2C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采用国产CPU及国产操作系统</w:t>
            </w:r>
            <w:r>
              <w:rPr>
                <w:rFonts w:hint="eastAsia" w:ascii="华文中宋" w:hAnsi="华文中宋" w:eastAsia="华文中宋" w:cs="华文中宋"/>
                <w:color w:val="auto"/>
                <w:highlight w:val="none"/>
                <w:lang w:eastAsia="zh-CN"/>
              </w:rPr>
              <w:t>。</w:t>
            </w:r>
          </w:p>
          <w:p w14:paraId="3D59B2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配置6个千兆电口+≥2万兆光口SFP+；标准机架式；网络层吞吐量≥10Gbps，应用层吞吐量≥5Gbps，并发连接数≥200万，每秒新建连接数≥6万，专业下一代防火墙，配置入侵防御模块、防病毒、WEB应用防护、云威胁情报功能模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、入侵防御：内置漏洞特征库数量≥16000种。</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、具备独立的勒索病毒防护模块，</w:t>
            </w: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对特定的业务进行勒索风险自动化评估，并依据评估结果自动生成防护策略。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7F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B8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8AA3FB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D9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9C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等保一体机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22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一、基本要求：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软硬一体产品；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1、设备高度：≥2U机架式设备；处理器：配置≥2 颗，核数≥12核，主频≥2.4GHz；内存：配置≥128GB内存；硬盘：配置≥2块480G固态硬盘，≥2块960G固态硬盘，≥4块8T硬盘；网络接口：配置≥4个千兆电口+≥2个万兆光口；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二、平台要求：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1、管理平台上可以通过拖拽虚拟设备图标和连线就能完成网络拓扑的构建，可以连接、开启、关闭虚拟网络设备；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2、平台具备≥20资产的数据库审计组件、杀毒软件、堡垒机组件、日志审计组件等安全功能组件授权；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三、集中管控：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1、配置基于一体化平台的安全管理中心功能，支持对设备进行统一纳管；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2、具备等保2.0安全管理中心自评功能；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3、配置对一体化平台上的虚拟安全组件和外部接入安全硬件的统一管理；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四、安全组件要求：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1、数据库审计组件：支持国内外主流数据库。</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2、杀毒组件：单一管理控制中心可统一管理分别部署在服务器的客户端软件；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3、堡垒机组件：配置管理员、密码管理员、审计管理员、系统管理员、系统审计员、普通运维用户等管理角色；针对图形终端操作的连接情况进行记录及审计；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4、日志审计组件：配置通过正则、分隔符、json、xml的可视方式进行自定义规则解析功能；配置对每个日志源设置过滤条件规则，自动过滤无用日志。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C5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90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A0E12C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DF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24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零信任VPN</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9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产品采用国产CPU及国产操作系统；</w:t>
            </w:r>
          </w:p>
          <w:p w14:paraId="701F9C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加密流量（Mbps）≥200，并发用户数≥400；规格:机架式设备，硬盘配置≥128GB SSD，接口≥6千兆电口+≥4千兆光口SFP；配置≥50个并发接入授权。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、配置在触发异常环境的条件时，用户需完成增强认证才可登录。</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、兼容主流国产处理器的国产操作系统终端。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5</w:t>
            </w:r>
            <w:r>
              <w:rPr>
                <w:rFonts w:hint="eastAsia" w:ascii="华文中宋" w:hAnsi="华文中宋" w:eastAsia="华文中宋" w:cs="华文中宋"/>
                <w:color w:val="auto"/>
                <w:highlight w:val="none"/>
              </w:rPr>
              <w:t>、提供终端诊断工具，支持对当前终端的基本环境进行扫描和一键修复。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13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B2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C3345AF">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AA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三、终端配套</w:t>
            </w:r>
          </w:p>
        </w:tc>
      </w:tr>
      <w:tr w14:paraId="015A31E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6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6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DC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D4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B7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2FBDB0B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20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3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桌面云系统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96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1、同一管理平台内包含计算资源、存储资源、网络资源等功能管理模块。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2、中文图形化操作界面，实现对计算、存储、网络等功能的配置和操作。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3、平台支持添加、移除服务器主机节点，支持添加主机节点数≥100个。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4、支持在集群中添加、移除服务器主机节点。</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88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3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6B83C2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3B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58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桌面云终端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B1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1、配置≥八核八线程国产处理器（处理器主频≥3.0GHz）；内存容量≥16GB；本地存储容量≥512GB固态硬盘。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2、配置≥2</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英寸显示器，配置HDMI线、键盘、鼠标。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3、接口≥7个，其中包含TypeC接口≥1个，USB 3.0接口≥2个，USB2.0接口≥4个；千兆网口≥1个，HDMI接口≥1个。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4、配置桌面云管理软件。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53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64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AE0FB3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F2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F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PC 终端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2D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国产化</w:t>
            </w:r>
            <w:r>
              <w:rPr>
                <w:rFonts w:hint="eastAsia" w:ascii="华文中宋" w:hAnsi="华文中宋" w:eastAsia="华文中宋" w:cs="华文中宋"/>
                <w:color w:val="auto"/>
                <w:highlight w:val="none"/>
              </w:rPr>
              <w:t>处理器：≥4核</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主频≥2.5GHz；内存：≥8G 内存；硬盘：≥512G  SSD硬盘；集成显卡、集成千兆网卡、集成声卡；接口：≥4个USB接口、≥1*HDMI接口；≥2</w:t>
            </w:r>
            <w:r>
              <w:rPr>
                <w:rFonts w:hint="eastAsia" w:ascii="华文中宋" w:hAnsi="华文中宋" w:eastAsia="华文中宋" w:cs="华文中宋"/>
                <w:color w:val="auto"/>
                <w:highlight w:val="none"/>
                <w:lang w:val="en-US" w:eastAsia="zh-CN"/>
              </w:rPr>
              <w:t>7</w:t>
            </w:r>
            <w:r>
              <w:rPr>
                <w:rFonts w:hint="eastAsia" w:ascii="华文中宋" w:hAnsi="华文中宋" w:eastAsia="华文中宋" w:cs="华文中宋"/>
                <w:color w:val="auto"/>
                <w:highlight w:val="none"/>
              </w:rPr>
              <w:t>英寸液晶显示器，分辨率≥2560*1080。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A9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A0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F068D9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C5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E5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C5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1、黑白</w:t>
            </w:r>
            <w:r>
              <w:rPr>
                <w:rFonts w:hint="eastAsia" w:ascii="华文中宋" w:hAnsi="华文中宋" w:cs="华文中宋"/>
                <w:color w:val="auto"/>
                <w:highlight w:val="none"/>
                <w:lang w:val="en-US" w:eastAsia="zh-CN"/>
              </w:rPr>
              <w:t>A4</w:t>
            </w:r>
            <w:r>
              <w:rPr>
                <w:rFonts w:hint="eastAsia" w:ascii="华文中宋" w:hAnsi="华文中宋" w:eastAsia="华文中宋" w:cs="华文中宋"/>
                <w:color w:val="auto"/>
                <w:highlight w:val="none"/>
              </w:rPr>
              <w:t>激光打印；</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2、打印速度：≥25PPM；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3、打印分辨率：≥1200×1200dpi；</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4、处理器:≥200MHz，内存：≥32MB；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5、纸张输入容量：≥250页；纸张输出容量：≥100页；打印月负荷：≥10000页；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6、网络功能：支持有线网络打印。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48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7D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C3717F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7D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41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复印机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09EB">
            <w:pPr>
              <w:keepNext w:val="0"/>
              <w:keepLines w:val="0"/>
              <w:pageBreakBefore w:val="0"/>
              <w:widowControl w:val="0"/>
              <w:numPr>
                <w:ilvl w:val="0"/>
                <w:numId w:val="8"/>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val="en-US" w:eastAsia="zh-CN"/>
              </w:rPr>
            </w:pPr>
            <w:r>
              <w:rPr>
                <w:rFonts w:hint="eastAsia" w:ascii="华文中宋" w:hAnsi="华文中宋" w:eastAsia="华文中宋" w:cs="华文中宋"/>
                <w:color w:val="auto"/>
                <w:highlight w:val="none"/>
              </w:rPr>
              <w:t>黑白复印机，支持打印/复印/扫描功能；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2、复印速度：≥25页/分钟；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3、首页输出时间≤10秒；</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4、自动进稿器：≥25页；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5、处理器：≥200MHz；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6、内存：≥32MB；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7、网络功能：支持有线网络；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8、纸张输入容量：≥250页；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9、纸张输出容量：≥100页</w:t>
            </w:r>
            <w:r>
              <w:rPr>
                <w:rFonts w:hint="eastAsia" w:ascii="华文中宋" w:hAnsi="华文中宋" w:cs="华文中宋"/>
                <w:color w:val="auto"/>
                <w:highlight w:val="none"/>
                <w:lang w:val="en-US" w:eastAsia="zh-CN"/>
              </w:rPr>
              <w:t>;</w:t>
            </w:r>
          </w:p>
          <w:p w14:paraId="094ADE4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Chars="0" w:right="0" w:rightChars="0"/>
              <w:textAlignment w:val="auto"/>
              <w:rPr>
                <w:rFonts w:hint="default" w:ascii="华文中宋" w:hAnsi="华文中宋" w:cs="华文中宋"/>
                <w:color w:val="auto"/>
                <w:highlight w:val="none"/>
                <w:lang w:val="en-US" w:eastAsia="zh-CN"/>
              </w:rPr>
            </w:pPr>
            <w:r>
              <w:rPr>
                <w:rFonts w:hint="eastAsia" w:ascii="华文中宋" w:hAnsi="华文中宋" w:cs="华文中宋"/>
                <w:color w:val="auto"/>
                <w:highlight w:val="none"/>
                <w:lang w:val="en-US" w:eastAsia="zh-CN"/>
              </w:rPr>
              <w:t>10、纸张支持A3、A4、B5等。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1B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D4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2188A7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A6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8F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扫码墩</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6F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固定式条码扫描器，识读精度：≥4mil，接口：USB口。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A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7F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A784DE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15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6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扫码平台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8F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系统接口：USB；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抗摔性：可承受≥1.2米的空中摔落；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扫描模式：全向多线（≥5个方向，每个方向≥4条平行线)；</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扫描速度：每秒≥1000次；</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F6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3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9CD109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46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1F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针式打印机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35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1、打印方式：24针点阵式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2、打印速度≥360字符/秒</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3、打印动作双向</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F4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D4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70BBB6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AC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FC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票据打印机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19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打印速度：≥360mm/s；打印密度：≥576 点/行；行间距：≥3.75 毫米；打印宽度：≥72mm； 打印纸宽：≥80mm；打印可靠性：≥150km；切刀寿命：≥100 万次。</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5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E1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890A4B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7C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D9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条码打印机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2D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1、分辨率 ≥150dpi；</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2、内存 ≥8MB 闪存；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3、打印方式：热敏或热转印；打印速度 ≥120mm/s；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4、介质类型支持：卷筒纸，折叠纸，连续纸，模切纸，标签纸料，连续收据纸。</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5C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A2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543A59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C5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C2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腕带打印机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D9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桌面型；分辨率 ≥150dpi；内存 ≥8 MB 闪存、≥16 MB SDRAM；打印方式：热敏或热转印；打印速度≥120mm/s；最大打印宽度≥90mm；介质类型支持：卷筒纸，折叠纸，连续纸，模切纸，标签纸料，连续收据纸。</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E5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24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6A3B3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97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EC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腕带</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15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1、蓝色，成人腕带，柔软舒适35mm*254mm（±2mm），100根/卷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2、粉色，成人腕带，柔软舒适35mm*254mm（±2mm），100根/卷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3、白色，儿童腕带，柔软舒适25mm*205mm（±2mm），100根/卷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4、腕带防水，防化学试剂，硅胶材质，抗菌，抗过敏，耐揉搓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79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16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w:t>
            </w:r>
          </w:p>
        </w:tc>
      </w:tr>
      <w:tr w14:paraId="5FEDED8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B8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D1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身份证读卡器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CE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扫描范围0-5cm；扫描身份证时间1-3（S）；识别技术非接触式 IC 卡阅读技术。</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51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B6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BCAF18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9D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C5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彩色打印机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E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A4彩页激光打印机，接口：USB、有线、无线，首次输出时间：≤18秒，打印速度：黑白≥15页/分，彩色≥4页/分；分辨率：≥600x600dpi，硒鼓黑、青、品红、黄色各一个；打印负荷：≥20000 页/月；介质类型：支持并不限于普通纸、轻质纸、重磅纸、超重纸、彩纸、预印纸、再生纸、标签、证券纸、光面纸等；进纸盒≥150页，出纸盒≥50页；内存≥64MB；处理器速度；≥400MHZ。</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0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78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991025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24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3D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住院自助机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CF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1、显示器尺寸：≥32英寸，电容触摸屏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2、安装方式：立式安装，多功能自助一体机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3、分辨率：≥1920*1080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4、亮度：≥350cd/m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（Typ）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5、对比度：≥1000：1</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6、硬度：钢化玻璃，防爆、防尘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7、触摸点数：≥10 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8、响应速度：</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16ms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9、书写屏表面硬度：物理钢化莫氏</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7级防爆，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10、触摸使用寿命：可承受≥6000万次以上的单点触摸</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11、支持 7*24小时开机使用；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12、硬件配置：≥双核处理器；≥8G内存；≥256G SSD以上；RJ45网络端口≥1个、USB端口≥2个；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13、支持定时开机、关机功能；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14、二代身份证读卡器：可读取、查询第二代居民身份证的全部信息，读卡时间&lt;1s，阅读距离0-50mm；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15、全金属加密键盘：内嵌式16键金属键盘，支持通过银联安全认证，支持多级别的程序和密钥的安全管理功能，支持密钥和程序拆封自毁功能。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16、二维码扫描器功能模块：识读精度：≤5mil；符号反差：≥30%，内嵌式多线二维码扫描单元并支持识别一维码录入以及多种格式的条码信息录入功能、支持屏扫功能。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17、嵌入式双目摄像头：内嵌式双目不低于300万像素摄像机；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18、其它配置：内置式声音播放，内置激光</w:t>
            </w:r>
            <w:r>
              <w:rPr>
                <w:rFonts w:hint="eastAsia" w:ascii="华文中宋" w:hAnsi="华文中宋" w:cs="华文中宋"/>
                <w:color w:val="auto"/>
                <w:highlight w:val="none"/>
                <w:lang w:val="en-US" w:eastAsia="zh-CN"/>
              </w:rPr>
              <w:t>彩色</w:t>
            </w:r>
            <w:r>
              <w:rPr>
                <w:rFonts w:hint="eastAsia" w:ascii="华文中宋" w:hAnsi="华文中宋" w:eastAsia="华文中宋" w:cs="华文中宋"/>
                <w:color w:val="auto"/>
                <w:highlight w:val="none"/>
              </w:rPr>
              <w:t>多功能打印机，最大打印幅面≥ A4，</w:t>
            </w:r>
            <w:r>
              <w:rPr>
                <w:rFonts w:hint="eastAsia" w:ascii="华文中宋" w:hAnsi="华文中宋" w:cs="华文中宋"/>
                <w:color w:val="auto"/>
                <w:highlight w:val="none"/>
                <w:lang w:eastAsia="zh-CN"/>
              </w:rPr>
              <w:t>分辨率:≥600*600dpi</w:t>
            </w:r>
            <w:r>
              <w:rPr>
                <w:rFonts w:hint="eastAsia" w:ascii="华文中宋" w:hAnsi="华文中宋" w:eastAsia="华文中宋" w:cs="华文中宋"/>
                <w:color w:val="auto"/>
                <w:highlight w:val="none"/>
              </w:rPr>
              <w:t>以上，内嵌式加扩展纸盒≥500页。</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93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9F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3E606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F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08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门诊自助机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E7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1、显示器尺寸：≥43英寸，电容触摸屏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2、安装方式：立式安装，多功能自助一体机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3、分辨率：≥1920*1080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4、亮度：≥350cd/m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（Typ）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5、对比度：≥1000：1</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6、硬度：钢化玻璃，防爆、防尘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7、触摸点数：≥10 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8、响应速度：</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16ms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9、书写屏表面硬度：不低于物理钢化莫氏7级防爆，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10、触摸使用寿命：可承受超过6000万次以上的单点触摸</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11、支持 7*24小时开机使用；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12、硬件配置：≥双核处理器；≥8G内存；≥256G SSD以上；RJ45网络端口≥1个、USB端口≥2个；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13、支持定时开机、关机功能；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14、二代身份证读卡器：可读取、查询第二代居民身份证的全部信息，读卡时间</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 xml:space="preserve">1s，阅读距离0-50mm；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15、全金属加密键盘：内嵌式16键金属键盘，支持通过银联安全认证，支持多级别的程序和密钥的安全管理功能，支持密钥和程序拆封自毁功能；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16、二维码扫描器功能模块：识读精度：≤5mil；符号反差：≥30%，内嵌式多线二维码扫描单元并支持识别一维码录入以及多种格式的条码信息录入功能、支持屏扫功能。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17、嵌入式双目摄像头：内嵌式双目不低于300万像素摄像机；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18、其它配置：内置式声音播放，内置激光</w:t>
            </w:r>
            <w:r>
              <w:rPr>
                <w:rFonts w:hint="eastAsia" w:ascii="华文中宋" w:hAnsi="华文中宋" w:cs="华文中宋"/>
                <w:color w:val="auto"/>
                <w:highlight w:val="none"/>
                <w:lang w:val="en-US" w:eastAsia="zh-CN"/>
              </w:rPr>
              <w:t>彩色</w:t>
            </w:r>
            <w:r>
              <w:rPr>
                <w:rFonts w:hint="eastAsia" w:ascii="华文中宋" w:hAnsi="华文中宋" w:eastAsia="华文中宋" w:cs="华文中宋"/>
                <w:color w:val="auto"/>
                <w:highlight w:val="none"/>
              </w:rPr>
              <w:t>多功能打印机，最大打印幅面≥ A4，</w:t>
            </w:r>
            <w:r>
              <w:rPr>
                <w:rFonts w:hint="eastAsia" w:ascii="华文中宋" w:hAnsi="华文中宋" w:cs="华文中宋"/>
                <w:color w:val="auto"/>
                <w:highlight w:val="none"/>
                <w:lang w:eastAsia="zh-CN"/>
              </w:rPr>
              <w:t>分辨率:≥600*600dpi</w:t>
            </w:r>
            <w:r>
              <w:rPr>
                <w:rFonts w:hint="eastAsia" w:ascii="华文中宋" w:hAnsi="华文中宋" w:eastAsia="华文中宋" w:cs="华文中宋"/>
                <w:color w:val="auto"/>
                <w:highlight w:val="none"/>
              </w:rPr>
              <w:t>以上，内嵌式纸盒≥250页，内置热敏票据打印机，支持行式热敏打印打印分辨率：≥250dpi；打印速度：≥100mm/s；进纸方式：前维护易装纸；切纸方式：全切/半切。</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D9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13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768CBD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DD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76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检验报告自助机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3A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1、显示器尺寸：≥19英寸，电容触摸屏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2、安装方式：立式安装，多功能自助一体机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3、分辨率：≥1920*1080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4、亮度：≥350cd/m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（Typ）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5、对比度：≥1000：1</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6、硬度：钢化玻璃，防爆、防尘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7、触摸点数：≥10 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8、响应速度：</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16ms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9、书写屏表面硬度：不低于物理钢化莫氏7级防爆，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10、触摸使用寿命：可承受超过6000万次以上的单点触摸</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11、支持 7*24小时开机使用；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12、硬件配置：≥双核处理器；≥8G内存；≥256G SSD以上；RJ45网络端口≥1个、USB端口≥2个；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13、支持定时开机、关机功能；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14、二代身份证读卡器：可读取、查询第二代居民身份证的全部信息，读卡时间&lt;1s，阅读距离0-50mm；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15、全金属加密键盘：内嵌式16键金属键盘，支持通过银联安全认证，支持多级别的程序和密钥的安全管理功能，支持密钥和程序拆封自毁功能；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16、二维码扫描器功能模块：识读精度：≤5mil；符号反差：≥30%，内嵌式多线二维码扫描单元并支持识别一维码录入以及多种格式的条码信息录入功能、支持屏扫功能。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17、嵌入式双目摄像头：内嵌式双目不低于300万像素摄像机；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18、其它配置：内置式声音播放，内置激光</w:t>
            </w:r>
            <w:r>
              <w:rPr>
                <w:rFonts w:hint="eastAsia" w:ascii="华文中宋" w:hAnsi="华文中宋" w:cs="华文中宋"/>
                <w:color w:val="auto"/>
                <w:highlight w:val="none"/>
                <w:lang w:val="en-US" w:eastAsia="zh-CN"/>
              </w:rPr>
              <w:t>彩色</w:t>
            </w:r>
            <w:r>
              <w:rPr>
                <w:rFonts w:hint="eastAsia" w:ascii="华文中宋" w:hAnsi="华文中宋" w:eastAsia="华文中宋" w:cs="华文中宋"/>
                <w:color w:val="auto"/>
                <w:highlight w:val="none"/>
              </w:rPr>
              <w:t>多功能打印机，最大打印幅面≥ A4，</w:t>
            </w:r>
            <w:r>
              <w:rPr>
                <w:rFonts w:hint="eastAsia" w:ascii="华文中宋" w:hAnsi="华文中宋" w:cs="华文中宋"/>
                <w:color w:val="auto"/>
                <w:highlight w:val="none"/>
                <w:lang w:eastAsia="zh-CN"/>
              </w:rPr>
              <w:t>分辨率:≥600*600dpi</w:t>
            </w:r>
            <w:r>
              <w:rPr>
                <w:rFonts w:hint="eastAsia" w:ascii="华文中宋" w:hAnsi="华文中宋" w:eastAsia="华文中宋" w:cs="华文中宋"/>
                <w:color w:val="auto"/>
                <w:highlight w:val="none"/>
              </w:rPr>
              <w:t>以上，内嵌式加扩展纸盒≥500页。</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3B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98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3B8408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7A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4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票据自助机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C0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1、显示器尺寸：≥19英寸，电容触摸屏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2、安装方式：立式安装，多功能自助一体机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3、分辨率：≥1920*1080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4、亮度：≥350cd/m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（Typ）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5、对比度：≥1000：1</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6、硬度：钢化玻璃，防爆、防尘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7、触摸点数：≥10 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8、响应速度：</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16ms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9、书写屏表面硬度：不低于物理钢化莫氏7级防爆，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10、触摸使用寿命：可承受超过6000万次以上的单点触摸</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11、支持 7*24小时开机使用；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12、硬件配置：≥双核处理器；≥8G内存；≥256G SSD以上；RJ45网络端口≥1个、USB端口≥2个；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13、支持定时开机、关机功能；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14、二代身份证读卡器：可读取、查询第二代居民身份证的全部信息，读卡时间&lt;1s，阅读距离0-50mm；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15、全金属加密键盘：内嵌式16键金属键盘，支持通过银联安全认证，支持多级别的程序和密钥的安全管理功能，支持密钥和程序拆封自毁功能；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16、二维码扫描器功能模块：识读精度：≤5mil；符号反差：≥30%，内嵌式多线二维码扫描单元并支持识别一维码录入以及多种格式的条码信息录入功能、支持屏扫功能。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17、嵌入式双目摄像头：内嵌式双目不低于300万像素摄像机；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18、其它配置：内置式声音播放，内置激光</w:t>
            </w:r>
            <w:r>
              <w:rPr>
                <w:rFonts w:hint="eastAsia" w:ascii="华文中宋" w:hAnsi="华文中宋" w:cs="华文中宋"/>
                <w:color w:val="auto"/>
                <w:highlight w:val="none"/>
                <w:lang w:val="en-US" w:eastAsia="zh-CN"/>
              </w:rPr>
              <w:t>彩色</w:t>
            </w:r>
            <w:r>
              <w:rPr>
                <w:rFonts w:hint="eastAsia" w:ascii="华文中宋" w:hAnsi="华文中宋" w:eastAsia="华文中宋" w:cs="华文中宋"/>
                <w:color w:val="auto"/>
                <w:highlight w:val="none"/>
              </w:rPr>
              <w:t>多功能打印机，最大打印幅面 ≥A4，</w:t>
            </w:r>
            <w:r>
              <w:rPr>
                <w:rFonts w:hint="eastAsia" w:ascii="华文中宋" w:hAnsi="华文中宋" w:cs="华文中宋"/>
                <w:color w:val="auto"/>
                <w:highlight w:val="none"/>
                <w:lang w:eastAsia="zh-CN"/>
              </w:rPr>
              <w:t>分辨率:≥600*600dpi</w:t>
            </w:r>
            <w:r>
              <w:rPr>
                <w:rFonts w:hint="eastAsia" w:ascii="华文中宋" w:hAnsi="华文中宋" w:eastAsia="华文中宋" w:cs="华文中宋"/>
                <w:color w:val="auto"/>
                <w:highlight w:val="none"/>
              </w:rPr>
              <w:t>以上，内嵌式加扩展纸盒≥500页。</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F5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E7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33F69E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62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98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医院医疗自助服务系统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7E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1、设备管理：支持对设备进行分组管理，支持不同设备配置不同配置组；</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2、订单管理：对交易订单进行查询，支持查阅订单详情，支持后台发起原路退款；</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3、交易对账：对支付记录进行对账，支持从银行、支付宝、微信、HIS获取支付记录，与自助机支付记录进行交易对账；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4、配置对身份证、港澳通行证、外国人永居证、医保电子凭证、院内就诊卡、电子居民健康卡、就诊码、病案号等多个方式进行自助业务的身份识别；</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5、挂号凭条、预约挂号凭条、缴费凭条的补打功能，凭条可自定义设计；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6、具备患者打开微信、支付宝等第三方支付平台的付款码，由设备主扫完成支付操作；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7、具备患者打开微信、支付宝等第三方支付平台的“扫一扫”功能，扫描自助终端上的支付二维码完成支付操作；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8、具备患者使用人脸进行微信、支付宝支付；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9、具备患者使用医保电子凭证、线下医保卡进行门诊医保挂号及结算缴费。</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0C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DF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1B9CE6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D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84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联机配套</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52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适配医院影像系统所需的高清采集卡（采集信号：HDMI/DVI信号；支持：</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rPr>
              <w:t>192kbps/24bit；输入接口：HDMI接口；板卡类型：PCI-E x1；分辨率≥1920 x 1200；采集线缆≥3米HDMI线；USB口脚踏。</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37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D6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10F5A6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D1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D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9D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支臂承重≥</w:t>
            </w:r>
            <w:r>
              <w:rPr>
                <w:rFonts w:hint="eastAsia" w:ascii="华文中宋" w:hAnsi="华文中宋" w:eastAsia="华文中宋" w:cs="华文中宋"/>
                <w:color w:val="auto"/>
                <w:highlight w:val="none"/>
                <w:lang w:val="en-US" w:eastAsia="zh-CN"/>
              </w:rPr>
              <w:t>8</w:t>
            </w:r>
            <w:r>
              <w:rPr>
                <w:rFonts w:hint="eastAsia" w:ascii="华文中宋" w:hAnsi="华文中宋" w:eastAsia="华文中宋" w:cs="华文中宋"/>
                <w:color w:val="auto"/>
                <w:highlight w:val="none"/>
              </w:rPr>
              <w:t xml:space="preserve"> 公斤，支臂上配置键盘与鼠标的位置。配置：处理器主频 ≥2.0GHz，核数≥6核，内存：≥8G，硬盘：≥256固态硬盘，USB键盘、鼠标，≥100 万像素摄像头，内置麦克风，显示屏：≥21英寸显示器，分辨率：≥1920X1080。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8C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72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7F60ACA">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DB4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四、信息机房系统</w:t>
            </w:r>
          </w:p>
        </w:tc>
      </w:tr>
      <w:tr w14:paraId="24042AC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1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B9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B2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27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3F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311940C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B3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AE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机柜及附件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7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1.机柜宽600±1（mm），深1200±1（mm），高2000±1(mm)；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2.机柜单开网孔前门,双开网孔后门,；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3.机柜柜体及内部钣金件结构件无明显变形，各个紧固件连接应牢固可靠、无松动；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4.机柜要求采用高强度的优质冷轧钢板，主体骨架采用≥2.0mm厚材料，其它≥1.2mm厚材料；机柜承重层板材料采用≥1.5mm厚材料；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5.外观表面:机柜的外观应光洁平整，不得有明显的凹凸不平或机械损伤，不得有裂纹、毛刺、破坏性压痕或严重锈蚀等缺陷；</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6.含≥20个1U空白面板、≥1个层板、≥1个导轨、≥1条水平理线器、≥2条PDU-32A 输入，输出16*10A+4*16A-国标，含接线端子及指示灯。</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45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86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515D2F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95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4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封闭冷通道系统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6D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1套封闭通道：含前后2个电动平移门、Logo门楣、活动天窗、支撑板、柜顶强弱电走线槽、跨通道走线槽、前后固定天窗、通道内翻转天窗、照明灯、通道控制箱、氛围灯光组件等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标准配置有：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1、自动门采用≥12mm厚钢化玻璃，端门通道玻璃面积占比98%以上；</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2、自动门配置红外防夹功能；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3、端门配置出门按钮及紧急开门按钮；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4、端门电机配置备用电池,发生紧急断电情况时可以自动开门；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5、内置智能灯光系统：联动报警，灯光可根据要求自定义。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95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7A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2C9257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77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3B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配电一体柜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3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名称：配电一体柜，集成模块化UPS系统、进线开关、储能输入开关、储能输出开关、维修旁路、IT配电、空调配电及照明配电于单一柜体内，空调直接从一体化柜供电，实现主支路监测功能，≥7英寸触摸屏，UPS容量≥150KV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 ≥400A双电源ATS,实现输入、输出开关≥2*250A/3P；维修旁路开关（带锁）≥1*250A/4P；输出开关≥6*63A/3P+2*24*40A/1P+3*40A/1P+3*10A/1P；防雷模块≥C 级防雷模块。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3.UPS所有模块包括但不限于旁路单元、控制单元、功率 单元、充电单元等均实现在线热插拔，达到所有模块全冗余方式。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4.系统显示屏≥7英寸触摸屏。</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91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6B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AE4899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6B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94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功率模块</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D0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≥25kVA 功率模块，三进三出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EE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C1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E21FF5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5A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CC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蓄电池</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23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铅酸蓄电池≥12V100Ah</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BC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E8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节</w:t>
            </w:r>
          </w:p>
        </w:tc>
      </w:tr>
      <w:tr w14:paraId="425942E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14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79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电池架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CB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可容纳≥4 层 2 列40节 100AH 电池，含电池连接线，端子护罩，螺丝，数字标签。</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5B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EF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DF1A6B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AC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7B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精密空调</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E2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总冷量≥40kw，显冷量≥40kw</w:t>
            </w:r>
            <w:r>
              <w:rPr>
                <w:rFonts w:hint="eastAsia" w:ascii="华文中宋" w:hAnsi="华文中宋" w:eastAsia="华文中宋" w:cs="华文中宋"/>
                <w:color w:val="auto"/>
                <w:highlight w:val="none"/>
                <w:lang w:eastAsia="zh-CN"/>
              </w:rPr>
              <w:t>。</w:t>
            </w:r>
          </w:p>
          <w:p w14:paraId="31CCA2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风量≥8200m3/h，加 湿量≥3kg/h，加热量≥6kW，水平送风模式；（室内回风工况：35℃ DB/ 30%RH；室外环境工况（风冷）：35℃）</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.可以实现常温情况下最低10%的IT负载稳定除湿量功能。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.采用高效工业用直流变频压缩机，可实现10%～100%宽冷量输出。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5</w:t>
            </w:r>
            <w:r>
              <w:rPr>
                <w:rFonts w:hint="eastAsia" w:ascii="华文中宋" w:hAnsi="华文中宋" w:eastAsia="华文中宋" w:cs="华文中宋"/>
                <w:color w:val="auto"/>
                <w:highlight w:val="none"/>
              </w:rPr>
              <w:t>.具有≥7英寸LCD的真彩触摸显示屏，显示设备的运行模式与状态，并可设定设备参数。</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6</w:t>
            </w:r>
            <w:r>
              <w:rPr>
                <w:rFonts w:hint="eastAsia" w:ascii="华文中宋" w:hAnsi="华文中宋" w:eastAsia="华文中宋" w:cs="华文中宋"/>
                <w:color w:val="auto"/>
                <w:highlight w:val="none"/>
              </w:rPr>
              <w:t>.风机采用高效后倾离心式EC风机，风机N+1冗余配置，风机数量≥3个。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7</w:t>
            </w:r>
            <w:r>
              <w:rPr>
                <w:rFonts w:hint="eastAsia" w:ascii="华文中宋" w:hAnsi="华文中宋" w:eastAsia="华文中宋" w:cs="华文中宋"/>
                <w:color w:val="auto"/>
                <w:highlight w:val="none"/>
              </w:rPr>
              <w:t>、尺寸：宽度约 600mm，高度深度与服务器机柜一致；</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2A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39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61C9B9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51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5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精密空调</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F1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rPr>
              <w:t>总冷量要求 ≥12KW。</w:t>
            </w:r>
          </w:p>
          <w:p w14:paraId="32E65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送回风方式：上前送风。 风量 ：≥2200</w:t>
            </w:r>
            <w:r>
              <w:rPr>
                <w:rFonts w:hint="eastAsia" w:ascii="华文中宋" w:hAnsi="华文中宋" w:eastAsia="华文中宋" w:cs="华文中宋"/>
                <w:color w:val="auto"/>
                <w:highlight w:val="none"/>
                <w:lang w:val="en-US" w:eastAsia="zh-CN"/>
              </w:rPr>
              <w:t>m³</w:t>
            </w:r>
            <w:r>
              <w:rPr>
                <w:rFonts w:hint="eastAsia" w:ascii="华文中宋" w:hAnsi="华文中宋" w:eastAsia="华文中宋" w:cs="华文中宋"/>
                <w:color w:val="auto"/>
                <w:highlight w:val="none"/>
              </w:rPr>
              <w:t>/h。加湿≥1.5kg/h；加热能 力≥2KW；风机数量≥1 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.设备表面采用耐高温、耐腐蚀材料喷层，并且喷涂均匀、无破损；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.具备通信RS485接口。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A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69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FB02C6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FA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D7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监控触摸屏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81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显示尺寸:≥32英寸，显示比例 16 : 9，分辨率:≥1920 × 1080@ 60 Hz，亮度 ≥350cd/㎡（高亮可选），色度≥ 16.7M，触摸类型:投射式电容触摸屏，支持点数:≥10pt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C0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EA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1ACDF6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B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D8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动力环境监控主机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EA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1、支持≥16路RS485/RS232光隔离接口、≥12路DI、4路DO，端口支持12V/500mA供电能力。机架安装。网络接口：≥2×10/100 Base-T。≥2 组DC12V/2A。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2、采集配套传感器：温湿度传感器≥2个、烟雾探测器≥2台、漏水探测器≥3套、漏水感应绳≥3套及配套的蜂鸣器等；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5D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0D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6A27BB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D0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E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动环监控系统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4E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1.名称：动环监控系统软件：安装在动环主机，通过有线连接，后台软件展示模块机房温湿度、通道门禁状态、能耗等动环实时监控数据，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2.配置查询报表功能，实现通道门禁开门记录查询、温度报表 统计、湿度报表统计、电流报表统计、电压报表统计等功能；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3.软件支持实时查看行级空调运行状态和精密列头配电柜以及UPS电压、电流、电功率、负载百分比以及电池容量等运行状态。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4.系统界面支持中英文切换，配置根据机房实际布局展示机房内的设备和环境，可在2D或3D界面中点击任意设备跳转至下一级画面功能。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41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D1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E52488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36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5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短信模块</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17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电话，短信告警模块，通过动环实时监控，当设备故障或状态变化时，立即将信息或者拔打到指定手机上。</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9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FA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64F9EE7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B4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9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APP客户端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DD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手机APP客户端，主要功能包含机房设备告警消息</w:t>
            </w:r>
            <w:r>
              <w:rPr>
                <w:rFonts w:hint="eastAsia" w:ascii="华文中宋" w:hAnsi="华文中宋" w:cs="华文中宋"/>
                <w:color w:val="auto"/>
                <w:highlight w:val="none"/>
                <w:lang w:eastAsia="zh-CN"/>
              </w:rPr>
              <w:t>、</w:t>
            </w:r>
            <w:r>
              <w:rPr>
                <w:rFonts w:hint="eastAsia" w:ascii="华文中宋" w:hAnsi="华文中宋" w:cs="华文中宋"/>
                <w:color w:val="auto"/>
                <w:highlight w:val="none"/>
                <w:lang w:val="en-US" w:eastAsia="zh-CN"/>
              </w:rPr>
              <w:t>告警信息</w:t>
            </w:r>
            <w:r>
              <w:rPr>
                <w:rFonts w:hint="eastAsia" w:ascii="华文中宋" w:hAnsi="华文中宋" w:eastAsia="华文中宋" w:cs="华文中宋"/>
                <w:color w:val="auto"/>
                <w:highlight w:val="none"/>
              </w:rPr>
              <w:t>的展示和处理</w:t>
            </w:r>
            <w:r>
              <w:rPr>
                <w:rFonts w:hint="eastAsia" w:ascii="华文中宋" w:hAnsi="华文中宋" w:cs="华文中宋"/>
                <w:color w:val="auto"/>
                <w:highlight w:val="none"/>
                <w:lang w:eastAsia="zh-CN"/>
              </w:rPr>
              <w:t>、</w:t>
            </w:r>
            <w:r>
              <w:rPr>
                <w:rFonts w:hint="eastAsia" w:ascii="华文中宋" w:hAnsi="华文中宋" w:eastAsia="华文中宋" w:cs="华文中宋"/>
                <w:color w:val="auto"/>
                <w:highlight w:val="none"/>
              </w:rPr>
              <w:t>不同区域下的机房、设备的运行状态、异常告警信息的监控和处理等。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BE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AC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088B360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83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95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硬盘录像机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2A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网络硬盘录像机,≥8路,支持POE供电</w:t>
            </w:r>
            <w:r>
              <w:rPr>
                <w:rFonts w:hint="eastAsia"/>
                <w:color w:val="auto"/>
                <w:highlight w:val="none"/>
                <w:lang w:eastAsia="zh-CN"/>
              </w:rPr>
              <w:t>，视频输出</w:t>
            </w:r>
            <w:r>
              <w:rPr>
                <w:rFonts w:hint="eastAsia"/>
                <w:color w:val="auto"/>
                <w:highlight w:val="none"/>
                <w:lang w:val="en-US" w:eastAsia="zh-CN"/>
              </w:rPr>
              <w:t>≥</w:t>
            </w:r>
            <w:r>
              <w:rPr>
                <w:rFonts w:hint="eastAsia"/>
                <w:color w:val="auto"/>
                <w:highlight w:val="none"/>
                <w:lang w:eastAsia="zh-CN"/>
              </w:rPr>
              <w:t>1路HDMI，</w:t>
            </w:r>
            <w:r>
              <w:rPr>
                <w:rFonts w:hint="eastAsia"/>
                <w:color w:val="auto"/>
                <w:highlight w:val="none"/>
                <w:lang w:val="en-US" w:eastAsia="zh-CN"/>
              </w:rPr>
              <w:t>视频</w:t>
            </w:r>
            <w:r>
              <w:rPr>
                <w:rFonts w:hint="eastAsia"/>
                <w:color w:val="auto"/>
                <w:highlight w:val="none"/>
                <w:lang w:eastAsia="zh-CN"/>
              </w:rPr>
              <w:t>输出</w:t>
            </w:r>
            <w:r>
              <w:rPr>
                <w:rFonts w:hint="eastAsia"/>
                <w:color w:val="auto"/>
                <w:highlight w:val="none"/>
                <w:lang w:val="en-US" w:eastAsia="zh-CN"/>
              </w:rPr>
              <w:t>≥</w:t>
            </w:r>
            <w:r>
              <w:rPr>
                <w:rFonts w:hint="eastAsia"/>
                <w:color w:val="auto"/>
                <w:highlight w:val="none"/>
                <w:lang w:eastAsia="zh-CN"/>
              </w:rPr>
              <w:t>1路HDMI，</w:t>
            </w:r>
            <w:r>
              <w:rPr>
                <w:rFonts w:hint="eastAsia"/>
                <w:color w:val="auto"/>
                <w:highlight w:val="none"/>
                <w:lang w:val="en-US" w:eastAsia="zh-CN"/>
              </w:rPr>
              <w:t>≥</w:t>
            </w:r>
            <w:r>
              <w:rPr>
                <w:rFonts w:hint="eastAsia"/>
                <w:color w:val="auto"/>
                <w:highlight w:val="none"/>
                <w:lang w:eastAsia="zh-CN"/>
              </w:rPr>
              <w:t>2个SATA</w:t>
            </w:r>
            <w:r>
              <w:rPr>
                <w:rFonts w:hint="eastAsia"/>
                <w:color w:val="auto"/>
                <w:highlight w:val="none"/>
                <w:lang w:val="en-US" w:eastAsia="zh-CN"/>
              </w:rPr>
              <w:t>硬盘</w:t>
            </w:r>
            <w:r>
              <w:rPr>
                <w:rFonts w:hint="eastAsia"/>
                <w:color w:val="auto"/>
                <w:highlight w:val="none"/>
                <w:lang w:eastAsia="zh-CN"/>
              </w:rPr>
              <w:t>接口，</w:t>
            </w:r>
            <w:r>
              <w:rPr>
                <w:rFonts w:hint="eastAsia"/>
                <w:color w:val="auto"/>
                <w:highlight w:val="none"/>
                <w:lang w:val="en-US" w:eastAsia="zh-CN"/>
              </w:rPr>
              <w:t>网络接口≥1个RJ45 10M/100M/1000M自适应以太网口，电源规格220V/100~240V。</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B4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3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FA5883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19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B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摄像头</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12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半球型IP摄像机,≥400万像素,≥1080P分辨率</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3F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F7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9F7C1C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BD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D9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硬盘</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B2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3.5"英寸,≥8TB容量,SATA 6Gb/S,缓存256MB,≥5400转</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37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7F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块</w:t>
            </w:r>
          </w:p>
        </w:tc>
      </w:tr>
      <w:tr w14:paraId="6AC2141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9B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6D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智慧机房门禁一体机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56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人脸识别门禁控制一体机，支持人脸、刷卡、密码认证方式，可外接身份证、指纹、蓝牙、二维码功能模块，配置两套配磁力锁、电源及出门按钮</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4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55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7F42C4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B3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FF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静电地板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09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600*600mm硫酸钙防静电地板，厚度≥32mm，含支架、横梁、地板下等电位连接铜皮，规格:≥40*0.1mm,铜排：规格≥30*3mm。含不锈钢踢脚线，高度：≥100mm。</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F4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122.4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B8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平米</w:t>
            </w:r>
          </w:p>
        </w:tc>
      </w:tr>
      <w:tr w14:paraId="3245488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05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6C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铝扣板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72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1.≥12φ吊顶，U型轻钢龙骨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2.铝扣板尺寸：≥600*600mm，厚度：1.0mm≤±0.03mm，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3.含LED平板灯≥26套，功率不小于50W、顶面防尘漆。</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98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122.4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96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平米</w:t>
            </w:r>
          </w:p>
        </w:tc>
      </w:tr>
      <w:tr w14:paraId="0EBA277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E9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63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彩钢墙板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1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1、墙面采用环保材料做防尘处理；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2、选用75轻钢龙骨，壁厚≥0.7mm做骨架，竖向龙骨中心 间距≥400mm；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3、墙板成品厚度≥12.5mm，钢板厚度≥0.5mm的镀锌铝镁基板；彩色涂层技术指标：采用聚酯辊涂工艺高温烘烤而成，符合GB/T 12754-2019 8 要求。正表面为抗静电 XY-12002白, 涂层厚度≥20μ</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CE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174.6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20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平米</w:t>
            </w:r>
          </w:p>
        </w:tc>
      </w:tr>
      <w:tr w14:paraId="58FB94C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A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0D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防火门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81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甲级钢制防火门（含闭门器）</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规格约为1500mmX2200mm。</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06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7F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樘</w:t>
            </w:r>
          </w:p>
        </w:tc>
      </w:tr>
      <w:tr w14:paraId="132DB20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73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9F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39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≥5#角钢制作机柜、空调柜、电池柜等的承重架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E2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1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5D519C7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CC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FA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机房监测</w:t>
            </w:r>
            <w:r>
              <w:rPr>
                <w:rFonts w:hint="eastAsia" w:ascii="华文中宋" w:hAnsi="华文中宋" w:cs="华文中宋"/>
                <w:color w:val="auto"/>
                <w:highlight w:val="none"/>
                <w:lang w:val="en-US" w:eastAsia="zh-CN"/>
              </w:rPr>
              <w:t>设备</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6D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color w:val="auto"/>
                <w:highlight w:val="none"/>
              </w:rPr>
              <w:t>包含≥4个烟感：输出触点容量≥3A/120VAC，≥3A/24VDC；≥6个温感：RS485接口，带显示屏，测温范围：-40℃-125℃；声光报警器工作电压范围：9～15VDC，闪动次数/分钟：≥300±30 次；气体控制器：壁挂式，液晶汉字显示，总线制，≥160 点容量；紧急启停按钮DC24V 脉动电压，两总线；无编码地址气体释放指示灯；≥4个70L柜式气瓶；七氟丙烷药剂≥240KG；泄压口约400mm*400mm；配套信号线等。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E7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FD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1E8906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D3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11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新风换气机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BA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1.风量：≥1600m3/h，风压：≥180Pa，功率：≥0.75KW；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2.配置粗效 G4、中效 F7、亚高效 H10 三级过滤器；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3.控制器功能：自动温控：可根据新风温度自动运行；温度探测功能：探测新风温度，并据此调整新风引入量；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4.报警功能：对设备的常用故障自动报警，在高温高湿状态下自动报警；过滤器维护提示功能。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5、标配风管、送风口、防雨百叶、防火阀等。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1C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D4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598151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39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2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排风机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B3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防爆轴流风机：风量≥3000立方/小时，风压：≥200Pa；风管约300*300mm,镀锌铁皮定制，约15米；百叶风口</w:t>
            </w:r>
            <w:r>
              <w:rPr>
                <w:rFonts w:hint="eastAsia" w:ascii="华文中宋" w:hAnsi="华文中宋" w:cs="华文中宋"/>
                <w:color w:val="auto"/>
                <w:highlight w:val="none"/>
                <w:lang w:val="en-US" w:eastAsia="zh-CN"/>
              </w:rPr>
              <w:t>约</w:t>
            </w:r>
            <w:r>
              <w:rPr>
                <w:rFonts w:hint="eastAsia" w:ascii="华文中宋" w:hAnsi="华文中宋" w:eastAsia="华文中宋" w:cs="华文中宋"/>
                <w:color w:val="auto"/>
                <w:highlight w:val="none"/>
              </w:rPr>
              <w:t>300*300mm，铝合金材质；排烟控制箱：包含电源、控制器等。</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0F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C7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86BBE0F">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0F7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五、密码应用及数字证书系统</w:t>
            </w:r>
          </w:p>
        </w:tc>
      </w:tr>
      <w:tr w14:paraId="0C53080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DF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89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28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43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5C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052C3D6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92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16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签名验签服务器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C0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1、支持国密SM2、SM3、SM4算法，支持国际RSA1024、RSA2048、RSA4096、SHA256、SHA384、SHA512、AES（128、192、256）、3DES算法。</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2、支持PKCS1/PKCS7 attach/PKCS7 detach/XMLl Sign 等格式的数字签名和验证，同时支持文件数字签名和验证。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3、支持对签名、加密证书进行验证。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4、支持国密双证机制（签名证书、加密证书），支持导入多级CA证书及管理。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5、配置可视化管理，支持SNMP协议，系统监控、设备硬件及软件的运行状态监测功能。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6、支持PDF签名、验签功能。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7、提供分级权限管理模式，分为管理员、操作员、审计员三级，分别赋予不同权限，实现权限分割。</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8、硬件及性能：≥2U机架式服务器，标配导轨，冗余电源；配置≥2个100/1000M自适应网口；SM2签名≥7000次/秒；SM2验签≥4500次/秒。CPU：≥八核；内存≥32G，硬盘≥1T。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8B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22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E1FFDE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20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63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安全接入网关系统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EB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1、提供传输加密、身份认证、访问控制等功能，适配PC、移动设备；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2、支持客户端接入策略配置，实现控制数量的单用户多终端同时登录，并可控制终端登录数量；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3、支持国密SSL；支持SSL加密隧道功能，默认含≥15个用户授权；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4、硬件规格：全国产化平台，内存≥8G，企业级硬盘≥2T，≥8个千兆网络电口，≥4个千兆网络光口；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5、SSL吞吐（国密）≥900M；SSL并发用户数≥4000；SSL最大并发连接（国密）≥5W；SSL每秒新建连接数≥3800。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42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4D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7C84ED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AC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C9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服务器密码机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C5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1.支持密钥安全产生、安装、存储、使用、销毁以及备份恢复全生命周期的管理；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rPr>
              <w:t>.支持国产密码算法：SM1、SM2、SM3、SM4等；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rPr>
              <w:t>.SM2密钥对≥11000对/秒 ；SM4加解密≥1000Mbps；SM2签名≥ 10000次/秒；</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lang w:val="en-US" w:eastAsia="zh-CN"/>
              </w:rPr>
              <w:t>4</w:t>
            </w:r>
            <w:r>
              <w:rPr>
                <w:rFonts w:hint="eastAsia" w:ascii="华文中宋" w:hAnsi="华文中宋" w:eastAsia="华文中宋" w:cs="华文中宋"/>
                <w:color w:val="auto"/>
                <w:highlight w:val="none"/>
              </w:rPr>
              <w:t>.设备高度≤2U，≥2个千兆电口，冗余电源；</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FA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FD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57AD50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76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4C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可信浏览器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EC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1、由浏览器内核、浏览器界面、密码算法/SSL协议逻辑运算模块等组成；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2、采用智能密码钥匙及相关软硬件提供密码服务支撑。</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3、支持SM2、SM3、SM4算法，与Web服务器之间建立安全通道，保证Web网页访问的安全性。</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B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BC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点</w:t>
            </w:r>
          </w:p>
        </w:tc>
      </w:tr>
      <w:tr w14:paraId="1759224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60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E2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智能密码钥匙</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42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证书存储介质符合国家</w:t>
            </w:r>
            <w:r>
              <w:rPr>
                <w:rFonts w:hint="eastAsia" w:ascii="华文中宋" w:hAnsi="华文中宋" w:eastAsia="华文中宋" w:cs="华文中宋"/>
                <w:color w:val="auto"/>
                <w:highlight w:val="none"/>
                <w:lang w:val="en-US" w:eastAsia="zh-CN"/>
              </w:rPr>
              <w:t>有关部门</w:t>
            </w:r>
            <w:r>
              <w:rPr>
                <w:rFonts w:hint="eastAsia" w:ascii="华文中宋" w:hAnsi="华文中宋" w:eastAsia="华文中宋" w:cs="华文中宋"/>
                <w:color w:val="auto"/>
                <w:highlight w:val="none"/>
              </w:rPr>
              <w:t>数字证书硬件存储介质规范要求，支持国密算法。</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1）高性能处理芯片:≥32位高性能智能卡安全芯片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2）硬件实现加密算法</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硬件芯片支持如下算法：非对称加密算法：RSA1024/2048, SM2密钥对生成、加解密、签名验签,密钥协商等操作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对称加密算法：DES, 3DES, AES168, AES192, AES256</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摘要算法：MD5, SHA1, SHA256, SHA384, SHA512</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国密算法：SM1, SM2, SM3, SM4, SSF33</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3）大容量安全数据存储区:支持160K以上安全数据区用于存放证书、密钥及敏感数据。</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47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7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枚</w:t>
            </w:r>
          </w:p>
        </w:tc>
      </w:tr>
      <w:tr w14:paraId="0C22D84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0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76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个人数字证书</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9F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医护技个人数字证书，证书符合ITUX.509V3 格式，证书撤消列表符合ITUX.509V2标准；证书存储格式支持Base64 、DER、PKCS#7 和PKCS#12 格式；证书和私钥封装符合PKCS＃12 标准；证书支持国产SM2算法。</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20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94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张</w:t>
            </w:r>
          </w:p>
        </w:tc>
      </w:tr>
      <w:tr w14:paraId="6E5BD62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5F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EE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设备数字证书</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75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密码设备证书，标识密码设备信息。证书符合ITUX.509V3 格式，证书撤消列表符合ITUX.509V2标准；证书存储格式支持Base64 、DER、PKCS#7 和PKCS#12 格式；证书和私钥封装符合PKCS＃12 标准；证书支持国产SM2算法。</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0B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F3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张</w:t>
            </w:r>
          </w:p>
        </w:tc>
      </w:tr>
      <w:tr w14:paraId="0F56BDA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91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2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单位数字证书</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E2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医院单位证书，标识医院信息。证书符合ITUX.509V3 格式，证书撤消列表符合ITUX.509V2标准；证书存储格式支持Base64 、DER、PKCS#7 和PKCS#12 格式；证书和私钥封装符合PKCS＃12 标准；证书支持国产SM2算法。</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41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62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张</w:t>
            </w:r>
          </w:p>
        </w:tc>
      </w:tr>
      <w:tr w14:paraId="3ADD0E8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BA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2B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电子签章系统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4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软件系统，具备印模管理、印章管理、用户管理、印章权限配置、日志管理等功能。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1、电子签章系统框架要求：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1）具备印模申请、印模审核、印章制作、用户、证书等基本管理功能；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2）具备服务端自动签章、UKey签章、移动签章；</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3）支持自动批量加盖骑缝章，同时，骑缝章位置可设置；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4）提供单个用户直接在线提交印章申请，完成印章的在线采集。</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FD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8D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7EEE66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A3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6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时间戳服务器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94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提供精确的时间源，内置时间源模块，实现时间戳签名、验签、时间同步服务等功能。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1）数字时间戳：具备对数据制作时间戳。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2）时间源:满足官方北斗卫星授时。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3）数字证书要求：证书支持多种文件格式的导入和使用。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硬件：</w:t>
            </w:r>
            <w:r>
              <w:rPr>
                <w:rFonts w:hint="eastAsia" w:ascii="华文中宋" w:hAnsi="华文中宋" w:eastAsia="华文中宋" w:cs="华文中宋"/>
                <w:color w:val="auto"/>
                <w:highlight w:val="none"/>
                <w:lang w:val="en-US" w:eastAsia="zh-CN"/>
              </w:rPr>
              <w:t>标准</w:t>
            </w:r>
            <w:r>
              <w:rPr>
                <w:rFonts w:hint="eastAsia" w:ascii="华文中宋" w:hAnsi="华文中宋" w:eastAsia="华文中宋" w:cs="华文中宋"/>
                <w:color w:val="auto"/>
                <w:highlight w:val="none"/>
              </w:rPr>
              <w:t>机架式；通讯接口：≥2个100/1000M自适应网口；配置密码卡。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性能：SM2制作时间戳≥2500次/秒；SM2验证时间戳≥2000次/秒。</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15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2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2876BB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89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6C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证书管理系统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65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软件系统，提供数字证书院内自助管理服务，以及数字证书的全生命周期管理；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1）具备证书的全生命周期管理，直观管理组织架构及其全部人员证书。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2）提供查看系统状态、管理员管理、日志管理、服务管理、备份恢复等功能。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3）系统具备与PKI产品RA服务系统的通讯能力，实现证书的在线签发功能。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07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22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A0A8273">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72B6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六、资产全生命周期管理系统</w:t>
            </w:r>
          </w:p>
        </w:tc>
      </w:tr>
      <w:tr w14:paraId="77286FD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51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49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11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47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81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74AAEE8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8D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0A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资产全生命周期管理软件（PC版）</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1D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1、资产采购：具备采购申请、订单管理、订单变更、收货管理、统计分析等功能。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2、资产管理：具备资产信息、资产新增、资产领用&amp;退库、资产借用&amp;归还、资产调拨、资产变更、 资产维修、资产处置等功能。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3、消耗品管理：具备消耗品分类、消耗品信息、 消耗品入库、消耗品出库、消耗品查询等功能。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4、合同管理：具备合同查询、合同附件上传等功能。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6、资产统计：具备对所有资产进行多维度的汇总、统计。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7、资产盘点：具备新建盘点单、RFID盘点、盘点报告等功能。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3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5E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89E72E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4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2A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资产全生命周期管理软件（移动版）</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BB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1.包含资产全生命周期以及申请、审批、查询等功能；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2.资产盘点：具备通过移动端进行盘点。</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59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E2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002503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53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F2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资产RFID普通标签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9C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规格50MM*50MM（±0.2mm），带芯片。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F9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CB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张</w:t>
            </w:r>
          </w:p>
        </w:tc>
      </w:tr>
      <w:tr w14:paraId="246AFEF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E0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57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资产RFID柔性抗金属标签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6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规格65MM*35MM（±0.2mm），带芯片，柔性抗金属。</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E9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BB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张</w:t>
            </w:r>
          </w:p>
        </w:tc>
      </w:tr>
      <w:tr w14:paraId="1495520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53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E9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RFID标签打印机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BA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分辨率：≥200DPI；最大打印速度：≥60PS；最大打印宽度≥90MM；最大打印长度：≥1000MM；RFID功能：集成的UHF读写器/编码器；内存：≥8MB FLASH ROM，≥16MB SD RAM；标签厚度 0.06--0.305MM包括底纸厚度；纸张探测方式：上反射式、下反射式、穿透式；接口类型：RS-232串口，10/100M-bit以太网口，USB接口。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B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4C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06AC87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73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F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资产采集器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B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支持超高频、LCD:≥5英寸IPS屏、分辨率≥1280*720、支持USB 2.0数据接口、支持SIM卡槽、RAM+ROM：≥2GB+16GB、内置电池≥4500mAh电池。</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AD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F8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40FA9B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3C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52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应用服务器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BF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1、设备高度：≥2U机架式设备；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2、处理器:要求配置≥2颗处理器， 单颗处理器性能核数≥12核，主频≥2.1Ghz；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3、内存：配置≥128GB内存，内存总插槽数≥24个；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4、硬盘：配置≥2块960GB SSD硬盘；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5、Raid卡：支持raid0、raid1、raid10及JBOD直通模式；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6、网卡：配置≥4个千兆电口；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7、电源：配置冗余电源。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A1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6C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61934C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0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9E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首次资产清查配合</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14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拟配≥两名工程师进行为期不少于15天的首次资产清查工作。工作内容包括但不限于资产清点、标签制作、标签粘贴、资产信息录入等。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78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48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r w14:paraId="3C9FF9CE">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99F6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七、智慧档案室系统</w:t>
            </w:r>
          </w:p>
        </w:tc>
      </w:tr>
      <w:tr w14:paraId="6CDA39A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EB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DA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84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8D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5B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7385891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C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50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智能型电动密集架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3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1、立柱：采用≥1.5mm冷轧钢板一体成型工艺，设计为半敞开式，立柱表面喷涂全部到位。</w:t>
            </w:r>
          </w:p>
          <w:p w14:paraId="280FC5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2、层板：采用≥1.0mm冷轧钢板一体成型工艺，正面两组加强筋，每组由一条主筋四条副筋组成。层板（AB双面）均衡载重≥120KG。层板采用整体板材，层间距可任意调整。</w:t>
            </w:r>
          </w:p>
          <w:p w14:paraId="75BA2A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3、挂板：采用≥1.0mm冷轧钢板</w:t>
            </w:r>
          </w:p>
          <w:p w14:paraId="52FBE2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4、挡棒：采用≥0.8mm的冷轧钢板。</w:t>
            </w:r>
          </w:p>
          <w:p w14:paraId="17567D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5、底梁：采用≥3.0mm热轧钢板。</w:t>
            </w:r>
          </w:p>
          <w:p w14:paraId="1D3955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6、轨道：路轨采用≥3.0mm热轧钢板，轨芯≥20×20mm实心方钢，表面采用镀锌处理工艺。</w:t>
            </w:r>
          </w:p>
          <w:p w14:paraId="2A6BA2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7、侧板：侧护板采用≥1.0mm冷轧钢板。</w:t>
            </w:r>
          </w:p>
          <w:p w14:paraId="6847BF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8、门板：采用≥1.0mm冷轧钢板，采用方形门锁。</w:t>
            </w:r>
          </w:p>
          <w:p w14:paraId="0A6639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9、顶板：采用≥1.0mm冷轧钢板。</w:t>
            </w:r>
          </w:p>
          <w:p w14:paraId="4A8182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10、防鼠板：采用≥0.8mm冷轧钢板。</w:t>
            </w:r>
          </w:p>
          <w:p w14:paraId="4CA7E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11、铝合金卡槽密封条：采用≥0.9mm铝合金材质一体成型工艺制作。</w:t>
            </w:r>
          </w:p>
          <w:p w14:paraId="611027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12、固定列一体机：采用≥15英寸，系统采用嵌入式系统。</w:t>
            </w:r>
          </w:p>
          <w:p w14:paraId="31BB05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13、移动列电动控制功能：≥8英寸彩色触控屏。</w:t>
            </w:r>
          </w:p>
          <w:p w14:paraId="15773B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14、语音识别控制：具备在库房内任意区域用语音命令控制任意列架体的左右移动、关闭、通风、急停等。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C1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380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8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m³</w:t>
            </w:r>
          </w:p>
        </w:tc>
      </w:tr>
      <w:tr w14:paraId="732683B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77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F8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RFID智能监控门禁</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23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1、门禁内嵌≥10英寸触摸显示屏；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2、设备侧边内嵌LED状态指示灯，具备两种以上颜色提示；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3、主机配置:内存：≥8G；硬盘:≥256G固态硬盘。                                                                                                                                                                                                 </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A9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B2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　</w:t>
            </w:r>
          </w:p>
        </w:tc>
      </w:tr>
      <w:tr w14:paraId="1FCF128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8C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97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RFID标签初始化及借阅设备</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4A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1、整机采用防火材质；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2、一体化设计，内部集成显示器、主板、RFID读写器与天线等，设备配置≥8G内存、≥256G固态硬盘；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3、配置一体化集成身份证读写模块，自动读取身份证信息；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4、配置一体化集成条码扫描仪、扫码模块配合条码打印机实现档案扫码查询等功能；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5、工作频率：920～925MHz.</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D4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A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D03874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88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1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RFID智能档案全馆盘点车</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C8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1、显示屏：≥5英寸，分辨率；≥1920x1080；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2、CPU: ≥1.3GHz 四核；内存: ≥16GB；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3、操作系统：嵌入式操作系统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4、无线：具备WIFI功能；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5、读卡距离：</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10米；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6、群读速度：</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rPr>
              <w:t>200标签/秒。</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7、含射频数据采集系统软件。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D4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7E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　</w:t>
            </w:r>
          </w:p>
        </w:tc>
      </w:tr>
      <w:tr w14:paraId="5489347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8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2C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RFID档案综合管理平台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03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1、实现全馆客户端云数据管理，云平台分析，支持大数据采集，分析，挖掘，利用功能；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2、系统管理：系统可对本机基本参数、读写器模块参数、档案馆接口信息进行配置。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3、具备档案定位功能：通过层架标签绑定该层档案信息，将所有档案定位到层，通过盘点车盘点可判断该层档案在库、外借、错架、缺失情况；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4、具备实现档案到期、临期催还提醒功能；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5、系统可一键启动安全监测功能，可监测人员进出情况、档案异常报警情况，可一键隐藏监测画面；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6、平台里的所有数据具备图形化显示，并且图形报表可以直接导出；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7、含RFID智能门禁软件。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8B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B1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　</w:t>
            </w:r>
          </w:p>
        </w:tc>
      </w:tr>
      <w:tr w14:paraId="35A5998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AA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C6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RFID档案专用标签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E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1、标签内存容量：≥512bits；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2、规格:≥110×25mm；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3、读取距离:0m～1m；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4、写入距离:0m～1m；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5、防冲突性:允许工作区间内多个标签的可靠识读；</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6、有效使用次数:≥10万次读取，≥10万次写入；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9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8E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19D6EA5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F1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C1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RFID档案专用货架标签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B0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1、尺寸≤102mmx18mmx3.5mm，采用透明亚克力板。</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2、使用寿命：内存可擦写≥100000次。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3、读取距离：读取距离≥120cm。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4、标签为自带单面不干胶, 可以粘贴方式安装于密集架上；层位标签上可印制层位和架位代号及馆标。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5、标签可以非接触式的读取和写入。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86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25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4A565F4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C7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A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标签数据、黏贴人工、数据挂接</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E9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层架标签录入绑定架体层架标签、粘贴档案层架标签。</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3F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4C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　</w:t>
            </w:r>
          </w:p>
        </w:tc>
      </w:tr>
      <w:tr w14:paraId="5DE0647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2E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CF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防磁柜（大）</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5A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1、规格：1800x700x500mm；九个抽屉 ，允许偏差范围：±4mm。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2、材料要求：采用双层镀锌板冲压折弯成型，柜体360度全部填充防磁材料。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结构要求：柜内可调式文件夹置放架，根据放入文件数量，可任意调节置放架的位置，独立控制锁功能，联锁功能，自动扣锁功能，四个磁盘抽屉，配有高品质密码锁。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3、结构防护功能：导轨配有防脱钩，防止抽屉脱落。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4、防磁功能：可抵抗外界5000高斯磁场（1MT=10高斯），符合磁性产品保管要求。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FB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AA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569F6F3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48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79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防磁柜（小）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9B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规格：1520x700x500mm，允许偏差范围：±2mm；七个抽屉。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8F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20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604BCBA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B8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BE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防火防磁柜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CB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1、规格要求：1598x551x824mm；四个磁盘抽屉，配密码锁，允许偏差范围：±4mm。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2、材料要求：采用双层镀锌板冲压折弯成型，柜体360度全部填充防火材料。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结构要求：柜内可调式文件夹置放架，根据放入文件数量，可任意调节置放架的位置，独立控制锁功能，联锁功能，自动扣锁功能，四个磁盘抽屉，配有密码锁。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3、结构防护功能：导轨配有防脱钩，防止抽屉脱落。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4、防火功能：耐高温安全内盒可保护各种磁介质信息资料，柜内温度可保持在180摄氏度以下至少一个小时，纸张不碳化，字迹清晰可辨。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5、防磁功能：可抵抗外界5000高斯磁场（1MT=10高斯），符合磁性产品保管要求。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B6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C3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11066C3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E4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0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防潮防磁柜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48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1、规格要求：1520x700x500mm；八个抽屉，配电子密码锁，允许偏差范围：±4mm。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2、材料及结构要求：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材料要求：采用冷轧钢板冲压折弯制造，双层钢板，柜体钢板厚度≥1.0mm，底盘钢板厚度≥1.5mm，钢板和钢板之间为防磁层，表面采用粉末聚脂与环氧型混合涂料喷涂。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结构要求：八个抽屉，抽屉导轨为阻尼三节轨，配有电子密码锁。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3、结构防护功能：导轨配有防脱钩，防止抽屉脱落。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4、防磁防潮功能：可抵抗外界5000高斯磁场（1MT=10高斯），符合磁性产品保管要求；采用微电脑智能模糊湿度惯性系统控制技术，无电机驱动防潮机芯，窗口显示温湿度。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C4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0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5D1C54C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09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33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库房安全保护综合智能管理系统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89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一、系统概况介绍</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采用B/S架构,具备档案智能管理、档案存储设备智能管理、库房环境设备智能管理、库房安防设备智能管理。具备智慧档案大数据展示功能、库房3D导航鸟瞰图、档案库状分析图、库存档案总量、在库数、在借数、异常数、温湿度空气质量展示、温湿度空气质量数据分析、报警、环境设备运行状态、视频实时监控等功能。具备十二防系统报警阈值设置，报警呈现，同时生成报警记录。</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二、系统功能：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1、控制管理：具备手动方式对设备进行控制、同时可根据设定的时间定时控制设备。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2、空气质量监控：可根据库房内的空气变送器监测空气数据并设定阈值，自动开启或关闭新风机或消毒机平衡库房内的空气质量。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3、RFID 档案管理：具有档案标签转换、标签注销、调档申请、借阅、归还、续借、催还功能，同时也包含对档案借阅人的管理，以及档案的查询统计、借阅查询与统计功能。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4、支持档案管理：具有档案的查询、借阅、出库、归还功能。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5、数据3D展示功能：具备模拟库房环境，展示库房实时数据和报警状态，具备点击3D效果图上的设备图标可直接控制相应的设备。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6、库房页面展示:系统主页面支持≥9个显示区域，支持效果图上点击设备可直接进入设备控制页面。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7、含智能空调控制系统软件接口、智能恒湿控制系统软件接口、智能空气质量监控系统软件接口、智能安全视频监控系统软件接口、入侵报警控制系统软件接口。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58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64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4F3058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5E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0C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库房集中控制全彩显示大屏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B7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档案数据展示：支持档案馆（库）全数据展示，包括馆藏数、档案类型数据分类展示、档案借用数据、在借、异常未还数据、入库统计、档案状态环形统计、保密等级环形统计、档案存储介质分类环形统计、档案入库统计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2、具备实时显示当前库房健康状态、实时监测当日预警数以及档案室防控设备数量状态；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3、库房环境展示：实时以优、良、差的方式显示当前库房的环境质量；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4、库房设备展示：实时展示库房除湿机、空调等设备的运行情况；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5、展示系统屏幕尺寸：≥55英寸；</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6、配备壁挂式金属支架、信号传输模块。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61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9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44D466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0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37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嵌入式采集EMU</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3D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1、机架式设备；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2、配置≥8路RS-485/232/422，≥2路供电电流不低于45W，≥6路供电电流不低于24W；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3、具备一键复位，恢复出厂设置；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4、波特率支持 600~460800bps；</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E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F3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B41AF8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58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7F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采集箱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E9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1、材质：柜体采用碳素钢钢板制作，柜体材质≥1.0mm，抗拉强度≥345MPA。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2、外观：柜体表面光洁无毛刺，表面进行防腐处理，要具有防腐蚀功能。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3、输入220V供电，内置12V输出供电。</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22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7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95C6ED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23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85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机柜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1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1、采用冷轧板，静电喷涂。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2、外形尺寸：≥600*1000*1200mm。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B2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06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96C845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5E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92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2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1、交换容量≥490Gbps/4.9Tbps，包转发率≥120Mpps；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2、≥24个10/100/1000Base-T自适应以太网端口；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3、实现IPv4/IPv6双栈，实现IPv4/IPv6静态路由；</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05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33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FC4932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AA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E9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无线路由器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91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1、无线网络支持频率：双频2.4G&amp;5G；</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2、有线传输率：千兆端口；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3、无线传输速率：≥1900Mbps；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4、无线传输速度：≥1900Mbps；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5、全千兆网口数量不少于：1个千兆WAN口，3个千兆LAN口，支持自动翻转；</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DA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00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BCB7CF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39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09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POE交换机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CB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1、交换容量≥490Gbps/4.9Tbps，包转发率≥120Mpps；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2、≥24个10/100/1000Base-T自适应以太网端口；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3、实现IPv4/IPv6双栈，实现IPv4/IPv6静态路由；</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4、具备POE供电。</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EC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D9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4722B2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8B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F8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显示器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97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1、最佳分辨率≥1920x1080；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2、屏幕比例 16:9（宽屏）；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3、高清标准 ≥1080p（全高清）；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4、屏幕尺寸：≥23英寸。</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1A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20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6248F2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70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DB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F2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1、机箱规格：≥2U机架式。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2、处理器：主频≥2.4G，核数≥10核。</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3、内存：≥32G。</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4、硬盘：≥2块2T企业级硬盘。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5、电源类型:配置冗余电源。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6、接口类型：≥2个千兆以太网接口、≥4个USB、1个HDMI。</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76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2D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18B8A5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FF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6D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漏水检测模块</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28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1、反应时间：≤2S；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2、检测距离：≥500米；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3、存储温度：-20℃至 60℃；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4、工作温度：-10℃至 50℃；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5、湿度：5%到95%RH（无冷凝）；</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6、供电：DC 9~30V；</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7、通信接口：RS485；                </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A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FA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3FB0C96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E8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21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漏水检测绳</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88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1、线缆直径：≥5.0mm；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2、监测导线外阻：≥20Ω/100m；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3、长度：≥5米。</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10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4F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米</w:t>
            </w:r>
          </w:p>
        </w:tc>
      </w:tr>
      <w:tr w14:paraId="7AA671B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05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65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金属保护槽</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1C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≥20*800mm，配套检测绳</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A6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DC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米</w:t>
            </w:r>
          </w:p>
        </w:tc>
      </w:tr>
      <w:tr w14:paraId="6A330A4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48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32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漏水检测软件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98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系统实时监测库房漏水的状态，支持自定义设备漏水的报警等级并通过主机软件自动判断异常情况并自动报警，通过软件支持短信、语音播报方式提示管理员。</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84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4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00A96A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68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BB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温湿度测控系统软件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8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实时监管各库房设备采集的温湿度数据，动态显示各库房温湿度值、支持设定温湿度控制范围、支持绘制各库房的温湿度历史曲线、手动/自动切换功能界面图、动态显示各设备运行状态、温湿度变化曲线、报表打印等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70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1F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F61F8F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3E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ED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温度湿度传感器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B8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1、输出方式 ：RS485接口；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2、温度稳定性：≤0.1℃/y   湿度稳定性：≤1%RH/y；</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3、温度响应时间：≤15s（1m/s风速）  湿度响应时间：≤4s（1m/s风速）；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4、测量范围 温度:-20℃～70℃;湿度:0～100%RH；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5、平均无故障工作时间 ≥500000h；</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21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EC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50FB7CA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4D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CC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空调</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B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制热功率：≥2500W；制冷量：≥6000W；上下/左右扫风；操控方式：键控/遥控；立柜式变频冷暖空调。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EE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46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CE53BB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8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2B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空调控制模块</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ED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1、设备尺寸：300*200*40±3mm ,采用≥3英寸LCD显示屏；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2、检验电压：1500V  50Hz；施压时间：≥5s。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3、可学习≥8组按键功能；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4、支持与档案库房</w:t>
            </w:r>
            <w:r>
              <w:rPr>
                <w:rFonts w:hint="eastAsia" w:ascii="华文中宋" w:hAnsi="华文中宋" w:eastAsia="华文中宋" w:cs="华文中宋"/>
                <w:color w:val="auto"/>
                <w:highlight w:val="none"/>
                <w:lang w:val="en-US" w:eastAsia="zh-CN"/>
              </w:rPr>
              <w:t>相关</w:t>
            </w:r>
            <w:r>
              <w:rPr>
                <w:rFonts w:hint="eastAsia" w:ascii="华文中宋" w:hAnsi="华文中宋" w:eastAsia="华文中宋" w:cs="华文中宋"/>
                <w:color w:val="auto"/>
                <w:highlight w:val="none"/>
              </w:rPr>
              <w:t>监控系统对接，</w:t>
            </w: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多台设备集中管控；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5、红外发射头与空调距离最远：≥10米；</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85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D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07D91C7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C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06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净化消毒加湿除湿一体机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8C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1、RS485 远程监控端口；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2、标配除尘功能（≥90%去除空气中的PM2.5、PM10）；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3、标配除二氧化硫功能（≥90%去除档案库房二氧化硫）；</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4、除湿量：70-90L/24h，加湿量：6-8L/h；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5、系统可接入智慧档案馆（库）一体化平台；</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6、人机交互界面：采用≥7英寸触摸屏控制除湿、加湿、净化等功能，页面显示实时温湿度、运行状态、风机状态及水箱状态；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7、除湿加湿净化为一体，依据标准设定库房环境阈值自动运行；</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8、水箱采用双层水箱；</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9、设备支持手、自动排水功能；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10、含恒湿控制模块。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86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29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52EF10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07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9E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空气净化采集传感器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0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1、施压时间≥5s。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2、对档案库房内PM2.5、PM10、TVOC、CO</w:t>
            </w:r>
            <w:r>
              <w:rPr>
                <w:rFonts w:hint="eastAsia" w:ascii="华文中宋" w:hAnsi="华文中宋" w:eastAsia="华文中宋" w:cs="华文中宋"/>
                <w:color w:val="auto"/>
                <w:highlight w:val="none"/>
                <w:vertAlign w:val="subscript"/>
              </w:rPr>
              <w:t>2</w:t>
            </w:r>
            <w:r>
              <w:rPr>
                <w:rFonts w:hint="eastAsia" w:ascii="华文中宋" w:hAnsi="华文中宋" w:eastAsia="华文中宋" w:cs="华文中宋"/>
                <w:color w:val="auto"/>
                <w:highlight w:val="none"/>
              </w:rPr>
              <w:t>数据采集；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3、可上传至区域控制器进行数据分析，反馈信号给人工智能档案管理总平台发送指令智能运行相应设备对室内温湿度、空气净化智能化运行；</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4、供电电压：12-24VDC（配电源适配器220VAC）；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5、消耗电流：平均200mA左右，峰值300mA左右；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6、信号输出：RS485；                                          </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D0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ED5B01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76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89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复合式空气净化消毒设备</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E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1、采用≥7英寸工业触控显示屏，配备多功能传感器，能实时监测并显示当前环境中的各项指标。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2、采用UV紫外光解、光氢、负离子，配合银离子、活性炭、H13高效复合过滤装置，层层消毒与吸附净化。</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3、采用多叶片低噪音离心风机，风量≥600m3/h，送风方式为45度斜下送风，顶部回风；</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4、设备运行有自动模式、手动模式、节能模式供用户选择。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5、支持消毒装置和过滤净化装置更换提醒功能。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6、具备RS485通讯接口，支持与档案系统对接。</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7、风量≥600m3/h，不少于高、中、低三档风速可选择。</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3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2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991BB4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DB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05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空气净化处理管理软件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B5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系统远程控制新风机及健康防护一体机等环境净化设备的运行状态，支持远程控制功能，可与库房空气质量监控子系统联动并自动运行，净化库房空气。</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DC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7D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819323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02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E4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触摸查询液晶屏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DC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1、嵌入式操作系统，触摸屏≥15英寸；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2、系统功能：系统支持实时显示室内温度、湿度、空气质量、有害气体、漏水、红外报警、火灾报警、驱鼠等库房十防检测数据；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3、支持触摸屏可远程控制管理库房内空调、恒湿一体机、 霉菌净化机、新风机、除酸机等智能设备，并可进入智能设备管理界面进行单独管理；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4、支持实时短信、声光、WEB 窗口报警，快速响应、精准定位； </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23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51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019041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EF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D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网络高清硬盘录像机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48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1、接入宽带：≥80Mbps。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2、视频输入路数：≥16路；≥4盘位。</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3、HDMI输出：≥1路，≥4K。</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4、≥3个USB2.0接口。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5、≥1个RJ45 10M/100M自适应以太网口。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6、支持4K高清输出,支持最高5MP摄像机接入；支持60M/80M网络接入带宽。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7、解码能力:≥4路1080P/8路720P/16路4CIF；输出带宽≥80M。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8、码流格式H.265+支持4SATA，支持8/16路同步回放。</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C4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83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62171B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6D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29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硬盘录像机用硬盘</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1D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≥8TB企业级硬盘</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96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4A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1BE28DE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7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64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网络高清红外半球摄像机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BD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1、分辨率：≥200万。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2、传感器类型：1/2.7〞 CMOS。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3、图像大小：≥1920*1080。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4、通讯接口：≥1个RJ45 10M/100M自适应以太网口。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5、红外照射距离：≥30米。</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23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B1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90C454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83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26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摄像机电源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61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同摄像机配套使用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AD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3D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3E6C643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C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27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短信语音报警处理器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74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1、工作温度：-20℃—+40℃；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2、库房出现状况可发送短信到管理人员手机；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3、双频GSM调制解调器（EGSM900/1800MHz或EGSM900/1900MHz）；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4、含短信报警云服务平台。</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E5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5C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0433BC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BA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CB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防盗报警控制器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56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1、电气间隙：≥1.5mm； 爬电距离：≥4.0mm；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2、采样频率 AD采样频率±10Hz；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3、分辨率:≥16位；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4、精度等级 ±0.1%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5、输入阻抗 ≤20毫安；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6、通信接口 光电隔离RS485通信接口；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7、端口数量：≥2个。</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1F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F7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113505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EB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A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红外双鉴探测器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72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1、探测方式： 双红外+微波+人工智能；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2、微波频率 ：≥10.525GHz；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3、工作电压 ：≤12VDC；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4、消耗电流 ：≤25mA；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5、自动温度补偿 ：支持；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6、脉冲计数可调 ：支持；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7、状态报告： 支持；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8、防拆报警 ：支持；</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9、报警输出：常闭，50mA/30VDC；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10、防拆接口：常闭，50mA/30VDC；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11、防宠物：≤25kg；</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12、抗白光干扰： &gt;9000LUX。</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4C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F6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B4A24A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E5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3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防盗报警警灯警号</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8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1、额定工作电压(V/DC):12V；</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2、工作电压范围(V):9-15V；</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3、工作电流范围(mA):≤300；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4、工作温度(℃):﹣20~﹢60℃；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5、声压(dB):≥108±3dB/30CM；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6、连续工作时间:≥45min DC12V；</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7、闪灯次数(分钟):200±30。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64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3C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115EBB4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46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E5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防静电地板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E4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陶瓷面防滑 600*600（±1mm）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9E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E7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平米</w:t>
            </w:r>
          </w:p>
        </w:tc>
      </w:tr>
      <w:tr w14:paraId="057C410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23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00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专用防盗门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9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甲级</w:t>
            </w:r>
            <w:r>
              <w:rPr>
                <w:rFonts w:hint="eastAsia" w:ascii="华文中宋" w:hAnsi="华文中宋" w:eastAsia="华文中宋" w:cs="华文中宋"/>
                <w:color w:val="auto"/>
                <w:highlight w:val="none"/>
                <w:lang w:val="en-US" w:eastAsia="zh-CN"/>
              </w:rPr>
              <w:t>钢制</w:t>
            </w:r>
            <w:r>
              <w:rPr>
                <w:rFonts w:hint="eastAsia" w:ascii="华文中宋" w:hAnsi="华文中宋" w:eastAsia="华文中宋" w:cs="华文中宋"/>
                <w:color w:val="auto"/>
                <w:highlight w:val="none"/>
              </w:rPr>
              <w:t>防火门</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规格约为1500mmX2200mm</w:t>
            </w:r>
            <w:r>
              <w:rPr>
                <w:rFonts w:hint="eastAsia" w:ascii="华文中宋" w:hAnsi="华文中宋" w:eastAsia="华文中宋" w:cs="华文中宋"/>
                <w:color w:val="auto"/>
                <w:highlight w:val="none"/>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54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6B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w:t>
            </w:r>
          </w:p>
        </w:tc>
      </w:tr>
      <w:tr w14:paraId="6008815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0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9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其他费用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1D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安装所需线缆、接插件等安装所需辅材。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E1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2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r w14:paraId="6B2CBCE8">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75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八、数字化手术室系统</w:t>
            </w:r>
          </w:p>
        </w:tc>
      </w:tr>
      <w:tr w14:paraId="5BF0357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38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0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97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B5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4B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448EFA0B">
        <w:tblPrEx>
          <w:tblCellMar>
            <w:top w:w="0" w:type="dxa"/>
            <w:left w:w="108" w:type="dxa"/>
            <w:bottom w:w="0" w:type="dxa"/>
            <w:right w:w="108" w:type="dxa"/>
          </w:tblCellMar>
        </w:tblPrEx>
        <w:trPr>
          <w:trHeight w:val="440" w:hRule="atLeast"/>
          <w:jc w:val="center"/>
        </w:trPr>
        <w:tc>
          <w:tcPr>
            <w:tcW w:w="7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523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1、后台应用系统</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5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17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8E2DCB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BE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0E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数字化手术室服务器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40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1、设备高度：≥2U机架式设备；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2、处理器:配置≥1颗处理器，处理器性能核数≥12核，主频≥2.1Ghz；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3、内存：配置≥64GB内存，内存总插槽数≥24个；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4、硬盘：配置≥2块4TB 企业级硬盘；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5、Raid卡：支持raid0、raid1、raid10及JBOD直通模式；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6、网卡：配置≥4个千兆电口；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7、电源：配置冗余电源。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49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3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84713E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68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38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数字化手术室综合管理平台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29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综合管理平台：设备管理、资源管理、用户管理、患者管理、存储管理、直播管理、示教管理、影像路由管理、远程会诊系统管理、应用管理、多媒体编辑模块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1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7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59FE22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2F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84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视频资源管理系统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0A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提供手术室视频集中调度与控制，实现视频、资源、实时数据监测灵活调度，并可以对整个手术过程进行实时记录存档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28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78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1733BF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35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F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可视化示教管理系统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2C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将从手术室获取到的音视频信号通过网络方式传输到服务器，同时完成数据处理和管理工作。示教室通过网络调用服务器里的音视频数据，显示手术室实时画面，同时也可将示教室里的画面传输到手术室里，实时音视频双向互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1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DE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27FB69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85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60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远程会诊系统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29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可实现远程专家与手术室实时双向音视频互动，实现远程患者信息查看，实现实时视频批注、录制功能，实现文件传输与共享，同时还可以实现术后影像查看、下载、文件下载等；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40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B9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5C71C4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30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8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术中谈话系统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1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手术室医护直接呼叫远程谈话室的患者家属，实现双向音视频互动，完成术中沟通，并进行实时记录存档，同时家属可以远程观看手术过程，了解手术动态。</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3A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6B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7682AA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E1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6B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本地存储服务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E7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1、基础管理软件，含对象存储基础管理功能，包含对象上传、下载、查询、拷贝。</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2、实现对象数据存储，实现跨节点数据安全。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3、存储资源虚拟化软件模块，含存储资源虚拟化功能，为应用提供池化资源服务；内置容量授权模块。</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4、实现流式存储服务。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E6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B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FEC8D7E">
        <w:tblPrEx>
          <w:tblCellMar>
            <w:top w:w="0" w:type="dxa"/>
            <w:left w:w="108" w:type="dxa"/>
            <w:bottom w:w="0" w:type="dxa"/>
            <w:right w:w="108" w:type="dxa"/>
          </w:tblCellMar>
        </w:tblPrEx>
        <w:trPr>
          <w:trHeight w:val="440" w:hRule="atLeast"/>
          <w:jc w:val="center"/>
        </w:trPr>
        <w:tc>
          <w:tcPr>
            <w:tcW w:w="7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5FF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2、前端采集展示系统</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09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42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666B11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86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7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术野摄像机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A8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1、≥800万像素1/2.5”CMOS，≥20倍光学变焦，≥12倍数字变焦，焦距</w:t>
            </w:r>
            <w:r>
              <w:rPr>
                <w:rFonts w:hint="eastAsia" w:ascii="华文中宋" w:hAnsi="华文中宋" w:cs="华文中宋"/>
                <w:color w:val="auto"/>
                <w:highlight w:val="none"/>
                <w:lang w:val="en-US" w:eastAsia="zh-CN"/>
              </w:rPr>
              <w:t>5</w:t>
            </w:r>
            <w:r>
              <w:rPr>
                <w:rFonts w:hint="eastAsia" w:ascii="华文中宋" w:hAnsi="华文中宋" w:eastAsia="华文中宋" w:cs="华文中宋"/>
                <w:color w:val="auto"/>
                <w:highlight w:val="none"/>
              </w:rPr>
              <w:t>-8</w:t>
            </w:r>
            <w:r>
              <w:rPr>
                <w:rFonts w:hint="eastAsia" w:ascii="华文中宋" w:hAnsi="华文中宋" w:cs="华文中宋"/>
                <w:color w:val="auto"/>
                <w:highlight w:val="none"/>
                <w:lang w:val="en-US" w:eastAsia="zh-CN"/>
              </w:rPr>
              <w:t>0</w:t>
            </w:r>
            <w:r>
              <w:rPr>
                <w:rFonts w:hint="eastAsia" w:ascii="华文中宋" w:hAnsi="华文中宋" w:eastAsia="华文中宋" w:cs="华文中宋"/>
                <w:color w:val="auto"/>
                <w:highlight w:val="none"/>
              </w:rPr>
              <w:t>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2、最高实现4K输出，通过网线传输，传输距离</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rPr>
              <w:t>70m</w:t>
            </w:r>
            <w:r>
              <w:rPr>
                <w:rFonts w:hint="eastAsia" w:ascii="华文中宋" w:hAnsi="华文中宋" w:cs="华文中宋"/>
                <w:color w:val="auto"/>
                <w:highlight w:val="none"/>
                <w:lang w:eastAsia="zh-CN"/>
              </w:rPr>
              <w:t>；</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3、多种场景模式可切换；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4、铝合金壳体与专业涂装表面，支持酒精擦拭消毒；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74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68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57AA22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0F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EE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全景摄像机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82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1、≥800万像素逐行扫描1/1.8”CMOS,焦距</w:t>
            </w:r>
            <w:r>
              <w:rPr>
                <w:rFonts w:hint="eastAsia" w:ascii="华文中宋" w:hAnsi="华文中宋" w:cs="华文中宋"/>
                <w:color w:val="auto"/>
                <w:highlight w:val="none"/>
                <w:lang w:val="en-US" w:eastAsia="zh-CN"/>
              </w:rPr>
              <w:t>7</w:t>
            </w:r>
            <w:r>
              <w:rPr>
                <w:rFonts w:hint="eastAsia" w:ascii="华文中宋" w:hAnsi="华文中宋" w:eastAsia="华文中宋" w:cs="华文中宋"/>
                <w:color w:val="auto"/>
                <w:highlight w:val="none"/>
              </w:rPr>
              <w:t>-13</w:t>
            </w:r>
            <w:r>
              <w:rPr>
                <w:rFonts w:hint="eastAsia" w:ascii="华文中宋" w:hAnsi="华文中宋" w:cs="华文中宋"/>
                <w:color w:val="auto"/>
                <w:highlight w:val="none"/>
                <w:lang w:val="en-US" w:eastAsia="zh-CN"/>
              </w:rPr>
              <w:t>0</w:t>
            </w:r>
            <w:r>
              <w:rPr>
                <w:rFonts w:hint="eastAsia" w:ascii="华文中宋" w:hAnsi="华文中宋" w:eastAsia="华文中宋" w:cs="华文中宋"/>
                <w:color w:val="auto"/>
                <w:highlight w:val="none"/>
              </w:rPr>
              <w:t>mm，≥20倍光学，≥16倍数字变焦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2、支持HDMI和3G-SDI视频输出接口，实现无损耗数字信号传输，最大支持4K 60fps高帧率输出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3、实现水平0°～350°旋转，垂直方向-30°～90°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4、实现≥1路音频输入和≥1路音频输出，支持≥1路报警输入和≥1路报警输出。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CC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41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7204AE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0C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EB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显示器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E5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1、≥27英寸，3840 X 2160 分辨率，可显示4K超高清图像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2、亮度≥1000cd/m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，色彩10bit，可视角度 ≥178°,对比度 1000：1</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 12G-SDI、3G-SDI、HDMI、DP、DVI等信号输入、实现 12G-SDI、DVI等信号输出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4、实现多种PIP和POP的多画面显示。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1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1D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6B946E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B2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4B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中央悬臂系统（单臂）</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4C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1、整体式联动结构，规避穿线过程的的磨损，挤压。</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2、主要材料采用优质碳钢制作而成，表面采用喷塑处理，护罩是采用 ABS 塑料。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3、完全内置电源线和数据线路；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4、支持定制选择HDMI/SDI/网线/电源复合线等线材；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5、弹簧臂最大臂展：1750±20mm，拉伸高度：1050±20mm，弹簧臂水平 300°可调，垂直40°～-45°可调；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52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C8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178511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6A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1D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中央悬臂系统（双臂）</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E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1、整体式联动结构，规避穿线过程的的磨损，挤压。</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2、一体式同轴双臂，主要材料采用优质碳钢制作而成，表面采用喷塑处理，护罩是采用 ABS 塑料。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3、完全内置电源线和数据线路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4、支持定制选择HDMI/SDI/网线/电源复合线等线材；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5、弹簧臂最大臂展：1750±20mm，拉伸高度：1050±20mm，弹簧臂水平 300°可调，垂直40°～-45°可调；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01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1B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25BE2C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C0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E9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数字化显控终端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24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1、内嵌式安装在手术室墙面，与墙面齐平无缝集成， 无凸出，防尘防水，可清洁消毒，不影响手术室层流净化，箱体内部内置数字化手术室核心设备及部分外设，无需再占用手术室其他宝贵空间，内置散热风扇。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2、集成配置医用抗菌防水键盘，硅橡胶材质，碳粒金膜接触技术；全铝翻折式键盘托，实现USB外置接口热插拔，≥IP67防护等级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3、≥24英寸时钟计时显示屏；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4、≥27英寸触控工作站：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(1)具备十点电容触控操作，屏幕表面AG85防眩,AF防指纹处理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(2）CPU:性能≥四核处理器，预装正版系统，内存：≥16G ,硬盘 ≥2TB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(3)支持10/100M/1000M自适应以太网接口，支持wifi连接，带蓝牙</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(4)接口支持：DP、HDMI、USB、MIC-IN、LINE-OUT</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(5)兼容手术室工作站软件，满足日常手术HIS等系统接入</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5、≥55英寸4K医用显示大屏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(1)分辨率：3840×2160，刷新频率:60Hz，响应时间:≤8ms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(2)具备DVI、HDMI、DP、VGA信号输入</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6、一体化高度集成，内置电源管理保护模块、音频输入输出模块、网络交换等模块，采用可开合、支持气动悬停设计。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EF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F5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264FC7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B0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9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视讯终端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48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1、设备采用嵌入式系统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2、实现≥4K高清信号采集和输出；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3、实现≥8路音频输入8路音频输出；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4、内置≥2T存储，支持U盘和移动硬盘录制、存储、回放</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5、控制接口：支持RS-485、RS-232串行接口，支持PALCO_D，PALCO_P等协议；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6、具备≥1个10M/100M/1000M/自适应RJ45网口。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B3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0C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AE9F49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E6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3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矩阵</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D0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实现≥8路信号输入、≥8路信号输出，单路分辨率支持≥4K@60Hz，双电源输入。实现前面板按键、RS-232、TCP/IP控制，前面板带液晶显示屏，切换操作同时直观显示通道状态。</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17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4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4552DA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57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2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无线麦克风</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9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频率范围：470～960MHz (分段设计)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调制方式：宽带FM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可调范围：50MHz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动态范围：≥100dB 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频率响应：50Hz～18KHz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综合信噪比：≥105dB A+</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D1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01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EDFDDE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D3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FC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音响</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9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≥6英寸专业级天花板嵌入式扬声器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额定功率：≥60W(AES)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额定阻抗：≤8Ω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频率响应（±3dB）：52Hz-20kHz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灵敏度（1W/1M）：87dB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覆盖角：H110×V110°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最大声压级：102dB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安装方式：嵌入式安装，ABS工程塑料</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33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7E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ED3B85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46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5B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3C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≥8个10/100/1000Mbps自适应RJ45端口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26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FC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3178CA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58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D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信号无损传输面板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72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独立的信号传输面板，实现多路设备影像视频源、网络输入</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1C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E9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CA7FBA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4E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D8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传输器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B6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RJ45网络接口，分辨率支持3840*2160并向下兼容，传输距离不低于30米                                                                                                                                                 </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8C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B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D226FA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DA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DD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配件、辅材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6F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含线材、接头</w:t>
            </w:r>
            <w:r>
              <w:rPr>
                <w:rFonts w:hint="eastAsia" w:ascii="华文中宋" w:hAnsi="华文中宋" w:cs="华文中宋"/>
                <w:color w:val="auto"/>
                <w:highlight w:val="none"/>
                <w:lang w:eastAsia="zh-CN"/>
              </w:rPr>
              <w:t>、</w:t>
            </w:r>
            <w:r>
              <w:rPr>
                <w:rFonts w:hint="eastAsia" w:ascii="华文中宋" w:hAnsi="华文中宋" w:cs="华文中宋"/>
                <w:color w:val="auto"/>
                <w:highlight w:val="none"/>
                <w:lang w:val="en-US" w:eastAsia="zh-CN"/>
              </w:rPr>
              <w:t>标识、模块、水晶头</w:t>
            </w:r>
            <w:r>
              <w:rPr>
                <w:rFonts w:hint="eastAsia" w:ascii="华文中宋" w:hAnsi="华文中宋" w:eastAsia="华文中宋" w:cs="华文中宋"/>
                <w:color w:val="auto"/>
                <w:highlight w:val="none"/>
              </w:rPr>
              <w:t>等安装所需辅材。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F3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5F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r w14:paraId="566194DE">
        <w:tblPrEx>
          <w:tblCellMar>
            <w:top w:w="0" w:type="dxa"/>
            <w:left w:w="108" w:type="dxa"/>
            <w:bottom w:w="0" w:type="dxa"/>
            <w:right w:w="108" w:type="dxa"/>
          </w:tblCellMar>
        </w:tblPrEx>
        <w:trPr>
          <w:trHeight w:val="440" w:hRule="atLeast"/>
          <w:jc w:val="center"/>
        </w:trPr>
        <w:tc>
          <w:tcPr>
            <w:tcW w:w="7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347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3、示教室</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B7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D2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A6E30B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4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E5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视讯终端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68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1、支持≥4K高清信号采集和输出，并向下兼容各类高标清信号；</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2、支持≥3路设备影像接入接口；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3、支持≥2路影像输出；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4、支持≥3路音频同时接入和3路音频同时输出。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5、内置≥1T硬盘，支持U盘和移动硬盘录制、存储、回放</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6、控制接口：≥1路RS-485、1路RS-232串行接口，支持PALCO_D，PALCO_P等协议；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7、10M/100M/1000M/自适应RJ45网口≥1个，支持接入无线网络。</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A3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E4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C592D5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12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85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全景摄像机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C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像素≥200万像素逐行扫描1/2.8”CMOS，焦距4.8～110mm，≥23倍光学变焦，≥16倍数字变焦。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85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BA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5D17E8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4A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98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无线麦克风</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D6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频率范围：470～960MHz (分段设计)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可调范围：50MHz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信道数量：≥200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信道间隔：250KHz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频率稳定度：±0.015%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动态范围：≥100dB 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调制频偏：±48KHz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频率响应：80Hz～16KHz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综合信噪比：≥100dB 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综合失真：≤0.5% (at 1KHz)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工作温度：-20℃～+50℃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06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9B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37FCD8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A1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C2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功放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DB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带蓝牙输入，录音输出功能，≥4通道输出，每通道输出功率≥150W（8Ω），可带负载4-8欧姆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C9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24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6F0ABA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D1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46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音响</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FE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额定功率：≥300W(AES)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额定阻抗：≤8Ω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频率响应（±3dB）：65Hz-20kHz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灵敏度（1W/1M）：≥95dB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覆盖角：≥H90°×V60°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最大声压级：117dB</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BA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C9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AEB81E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A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1B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E5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≥8个10/100/1000Mbps自适应RJ45端口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E9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E8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8EA048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8B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53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机柜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0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≥21U标准一体化机柜，进深800±2mm，配置固定板≥3块，≥六孔电源接线板： ≥1个，静音风扇≥2只，600*800*1000（±2）mm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BB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50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430D6C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45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75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笔记本电脑</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6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处理器≥12核心/16线程，内存容量：≥32GB；硬盘容量：≥960GB固态硬盘；屏幕类型：≥IPS；屏幕尺寸：≥14英寸；显示比例：16:10；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2F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B3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9440F3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4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5F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平板电视</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14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≥55英寸，LED背光源；显示比例16：9，分辨率≥1920*1080，亮度 ≥550(cd/m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)，可视角度≥178度。动态对比度≥40000:1，刷屏率≥ 120HZ，响应时间 ≥4ms。输入接口 HDMI。带吊装支架。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E3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E4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657D2C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04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9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配件、辅材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87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含线材、接头</w:t>
            </w:r>
            <w:r>
              <w:rPr>
                <w:rFonts w:hint="eastAsia" w:ascii="华文中宋" w:hAnsi="华文中宋" w:cs="华文中宋"/>
                <w:color w:val="auto"/>
                <w:highlight w:val="none"/>
                <w:lang w:eastAsia="zh-CN"/>
              </w:rPr>
              <w:t>、</w:t>
            </w:r>
            <w:r>
              <w:rPr>
                <w:rFonts w:hint="eastAsia" w:ascii="华文中宋" w:hAnsi="华文中宋" w:cs="华文中宋"/>
                <w:color w:val="auto"/>
                <w:highlight w:val="none"/>
                <w:lang w:val="en-US" w:eastAsia="zh-CN"/>
              </w:rPr>
              <w:t>水晶头、模块</w:t>
            </w:r>
            <w:r>
              <w:rPr>
                <w:rFonts w:hint="eastAsia" w:ascii="华文中宋" w:hAnsi="华文中宋" w:eastAsia="华文中宋" w:cs="华文中宋"/>
                <w:color w:val="auto"/>
                <w:highlight w:val="none"/>
              </w:rPr>
              <w:t>等安装所需辅材。</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B9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ED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r w14:paraId="7026C19D">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88F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九、数字时钟系统</w:t>
            </w:r>
          </w:p>
        </w:tc>
      </w:tr>
      <w:tr w14:paraId="49B11A6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8A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F0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1D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05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55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7464F6A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37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12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时钟管理系统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48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525" cy="12065"/>
                  <wp:effectExtent l="0" t="0" r="0" b="0"/>
                  <wp:wrapNone/>
                  <wp:docPr id="17" name="图片_2"/>
                  <wp:cNvGraphicFramePr/>
                  <a:graphic xmlns:a="http://schemas.openxmlformats.org/drawingml/2006/main">
                    <a:graphicData uri="http://schemas.openxmlformats.org/drawingml/2006/picture">
                      <pic:pic xmlns:pic="http://schemas.openxmlformats.org/drawingml/2006/picture">
                        <pic:nvPicPr>
                          <pic:cNvPr id="17" name="图片_2"/>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525" cy="12065"/>
                  <wp:effectExtent l="0" t="0" r="0" b="0"/>
                  <wp:wrapNone/>
                  <wp:docPr id="18" name="图片_6"/>
                  <wp:cNvGraphicFramePr/>
                  <a:graphic xmlns:a="http://schemas.openxmlformats.org/drawingml/2006/main">
                    <a:graphicData uri="http://schemas.openxmlformats.org/drawingml/2006/picture">
                      <pic:pic xmlns:pic="http://schemas.openxmlformats.org/drawingml/2006/picture">
                        <pic:nvPicPr>
                          <pic:cNvPr id="18" name="图片_6"/>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2065" cy="7620"/>
                  <wp:effectExtent l="0" t="0" r="0" b="0"/>
                  <wp:wrapNone/>
                  <wp:docPr id="19" name="图片_6_SpCnt_1"/>
                  <wp:cNvGraphicFramePr/>
                  <a:graphic xmlns:a="http://schemas.openxmlformats.org/drawingml/2006/main">
                    <a:graphicData uri="http://schemas.openxmlformats.org/drawingml/2006/picture">
                      <pic:pic xmlns:pic="http://schemas.openxmlformats.org/drawingml/2006/picture">
                        <pic:nvPicPr>
                          <pic:cNvPr id="19" name="图片_6_SpCnt_1"/>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2065" cy="7620"/>
                  <wp:effectExtent l="0" t="0" r="0" b="0"/>
                  <wp:wrapNone/>
                  <wp:docPr id="20" name="图片_6_SpCnt_2"/>
                  <wp:cNvGraphicFramePr/>
                  <a:graphic xmlns:a="http://schemas.openxmlformats.org/drawingml/2006/main">
                    <a:graphicData uri="http://schemas.openxmlformats.org/drawingml/2006/picture">
                      <pic:pic xmlns:pic="http://schemas.openxmlformats.org/drawingml/2006/picture">
                        <pic:nvPicPr>
                          <pic:cNvPr id="20" name="图片_6_SpCnt_2"/>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2065" cy="7620"/>
                  <wp:effectExtent l="0" t="0" r="0" b="0"/>
                  <wp:wrapNone/>
                  <wp:docPr id="21" name="图片_3"/>
                  <wp:cNvGraphicFramePr/>
                  <a:graphic xmlns:a="http://schemas.openxmlformats.org/drawingml/2006/main">
                    <a:graphicData uri="http://schemas.openxmlformats.org/drawingml/2006/picture">
                      <pic:pic xmlns:pic="http://schemas.openxmlformats.org/drawingml/2006/picture">
                        <pic:nvPicPr>
                          <pic:cNvPr id="21" name="图片_3"/>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2065" cy="7620"/>
                  <wp:effectExtent l="0" t="0" r="0" b="0"/>
                  <wp:wrapNone/>
                  <wp:docPr id="22" name="图片_7"/>
                  <wp:cNvGraphicFramePr/>
                  <a:graphic xmlns:a="http://schemas.openxmlformats.org/drawingml/2006/main">
                    <a:graphicData uri="http://schemas.openxmlformats.org/drawingml/2006/picture">
                      <pic:pic xmlns:pic="http://schemas.openxmlformats.org/drawingml/2006/picture">
                        <pic:nvPicPr>
                          <pic:cNvPr id="22" name="图片_7"/>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2065" cy="7620"/>
                  <wp:effectExtent l="0" t="0" r="0" b="0"/>
                  <wp:wrapNone/>
                  <wp:docPr id="23" name="图片_2_SpCnt_1"/>
                  <wp:cNvGraphicFramePr/>
                  <a:graphic xmlns:a="http://schemas.openxmlformats.org/drawingml/2006/main">
                    <a:graphicData uri="http://schemas.openxmlformats.org/drawingml/2006/picture">
                      <pic:pic xmlns:pic="http://schemas.openxmlformats.org/drawingml/2006/picture">
                        <pic:nvPicPr>
                          <pic:cNvPr id="23" name="图片_2_SpCnt_1"/>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9525" cy="12065"/>
                  <wp:effectExtent l="0" t="0" r="0" b="0"/>
                  <wp:wrapNone/>
                  <wp:docPr id="24" name="图片_7_SpCnt_1"/>
                  <wp:cNvGraphicFramePr/>
                  <a:graphic xmlns:a="http://schemas.openxmlformats.org/drawingml/2006/main">
                    <a:graphicData uri="http://schemas.openxmlformats.org/drawingml/2006/picture">
                      <pic:pic xmlns:pic="http://schemas.openxmlformats.org/drawingml/2006/picture">
                        <pic:nvPicPr>
                          <pic:cNvPr id="24" name="图片_7_SpCnt_1"/>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9525" cy="12065"/>
                  <wp:effectExtent l="0" t="0" r="0" b="0"/>
                  <wp:wrapNone/>
                  <wp:docPr id="25" name="图片_6_SpCnt_3"/>
                  <wp:cNvGraphicFramePr/>
                  <a:graphic xmlns:a="http://schemas.openxmlformats.org/drawingml/2006/main">
                    <a:graphicData uri="http://schemas.openxmlformats.org/drawingml/2006/picture">
                      <pic:pic xmlns:pic="http://schemas.openxmlformats.org/drawingml/2006/picture">
                        <pic:nvPicPr>
                          <pic:cNvPr id="25" name="图片_6_SpCnt_3"/>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9525" cy="12065"/>
                  <wp:effectExtent l="0" t="0" r="0" b="0"/>
                  <wp:wrapNone/>
                  <wp:docPr id="26" name="图片_3_SpCnt_1"/>
                  <wp:cNvGraphicFramePr/>
                  <a:graphic xmlns:a="http://schemas.openxmlformats.org/drawingml/2006/main">
                    <a:graphicData uri="http://schemas.openxmlformats.org/drawingml/2006/picture">
                      <pic:pic xmlns:pic="http://schemas.openxmlformats.org/drawingml/2006/picture">
                        <pic:nvPicPr>
                          <pic:cNvPr id="26" name="图片_3_SpCnt_1"/>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9525" cy="12065"/>
                  <wp:effectExtent l="0" t="0" r="0" b="0"/>
                  <wp:wrapNone/>
                  <wp:docPr id="27" name="图片_2_SpCnt_2"/>
                  <wp:cNvGraphicFramePr/>
                  <a:graphic xmlns:a="http://schemas.openxmlformats.org/drawingml/2006/main">
                    <a:graphicData uri="http://schemas.openxmlformats.org/drawingml/2006/picture">
                      <pic:pic xmlns:pic="http://schemas.openxmlformats.org/drawingml/2006/picture">
                        <pic:nvPicPr>
                          <pic:cNvPr id="27" name="图片_2_SpCnt_2"/>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2065" cy="7620"/>
                  <wp:effectExtent l="0" t="0" r="0" b="0"/>
                  <wp:wrapNone/>
                  <wp:docPr id="28" name="图片_3_SpCnt_2"/>
                  <wp:cNvGraphicFramePr/>
                  <a:graphic xmlns:a="http://schemas.openxmlformats.org/drawingml/2006/main">
                    <a:graphicData uri="http://schemas.openxmlformats.org/drawingml/2006/picture">
                      <pic:pic xmlns:pic="http://schemas.openxmlformats.org/drawingml/2006/picture">
                        <pic:nvPicPr>
                          <pic:cNvPr id="28" name="图片_3_SpCnt_2"/>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2065" cy="7620"/>
                  <wp:effectExtent l="0" t="0" r="0" b="0"/>
                  <wp:wrapNone/>
                  <wp:docPr id="29" name="图片_7_SpCnt_2"/>
                  <wp:cNvGraphicFramePr/>
                  <a:graphic xmlns:a="http://schemas.openxmlformats.org/drawingml/2006/main">
                    <a:graphicData uri="http://schemas.openxmlformats.org/drawingml/2006/picture">
                      <pic:pic xmlns:pic="http://schemas.openxmlformats.org/drawingml/2006/picture">
                        <pic:nvPicPr>
                          <pic:cNvPr id="29" name="图片_7_SpCnt_2"/>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2065" cy="7620"/>
                  <wp:effectExtent l="0" t="0" r="0" b="0"/>
                  <wp:wrapNone/>
                  <wp:docPr id="30" name="图片_2_SpCnt_3"/>
                  <wp:cNvGraphicFramePr/>
                  <a:graphic xmlns:a="http://schemas.openxmlformats.org/drawingml/2006/main">
                    <a:graphicData uri="http://schemas.openxmlformats.org/drawingml/2006/picture">
                      <pic:pic xmlns:pic="http://schemas.openxmlformats.org/drawingml/2006/picture">
                        <pic:nvPicPr>
                          <pic:cNvPr id="30" name="图片_2_SpCnt_3"/>
                          <pic:cNvPicPr/>
                        </pic:nvPicPr>
                        <pic:blipFill>
                          <a:blip r:embed="rId16"/>
                          <a:stretch>
                            <a:fillRect/>
                          </a:stretch>
                        </pic:blipFill>
                        <pic:spPr>
                          <a:xfrm>
                            <a:off x="0" y="0"/>
                            <a:ext cx="12065" cy="7620"/>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9525" cy="12065"/>
                  <wp:effectExtent l="0" t="0" r="0" b="0"/>
                  <wp:wrapNone/>
                  <wp:docPr id="31" name="图片_3_SpCnt_3"/>
                  <wp:cNvGraphicFramePr/>
                  <a:graphic xmlns:a="http://schemas.openxmlformats.org/drawingml/2006/main">
                    <a:graphicData uri="http://schemas.openxmlformats.org/drawingml/2006/picture">
                      <pic:pic xmlns:pic="http://schemas.openxmlformats.org/drawingml/2006/picture">
                        <pic:nvPicPr>
                          <pic:cNvPr id="31" name="图片_3_SpCnt_3"/>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9525" cy="12065"/>
                  <wp:effectExtent l="0" t="0" r="0" b="0"/>
                  <wp:wrapNone/>
                  <wp:docPr id="32" name="图片_7_SpCnt_3"/>
                  <wp:cNvGraphicFramePr/>
                  <a:graphic xmlns:a="http://schemas.openxmlformats.org/drawingml/2006/main">
                    <a:graphicData uri="http://schemas.openxmlformats.org/drawingml/2006/picture">
                      <pic:pic xmlns:pic="http://schemas.openxmlformats.org/drawingml/2006/picture">
                        <pic:nvPicPr>
                          <pic:cNvPr id="32" name="图片_7_SpCnt_3"/>
                          <pic:cNvPicPr/>
                        </pic:nvPicPr>
                        <pic:blipFill>
                          <a:blip r:embed="rId15"/>
                          <a:stretch>
                            <a:fillRect/>
                          </a:stretch>
                        </pic:blipFill>
                        <pic:spPr>
                          <a:xfrm>
                            <a:off x="0" y="0"/>
                            <a:ext cx="9525" cy="12065"/>
                          </a:xfrm>
                          <a:prstGeom prst="rect">
                            <a:avLst/>
                          </a:prstGeom>
                          <a:noFill/>
                          <a:ln>
                            <a:noFill/>
                          </a:ln>
                        </pic:spPr>
                      </pic:pic>
                    </a:graphicData>
                  </a:graphic>
                </wp:anchor>
              </w:drawing>
            </w:r>
            <w:r>
              <w:rPr>
                <w:rFonts w:hint="eastAsia" w:ascii="华文中宋" w:hAnsi="华文中宋" w:eastAsia="华文中宋" w:cs="华文中宋"/>
                <w:color w:val="auto"/>
                <w:highlight w:val="none"/>
              </w:rPr>
              <w:t>具备搜索网络内的终端设备，包括NTP标准时间授时服务器，数码时钟等。                                                                                                                                                                                  具备单一或批量配置时钟授时服务器地址、终端网络参数、开关机时间、考试倒计时、时区及授时周期等；                                                                                                                                                                         具备单一或批量配置点阵电子显示屏的显示内容，开启时间，显示次数。                                                                                                                                                                                                                                                                                                                                                                                  具备记录终端设备工作状态，查看硬件参数及配置参数等。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2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11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F4CBCF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A1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65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NTP标准时间授时服务器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83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1、自动接收上游时间，北斗授时源；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2、≥1个独立IP地址的10/100M自适应以太网接口；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3、高性能工业级主板，防震、无硬盘和风扇设计，MTBF&gt;80000小时；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4、≥1路PPS输出，一路差分B码输出，一路TTL B码输出；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5、内置温补晶振，在无时间源的状态下，一年内时间误差≤1秒钟；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6、网络时间同步精度：TCP/IP网络上的NTP：1-10ms；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7、用户容量：≥20000个；</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8、NTP请求量：≥1000次/秒；</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FF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69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8D4D0D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87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94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中心母钟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1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1、北斗授时源；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2、高性能工业级主板，防震、无硬盘和风扇设计，MTBF</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rPr>
              <w:t>80000小时；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3、≥16路RS-485授时接口，支持modbus协议；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4、标准计时精度：± 1S/年；</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5、自身计时精度：±0.001S/天；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6、同步误差：1~10ms</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7D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BE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1C0EE8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4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B3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单面时钟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88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1、显示颜色：红色，并支持定制；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2、内置TCP/IP和NTP两种协议，通信接口为RJ45；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3、支持三种不同的时间来源方式，（1）为NTP授时服务器授时；（2）为时间与信息管理系统软件授时；（3）具有NTP授时服务器和时间与信息管理系统软件授时；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4、支持远程开关机功能作；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5、支持内置温补时钟，误差小于0.05秒/天；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6、外框采用冷轧钢板一体成型，亚克力面板，显示钟面作防眩光处理，置于日光灯下应无反光现象。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7、24时制，单面显示，内容有时、分、秒；</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8、亮度≥600cd/m²；亮度调节≥ 3级；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42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85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F8CA6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8F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1C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双面时钟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F6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1、显示颜色：红色，并支持定制；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2、内置TCP/IP和NTP两种协议，通信接口为RJ45；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3、支持三种不同的时间来源方式，（1）为NTP授时服务器授时；（2）为时间与信息管理系统软件授时；（3）具有NTP授时服务器和时间与信息管理系统软件授时；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4、支持内置温补时钟，误差小于0.05秒/天；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5、外框采用冷轧钢板一体成型，亚克力面板，显示钟面作防眩光处理，置于日光灯下应无反光现象。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6、24时制，双面显示，内容有时、分、秒；</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7、亮度≥600cd/m²；亮度调节≥ 3级。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91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79</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08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9E38A3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8B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D9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手术室倒计时子钟</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2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1、显示颜色红色，支持定制；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2、内置TCP/IP和NTP两种协议，通信接口为RJ45，通信方式为以太网通信；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3、支持三种不同的时间来源方式，（1）为NTP授时服务器授时；（2）为时间与信息管理系统软件授时；（3）具有NTP授时服务器和时间与信息管理系统软件授时；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4、配置倒计时功能，倒计时间期间显示正常的时间、倒计时时间启始时间；</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5、内置温补时钟，误差小于0.05秒/天；</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6、支持亮度调节功能，亮度调节 ≥ 3级；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7、支持三联显示“北京时间+麻醉时间+手术时间+温湿度”，红色，特制宽型红色8字形码段数码管。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8、外框采用黑色铝型材，亚克力面板，显示钟面作防眩光处理，置于日光灯下应无反光现象。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9、数字子钟技术参数：LED显示单元发光强度：≥200cd/m</w:t>
            </w:r>
            <w:r>
              <w:rPr>
                <w:rFonts w:hint="eastAsia" w:ascii="华文中宋" w:hAnsi="华文中宋" w:eastAsia="华文中宋" w:cs="华文中宋"/>
                <w:color w:val="auto"/>
                <w:highlight w:val="none"/>
                <w:vertAlign w:val="superscript"/>
              </w:rPr>
              <w:t>2</w:t>
            </w:r>
            <w:r>
              <w:rPr>
                <w:rFonts w:hint="eastAsia" w:ascii="华文中宋" w:hAnsi="华文中宋" w:eastAsia="华文中宋" w:cs="华文中宋"/>
                <w:color w:val="auto"/>
                <w:highlight w:val="none"/>
              </w:rPr>
              <w:t>；对比度≥10：1；同步精度：1-5mS</w:t>
            </w:r>
            <w:r>
              <w:rPr>
                <w:rFonts w:hint="eastAsia" w:ascii="华文中宋" w:hAnsi="华文中宋" w:eastAsia="华文中宋" w:cs="华文中宋"/>
                <w:color w:val="auto"/>
                <w:highlight w:val="none"/>
                <w:lang w:eastAsia="zh-CN"/>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81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93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D323E1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AB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21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GPS/北斗双模天线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41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尺寸：约Φ114mm x 116mm；信号方向:半球形向上；带宽±5 MHz；SMA接口，支持防水、防腐、避雷，防护标准≥IP65；信号传输距离≥1200米；MTBF：≥ 8万小时。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57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5F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16B2028">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61B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十、智能会议系统</w:t>
            </w:r>
          </w:p>
        </w:tc>
      </w:tr>
      <w:tr w14:paraId="497C906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BB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5B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2B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3A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1C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4EC63D49">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0D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1、急诊楼二层三层会议室</w:t>
            </w:r>
          </w:p>
        </w:tc>
      </w:tr>
      <w:tr w14:paraId="46D7125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3DF91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62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户内全彩LED屏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5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1.LED显示屏采用≤2.0mm点间距；</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2.LED显示屏模组尺寸约320mm*160mm；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3.LED显示屏采用前/后维护方式，可正面拆卸模组、接收卡、电源等低压器件，支持热插拔能力；</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4.LED显示屏亮度可达到200-800cd/m²，可通过配套软件0-100%调节；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LED显示屏对比度≥10000：1；LED显示屏杂点率≤1/100000且无连续失控点；LED显示屏亮度均匀性≥99%；LED显示色度均匀性±0.001Cx,Cy之内；LED显示屏像素中心距相对偏差≤1%；LED显示屏观看水平/垂直视角≥175°；LED显示屏平均故障恢复时间（MTTR）≤2分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6.LED显示屏刷新频率≥4200Hz；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7.LED显示屏峰值功耗为≤500W/㎡；LED显示屏平均功耗为≤125W/㎡；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8.LED显示屏支持低蓝光模式，可在控制软件中选择30%、40%、70%三挡调节显示屏蓝光输出；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3C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19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B9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平方米</w:t>
            </w:r>
          </w:p>
        </w:tc>
      </w:tr>
      <w:tr w14:paraId="2D8FAB7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3B784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38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视频处理器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DB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1.支持带载面积≥260万像素，宽度≥3840点，高度≥1920点；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2.支持≥6个自定义场景保存和调用；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3.支持RS232中控接口；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4.配置≥1路DVI输入接口，≥1路HDMI1.3输入接口，≥1路VGA输入接口，≥1路CVBS输入接口，≥1路AUDIO音频输入接口；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5.配置≥4路网口输出，≥1路AUDIO音频输出接口；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91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F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B88B54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F75EB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46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台式电脑</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8F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lang w:val="en-US" w:eastAsia="zh-CN"/>
              </w:rPr>
              <w:t>国产化</w:t>
            </w:r>
            <w:r>
              <w:rPr>
                <w:rFonts w:hint="eastAsia" w:ascii="华文中宋" w:hAnsi="华文中宋" w:eastAsia="华文中宋" w:cs="华文中宋"/>
                <w:color w:val="auto"/>
                <w:highlight w:val="none"/>
              </w:rPr>
              <w:t>处理器：≥4核 主频≥2.5GHz；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2、内存：≥8G 内存；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3、硬盘：≥512G  SSD硬盘；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4、显卡：集成显卡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5、网卡：集成千兆网卡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6、声卡：集成声卡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7、接口：≥4个USB接口、≥1*HDMI接口；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8、显示器：≥29英寸液晶显示器，分辨率≥2560*1080；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CD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4D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42DBB3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9943B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EF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配电柜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01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1.额定功率：≥10kW，输出路数：≥3路；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2.输入电压：三相五线制AC380V±10%，频率50Hz±5%；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3.输出电压：单相220VAC；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4.采用RS485有线以太网远程通信端口；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5.支持设置≥4组开关时间，支持每天定时通电和断电功能；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6.支持通过软件实现实时温度、湿度监测，实时烟雾监测，高温、高湿、烟雾告警自动断电；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7.内置避雷器，具有避雷防雷功能；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A0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2F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FCB07E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77B81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71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技术服务费</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C1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室内LED屏钢结构设计及制作；</w:t>
            </w:r>
            <w:r>
              <w:rPr>
                <w:rFonts w:hint="eastAsia" w:ascii="华文中宋" w:hAnsi="华文中宋" w:cs="华文中宋"/>
                <w:color w:val="auto"/>
                <w:highlight w:val="none"/>
                <w:lang w:val="en-US" w:eastAsia="zh-CN"/>
              </w:rPr>
              <w:t>钢结构采用约40mm*40mm镀锌方管。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70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25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5A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平方米</w:t>
            </w:r>
          </w:p>
        </w:tc>
      </w:tr>
      <w:tr w14:paraId="72CA94A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75632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2F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高清视频无缝切换矩阵</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53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1.支持≥8路HDMI输入接口，支持≥8路HDMI输出接口，输入、输出分辨率支持≥3840×2160P30Hz；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2.支持≥1路RS-232接口、≥1路RS-485接口以及≥1路网络接口，支持通过RS-232、RS-485、TCP/IP 指令控制，以及前面板具有实体按键控制，并支持红外遥控控制；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6B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A5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4D0BE2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7B7AE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79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专业音箱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BB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1.阻抗≤8Ω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2.频响等同或优于65Hz~20KHz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3.额定功率≥150W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4.灵敏度≥95dB/W/M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5.水平覆盖角≥80°，垂直覆盖角≥60°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6.高音≥3"锥形高音单元×1</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7.低音≥8"低音×1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1B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11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7DA6471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9AC96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9E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4E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音箱支架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80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01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19B5B23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8C8E1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0B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专业功放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B0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w:t>
            </w:r>
            <w:r>
              <w:rPr>
                <w:rFonts w:hint="eastAsia" w:ascii="华文中宋" w:hAnsi="华文中宋" w:cs="华文中宋"/>
                <w:color w:val="auto"/>
                <w:highlight w:val="none"/>
                <w:lang w:val="en-US" w:eastAsia="zh-CN"/>
              </w:rPr>
              <w:t>机架式</w:t>
            </w:r>
            <w:r>
              <w:rPr>
                <w:rFonts w:hint="eastAsia" w:ascii="华文中宋" w:hAnsi="华文中宋" w:eastAsia="华文中宋" w:cs="华文中宋"/>
                <w:color w:val="auto"/>
                <w:highlight w:val="none"/>
              </w:rPr>
              <w:t>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2.标准XLR输入接口，和LINK输出口。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3.电源采用开关电源技术。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4.输出功率：立体声8Ω ：350W×2；立体声4Ω：600W×2；桥接16Ω：700W ；桥接8Ω：1200W。</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EC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28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9DBD16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827AC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C2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音频处理器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CF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1.处理器≥4核，主频≥2.0GHz。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后面板具有≥8路线路音频凤凰端子平衡输入接口（具有48V幻象供电）、≥8路线路音频凤凰端子平衡输出接口、≥1个拨码开关、≥1个RJ45接口、≥1个RS232接口、≥1个RS485接口、≥8个可编程GPIO控制接口、≥1个接地柱；前面板具有≥2英寸 IPS 真彩显示屏、≥1个编码旋钮、≥1个USB存储设备接口。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3.输入通道支持前级放大、信号发生器、扩展器、压缩器、均衡器、AFC自适应反馈消除、AEC回声消除、ANC噪声消除、音频矩阵；输出通道支持均衡器、延时器、分频器、高低通滤波器、限幅器。</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AA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D9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A806D7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7CC95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26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电源管理器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4D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1.机柜式设计。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2.支持≥16路电源输出，具有≥14个AC220V(10A)，≥2个AC220V(16A)接口， 电源插口总容量达≥6KVA。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3.设有船型开关，可手动控制≥16个电源上断电。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4.有≥1路24V消防信号输入接口；≥1路消防短路报警触发信号输出。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7E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02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D956E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F7477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B4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全数字会议系统主机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FA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1.采用全国产研发核心芯片与元器件，支持国产操作系统的连接与控制。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2.系统采用高性能DSP处理器，音频采样率≥48kHz，频率响应等同或宽于80Hz~16KHz。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3.集成专业DSP处理功能，具有智能混音、音频矩阵调节、自动增益、反馈抑制、≥31段输出图示均衡（≥8段输出参量均衡）、≥10段输入图示均衡（≥5段输入参量均衡）、闪避器、分频器、音量调节、反相功能。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4.通讯接口包括有≥3路航空接口，≥2路RS-232接口、≥1路RS-485接口、≥3路RJ45网络通信接口、≥1路RJ45内部调试接口、≥1路USB2.0接口；音频输入接口包括有≥1路LINE IN,音频输出接口有≥1路LINE OUT、≥两路SPK OUT，每一路功率≥30W。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5.设备支持会议发言录音功能；搭配会议话筒可以录制话筒混音输出音频；支持通过主机U盘录音。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6.系统支持≥24只话筒同时发言，其中支持≥16只有线话筒和≥8只无线话筒同时发言。</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85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6E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9B46A5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D068D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E1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会议话筒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2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1.采用心型指向性驻极体麦克风。</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2.采用≥128位AES加密技术，支持 WPA/WPA2 无线安全技术。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3.支持触摸按键签到功能。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4.支持TYPE-C口，内置容量锂电池，电池容量≥5100 mAh，可持续≥15小时发言。</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5.支持后台≥5段EQ调节功能。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6.咪杆长度：≤380mm（黑色）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E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3D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A336FC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8C8FF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16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会议话筒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5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1.采用心型指向性驻极体麦克风。</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2.采用≥128位AES加密技术，支持 WPA/WPA2 无线安全技术.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3.支持触摸按键签到功能。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4.支持TYPE-C口，内置容量锂电池，电池容量≥5100 mAh，可持续≥15小时发言。</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5.支持后台≥5段EQ调节功能。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6.咪杆长度：≤380mm（黑色）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D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AA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094331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8414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86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发射器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6A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1.遵从Wi-Fi 6协议标准（IEEE 802.11ax），向下兼容。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2.支持中文SSID，可指定最长包含≥31个字符的SSID，也可以使用中英文混合的SSID。</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0D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50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5613C2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DE85B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17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充电箱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8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1.充电箱具有≥10个USB接口，支持使用USB线充电，提供5V/9V供电。一端连接充电器一端连接会议单元,支持≥18W快充。</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2.智能自动电路保护，所有USB插口均具有短路保护功能和自恢复功能。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B2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D8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61D858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83C14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75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网络中控主机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68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1.支持红外控制、RS-232、RS-422、RS-485、UDP、TCP、telnet、http、MQTT以及SNMP等多种协议。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2.主机≥4英寸触摸彩屏、≥8路独立可编程串口、≥8路独立可编程IR红外发射口、≥8路数字I/0控制口、≥8路弱电继电器控制接口、≥1个NET网络控制接口、≥1路TF卡接口。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3.产品支持≥2种编程方式，包括图形化编程方式及语句式编程方式供用户选择。</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FE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34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2F58B6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E057E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30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控制器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36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1.具有≥8路自动、手动电源控制器，内置≥8个20A继电器，负载能力≥4400W/单路；配合中控主机使用，用于控制灯光、电动投影幕、电动窗帘等会议室周边设备。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2.具有≥1路网络接口，支持通过网络实现远程控制。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CC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E2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CA709B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6423E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28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平板电脑</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35A3">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运行内存：≥12G</w:t>
            </w:r>
          </w:p>
          <w:p w14:paraId="5BD5D3AF">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硬盘存储：≥256G</w:t>
            </w:r>
          </w:p>
          <w:p w14:paraId="6B7C5A95">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屏幕尺寸：≥12英寸</w:t>
            </w:r>
          </w:p>
          <w:p w14:paraId="4995A7D8">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接口：USB Type-C</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lang w:val="en-US" w:eastAsia="zh-CN"/>
              </w:rPr>
              <w:t>支持Type-C数字耳机</w:t>
            </w:r>
          </w:p>
          <w:p w14:paraId="5DAFAE51">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电池类型</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lang w:val="en-US" w:eastAsia="zh-CN"/>
              </w:rPr>
              <w:t>锂电池</w:t>
            </w:r>
          </w:p>
          <w:p w14:paraId="52B541AE">
            <w:pPr>
              <w:keepNext w:val="0"/>
              <w:keepLines w:val="0"/>
              <w:pageBreakBefore w:val="0"/>
              <w:widowControl w:val="0"/>
              <w:numPr>
                <w:ilvl w:val="0"/>
                <w:numId w:val="9"/>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default" w:ascii="华文中宋" w:hAnsi="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电池容量</w:t>
            </w:r>
            <w:r>
              <w:rPr>
                <w:rFonts w:hint="eastAsia" w:ascii="华文中宋" w:hAnsi="华文中宋" w:cs="华文中宋"/>
                <w:color w:val="auto"/>
                <w:highlight w:val="none"/>
                <w:lang w:val="en-US" w:eastAsia="zh-CN"/>
              </w:rPr>
              <w:t>：≥8000</w:t>
            </w:r>
            <w:r>
              <w:rPr>
                <w:rFonts w:hint="eastAsia" w:ascii="华文中宋" w:hAnsi="华文中宋" w:eastAsia="华文中宋" w:cs="华文中宋"/>
                <w:color w:val="auto"/>
                <w:highlight w:val="none"/>
                <w:lang w:val="en-US" w:eastAsia="zh-CN"/>
              </w:rPr>
              <w:t>mAh</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AD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AE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37DDFE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FC2A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C4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机柜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30D7">
            <w:pPr>
              <w:keepNext w:val="0"/>
              <w:keepLines w:val="0"/>
              <w:pageBreakBefore w:val="0"/>
              <w:widowControl w:val="0"/>
              <w:numPr>
                <w:ilvl w:val="0"/>
                <w:numId w:val="1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尺寸:600（±2mm）X600（±2mm）X988（±2mm）mm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2.容量：≥18U</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3.配置:≥8位10A PDU插排一个</w:t>
            </w:r>
          </w:p>
          <w:p w14:paraId="5CB120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Chars="0" w:right="0" w:right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4.材质：冷轧钢</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4C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B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9B5225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53144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45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9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1.交换容量：≥672Gbps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2.包转发率：≥126Mpps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3.固定端口:≥24个10/100/1000Base-T以太网端口（PoE+），≥4个万兆SFP+</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21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F2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C5C8694">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55DF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10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路由器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6B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1.无线速率：≥6000M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2.适用频段：2.4GHz+5GHz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3.无线协议：支持Wi-Fi6</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4.网口数量：支持≥4个千兆网口，支持网口盲插，无需区分WAN/LAN</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2C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31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5854CC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2FE6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E2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多媒体插座</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77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≥1个多功能电源，网络，3.5音频，数据USB，HDMI</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66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9B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D1F65B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B048C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06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变压器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B849">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eastAsia="华文中宋" w:cs="华文中宋"/>
                <w:color w:val="auto"/>
                <w:highlight w:val="none"/>
              </w:rPr>
              <w:t>支持≥2路输入、≥2路输出，工业标准接线端子。</w:t>
            </w:r>
          </w:p>
          <w:p w14:paraId="1AFC4224">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eastAsia="华文中宋" w:cs="华文中宋"/>
                <w:color w:val="auto"/>
                <w:highlight w:val="none"/>
              </w:rPr>
              <w:t>隔离静噪抗干扰器，消除“嗡”音和“嗞”音“超大电流声”</w:t>
            </w:r>
            <w:r>
              <w:rPr>
                <w:rFonts w:hint="eastAsia" w:ascii="华文中宋" w:hAnsi="华文中宋" w:eastAsia="华文中宋" w:cs="华文中宋"/>
                <w:color w:val="auto"/>
                <w:highlight w:val="none"/>
                <w:lang w:eastAsia="zh-CN"/>
              </w:rPr>
              <w:t>。</w:t>
            </w:r>
          </w:p>
          <w:p w14:paraId="26BD93FF">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cs="华文中宋"/>
                <w:color w:val="auto"/>
                <w:highlight w:val="none"/>
                <w:lang w:eastAsia="zh-CN"/>
              </w:rPr>
              <w:t>输入阻抗:</w:t>
            </w:r>
            <w:r>
              <w:rPr>
                <w:rFonts w:hint="eastAsia" w:ascii="华文中宋" w:hAnsi="华文中宋" w:cs="华文中宋"/>
                <w:color w:val="auto"/>
                <w:highlight w:val="none"/>
                <w:lang w:val="en-US" w:eastAsia="zh-CN"/>
              </w:rPr>
              <w:t>≥</w:t>
            </w:r>
            <w:r>
              <w:rPr>
                <w:rFonts w:hint="eastAsia" w:ascii="华文中宋" w:hAnsi="华文中宋" w:cs="华文中宋"/>
                <w:color w:val="auto"/>
                <w:highlight w:val="none"/>
                <w:lang w:eastAsia="zh-CN"/>
              </w:rPr>
              <w:t>60</w:t>
            </w:r>
            <w:r>
              <w:rPr>
                <w:rFonts w:hint="eastAsia" w:ascii="微软雅黑" w:hAnsi="微软雅黑" w:eastAsia="微软雅黑" w:cs="微软雅黑"/>
                <w:color w:val="auto"/>
                <w:highlight w:val="none"/>
                <w:lang w:eastAsia="zh-CN"/>
              </w:rPr>
              <w:t>Ω</w:t>
            </w:r>
            <w:r>
              <w:rPr>
                <w:rFonts w:hint="eastAsia" w:ascii="华文中宋" w:hAnsi="华文中宋" w:cs="华文中宋"/>
                <w:color w:val="auto"/>
                <w:highlight w:val="none"/>
                <w:lang w:eastAsia="zh-CN"/>
              </w:rPr>
              <w:t>(交流阻抗)</w:t>
            </w:r>
          </w:p>
          <w:p w14:paraId="2D7221C9">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cs="华文中宋"/>
                <w:color w:val="auto"/>
                <w:highlight w:val="none"/>
                <w:lang w:eastAsia="zh-CN"/>
              </w:rPr>
              <w:t>输出阻抗:</w:t>
            </w:r>
            <w:r>
              <w:rPr>
                <w:rFonts w:hint="eastAsia" w:ascii="华文中宋" w:hAnsi="华文中宋" w:cs="华文中宋"/>
                <w:color w:val="auto"/>
                <w:highlight w:val="none"/>
                <w:lang w:val="en-US" w:eastAsia="zh-CN"/>
              </w:rPr>
              <w:t>≥</w:t>
            </w:r>
            <w:r>
              <w:rPr>
                <w:rFonts w:hint="eastAsia" w:ascii="华文中宋" w:hAnsi="华文中宋" w:cs="华文中宋"/>
                <w:color w:val="auto"/>
                <w:highlight w:val="none"/>
                <w:lang w:eastAsia="zh-CN"/>
              </w:rPr>
              <w:t>60</w:t>
            </w:r>
            <w:r>
              <w:rPr>
                <w:rFonts w:hint="eastAsia" w:ascii="微软雅黑" w:hAnsi="微软雅黑" w:eastAsia="微软雅黑" w:cs="微软雅黑"/>
                <w:color w:val="auto"/>
                <w:highlight w:val="none"/>
                <w:lang w:eastAsia="zh-CN"/>
              </w:rPr>
              <w:t>Ω</w:t>
            </w:r>
            <w:r>
              <w:rPr>
                <w:rFonts w:hint="eastAsia" w:ascii="华文中宋" w:hAnsi="华文中宋" w:cs="华文中宋"/>
                <w:color w:val="auto"/>
                <w:highlight w:val="none"/>
                <w:lang w:eastAsia="zh-CN"/>
              </w:rPr>
              <w:t>(交流阻抗)</w:t>
            </w:r>
          </w:p>
          <w:p w14:paraId="1972B9CE">
            <w:pPr>
              <w:keepNext w:val="0"/>
              <w:keepLines w:val="0"/>
              <w:pageBreakBefore w:val="0"/>
              <w:widowControl w:val="0"/>
              <w:numPr>
                <w:ilvl w:val="0"/>
                <w:numId w:val="11"/>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cs="华文中宋"/>
                <w:color w:val="auto"/>
                <w:highlight w:val="none"/>
                <w:lang w:eastAsia="zh-CN"/>
              </w:rPr>
              <w:t>隔离电压AC 50HZ-60Hz 0v-</w:t>
            </w:r>
            <w:r>
              <w:rPr>
                <w:rFonts w:hint="eastAsia" w:ascii="华文中宋" w:hAnsi="华文中宋" w:cs="华文中宋"/>
                <w:color w:val="auto"/>
                <w:highlight w:val="none"/>
                <w:lang w:val="en-US" w:eastAsia="zh-CN"/>
              </w:rPr>
              <w:t>24</w:t>
            </w:r>
            <w:r>
              <w:rPr>
                <w:rFonts w:hint="eastAsia" w:ascii="华文中宋" w:hAnsi="华文中宋" w:cs="华文中宋"/>
                <w:color w:val="auto"/>
                <w:highlight w:val="none"/>
                <w:lang w:eastAsia="zh-CN"/>
              </w:rPr>
              <w:t>0v</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3A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3578F25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B7EC8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39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2A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≥1.8米音频连接线：卡侬头（母）-卡侬头（公）</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91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BE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650A66A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53CD2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5D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10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≥1.8米音频连接线：3.5（耳机插头）-双6.35话筒插头</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CC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AB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7793D2D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9A524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E3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40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≥1.8米音频连接线：3.5（耳机插头）-双莲花（RCA）</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CB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83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305A95F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F0688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5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9A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1.分辨率:≥3840*2160，30Hz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2.屏蔽:铝箔+编织+地线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3.外被: PVC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4.线芯: 镀锡铜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5.支持HDMI 2.0及以上版本</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6.规格：长度≥15米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7.HDMI头大小：20*26*10.5mm，线径：≥8mm²</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3B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71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w:t>
            </w:r>
          </w:p>
        </w:tc>
      </w:tr>
      <w:tr w14:paraId="33F4F77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62887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55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1E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1.线芯规格：(28/0.12BS)*2C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2.外被：PVC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3.成品外径：≥6.0mm²</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5.铝箔+128网编织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2C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FF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4B9A7B4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96E00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7C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28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1.芯数：2*307铜芯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2.平方数：≥2*2.5mm²</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3.外被:耐磨 PVC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 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5.100米/卷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41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A9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61B0DEE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2A093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88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D9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1.六类带屏蔽网线</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2.300米/卷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05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7C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323DD6C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A14DF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0E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1.铝箔+编织网</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2.外被：PVC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3.规格：3芯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5.米数：200m</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66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06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762E089E">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DB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2、急诊楼4层多功能厅</w:t>
            </w:r>
          </w:p>
        </w:tc>
      </w:tr>
      <w:tr w14:paraId="343DA06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C6382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4D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户内全彩LED屏</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DA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1.LED显示屏采用≤2.5mm点间距；</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2.LED显示屏模组尺寸约320mm*160mm；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3.LED显示屏采用前维护方式，可正面拆卸模组、接收卡、电源等低压器件，支持热插拔能力；</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4.LED显示屏亮度可达到200-800cd/m²，可通过配套软件0-100%调节；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LED显示屏对比度≥10000：1；LED显示屏杂点率≤1/100000且无连续失控点；LED显示屏亮度均匀性≥99%；LED显示色度均匀性±0.001Cx,Cy之内；LED显示屏像素中心距相对偏差≤1%；LED显示屏观看水平/垂直视角≥175°；LED显示屏平均故障恢复时间（MTTR）≤2分钟；</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6.LED显示屏刷新频率≥4200Hz；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7.LED显示屏峰值功耗为≤500W/㎡；LED显示屏平均功耗为≤125W/㎡；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8.LED显示屏支持低蓝光模式，可在控制软件中选择30%、40%、70%三挡调节显示屏蓝光输出；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0D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26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02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平方米</w:t>
            </w:r>
          </w:p>
        </w:tc>
      </w:tr>
      <w:tr w14:paraId="382C084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0442B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A5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视频处理器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E7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1.支持带载面积≥520万像素，宽度≥10240点，高度≥8192点；</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2.支持≥256个自定义场景保存和调用；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3.支持≥6个独立窗口，窗口大小和位置可单独调节；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4.支持≥1路HDMI2.0输入接口，≥2路HDMI 1.3输入接口；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5.支持≥8路网口输出，≥1路HDMI 1.3输出接口，用于预监输出显示；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4E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09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5CEDF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85FEF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ED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台式电脑</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04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1、处理器：≥4核 主频≥2.5GHz；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2、内存：≥8G 内存；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3、硬盘：≥512G  SSD硬盘；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4、显卡：独立显卡≥2G显存</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5、网卡：集成千兆网卡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6、声卡：集成声卡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7、接口：≥4个USB接口；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8、显示器：≥29英寸液晶显示器，分辨率≥2560*1080；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5A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F4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5967F5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2741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A6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配电柜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15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1.额定功率：≥20kW，输出路数：≥6路；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2.输入电压：三相五线制AC380V±10%，频率50Hz±5%；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3.输出电压：单相220VAC；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4.采用RS485有线以太网远程通信端口；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5.支持设置≥4组开关时间；</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6.支持通过软件实现实时温度、湿度监测，实时烟雾监测，高温、高湿、烟雾告警自动断电；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7.内置避雷器，具有避雷防雷功能；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7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94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047050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FA495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79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技术服务费</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B4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室内LED屏钢结构设计及制作；</w:t>
            </w:r>
            <w:r>
              <w:rPr>
                <w:rFonts w:hint="eastAsia" w:ascii="华文中宋" w:hAnsi="华文中宋" w:cs="华文中宋"/>
                <w:color w:val="auto"/>
                <w:highlight w:val="none"/>
                <w:lang w:val="en-US" w:eastAsia="zh-CN"/>
              </w:rPr>
              <w:t>钢结构采用约40mm*40mm镀锌方管。</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0B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27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0C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平方米</w:t>
            </w:r>
          </w:p>
        </w:tc>
      </w:tr>
      <w:tr w14:paraId="448F307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3F7E5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5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无缝高清矩阵切换器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2A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1.标准化机架设计，支持配置≥16×16路信号切换。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2.采用板卡模块化设计，支持接入≥4块输入卡、≥4块输出卡、≥1块控制卡。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3.输入输出分辨率支持≥4K@60Hz。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4.支持接入≥1块控制板卡，具有≥1路RS-232接口,≥1路RS-485接口,≥1路TCP/IP端口，支持扩展延长触控屏控制。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5.机箱前面板内置≥7英寸全彩触摸屏，可通过前面板触控屏进行通道切换、场景调用、切换、保存操作等功能。</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B3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FB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1010A4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338C6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1E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HDMI无缝高清输入卡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EA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具有≥4路HDMI-A母接口和≥4路3.5mm音频座，支持模拟音频与HDMI内嵌音频选择输入，分辨率≥1920×1200P@60。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98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9C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块</w:t>
            </w:r>
          </w:p>
        </w:tc>
      </w:tr>
      <w:tr w14:paraId="35BAAFD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AB4BC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11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SDI无缝高清输入卡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DB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具有≥4路SDI视频信号输入，支持热插拔。带宽支持19Mbps至2.97Gbps，支持分辨率≥1080P，兼容HDTV。</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80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91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块</w:t>
            </w:r>
          </w:p>
        </w:tc>
      </w:tr>
      <w:tr w14:paraId="7346ED7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F509F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DF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HDMI无缝高清输出卡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49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具有≥4路HDMI-A母接口和≥4路3.5mm音频座，支持模拟音频与HDMI内嵌音频同时输出，支持分辨率≥1920×1200P@60。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59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9F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块</w:t>
            </w:r>
          </w:p>
        </w:tc>
      </w:tr>
      <w:tr w14:paraId="69E96F5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163FA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E2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影视灯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A4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1.采用≥805*0.4W LED光源，光源平均寿命≥50000H。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2.支持Ra≥96。</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3.支持光斑角度≥105°。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5.支持3000K-6500K色温线性调节。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6.支持0°-65°翻转角度线性可调。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7.采用≥1.8英寸蓝屏LCD显示屏，配置≥4个机械按键。</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1D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F4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4AEB15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1C791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D0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影视灯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94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1.采用≥805*0.4W LED光源，光源平均寿命≥50000H。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2.支持Ra≥96。</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3.支持光斑角度≥105°。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5.支持3000K-6500K色温线性调节。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6.采用≥1.8英寸蓝屏LCD显示屏，配置≥4个机械按键。</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4B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02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B40CDA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2DE0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1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影视灯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88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1.采用≥805*0.4W LED光源，光源平均寿命≥50000H。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2.支持Ra≥96。</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3.支持光斑角度≥105°。</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5.支持3000K-6500K色温线性调节。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6.采用≥1.8英寸蓝屏LCD显示屏，配置≥4个机械按键。</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06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22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8422D1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C8BBD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35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固定染色灯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05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1.采用≥54×3W LED光源，光源平均寿命≥50000H。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2.支持光束角度≥15°，光斑角度≥30°。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4.支持RGBW(红绿蓝白)线性混色系统，内置宏功能，支持3200K-7200K色温线性调节。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5.采用数码管显示，配置≥4个机械按键。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6.支持≥2种通道模式，由精简模式≥4CH，标准模式≥8CH组成。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7.配置≥1个电源输入接口，≥1个电源输出接口，≥1个DMX512输入接口，≥1个DMX512输出接口。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8D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23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695C77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8D5FC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2F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摇头灯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8C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1.采用≥200W LED模组（主光）+RGB 三合一LED（辅光）组合光源，光源平均寿命≥20000H。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2.支持≤2.5°光束角度。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3.采用≥φ152mm口径出光镜头。</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5.配置≥1个颜色盘，由≥14个颜色+≥1个白光组成，速度可调，支持任意定位功能，配备≥1个七彩镜，实现光束多彩效果。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6.配置≥1个固定图案盘，由≥13个固定图案+≥1个白光组成，速度可调，支持任意定位功能。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7.配备≥2个棱镜，由≥1个八棱镜+≥1个二十四面蜂窝棱镜，可正反旋转，速度可调。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8.配置≥1个雾化片。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9.采用LCD显示屏，配置≥5个机械按键，支持中英文双语操作系统，并可倒转显示。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10.支持X轴≥540° 电子纠错，Y轴≥270°电子纠错，精确扫描定位，信号反馈，绝对位置记忆。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11.配置≥1个电源输入接口，≥1个电源输出接口，≥1个DMX512输入接口，≥1个DMX512输出接口。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42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7F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4F470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80182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34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固定染色灯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25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1.采用≥54×3W LED光源，光源平均寿命≥50000H。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2.支持光束角度≥15°，光斑角度≥30°。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4.支持RGBW(红绿蓝白)线性混色系统，内置宏功能，支持3200K-7200K色温线性调节。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5.采用数码管显示，配置≥4个机械按键。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6.支持≥2种通道模式，由精简模式≥4CH，标准模式≥8CH组成。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7.配置≥1个电源输入接口，≥1个电源输出接口，≥1个DMX512输入接口，≥1个DMX512输出接口。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19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EB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E64A3C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E4BE3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81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摇头灯</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7C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1.采用≥200W LED模组（主光）+RGB 三合一LED（辅光）组合光源，光源平均寿命≥20000H。</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2.支持≤2.5°光束角度。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3.采用≥φ152mm口径出光镜头。</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4.支持0-25次/秒电子频闪，速度可调节，内置随机频闪或脉冲频闪；支持0-100%电子线性调光。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5.配置≥1个颜色盘，由≥14个颜色+≥1个白光组成，速度可调，支持任意定位功能，配备≥1个七彩镜，实现光束多彩效果。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6.配置≥1个固定图案盘，由≥13个固定图案+≥1个白光组成，速度可调，支持任意定位功能。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7.配备≥2个棱镜，由≥1个八棱镜+≥1个二十四面蜂窝棱镜，可正反旋转，速度可调。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8.配置≥1个雾化片。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9.采用LCD显示屏，配置≥5个机械按键，支持中英文双语操作系统，并可倒转显示。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10.支持X轴≥540° 电子纠错，Y轴≥270°电子纠错，精确扫描定位，信号反馈，绝对位置记忆。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11.配置≥1个电源输入接口，≥1个电源输出接口，≥1个DMX512输入接口，≥1个DMX512输出接口。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45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08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926C98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E03B8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94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控台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5B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1.物理固定输出≥1024个DMX512控制通道。</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2.支持≥96台电脑灯的配接数量。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3.支持电脑灯重新配接地址码，支持灯具水平垂直交换，支持灯具通道反相输出。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4.支持灯具通道滑步模式切换，支持≥40主通道+≥40微调通道控制，支持R20灯库。</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5.支持≥60个可保存的场景，支持≥10个可同时运行的场景，支持≥600步场景的总步数。</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6.支持≥10个可同时运行图形数量。</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F5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28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B820D9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F72B3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19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直通箱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01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1.支持过载与短路双重保护高分断空气开关。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2.支持≥12路×4KW功率输出。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D7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19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2C5310F">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04224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5C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信号放大器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6C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1.支持输入输出光电隔离。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2.支持≥8路独立放大驱动输出。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3.支持信号放大整形功能，延长信号传输距离。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4.支持独立的LED信号指示。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08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B8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E7EC5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FD371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7A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线阵音箱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AB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1.低音单元≥10"低音×2；高音单元≥3"高音（75mm音圈）×1；水平覆盖角度(-6dB）≥110°；垂直覆盖角(-6dB)≥10°。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2.箱体采用梯形设计，采用吊装组合线阵设计。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3.功率≥700W；标称阻抗：≤8Ω。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4.频率范围等同或优于55Hz-20kHz，灵敏度≥104dB (1M/1W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DF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4E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3C1EFEC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014CE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8C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F1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1.标配长度：≥6米；包含：葫芦架1套。承重：≥2t。</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2.材质：国标G80级锰钢；外壳：加厚合金钢。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3.链条破断应力：≥800Mpa。</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0D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C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84504A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1E34A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3F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4F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线阵音箱支架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6A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ED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97A67B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44773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30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专业功放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F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1.标准≤1U机柜式设计。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2.常规带载8欧，4欧，2欧。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3.输出功率*（1KHz/THD≤1％）：立体声8Ω：≥4*1200W；立体声4Ω：≥4*2000W；立体声2Ω：≥4*2800W；桥接16Ω：≥2*2400W；桥接8Ω：≥2*4000W；桥接4Ω：≥2*5600W。</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C9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5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C98B09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10A68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07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专业音箱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0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1．阻抗≤8Ω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2．频响等同或优于45Hz-20KHz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3．额定功率≥300W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4．灵敏度≥98dB/W/M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5．水平覆盖角≥90°，垂直覆盖角≥80°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6．高音：≥1.7"压缩高音单元×1；低音：10"低音×1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C7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B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3870B0E5">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11D97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C8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3C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音箱支架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8A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A5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4A569BD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568F1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2F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专业功放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2F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1标准≤1U机柜式设计；输出功率：立体声8Ω ：≥500W×2；立体声4Ω：≥850W×2；桥接16Ω：≥1000W ；桥接8Ω：≥1700W。</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16159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F8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B3208F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0332F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7C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专业音箱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4C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1.阻抗≤8Ω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2.频响等同或优于60Hz-20KHz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3.额定功率≥300W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4.灵敏度≥98dB/W/M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5.水平覆盖角≥80°，垂直覆盖角≥60°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6.高音≤1.4"压缩高音单元×1；低音：10"低音×1</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470455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94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6A3F2493">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A3B6A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09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专业功放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46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标准≤1U机柜式设计；输出功率：立体声8Ω ：≥500W×2；立体声4Ω：≥850W×2；桥接16Ω：≥1000W ；桥接8Ω：≥1700W。</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1137B5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1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9CABC8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CAB72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96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专业音箱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59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1.采用≥2只18寸铁氧体超低音单元组成，倒相式箱体设计，低频可延伸至≥40Hz；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2.阻抗：≤4Ω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3.频响等同或优于40Hz-400Hz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4.额定功率：≥1200W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5.灵敏度：≥101dB/W/M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6.最大声压级（额定/峰值）：≥132dB/≥138dB</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4C6D32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77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4369E6FB">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22E46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89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专业功放</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26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1.标准≤1U机柜式设计。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2.输出功率（1KHz/THD≤1％）：连续功率：立体声8Ω×2：2*1200W；立体声4Ω×2：≥2*1900W；立体声2Ω×2：≥2*3200W；桥接16Ω：≥2400W；桥接8Ω：≥3800W；桥接4Ω：≥6400W；</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34318C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5E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9FC21B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D6487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DB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无线话筒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CE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1.基于数字U段的传输技术，传输距离≥80米，接收机具有≥2路平衡输出、≥1路非平衡混音输出；具有混响、均衡、智能静音、音频加密、功率调节功能。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2.具有≥1台接收主机、≥2只手持发射机；频率范围等同或优于470MHz-510MHz、540MHz-590MHz、640MHz-690MHz、807MHz-830MHz四个频段使用。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4.接收机具有≥2个2英寸的TFT-LCD显示屏；发射机具有≥0.96英寸OLED显示屏，能够显示频率信息、音频加密状态、功率挡位、静音状态、电量格数信息。</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2DE936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8E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B4702D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95A9E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9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无线话筒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3B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1.基于数字U段的传输技术，传输距离≥80米，接收机具有≥2路平衡输出、≥1路非平衡混音输出；具有混响、均衡、智能静音、音频加密、功率调节功能。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2.具有≥1台接收主机、≥2只头戴腰包；频率范围等同或优于470MHz-510MHz、540MHz-590MHz、640MHz-690MHz、807MHz-830MHz四个频段使用。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接收机前面板具有≥2个TFT-LCD显示屏、≥2个编码旋钮、≥2个频率扫描实体按键、≥2个红外对频实体按键、≥1个电源开关按键、≥1个二合一指示灯（红外发射管+对频指示灯）；后面板具有≥1个LINE-OUT接口、≥2个XLR-OUT接口、≥2个BNC接口、≥1个DC接口。发射机具有≥1个显示屏、≥4个实体按键（包括≥1个静音键、≥1个音量减少键、≥1个音量增加键、≥1个电源开关键）、≥1个电源状态指示灯、≥1个静音指示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4.接收机具有≥2个2英寸的TFT-LCD显示屏；发射机具有≥0.96英寸OLED显示屏，能够显示频率信息、音频加密状态、功率挡位、静音状态、电量格数信息。</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392189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C6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9650BF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12956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22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天线分配器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14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1.支持≥2个天线输入接口，支持接收天线信号，实现分配多路射频信号的效果。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2.支持≥2个天线级联接口，支持无限制级联分配器，可实现扩展无线话筒的目的。</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3.支持≥4个直流电源输出接口，支持给≥4台接收机供电。</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3537CB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5A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9F3CBA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C4E08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A4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话筒天线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C6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1.射频频率范围等同或优于470～950MHz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2.驻波比：≤2.0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3.输入阻抗：≤50Ω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4.指向性：≥180度指向</w:t>
            </w:r>
          </w:p>
        </w:tc>
        <w:tc>
          <w:tcPr>
            <w:tcW w:w="734" w:type="dxa"/>
            <w:tcBorders>
              <w:top w:val="nil"/>
              <w:left w:val="single" w:color="000000" w:sz="4" w:space="0"/>
              <w:bottom w:val="single" w:color="000000" w:sz="4" w:space="0"/>
              <w:right w:val="single" w:color="000000" w:sz="4" w:space="0"/>
            </w:tcBorders>
            <w:shd w:val="clear" w:color="auto" w:fill="auto"/>
            <w:noWrap/>
            <w:vAlign w:val="center"/>
          </w:tcPr>
          <w:p w14:paraId="230E3A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95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60D905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832B5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DA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数字调音台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8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1.具有≥14路平衡XLR输入接口、≥16路TRS输入接口、≥1路OPTICAL接口、≥1路S/PDIF接口、≥1路USB2.0输入声卡。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2.具有≥100组场景预设功能。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3.具有≥8个推子编组、≥3个快速静音组按键。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4.具有≥2个内置效果器。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5.具有≥1个10英寸高清触摸屏，支持≥1280×800分辨率。</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6.具有≥13个100mm电动推子，电动推子可操控所有的通道和主输出:≥1个LR主声道推子、≥12个通道推子以及≥2个推子层。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7.输入带有独立的反馈抑制器，支持增益共享型自动混音，带有≥2个DCA编组。</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5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93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5474D0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31E01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F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音频处理器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4E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1.处理器≥4核，主频≥2.0GHz。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后面板具有≥8路线路音频凤凰端子平衡输入接口（具有48V幻象供电）、≥8路线路音频凤凰端子平衡输出接口、≥1个拨码开关、≥1个RJ45接口、≥1个RS232接口、≥1个RS485接口、≥8个可编程GPIO控制接口、≥1个接地柱；前面板具有≥2英寸 IPS 真彩显示屏、≥1个编码旋钮、≥1个USB存储设备接口。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3.输入通道支持前级放大、信号发生器、扩展器、压缩器、均衡器、AFC自适应反馈消除、AEC回声消除、ANC噪声消除、音频矩阵；输出通道支持均衡器、延时器、分频器、高低通滤波器、限幅器。</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35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74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AA2C5D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06ADD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ED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监听音箱</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6A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1.双放大器有源扬声器，低音扬声器≥70W峰值功率，高音扬声器≥50W峰值功率；≥1" 软球顶高音喇叭，≥5.25" 复合玻璃纤维低音喇叭。</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2.频响范围等同或优于50Hz-20kHz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3.最大声压级≥107dB</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4.水平扩散角度≥110°、垂直扩散角度≥70°</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5.总功率(D类功放)≥120W，高音≥50W，低音≥70w</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6.低音微调、高音微调支持-1.5dB/0dB/+1.5dB</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F5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D1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w:t>
            </w:r>
          </w:p>
        </w:tc>
      </w:tr>
      <w:tr w14:paraId="1BBA52E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8B961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D7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电源管理器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BD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1.机柜式设计。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2.支持≥16路电源输出，具有≥14个AC220V(10A)，≥2个AC220V(16A)接口， 电源插口总容量达≥6KVA。</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3.设有船型开关，可手动控制≥16个电源上断电。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4.有≥1路24V消防信号输入接口；≥1路消防短路报警触发信号输出。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02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B1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94F4FA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8F183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3E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电源管理器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B1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1.支持≥8通道电源时序打开/关闭.</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2.单个通道最大负载功率≥3500W，所有通道负载总功率达≥6000W。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3.输出连接器：≥2个16A，≥2个16A接线端子和≥4个10A电源插座。</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4.具有≥1路USB接口。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89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3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D2D5E3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9E38E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39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全数字会议系统主机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25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1.支持≥4096台有线会议单元和≥300台无线会议单元同时接入管理使用；支持≥4396台会议单元同时参与会议议程（签到、表决、服务）以及发言控制。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2.主机兼容同时连接有线与无线会议单元。</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设备具有≥1个USB接口；后面板具有≥2路RS-232接口、≥1路RS-485接口、≥4路RJ45通讯接口；具有≥1路RCA输入、≥1路卡侬输入、≥2路凤凰端子输入接口；≥1路RCA输出、≥1路卡侬输出、≥16路凤凰端子输出接口；≥1个拨码开关、≥1个接地柱。</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4.具有≥16路音频输出通道。</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16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B2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4FACE0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42D3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43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会议话筒处理器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D3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1.具有智能混音、语音检测功能，可以实现≥16个有线会议单元+≥8个无线会议单元同时开启并实时检测会议单元dB值。</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2.具有≥1个RS485、≥1个RS232接口。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3.后面板具有≥1个船形开关、≥4个RJ45、≥1个RS485、≥2个RS232、≥1个TYPE-C接口、≥1个拨码开关、≥1路卡侬输出接口和≥2路RCA输出接口；前面板具有≥1个AFC电容触摸开关；≥4个状态指示灯。</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01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AE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FEB22E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AB51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40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会议话筒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1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1.采用数字传输链路，非压缩音频传输技术。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2.采用电容触摸按键。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3.主席单元支持关闭代表单元发言的优先权限。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4.单元具有≥5段EQ调节功能。</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5.具有≥2个网口，用于手拉手级联。</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97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3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006B87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FA2E0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DF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会议话筒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FC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1.采用数字传输链路，非压缩音频传输技术。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2.采用电容触摸按键。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3.具有≥2个网口，可用于手拉手级联。</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73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F2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DBDD2C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3882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28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D5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≥50米延长线（一公一母）</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F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21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4528CBA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6EA7F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FB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摄像机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28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1.高清摄像机，支持≥30倍光学变倍镜头，支持≥16倍数字变焦；采用1/2.8英寸、≥207万有效像素的HD CMOS传感器。</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2.镜头焦距 </w:t>
            </w:r>
            <w:r>
              <w:rPr>
                <w:rFonts w:hint="eastAsia" w:ascii="华文中宋" w:hAnsi="华文中宋" w:cs="华文中宋"/>
                <w:color w:val="auto"/>
                <w:highlight w:val="none"/>
                <w:lang w:val="en-US" w:eastAsia="zh-CN"/>
              </w:rPr>
              <w:t>5</w:t>
            </w:r>
            <w:r>
              <w:rPr>
                <w:rFonts w:hint="eastAsia" w:ascii="华文中宋" w:hAnsi="华文中宋" w:eastAsia="华文中宋" w:cs="华文中宋"/>
                <w:color w:val="auto"/>
                <w:highlight w:val="none"/>
              </w:rPr>
              <w:t>mm ~ 13</w:t>
            </w:r>
            <w:r>
              <w:rPr>
                <w:rFonts w:hint="eastAsia" w:ascii="华文中宋" w:hAnsi="华文中宋" w:cs="华文中宋"/>
                <w:color w:val="auto"/>
                <w:highlight w:val="none"/>
                <w:lang w:val="en-US" w:eastAsia="zh-CN"/>
              </w:rPr>
              <w:t>0</w:t>
            </w:r>
            <w:r>
              <w:rPr>
                <w:rFonts w:hint="eastAsia" w:ascii="华文中宋" w:hAnsi="华文中宋" w:eastAsia="华文中宋" w:cs="华文中宋"/>
                <w:color w:val="auto"/>
                <w:highlight w:val="none"/>
              </w:rPr>
              <w:t>mm, F1.8 ~ F2.8。</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3.支持HDMI、SDI、USB、网络四路视频同时输出。</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4.支持PoE供电。</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5.支持≥1路HDMI输出接口、≥1路3G-SDI输出接口、≥1路USB3.0输出接口，支持≥1路3.5mm音频输入接口和≥1路3.5mm音频输出接口。</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41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AC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9460C7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44339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F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录播主机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BF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主机配置≥4路SDI信号输入接口，≥1080P分辨率画面采集，≥2路HDMI信号输入接口，≥4K分辨率画面采集，≥1路Type-C接口采集画面，≥支持1080P分辨率画面采集。≥4路HDMI信号输出接口；其他≥2路HDMI输出口支持自定义通道画面输出。1路3.5mm音频接口以及≥2路凤凰端子采集音频；≥1路3.5mm音频接口以及≥2路凤凰端子输出音频。</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2.支持≥3路RS-232凤凰端子接口和≥1路RS-485凤凰端子接口，其中≥1路RS232和≥1路RS485带12V电压供电，≥1路802.3ab 1000Base-T千兆RJ45网络接口，≥1路光纤接口，支持IPv4地址和IPv6地址。</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3.设备支持≥8路4K网络摄像头同时接入解码，支持≥6路资源画面合成输出≥4K分辨率PGM画面。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4.嵌入式导播控制台，可实时预览≥9路画面，≥1路PGM画面预览和≥8路资源通道预览，≥9路视频流同时录制。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0B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3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269A82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AC974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3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网络中控主机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EB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1.支持红外控制、RS-232、RS-422、RS-485、UDP、TCP、telnet、http、MQTT以及SNMP等多种协议。</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2.主机≥4英寸触摸彩屏、≥8路独立可编程串口、≥8路独立可编程IR红外发射口、≥8路数字I/0控制口、≥8路弱电继电器控制接口、≥1个NET网络控制接口、≥1路TF卡接口。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3.产品支持≥2种编程方式，包括图形化编程方式及语句式编程方式供用户选择。</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C6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14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240AB0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F916A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CB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控制器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76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具有≥8路自动、手动电源控制器，内置≥8个20A继电器，负载能力≥4400W/单路；配合中控主机使用，用于控制灯光、电动投影幕、电动窗帘等会议室周边设备。</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A1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9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BFA141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BE629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D0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平板电脑</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FCE3">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运行内存：≥12G</w:t>
            </w:r>
          </w:p>
          <w:p w14:paraId="4AF9BCEC">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硬盘存储：≥256G</w:t>
            </w:r>
          </w:p>
          <w:p w14:paraId="60011CEB">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屏幕尺寸：≥12英寸</w:t>
            </w:r>
          </w:p>
          <w:p w14:paraId="31EB8453">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接口：USB Type-C</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lang w:val="en-US" w:eastAsia="zh-CN"/>
              </w:rPr>
              <w:t>支持Type-C数字耳机</w:t>
            </w:r>
          </w:p>
          <w:p w14:paraId="5CDE08C5">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电池类型</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lang w:val="en-US" w:eastAsia="zh-CN"/>
              </w:rPr>
              <w:t>锂电池</w:t>
            </w:r>
          </w:p>
          <w:p w14:paraId="5F9FEA8C">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电池容量</w:t>
            </w:r>
            <w:r>
              <w:rPr>
                <w:rFonts w:hint="eastAsia" w:ascii="华文中宋" w:hAnsi="华文中宋" w:cs="华文中宋"/>
                <w:color w:val="auto"/>
                <w:highlight w:val="none"/>
                <w:lang w:val="en-US" w:eastAsia="zh-CN"/>
              </w:rPr>
              <w:t>：≥8000</w:t>
            </w:r>
            <w:r>
              <w:rPr>
                <w:rFonts w:hint="eastAsia" w:ascii="华文中宋" w:hAnsi="华文中宋" w:eastAsia="华文中宋" w:cs="华文中宋"/>
                <w:color w:val="auto"/>
                <w:highlight w:val="none"/>
                <w:lang w:val="en-US" w:eastAsia="zh-CN"/>
              </w:rPr>
              <w:t>mAh</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7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F1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5AA33F0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14471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55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机柜</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61D4">
            <w:pPr>
              <w:keepNext w:val="0"/>
              <w:keepLines w:val="0"/>
              <w:pageBreakBefore w:val="0"/>
              <w:widowControl w:val="0"/>
              <w:numPr>
                <w:ilvl w:val="0"/>
                <w:numId w:val="13"/>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尺寸:600（±2mm）X800（±2mm）X1610（±2mm）mm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2.容量:≥32U</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3.配置:≥8位10A PDU、托盘≥1个。</w:t>
            </w:r>
          </w:p>
          <w:p w14:paraId="27E385C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Chars="0" w:right="0" w:rightChars="0"/>
              <w:textAlignment w:val="auto"/>
              <w:rPr>
                <w:rFonts w:hint="eastAsia" w:ascii="华文中宋" w:hAnsi="华文中宋" w:eastAsia="华文中宋" w:cs="华文中宋"/>
                <w:color w:val="auto"/>
                <w:highlight w:val="none"/>
                <w:lang w:val="en-US"/>
              </w:rPr>
            </w:pPr>
            <w:r>
              <w:rPr>
                <w:rFonts w:hint="eastAsia" w:ascii="华文中宋" w:hAnsi="华文中宋" w:eastAsia="华文中宋" w:cs="华文中宋"/>
                <w:color w:val="auto"/>
                <w:highlight w:val="none"/>
                <w:lang w:val="en-US" w:eastAsia="zh-CN"/>
              </w:rPr>
              <w:t>4.材质：冷轧钢</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1B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A8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9F0776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C4045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0E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C3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1.交换容量：≥1.28Tbps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2.包转发率：≥216/366Mpps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3.固定端口:≥24个10/100/1000Base-T以太网端口（PoE++），≥4个万兆SFP+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4.PoE总功率约867W</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CD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1A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258C9E3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6FBEEE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A3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交换机</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85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1.交换容量：≥672Gbps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2.包转发率：≥126Mpps</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3.固定端口:≥24个10/100/1000Base-T以太网端口（PoE+），≥4个万兆SFP+</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D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43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F37FA0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BF107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5C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路由器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2C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1.无线速率：≥6000M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2.适用频段：2.4GHz+5GHz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3.无线协议：支持Wi-Fi6</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4.网口数量：支持≥4个千兆网口，支持网口盲插，无需区分WAN/LAN</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39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7A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F49731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4A372A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6A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话筒地插盒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79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弹起式≥2个卡侬口</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15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C5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207EBF0">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23C9B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29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音箱地插盒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4E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弹起式≥2个欧姆头</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F4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8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9AC5F7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5116D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37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音箱墙插盒</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37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弹起式≥2个欧姆头</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6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FB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919ADB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539CA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12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多媒体插座</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88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配置多功能电源，网络，3.5音频，数据USB，HDMI</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CC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F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A22100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1D0E1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8A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变压器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3001">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eastAsia="华文中宋" w:cs="华文中宋"/>
                <w:color w:val="auto"/>
                <w:highlight w:val="none"/>
              </w:rPr>
              <w:t>支持≥2路输入、≥2路输出，工业标准接线端子。</w:t>
            </w:r>
          </w:p>
          <w:p w14:paraId="3997A0A1">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eastAsia="华文中宋" w:cs="华文中宋"/>
                <w:color w:val="auto"/>
                <w:highlight w:val="none"/>
              </w:rPr>
              <w:t>隔离静噪抗干扰器，消除“嗡”音和“嗞”音“超大电流声”</w:t>
            </w:r>
            <w:r>
              <w:rPr>
                <w:rFonts w:hint="eastAsia" w:ascii="华文中宋" w:hAnsi="华文中宋" w:eastAsia="华文中宋" w:cs="华文中宋"/>
                <w:color w:val="auto"/>
                <w:highlight w:val="none"/>
                <w:lang w:eastAsia="zh-CN"/>
              </w:rPr>
              <w:t>。</w:t>
            </w:r>
          </w:p>
          <w:p w14:paraId="1EF48AA9">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cs="华文中宋"/>
                <w:color w:val="auto"/>
                <w:highlight w:val="none"/>
                <w:lang w:eastAsia="zh-CN"/>
              </w:rPr>
            </w:pPr>
            <w:r>
              <w:rPr>
                <w:rFonts w:hint="eastAsia" w:ascii="华文中宋" w:hAnsi="华文中宋" w:cs="华文中宋"/>
                <w:color w:val="auto"/>
                <w:highlight w:val="none"/>
                <w:lang w:eastAsia="zh-CN"/>
              </w:rPr>
              <w:t>输入阻抗:</w:t>
            </w:r>
            <w:r>
              <w:rPr>
                <w:rFonts w:hint="eastAsia" w:ascii="华文中宋" w:hAnsi="华文中宋" w:cs="华文中宋"/>
                <w:color w:val="auto"/>
                <w:highlight w:val="none"/>
                <w:lang w:val="en-US" w:eastAsia="zh-CN"/>
              </w:rPr>
              <w:t>≥</w:t>
            </w:r>
            <w:r>
              <w:rPr>
                <w:rFonts w:hint="eastAsia" w:ascii="华文中宋" w:hAnsi="华文中宋" w:cs="华文中宋"/>
                <w:color w:val="auto"/>
                <w:highlight w:val="none"/>
                <w:lang w:eastAsia="zh-CN"/>
              </w:rPr>
              <w:t>60</w:t>
            </w:r>
            <w:r>
              <w:rPr>
                <w:rFonts w:hint="eastAsia" w:ascii="微软雅黑" w:hAnsi="微软雅黑" w:eastAsia="微软雅黑" w:cs="微软雅黑"/>
                <w:color w:val="auto"/>
                <w:highlight w:val="none"/>
                <w:lang w:eastAsia="zh-CN"/>
              </w:rPr>
              <w:t>Ω</w:t>
            </w:r>
            <w:r>
              <w:rPr>
                <w:rFonts w:hint="eastAsia" w:ascii="华文中宋" w:hAnsi="华文中宋" w:cs="华文中宋"/>
                <w:color w:val="auto"/>
                <w:highlight w:val="none"/>
                <w:lang w:eastAsia="zh-CN"/>
              </w:rPr>
              <w:t>(交流阻抗)</w:t>
            </w:r>
          </w:p>
          <w:p w14:paraId="17D3B0E6">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cs="华文中宋"/>
                <w:color w:val="auto"/>
                <w:highlight w:val="none"/>
                <w:lang w:eastAsia="zh-CN"/>
              </w:rPr>
              <w:t>输出阻抗:</w:t>
            </w:r>
            <w:r>
              <w:rPr>
                <w:rFonts w:hint="eastAsia" w:ascii="华文中宋" w:hAnsi="华文中宋" w:cs="华文中宋"/>
                <w:color w:val="auto"/>
                <w:highlight w:val="none"/>
                <w:lang w:val="en-US" w:eastAsia="zh-CN"/>
              </w:rPr>
              <w:t>≥</w:t>
            </w:r>
            <w:r>
              <w:rPr>
                <w:rFonts w:hint="eastAsia" w:ascii="华文中宋" w:hAnsi="华文中宋" w:cs="华文中宋"/>
                <w:color w:val="auto"/>
                <w:highlight w:val="none"/>
                <w:lang w:eastAsia="zh-CN"/>
              </w:rPr>
              <w:t>60</w:t>
            </w:r>
            <w:r>
              <w:rPr>
                <w:rFonts w:hint="eastAsia" w:ascii="微软雅黑" w:hAnsi="微软雅黑" w:eastAsia="微软雅黑" w:cs="微软雅黑"/>
                <w:color w:val="auto"/>
                <w:highlight w:val="none"/>
                <w:lang w:eastAsia="zh-CN"/>
              </w:rPr>
              <w:t>Ω</w:t>
            </w:r>
            <w:r>
              <w:rPr>
                <w:rFonts w:hint="eastAsia" w:ascii="华文中宋" w:hAnsi="华文中宋" w:cs="华文中宋"/>
                <w:color w:val="auto"/>
                <w:highlight w:val="none"/>
                <w:lang w:eastAsia="zh-CN"/>
              </w:rPr>
              <w:t>(交流阻抗)</w:t>
            </w:r>
          </w:p>
          <w:p w14:paraId="060EAC2C">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cs="华文中宋"/>
                <w:color w:val="auto"/>
                <w:highlight w:val="none"/>
                <w:lang w:eastAsia="zh-CN"/>
              </w:rPr>
              <w:t>隔离电压AC 50HZ-60Hz 0v-</w:t>
            </w:r>
            <w:r>
              <w:rPr>
                <w:rFonts w:hint="eastAsia" w:ascii="华文中宋" w:hAnsi="华文中宋" w:cs="华文中宋"/>
                <w:color w:val="auto"/>
                <w:highlight w:val="none"/>
                <w:lang w:val="en-US" w:eastAsia="zh-CN"/>
              </w:rPr>
              <w:t>24</w:t>
            </w:r>
            <w:r>
              <w:rPr>
                <w:rFonts w:hint="eastAsia" w:ascii="华文中宋" w:hAnsi="华文中宋" w:cs="华文中宋"/>
                <w:color w:val="auto"/>
                <w:highlight w:val="none"/>
                <w:lang w:eastAsia="zh-CN"/>
              </w:rPr>
              <w:t>0v</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81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EB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7EA6E53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C83E1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D6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69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≥1.8米音频连接线：卡侬头（母）-卡侬头（公）</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2E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4D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4BADBC2A">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74E11A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6E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E3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≥5米音频连接线：卡侬头（母）-卡侬头（公）</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87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5C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74255DD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90BCA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05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音频连接线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2F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≥5米音频连接线：3.5（耳机插头）-双6.35话筒插头</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7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7B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w:t>
            </w:r>
          </w:p>
        </w:tc>
      </w:tr>
      <w:tr w14:paraId="0EA9138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0BF96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65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92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1.分辨率:≥3840*2160，30Hz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2.屏蔽:铝箔+编织+地线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3.外被: PVC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4.线芯: 镀锡铜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5.支持HDMI 2.0版本</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6.规格：长度≥15米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7.HDMI头大小：约20*26*10.5mm，线径：8mm</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BA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77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w:t>
            </w:r>
          </w:p>
        </w:tc>
      </w:tr>
      <w:tr w14:paraId="23ECD8B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8BC5B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8F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7F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1.HD-SDI视频监控线</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2.屏蔽:铝箔+144镀锡铜编织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3.外被: PVC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 约1.00mm铜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5.200米/卷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58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2C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637CC10D">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85EDC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56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0C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1.屏蔽：铝箔+编织网</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2.外被：PVC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3.规格：2芯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5.米数：200m/卷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02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DC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0953B09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3E395D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56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1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1.线芯规格：(28/0.12BS)*2C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2.外被：PVC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3.成品外径：约OD6.0mm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5.铝箔+128网编织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1E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86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7A5F5578">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A80A8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B4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A8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1.芯数：2*307铜芯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2.平方数：≥2*2.5mm²</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 xml:space="preserve">3.外被:耐磨 PVC </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 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5.100米/卷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9B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A0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0FBDE56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878C9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51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56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1.六类带屏蔽网线</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2.300米/卷</w:t>
            </w:r>
          </w:p>
        </w:tc>
        <w:tc>
          <w:tcPr>
            <w:tcW w:w="734" w:type="dxa"/>
            <w:tcBorders>
              <w:top w:val="single" w:color="000000" w:sz="4" w:space="0"/>
              <w:left w:val="single" w:color="000000" w:sz="4" w:space="0"/>
              <w:bottom w:val="nil"/>
              <w:right w:val="single" w:color="000000" w:sz="4" w:space="0"/>
            </w:tcBorders>
            <w:shd w:val="clear" w:color="auto" w:fill="auto"/>
            <w:vAlign w:val="center"/>
          </w:tcPr>
          <w:p w14:paraId="7FA603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nil"/>
              <w:right w:val="single" w:color="000000" w:sz="4" w:space="0"/>
            </w:tcBorders>
            <w:shd w:val="clear" w:color="auto" w:fill="auto"/>
            <w:vAlign w:val="center"/>
          </w:tcPr>
          <w:p w14:paraId="5FA5EE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11B221E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2D24F9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46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29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1.铝箔+编织网</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2.外被：PVC</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3.规格：3芯</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4.导体：铜</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5.米数：200m</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A1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4C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2C1AF00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58C699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0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线材</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6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直径≥7.2mm，馈线50-5-1，200/卷</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90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FA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卷</w:t>
            </w:r>
          </w:p>
        </w:tc>
      </w:tr>
      <w:tr w14:paraId="3FF0925C">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nil"/>
            </w:tcBorders>
            <w:shd w:val="clear" w:color="auto" w:fill="auto"/>
            <w:noWrap/>
            <w:vAlign w:val="center"/>
          </w:tcPr>
          <w:p w14:paraId="106597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64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灯杆</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10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外径50mm（±1mm）镀锌圆管</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47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D2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米</w:t>
            </w:r>
          </w:p>
        </w:tc>
      </w:tr>
      <w:tr w14:paraId="0CCF0801">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nil"/>
            </w:tcBorders>
            <w:shd w:val="clear" w:color="auto" w:fill="auto"/>
            <w:noWrap/>
            <w:vAlign w:val="center"/>
          </w:tcPr>
          <w:p w14:paraId="0D5A42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3、急诊楼四层/门诊楼3层大示教室</w:t>
            </w:r>
          </w:p>
        </w:tc>
      </w:tr>
      <w:tr w14:paraId="0D73C22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E1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3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智慧会议平板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0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1.整机内置非独立外扩展的计算模块，所有会议功能均运行在计算模块中。</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2.整机屏幕采用≥86英寸DLED液晶屏，显示比例16:9，屏幕图像分辨率≥3840*2160，色彩度≥10bit ,色域≥85%NTSC；可视角度≥178°，支持全高清4K系统图标显示，内存≥8G、存储≥128G。</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3.具有≥480W高清摄像头，视场角≥118°，≥8个阵列麦克风，拾音距离≥12米。摄像头和麦克风为可拆卸模组，采用≥12个pogo pin磁吸接口设计。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4.产品采用≥2.1声道设计，具有≥3个音腔：≥1×32W（低音）+≥2×20W（中高音）缝隙发声扬声器；支持≥5种音效选择。</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9E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0A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0CF0D30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DA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58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1D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1.材质：高强度钢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2.高度调节行程：0-430mm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3.适用一体机尺寸：55英寸-86英寸</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04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2E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7CBB3D19">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6C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30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无线传屏器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3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1.会议模式：主持人模式：主持人可以触摸屏幕列表选择指定PC传屏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2.帧率：音视频18~30帧；分辨率：720P~1080P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3.频段：2.4GHz/5GHz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4.传输距离：无遮挡的情况下≥30m</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5B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34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60B7176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60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50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麦克风</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3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1.内置≥4个单指向麦克风，360度全方位的拾音，最佳采集距离4米，最长可达到≥6米。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2.具备无线传输功能、具备AUX接口。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3.采用多芯数字单元音量达到≥90dB, ≥16级喇叭音量数字调节。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4.内置电池≥2000mA，工作持续时间≥4小时以上，待机时间≥30天。</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A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1E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4F20BF33">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nil"/>
            </w:tcBorders>
            <w:shd w:val="clear" w:color="auto" w:fill="auto"/>
            <w:noWrap/>
            <w:vAlign w:val="center"/>
          </w:tcPr>
          <w:p w14:paraId="23176E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4、门诊楼一、二、三层示教室/医技楼二、三层示教室/住院楼二、五、六、七、八、九层示教室/感染楼示教室</w:t>
            </w:r>
          </w:p>
        </w:tc>
      </w:tr>
      <w:tr w14:paraId="4E951B62">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67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C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智慧会议平板</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DC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1.整机内置非独立外扩展的计算模块，所有会议功能均运行在计算模块中。</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2.整机屏幕采用≥65英寸DLED液晶屏，显示比例16:9，屏幕图像分辨率≥3840*2160，色彩度≥10bit ,色域≥85%NTSC；可视角度≥178°，支持全高清4K系统图标显示，内存≥8G、存储≥128G。</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3.具有≥480W高清摄像头，视场角≥118°，≥8个阵列麦克风，拾音距离≥12米。摄像头和麦克风为可拆卸模组，采用≥12个pogo pin磁吸接口设计。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4.产品采用≥2.1声道设计，具有≥3个音腔：≥1×32W（低音）+≥2×20W（中高音）缝隙发声扬声器；支持≥5种音效选择。</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4C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5A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32A667F1">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01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5B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移动支架</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B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1.材质：高强度钢</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2.高度调节行程：0-430mm</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3.适用一体机尺寸：55英寸-86英寸</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B1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84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1F6CF91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5B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C5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无线传屏器</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FE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1.会议模式：主持人模式：主持人可以触摸屏幕列表选择指定PC传屏</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2.帧率：音视频18~30帧；分辨率：720P~1080P</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3.频段：2.4GHz/5GHz</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4.传输距离：无遮挡的情况下≥30m</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96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6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台</w:t>
            </w:r>
          </w:p>
        </w:tc>
      </w:tr>
      <w:tr w14:paraId="403814D7">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E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5D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麦克风</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BE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1.内置≥4个单指向麦克风，360度全方位的拾音，最佳采集距离4米，最长可达到≥6米。</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2.具备无线传输功能、具备AUX接口。</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3.采用多芯数字单元音量达到≥90dB, ≥16级喇叭音量数字调节。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4.内置电池≥2000mA，工作持续时间≥4小时以上，待机时间≥30天。</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51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3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只</w:t>
            </w:r>
          </w:p>
        </w:tc>
      </w:tr>
      <w:tr w14:paraId="26994605">
        <w:tblPrEx>
          <w:tblCellMar>
            <w:top w:w="0" w:type="dxa"/>
            <w:left w:w="108" w:type="dxa"/>
            <w:bottom w:w="0" w:type="dxa"/>
            <w:right w:w="108" w:type="dxa"/>
          </w:tblCellMar>
        </w:tblPrEx>
        <w:trPr>
          <w:trHeight w:val="440" w:hRule="atLeast"/>
          <w:jc w:val="center"/>
        </w:trPr>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376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十一、系统集成</w:t>
            </w:r>
          </w:p>
        </w:tc>
      </w:tr>
      <w:tr w14:paraId="0545B5DE">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6C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19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E3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技术要求</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5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27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26C29D76">
        <w:tblPrEx>
          <w:tblCellMar>
            <w:top w:w="0" w:type="dxa"/>
            <w:left w:w="108" w:type="dxa"/>
            <w:bottom w:w="0" w:type="dxa"/>
            <w:right w:w="108" w:type="dxa"/>
          </w:tblCellMar>
        </w:tblPrEx>
        <w:trPr>
          <w:trHeight w:val="4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4F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A8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集成服务</w:t>
            </w:r>
          </w:p>
        </w:tc>
        <w:tc>
          <w:tcPr>
            <w:tcW w:w="5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1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一、数据中心部分：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1、提供所有设备的硬件上架部署，软件调试部署达到实际业务使用要求，并满足</w:t>
            </w:r>
            <w:r>
              <w:rPr>
                <w:rFonts w:hint="eastAsia" w:ascii="华文中宋" w:hAnsi="华文中宋" w:eastAsia="华文中宋" w:cs="华文中宋"/>
                <w:color w:val="auto"/>
                <w:highlight w:val="none"/>
                <w:lang w:val="en-US" w:eastAsia="zh-CN"/>
              </w:rPr>
              <w:t>等保</w:t>
            </w:r>
            <w:r>
              <w:rPr>
                <w:rFonts w:hint="eastAsia" w:ascii="华文中宋" w:hAnsi="华文中宋" w:eastAsia="华文中宋" w:cs="华文中宋"/>
                <w:color w:val="auto"/>
                <w:highlight w:val="none"/>
              </w:rPr>
              <w:t>相关要求；</w:t>
            </w:r>
            <w:r>
              <w:rPr>
                <w:rFonts w:hint="eastAsia" w:ascii="华文中宋" w:hAnsi="华文中宋" w:eastAsia="华文中宋" w:cs="华文中宋"/>
                <w:color w:val="auto"/>
                <w:highlight w:val="none"/>
              </w:rPr>
              <w:br w:type="textWrapping"/>
            </w:r>
            <w:r>
              <w:rPr>
                <w:rFonts w:hint="eastAsia" w:ascii="华文中宋" w:hAnsi="华文中宋" w:cs="华文中宋"/>
                <w:color w:val="auto"/>
                <w:highlight w:val="none"/>
                <w:lang w:val="en-US" w:eastAsia="zh-CN"/>
              </w:rPr>
              <w:t>2</w:t>
            </w:r>
            <w:r>
              <w:rPr>
                <w:rFonts w:hint="eastAsia" w:ascii="华文中宋" w:hAnsi="华文中宋" w:eastAsia="华文中宋" w:cs="华文中宋"/>
                <w:color w:val="auto"/>
                <w:highlight w:val="none"/>
              </w:rPr>
              <w:t>、提供所有设备安装调试时所需的网线、光纤、模块及其它相关的辅材；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二、等保安全部分：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包含但不限于杀毒软件病毒库；防火墙规则库、病毒库、特征库、WEB应用攻击类型库等；日志审计、数据库审计、堡垒机及网闸类型库、系统软件等；网络准入系统准入类型库、相关规则及软件；漏洞扫描漏洞库；态势感知平台数据库、遥测数据等；APT威胁探针漏洞攻击库、策略库等；上网行为管理规则库、应用库；等保一体机系统软件、数据库审计软件及规则、杀毒软件病毒库、日志审计类型库；零信任VPN终端认证库等。</w:t>
            </w:r>
            <w:r>
              <w:rPr>
                <w:rFonts w:hint="eastAsia" w:ascii="华文中宋" w:hAnsi="华文中宋" w:eastAsia="华文中宋" w:cs="华文中宋"/>
                <w:color w:val="auto"/>
                <w:highlight w:val="none"/>
              </w:rPr>
              <w:br w:type="textWrapping"/>
            </w:r>
            <w:r>
              <w:rPr>
                <w:rFonts w:hint="eastAsia" w:ascii="华文中宋" w:hAnsi="华文中宋" w:cs="华文中宋"/>
                <w:color w:val="auto"/>
                <w:highlight w:val="none"/>
                <w:lang w:val="en-US" w:eastAsia="zh-CN"/>
              </w:rPr>
              <w:t>2</w:t>
            </w:r>
            <w:r>
              <w:rPr>
                <w:rFonts w:hint="eastAsia" w:ascii="华文中宋" w:hAnsi="华文中宋" w:eastAsia="华文中宋" w:cs="华文中宋"/>
                <w:color w:val="auto"/>
                <w:highlight w:val="none"/>
              </w:rPr>
              <w:t>、提供所有设备的硬件上架部署，软件调试部署达到实际业务使用要求，并满足等保要求；</w:t>
            </w:r>
            <w:r>
              <w:rPr>
                <w:rFonts w:hint="eastAsia" w:ascii="华文中宋" w:hAnsi="华文中宋" w:eastAsia="华文中宋" w:cs="华文中宋"/>
                <w:color w:val="auto"/>
                <w:highlight w:val="none"/>
              </w:rPr>
              <w:br w:type="textWrapping"/>
            </w:r>
            <w:r>
              <w:rPr>
                <w:rFonts w:hint="eastAsia" w:ascii="华文中宋" w:hAnsi="华文中宋" w:cs="华文中宋"/>
                <w:color w:val="auto"/>
                <w:highlight w:val="none"/>
                <w:lang w:val="en-US" w:eastAsia="zh-CN"/>
              </w:rPr>
              <w:t>3</w:t>
            </w:r>
            <w:r>
              <w:rPr>
                <w:rFonts w:hint="eastAsia" w:ascii="华文中宋" w:hAnsi="华文中宋" w:eastAsia="华文中宋" w:cs="华文中宋"/>
                <w:color w:val="auto"/>
                <w:highlight w:val="none"/>
              </w:rPr>
              <w:t>、提供所有设备安装调试时所需的网线、光纤、模块及其它相关的辅材；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三、终端配套部分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1、打印机、复印机提供</w:t>
            </w:r>
            <w:r>
              <w:rPr>
                <w:rFonts w:hint="eastAsia" w:ascii="华文中宋" w:hAnsi="华文中宋" w:eastAsia="华文中宋" w:cs="华文中宋"/>
                <w:color w:val="auto"/>
                <w:highlight w:val="none"/>
                <w:lang w:val="en-US" w:eastAsia="zh-CN"/>
              </w:rPr>
              <w:t>三</w:t>
            </w:r>
            <w:r>
              <w:rPr>
                <w:rFonts w:hint="eastAsia" w:ascii="华文中宋" w:hAnsi="华文中宋" w:eastAsia="华文中宋" w:cs="华文中宋"/>
                <w:color w:val="auto"/>
                <w:highlight w:val="none"/>
              </w:rPr>
              <w:t>年质保（硒鼓、色带除外）及维护服务。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2、其它硬件提供三年上门服务、三年硬件质保；</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3、软件部分提供三年免费升级，三年7x24维护服务；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4、含所有设备的硬件上架部署，软件调试部署达到实际业务使用要求；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5、含所有设备安装调试时所需的网线、光纤、模块及其它相关的辅材；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四、信息机房系统部分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1、机房硬件部分提供三年上门服务、三年硬件质保及维护服务；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2、软件部分提供三年免费升级，三年7x24维护服务；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包含但不限于机柜并柜连接、电路连接、蓄电池安装、空调安装、动环软件及相关硬件安装调试、静电地板安装、彩钢墙板安装、新风机及排风机安装等。</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4、提供所有设备安装调试时所需的电线电缆、网线、光纤、模块及其它相关的辅材；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五、密码应用及数字证书系统部分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2、软件部分提供三年免费升级，三年7x24维护服务；数字证书提供三年使用</w:t>
            </w:r>
            <w:r>
              <w:rPr>
                <w:rFonts w:hint="eastAsia" w:ascii="华文中宋" w:hAnsi="华文中宋" w:eastAsia="华文中宋" w:cs="华文中宋"/>
                <w:color w:val="auto"/>
                <w:highlight w:val="none"/>
                <w:lang w:val="en-US" w:eastAsia="zh-CN"/>
              </w:rPr>
              <w:t>许可</w:t>
            </w:r>
            <w:r>
              <w:rPr>
                <w:rFonts w:hint="eastAsia" w:ascii="华文中宋" w:hAnsi="华文中宋" w:eastAsia="华文中宋" w:cs="华文中宋"/>
                <w:color w:val="auto"/>
                <w:highlight w:val="none"/>
              </w:rPr>
              <w:t>。</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4、提供所有设备安装调试时所需的线缆、网线及其它相关的辅材；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六、资产全生命周期管理系统部分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2、软件部分提供三年免费升级，三年7x24维护服务；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4、提供所有设备安装调试时所需的线缆、网线及其它相关的辅材；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七、智慧档案室系统部分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八、数字化手术室系统部分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九、数字时钟系统部分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4、提供所有设备安装调试时所需的电线电缆、网线、线管底盒及其它相关的辅材；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十、智能会议系统部分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1、硬件部分提供三年上门服务、三年硬件质保及维护服务；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2、软件部分提供三年免费升级，三年维护服务；</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3、提供所有设备的安装调试、软件调试达到实际业务使用要求；</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4、提供所有设备安装调试时所需的接插件以及其它相关的辅材；</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十一、项目总体部分</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整体项目实施需派驻不少于两名项目</w:t>
            </w:r>
            <w:r>
              <w:rPr>
                <w:rFonts w:hint="eastAsia" w:ascii="华文中宋" w:hAnsi="华文中宋" w:eastAsia="华文中宋" w:cs="华文中宋"/>
                <w:color w:val="auto"/>
                <w:highlight w:val="none"/>
                <w:lang w:val="en-US" w:eastAsia="zh-CN"/>
              </w:rPr>
              <w:t>技术</w:t>
            </w:r>
            <w:r>
              <w:rPr>
                <w:rFonts w:hint="eastAsia" w:ascii="华文中宋" w:hAnsi="华文中宋" w:eastAsia="华文中宋" w:cs="华文中宋"/>
                <w:color w:val="auto"/>
                <w:highlight w:val="none"/>
              </w:rPr>
              <w:t>人员，制定项目实施计划方案，跟进项目进度，协调各系统间的衔接，落实相关要求并协调相关实施人员完成任务直到项目最终验收。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包含但不限于以上内容，所有设备均需达到实际业务使用的要求，需达到用户的实际使用要求，并且满足或高于国家及有关部门的相关标准。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96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CA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w:t>
            </w:r>
          </w:p>
        </w:tc>
      </w:tr>
    </w:tbl>
    <w:p w14:paraId="301DF3F5">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五、</w:t>
      </w:r>
      <w:r>
        <w:rPr>
          <w:rFonts w:hint="eastAsia" w:ascii="华文中宋" w:hAnsi="华文中宋" w:eastAsia="华文中宋" w:cs="华文中宋"/>
          <w:color w:val="auto"/>
          <w:highlight w:val="none"/>
        </w:rPr>
        <w:t>软件清单</w:t>
      </w:r>
    </w:p>
    <w:tbl>
      <w:tblPr>
        <w:tblStyle w:val="19"/>
        <w:tblW w:w="5005" w:type="pct"/>
        <w:tblInd w:w="0" w:type="dxa"/>
        <w:tblLayout w:type="fixed"/>
        <w:tblCellMar>
          <w:top w:w="0" w:type="dxa"/>
          <w:left w:w="108" w:type="dxa"/>
          <w:bottom w:w="0" w:type="dxa"/>
          <w:right w:w="108" w:type="dxa"/>
        </w:tblCellMar>
      </w:tblPr>
      <w:tblGrid>
        <w:gridCol w:w="735"/>
        <w:gridCol w:w="2905"/>
        <w:gridCol w:w="3962"/>
        <w:gridCol w:w="942"/>
        <w:gridCol w:w="979"/>
      </w:tblGrid>
      <w:tr w14:paraId="17DE7AB9">
        <w:tblPrEx>
          <w:tblCellMar>
            <w:top w:w="0" w:type="dxa"/>
            <w:left w:w="108" w:type="dxa"/>
            <w:bottom w:w="0" w:type="dxa"/>
            <w:right w:w="108" w:type="dxa"/>
          </w:tblCellMar>
        </w:tblPrEx>
        <w:trPr>
          <w:trHeight w:val="99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EA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08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名称</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9E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功能点</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64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8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w:t>
            </w:r>
          </w:p>
        </w:tc>
      </w:tr>
      <w:tr w14:paraId="537645AB">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DB9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21E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门诊挂号管理系统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16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排班管理</w:t>
            </w:r>
          </w:p>
        </w:tc>
        <w:tc>
          <w:tcPr>
            <w:tcW w:w="494" w:type="pct"/>
            <w:vMerge w:val="restart"/>
            <w:tcBorders>
              <w:top w:val="single" w:color="000000" w:sz="4" w:space="0"/>
              <w:left w:val="single" w:color="000000" w:sz="4" w:space="0"/>
              <w:right w:val="single" w:color="000000" w:sz="4" w:space="0"/>
            </w:tcBorders>
            <w:shd w:val="clear" w:color="auto" w:fill="auto"/>
            <w:vAlign w:val="center"/>
          </w:tcPr>
          <w:p w14:paraId="75218B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right w:val="single" w:color="000000" w:sz="4" w:space="0"/>
            </w:tcBorders>
            <w:shd w:val="clear" w:color="auto" w:fill="auto"/>
            <w:vAlign w:val="center"/>
          </w:tcPr>
          <w:p w14:paraId="1E9527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74302A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FF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1C6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FE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爽约管理</w:t>
            </w:r>
          </w:p>
        </w:tc>
        <w:tc>
          <w:tcPr>
            <w:tcW w:w="494" w:type="pct"/>
            <w:vMerge w:val="continue"/>
            <w:tcBorders>
              <w:left w:val="single" w:color="000000" w:sz="4" w:space="0"/>
              <w:right w:val="single" w:color="000000" w:sz="4" w:space="0"/>
            </w:tcBorders>
            <w:shd w:val="clear" w:color="auto" w:fill="auto"/>
            <w:vAlign w:val="center"/>
          </w:tcPr>
          <w:p w14:paraId="7CAB52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0D994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BA44FC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AC8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9A5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D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号序管理</w:t>
            </w:r>
          </w:p>
        </w:tc>
        <w:tc>
          <w:tcPr>
            <w:tcW w:w="494" w:type="pct"/>
            <w:vMerge w:val="continue"/>
            <w:tcBorders>
              <w:left w:val="single" w:color="000000" w:sz="4" w:space="0"/>
              <w:right w:val="single" w:color="000000" w:sz="4" w:space="0"/>
            </w:tcBorders>
            <w:shd w:val="clear" w:color="auto" w:fill="auto"/>
            <w:vAlign w:val="center"/>
          </w:tcPr>
          <w:p w14:paraId="0A9A2A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3BD676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955D5C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7B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744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5B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预约管理</w:t>
            </w:r>
          </w:p>
        </w:tc>
        <w:tc>
          <w:tcPr>
            <w:tcW w:w="494" w:type="pct"/>
            <w:vMerge w:val="continue"/>
            <w:tcBorders>
              <w:left w:val="single" w:color="000000" w:sz="4" w:space="0"/>
              <w:right w:val="single" w:color="000000" w:sz="4" w:space="0"/>
            </w:tcBorders>
            <w:shd w:val="clear" w:color="auto" w:fill="auto"/>
            <w:vAlign w:val="center"/>
          </w:tcPr>
          <w:p w14:paraId="0028BD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380F5D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B22ED7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4F8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DEC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8C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统计分析</w:t>
            </w:r>
          </w:p>
        </w:tc>
        <w:tc>
          <w:tcPr>
            <w:tcW w:w="494" w:type="pct"/>
            <w:vMerge w:val="continue"/>
            <w:tcBorders>
              <w:left w:val="single" w:color="000000" w:sz="4" w:space="0"/>
              <w:right w:val="single" w:color="000000" w:sz="4" w:space="0"/>
            </w:tcBorders>
            <w:shd w:val="clear" w:color="auto" w:fill="auto"/>
            <w:vAlign w:val="center"/>
          </w:tcPr>
          <w:p w14:paraId="242EB1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77FD9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91802E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5E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B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C4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患者基本信息登记</w:t>
            </w:r>
          </w:p>
        </w:tc>
        <w:tc>
          <w:tcPr>
            <w:tcW w:w="494" w:type="pct"/>
            <w:vMerge w:val="continue"/>
            <w:tcBorders>
              <w:left w:val="single" w:color="000000" w:sz="4" w:space="0"/>
              <w:right w:val="single" w:color="000000" w:sz="4" w:space="0"/>
            </w:tcBorders>
            <w:shd w:val="clear" w:color="auto" w:fill="auto"/>
            <w:vAlign w:val="center"/>
          </w:tcPr>
          <w:p w14:paraId="7838DE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762473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3281EB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C2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614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D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门急诊挂号</w:t>
            </w:r>
          </w:p>
        </w:tc>
        <w:tc>
          <w:tcPr>
            <w:tcW w:w="494" w:type="pct"/>
            <w:vMerge w:val="continue"/>
            <w:tcBorders>
              <w:left w:val="single" w:color="000000" w:sz="4" w:space="0"/>
              <w:right w:val="single" w:color="000000" w:sz="4" w:space="0"/>
            </w:tcBorders>
            <w:shd w:val="clear" w:color="auto" w:fill="auto"/>
            <w:vAlign w:val="center"/>
          </w:tcPr>
          <w:p w14:paraId="3FCBA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47BB9F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00F9A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F1C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31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7E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门急诊退号</w:t>
            </w:r>
          </w:p>
        </w:tc>
        <w:tc>
          <w:tcPr>
            <w:tcW w:w="494" w:type="pct"/>
            <w:vMerge w:val="continue"/>
            <w:tcBorders>
              <w:left w:val="single" w:color="000000" w:sz="4" w:space="0"/>
              <w:right w:val="single" w:color="000000" w:sz="4" w:space="0"/>
            </w:tcBorders>
            <w:shd w:val="clear" w:color="auto" w:fill="auto"/>
            <w:vAlign w:val="center"/>
          </w:tcPr>
          <w:p w14:paraId="173EDC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2A2621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61C45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7F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43F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8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票据管理</w:t>
            </w:r>
          </w:p>
        </w:tc>
        <w:tc>
          <w:tcPr>
            <w:tcW w:w="494" w:type="pct"/>
            <w:vMerge w:val="continue"/>
            <w:tcBorders>
              <w:left w:val="single" w:color="000000" w:sz="4" w:space="0"/>
              <w:right w:val="single" w:color="000000" w:sz="4" w:space="0"/>
            </w:tcBorders>
            <w:shd w:val="clear" w:color="auto" w:fill="auto"/>
            <w:vAlign w:val="center"/>
          </w:tcPr>
          <w:p w14:paraId="63E35C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6AF80A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F8BC84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CE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F5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CB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门急诊划价</w:t>
            </w:r>
          </w:p>
        </w:tc>
        <w:tc>
          <w:tcPr>
            <w:tcW w:w="494" w:type="pct"/>
            <w:vMerge w:val="continue"/>
            <w:tcBorders>
              <w:left w:val="single" w:color="000000" w:sz="4" w:space="0"/>
              <w:right w:val="single" w:color="000000" w:sz="4" w:space="0"/>
            </w:tcBorders>
            <w:shd w:val="clear" w:color="auto" w:fill="auto"/>
            <w:vAlign w:val="center"/>
          </w:tcPr>
          <w:p w14:paraId="03D4D3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4C2A52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5E51DF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F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8DE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E8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门急诊记帐</w:t>
            </w:r>
          </w:p>
        </w:tc>
        <w:tc>
          <w:tcPr>
            <w:tcW w:w="494" w:type="pct"/>
            <w:vMerge w:val="continue"/>
            <w:tcBorders>
              <w:left w:val="single" w:color="000000" w:sz="4" w:space="0"/>
              <w:right w:val="single" w:color="000000" w:sz="4" w:space="0"/>
            </w:tcBorders>
            <w:shd w:val="clear" w:color="auto" w:fill="auto"/>
            <w:vAlign w:val="center"/>
          </w:tcPr>
          <w:p w14:paraId="6685D7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617AE6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2D77A3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02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5C5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21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门急诊收费</w:t>
            </w:r>
          </w:p>
        </w:tc>
        <w:tc>
          <w:tcPr>
            <w:tcW w:w="494" w:type="pct"/>
            <w:vMerge w:val="continue"/>
            <w:tcBorders>
              <w:left w:val="single" w:color="000000" w:sz="4" w:space="0"/>
              <w:right w:val="single" w:color="000000" w:sz="4" w:space="0"/>
            </w:tcBorders>
            <w:shd w:val="clear" w:color="auto" w:fill="auto"/>
            <w:vAlign w:val="center"/>
          </w:tcPr>
          <w:p w14:paraId="2EF0FE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2E8FEF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66C195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12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25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43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门急诊退费</w:t>
            </w:r>
          </w:p>
        </w:tc>
        <w:tc>
          <w:tcPr>
            <w:tcW w:w="494" w:type="pct"/>
            <w:vMerge w:val="continue"/>
            <w:tcBorders>
              <w:left w:val="single" w:color="000000" w:sz="4" w:space="0"/>
              <w:right w:val="single" w:color="000000" w:sz="4" w:space="0"/>
            </w:tcBorders>
            <w:shd w:val="clear" w:color="auto" w:fill="auto"/>
            <w:vAlign w:val="center"/>
          </w:tcPr>
          <w:p w14:paraId="3D5FBD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6943B5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83CA70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C1B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FA2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50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票据管理</w:t>
            </w:r>
          </w:p>
        </w:tc>
        <w:tc>
          <w:tcPr>
            <w:tcW w:w="494" w:type="pct"/>
            <w:vMerge w:val="continue"/>
            <w:tcBorders>
              <w:left w:val="single" w:color="000000" w:sz="4" w:space="0"/>
              <w:right w:val="single" w:color="000000" w:sz="4" w:space="0"/>
            </w:tcBorders>
            <w:shd w:val="clear" w:color="auto" w:fill="auto"/>
            <w:vAlign w:val="center"/>
          </w:tcPr>
          <w:p w14:paraId="7C2CD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6EA9E4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0B3C95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189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15B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5F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数据查询</w:t>
            </w:r>
          </w:p>
        </w:tc>
        <w:tc>
          <w:tcPr>
            <w:tcW w:w="494" w:type="pct"/>
            <w:vMerge w:val="continue"/>
            <w:tcBorders>
              <w:left w:val="single" w:color="000000" w:sz="4" w:space="0"/>
              <w:right w:val="single" w:color="000000" w:sz="4" w:space="0"/>
            </w:tcBorders>
            <w:shd w:val="clear" w:color="auto" w:fill="auto"/>
            <w:vAlign w:val="center"/>
          </w:tcPr>
          <w:p w14:paraId="69257D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3EED9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200C70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68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15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B0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收费扎帐管理</w:t>
            </w:r>
          </w:p>
        </w:tc>
        <w:tc>
          <w:tcPr>
            <w:tcW w:w="494" w:type="pct"/>
            <w:vMerge w:val="continue"/>
            <w:tcBorders>
              <w:left w:val="single" w:color="000000" w:sz="4" w:space="0"/>
              <w:bottom w:val="single" w:color="000000" w:sz="4" w:space="0"/>
              <w:right w:val="single" w:color="000000" w:sz="4" w:space="0"/>
            </w:tcBorders>
            <w:shd w:val="clear" w:color="auto" w:fill="auto"/>
            <w:vAlign w:val="center"/>
          </w:tcPr>
          <w:p w14:paraId="22BCF8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bottom w:val="single" w:color="000000" w:sz="4" w:space="0"/>
              <w:right w:val="single" w:color="000000" w:sz="4" w:space="0"/>
            </w:tcBorders>
            <w:shd w:val="clear" w:color="auto" w:fill="auto"/>
            <w:vAlign w:val="center"/>
          </w:tcPr>
          <w:p w14:paraId="7329A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B4A90DC">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42C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933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出入院管理系统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58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病人信息管理</w:t>
            </w:r>
          </w:p>
        </w:tc>
        <w:tc>
          <w:tcPr>
            <w:tcW w:w="494" w:type="pct"/>
            <w:vMerge w:val="restart"/>
            <w:tcBorders>
              <w:top w:val="single" w:color="000000" w:sz="4" w:space="0"/>
              <w:left w:val="single" w:color="000000" w:sz="4" w:space="0"/>
              <w:right w:val="single" w:color="000000" w:sz="4" w:space="0"/>
            </w:tcBorders>
            <w:shd w:val="clear" w:color="auto" w:fill="auto"/>
            <w:vAlign w:val="center"/>
          </w:tcPr>
          <w:p w14:paraId="02848A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right w:val="single" w:color="000000" w:sz="4" w:space="0"/>
            </w:tcBorders>
            <w:shd w:val="clear" w:color="auto" w:fill="auto"/>
            <w:vAlign w:val="center"/>
          </w:tcPr>
          <w:p w14:paraId="6B595C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F57E17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E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DD6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AD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病人入院管理</w:t>
            </w:r>
          </w:p>
        </w:tc>
        <w:tc>
          <w:tcPr>
            <w:tcW w:w="494" w:type="pct"/>
            <w:vMerge w:val="continue"/>
            <w:tcBorders>
              <w:left w:val="single" w:color="000000" w:sz="4" w:space="0"/>
              <w:right w:val="single" w:color="000000" w:sz="4" w:space="0"/>
            </w:tcBorders>
            <w:shd w:val="clear" w:color="auto" w:fill="auto"/>
            <w:vAlign w:val="center"/>
          </w:tcPr>
          <w:p w14:paraId="7CD923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371C3C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80AC01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805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97B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AC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病人预交管理</w:t>
            </w:r>
          </w:p>
        </w:tc>
        <w:tc>
          <w:tcPr>
            <w:tcW w:w="494" w:type="pct"/>
            <w:vMerge w:val="continue"/>
            <w:tcBorders>
              <w:left w:val="single" w:color="000000" w:sz="4" w:space="0"/>
              <w:right w:val="single" w:color="000000" w:sz="4" w:space="0"/>
            </w:tcBorders>
            <w:shd w:val="clear" w:color="auto" w:fill="auto"/>
            <w:vAlign w:val="center"/>
          </w:tcPr>
          <w:p w14:paraId="51E9F5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774EF5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13E07F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F3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BD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67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出院结算管理</w:t>
            </w:r>
          </w:p>
        </w:tc>
        <w:tc>
          <w:tcPr>
            <w:tcW w:w="494" w:type="pct"/>
            <w:vMerge w:val="continue"/>
            <w:tcBorders>
              <w:left w:val="single" w:color="000000" w:sz="4" w:space="0"/>
              <w:right w:val="single" w:color="000000" w:sz="4" w:space="0"/>
            </w:tcBorders>
            <w:shd w:val="clear" w:color="auto" w:fill="auto"/>
            <w:vAlign w:val="center"/>
          </w:tcPr>
          <w:p w14:paraId="7915B9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3E8658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86B405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6E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11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B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病区床位管理</w:t>
            </w:r>
          </w:p>
        </w:tc>
        <w:tc>
          <w:tcPr>
            <w:tcW w:w="494" w:type="pct"/>
            <w:vMerge w:val="continue"/>
            <w:tcBorders>
              <w:left w:val="single" w:color="000000" w:sz="4" w:space="0"/>
              <w:right w:val="single" w:color="000000" w:sz="4" w:space="0"/>
            </w:tcBorders>
            <w:shd w:val="clear" w:color="auto" w:fill="auto"/>
            <w:vAlign w:val="center"/>
          </w:tcPr>
          <w:p w14:paraId="250D72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vAlign w:val="center"/>
          </w:tcPr>
          <w:p w14:paraId="0B0CAF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C27689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8AD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E6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B3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预交扎帐管理</w:t>
            </w:r>
          </w:p>
        </w:tc>
        <w:tc>
          <w:tcPr>
            <w:tcW w:w="494" w:type="pct"/>
            <w:vMerge w:val="continue"/>
            <w:tcBorders>
              <w:left w:val="single" w:color="000000" w:sz="4" w:space="0"/>
              <w:bottom w:val="single" w:color="000000" w:sz="4" w:space="0"/>
              <w:right w:val="single" w:color="000000" w:sz="4" w:space="0"/>
            </w:tcBorders>
            <w:shd w:val="clear" w:color="auto" w:fill="auto"/>
            <w:vAlign w:val="center"/>
          </w:tcPr>
          <w:p w14:paraId="4F8CE0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bottom w:val="single" w:color="000000" w:sz="4" w:space="0"/>
              <w:right w:val="single" w:color="000000" w:sz="4" w:space="0"/>
            </w:tcBorders>
            <w:shd w:val="clear" w:color="auto" w:fill="auto"/>
            <w:vAlign w:val="center"/>
          </w:tcPr>
          <w:p w14:paraId="4BAC2F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5E2DA22">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C1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D0A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门诊医生工作站系统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28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门诊诊疗管理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EB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30A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9BC280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58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436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7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门诊处方管理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922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DF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265623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5F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B98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EE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门诊申请单管理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AB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E0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4403B8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BC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6B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5A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门诊医生危急值应用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F2D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DB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894BBA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33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3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30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检验报告查阅</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70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E01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61E83C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FE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59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56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检查报告查阅</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FBC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50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94CE1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8E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33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1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消息提醒服务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86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F2D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1B0AD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61B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1C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01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门诊病历录入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E5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A4C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CB752A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8D0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2E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B8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门诊病历书写助手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E5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3A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C2975F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1B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FC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CB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病历数据存储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F0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C92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3EEEF8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4B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433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EE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门诊病历查询统计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EA8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B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C132B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59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AF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6A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范文管理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77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238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37D7994">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FBC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A17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住院医生工作站系统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AE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住院诊疗管理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DAD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B9B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48D6B7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D60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49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99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住院医嘱管理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6F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E0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95D6AF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F5F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44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A4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住院医生危急值应用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E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D2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6351A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884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C8D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50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住院院内会诊管理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9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F7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43FB7B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F1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D9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61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检验报告查阅</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4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96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6DEFC4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271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C6A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6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检查报告查阅</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69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4C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09230D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07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A6D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98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消息提醒服务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CF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31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7B203D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55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C1A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9D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住院诊疗一览表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08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2E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CE5E5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45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BB5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58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住院病历书写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C0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01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22EE49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9E3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13A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BF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病历范文导入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BD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BC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E8068E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89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883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24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病历编辑</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94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C4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E85A05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BBB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9D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87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病历自检管理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EE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8C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4D8051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45D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038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67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调阅检验报告管理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A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76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4C21C4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361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4C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46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调阅检查报告管理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4B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7F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FB4AAD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3D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BF9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5B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调阅医嘱信息管理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99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34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C04ABF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EB2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C60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28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历史病历检索管理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43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BA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C4B31A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B7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BD3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E8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范文管理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0E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0B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97AD4C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D6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5CA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2B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住院病历审订痕迹</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DF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40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CF4561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421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AE6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4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病历检索分析</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2D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62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7FD137D">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931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11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住院临床路径管理系统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3D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临床路径配置</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5B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28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9BF4DA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2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9A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5C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入出路径管理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CE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35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5F156A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2F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49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7C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临床路径执行</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5D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DB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09F8F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FE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49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47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临床路径评估管理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F2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47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6F8815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18D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36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60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临床路径统计查询</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2C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9D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B3C4809">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0E2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524" w:type="pct"/>
            <w:vMerge w:val="restart"/>
            <w:tcBorders>
              <w:top w:val="single" w:color="000000" w:sz="4" w:space="0"/>
              <w:left w:val="single" w:color="000000" w:sz="4" w:space="0"/>
              <w:right w:val="single" w:color="000000" w:sz="4" w:space="0"/>
            </w:tcBorders>
            <w:shd w:val="clear" w:color="auto" w:fill="auto"/>
            <w:vAlign w:val="center"/>
          </w:tcPr>
          <w:p w14:paraId="421BBF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住院护士工作站系统</w:t>
            </w:r>
          </w:p>
          <w:p w14:paraId="36ECC7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B5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床位管理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2B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22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6571B5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1D1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002C5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243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医嘱处理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7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63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5295B6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03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66E52C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BA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费用管理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86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1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133289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5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27183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B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临床数据查看功能</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88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FB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4DD185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57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3CE2F6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72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护理计划管理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1C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15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62F502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1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3239B0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A3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健康宣教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0B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BC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1E3FD7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06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2C575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64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任务驱动管理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F8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56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A31339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C0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56333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8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输血医嘱流程管理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22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A2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6A9429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C92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02436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14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护理会诊</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AD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16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774775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3C3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1E9C16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79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交接班</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78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3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96813B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EC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47050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E9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管道管路管理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D6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60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A87BCD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065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C969D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2F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压力性损伤管路</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AE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21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6EADF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AF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6BAF1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FA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坠床跌倒管理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DD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12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DCD790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705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1A9D8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FE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护士档案资料管理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9D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89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B71CC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78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41015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D9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护士排班</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C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9B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DDF171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B8B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35C21D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BD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不良事件管理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02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6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6194A1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A8B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0CBFC8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ED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护理质量管理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B2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A4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8C33D9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51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8EEA9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5D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护理统计分析</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FA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B2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8EC8B0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F3A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01C636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35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护理文书录入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18C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02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652B61D">
        <w:tblPrEx>
          <w:tblCellMar>
            <w:top w:w="0" w:type="dxa"/>
            <w:left w:w="108" w:type="dxa"/>
            <w:bottom w:w="0" w:type="dxa"/>
            <w:right w:w="108" w:type="dxa"/>
          </w:tblCellMar>
        </w:tblPrEx>
        <w:trPr>
          <w:trHeight w:val="608"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18C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bottom w:val="single" w:color="000000" w:sz="4" w:space="0"/>
              <w:right w:val="single" w:color="000000" w:sz="4" w:space="0"/>
            </w:tcBorders>
            <w:shd w:val="clear" w:color="auto" w:fill="auto"/>
            <w:vAlign w:val="center"/>
          </w:tcPr>
          <w:p w14:paraId="150E8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D8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护理评估评分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FAE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B5A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E3A2F73">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68E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6C9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临床辅助决策支持信息系统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27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检查知识库</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F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A7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0FE8004">
        <w:tblPrEx>
          <w:tblCellMar>
            <w:top w:w="0" w:type="dxa"/>
            <w:left w:w="108" w:type="dxa"/>
            <w:bottom w:w="0" w:type="dxa"/>
            <w:right w:w="108" w:type="dxa"/>
          </w:tblCellMar>
        </w:tblPrEx>
        <w:trPr>
          <w:trHeight w:val="1149"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2B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54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28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检验知识库</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F9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4C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7DDDB25">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A0E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839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体检管理信息系统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87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体检费用管理</w:t>
            </w:r>
          </w:p>
        </w:tc>
        <w:tc>
          <w:tcPr>
            <w:tcW w:w="494" w:type="pct"/>
            <w:vMerge w:val="restart"/>
            <w:tcBorders>
              <w:top w:val="single" w:color="000000" w:sz="4" w:space="0"/>
              <w:left w:val="single" w:color="000000" w:sz="4" w:space="0"/>
              <w:right w:val="single" w:color="000000" w:sz="4" w:space="0"/>
            </w:tcBorders>
            <w:shd w:val="clear" w:color="auto" w:fill="auto"/>
            <w:noWrap/>
            <w:vAlign w:val="center"/>
          </w:tcPr>
          <w:p w14:paraId="7CDECE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right w:val="single" w:color="000000" w:sz="4" w:space="0"/>
            </w:tcBorders>
            <w:shd w:val="clear" w:color="auto" w:fill="auto"/>
            <w:noWrap/>
            <w:vAlign w:val="center"/>
          </w:tcPr>
          <w:p w14:paraId="759420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876F25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877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CDB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1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体检基础业务</w:t>
            </w:r>
          </w:p>
        </w:tc>
        <w:tc>
          <w:tcPr>
            <w:tcW w:w="494" w:type="pct"/>
            <w:vMerge w:val="continue"/>
            <w:tcBorders>
              <w:left w:val="single" w:color="000000" w:sz="4" w:space="0"/>
              <w:right w:val="single" w:color="000000" w:sz="4" w:space="0"/>
            </w:tcBorders>
            <w:shd w:val="clear" w:color="auto" w:fill="auto"/>
            <w:noWrap/>
            <w:vAlign w:val="center"/>
          </w:tcPr>
          <w:p w14:paraId="6D5F25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56732A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655B33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FF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18D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A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体检报告管理</w:t>
            </w:r>
          </w:p>
        </w:tc>
        <w:tc>
          <w:tcPr>
            <w:tcW w:w="494" w:type="pct"/>
            <w:vMerge w:val="continue"/>
            <w:tcBorders>
              <w:left w:val="single" w:color="000000" w:sz="4" w:space="0"/>
              <w:right w:val="single" w:color="000000" w:sz="4" w:space="0"/>
            </w:tcBorders>
            <w:shd w:val="clear" w:color="auto" w:fill="auto"/>
            <w:noWrap/>
            <w:vAlign w:val="center"/>
          </w:tcPr>
          <w:p w14:paraId="7ABCA6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7A0DD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6D09D4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E9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C27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C5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体检评估审核</w:t>
            </w:r>
          </w:p>
        </w:tc>
        <w:tc>
          <w:tcPr>
            <w:tcW w:w="494" w:type="pct"/>
            <w:vMerge w:val="continue"/>
            <w:tcBorders>
              <w:left w:val="single" w:color="000000" w:sz="4" w:space="0"/>
              <w:right w:val="single" w:color="000000" w:sz="4" w:space="0"/>
            </w:tcBorders>
            <w:shd w:val="clear" w:color="auto" w:fill="auto"/>
            <w:noWrap/>
            <w:vAlign w:val="center"/>
          </w:tcPr>
          <w:p w14:paraId="1F5B8D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41537C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E3053E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3E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76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9B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健康证体检</w:t>
            </w:r>
          </w:p>
        </w:tc>
        <w:tc>
          <w:tcPr>
            <w:tcW w:w="494" w:type="pct"/>
            <w:vMerge w:val="continue"/>
            <w:tcBorders>
              <w:left w:val="single" w:color="000000" w:sz="4" w:space="0"/>
              <w:right w:val="single" w:color="000000" w:sz="4" w:space="0"/>
            </w:tcBorders>
            <w:shd w:val="clear" w:color="auto" w:fill="auto"/>
            <w:noWrap/>
            <w:vAlign w:val="center"/>
          </w:tcPr>
          <w:p w14:paraId="50736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2BB7C9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F73222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A1E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19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56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职业病体检</w:t>
            </w:r>
          </w:p>
        </w:tc>
        <w:tc>
          <w:tcPr>
            <w:tcW w:w="494" w:type="pct"/>
            <w:vMerge w:val="continue"/>
            <w:tcBorders>
              <w:left w:val="single" w:color="000000" w:sz="4" w:space="0"/>
              <w:bottom w:val="single" w:color="000000" w:sz="4" w:space="0"/>
              <w:right w:val="single" w:color="000000" w:sz="4" w:space="0"/>
            </w:tcBorders>
            <w:shd w:val="clear" w:color="auto" w:fill="auto"/>
            <w:noWrap/>
            <w:vAlign w:val="center"/>
          </w:tcPr>
          <w:p w14:paraId="0F6C7E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bottom w:val="single" w:color="000000" w:sz="4" w:space="0"/>
              <w:right w:val="single" w:color="000000" w:sz="4" w:space="0"/>
            </w:tcBorders>
            <w:shd w:val="clear" w:color="auto" w:fill="auto"/>
            <w:noWrap/>
            <w:vAlign w:val="center"/>
          </w:tcPr>
          <w:p w14:paraId="2E04E8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F0EBDE4">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343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8F8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实验室信息管理系统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49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条码流程管理</w:t>
            </w:r>
          </w:p>
        </w:tc>
        <w:tc>
          <w:tcPr>
            <w:tcW w:w="494" w:type="pct"/>
            <w:vMerge w:val="restart"/>
            <w:tcBorders>
              <w:top w:val="single" w:color="000000" w:sz="4" w:space="0"/>
              <w:left w:val="single" w:color="000000" w:sz="4" w:space="0"/>
              <w:right w:val="single" w:color="000000" w:sz="4" w:space="0"/>
            </w:tcBorders>
            <w:shd w:val="clear" w:color="auto" w:fill="auto"/>
            <w:noWrap/>
            <w:vAlign w:val="center"/>
          </w:tcPr>
          <w:p w14:paraId="2023FA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right w:val="single" w:color="000000" w:sz="4" w:space="0"/>
            </w:tcBorders>
            <w:shd w:val="clear" w:color="auto" w:fill="auto"/>
            <w:noWrap/>
            <w:vAlign w:val="center"/>
          </w:tcPr>
          <w:p w14:paraId="653DEB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C2D86D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01C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46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4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常规检验管理</w:t>
            </w:r>
          </w:p>
        </w:tc>
        <w:tc>
          <w:tcPr>
            <w:tcW w:w="494" w:type="pct"/>
            <w:vMerge w:val="continue"/>
            <w:tcBorders>
              <w:left w:val="single" w:color="000000" w:sz="4" w:space="0"/>
              <w:right w:val="single" w:color="000000" w:sz="4" w:space="0"/>
            </w:tcBorders>
            <w:shd w:val="clear" w:color="auto" w:fill="auto"/>
            <w:noWrap/>
            <w:vAlign w:val="center"/>
          </w:tcPr>
          <w:p w14:paraId="62C29E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31B1A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714BD8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0F7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61F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CD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采集管理</w:t>
            </w:r>
          </w:p>
        </w:tc>
        <w:tc>
          <w:tcPr>
            <w:tcW w:w="494" w:type="pct"/>
            <w:vMerge w:val="continue"/>
            <w:tcBorders>
              <w:left w:val="single" w:color="000000" w:sz="4" w:space="0"/>
              <w:right w:val="single" w:color="000000" w:sz="4" w:space="0"/>
            </w:tcBorders>
            <w:shd w:val="clear" w:color="auto" w:fill="auto"/>
            <w:noWrap/>
            <w:vAlign w:val="center"/>
          </w:tcPr>
          <w:p w14:paraId="438942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5D303A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95868E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FF5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4D1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D72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tc>
        <w:tc>
          <w:tcPr>
            <w:tcW w:w="494" w:type="pct"/>
            <w:vMerge w:val="continue"/>
            <w:tcBorders>
              <w:left w:val="single" w:color="000000" w:sz="4" w:space="0"/>
              <w:right w:val="single" w:color="000000" w:sz="4" w:space="0"/>
            </w:tcBorders>
            <w:shd w:val="clear" w:color="auto" w:fill="auto"/>
            <w:noWrap/>
            <w:vAlign w:val="center"/>
          </w:tcPr>
          <w:p w14:paraId="0FC151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328A7E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425C65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15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059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E1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质控管理</w:t>
            </w:r>
          </w:p>
        </w:tc>
        <w:tc>
          <w:tcPr>
            <w:tcW w:w="494" w:type="pct"/>
            <w:vMerge w:val="continue"/>
            <w:tcBorders>
              <w:left w:val="single" w:color="000000" w:sz="4" w:space="0"/>
              <w:bottom w:val="single" w:color="000000" w:sz="4" w:space="0"/>
              <w:right w:val="single" w:color="000000" w:sz="4" w:space="0"/>
            </w:tcBorders>
            <w:shd w:val="clear" w:color="auto" w:fill="auto"/>
            <w:noWrap/>
            <w:vAlign w:val="center"/>
          </w:tcPr>
          <w:p w14:paraId="7512F4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bottom w:val="single" w:color="000000" w:sz="4" w:space="0"/>
              <w:right w:val="single" w:color="000000" w:sz="4" w:space="0"/>
            </w:tcBorders>
            <w:shd w:val="clear" w:color="auto" w:fill="auto"/>
            <w:noWrap/>
            <w:vAlign w:val="center"/>
          </w:tcPr>
          <w:p w14:paraId="5BFCFB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CE23B6C">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778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2C4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输血管理信息系统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4A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用血计划</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68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91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9EFF37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EAC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62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52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血液预订</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F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F1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EFE3ED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AFC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4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13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血液入库</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23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55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AE7AED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635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6A5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41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血液出库</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3E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A5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E4EE3E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4AD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FEF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6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退血管理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65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B5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29D089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0A3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82A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79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血液报废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0E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7E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111007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C41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DAB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03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血液回收</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3A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82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70E6CF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4A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EB0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7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输血前评估</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F0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74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C8FC3B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05B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C2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86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临床用血申请</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F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2A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401193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2CC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A9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AC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自体输血申请</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3D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94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2B2F2F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B56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0E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58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术中自体输血记录</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1B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9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E7605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E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ED2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C9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采集标本</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E0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6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C8F162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99E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D8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3F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用血审核</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05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F4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5F6293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CCE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D8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59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异体血核收</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0D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E4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0E3C10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CE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85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F9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自体血核收</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4E0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52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D231E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8F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B32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99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血液相容性检测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7C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014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DFE2AA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810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020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5B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血液发放</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0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42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8A4331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6AB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A9B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13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疑难配血记录</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84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02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DE7B66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C2E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D42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3D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不良反应记录</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78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25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DD485C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D03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FE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8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血液接收</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3D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4D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40AC50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5C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22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B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输血执行</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7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9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49F4A4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893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DC9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B1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变更执行科室</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0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AF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0C5DFB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977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42C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56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输血后评估</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88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7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BEEF87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DBB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3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02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不良反应回报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12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4A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4F564A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B9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52A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1C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血液信息</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7D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DD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C0D7D4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D9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1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CE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存储位置管理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3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F8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6B76ED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572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F13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检验方案管理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30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47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FB80D2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3C7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F94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89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输血评估</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B3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54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D260C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449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E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DE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合理用血规则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03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6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85ECBC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06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BE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5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库存预警</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2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36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23226A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DDF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C36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D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血辩管理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6C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E9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E98343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29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792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72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血型分布</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8E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66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37E241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C47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DF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B0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结束用血记录</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1C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3A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343FD95">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893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FE5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放射检查信息系统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FB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预约登记工作站</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D7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5D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7A2851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A3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615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FD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技师工作站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F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B0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DC841A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18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D3A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A5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条码流程管理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A5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51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AC519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31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B5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E9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10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CB0F7CB">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896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53D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医学影像管理系统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2C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临床影像浏览系统</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D9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79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DB7D01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1F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C9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05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设备联机</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0F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7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38DC54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024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66F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A0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危急值管理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DF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CD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9E36196">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EAD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6CD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超声检查信息系统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B2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检查预约及登记</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B0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7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C597D2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3D1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F20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A2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超声设备联机</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00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F0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D8216D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F0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C6C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B3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1D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98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A0D4835">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0C7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754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内窥镜检查信息系统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44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检查预约及登记</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48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30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42CD1D6">
        <w:tblPrEx>
          <w:tblCellMar>
            <w:top w:w="0" w:type="dxa"/>
            <w:left w:w="108" w:type="dxa"/>
            <w:bottom w:w="0" w:type="dxa"/>
            <w:right w:w="108" w:type="dxa"/>
          </w:tblCellMar>
        </w:tblPrEx>
        <w:trPr>
          <w:trHeight w:val="879"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1A2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BE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A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49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D8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45D8AC2">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927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254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手术麻醉信息系统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15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麻醉医师工作站</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B9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B6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D6FD6F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0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CF7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D7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护士工作站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61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0A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1949FB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C80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018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0D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微信小程序</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51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A4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2B5ABC3">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right w:val="single" w:color="000000" w:sz="4" w:space="0"/>
            </w:tcBorders>
            <w:shd w:val="clear" w:color="auto" w:fill="auto"/>
            <w:vAlign w:val="center"/>
          </w:tcPr>
          <w:p w14:paraId="7E61C8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w:t>
            </w:r>
          </w:p>
        </w:tc>
        <w:tc>
          <w:tcPr>
            <w:tcW w:w="1524" w:type="pct"/>
            <w:vMerge w:val="restart"/>
            <w:tcBorders>
              <w:top w:val="single" w:color="000000" w:sz="4" w:space="0"/>
              <w:left w:val="single" w:color="000000" w:sz="4" w:space="0"/>
              <w:right w:val="single" w:color="000000" w:sz="4" w:space="0"/>
            </w:tcBorders>
            <w:shd w:val="clear" w:color="auto" w:fill="auto"/>
            <w:vAlign w:val="center"/>
          </w:tcPr>
          <w:p w14:paraId="7A4543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重症监护信息系统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89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患者管理</w:t>
            </w:r>
          </w:p>
        </w:tc>
        <w:tc>
          <w:tcPr>
            <w:tcW w:w="494" w:type="pct"/>
            <w:vMerge w:val="restart"/>
            <w:tcBorders>
              <w:top w:val="single" w:color="000000" w:sz="4" w:space="0"/>
              <w:left w:val="single" w:color="000000" w:sz="4" w:space="0"/>
              <w:right w:val="single" w:color="000000" w:sz="4" w:space="0"/>
            </w:tcBorders>
            <w:shd w:val="clear" w:color="auto" w:fill="auto"/>
            <w:noWrap/>
            <w:vAlign w:val="center"/>
          </w:tcPr>
          <w:p w14:paraId="67CA81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right w:val="single" w:color="000000" w:sz="4" w:space="0"/>
            </w:tcBorders>
            <w:shd w:val="clear" w:color="auto" w:fill="auto"/>
            <w:noWrap/>
            <w:vAlign w:val="center"/>
          </w:tcPr>
          <w:p w14:paraId="24A5E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57DB6AD">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26FF04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56E76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C5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入院评估单</w:t>
            </w:r>
          </w:p>
        </w:tc>
        <w:tc>
          <w:tcPr>
            <w:tcW w:w="494" w:type="pct"/>
            <w:vMerge w:val="continue"/>
            <w:tcBorders>
              <w:left w:val="single" w:color="000000" w:sz="4" w:space="0"/>
              <w:right w:val="single" w:color="000000" w:sz="4" w:space="0"/>
            </w:tcBorders>
            <w:shd w:val="clear" w:color="auto" w:fill="auto"/>
            <w:noWrap/>
            <w:vAlign w:val="center"/>
          </w:tcPr>
          <w:p w14:paraId="0B9DD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02405A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4298FA0">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3D4797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02F160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AD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出入量</w:t>
            </w:r>
          </w:p>
        </w:tc>
        <w:tc>
          <w:tcPr>
            <w:tcW w:w="494" w:type="pct"/>
            <w:vMerge w:val="continue"/>
            <w:tcBorders>
              <w:left w:val="single" w:color="000000" w:sz="4" w:space="0"/>
              <w:right w:val="single" w:color="000000" w:sz="4" w:space="0"/>
            </w:tcBorders>
            <w:shd w:val="clear" w:color="auto" w:fill="auto"/>
            <w:noWrap/>
            <w:vAlign w:val="center"/>
          </w:tcPr>
          <w:p w14:paraId="0FFE3D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2BD934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DE67D27">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62FAE6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411345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BE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护理记录</w:t>
            </w:r>
          </w:p>
        </w:tc>
        <w:tc>
          <w:tcPr>
            <w:tcW w:w="494" w:type="pct"/>
            <w:vMerge w:val="continue"/>
            <w:tcBorders>
              <w:left w:val="single" w:color="000000" w:sz="4" w:space="0"/>
              <w:right w:val="single" w:color="000000" w:sz="4" w:space="0"/>
            </w:tcBorders>
            <w:shd w:val="clear" w:color="auto" w:fill="auto"/>
            <w:noWrap/>
            <w:vAlign w:val="center"/>
          </w:tcPr>
          <w:p w14:paraId="5C6161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64E9C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E7BAE1">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5D910F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8607E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10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导管记录</w:t>
            </w:r>
          </w:p>
        </w:tc>
        <w:tc>
          <w:tcPr>
            <w:tcW w:w="494" w:type="pct"/>
            <w:vMerge w:val="continue"/>
            <w:tcBorders>
              <w:left w:val="single" w:color="000000" w:sz="4" w:space="0"/>
              <w:right w:val="single" w:color="000000" w:sz="4" w:space="0"/>
            </w:tcBorders>
            <w:shd w:val="clear" w:color="auto" w:fill="auto"/>
            <w:noWrap/>
            <w:vAlign w:val="center"/>
          </w:tcPr>
          <w:p w14:paraId="7BFB99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5B3024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81492C9">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26599C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60E06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43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皮肤记录</w:t>
            </w:r>
          </w:p>
        </w:tc>
        <w:tc>
          <w:tcPr>
            <w:tcW w:w="494" w:type="pct"/>
            <w:vMerge w:val="continue"/>
            <w:tcBorders>
              <w:left w:val="single" w:color="000000" w:sz="4" w:space="0"/>
              <w:right w:val="single" w:color="000000" w:sz="4" w:space="0"/>
            </w:tcBorders>
            <w:shd w:val="clear" w:color="auto" w:fill="auto"/>
            <w:noWrap/>
            <w:vAlign w:val="center"/>
          </w:tcPr>
          <w:p w14:paraId="79D327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2411A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540A803">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79F043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0224A0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1E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健康宣教</w:t>
            </w:r>
          </w:p>
        </w:tc>
        <w:tc>
          <w:tcPr>
            <w:tcW w:w="494" w:type="pct"/>
            <w:vMerge w:val="continue"/>
            <w:tcBorders>
              <w:left w:val="single" w:color="000000" w:sz="4" w:space="0"/>
              <w:right w:val="single" w:color="000000" w:sz="4" w:space="0"/>
            </w:tcBorders>
            <w:shd w:val="clear" w:color="auto" w:fill="auto"/>
            <w:noWrap/>
            <w:vAlign w:val="center"/>
          </w:tcPr>
          <w:p w14:paraId="64CB1B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50DE3F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92E0D60">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543725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061384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BF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文书打印</w:t>
            </w:r>
          </w:p>
        </w:tc>
        <w:tc>
          <w:tcPr>
            <w:tcW w:w="494" w:type="pct"/>
            <w:vMerge w:val="continue"/>
            <w:tcBorders>
              <w:left w:val="single" w:color="000000" w:sz="4" w:space="0"/>
              <w:right w:val="single" w:color="000000" w:sz="4" w:space="0"/>
            </w:tcBorders>
            <w:shd w:val="clear" w:color="auto" w:fill="auto"/>
            <w:noWrap/>
            <w:vAlign w:val="center"/>
          </w:tcPr>
          <w:p w14:paraId="3A144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40FF41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7B596B8">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45A20D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40569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9B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系统配置职工管理</w:t>
            </w:r>
          </w:p>
        </w:tc>
        <w:tc>
          <w:tcPr>
            <w:tcW w:w="494" w:type="pct"/>
            <w:vMerge w:val="continue"/>
            <w:tcBorders>
              <w:left w:val="single" w:color="000000" w:sz="4" w:space="0"/>
              <w:right w:val="single" w:color="000000" w:sz="4" w:space="0"/>
            </w:tcBorders>
            <w:shd w:val="clear" w:color="auto" w:fill="auto"/>
            <w:noWrap/>
            <w:vAlign w:val="center"/>
          </w:tcPr>
          <w:p w14:paraId="03EF30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1C96AF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A284E31">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622158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59BCD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C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护理模板管理</w:t>
            </w:r>
          </w:p>
        </w:tc>
        <w:tc>
          <w:tcPr>
            <w:tcW w:w="494" w:type="pct"/>
            <w:vMerge w:val="continue"/>
            <w:tcBorders>
              <w:left w:val="single" w:color="000000" w:sz="4" w:space="0"/>
              <w:right w:val="single" w:color="000000" w:sz="4" w:space="0"/>
            </w:tcBorders>
            <w:shd w:val="clear" w:color="auto" w:fill="auto"/>
            <w:noWrap/>
            <w:vAlign w:val="center"/>
          </w:tcPr>
          <w:p w14:paraId="6B94E7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46ECD6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9C6E31B">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04EB53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325C57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5C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移动微信小程序</w:t>
            </w:r>
          </w:p>
        </w:tc>
        <w:tc>
          <w:tcPr>
            <w:tcW w:w="494" w:type="pct"/>
            <w:vMerge w:val="continue"/>
            <w:tcBorders>
              <w:left w:val="single" w:color="000000" w:sz="4" w:space="0"/>
              <w:right w:val="single" w:color="000000" w:sz="4" w:space="0"/>
            </w:tcBorders>
            <w:shd w:val="clear" w:color="auto" w:fill="auto"/>
            <w:noWrap/>
            <w:vAlign w:val="center"/>
          </w:tcPr>
          <w:p w14:paraId="450356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3EE77F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43558A4">
        <w:tblPrEx>
          <w:tblCellMar>
            <w:top w:w="0" w:type="dxa"/>
            <w:left w:w="108" w:type="dxa"/>
            <w:bottom w:w="0" w:type="dxa"/>
            <w:right w:w="108" w:type="dxa"/>
          </w:tblCellMar>
        </w:tblPrEx>
        <w:trPr>
          <w:trHeight w:val="506" w:hRule="atLeast"/>
        </w:trPr>
        <w:tc>
          <w:tcPr>
            <w:tcW w:w="385" w:type="pct"/>
            <w:vMerge w:val="continue"/>
            <w:tcBorders>
              <w:left w:val="single" w:color="000000" w:sz="4" w:space="0"/>
              <w:right w:val="single" w:color="000000" w:sz="4" w:space="0"/>
            </w:tcBorders>
            <w:shd w:val="clear" w:color="auto" w:fill="auto"/>
            <w:vAlign w:val="center"/>
          </w:tcPr>
          <w:p w14:paraId="151EA9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EC667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8A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科室总览</w:t>
            </w:r>
          </w:p>
        </w:tc>
        <w:tc>
          <w:tcPr>
            <w:tcW w:w="494" w:type="pct"/>
            <w:vMerge w:val="continue"/>
            <w:tcBorders>
              <w:left w:val="single" w:color="000000" w:sz="4" w:space="0"/>
              <w:right w:val="single" w:color="000000" w:sz="4" w:space="0"/>
            </w:tcBorders>
            <w:shd w:val="clear" w:color="auto" w:fill="auto"/>
            <w:noWrap/>
            <w:vAlign w:val="center"/>
          </w:tcPr>
          <w:p w14:paraId="52285A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014362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9275888">
        <w:tblPrEx>
          <w:tblCellMar>
            <w:top w:w="0" w:type="dxa"/>
            <w:left w:w="108" w:type="dxa"/>
            <w:bottom w:w="0" w:type="dxa"/>
            <w:right w:w="108" w:type="dxa"/>
          </w:tblCellMar>
        </w:tblPrEx>
        <w:trPr>
          <w:trHeight w:val="506" w:hRule="atLeast"/>
        </w:trPr>
        <w:tc>
          <w:tcPr>
            <w:tcW w:w="385" w:type="pct"/>
            <w:vMerge w:val="continue"/>
            <w:tcBorders>
              <w:left w:val="single" w:color="000000" w:sz="4" w:space="0"/>
              <w:bottom w:val="single" w:color="000000" w:sz="4" w:space="0"/>
              <w:right w:val="single" w:color="000000" w:sz="4" w:space="0"/>
            </w:tcBorders>
            <w:shd w:val="clear" w:color="auto" w:fill="auto"/>
            <w:vAlign w:val="center"/>
          </w:tcPr>
          <w:p w14:paraId="0F58BF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bottom w:val="single" w:color="000000" w:sz="4" w:space="0"/>
              <w:right w:val="single" w:color="000000" w:sz="4" w:space="0"/>
            </w:tcBorders>
            <w:shd w:val="clear" w:color="auto" w:fill="auto"/>
            <w:vAlign w:val="center"/>
          </w:tcPr>
          <w:p w14:paraId="3437FC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98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异常内容</w:t>
            </w:r>
          </w:p>
        </w:tc>
        <w:tc>
          <w:tcPr>
            <w:tcW w:w="494" w:type="pct"/>
            <w:vMerge w:val="continue"/>
            <w:tcBorders>
              <w:left w:val="single" w:color="000000" w:sz="4" w:space="0"/>
              <w:bottom w:val="single" w:color="000000" w:sz="4" w:space="0"/>
              <w:right w:val="single" w:color="000000" w:sz="4" w:space="0"/>
            </w:tcBorders>
            <w:shd w:val="clear" w:color="auto" w:fill="auto"/>
            <w:noWrap/>
            <w:vAlign w:val="center"/>
          </w:tcPr>
          <w:p w14:paraId="362785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bottom w:val="single" w:color="000000" w:sz="4" w:space="0"/>
              <w:right w:val="single" w:color="000000" w:sz="4" w:space="0"/>
            </w:tcBorders>
            <w:shd w:val="clear" w:color="auto" w:fill="auto"/>
            <w:noWrap/>
            <w:vAlign w:val="center"/>
          </w:tcPr>
          <w:p w14:paraId="704898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820BD77">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right w:val="single" w:color="000000" w:sz="4" w:space="0"/>
            </w:tcBorders>
            <w:shd w:val="clear" w:color="auto" w:fill="auto"/>
            <w:vAlign w:val="center"/>
          </w:tcPr>
          <w:p w14:paraId="54EB20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w:t>
            </w:r>
          </w:p>
        </w:tc>
        <w:tc>
          <w:tcPr>
            <w:tcW w:w="1524" w:type="pct"/>
            <w:vMerge w:val="restart"/>
            <w:tcBorders>
              <w:top w:val="single" w:color="000000" w:sz="4" w:space="0"/>
              <w:left w:val="single" w:color="000000" w:sz="4" w:space="0"/>
              <w:right w:val="single" w:color="000000" w:sz="4" w:space="0"/>
            </w:tcBorders>
            <w:shd w:val="clear" w:color="auto" w:fill="auto"/>
            <w:vAlign w:val="center"/>
          </w:tcPr>
          <w:p w14:paraId="059FE1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心电检查信息系统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F1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心电信息系统数据库服务模块</w:t>
            </w:r>
          </w:p>
        </w:tc>
        <w:tc>
          <w:tcPr>
            <w:tcW w:w="494" w:type="pct"/>
            <w:vMerge w:val="restart"/>
            <w:tcBorders>
              <w:top w:val="single" w:color="000000" w:sz="4" w:space="0"/>
              <w:left w:val="single" w:color="000000" w:sz="4" w:space="0"/>
              <w:right w:val="single" w:color="000000" w:sz="4" w:space="0"/>
            </w:tcBorders>
            <w:shd w:val="clear" w:color="auto" w:fill="auto"/>
            <w:noWrap/>
            <w:vAlign w:val="center"/>
          </w:tcPr>
          <w:p w14:paraId="053E8C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right w:val="single" w:color="000000" w:sz="4" w:space="0"/>
            </w:tcBorders>
            <w:shd w:val="clear" w:color="auto" w:fill="auto"/>
            <w:noWrap/>
            <w:vAlign w:val="center"/>
          </w:tcPr>
          <w:p w14:paraId="08E257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7157BAF">
        <w:tblPrEx>
          <w:tblCellMar>
            <w:top w:w="0" w:type="dxa"/>
            <w:left w:w="108" w:type="dxa"/>
            <w:bottom w:w="0" w:type="dxa"/>
            <w:right w:w="108" w:type="dxa"/>
          </w:tblCellMar>
        </w:tblPrEx>
        <w:trPr>
          <w:trHeight w:val="608" w:hRule="atLeast"/>
        </w:trPr>
        <w:tc>
          <w:tcPr>
            <w:tcW w:w="385" w:type="pct"/>
            <w:vMerge w:val="continue"/>
            <w:tcBorders>
              <w:left w:val="single" w:color="000000" w:sz="4" w:space="0"/>
              <w:right w:val="single" w:color="000000" w:sz="4" w:space="0"/>
            </w:tcBorders>
            <w:shd w:val="clear" w:color="auto" w:fill="auto"/>
            <w:vAlign w:val="center"/>
          </w:tcPr>
          <w:p w14:paraId="1C4C8D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4E0382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FF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心电数据存储管理模块</w:t>
            </w:r>
          </w:p>
        </w:tc>
        <w:tc>
          <w:tcPr>
            <w:tcW w:w="494" w:type="pct"/>
            <w:vMerge w:val="continue"/>
            <w:tcBorders>
              <w:left w:val="single" w:color="000000" w:sz="4" w:space="0"/>
              <w:right w:val="single" w:color="000000" w:sz="4" w:space="0"/>
            </w:tcBorders>
            <w:shd w:val="clear" w:color="auto" w:fill="auto"/>
            <w:noWrap/>
            <w:vAlign w:val="center"/>
          </w:tcPr>
          <w:p w14:paraId="7AF564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right w:val="single" w:color="000000" w:sz="4" w:space="0"/>
            </w:tcBorders>
            <w:shd w:val="clear" w:color="auto" w:fill="auto"/>
            <w:noWrap/>
            <w:vAlign w:val="center"/>
          </w:tcPr>
          <w:p w14:paraId="5A0332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1CF9DE7">
        <w:tblPrEx>
          <w:tblCellMar>
            <w:top w:w="0" w:type="dxa"/>
            <w:left w:w="108" w:type="dxa"/>
            <w:bottom w:w="0" w:type="dxa"/>
            <w:right w:w="108" w:type="dxa"/>
          </w:tblCellMar>
        </w:tblPrEx>
        <w:trPr>
          <w:trHeight w:val="608" w:hRule="atLeast"/>
        </w:trPr>
        <w:tc>
          <w:tcPr>
            <w:tcW w:w="385" w:type="pct"/>
            <w:vMerge w:val="continue"/>
            <w:tcBorders>
              <w:left w:val="single" w:color="000000" w:sz="4" w:space="0"/>
              <w:bottom w:val="single" w:color="000000" w:sz="4" w:space="0"/>
              <w:right w:val="single" w:color="000000" w:sz="4" w:space="0"/>
            </w:tcBorders>
            <w:shd w:val="clear" w:color="auto" w:fill="auto"/>
            <w:vAlign w:val="center"/>
          </w:tcPr>
          <w:p w14:paraId="7097CB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bottom w:val="single" w:color="000000" w:sz="4" w:space="0"/>
              <w:right w:val="single" w:color="000000" w:sz="4" w:space="0"/>
            </w:tcBorders>
            <w:shd w:val="clear" w:color="auto" w:fill="auto"/>
            <w:vAlign w:val="center"/>
          </w:tcPr>
          <w:p w14:paraId="4E7A17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4D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心电临床WEB报告浏览调阅</w:t>
            </w:r>
          </w:p>
        </w:tc>
        <w:tc>
          <w:tcPr>
            <w:tcW w:w="494" w:type="pct"/>
            <w:vMerge w:val="continue"/>
            <w:tcBorders>
              <w:left w:val="single" w:color="000000" w:sz="4" w:space="0"/>
              <w:bottom w:val="single" w:color="000000" w:sz="4" w:space="0"/>
              <w:right w:val="single" w:color="000000" w:sz="4" w:space="0"/>
            </w:tcBorders>
            <w:shd w:val="clear" w:color="auto" w:fill="auto"/>
            <w:noWrap/>
            <w:vAlign w:val="center"/>
          </w:tcPr>
          <w:p w14:paraId="2E9B9A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left w:val="single" w:color="000000" w:sz="4" w:space="0"/>
              <w:bottom w:val="single" w:color="000000" w:sz="4" w:space="0"/>
              <w:right w:val="single" w:color="000000" w:sz="4" w:space="0"/>
            </w:tcBorders>
            <w:shd w:val="clear" w:color="auto" w:fill="auto"/>
            <w:noWrap/>
            <w:vAlign w:val="center"/>
          </w:tcPr>
          <w:p w14:paraId="09220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939AF6D">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9F4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C88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康复治疗信息系统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51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康复医生工作站</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DF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AD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50B4B8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44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A1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4C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康复评估</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65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49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9958A0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5A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2CC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A7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问题目标</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59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4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B765A0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61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0F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1C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康复计划</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4A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B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05DF5E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E2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D1E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C9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治疗师工作站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0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7D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75E0DF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B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5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D0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治疗师排班</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38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59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10B75A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90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9C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74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治疗师分配</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6E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14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F3A292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0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B05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9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患者预约安排</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BF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F8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F631C7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164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346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F7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协助评估申请</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B1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4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201AAC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32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DF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FE3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治疗师执行</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D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FF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D4D8189">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568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9D9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单病种管理系统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00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基础数据管理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88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9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790384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10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87D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A3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数据上报与统计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57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0D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D56C792">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A4D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8F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血液透析信息管理系统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7B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BF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EF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52AB90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AEF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E9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7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护士工作站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AD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01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F586B3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1F8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23F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0C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健康宣教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C1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25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F2A7D2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877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1E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49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库房管理药房管理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63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3A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834B4E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B33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49C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A4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耗材管理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9D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27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7FA075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C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183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AF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设备管理透析机管理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3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F0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638A14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F7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20E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C4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水机管理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EA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C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AE812A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F3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CC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2C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医生工作量统计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7C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6C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FD53F3C">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099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DF1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药库管理系统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79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药品字典及价格管理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3BE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756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A80570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9EC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FA6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1F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药品外购入库管理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032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5D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CFB12C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9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A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A5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药品自制入库管理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AB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71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AE0341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338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898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E4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药品其他入库管理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E07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A4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B839F0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5E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C9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12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药品移库管理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B26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90F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B13ED4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34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A7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E4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药品领用管理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D89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AE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4092FA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481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99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93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药品其他出库管理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1D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C03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DF42E5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9D6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A1F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3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药品盘点管理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E3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27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9E7917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B7B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267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B9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药库库存管理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5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96A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F4A7CE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D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985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63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药品应付款管理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EC0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4D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8D11AB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FA8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02C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80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药品付款管理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BB2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DB3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642955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922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D39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E1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药品计划管理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7B4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16F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C2483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4A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36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8D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药品质量管理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DE8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EA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76C9E0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67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3DC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6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药品结存管理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5A2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BD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F31D0E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912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1F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B8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药品调价管理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A8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775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AF3A77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F01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72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DA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药品申领管理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71F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81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081A1A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72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861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7E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协定药品入库</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76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AAF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BAB601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0C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FE2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6E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药品入库验收管理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FE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15A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C6BFB92">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79D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7B1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门诊药房管理系统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81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药品移库管理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872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191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4A154BC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190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953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17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药品领用管理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07E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057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BBD84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681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90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6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药品盘点管理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71B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7C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5C727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70A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BD9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0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药品库存管理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4DD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8E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464B9F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BF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1A7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75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药品计划管理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7B7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8A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FCF6A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B9E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625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D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药品质量管理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43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DF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E54D00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AC9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81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1A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药品结存管理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28A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D5E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01D8B7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429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85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AB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药品申领管理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26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B15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331604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2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E3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5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发药窗口管理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CDC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A4F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692808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08B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46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F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门急诊发药、配药管理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F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C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A70B337">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A3C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BE6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住院药房管理系统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0B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药品移库管理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0F2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B9C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4AB70B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FB9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0E5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E4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药品领用管理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5B4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08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F618B8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3F1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93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F5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药品盘点管理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991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75A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35995F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E6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48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25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药品库存管理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BE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8A4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6BE752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A3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C20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4A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药品计划管理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CCA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1C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EA7244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501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85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48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药品质量管理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00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EBD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A4F6F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358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14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73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药品结存管理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C97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FC2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65595C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443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F5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88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药品申领管理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A0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2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CBDBA2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00D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BBB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E0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发药窗口管理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1B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1ED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4D3B18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45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7E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E5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住院发药、摆药管理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3C6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8F1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807C9B8">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699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A13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B3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准入管理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43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CA7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7BF664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4A3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3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AE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计划管理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5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DC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CD2D5C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B0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EB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4B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B54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F9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734A9F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20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CD0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56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验收管理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36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655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825D48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80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92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FA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50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7EA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DD0091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9F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5D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E2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科室(二级库)物资库管理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D1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0C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ED495D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59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BB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4E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434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8B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2C0786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A5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FF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54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盘点结转</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4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4CA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39F588C">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614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BA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EF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设备采购管理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9F3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507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1045A7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CE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F9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47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资产卡片管理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946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96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1216984">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5C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F2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A7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设备维护管理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D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6A5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D67FAF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20E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888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B0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折旧管理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FE3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81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693BF0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008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26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DF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设备供应商管理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BE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9D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D0E28C3">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533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E5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D7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抗菌药物规则设置</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BEC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778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67ECDB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B5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2A1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1A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抗菌药物联合用药控制</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EA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BF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1B0DAE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33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BD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2B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抗菌药物三级管理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60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A4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D26562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47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3D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BA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抗菌药物数据采集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1DC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4D9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1BF8729">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AA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CCB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合理用药检测系统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9B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药品知识库管理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A5D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961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498ED98">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AB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D8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C5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自动监测系统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2D5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15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EFF95C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DE0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97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DE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用药规则管理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38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22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4E0B9E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EE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C8D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EA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合理用药提示</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18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93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EC4F0B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F46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0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BB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合理用药自动检测统计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74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AC6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B71A4E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47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B7D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9F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实时审方系统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7DF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5A4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4DBD6F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D6A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834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FB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信息查询</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10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CC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C41D23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40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A5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E9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药品说明书检索系统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17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9D5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AB4F2F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6B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37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1E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审方结果交互系统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B04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07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8D6F57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9C1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5C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49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实时审方规则配置系统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DE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4C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31EDC7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ED2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6F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74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审方评价系统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6E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95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CE0945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65C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EB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0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实时审方统计系统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8A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5C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FE5598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EFB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9D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0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处方点评筛选系统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ACF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AE6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1EFFBB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E14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9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6B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点评系统</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54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E29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4750E0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C9E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BB7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AD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全院处方点评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B4D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4A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4FF90D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13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37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26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门诊处方点评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F1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FF1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5FC327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33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B3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3D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抗菌药物专项点评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913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DD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FF740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A5B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31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37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围手术期专项点评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2FD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87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3284CE0">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57F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1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7E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中药饮片专项点评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E8B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C0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F386DD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8AB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56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34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TPN专项点评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43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E1F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BE9BF7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93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7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A4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其他专项点评</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501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99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48A35A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FDC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AC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1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点评规则配置</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A0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7E0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061D7E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B7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8D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68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处方点评统计</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287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3D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C47323F">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39A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w:t>
            </w:r>
          </w:p>
        </w:tc>
        <w:tc>
          <w:tcPr>
            <w:tcW w:w="1524" w:type="pct"/>
            <w:vMerge w:val="restart"/>
            <w:tcBorders>
              <w:top w:val="single" w:color="000000" w:sz="4" w:space="0"/>
              <w:left w:val="single" w:color="000000" w:sz="4" w:space="0"/>
              <w:right w:val="single" w:color="000000" w:sz="4" w:space="0"/>
            </w:tcBorders>
            <w:shd w:val="clear" w:color="auto" w:fill="auto"/>
            <w:vAlign w:val="center"/>
          </w:tcPr>
          <w:p w14:paraId="73D257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病案统计管理系统</w:t>
            </w:r>
          </w:p>
          <w:p w14:paraId="4E3DCF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C9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病案首页</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5C2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999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3FD9CBC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4D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740D31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67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统计报表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71E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573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9B3764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5A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02221D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B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国家网络直报系统（卫统 4 表）上报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30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19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DECA04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E00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99DC2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4C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数据字典管理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7D7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966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05CDE81">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C4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353848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7D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病历无纸化</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8FC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5E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A7F40C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23B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2E2F2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AF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病案归档</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27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D6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9FB300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55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3E880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5A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病案核收</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D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E6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9AE879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33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right w:val="single" w:color="000000" w:sz="4" w:space="0"/>
            </w:tcBorders>
            <w:shd w:val="clear" w:color="auto" w:fill="auto"/>
            <w:vAlign w:val="center"/>
          </w:tcPr>
          <w:p w14:paraId="508C49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3F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病案示踪</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85C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043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CF9AA86">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C3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left w:val="single" w:color="000000" w:sz="4" w:space="0"/>
              <w:bottom w:val="single" w:color="000000" w:sz="4" w:space="0"/>
              <w:right w:val="single" w:color="000000" w:sz="4" w:space="0"/>
            </w:tcBorders>
            <w:shd w:val="clear" w:color="auto" w:fill="auto"/>
            <w:vAlign w:val="center"/>
          </w:tcPr>
          <w:p w14:paraId="62EE98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D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病案质控</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3A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EF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809A120">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F58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29</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DB2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医保规则质控系统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36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控费规则</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9E9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1A4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60E25E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2E6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C77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25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医保数据采集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935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AF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0F973A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D4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647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4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医保事中提醒</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F1E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10D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799D2BD">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22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B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DE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医保规则管控</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15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EA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5C8CEAA">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8B2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30</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2BA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医务管理系统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D2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医疗质量统计分析</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53F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BC6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F750F4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A48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59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C1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医疗质量管理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E2B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C1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3A1901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AB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974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13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公立医院绩效考核</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92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4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5682BE0">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CE5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31</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1D1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疾病监测报告管理系统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FF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医院权限管理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56F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068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0407FA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67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C06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24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基础配置管理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A68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AA2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A08E56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1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AA3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53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管理工作站</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04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305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BE87B1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EA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D4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90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LIS/PACS应用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26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98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650143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4F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A6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FD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门诊/住院医生站应用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B3D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7B8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5BB840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EF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3D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01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外接应用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22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E88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DECF5C1">
        <w:tblPrEx>
          <w:tblCellMar>
            <w:top w:w="0" w:type="dxa"/>
            <w:left w:w="108" w:type="dxa"/>
            <w:bottom w:w="0" w:type="dxa"/>
            <w:right w:w="108" w:type="dxa"/>
          </w:tblCellMar>
        </w:tblPrEx>
        <w:trPr>
          <w:trHeight w:val="879"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0DC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04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9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其他分类应用</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57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9B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2D337E8">
        <w:tblPrEx>
          <w:tblCellMar>
            <w:top w:w="0" w:type="dxa"/>
            <w:left w:w="108" w:type="dxa"/>
            <w:bottom w:w="0" w:type="dxa"/>
            <w:right w:w="108" w:type="dxa"/>
          </w:tblCellMar>
        </w:tblPrEx>
        <w:trPr>
          <w:trHeight w:val="506"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D9A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32</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90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医院感染管理系统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07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感染预警</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D12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133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70FBAC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F6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22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D0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患者信息展示</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E6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672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B5C82D5">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36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53D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09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全院综合性监测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6B3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00C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A062E7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EA8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EEA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63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ICU目标性监测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F1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79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15F34B">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01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AE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3C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高危新生儿监测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50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D7C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DB05292">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1D9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FC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5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手术部位监测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2FE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3B1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09A0D9">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81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036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C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病原体监测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EBC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251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0747A9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D02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74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CA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导管监测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A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79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7A57EF">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22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263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A0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消毒灭菌学监测</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AA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F2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A0D7437">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43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DA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74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针刺伤与职业暴露的管理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23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6F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2E86F83">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2F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E8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2F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手卫生调查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D5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00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FAD7E6A">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60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58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EF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现患率调查</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64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F9E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83C6E5E">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DD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0B4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5B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分析管理</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EA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38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21516EC">
        <w:tblPrEx>
          <w:tblCellMar>
            <w:top w:w="0" w:type="dxa"/>
            <w:left w:w="108" w:type="dxa"/>
            <w:bottom w:w="0" w:type="dxa"/>
            <w:right w:w="108" w:type="dxa"/>
          </w:tblCellMar>
        </w:tblPrEx>
        <w:trPr>
          <w:trHeight w:val="50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2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AE1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72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上报功能</w:t>
            </w: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4A4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342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BAD6A0">
        <w:tblPrEx>
          <w:tblCellMar>
            <w:top w:w="0" w:type="dxa"/>
            <w:left w:w="108" w:type="dxa"/>
            <w:bottom w:w="0" w:type="dxa"/>
            <w:right w:w="108" w:type="dxa"/>
          </w:tblCellMar>
        </w:tblPrEx>
        <w:trPr>
          <w:trHeight w:val="479"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C8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33</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C0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医疗统计报表系统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3C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定制报表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2D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DD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397144C">
        <w:tblPrEx>
          <w:tblCellMar>
            <w:top w:w="0" w:type="dxa"/>
            <w:left w:w="108" w:type="dxa"/>
            <w:bottom w:w="0" w:type="dxa"/>
            <w:right w:w="108" w:type="dxa"/>
          </w:tblCellMar>
        </w:tblPrEx>
        <w:trPr>
          <w:trHeight w:val="581"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8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34</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40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医保管理系统</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49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医保管理系统</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2D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B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B25DF88">
        <w:tblPrEx>
          <w:tblCellMar>
            <w:top w:w="0" w:type="dxa"/>
            <w:left w:w="108" w:type="dxa"/>
            <w:bottom w:w="0" w:type="dxa"/>
            <w:right w:w="108" w:type="dxa"/>
          </w:tblCellMar>
        </w:tblPrEx>
        <w:trPr>
          <w:trHeight w:val="901"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E1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35</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FB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税务\电子票据接口</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D7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税务\电子票据接 口</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0D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4B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9620067">
        <w:tblPrEx>
          <w:tblCellMar>
            <w:top w:w="0" w:type="dxa"/>
            <w:left w:w="108" w:type="dxa"/>
            <w:bottom w:w="0" w:type="dxa"/>
            <w:right w:w="108" w:type="dxa"/>
          </w:tblCellMar>
        </w:tblPrEx>
        <w:trPr>
          <w:trHeight w:val="1102"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E5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36</w:t>
            </w:r>
          </w:p>
        </w:tc>
        <w:tc>
          <w:tcPr>
            <w:tcW w:w="1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99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电子病历应用服务</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A8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电子病历应用服务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8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68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FF21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385" w:type="pct"/>
            <w:vMerge w:val="restart"/>
            <w:tcBorders>
              <w:tl2br w:val="nil"/>
              <w:tr2bl w:val="nil"/>
            </w:tcBorders>
            <w:shd w:val="clear" w:color="auto" w:fill="auto"/>
            <w:vAlign w:val="center"/>
          </w:tcPr>
          <w:p w14:paraId="64D7E3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37</w:t>
            </w:r>
          </w:p>
        </w:tc>
        <w:tc>
          <w:tcPr>
            <w:tcW w:w="1524" w:type="pct"/>
            <w:vMerge w:val="restart"/>
            <w:tcBorders>
              <w:tl2br w:val="nil"/>
              <w:tr2bl w:val="nil"/>
            </w:tcBorders>
            <w:shd w:val="clear" w:color="auto" w:fill="auto"/>
            <w:vAlign w:val="center"/>
          </w:tcPr>
          <w:p w14:paraId="1A24D5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单点登录管理系统</w:t>
            </w:r>
          </w:p>
        </w:tc>
        <w:tc>
          <w:tcPr>
            <w:tcW w:w="2080" w:type="pct"/>
            <w:tcBorders>
              <w:tl2br w:val="nil"/>
              <w:tr2bl w:val="nil"/>
            </w:tcBorders>
            <w:shd w:val="clear" w:color="auto" w:fill="auto"/>
            <w:vAlign w:val="center"/>
          </w:tcPr>
          <w:p w14:paraId="7598CA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登录授权管理</w:t>
            </w:r>
          </w:p>
        </w:tc>
        <w:tc>
          <w:tcPr>
            <w:tcW w:w="494" w:type="pct"/>
            <w:vMerge w:val="restart"/>
            <w:tcBorders>
              <w:tl2br w:val="nil"/>
              <w:tr2bl w:val="nil"/>
            </w:tcBorders>
            <w:shd w:val="clear" w:color="auto" w:fill="auto"/>
            <w:vAlign w:val="center"/>
          </w:tcPr>
          <w:p w14:paraId="1A4FD4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7723EE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9492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385" w:type="pct"/>
            <w:vMerge w:val="continue"/>
            <w:tcBorders>
              <w:tl2br w:val="nil"/>
              <w:tr2bl w:val="nil"/>
            </w:tcBorders>
            <w:shd w:val="clear" w:color="auto" w:fill="auto"/>
            <w:vAlign w:val="center"/>
          </w:tcPr>
          <w:p w14:paraId="2C27C0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9BBF0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3C000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登录配置管理</w:t>
            </w:r>
          </w:p>
        </w:tc>
        <w:tc>
          <w:tcPr>
            <w:tcW w:w="494" w:type="pct"/>
            <w:vMerge w:val="continue"/>
            <w:tcBorders>
              <w:tl2br w:val="nil"/>
              <w:tr2bl w:val="nil"/>
            </w:tcBorders>
            <w:shd w:val="clear" w:color="auto" w:fill="auto"/>
            <w:vAlign w:val="center"/>
          </w:tcPr>
          <w:p w14:paraId="6FDAA4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4F4CF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D4EA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385" w:type="pct"/>
            <w:vMerge w:val="continue"/>
            <w:tcBorders>
              <w:tl2br w:val="nil"/>
              <w:tr2bl w:val="nil"/>
            </w:tcBorders>
            <w:shd w:val="clear" w:color="auto" w:fill="auto"/>
            <w:vAlign w:val="center"/>
          </w:tcPr>
          <w:p w14:paraId="38DB57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44915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F5899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单点登录日志</w:t>
            </w:r>
          </w:p>
        </w:tc>
        <w:tc>
          <w:tcPr>
            <w:tcW w:w="494" w:type="pct"/>
            <w:vMerge w:val="continue"/>
            <w:tcBorders>
              <w:tl2br w:val="nil"/>
              <w:tr2bl w:val="nil"/>
            </w:tcBorders>
            <w:shd w:val="clear" w:color="auto" w:fill="auto"/>
            <w:vAlign w:val="center"/>
          </w:tcPr>
          <w:p w14:paraId="7D5DEF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363B1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7A5F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721FB5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38</w:t>
            </w:r>
          </w:p>
        </w:tc>
        <w:tc>
          <w:tcPr>
            <w:tcW w:w="1524" w:type="pct"/>
            <w:vMerge w:val="restart"/>
            <w:tcBorders>
              <w:tl2br w:val="nil"/>
              <w:tr2bl w:val="nil"/>
            </w:tcBorders>
            <w:shd w:val="clear" w:color="auto" w:fill="auto"/>
            <w:vAlign w:val="center"/>
          </w:tcPr>
          <w:p w14:paraId="60FBB3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集成平台</w:t>
            </w:r>
          </w:p>
        </w:tc>
        <w:tc>
          <w:tcPr>
            <w:tcW w:w="2080" w:type="pct"/>
            <w:tcBorders>
              <w:tl2br w:val="nil"/>
              <w:tr2bl w:val="nil"/>
            </w:tcBorders>
            <w:shd w:val="clear" w:color="auto" w:fill="auto"/>
            <w:vAlign w:val="center"/>
          </w:tcPr>
          <w:p w14:paraId="466AB8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数据交换定义及转换</w:t>
            </w:r>
          </w:p>
        </w:tc>
        <w:tc>
          <w:tcPr>
            <w:tcW w:w="494" w:type="pct"/>
            <w:vMerge w:val="restart"/>
            <w:tcBorders>
              <w:tl2br w:val="nil"/>
              <w:tr2bl w:val="nil"/>
            </w:tcBorders>
            <w:shd w:val="clear" w:color="auto" w:fill="auto"/>
            <w:vAlign w:val="center"/>
          </w:tcPr>
          <w:p w14:paraId="14F47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6C00F3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8D27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4E827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3BA8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68D21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服务总线ESB</w:t>
            </w:r>
          </w:p>
        </w:tc>
        <w:tc>
          <w:tcPr>
            <w:tcW w:w="494" w:type="pct"/>
            <w:vMerge w:val="continue"/>
            <w:tcBorders>
              <w:tl2br w:val="nil"/>
              <w:tr2bl w:val="nil"/>
            </w:tcBorders>
            <w:shd w:val="clear" w:color="auto" w:fill="auto"/>
            <w:vAlign w:val="center"/>
          </w:tcPr>
          <w:p w14:paraId="50BB2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8A9C8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B860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F3F7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27A4B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82267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标准服务</w:t>
            </w:r>
          </w:p>
        </w:tc>
        <w:tc>
          <w:tcPr>
            <w:tcW w:w="494" w:type="pct"/>
            <w:vMerge w:val="continue"/>
            <w:tcBorders>
              <w:tl2br w:val="nil"/>
              <w:tr2bl w:val="nil"/>
            </w:tcBorders>
            <w:shd w:val="clear" w:color="auto" w:fill="auto"/>
            <w:vAlign w:val="center"/>
          </w:tcPr>
          <w:p w14:paraId="1EC156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D4FB2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72D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26BED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434A9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FA12C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中间件</w:t>
            </w:r>
          </w:p>
        </w:tc>
        <w:tc>
          <w:tcPr>
            <w:tcW w:w="494" w:type="pct"/>
            <w:vMerge w:val="continue"/>
            <w:tcBorders>
              <w:tl2br w:val="nil"/>
              <w:tr2bl w:val="nil"/>
            </w:tcBorders>
            <w:shd w:val="clear" w:color="auto" w:fill="auto"/>
            <w:vAlign w:val="center"/>
          </w:tcPr>
          <w:p w14:paraId="7B701A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02E6F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110B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DFD0D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5C189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65A9E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运行管理工具</w:t>
            </w:r>
          </w:p>
        </w:tc>
        <w:tc>
          <w:tcPr>
            <w:tcW w:w="494" w:type="pct"/>
            <w:vMerge w:val="continue"/>
            <w:tcBorders>
              <w:tl2br w:val="nil"/>
              <w:tr2bl w:val="nil"/>
            </w:tcBorders>
            <w:shd w:val="clear" w:color="auto" w:fill="auto"/>
            <w:vAlign w:val="center"/>
          </w:tcPr>
          <w:p w14:paraId="446EDD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763B8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4344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5D501D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39</w:t>
            </w:r>
          </w:p>
        </w:tc>
        <w:tc>
          <w:tcPr>
            <w:tcW w:w="1524" w:type="pct"/>
            <w:vMerge w:val="restart"/>
            <w:tcBorders>
              <w:tl2br w:val="nil"/>
              <w:tr2bl w:val="nil"/>
            </w:tcBorders>
            <w:shd w:val="clear" w:color="auto" w:fill="auto"/>
            <w:vAlign w:val="center"/>
          </w:tcPr>
          <w:p w14:paraId="717AD6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临床数据中心</w:t>
            </w:r>
          </w:p>
        </w:tc>
        <w:tc>
          <w:tcPr>
            <w:tcW w:w="2080" w:type="pct"/>
            <w:tcBorders>
              <w:tl2br w:val="nil"/>
              <w:tr2bl w:val="nil"/>
            </w:tcBorders>
            <w:shd w:val="clear" w:color="auto" w:fill="auto"/>
            <w:vAlign w:val="center"/>
          </w:tcPr>
          <w:p w14:paraId="0C2E7F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基础术语管理</w:t>
            </w:r>
          </w:p>
        </w:tc>
        <w:tc>
          <w:tcPr>
            <w:tcW w:w="494" w:type="pct"/>
            <w:vMerge w:val="restart"/>
            <w:tcBorders>
              <w:tl2br w:val="nil"/>
              <w:tr2bl w:val="nil"/>
            </w:tcBorders>
            <w:shd w:val="clear" w:color="auto" w:fill="auto"/>
            <w:vAlign w:val="center"/>
          </w:tcPr>
          <w:p w14:paraId="3EA3B1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6611E1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8CCA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4EF800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30C61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D8B68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临床术语管理</w:t>
            </w:r>
          </w:p>
        </w:tc>
        <w:tc>
          <w:tcPr>
            <w:tcW w:w="494" w:type="pct"/>
            <w:vMerge w:val="continue"/>
            <w:tcBorders>
              <w:tl2br w:val="nil"/>
              <w:tr2bl w:val="nil"/>
            </w:tcBorders>
            <w:shd w:val="clear" w:color="auto" w:fill="auto"/>
            <w:vAlign w:val="center"/>
          </w:tcPr>
          <w:p w14:paraId="72CC52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D5A8A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E5D8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5EF189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27A49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FF14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EMR数据集管理</w:t>
            </w:r>
          </w:p>
        </w:tc>
        <w:tc>
          <w:tcPr>
            <w:tcW w:w="494" w:type="pct"/>
            <w:vMerge w:val="continue"/>
            <w:tcBorders>
              <w:tl2br w:val="nil"/>
              <w:tr2bl w:val="nil"/>
            </w:tcBorders>
            <w:shd w:val="clear" w:color="auto" w:fill="auto"/>
            <w:vAlign w:val="center"/>
          </w:tcPr>
          <w:p w14:paraId="60BF07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A7556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D41A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6A1C7E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791F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22859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CDA数据集管理</w:t>
            </w:r>
          </w:p>
        </w:tc>
        <w:tc>
          <w:tcPr>
            <w:tcW w:w="494" w:type="pct"/>
            <w:vMerge w:val="continue"/>
            <w:tcBorders>
              <w:tl2br w:val="nil"/>
              <w:tr2bl w:val="nil"/>
            </w:tcBorders>
            <w:shd w:val="clear" w:color="auto" w:fill="auto"/>
            <w:vAlign w:val="center"/>
          </w:tcPr>
          <w:p w14:paraId="723450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4AA20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344B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3FD169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5619A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5A52E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共享文档管理</w:t>
            </w:r>
          </w:p>
        </w:tc>
        <w:tc>
          <w:tcPr>
            <w:tcW w:w="494" w:type="pct"/>
            <w:vMerge w:val="continue"/>
            <w:tcBorders>
              <w:tl2br w:val="nil"/>
              <w:tr2bl w:val="nil"/>
            </w:tcBorders>
            <w:shd w:val="clear" w:color="auto" w:fill="auto"/>
            <w:vAlign w:val="center"/>
          </w:tcPr>
          <w:p w14:paraId="573D07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33535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46D8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1F8C1D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CCA54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2D24E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数据验证</w:t>
            </w:r>
          </w:p>
        </w:tc>
        <w:tc>
          <w:tcPr>
            <w:tcW w:w="494" w:type="pct"/>
            <w:vMerge w:val="continue"/>
            <w:tcBorders>
              <w:tl2br w:val="nil"/>
              <w:tr2bl w:val="nil"/>
            </w:tcBorders>
            <w:shd w:val="clear" w:color="auto" w:fill="auto"/>
            <w:vAlign w:val="center"/>
          </w:tcPr>
          <w:p w14:paraId="0C8481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84F57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FC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2A437D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9A58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446E1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数据监控</w:t>
            </w:r>
          </w:p>
        </w:tc>
        <w:tc>
          <w:tcPr>
            <w:tcW w:w="494" w:type="pct"/>
            <w:vMerge w:val="continue"/>
            <w:tcBorders>
              <w:tl2br w:val="nil"/>
              <w:tr2bl w:val="nil"/>
            </w:tcBorders>
            <w:shd w:val="clear" w:color="auto" w:fill="auto"/>
            <w:vAlign w:val="center"/>
          </w:tcPr>
          <w:p w14:paraId="365504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C3A66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63CA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64424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6BDF9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432F4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ETL数据转换</w:t>
            </w:r>
          </w:p>
        </w:tc>
        <w:tc>
          <w:tcPr>
            <w:tcW w:w="494" w:type="pct"/>
            <w:vMerge w:val="continue"/>
            <w:tcBorders>
              <w:tl2br w:val="nil"/>
              <w:tr2bl w:val="nil"/>
            </w:tcBorders>
            <w:shd w:val="clear" w:color="auto" w:fill="auto"/>
            <w:vAlign w:val="center"/>
          </w:tcPr>
          <w:p w14:paraId="1AB908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C3D07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D310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12C54A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24DA0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FC92C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病历服务图片打印</w:t>
            </w:r>
          </w:p>
        </w:tc>
        <w:tc>
          <w:tcPr>
            <w:tcW w:w="494" w:type="pct"/>
            <w:vMerge w:val="continue"/>
            <w:tcBorders>
              <w:tl2br w:val="nil"/>
              <w:tr2bl w:val="nil"/>
            </w:tcBorders>
            <w:shd w:val="clear" w:color="auto" w:fill="auto"/>
            <w:vAlign w:val="center"/>
          </w:tcPr>
          <w:p w14:paraId="636165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EF7BB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256E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794275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87C14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FB9B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病人主索引管理系统</w:t>
            </w:r>
          </w:p>
        </w:tc>
        <w:tc>
          <w:tcPr>
            <w:tcW w:w="494" w:type="pct"/>
            <w:vMerge w:val="continue"/>
            <w:tcBorders>
              <w:tl2br w:val="nil"/>
              <w:tr2bl w:val="nil"/>
            </w:tcBorders>
            <w:shd w:val="clear" w:color="auto" w:fill="auto"/>
            <w:vAlign w:val="center"/>
          </w:tcPr>
          <w:p w14:paraId="6FF26E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D518F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5E4E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5DFD88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F5685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B132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主数据管理系统</w:t>
            </w:r>
          </w:p>
        </w:tc>
        <w:tc>
          <w:tcPr>
            <w:tcW w:w="494" w:type="pct"/>
            <w:vMerge w:val="continue"/>
            <w:tcBorders>
              <w:tl2br w:val="nil"/>
              <w:tr2bl w:val="nil"/>
            </w:tcBorders>
            <w:shd w:val="clear" w:color="auto" w:fill="auto"/>
            <w:vAlign w:val="center"/>
          </w:tcPr>
          <w:p w14:paraId="7B15B8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76F06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A831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385" w:type="pct"/>
            <w:vMerge w:val="continue"/>
            <w:tcBorders>
              <w:tl2br w:val="nil"/>
              <w:tr2bl w:val="nil"/>
            </w:tcBorders>
            <w:shd w:val="clear" w:color="auto" w:fill="auto"/>
            <w:vAlign w:val="center"/>
          </w:tcPr>
          <w:p w14:paraId="0CD347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863B7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C0901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患者360视图</w:t>
            </w:r>
          </w:p>
        </w:tc>
        <w:tc>
          <w:tcPr>
            <w:tcW w:w="494" w:type="pct"/>
            <w:vMerge w:val="continue"/>
            <w:tcBorders>
              <w:tl2br w:val="nil"/>
              <w:tr2bl w:val="nil"/>
            </w:tcBorders>
            <w:shd w:val="clear" w:color="auto" w:fill="auto"/>
            <w:vAlign w:val="center"/>
          </w:tcPr>
          <w:p w14:paraId="6FCD4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EEEBC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2C5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12752D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40</w:t>
            </w:r>
          </w:p>
        </w:tc>
        <w:tc>
          <w:tcPr>
            <w:tcW w:w="1524" w:type="pct"/>
            <w:vMerge w:val="restart"/>
            <w:tcBorders>
              <w:tl2br w:val="nil"/>
              <w:tr2bl w:val="nil"/>
            </w:tcBorders>
            <w:shd w:val="clear" w:color="auto" w:fill="auto"/>
            <w:vAlign w:val="center"/>
          </w:tcPr>
          <w:p w14:paraId="3D01E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医院BI</w:t>
            </w:r>
          </w:p>
        </w:tc>
        <w:tc>
          <w:tcPr>
            <w:tcW w:w="2080" w:type="pct"/>
            <w:tcBorders>
              <w:tl2br w:val="nil"/>
              <w:tr2bl w:val="nil"/>
            </w:tcBorders>
            <w:shd w:val="clear" w:color="auto" w:fill="auto"/>
            <w:vAlign w:val="center"/>
          </w:tcPr>
          <w:p w14:paraId="5503DE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运营数据中心</w:t>
            </w:r>
          </w:p>
        </w:tc>
        <w:tc>
          <w:tcPr>
            <w:tcW w:w="494" w:type="pct"/>
            <w:vMerge w:val="restart"/>
            <w:tcBorders>
              <w:tl2br w:val="nil"/>
              <w:tr2bl w:val="nil"/>
            </w:tcBorders>
            <w:shd w:val="clear" w:color="auto" w:fill="auto"/>
            <w:vAlign w:val="center"/>
          </w:tcPr>
          <w:p w14:paraId="080B75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14A4D5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9804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EBA11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CF59D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BDBA8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基础管理</w:t>
            </w:r>
          </w:p>
        </w:tc>
        <w:tc>
          <w:tcPr>
            <w:tcW w:w="494" w:type="pct"/>
            <w:vMerge w:val="continue"/>
            <w:tcBorders>
              <w:tl2br w:val="nil"/>
              <w:tr2bl w:val="nil"/>
            </w:tcBorders>
            <w:shd w:val="clear" w:color="auto" w:fill="auto"/>
            <w:vAlign w:val="center"/>
          </w:tcPr>
          <w:p w14:paraId="747C66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E3423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8152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E819E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E31FB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0722F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指标管理</w:t>
            </w:r>
          </w:p>
        </w:tc>
        <w:tc>
          <w:tcPr>
            <w:tcW w:w="494" w:type="pct"/>
            <w:vMerge w:val="continue"/>
            <w:tcBorders>
              <w:tl2br w:val="nil"/>
              <w:tr2bl w:val="nil"/>
            </w:tcBorders>
            <w:shd w:val="clear" w:color="auto" w:fill="auto"/>
            <w:vAlign w:val="center"/>
          </w:tcPr>
          <w:p w14:paraId="4826B0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42C8D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330E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2457C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6B973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38288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目标值管理</w:t>
            </w:r>
          </w:p>
        </w:tc>
        <w:tc>
          <w:tcPr>
            <w:tcW w:w="494" w:type="pct"/>
            <w:vMerge w:val="continue"/>
            <w:tcBorders>
              <w:tl2br w:val="nil"/>
              <w:tr2bl w:val="nil"/>
            </w:tcBorders>
            <w:shd w:val="clear" w:color="auto" w:fill="auto"/>
            <w:vAlign w:val="center"/>
          </w:tcPr>
          <w:p w14:paraId="1D97DB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F7607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020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15A4B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24256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60263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预警知识管理</w:t>
            </w:r>
          </w:p>
        </w:tc>
        <w:tc>
          <w:tcPr>
            <w:tcW w:w="494" w:type="pct"/>
            <w:vMerge w:val="continue"/>
            <w:tcBorders>
              <w:tl2br w:val="nil"/>
              <w:tr2bl w:val="nil"/>
            </w:tcBorders>
            <w:shd w:val="clear" w:color="auto" w:fill="auto"/>
            <w:vAlign w:val="center"/>
          </w:tcPr>
          <w:p w14:paraId="14D47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85C6B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C5B9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5965B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BD63B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F8B22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自助报表设计</w:t>
            </w:r>
          </w:p>
        </w:tc>
        <w:tc>
          <w:tcPr>
            <w:tcW w:w="494" w:type="pct"/>
            <w:vMerge w:val="continue"/>
            <w:tcBorders>
              <w:tl2br w:val="nil"/>
              <w:tr2bl w:val="nil"/>
            </w:tcBorders>
            <w:shd w:val="clear" w:color="auto" w:fill="auto"/>
            <w:vAlign w:val="center"/>
          </w:tcPr>
          <w:p w14:paraId="36C3D8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DE6E5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0A2F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D545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2EB2A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62FAF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运营决策提供分析</w:t>
            </w:r>
          </w:p>
        </w:tc>
        <w:tc>
          <w:tcPr>
            <w:tcW w:w="494" w:type="pct"/>
            <w:vMerge w:val="continue"/>
            <w:tcBorders>
              <w:tl2br w:val="nil"/>
              <w:tr2bl w:val="nil"/>
            </w:tcBorders>
            <w:shd w:val="clear" w:color="auto" w:fill="auto"/>
            <w:vAlign w:val="center"/>
          </w:tcPr>
          <w:p w14:paraId="2212A2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7056C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0245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3F14A0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41</w:t>
            </w:r>
          </w:p>
        </w:tc>
        <w:tc>
          <w:tcPr>
            <w:tcW w:w="1524" w:type="pct"/>
            <w:vMerge w:val="restart"/>
            <w:tcBorders>
              <w:tl2br w:val="nil"/>
              <w:tr2bl w:val="nil"/>
            </w:tcBorders>
            <w:shd w:val="clear" w:color="auto" w:fill="auto"/>
            <w:vAlign w:val="center"/>
          </w:tcPr>
          <w:p w14:paraId="0F9A10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DRGs管理系统</w:t>
            </w:r>
          </w:p>
        </w:tc>
        <w:tc>
          <w:tcPr>
            <w:tcW w:w="2080" w:type="pct"/>
            <w:tcBorders>
              <w:tl2br w:val="nil"/>
              <w:tr2bl w:val="nil"/>
            </w:tcBorders>
            <w:shd w:val="clear" w:color="auto" w:fill="auto"/>
            <w:vAlign w:val="center"/>
          </w:tcPr>
          <w:p w14:paraId="193421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分组器数据查询</w:t>
            </w:r>
          </w:p>
        </w:tc>
        <w:tc>
          <w:tcPr>
            <w:tcW w:w="494" w:type="pct"/>
            <w:vMerge w:val="restart"/>
            <w:tcBorders>
              <w:tl2br w:val="nil"/>
              <w:tr2bl w:val="nil"/>
            </w:tcBorders>
            <w:shd w:val="clear" w:color="auto" w:fill="auto"/>
            <w:vAlign w:val="center"/>
          </w:tcPr>
          <w:p w14:paraId="2DA233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3D5B9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62EE4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B09CB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FF20C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492A0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临床费用进度显限设置</w:t>
            </w:r>
          </w:p>
        </w:tc>
        <w:tc>
          <w:tcPr>
            <w:tcW w:w="494" w:type="pct"/>
            <w:vMerge w:val="continue"/>
            <w:tcBorders>
              <w:tl2br w:val="nil"/>
              <w:tr2bl w:val="nil"/>
            </w:tcBorders>
            <w:shd w:val="clear" w:color="auto" w:fill="auto"/>
            <w:vAlign w:val="center"/>
          </w:tcPr>
          <w:p w14:paraId="410E98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87A8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FFEE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1BF10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472C6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B40CF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临床显示项目设置</w:t>
            </w:r>
          </w:p>
        </w:tc>
        <w:tc>
          <w:tcPr>
            <w:tcW w:w="494" w:type="pct"/>
            <w:vMerge w:val="continue"/>
            <w:tcBorders>
              <w:tl2br w:val="nil"/>
              <w:tr2bl w:val="nil"/>
            </w:tcBorders>
            <w:shd w:val="clear" w:color="auto" w:fill="auto"/>
            <w:vAlign w:val="center"/>
          </w:tcPr>
          <w:p w14:paraId="041EF4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C570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90A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41F00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C95EA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E9AA4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异常病例类型设置</w:t>
            </w:r>
          </w:p>
        </w:tc>
        <w:tc>
          <w:tcPr>
            <w:tcW w:w="494" w:type="pct"/>
            <w:vMerge w:val="continue"/>
            <w:tcBorders>
              <w:tl2br w:val="nil"/>
              <w:tr2bl w:val="nil"/>
            </w:tcBorders>
            <w:shd w:val="clear" w:color="auto" w:fill="auto"/>
            <w:vAlign w:val="center"/>
          </w:tcPr>
          <w:p w14:paraId="4BB5E8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47440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B6B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975DA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D398C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D54B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DRG诊断查询及对照</w:t>
            </w:r>
          </w:p>
        </w:tc>
        <w:tc>
          <w:tcPr>
            <w:tcW w:w="494" w:type="pct"/>
            <w:vMerge w:val="continue"/>
            <w:tcBorders>
              <w:tl2br w:val="nil"/>
              <w:tr2bl w:val="nil"/>
            </w:tcBorders>
            <w:shd w:val="clear" w:color="auto" w:fill="auto"/>
            <w:vAlign w:val="center"/>
          </w:tcPr>
          <w:p w14:paraId="254BB8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4C4EB2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8982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ACC65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F6D9F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6C1C7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首页质控应用</w:t>
            </w:r>
          </w:p>
        </w:tc>
        <w:tc>
          <w:tcPr>
            <w:tcW w:w="494" w:type="pct"/>
            <w:vMerge w:val="continue"/>
            <w:tcBorders>
              <w:tl2br w:val="nil"/>
              <w:tr2bl w:val="nil"/>
            </w:tcBorders>
            <w:shd w:val="clear" w:color="auto" w:fill="auto"/>
            <w:vAlign w:val="center"/>
          </w:tcPr>
          <w:p w14:paraId="74C94B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3C71A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B007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73C45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4136E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44445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运营日志</w:t>
            </w:r>
          </w:p>
        </w:tc>
        <w:tc>
          <w:tcPr>
            <w:tcW w:w="494" w:type="pct"/>
            <w:vMerge w:val="continue"/>
            <w:tcBorders>
              <w:tl2br w:val="nil"/>
              <w:tr2bl w:val="nil"/>
            </w:tcBorders>
            <w:shd w:val="clear" w:color="auto" w:fill="auto"/>
            <w:vAlign w:val="center"/>
          </w:tcPr>
          <w:p w14:paraId="037FD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5C544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6F1C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4C5DF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3D44A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A9D1E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病案首页信息校验与监控</w:t>
            </w:r>
          </w:p>
        </w:tc>
        <w:tc>
          <w:tcPr>
            <w:tcW w:w="494" w:type="pct"/>
            <w:vMerge w:val="continue"/>
            <w:tcBorders>
              <w:tl2br w:val="nil"/>
              <w:tr2bl w:val="nil"/>
            </w:tcBorders>
            <w:shd w:val="clear" w:color="auto" w:fill="auto"/>
            <w:vAlign w:val="center"/>
          </w:tcPr>
          <w:p w14:paraId="56EB29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DC81D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A13F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3EBF9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A432B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DB0D0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多维度数据分析与报告生成</w:t>
            </w:r>
          </w:p>
        </w:tc>
        <w:tc>
          <w:tcPr>
            <w:tcW w:w="494" w:type="pct"/>
            <w:vMerge w:val="continue"/>
            <w:tcBorders>
              <w:tl2br w:val="nil"/>
              <w:tr2bl w:val="nil"/>
            </w:tcBorders>
            <w:shd w:val="clear" w:color="auto" w:fill="auto"/>
            <w:vAlign w:val="center"/>
          </w:tcPr>
          <w:p w14:paraId="3D2C9A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47440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4CAB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523949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42</w:t>
            </w:r>
          </w:p>
        </w:tc>
        <w:tc>
          <w:tcPr>
            <w:tcW w:w="1524" w:type="pct"/>
            <w:vMerge w:val="restart"/>
            <w:tcBorders>
              <w:tl2br w:val="nil"/>
              <w:tr2bl w:val="nil"/>
            </w:tcBorders>
            <w:shd w:val="clear" w:color="auto" w:fill="auto"/>
            <w:vAlign w:val="center"/>
          </w:tcPr>
          <w:p w14:paraId="0FD515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后勤管理系统</w:t>
            </w:r>
          </w:p>
        </w:tc>
        <w:tc>
          <w:tcPr>
            <w:tcW w:w="2080" w:type="pct"/>
            <w:tcBorders>
              <w:tl2br w:val="nil"/>
              <w:tr2bl w:val="nil"/>
            </w:tcBorders>
            <w:shd w:val="clear" w:color="auto" w:fill="auto"/>
            <w:vAlign w:val="center"/>
          </w:tcPr>
          <w:p w14:paraId="7A680C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办公用品信息</w:t>
            </w:r>
          </w:p>
        </w:tc>
        <w:tc>
          <w:tcPr>
            <w:tcW w:w="494" w:type="pct"/>
            <w:vMerge w:val="restart"/>
            <w:tcBorders>
              <w:tl2br w:val="nil"/>
              <w:tr2bl w:val="nil"/>
            </w:tcBorders>
            <w:shd w:val="clear" w:color="auto" w:fill="auto"/>
            <w:vAlign w:val="center"/>
          </w:tcPr>
          <w:p w14:paraId="513899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087AD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CBF1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E05C5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BBCB6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D748C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用车登记信息</w:t>
            </w:r>
          </w:p>
        </w:tc>
        <w:tc>
          <w:tcPr>
            <w:tcW w:w="494" w:type="pct"/>
            <w:vMerge w:val="continue"/>
            <w:tcBorders>
              <w:tl2br w:val="nil"/>
              <w:tr2bl w:val="nil"/>
            </w:tcBorders>
            <w:shd w:val="clear" w:color="auto" w:fill="auto"/>
            <w:vAlign w:val="center"/>
          </w:tcPr>
          <w:p w14:paraId="267288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C3D2C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0D1F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7364E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49401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E3E1D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报修管理</w:t>
            </w:r>
          </w:p>
        </w:tc>
        <w:tc>
          <w:tcPr>
            <w:tcW w:w="494" w:type="pct"/>
            <w:vMerge w:val="continue"/>
            <w:tcBorders>
              <w:tl2br w:val="nil"/>
              <w:tr2bl w:val="nil"/>
            </w:tcBorders>
            <w:shd w:val="clear" w:color="auto" w:fill="auto"/>
            <w:vAlign w:val="center"/>
          </w:tcPr>
          <w:p w14:paraId="083924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478B32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5E26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F8E34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25490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E147F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仓库库存信息</w:t>
            </w:r>
          </w:p>
        </w:tc>
        <w:tc>
          <w:tcPr>
            <w:tcW w:w="494" w:type="pct"/>
            <w:vMerge w:val="continue"/>
            <w:tcBorders>
              <w:tl2br w:val="nil"/>
              <w:tr2bl w:val="nil"/>
            </w:tcBorders>
            <w:shd w:val="clear" w:color="auto" w:fill="auto"/>
            <w:vAlign w:val="center"/>
          </w:tcPr>
          <w:p w14:paraId="0E83FD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286FE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78AE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44ECF9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43</w:t>
            </w:r>
          </w:p>
        </w:tc>
        <w:tc>
          <w:tcPr>
            <w:tcW w:w="1524" w:type="pct"/>
            <w:vMerge w:val="restart"/>
            <w:tcBorders>
              <w:tl2br w:val="nil"/>
              <w:tr2bl w:val="nil"/>
            </w:tcBorders>
            <w:shd w:val="clear" w:color="auto" w:fill="auto"/>
            <w:vAlign w:val="center"/>
          </w:tcPr>
          <w:p w14:paraId="5D8FE6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预算管理系统</w:t>
            </w:r>
          </w:p>
        </w:tc>
        <w:tc>
          <w:tcPr>
            <w:tcW w:w="2080" w:type="pct"/>
            <w:tcBorders>
              <w:tl2br w:val="nil"/>
              <w:tr2bl w:val="nil"/>
            </w:tcBorders>
            <w:shd w:val="clear" w:color="auto" w:fill="auto"/>
            <w:vAlign w:val="center"/>
          </w:tcPr>
          <w:p w14:paraId="785088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总体预算编制</w:t>
            </w:r>
          </w:p>
        </w:tc>
        <w:tc>
          <w:tcPr>
            <w:tcW w:w="494" w:type="pct"/>
            <w:vMerge w:val="restart"/>
            <w:tcBorders>
              <w:tl2br w:val="nil"/>
              <w:tr2bl w:val="nil"/>
            </w:tcBorders>
            <w:shd w:val="clear" w:color="auto" w:fill="auto"/>
            <w:vAlign w:val="center"/>
          </w:tcPr>
          <w:p w14:paraId="38F44A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5F0AE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2CB31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88948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8AE5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1BE5C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医疗收入编制</w:t>
            </w:r>
          </w:p>
        </w:tc>
        <w:tc>
          <w:tcPr>
            <w:tcW w:w="494" w:type="pct"/>
            <w:vMerge w:val="continue"/>
            <w:tcBorders>
              <w:tl2br w:val="nil"/>
              <w:tr2bl w:val="nil"/>
            </w:tcBorders>
            <w:shd w:val="clear" w:color="auto" w:fill="auto"/>
            <w:vAlign w:val="center"/>
          </w:tcPr>
          <w:p w14:paraId="29491C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F147E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EC84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14371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65948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6000F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财政补助收入编制</w:t>
            </w:r>
          </w:p>
        </w:tc>
        <w:tc>
          <w:tcPr>
            <w:tcW w:w="494" w:type="pct"/>
            <w:vMerge w:val="continue"/>
            <w:tcBorders>
              <w:tl2br w:val="nil"/>
              <w:tr2bl w:val="nil"/>
            </w:tcBorders>
            <w:shd w:val="clear" w:color="auto" w:fill="auto"/>
            <w:vAlign w:val="center"/>
          </w:tcPr>
          <w:p w14:paraId="744572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8DA78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7D91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FE369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9110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2FC20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科教收入编制</w:t>
            </w:r>
          </w:p>
        </w:tc>
        <w:tc>
          <w:tcPr>
            <w:tcW w:w="494" w:type="pct"/>
            <w:vMerge w:val="continue"/>
            <w:tcBorders>
              <w:tl2br w:val="nil"/>
              <w:tr2bl w:val="nil"/>
            </w:tcBorders>
            <w:shd w:val="clear" w:color="auto" w:fill="auto"/>
            <w:vAlign w:val="center"/>
          </w:tcPr>
          <w:p w14:paraId="70D840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E48F1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BA89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B9B15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CACD4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BB03B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其他收入预算编制</w:t>
            </w:r>
          </w:p>
        </w:tc>
        <w:tc>
          <w:tcPr>
            <w:tcW w:w="494" w:type="pct"/>
            <w:vMerge w:val="continue"/>
            <w:tcBorders>
              <w:tl2br w:val="nil"/>
              <w:tr2bl w:val="nil"/>
            </w:tcBorders>
            <w:shd w:val="clear" w:color="auto" w:fill="auto"/>
            <w:vAlign w:val="center"/>
          </w:tcPr>
          <w:p w14:paraId="13F6A4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0654A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68DD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6473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32D21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F6D56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人员经费预算</w:t>
            </w:r>
          </w:p>
        </w:tc>
        <w:tc>
          <w:tcPr>
            <w:tcW w:w="494" w:type="pct"/>
            <w:vMerge w:val="continue"/>
            <w:tcBorders>
              <w:tl2br w:val="nil"/>
              <w:tr2bl w:val="nil"/>
            </w:tcBorders>
            <w:shd w:val="clear" w:color="auto" w:fill="auto"/>
            <w:vAlign w:val="center"/>
          </w:tcPr>
          <w:p w14:paraId="1C394A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14F3E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1CD5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2FECA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EB51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0AE5A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办公经费预算编制</w:t>
            </w:r>
          </w:p>
        </w:tc>
        <w:tc>
          <w:tcPr>
            <w:tcW w:w="494" w:type="pct"/>
            <w:vMerge w:val="continue"/>
            <w:tcBorders>
              <w:tl2br w:val="nil"/>
              <w:tr2bl w:val="nil"/>
            </w:tcBorders>
            <w:shd w:val="clear" w:color="auto" w:fill="auto"/>
            <w:vAlign w:val="center"/>
          </w:tcPr>
          <w:p w14:paraId="7AF174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C901C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C6D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0612D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D2732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DD1EB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专项经费预算编制</w:t>
            </w:r>
          </w:p>
        </w:tc>
        <w:tc>
          <w:tcPr>
            <w:tcW w:w="494" w:type="pct"/>
            <w:vMerge w:val="continue"/>
            <w:tcBorders>
              <w:tl2br w:val="nil"/>
              <w:tr2bl w:val="nil"/>
            </w:tcBorders>
            <w:shd w:val="clear" w:color="auto" w:fill="auto"/>
            <w:vAlign w:val="center"/>
          </w:tcPr>
          <w:p w14:paraId="7607C0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0693D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F7C2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9A7D0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FE18C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6C38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医疗支出预算编制</w:t>
            </w:r>
          </w:p>
        </w:tc>
        <w:tc>
          <w:tcPr>
            <w:tcW w:w="494" w:type="pct"/>
            <w:vMerge w:val="continue"/>
            <w:tcBorders>
              <w:tl2br w:val="nil"/>
              <w:tr2bl w:val="nil"/>
            </w:tcBorders>
            <w:shd w:val="clear" w:color="auto" w:fill="auto"/>
            <w:vAlign w:val="center"/>
          </w:tcPr>
          <w:p w14:paraId="2143DF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77C1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5574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F361F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D7849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B6D29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采购预算</w:t>
            </w:r>
          </w:p>
        </w:tc>
        <w:tc>
          <w:tcPr>
            <w:tcW w:w="494" w:type="pct"/>
            <w:vMerge w:val="continue"/>
            <w:tcBorders>
              <w:tl2br w:val="nil"/>
              <w:tr2bl w:val="nil"/>
            </w:tcBorders>
            <w:shd w:val="clear" w:color="auto" w:fill="auto"/>
            <w:vAlign w:val="center"/>
          </w:tcPr>
          <w:p w14:paraId="4BE1EA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532D1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44E1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9AFB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6B9AC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BEB2F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预算决算设置</w:t>
            </w:r>
          </w:p>
        </w:tc>
        <w:tc>
          <w:tcPr>
            <w:tcW w:w="494" w:type="pct"/>
            <w:vMerge w:val="continue"/>
            <w:tcBorders>
              <w:tl2br w:val="nil"/>
              <w:tr2bl w:val="nil"/>
            </w:tcBorders>
            <w:shd w:val="clear" w:color="auto" w:fill="auto"/>
            <w:vAlign w:val="center"/>
          </w:tcPr>
          <w:p w14:paraId="10C744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7087F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E1BA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EAD2C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64DBB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FF017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预算科室信息</w:t>
            </w:r>
          </w:p>
        </w:tc>
        <w:tc>
          <w:tcPr>
            <w:tcW w:w="494" w:type="pct"/>
            <w:vMerge w:val="continue"/>
            <w:tcBorders>
              <w:tl2br w:val="nil"/>
              <w:tr2bl w:val="nil"/>
            </w:tcBorders>
            <w:shd w:val="clear" w:color="auto" w:fill="auto"/>
            <w:vAlign w:val="center"/>
          </w:tcPr>
          <w:p w14:paraId="542A76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938CA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6517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678AB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FAB3D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40CA6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预算项目信息</w:t>
            </w:r>
          </w:p>
        </w:tc>
        <w:tc>
          <w:tcPr>
            <w:tcW w:w="494" w:type="pct"/>
            <w:vMerge w:val="continue"/>
            <w:tcBorders>
              <w:tl2br w:val="nil"/>
              <w:tr2bl w:val="nil"/>
            </w:tcBorders>
            <w:shd w:val="clear" w:color="auto" w:fill="auto"/>
            <w:vAlign w:val="center"/>
          </w:tcPr>
          <w:p w14:paraId="3AF288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C78FA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EEEF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45E1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7A454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8AECE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预算申请信息</w:t>
            </w:r>
          </w:p>
        </w:tc>
        <w:tc>
          <w:tcPr>
            <w:tcW w:w="494" w:type="pct"/>
            <w:vMerge w:val="continue"/>
            <w:tcBorders>
              <w:tl2br w:val="nil"/>
              <w:tr2bl w:val="nil"/>
            </w:tcBorders>
            <w:shd w:val="clear" w:color="auto" w:fill="auto"/>
            <w:vAlign w:val="center"/>
          </w:tcPr>
          <w:p w14:paraId="2B06A0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DF456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AFE1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09DC0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0B396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00789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预算项目信息</w:t>
            </w:r>
          </w:p>
        </w:tc>
        <w:tc>
          <w:tcPr>
            <w:tcW w:w="494" w:type="pct"/>
            <w:vMerge w:val="continue"/>
            <w:tcBorders>
              <w:tl2br w:val="nil"/>
              <w:tr2bl w:val="nil"/>
            </w:tcBorders>
            <w:shd w:val="clear" w:color="auto" w:fill="auto"/>
            <w:vAlign w:val="center"/>
          </w:tcPr>
          <w:p w14:paraId="5ABD52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4DC88E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F3E1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42AA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B1889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9C30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预算执行信息</w:t>
            </w:r>
          </w:p>
        </w:tc>
        <w:tc>
          <w:tcPr>
            <w:tcW w:w="494" w:type="pct"/>
            <w:vMerge w:val="continue"/>
            <w:tcBorders>
              <w:tl2br w:val="nil"/>
              <w:tr2bl w:val="nil"/>
            </w:tcBorders>
            <w:shd w:val="clear" w:color="auto" w:fill="auto"/>
            <w:vAlign w:val="center"/>
          </w:tcPr>
          <w:p w14:paraId="06B09A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FF90F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3001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FF4DE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AE6C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F0267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数据分析</w:t>
            </w:r>
          </w:p>
        </w:tc>
        <w:tc>
          <w:tcPr>
            <w:tcW w:w="494" w:type="pct"/>
            <w:vMerge w:val="continue"/>
            <w:tcBorders>
              <w:tl2br w:val="nil"/>
              <w:tr2bl w:val="nil"/>
            </w:tcBorders>
            <w:shd w:val="clear" w:color="auto" w:fill="auto"/>
            <w:vAlign w:val="center"/>
          </w:tcPr>
          <w:p w14:paraId="31C7FA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6E3F5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AC5F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652DB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5205B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9F529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预算报表</w:t>
            </w:r>
          </w:p>
        </w:tc>
        <w:tc>
          <w:tcPr>
            <w:tcW w:w="494" w:type="pct"/>
            <w:vMerge w:val="continue"/>
            <w:tcBorders>
              <w:tl2br w:val="nil"/>
              <w:tr2bl w:val="nil"/>
            </w:tcBorders>
            <w:shd w:val="clear" w:color="auto" w:fill="auto"/>
            <w:vAlign w:val="center"/>
          </w:tcPr>
          <w:p w14:paraId="7DE243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FFB3C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FE3A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68F3C1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44</w:t>
            </w:r>
          </w:p>
        </w:tc>
        <w:tc>
          <w:tcPr>
            <w:tcW w:w="1524" w:type="pct"/>
            <w:vMerge w:val="restart"/>
            <w:tcBorders>
              <w:tl2br w:val="nil"/>
              <w:tr2bl w:val="nil"/>
            </w:tcBorders>
            <w:shd w:val="clear" w:color="auto" w:fill="auto"/>
            <w:vAlign w:val="center"/>
          </w:tcPr>
          <w:p w14:paraId="5BE8F6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成本管理系统</w:t>
            </w:r>
          </w:p>
        </w:tc>
        <w:tc>
          <w:tcPr>
            <w:tcW w:w="2080" w:type="pct"/>
            <w:tcBorders>
              <w:tl2br w:val="nil"/>
              <w:tr2bl w:val="nil"/>
            </w:tcBorders>
            <w:shd w:val="clear" w:color="auto" w:fill="auto"/>
            <w:vAlign w:val="center"/>
          </w:tcPr>
          <w:p w14:paraId="457A38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科室成本核算</w:t>
            </w:r>
          </w:p>
        </w:tc>
        <w:tc>
          <w:tcPr>
            <w:tcW w:w="494" w:type="pct"/>
            <w:vMerge w:val="restart"/>
            <w:tcBorders>
              <w:tl2br w:val="nil"/>
              <w:tr2bl w:val="nil"/>
            </w:tcBorders>
            <w:shd w:val="clear" w:color="auto" w:fill="auto"/>
            <w:vAlign w:val="center"/>
          </w:tcPr>
          <w:p w14:paraId="010923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37F411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098F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DBB13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B5EDA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210C1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项目成本核算</w:t>
            </w:r>
          </w:p>
        </w:tc>
        <w:tc>
          <w:tcPr>
            <w:tcW w:w="494" w:type="pct"/>
            <w:vMerge w:val="continue"/>
            <w:tcBorders>
              <w:tl2br w:val="nil"/>
              <w:tr2bl w:val="nil"/>
            </w:tcBorders>
            <w:shd w:val="clear" w:color="auto" w:fill="auto"/>
            <w:vAlign w:val="center"/>
          </w:tcPr>
          <w:p w14:paraId="060266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9E941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A9A0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EB0E5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2792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92AC9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病种成本核算</w:t>
            </w:r>
          </w:p>
        </w:tc>
        <w:tc>
          <w:tcPr>
            <w:tcW w:w="494" w:type="pct"/>
            <w:vMerge w:val="continue"/>
            <w:tcBorders>
              <w:tl2br w:val="nil"/>
              <w:tr2bl w:val="nil"/>
            </w:tcBorders>
            <w:shd w:val="clear" w:color="auto" w:fill="auto"/>
            <w:vAlign w:val="center"/>
          </w:tcPr>
          <w:p w14:paraId="2DFC13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C1A27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8927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202FB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8EDF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8397E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科室成本接口</w:t>
            </w:r>
          </w:p>
        </w:tc>
        <w:tc>
          <w:tcPr>
            <w:tcW w:w="494" w:type="pct"/>
            <w:vMerge w:val="continue"/>
            <w:tcBorders>
              <w:tl2br w:val="nil"/>
              <w:tr2bl w:val="nil"/>
            </w:tcBorders>
            <w:shd w:val="clear" w:color="auto" w:fill="auto"/>
            <w:vAlign w:val="center"/>
          </w:tcPr>
          <w:p w14:paraId="6D048F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952EB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8B2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2858D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3EB3E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190C6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基础业务信息</w:t>
            </w:r>
          </w:p>
        </w:tc>
        <w:tc>
          <w:tcPr>
            <w:tcW w:w="494" w:type="pct"/>
            <w:vMerge w:val="continue"/>
            <w:tcBorders>
              <w:tl2br w:val="nil"/>
              <w:tr2bl w:val="nil"/>
            </w:tcBorders>
            <w:shd w:val="clear" w:color="auto" w:fill="auto"/>
            <w:vAlign w:val="center"/>
          </w:tcPr>
          <w:p w14:paraId="11BFA4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23B80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314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491BB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471BA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29BF0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收入归集信息</w:t>
            </w:r>
          </w:p>
        </w:tc>
        <w:tc>
          <w:tcPr>
            <w:tcW w:w="494" w:type="pct"/>
            <w:vMerge w:val="continue"/>
            <w:tcBorders>
              <w:tl2br w:val="nil"/>
              <w:tr2bl w:val="nil"/>
            </w:tcBorders>
            <w:shd w:val="clear" w:color="auto" w:fill="auto"/>
            <w:vAlign w:val="center"/>
          </w:tcPr>
          <w:p w14:paraId="6AEB79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57247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0B6D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43FF6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DE1BD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D458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成本分摊信息</w:t>
            </w:r>
          </w:p>
        </w:tc>
        <w:tc>
          <w:tcPr>
            <w:tcW w:w="494" w:type="pct"/>
            <w:vMerge w:val="continue"/>
            <w:tcBorders>
              <w:tl2br w:val="nil"/>
              <w:tr2bl w:val="nil"/>
            </w:tcBorders>
            <w:shd w:val="clear" w:color="auto" w:fill="auto"/>
            <w:vAlign w:val="center"/>
          </w:tcPr>
          <w:p w14:paraId="34DEC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B84DE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CBEA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122F3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6F93B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1A3A1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成本核算信息</w:t>
            </w:r>
          </w:p>
        </w:tc>
        <w:tc>
          <w:tcPr>
            <w:tcW w:w="494" w:type="pct"/>
            <w:vMerge w:val="continue"/>
            <w:tcBorders>
              <w:tl2br w:val="nil"/>
              <w:tr2bl w:val="nil"/>
            </w:tcBorders>
            <w:shd w:val="clear" w:color="auto" w:fill="auto"/>
            <w:vAlign w:val="center"/>
          </w:tcPr>
          <w:p w14:paraId="1AD42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836D7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2C47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0BCF7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BB9B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B5934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成本分析信息</w:t>
            </w:r>
          </w:p>
        </w:tc>
        <w:tc>
          <w:tcPr>
            <w:tcW w:w="494" w:type="pct"/>
            <w:vMerge w:val="continue"/>
            <w:tcBorders>
              <w:tl2br w:val="nil"/>
              <w:tr2bl w:val="nil"/>
            </w:tcBorders>
            <w:shd w:val="clear" w:color="auto" w:fill="auto"/>
            <w:vAlign w:val="center"/>
          </w:tcPr>
          <w:p w14:paraId="72EEBE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A1D49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4853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306DD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554FA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68773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资料信息</w:t>
            </w:r>
          </w:p>
        </w:tc>
        <w:tc>
          <w:tcPr>
            <w:tcW w:w="494" w:type="pct"/>
            <w:vMerge w:val="continue"/>
            <w:tcBorders>
              <w:tl2br w:val="nil"/>
              <w:tr2bl w:val="nil"/>
            </w:tcBorders>
            <w:shd w:val="clear" w:color="auto" w:fill="auto"/>
            <w:vAlign w:val="center"/>
          </w:tcPr>
          <w:p w14:paraId="516BF3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4AD8B7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DF42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2DB401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45</w:t>
            </w:r>
          </w:p>
        </w:tc>
        <w:tc>
          <w:tcPr>
            <w:tcW w:w="1524" w:type="pct"/>
            <w:vMerge w:val="restart"/>
            <w:tcBorders>
              <w:tl2br w:val="nil"/>
              <w:tr2bl w:val="nil"/>
            </w:tcBorders>
            <w:shd w:val="clear" w:color="auto" w:fill="auto"/>
            <w:vAlign w:val="center"/>
          </w:tcPr>
          <w:p w14:paraId="3CD5E7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绩效管理系统</w:t>
            </w:r>
          </w:p>
        </w:tc>
        <w:tc>
          <w:tcPr>
            <w:tcW w:w="2080" w:type="pct"/>
            <w:tcBorders>
              <w:tl2br w:val="nil"/>
              <w:tr2bl w:val="nil"/>
            </w:tcBorders>
            <w:shd w:val="clear" w:color="auto" w:fill="auto"/>
            <w:vAlign w:val="center"/>
          </w:tcPr>
          <w:p w14:paraId="34B800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考核平台</w:t>
            </w:r>
          </w:p>
        </w:tc>
        <w:tc>
          <w:tcPr>
            <w:tcW w:w="494" w:type="pct"/>
            <w:vMerge w:val="restart"/>
            <w:tcBorders>
              <w:tl2br w:val="nil"/>
              <w:tr2bl w:val="nil"/>
            </w:tcBorders>
            <w:shd w:val="clear" w:color="auto" w:fill="auto"/>
            <w:vAlign w:val="center"/>
          </w:tcPr>
          <w:p w14:paraId="136512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5DD2D5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701AF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1C18E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08C15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E3EC4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科室及个人考核</w:t>
            </w:r>
          </w:p>
        </w:tc>
        <w:tc>
          <w:tcPr>
            <w:tcW w:w="494" w:type="pct"/>
            <w:vMerge w:val="continue"/>
            <w:tcBorders>
              <w:tl2br w:val="nil"/>
              <w:tr2bl w:val="nil"/>
            </w:tcBorders>
            <w:shd w:val="clear" w:color="auto" w:fill="auto"/>
            <w:vAlign w:val="center"/>
          </w:tcPr>
          <w:p w14:paraId="4F0DBB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2BB5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02C8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B51F6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19C11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E1751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考核周期</w:t>
            </w:r>
          </w:p>
        </w:tc>
        <w:tc>
          <w:tcPr>
            <w:tcW w:w="494" w:type="pct"/>
            <w:vMerge w:val="continue"/>
            <w:tcBorders>
              <w:tl2br w:val="nil"/>
              <w:tr2bl w:val="nil"/>
            </w:tcBorders>
            <w:shd w:val="clear" w:color="auto" w:fill="auto"/>
            <w:vAlign w:val="center"/>
          </w:tcPr>
          <w:p w14:paraId="5E1222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AD2C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2818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8F3A2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494E1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48CC4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分配参数设置</w:t>
            </w:r>
          </w:p>
        </w:tc>
        <w:tc>
          <w:tcPr>
            <w:tcW w:w="494" w:type="pct"/>
            <w:vMerge w:val="continue"/>
            <w:tcBorders>
              <w:tl2br w:val="nil"/>
              <w:tr2bl w:val="nil"/>
            </w:tcBorders>
            <w:shd w:val="clear" w:color="auto" w:fill="auto"/>
            <w:vAlign w:val="center"/>
          </w:tcPr>
          <w:p w14:paraId="65C4A1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B5957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BD44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643EF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391AE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E8EA8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考核指标库</w:t>
            </w:r>
          </w:p>
        </w:tc>
        <w:tc>
          <w:tcPr>
            <w:tcW w:w="494" w:type="pct"/>
            <w:vMerge w:val="continue"/>
            <w:tcBorders>
              <w:tl2br w:val="nil"/>
              <w:tr2bl w:val="nil"/>
            </w:tcBorders>
            <w:shd w:val="clear" w:color="auto" w:fill="auto"/>
            <w:vAlign w:val="center"/>
          </w:tcPr>
          <w:p w14:paraId="05D3E3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0C58A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AEDD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8B54C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9D8A8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781B8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质量考评指标</w:t>
            </w:r>
          </w:p>
        </w:tc>
        <w:tc>
          <w:tcPr>
            <w:tcW w:w="494" w:type="pct"/>
            <w:vMerge w:val="continue"/>
            <w:tcBorders>
              <w:tl2br w:val="nil"/>
              <w:tr2bl w:val="nil"/>
            </w:tcBorders>
            <w:shd w:val="clear" w:color="auto" w:fill="auto"/>
            <w:vAlign w:val="center"/>
          </w:tcPr>
          <w:p w14:paraId="6F4A96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20083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DBF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A28F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AC917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108A6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质量考核信息</w:t>
            </w:r>
          </w:p>
        </w:tc>
        <w:tc>
          <w:tcPr>
            <w:tcW w:w="494" w:type="pct"/>
            <w:vMerge w:val="continue"/>
            <w:tcBorders>
              <w:tl2br w:val="nil"/>
              <w:tr2bl w:val="nil"/>
            </w:tcBorders>
            <w:shd w:val="clear" w:color="auto" w:fill="auto"/>
            <w:vAlign w:val="center"/>
          </w:tcPr>
          <w:p w14:paraId="415812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A45A8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797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0CE3C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2BE2B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9FEEE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质量考评信息</w:t>
            </w:r>
          </w:p>
        </w:tc>
        <w:tc>
          <w:tcPr>
            <w:tcW w:w="494" w:type="pct"/>
            <w:vMerge w:val="continue"/>
            <w:tcBorders>
              <w:tl2br w:val="nil"/>
              <w:tr2bl w:val="nil"/>
            </w:tcBorders>
            <w:shd w:val="clear" w:color="auto" w:fill="auto"/>
            <w:vAlign w:val="center"/>
          </w:tcPr>
          <w:p w14:paraId="0BCCBE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18677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2145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22C29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F6E3E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DF38B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质量考评结果</w:t>
            </w:r>
          </w:p>
        </w:tc>
        <w:tc>
          <w:tcPr>
            <w:tcW w:w="494" w:type="pct"/>
            <w:vMerge w:val="continue"/>
            <w:tcBorders>
              <w:tl2br w:val="nil"/>
              <w:tr2bl w:val="nil"/>
            </w:tcBorders>
            <w:shd w:val="clear" w:color="auto" w:fill="auto"/>
            <w:vAlign w:val="center"/>
          </w:tcPr>
          <w:p w14:paraId="5E237B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29FA9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AE19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40C3D0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51F4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1C9D5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工作量核算</w:t>
            </w:r>
          </w:p>
        </w:tc>
        <w:tc>
          <w:tcPr>
            <w:tcW w:w="494" w:type="pct"/>
            <w:vMerge w:val="continue"/>
            <w:tcBorders>
              <w:tl2br w:val="nil"/>
              <w:tr2bl w:val="nil"/>
            </w:tcBorders>
            <w:shd w:val="clear" w:color="auto" w:fill="auto"/>
            <w:vAlign w:val="center"/>
          </w:tcPr>
          <w:p w14:paraId="706A34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A8A44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00EF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F1000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8D5DF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193BD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职能科室综合考核</w:t>
            </w:r>
          </w:p>
        </w:tc>
        <w:tc>
          <w:tcPr>
            <w:tcW w:w="494" w:type="pct"/>
            <w:vMerge w:val="continue"/>
            <w:tcBorders>
              <w:tl2br w:val="nil"/>
              <w:tr2bl w:val="nil"/>
            </w:tcBorders>
            <w:shd w:val="clear" w:color="auto" w:fill="auto"/>
            <w:vAlign w:val="center"/>
          </w:tcPr>
          <w:p w14:paraId="41581E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E43C1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1D8D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A5FEE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D4FE0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A169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绩效工资分配</w:t>
            </w:r>
          </w:p>
        </w:tc>
        <w:tc>
          <w:tcPr>
            <w:tcW w:w="494" w:type="pct"/>
            <w:vMerge w:val="continue"/>
            <w:tcBorders>
              <w:tl2br w:val="nil"/>
              <w:tr2bl w:val="nil"/>
            </w:tcBorders>
            <w:shd w:val="clear" w:color="auto" w:fill="auto"/>
            <w:vAlign w:val="center"/>
          </w:tcPr>
          <w:p w14:paraId="51CC5E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8DD2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9E5B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154DE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FB980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A8884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奖金核算和发放</w:t>
            </w:r>
          </w:p>
        </w:tc>
        <w:tc>
          <w:tcPr>
            <w:tcW w:w="494" w:type="pct"/>
            <w:vMerge w:val="continue"/>
            <w:tcBorders>
              <w:tl2br w:val="nil"/>
              <w:tr2bl w:val="nil"/>
            </w:tcBorders>
            <w:shd w:val="clear" w:color="auto" w:fill="auto"/>
            <w:vAlign w:val="center"/>
          </w:tcPr>
          <w:p w14:paraId="1083EE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82C43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E31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92780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88F0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8100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绩效报表</w:t>
            </w:r>
          </w:p>
        </w:tc>
        <w:tc>
          <w:tcPr>
            <w:tcW w:w="494" w:type="pct"/>
            <w:vMerge w:val="continue"/>
            <w:tcBorders>
              <w:tl2br w:val="nil"/>
              <w:tr2bl w:val="nil"/>
            </w:tcBorders>
            <w:shd w:val="clear" w:color="auto" w:fill="auto"/>
            <w:vAlign w:val="center"/>
          </w:tcPr>
          <w:p w14:paraId="1A0AE2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DC15F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88BC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B316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98AA0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637CA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科研教学管理</w:t>
            </w:r>
          </w:p>
        </w:tc>
        <w:tc>
          <w:tcPr>
            <w:tcW w:w="494" w:type="pct"/>
            <w:vMerge w:val="continue"/>
            <w:tcBorders>
              <w:tl2br w:val="nil"/>
              <w:tr2bl w:val="nil"/>
            </w:tcBorders>
            <w:shd w:val="clear" w:color="auto" w:fill="auto"/>
            <w:vAlign w:val="center"/>
          </w:tcPr>
          <w:p w14:paraId="122E9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61104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553D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0D485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71B51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BF7B1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数据中心</w:t>
            </w:r>
          </w:p>
        </w:tc>
        <w:tc>
          <w:tcPr>
            <w:tcW w:w="494" w:type="pct"/>
            <w:vMerge w:val="continue"/>
            <w:tcBorders>
              <w:tl2br w:val="nil"/>
              <w:tr2bl w:val="nil"/>
            </w:tcBorders>
            <w:shd w:val="clear" w:color="auto" w:fill="auto"/>
            <w:vAlign w:val="center"/>
          </w:tcPr>
          <w:p w14:paraId="5D0331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53AAAB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B8A8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181811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46</w:t>
            </w:r>
          </w:p>
        </w:tc>
        <w:tc>
          <w:tcPr>
            <w:tcW w:w="1524" w:type="pct"/>
            <w:vMerge w:val="restart"/>
            <w:tcBorders>
              <w:tl2br w:val="nil"/>
              <w:tr2bl w:val="nil"/>
            </w:tcBorders>
            <w:shd w:val="clear" w:color="auto" w:fill="auto"/>
            <w:vAlign w:val="center"/>
          </w:tcPr>
          <w:p w14:paraId="17E0DB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高值耗材</w:t>
            </w:r>
          </w:p>
        </w:tc>
        <w:tc>
          <w:tcPr>
            <w:tcW w:w="2080" w:type="pct"/>
            <w:tcBorders>
              <w:tl2br w:val="nil"/>
              <w:tr2bl w:val="nil"/>
            </w:tcBorders>
            <w:shd w:val="clear" w:color="auto" w:fill="auto"/>
            <w:vAlign w:val="center"/>
          </w:tcPr>
          <w:p w14:paraId="4C1AA3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基础档案管理</w:t>
            </w:r>
          </w:p>
        </w:tc>
        <w:tc>
          <w:tcPr>
            <w:tcW w:w="494" w:type="pct"/>
            <w:vMerge w:val="restart"/>
            <w:tcBorders>
              <w:tl2br w:val="nil"/>
              <w:tr2bl w:val="nil"/>
            </w:tcBorders>
            <w:shd w:val="clear" w:color="auto" w:fill="auto"/>
            <w:vAlign w:val="center"/>
          </w:tcPr>
          <w:p w14:paraId="7E38D1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438C18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CBE6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9C03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F20A2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919D8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供应商证照记录</w:t>
            </w:r>
          </w:p>
        </w:tc>
        <w:tc>
          <w:tcPr>
            <w:tcW w:w="494" w:type="pct"/>
            <w:vMerge w:val="continue"/>
            <w:tcBorders>
              <w:tl2br w:val="nil"/>
              <w:tr2bl w:val="nil"/>
            </w:tcBorders>
            <w:shd w:val="clear" w:color="auto" w:fill="auto"/>
            <w:vAlign w:val="center"/>
          </w:tcPr>
          <w:p w14:paraId="5A9C3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A78CB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EC42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346AB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A9AE0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A4389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制定采购计划</w:t>
            </w:r>
          </w:p>
        </w:tc>
        <w:tc>
          <w:tcPr>
            <w:tcW w:w="494" w:type="pct"/>
            <w:vMerge w:val="continue"/>
            <w:tcBorders>
              <w:tl2br w:val="nil"/>
              <w:tr2bl w:val="nil"/>
            </w:tcBorders>
            <w:shd w:val="clear" w:color="auto" w:fill="auto"/>
            <w:vAlign w:val="center"/>
          </w:tcPr>
          <w:p w14:paraId="58FC7A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FAFD3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DE43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9055C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FFE65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5FB5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采购验收入库</w:t>
            </w:r>
          </w:p>
        </w:tc>
        <w:tc>
          <w:tcPr>
            <w:tcW w:w="494" w:type="pct"/>
            <w:vMerge w:val="continue"/>
            <w:tcBorders>
              <w:tl2br w:val="nil"/>
              <w:tr2bl w:val="nil"/>
            </w:tcBorders>
            <w:shd w:val="clear" w:color="auto" w:fill="auto"/>
            <w:vAlign w:val="center"/>
          </w:tcPr>
          <w:p w14:paraId="13D92E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FC365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FF64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9900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373AAC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878A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临床科室使用划价</w:t>
            </w:r>
          </w:p>
        </w:tc>
        <w:tc>
          <w:tcPr>
            <w:tcW w:w="494" w:type="pct"/>
            <w:vMerge w:val="continue"/>
            <w:tcBorders>
              <w:tl2br w:val="nil"/>
              <w:tr2bl w:val="nil"/>
            </w:tcBorders>
            <w:shd w:val="clear" w:color="auto" w:fill="auto"/>
            <w:vAlign w:val="center"/>
          </w:tcPr>
          <w:p w14:paraId="2BE61D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D638C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50F0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282967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47</w:t>
            </w:r>
          </w:p>
        </w:tc>
        <w:tc>
          <w:tcPr>
            <w:tcW w:w="1524" w:type="pct"/>
            <w:vMerge w:val="restart"/>
            <w:tcBorders>
              <w:tl2br w:val="nil"/>
              <w:tr2bl w:val="nil"/>
            </w:tcBorders>
            <w:shd w:val="clear" w:color="auto" w:fill="auto"/>
            <w:vAlign w:val="center"/>
          </w:tcPr>
          <w:p w14:paraId="0BB75A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智慧医院</w:t>
            </w:r>
          </w:p>
        </w:tc>
        <w:tc>
          <w:tcPr>
            <w:tcW w:w="2080" w:type="pct"/>
            <w:tcBorders>
              <w:tl2br w:val="nil"/>
              <w:tr2bl w:val="nil"/>
            </w:tcBorders>
            <w:shd w:val="clear" w:color="auto" w:fill="auto"/>
            <w:vAlign w:val="center"/>
          </w:tcPr>
          <w:p w14:paraId="3D639A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门诊服务</w:t>
            </w:r>
          </w:p>
        </w:tc>
        <w:tc>
          <w:tcPr>
            <w:tcW w:w="494" w:type="pct"/>
            <w:vMerge w:val="restart"/>
            <w:tcBorders>
              <w:tl2br w:val="nil"/>
              <w:tr2bl w:val="nil"/>
            </w:tcBorders>
            <w:shd w:val="clear" w:color="auto" w:fill="auto"/>
            <w:vAlign w:val="center"/>
          </w:tcPr>
          <w:p w14:paraId="7938AA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3CCAF9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5B540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8C3AB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EBE4F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C5A8E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住院服务</w:t>
            </w:r>
          </w:p>
        </w:tc>
        <w:tc>
          <w:tcPr>
            <w:tcW w:w="494" w:type="pct"/>
            <w:vMerge w:val="continue"/>
            <w:tcBorders>
              <w:tl2br w:val="nil"/>
              <w:tr2bl w:val="nil"/>
            </w:tcBorders>
            <w:shd w:val="clear" w:color="auto" w:fill="auto"/>
            <w:vAlign w:val="center"/>
          </w:tcPr>
          <w:p w14:paraId="5204F7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7C896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2253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65559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A5C0D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ADC63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对账服务</w:t>
            </w:r>
          </w:p>
        </w:tc>
        <w:tc>
          <w:tcPr>
            <w:tcW w:w="494" w:type="pct"/>
            <w:vMerge w:val="continue"/>
            <w:tcBorders>
              <w:tl2br w:val="nil"/>
              <w:tr2bl w:val="nil"/>
            </w:tcBorders>
            <w:shd w:val="clear" w:color="auto" w:fill="auto"/>
            <w:vAlign w:val="center"/>
          </w:tcPr>
          <w:p w14:paraId="41977C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F4CA8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0871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D2CC5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67523B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CB0A3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医保移动支付</w:t>
            </w:r>
          </w:p>
        </w:tc>
        <w:tc>
          <w:tcPr>
            <w:tcW w:w="494" w:type="pct"/>
            <w:vMerge w:val="continue"/>
            <w:tcBorders>
              <w:tl2br w:val="nil"/>
              <w:tr2bl w:val="nil"/>
            </w:tcBorders>
            <w:shd w:val="clear" w:color="auto" w:fill="auto"/>
            <w:vAlign w:val="center"/>
          </w:tcPr>
          <w:p w14:paraId="341762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24F55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E470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385" w:type="pct"/>
            <w:tcBorders>
              <w:tl2br w:val="nil"/>
              <w:tr2bl w:val="nil"/>
            </w:tcBorders>
            <w:shd w:val="clear" w:color="auto" w:fill="auto"/>
            <w:vAlign w:val="center"/>
          </w:tcPr>
          <w:p w14:paraId="17E6A6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48</w:t>
            </w:r>
          </w:p>
        </w:tc>
        <w:tc>
          <w:tcPr>
            <w:tcW w:w="1524" w:type="pct"/>
            <w:tcBorders>
              <w:tl2br w:val="nil"/>
              <w:tr2bl w:val="nil"/>
            </w:tcBorders>
            <w:shd w:val="clear" w:color="auto" w:fill="auto"/>
            <w:vAlign w:val="center"/>
          </w:tcPr>
          <w:p w14:paraId="79B36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智慧</w:t>
            </w:r>
            <w:r>
              <w:rPr>
                <w:rFonts w:hint="eastAsia" w:ascii="华文中宋" w:hAnsi="华文中宋" w:eastAsia="华文中宋" w:cs="华文中宋"/>
                <w:color w:val="auto"/>
                <w:highlight w:val="none"/>
              </w:rPr>
              <w:t>就医</w:t>
            </w:r>
          </w:p>
        </w:tc>
        <w:tc>
          <w:tcPr>
            <w:tcW w:w="2080" w:type="pct"/>
            <w:tcBorders>
              <w:tl2br w:val="nil"/>
              <w:tr2bl w:val="nil"/>
            </w:tcBorders>
            <w:shd w:val="clear" w:color="auto" w:fill="auto"/>
            <w:vAlign w:val="center"/>
          </w:tcPr>
          <w:p w14:paraId="4435F3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门诊住院预约结算清单</w:t>
            </w:r>
          </w:p>
        </w:tc>
        <w:tc>
          <w:tcPr>
            <w:tcW w:w="494" w:type="pct"/>
            <w:tcBorders>
              <w:tl2br w:val="nil"/>
              <w:tr2bl w:val="nil"/>
            </w:tcBorders>
            <w:shd w:val="clear" w:color="auto" w:fill="auto"/>
            <w:vAlign w:val="center"/>
          </w:tcPr>
          <w:p w14:paraId="5D24D4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tcBorders>
              <w:tl2br w:val="nil"/>
              <w:tr2bl w:val="nil"/>
            </w:tcBorders>
            <w:shd w:val="clear" w:color="auto" w:fill="auto"/>
            <w:vAlign w:val="center"/>
          </w:tcPr>
          <w:p w14:paraId="5CFCEC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0E1C1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restart"/>
            <w:tcBorders>
              <w:tl2br w:val="nil"/>
              <w:tr2bl w:val="nil"/>
            </w:tcBorders>
            <w:shd w:val="clear" w:color="auto" w:fill="auto"/>
            <w:vAlign w:val="center"/>
          </w:tcPr>
          <w:p w14:paraId="331F37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49</w:t>
            </w:r>
          </w:p>
        </w:tc>
        <w:tc>
          <w:tcPr>
            <w:tcW w:w="1524" w:type="pct"/>
            <w:vMerge w:val="restart"/>
            <w:tcBorders>
              <w:tl2br w:val="nil"/>
              <w:tr2bl w:val="nil"/>
            </w:tcBorders>
            <w:shd w:val="clear" w:color="auto" w:fill="auto"/>
            <w:vAlign w:val="center"/>
          </w:tcPr>
          <w:p w14:paraId="271982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OA系统</w:t>
            </w:r>
          </w:p>
        </w:tc>
        <w:tc>
          <w:tcPr>
            <w:tcW w:w="2080" w:type="pct"/>
            <w:tcBorders>
              <w:tl2br w:val="nil"/>
              <w:tr2bl w:val="nil"/>
            </w:tcBorders>
            <w:shd w:val="clear" w:color="auto" w:fill="auto"/>
            <w:vAlign w:val="center"/>
          </w:tcPr>
          <w:p w14:paraId="4CDAC4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移动端门户工作台</w:t>
            </w:r>
          </w:p>
        </w:tc>
        <w:tc>
          <w:tcPr>
            <w:tcW w:w="494" w:type="pct"/>
            <w:vMerge w:val="restart"/>
            <w:tcBorders>
              <w:tl2br w:val="nil"/>
              <w:tr2bl w:val="nil"/>
            </w:tcBorders>
            <w:shd w:val="clear" w:color="auto" w:fill="auto"/>
            <w:vAlign w:val="center"/>
          </w:tcPr>
          <w:p w14:paraId="098990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vAlign w:val="center"/>
          </w:tcPr>
          <w:p w14:paraId="107513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6770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D3BBA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83C8A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F7215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组织结构</w:t>
            </w:r>
          </w:p>
        </w:tc>
        <w:tc>
          <w:tcPr>
            <w:tcW w:w="494" w:type="pct"/>
            <w:vMerge w:val="continue"/>
            <w:tcBorders>
              <w:tl2br w:val="nil"/>
              <w:tr2bl w:val="nil"/>
            </w:tcBorders>
            <w:shd w:val="clear" w:color="auto" w:fill="auto"/>
            <w:vAlign w:val="center"/>
          </w:tcPr>
          <w:p w14:paraId="549392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46750E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C582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719B5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07554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5518F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即时通讯</w:t>
            </w:r>
          </w:p>
        </w:tc>
        <w:tc>
          <w:tcPr>
            <w:tcW w:w="494" w:type="pct"/>
            <w:vMerge w:val="continue"/>
            <w:tcBorders>
              <w:tl2br w:val="nil"/>
              <w:tr2bl w:val="nil"/>
            </w:tcBorders>
            <w:shd w:val="clear" w:color="auto" w:fill="auto"/>
            <w:vAlign w:val="center"/>
          </w:tcPr>
          <w:p w14:paraId="2344EB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F224B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5FB7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5AE56B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A8282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28D7F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在线编辑</w:t>
            </w:r>
          </w:p>
        </w:tc>
        <w:tc>
          <w:tcPr>
            <w:tcW w:w="494" w:type="pct"/>
            <w:vMerge w:val="continue"/>
            <w:tcBorders>
              <w:tl2br w:val="nil"/>
              <w:tr2bl w:val="nil"/>
            </w:tcBorders>
            <w:shd w:val="clear" w:color="auto" w:fill="auto"/>
            <w:vAlign w:val="center"/>
          </w:tcPr>
          <w:p w14:paraId="02EA8F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E223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528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ECA3F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F2859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60F25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通知公告应用</w:t>
            </w:r>
          </w:p>
        </w:tc>
        <w:tc>
          <w:tcPr>
            <w:tcW w:w="494" w:type="pct"/>
            <w:vMerge w:val="continue"/>
            <w:tcBorders>
              <w:tl2br w:val="nil"/>
              <w:tr2bl w:val="nil"/>
            </w:tcBorders>
            <w:shd w:val="clear" w:color="auto" w:fill="auto"/>
            <w:vAlign w:val="center"/>
          </w:tcPr>
          <w:p w14:paraId="1253AF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C3BC0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23F7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3778A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D033D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DEF9C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文件专栏应用</w:t>
            </w:r>
          </w:p>
        </w:tc>
        <w:tc>
          <w:tcPr>
            <w:tcW w:w="494" w:type="pct"/>
            <w:vMerge w:val="continue"/>
            <w:tcBorders>
              <w:tl2br w:val="nil"/>
              <w:tr2bl w:val="nil"/>
            </w:tcBorders>
            <w:shd w:val="clear" w:color="auto" w:fill="auto"/>
            <w:vAlign w:val="center"/>
          </w:tcPr>
          <w:p w14:paraId="16EBD0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66464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0830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A4CE1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B9CCC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30BD5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闭环消息应用</w:t>
            </w:r>
          </w:p>
        </w:tc>
        <w:tc>
          <w:tcPr>
            <w:tcW w:w="494" w:type="pct"/>
            <w:vMerge w:val="continue"/>
            <w:tcBorders>
              <w:tl2br w:val="nil"/>
              <w:tr2bl w:val="nil"/>
            </w:tcBorders>
            <w:shd w:val="clear" w:color="auto" w:fill="auto"/>
            <w:vAlign w:val="center"/>
          </w:tcPr>
          <w:p w14:paraId="5153E2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D7089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E4CB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F92CE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434F0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97E7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公文流转应用</w:t>
            </w:r>
          </w:p>
        </w:tc>
        <w:tc>
          <w:tcPr>
            <w:tcW w:w="494" w:type="pct"/>
            <w:vMerge w:val="continue"/>
            <w:tcBorders>
              <w:tl2br w:val="nil"/>
              <w:tr2bl w:val="nil"/>
            </w:tcBorders>
            <w:shd w:val="clear" w:color="auto" w:fill="auto"/>
            <w:vAlign w:val="center"/>
          </w:tcPr>
          <w:p w14:paraId="095D0C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9C2BC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223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C195B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AA967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533FB0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审批应用</w:t>
            </w:r>
          </w:p>
        </w:tc>
        <w:tc>
          <w:tcPr>
            <w:tcW w:w="494" w:type="pct"/>
            <w:vMerge w:val="continue"/>
            <w:tcBorders>
              <w:tl2br w:val="nil"/>
              <w:tr2bl w:val="nil"/>
            </w:tcBorders>
            <w:shd w:val="clear" w:color="auto" w:fill="auto"/>
            <w:vAlign w:val="center"/>
          </w:tcPr>
          <w:p w14:paraId="4D9CC0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84986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B84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98599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4DA79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4E4CF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会议全流程管理应用</w:t>
            </w:r>
          </w:p>
        </w:tc>
        <w:tc>
          <w:tcPr>
            <w:tcW w:w="494" w:type="pct"/>
            <w:vMerge w:val="continue"/>
            <w:tcBorders>
              <w:tl2br w:val="nil"/>
              <w:tr2bl w:val="nil"/>
            </w:tcBorders>
            <w:shd w:val="clear" w:color="auto" w:fill="auto"/>
            <w:vAlign w:val="center"/>
          </w:tcPr>
          <w:p w14:paraId="1A8B6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66E4F7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A968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9A6C8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30365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4F0E9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报表收集应用</w:t>
            </w:r>
          </w:p>
        </w:tc>
        <w:tc>
          <w:tcPr>
            <w:tcW w:w="494" w:type="pct"/>
            <w:vMerge w:val="continue"/>
            <w:tcBorders>
              <w:tl2br w:val="nil"/>
              <w:tr2bl w:val="nil"/>
            </w:tcBorders>
            <w:shd w:val="clear" w:color="auto" w:fill="auto"/>
            <w:vAlign w:val="center"/>
          </w:tcPr>
          <w:p w14:paraId="77524C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740028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23F95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609AB9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470D9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E74C3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考勤</w:t>
            </w:r>
          </w:p>
        </w:tc>
        <w:tc>
          <w:tcPr>
            <w:tcW w:w="494" w:type="pct"/>
            <w:vMerge w:val="continue"/>
            <w:tcBorders>
              <w:tl2br w:val="nil"/>
              <w:tr2bl w:val="nil"/>
            </w:tcBorders>
            <w:shd w:val="clear" w:color="auto" w:fill="auto"/>
            <w:vAlign w:val="center"/>
          </w:tcPr>
          <w:p w14:paraId="1989CD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097AB9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42AE8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27D14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52D8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12E716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服务窗</w:t>
            </w:r>
          </w:p>
        </w:tc>
        <w:tc>
          <w:tcPr>
            <w:tcW w:w="494" w:type="pct"/>
            <w:vMerge w:val="continue"/>
            <w:tcBorders>
              <w:tl2br w:val="nil"/>
              <w:tr2bl w:val="nil"/>
            </w:tcBorders>
            <w:shd w:val="clear" w:color="auto" w:fill="auto"/>
            <w:vAlign w:val="center"/>
          </w:tcPr>
          <w:p w14:paraId="7E5CAE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15D42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79B5C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336C07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CE183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71671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排班管理</w:t>
            </w:r>
          </w:p>
        </w:tc>
        <w:tc>
          <w:tcPr>
            <w:tcW w:w="494" w:type="pct"/>
            <w:vMerge w:val="continue"/>
            <w:tcBorders>
              <w:tl2br w:val="nil"/>
              <w:tr2bl w:val="nil"/>
            </w:tcBorders>
            <w:shd w:val="clear" w:color="auto" w:fill="auto"/>
            <w:vAlign w:val="center"/>
          </w:tcPr>
          <w:p w14:paraId="64FC60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4EB8AA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3F33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7D689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1FBB61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62A8A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工资条</w:t>
            </w:r>
          </w:p>
        </w:tc>
        <w:tc>
          <w:tcPr>
            <w:tcW w:w="494" w:type="pct"/>
            <w:vMerge w:val="continue"/>
            <w:tcBorders>
              <w:tl2br w:val="nil"/>
              <w:tr2bl w:val="nil"/>
            </w:tcBorders>
            <w:shd w:val="clear" w:color="auto" w:fill="auto"/>
            <w:vAlign w:val="center"/>
          </w:tcPr>
          <w:p w14:paraId="5D1E52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273EB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080F3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07BF8A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44508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39A265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对外问卷调查</w:t>
            </w:r>
          </w:p>
        </w:tc>
        <w:tc>
          <w:tcPr>
            <w:tcW w:w="494" w:type="pct"/>
            <w:vMerge w:val="continue"/>
            <w:tcBorders>
              <w:tl2br w:val="nil"/>
              <w:tr2bl w:val="nil"/>
            </w:tcBorders>
            <w:shd w:val="clear" w:color="auto" w:fill="auto"/>
            <w:vAlign w:val="center"/>
          </w:tcPr>
          <w:p w14:paraId="7BDF68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39F895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74FA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720DE0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265E9C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67DFF4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开放集成</w:t>
            </w:r>
          </w:p>
        </w:tc>
        <w:tc>
          <w:tcPr>
            <w:tcW w:w="494" w:type="pct"/>
            <w:vMerge w:val="continue"/>
            <w:tcBorders>
              <w:tl2br w:val="nil"/>
              <w:tr2bl w:val="nil"/>
            </w:tcBorders>
            <w:shd w:val="clear" w:color="auto" w:fill="auto"/>
            <w:vAlign w:val="center"/>
          </w:tcPr>
          <w:p w14:paraId="3FC323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D79B5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BE57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85" w:type="pct"/>
            <w:vMerge w:val="continue"/>
            <w:tcBorders>
              <w:tl2br w:val="nil"/>
              <w:tr2bl w:val="nil"/>
            </w:tcBorders>
            <w:shd w:val="clear" w:color="auto" w:fill="auto"/>
            <w:vAlign w:val="center"/>
          </w:tcPr>
          <w:p w14:paraId="14EC47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8D32E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725FB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移动后台管理</w:t>
            </w:r>
          </w:p>
        </w:tc>
        <w:tc>
          <w:tcPr>
            <w:tcW w:w="494" w:type="pct"/>
            <w:vMerge w:val="continue"/>
            <w:tcBorders>
              <w:tl2br w:val="nil"/>
              <w:tr2bl w:val="nil"/>
            </w:tcBorders>
            <w:shd w:val="clear" w:color="auto" w:fill="auto"/>
            <w:vAlign w:val="center"/>
          </w:tcPr>
          <w:p w14:paraId="1487F0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vAlign w:val="center"/>
          </w:tcPr>
          <w:p w14:paraId="2F2E64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2C03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vMerge w:val="restart"/>
            <w:tcBorders>
              <w:tl2br w:val="nil"/>
              <w:tr2bl w:val="nil"/>
            </w:tcBorders>
            <w:shd w:val="clear" w:color="auto" w:fill="auto"/>
            <w:vAlign w:val="center"/>
          </w:tcPr>
          <w:p w14:paraId="4941E9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50</w:t>
            </w:r>
          </w:p>
        </w:tc>
        <w:tc>
          <w:tcPr>
            <w:tcW w:w="1524" w:type="pct"/>
            <w:vMerge w:val="restart"/>
            <w:tcBorders>
              <w:tl2br w:val="nil"/>
              <w:tr2bl w:val="nil"/>
            </w:tcBorders>
            <w:shd w:val="clear" w:color="auto" w:fill="auto"/>
            <w:vAlign w:val="center"/>
          </w:tcPr>
          <w:p w14:paraId="73371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危急值管理系统</w:t>
            </w:r>
          </w:p>
        </w:tc>
        <w:tc>
          <w:tcPr>
            <w:tcW w:w="2080" w:type="pct"/>
            <w:tcBorders>
              <w:tl2br w:val="nil"/>
              <w:tr2bl w:val="nil"/>
            </w:tcBorders>
            <w:shd w:val="clear" w:color="auto" w:fill="auto"/>
            <w:vAlign w:val="center"/>
          </w:tcPr>
          <w:p w14:paraId="419A33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门诊医生危急值应用</w:t>
            </w:r>
          </w:p>
        </w:tc>
        <w:tc>
          <w:tcPr>
            <w:tcW w:w="494" w:type="pct"/>
            <w:vMerge w:val="restart"/>
            <w:tcBorders>
              <w:tl2br w:val="nil"/>
              <w:tr2bl w:val="nil"/>
            </w:tcBorders>
            <w:shd w:val="clear" w:color="auto" w:fill="auto"/>
            <w:noWrap/>
            <w:vAlign w:val="center"/>
          </w:tcPr>
          <w:p w14:paraId="6DFC7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514" w:type="pct"/>
            <w:vMerge w:val="restart"/>
            <w:tcBorders>
              <w:tl2br w:val="nil"/>
              <w:tr2bl w:val="nil"/>
            </w:tcBorders>
            <w:shd w:val="clear" w:color="auto" w:fill="auto"/>
            <w:noWrap/>
            <w:vAlign w:val="center"/>
          </w:tcPr>
          <w:p w14:paraId="0C4508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套</w:t>
            </w:r>
          </w:p>
        </w:tc>
      </w:tr>
      <w:tr w14:paraId="1E913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vMerge w:val="continue"/>
            <w:tcBorders>
              <w:tl2br w:val="nil"/>
              <w:tr2bl w:val="nil"/>
            </w:tcBorders>
            <w:shd w:val="clear" w:color="auto" w:fill="auto"/>
            <w:vAlign w:val="center"/>
          </w:tcPr>
          <w:p w14:paraId="224EA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413C94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2AE16E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住院医生危急值应用</w:t>
            </w:r>
          </w:p>
        </w:tc>
        <w:tc>
          <w:tcPr>
            <w:tcW w:w="494" w:type="pct"/>
            <w:vMerge w:val="continue"/>
            <w:tcBorders>
              <w:tl2br w:val="nil"/>
              <w:tr2bl w:val="nil"/>
            </w:tcBorders>
            <w:shd w:val="clear" w:color="auto" w:fill="auto"/>
            <w:noWrap/>
            <w:vAlign w:val="center"/>
          </w:tcPr>
          <w:p w14:paraId="3339F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noWrap/>
            <w:vAlign w:val="center"/>
          </w:tcPr>
          <w:p w14:paraId="2D7E79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A4A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vMerge w:val="continue"/>
            <w:tcBorders>
              <w:tl2br w:val="nil"/>
              <w:tr2bl w:val="nil"/>
            </w:tcBorders>
            <w:shd w:val="clear" w:color="auto" w:fill="auto"/>
            <w:vAlign w:val="center"/>
          </w:tcPr>
          <w:p w14:paraId="2704D3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9174F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425417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消息提醒服务</w:t>
            </w:r>
          </w:p>
        </w:tc>
        <w:tc>
          <w:tcPr>
            <w:tcW w:w="494" w:type="pct"/>
            <w:vMerge w:val="continue"/>
            <w:tcBorders>
              <w:tl2br w:val="nil"/>
              <w:tr2bl w:val="nil"/>
            </w:tcBorders>
            <w:shd w:val="clear" w:color="auto" w:fill="auto"/>
            <w:noWrap/>
            <w:vAlign w:val="center"/>
          </w:tcPr>
          <w:p w14:paraId="4CBEB8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noWrap/>
            <w:vAlign w:val="center"/>
          </w:tcPr>
          <w:p w14:paraId="679D96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5D39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vMerge w:val="continue"/>
            <w:tcBorders>
              <w:tl2br w:val="nil"/>
              <w:tr2bl w:val="nil"/>
            </w:tcBorders>
            <w:shd w:val="clear" w:color="auto" w:fill="auto"/>
            <w:vAlign w:val="center"/>
          </w:tcPr>
          <w:p w14:paraId="211E14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799AB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F04DC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检查危急值管理</w:t>
            </w:r>
          </w:p>
        </w:tc>
        <w:tc>
          <w:tcPr>
            <w:tcW w:w="494" w:type="pct"/>
            <w:vMerge w:val="continue"/>
            <w:tcBorders>
              <w:tl2br w:val="nil"/>
              <w:tr2bl w:val="nil"/>
            </w:tcBorders>
            <w:shd w:val="clear" w:color="auto" w:fill="auto"/>
            <w:noWrap/>
            <w:vAlign w:val="center"/>
          </w:tcPr>
          <w:p w14:paraId="647FBA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noWrap/>
            <w:vAlign w:val="center"/>
          </w:tcPr>
          <w:p w14:paraId="75DB97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32971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vMerge w:val="continue"/>
            <w:tcBorders>
              <w:tl2br w:val="nil"/>
              <w:tr2bl w:val="nil"/>
            </w:tcBorders>
            <w:shd w:val="clear" w:color="auto" w:fill="auto"/>
            <w:vAlign w:val="center"/>
          </w:tcPr>
          <w:p w14:paraId="134418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014A4C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74469E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检验危急值预警和回报系统</w:t>
            </w:r>
          </w:p>
        </w:tc>
        <w:tc>
          <w:tcPr>
            <w:tcW w:w="494" w:type="pct"/>
            <w:vMerge w:val="continue"/>
            <w:tcBorders>
              <w:tl2br w:val="nil"/>
              <w:tr2bl w:val="nil"/>
            </w:tcBorders>
            <w:shd w:val="clear" w:color="auto" w:fill="auto"/>
            <w:noWrap/>
            <w:vAlign w:val="center"/>
          </w:tcPr>
          <w:p w14:paraId="375EA9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noWrap/>
            <w:vAlign w:val="center"/>
          </w:tcPr>
          <w:p w14:paraId="55EB89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6FD95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vMerge w:val="continue"/>
            <w:tcBorders>
              <w:tl2br w:val="nil"/>
              <w:tr2bl w:val="nil"/>
            </w:tcBorders>
            <w:shd w:val="clear" w:color="auto" w:fill="auto"/>
            <w:vAlign w:val="center"/>
          </w:tcPr>
          <w:p w14:paraId="14F7BC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1524" w:type="pct"/>
            <w:vMerge w:val="continue"/>
            <w:tcBorders>
              <w:tl2br w:val="nil"/>
              <w:tr2bl w:val="nil"/>
            </w:tcBorders>
            <w:shd w:val="clear" w:color="auto" w:fill="auto"/>
            <w:vAlign w:val="center"/>
          </w:tcPr>
          <w:p w14:paraId="536C2B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2080" w:type="pct"/>
            <w:tcBorders>
              <w:tl2br w:val="nil"/>
              <w:tr2bl w:val="nil"/>
            </w:tcBorders>
            <w:shd w:val="clear" w:color="auto" w:fill="auto"/>
            <w:vAlign w:val="center"/>
          </w:tcPr>
          <w:p w14:paraId="002F1C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心电危急值管理</w:t>
            </w:r>
          </w:p>
        </w:tc>
        <w:tc>
          <w:tcPr>
            <w:tcW w:w="494" w:type="pct"/>
            <w:vMerge w:val="continue"/>
            <w:tcBorders>
              <w:tl2br w:val="nil"/>
              <w:tr2bl w:val="nil"/>
            </w:tcBorders>
            <w:shd w:val="clear" w:color="auto" w:fill="auto"/>
            <w:noWrap/>
            <w:vAlign w:val="center"/>
          </w:tcPr>
          <w:p w14:paraId="76074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c>
          <w:tcPr>
            <w:tcW w:w="514" w:type="pct"/>
            <w:vMerge w:val="continue"/>
            <w:tcBorders>
              <w:tl2br w:val="nil"/>
              <w:tr2bl w:val="nil"/>
            </w:tcBorders>
            <w:shd w:val="clear" w:color="auto" w:fill="auto"/>
            <w:noWrap/>
            <w:vAlign w:val="center"/>
          </w:tcPr>
          <w:p w14:paraId="59CD6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rPr>
            </w:pPr>
          </w:p>
        </w:tc>
      </w:tr>
      <w:tr w14:paraId="1B305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385" w:type="pct"/>
            <w:tcBorders>
              <w:tl2br w:val="nil"/>
              <w:tr2bl w:val="nil"/>
            </w:tcBorders>
            <w:shd w:val="clear" w:color="auto" w:fill="auto"/>
            <w:vAlign w:val="center"/>
          </w:tcPr>
          <w:p w14:paraId="6772D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51</w:t>
            </w:r>
          </w:p>
        </w:tc>
        <w:tc>
          <w:tcPr>
            <w:tcW w:w="1524" w:type="pct"/>
            <w:tcBorders>
              <w:tl2br w:val="nil"/>
              <w:tr2bl w:val="nil"/>
            </w:tcBorders>
            <w:shd w:val="clear" w:color="auto" w:fill="auto"/>
            <w:vAlign w:val="center"/>
          </w:tcPr>
          <w:p w14:paraId="04F6A2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接口服务</w:t>
            </w:r>
          </w:p>
        </w:tc>
        <w:tc>
          <w:tcPr>
            <w:tcW w:w="2080" w:type="pct"/>
            <w:tcBorders>
              <w:tl2br w:val="nil"/>
              <w:tr2bl w:val="nil"/>
            </w:tcBorders>
            <w:shd w:val="clear" w:color="auto" w:fill="auto"/>
            <w:vAlign w:val="center"/>
          </w:tcPr>
          <w:p w14:paraId="2265A1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招标文件相关技术要求对接</w:t>
            </w:r>
          </w:p>
        </w:tc>
        <w:tc>
          <w:tcPr>
            <w:tcW w:w="494" w:type="pct"/>
            <w:tcBorders>
              <w:tl2br w:val="nil"/>
              <w:tr2bl w:val="nil"/>
            </w:tcBorders>
            <w:shd w:val="clear" w:color="auto" w:fill="auto"/>
            <w:noWrap/>
            <w:vAlign w:val="center"/>
          </w:tcPr>
          <w:p w14:paraId="47FECC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w:t>
            </w:r>
          </w:p>
        </w:tc>
        <w:tc>
          <w:tcPr>
            <w:tcW w:w="514" w:type="pct"/>
            <w:tcBorders>
              <w:tl2br w:val="nil"/>
              <w:tr2bl w:val="nil"/>
            </w:tcBorders>
            <w:shd w:val="clear" w:color="auto" w:fill="auto"/>
            <w:noWrap/>
            <w:vAlign w:val="center"/>
          </w:tcPr>
          <w:p w14:paraId="1EA32D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项</w:t>
            </w:r>
          </w:p>
        </w:tc>
      </w:tr>
    </w:tbl>
    <w:p w14:paraId="4F0EC0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说明：</w:t>
      </w:r>
    </w:p>
    <w:p w14:paraId="63DDA8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清单范围：本清单主要涵盖应用软件系统、平台及相关软件服务。</w:t>
      </w:r>
    </w:p>
    <w:p w14:paraId="2D816A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接口开发：清单中所有系统的接口开发、对接、调试、测试及维护费用均应包含在总报价中，具体接口范围参见需求文档“接口设计要求”。</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税务\电子票据接口</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接口服务</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的开发标准详见第四部分采购需求：“3.4.</w:t>
      </w:r>
      <w:r>
        <w:rPr>
          <w:rFonts w:hint="eastAsia" w:ascii="华文中宋" w:hAnsi="华文中宋" w:eastAsia="华文中宋" w:cs="华文中宋"/>
          <w:color w:val="auto"/>
          <w:highlight w:val="none"/>
        </w:rPr>
        <w:t>技术规范及服务要求：</w:t>
      </w:r>
      <w:r>
        <w:rPr>
          <w:rFonts w:hint="eastAsia" w:ascii="华文中宋" w:hAnsi="华文中宋" w:eastAsia="华文中宋" w:cs="华文中宋"/>
          <w:color w:val="auto"/>
          <w:highlight w:val="none"/>
          <w:lang w:val="en-US" w:eastAsia="zh-CN"/>
        </w:rPr>
        <w:t>”；“三、项目技术要求内容”。</w:t>
      </w:r>
    </w:p>
    <w:p w14:paraId="623FB4F5">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系统接口开发要求：本项目各新建系统之间按照</w:t>
      </w:r>
      <w:r>
        <w:rPr>
          <w:rFonts w:hint="eastAsia" w:ascii="华文中宋" w:hAnsi="华文中宋" w:eastAsia="华文中宋" w:cs="华文中宋"/>
          <w:color w:val="auto"/>
          <w:highlight w:val="none"/>
          <w:lang w:val="en-US" w:eastAsia="zh-CN"/>
        </w:rPr>
        <w:t>行业</w:t>
      </w:r>
      <w:r>
        <w:rPr>
          <w:rFonts w:hint="eastAsia" w:ascii="华文中宋" w:hAnsi="华文中宋" w:eastAsia="华文中宋" w:cs="华文中宋"/>
          <w:color w:val="auto"/>
          <w:highlight w:val="none"/>
        </w:rPr>
        <w:t>统一标准化接口规范实现对接，确保患者信息、病案信息、检查检验结果等核心医疗信息互联互通、数据共享。项目实施过程中涉及的所有双向接口相关费用，均由中标供应商全额承担，且上述费用已综合计入各系统软件报价</w:t>
      </w:r>
      <w:r>
        <w:rPr>
          <w:rFonts w:hint="eastAsia" w:ascii="华文中宋" w:hAnsi="华文中宋" w:eastAsia="华文中宋" w:cs="华文中宋"/>
          <w:b/>
          <w:bCs/>
          <w:color w:val="auto"/>
          <w:highlight w:val="none"/>
          <w:lang w:val="en-US" w:eastAsia="zh-CN"/>
        </w:rPr>
        <w:t>成本</w:t>
      </w:r>
      <w:r>
        <w:rPr>
          <w:rFonts w:hint="eastAsia" w:ascii="华文中宋" w:hAnsi="华文中宋" w:eastAsia="华文中宋" w:cs="华文中宋"/>
          <w:color w:val="auto"/>
          <w:highlight w:val="none"/>
        </w:rPr>
        <w:t>，采购人不另行支付、不单独列项计价</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但不包括招标范围以外的接口费用。</w:t>
      </w:r>
    </w:p>
    <w:p w14:paraId="4C4CB16A">
      <w:pPr>
        <w:ind w:left="0" w:leftChars="0" w:firstLine="0" w:firstLineChars="0"/>
        <w:rPr>
          <w:rFonts w:hint="eastAsia" w:ascii="华文中宋" w:hAnsi="华文中宋" w:eastAsia="华文中宋" w:cs="华文中宋"/>
          <w:color w:val="auto"/>
          <w:highlight w:val="none"/>
        </w:rPr>
      </w:pPr>
    </w:p>
    <w:p w14:paraId="11E587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国产化支持：所有软件需满足支持国产操作系统、数据库、终端及服务器的要求。</w:t>
      </w:r>
    </w:p>
    <w:p w14:paraId="4A58CB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合规性与标准：所有系统建设必须严格遵循需求文档各章节列出的各项政策、标准与性能指标。</w:t>
      </w:r>
    </w:p>
    <w:p w14:paraId="0CA366E3">
      <w:pPr>
        <w:pStyle w:val="4"/>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软件建设内容</w:t>
      </w:r>
    </w:p>
    <w:p w14:paraId="7339B255">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门诊挂号管理系统</w:t>
      </w:r>
    </w:p>
    <w:p w14:paraId="70CBBB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排班管理</w:t>
      </w:r>
    </w:p>
    <w:p w14:paraId="4B4EF6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提供排班计划的新增、修改、删除、发送、发布、终止，进行排班设置、新增诊台、删除诊台。</w:t>
      </w:r>
    </w:p>
    <w:p w14:paraId="1BA3B4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提供排班流程管理。</w:t>
      </w:r>
    </w:p>
    <w:p w14:paraId="5D7FD7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提供科室人员的排班设置、排班提交、审核流程。</w:t>
      </w:r>
    </w:p>
    <w:p w14:paraId="061BA2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预约管理</w:t>
      </w:r>
    </w:p>
    <w:p w14:paraId="4F5FDA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提供对已发布排班进行分时段预约设置，提供不同时段设置不同预约数量、不同预约方式。</w:t>
      </w:r>
    </w:p>
    <w:p w14:paraId="252C54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停换诊管理</w:t>
      </w:r>
    </w:p>
    <w:p w14:paraId="7DAEA1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提供对已发布排班进行停诊、换诊、替诊的申请和审核。</w:t>
      </w:r>
    </w:p>
    <w:p w14:paraId="0BF7A4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节假日管理</w:t>
      </w:r>
    </w:p>
    <w:p w14:paraId="3DDBB9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提供排班发布期间，遇节假日时进行批量排班调整。</w:t>
      </w:r>
    </w:p>
    <w:p w14:paraId="35D881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加减号管理</w:t>
      </w:r>
    </w:p>
    <w:p w14:paraId="036AF3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提供对已发布号源进行加号、减号的申请和审核。</w:t>
      </w:r>
    </w:p>
    <w:p w14:paraId="0791ED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爽约管理</w:t>
      </w:r>
    </w:p>
    <w:p w14:paraId="03721C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提供对挂号爽约患者加入黑名单管理</w:t>
      </w:r>
    </w:p>
    <w:p w14:paraId="40A2A7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提供对黑名单人员取消黑名单的设置</w:t>
      </w:r>
    </w:p>
    <w:p w14:paraId="730B54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号序管理</w:t>
      </w:r>
    </w:p>
    <w:p w14:paraId="563407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提供预约排班管理号源的序号控制</w:t>
      </w:r>
    </w:p>
    <w:p w14:paraId="34648D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预约管理</w:t>
      </w:r>
    </w:p>
    <w:p w14:paraId="4B8FBB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提供设置窗口可使用的预约方式。</w:t>
      </w:r>
    </w:p>
    <w:p w14:paraId="194E76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提供对不同预约方式进行预约不结算、预约结算。</w:t>
      </w:r>
    </w:p>
    <w:p w14:paraId="0C20C1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提供分时段预约及结算，预约指定时段的号。</w:t>
      </w:r>
    </w:p>
    <w:p w14:paraId="5FF42A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提供对超时未取号的预约号进行自动释放。</w:t>
      </w:r>
    </w:p>
    <w:p w14:paraId="044F2D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提供预约后自动打印预约凭条。</w:t>
      </w:r>
    </w:p>
    <w:p w14:paraId="3A5B82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提供对未取号的预约记录进行取消。</w:t>
      </w:r>
    </w:p>
    <w:p w14:paraId="469A4C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提供医生对自己的号源进行挂号和无号源时挂号。</w:t>
      </w:r>
    </w:p>
    <w:p w14:paraId="2ED434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提供医生挂号先接诊后缴费。</w:t>
      </w:r>
    </w:p>
    <w:p w14:paraId="01B6E6D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提供医生挂号先缴费后接诊。</w:t>
      </w:r>
    </w:p>
    <w:p w14:paraId="64079F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提供医生对自己已挂满的号源进行加号挂号。</w:t>
      </w:r>
    </w:p>
    <w:p w14:paraId="13756B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提供医生对病人进行预约。</w:t>
      </w:r>
    </w:p>
    <w:p w14:paraId="6947D8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统计分析</w:t>
      </w:r>
    </w:p>
    <w:p w14:paraId="6BBAEA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提供使用已授权的报表，对报表进行查询、打印</w:t>
      </w:r>
    </w:p>
    <w:p w14:paraId="7FEA7D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患者基本信息登记</w:t>
      </w:r>
    </w:p>
    <w:p w14:paraId="675D40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具备针对挂号的新病人建档功能，对历史病人档案可进行修改或补充信息功能。</w:t>
      </w:r>
    </w:p>
    <w:p w14:paraId="6CA11A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门急诊挂号</w:t>
      </w:r>
    </w:p>
    <w:p w14:paraId="0CECF6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提供多种身份的病人挂号；</w:t>
      </w:r>
    </w:p>
    <w:p w14:paraId="030222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提供多种挂号方式；</w:t>
      </w:r>
    </w:p>
    <w:p w14:paraId="1904D4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提供窗口挂号、分时段预约挂号；</w:t>
      </w:r>
    </w:p>
    <w:p w14:paraId="5190B2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门急诊退号</w:t>
      </w:r>
    </w:p>
    <w:p w14:paraId="3ACBA1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提供退号功能；</w:t>
      </w:r>
    </w:p>
    <w:p w14:paraId="245EFE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提供病人应退费用和相关统计功能；</w:t>
      </w:r>
    </w:p>
    <w:p w14:paraId="17A107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票据管理</w:t>
      </w:r>
    </w:p>
    <w:p w14:paraId="37D037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提供对挂号记录进行发票开具；</w:t>
      </w:r>
    </w:p>
    <w:p w14:paraId="21DE1B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提供对挂号记录进行发票冲红；</w:t>
      </w:r>
    </w:p>
    <w:p w14:paraId="300308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门急诊划价</w:t>
      </w:r>
    </w:p>
    <w:p w14:paraId="7CCCDF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提供中草药配方（划价）功能</w:t>
      </w:r>
    </w:p>
    <w:p w14:paraId="4AD3D1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提供治疗、检验、检查等费用划价</w:t>
      </w:r>
    </w:p>
    <w:p w14:paraId="7642E2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提供划价单打印</w:t>
      </w:r>
    </w:p>
    <w:p w14:paraId="723AB5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提供划价单修改、删除操作</w:t>
      </w:r>
    </w:p>
    <w:p w14:paraId="23FEC6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门急诊记帐</w:t>
      </w:r>
    </w:p>
    <w:p w14:paraId="184BA8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提供门急诊记账、修改，销账等功能</w:t>
      </w:r>
    </w:p>
    <w:p w14:paraId="52CBBF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提供记账查阅和根据条件过滤统计功能</w:t>
      </w:r>
    </w:p>
    <w:p w14:paraId="18C35B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提供记账审核流程</w:t>
      </w:r>
    </w:p>
    <w:p w14:paraId="3D47B7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门急诊收费</w:t>
      </w:r>
    </w:p>
    <w:p w14:paraId="0E61B5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提供多种结算方式</w:t>
      </w:r>
    </w:p>
    <w:p w14:paraId="78C2A7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提供对一个病人同时输入多张单据收费</w:t>
      </w:r>
    </w:p>
    <w:p w14:paraId="7B956B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提供收费员打印缴款书，提供统计报表功能</w:t>
      </w:r>
    </w:p>
    <w:p w14:paraId="79A3DC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提供加班加价管理</w:t>
      </w:r>
    </w:p>
    <w:p w14:paraId="36F05B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提供针对不同病人身份的费用折扣处理</w:t>
      </w:r>
    </w:p>
    <w:p w14:paraId="6F2B83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提供收入统计核算，能完成科室核算统计等功能</w:t>
      </w:r>
    </w:p>
    <w:p w14:paraId="72B5F3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提供自定义零钞处理规则</w:t>
      </w:r>
    </w:p>
    <w:p w14:paraId="41C0A7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提供通过就诊卡快速提取病人和费用信息，完成收费</w:t>
      </w:r>
    </w:p>
    <w:p w14:paraId="3B9348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门急诊退费</w:t>
      </w:r>
    </w:p>
    <w:p w14:paraId="7978AB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提供退费功能，并且提供部分退费</w:t>
      </w:r>
    </w:p>
    <w:p w14:paraId="319D1E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提供退费申请功能</w:t>
      </w:r>
    </w:p>
    <w:p w14:paraId="1283FF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提供退费审核的功能</w:t>
      </w:r>
    </w:p>
    <w:p w14:paraId="137763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提供退费单据打印的功能</w:t>
      </w:r>
    </w:p>
    <w:p w14:paraId="7A96B4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提供退费数据统计及报表数据打印、预览和输出的功能</w:t>
      </w:r>
    </w:p>
    <w:p w14:paraId="2C16A8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票据管理</w:t>
      </w:r>
    </w:p>
    <w:p w14:paraId="2D9397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提供票据领用、注销、作废、补打、重打管理功能</w:t>
      </w:r>
    </w:p>
    <w:p w14:paraId="233140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提供票据报损、核对功能</w:t>
      </w:r>
    </w:p>
    <w:p w14:paraId="59097C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提供票据历史记录查看，使用情况查看等功能</w:t>
      </w:r>
    </w:p>
    <w:p w14:paraId="252127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数据查询</w:t>
      </w:r>
    </w:p>
    <w:p w14:paraId="03B6B2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提供对门急诊划价、记账、收费数据的查询</w:t>
      </w:r>
    </w:p>
    <w:p w14:paraId="3E1DDE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提供对门急诊退费的查询</w:t>
      </w:r>
    </w:p>
    <w:p w14:paraId="095CF6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提供根据要求自定义查询</w:t>
      </w:r>
    </w:p>
    <w:p w14:paraId="2050D0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收费扎帐管理</w:t>
      </w:r>
    </w:p>
    <w:p w14:paraId="315AC2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提供对收费的扎帐</w:t>
      </w:r>
    </w:p>
    <w:p w14:paraId="73D879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提供历史扎帐信息查询</w:t>
      </w:r>
    </w:p>
    <w:p w14:paraId="4C3BD5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提供扎帐作废、明细查询、现金点钞的功能</w:t>
      </w:r>
    </w:p>
    <w:p w14:paraId="25A186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提供轧帐单自定义且可以打印功能</w:t>
      </w:r>
    </w:p>
    <w:p w14:paraId="330057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提供报表统计功能及打印、预览和输出的功能</w:t>
      </w:r>
    </w:p>
    <w:p w14:paraId="005B4790">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出入院管理系统</w:t>
      </w:r>
    </w:p>
    <w:p w14:paraId="2087E4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病人信息管理</w:t>
      </w:r>
    </w:p>
    <w:p w14:paraId="2C9F5E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提供病人信息的登记、修改、删除功能</w:t>
      </w:r>
    </w:p>
    <w:p w14:paraId="6596AE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提供病人多次就诊信息关联、合并的功能</w:t>
      </w:r>
    </w:p>
    <w:p w14:paraId="1FCF0E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提供病人家属信息登记的功能</w:t>
      </w:r>
    </w:p>
    <w:p w14:paraId="0FA98D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提供多种方式病人信息的查询</w:t>
      </w:r>
    </w:p>
    <w:p w14:paraId="68C60D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提供病人信息统计及打印、预览和输出的功能</w:t>
      </w:r>
    </w:p>
    <w:p w14:paraId="38C439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病人入院管理</w:t>
      </w:r>
    </w:p>
    <w:p w14:paraId="2D60F5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提供门诊留观、住院留观管理，并可将留观病人转为入院病人</w:t>
      </w:r>
    </w:p>
    <w:p w14:paraId="1B26CA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提供办理入院时建立病案首页</w:t>
      </w:r>
    </w:p>
    <w:p w14:paraId="7CF6F1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提供入出院管理、预约登记、出入院统计、床位管理、预交金管理功能</w:t>
      </w:r>
    </w:p>
    <w:p w14:paraId="5EA173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提供转科、换床、护理等级、床位等级调整、加床、包房处理</w:t>
      </w:r>
    </w:p>
    <w:p w14:paraId="77B584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提供产科新生儿登记</w:t>
      </w:r>
    </w:p>
    <w:p w14:paraId="12535A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病人预交管理</w:t>
      </w:r>
      <w:r>
        <w:rPr>
          <w:rFonts w:hint="eastAsia" w:ascii="华文中宋" w:hAnsi="华文中宋" w:eastAsia="华文中宋" w:cs="华文中宋"/>
          <w:color w:val="auto"/>
          <w:highlight w:val="none"/>
        </w:rPr>
        <w:tab/>
      </w:r>
    </w:p>
    <w:p w14:paraId="748CC5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提供预交金收款、退款功能的管理</w:t>
      </w:r>
    </w:p>
    <w:p w14:paraId="4812D7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提供预交金查阅、过滤和定位的功能</w:t>
      </w:r>
    </w:p>
    <w:p w14:paraId="5F9273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提供正常预交记录、异常收款记录、异常退款记录的历史记录查询功能</w:t>
      </w:r>
    </w:p>
    <w:p w14:paraId="70E103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提供预交金报表统计、打印、预览和输出的功能</w:t>
      </w:r>
    </w:p>
    <w:p w14:paraId="2BF73C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提供门诊预交和住院预交的功能</w:t>
      </w:r>
    </w:p>
    <w:p w14:paraId="44B3F5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出院结算管理</w:t>
      </w:r>
    </w:p>
    <w:p w14:paraId="0CA37B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提供出院管理、出院统计等功能</w:t>
      </w:r>
    </w:p>
    <w:p w14:paraId="336058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提供病人预出院管理，并根据预出院控制计费</w:t>
      </w:r>
    </w:p>
    <w:p w14:paraId="00A342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提供历史出院病人查看</w:t>
      </w:r>
    </w:p>
    <w:p w14:paraId="5A72E3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提供医保病人费用的预结算</w:t>
      </w:r>
    </w:p>
    <w:p w14:paraId="23B164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提供患者结算管理</w:t>
      </w:r>
    </w:p>
    <w:p w14:paraId="0F1E0D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提供患者结算后作废</w:t>
      </w:r>
    </w:p>
    <w:p w14:paraId="28964A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病区床位管理</w:t>
      </w:r>
    </w:p>
    <w:p w14:paraId="2B8BE0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提供病区床位的统一管理</w:t>
      </w:r>
    </w:p>
    <w:p w14:paraId="177B27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提供一个病区服务于多个临床科室</w:t>
      </w:r>
    </w:p>
    <w:p w14:paraId="7ABE73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提供床位修缮、空床等方式的标记功能</w:t>
      </w:r>
    </w:p>
    <w:p w14:paraId="0582BC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提供床位信息的预览、打印和输出功能</w:t>
      </w:r>
    </w:p>
    <w:p w14:paraId="135878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预交扎帐管理</w:t>
      </w:r>
    </w:p>
    <w:p w14:paraId="530E38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提供预交款扎帐功能</w:t>
      </w:r>
    </w:p>
    <w:p w14:paraId="402FFC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提供扎帐作废功能</w:t>
      </w:r>
    </w:p>
    <w:p w14:paraId="022F3B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提供扎帐单打印功能</w:t>
      </w:r>
    </w:p>
    <w:p w14:paraId="2559A3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提供历史扎帐信息查询</w:t>
      </w:r>
    </w:p>
    <w:p w14:paraId="557365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提供历史扎帐信息打印、预览及输出的功能</w:t>
      </w:r>
    </w:p>
    <w:p w14:paraId="0069ED4C">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门诊医生工作站系统</w:t>
      </w:r>
    </w:p>
    <w:p w14:paraId="20E0F2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门诊诊疗管理</w:t>
      </w:r>
    </w:p>
    <w:p w14:paraId="187BC6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提供查根据姓名、简码、身份证号等信息模糊查找患者</w:t>
      </w:r>
    </w:p>
    <w:p w14:paraId="2110E7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提供排队叫号业务</w:t>
      </w:r>
    </w:p>
    <w:p w14:paraId="2337C6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提供患者续诊、回诊、转诊业务</w:t>
      </w:r>
    </w:p>
    <w:p w14:paraId="43A6E1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提供重点患者关注</w:t>
      </w:r>
    </w:p>
    <w:p w14:paraId="0FDCBD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提供医生站界面给患者挂号、预约挂号</w:t>
      </w:r>
    </w:p>
    <w:p w14:paraId="622D25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提供基本信息修改、完善</w:t>
      </w:r>
    </w:p>
    <w:p w14:paraId="68B65E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提供录入医学警示</w:t>
      </w:r>
    </w:p>
    <w:p w14:paraId="0655A2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提供录入生理指征</w:t>
      </w:r>
    </w:p>
    <w:p w14:paraId="115BA6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提供初诊、复诊选择</w:t>
      </w:r>
    </w:p>
    <w:p w14:paraId="2ACC71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提供提纲模式书写</w:t>
      </w:r>
    </w:p>
    <w:p w14:paraId="122347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对患者过敏史提供输入过敏药物、过敏原，提供自由录入</w:t>
      </w:r>
    </w:p>
    <w:p w14:paraId="4ACDCC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病历提供范文保存和调用，且可以分提纲调用导入</w:t>
      </w:r>
    </w:p>
    <w:p w14:paraId="2620E5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提供插入检验、检查报告</w:t>
      </w:r>
    </w:p>
    <w:p w14:paraId="3E9EF6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提供根据ICD编码录入诊断</w:t>
      </w:r>
    </w:p>
    <w:p w14:paraId="48497E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提供自由录入诊断</w:t>
      </w:r>
    </w:p>
    <w:p w14:paraId="2C50C3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提供录入发病日期、发病地址以及备注</w:t>
      </w:r>
    </w:p>
    <w:p w14:paraId="6824AC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中医科提供录入中医诊断</w:t>
      </w:r>
    </w:p>
    <w:p w14:paraId="1861DF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提供常用诊断统计</w:t>
      </w:r>
    </w:p>
    <w:p w14:paraId="2E5A9E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提供调取上次就诊诊断</w:t>
      </w:r>
    </w:p>
    <w:p w14:paraId="6AF801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常用处置类项目统计</w:t>
      </w:r>
    </w:p>
    <w:p w14:paraId="77054C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提供复制本患者或其他患者历史就诊记录中处置医嘱</w:t>
      </w:r>
    </w:p>
    <w:p w14:paraId="780AC2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提供申请附加项目设置、填写</w:t>
      </w:r>
    </w:p>
    <w:p w14:paraId="769590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提供历次就诊医嘱、诊断、病历、检验检查报告查阅</w:t>
      </w:r>
    </w:p>
    <w:p w14:paraId="3E93E5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门诊处方管理</w:t>
      </w:r>
    </w:p>
    <w:p w14:paraId="47FD4D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常用常用药品项目统计</w:t>
      </w:r>
    </w:p>
    <w:p w14:paraId="58E32F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提供复制本患者或其他患者历史就诊记录中药品医嘱</w:t>
      </w:r>
    </w:p>
    <w:p w14:paraId="65E299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提供处方跟诊断一一对应</w:t>
      </w:r>
    </w:p>
    <w:p w14:paraId="58FEDD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提供默认药房设置</w:t>
      </w:r>
    </w:p>
    <w:p w14:paraId="5E5688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门诊申请单管理</w:t>
      </w:r>
    </w:p>
    <w:p w14:paraId="596B41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检验申请</w:t>
      </w:r>
    </w:p>
    <w:p w14:paraId="77CB5D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常用检验项目统计</w:t>
      </w:r>
    </w:p>
    <w:p w14:paraId="1701E6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提供复制本患者或其他患者历史就诊记录中检验申请</w:t>
      </w:r>
    </w:p>
    <w:p w14:paraId="75F58A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提供申请附加项目设置、填写</w:t>
      </w:r>
    </w:p>
    <w:p w14:paraId="718417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检查申请</w:t>
      </w:r>
    </w:p>
    <w:p w14:paraId="6A65C2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常用检查项目统计</w:t>
      </w:r>
    </w:p>
    <w:p w14:paraId="5811CF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提供复制本患者或其他患者历史就诊记录中检查申请</w:t>
      </w:r>
    </w:p>
    <w:p w14:paraId="142D8E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提供申请附加项目设置、填写</w:t>
      </w:r>
    </w:p>
    <w:p w14:paraId="3A0697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门诊医生危急值应用</w:t>
      </w:r>
    </w:p>
    <w:p w14:paraId="45EBF5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提供检验检查危急值查阅</w:t>
      </w:r>
    </w:p>
    <w:p w14:paraId="4BD1EF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提供危急值反馈记录登记</w:t>
      </w:r>
    </w:p>
    <w:p w14:paraId="300B87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提供医生接受反馈后的处理记录填写</w:t>
      </w:r>
    </w:p>
    <w:p w14:paraId="17A40F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提供检查阳性报告查阅</w:t>
      </w:r>
    </w:p>
    <w:p w14:paraId="63A73E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提供阳性报告反馈记录登记</w:t>
      </w:r>
    </w:p>
    <w:p w14:paraId="6FA97B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检验报告查阅</w:t>
      </w:r>
    </w:p>
    <w:p w14:paraId="335669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提供报告功能，可直接查看检验报告</w:t>
      </w:r>
    </w:p>
    <w:p w14:paraId="35CAB5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提供报告打印功能</w:t>
      </w:r>
    </w:p>
    <w:p w14:paraId="6D17C8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提供报告历史记录对比</w:t>
      </w:r>
    </w:p>
    <w:p w14:paraId="421354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检查报告查阅</w:t>
      </w:r>
    </w:p>
    <w:p w14:paraId="07F452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提供报告功能，可直接查看检查报告</w:t>
      </w:r>
    </w:p>
    <w:p w14:paraId="04CF67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提供报告打印功能</w:t>
      </w:r>
    </w:p>
    <w:p w14:paraId="34B685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提供报告历史记录对比</w:t>
      </w:r>
    </w:p>
    <w:p w14:paraId="2AD561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消息提醒服务</w:t>
      </w:r>
    </w:p>
    <w:p w14:paraId="2545C4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提供危急值信息提醒</w:t>
      </w:r>
    </w:p>
    <w:p w14:paraId="217F3B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提供病历质控信息提醒</w:t>
      </w:r>
    </w:p>
    <w:p w14:paraId="4DBDBD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门诊病历录入</w:t>
      </w:r>
    </w:p>
    <w:p w14:paraId="101243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提供通过选择病历模板书写病历。</w:t>
      </w:r>
    </w:p>
    <w:p w14:paraId="7F89F1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提供根据书写科室自动筛选病历模板。</w:t>
      </w:r>
    </w:p>
    <w:p w14:paraId="157DE5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提供多标签筛选病历模板对应病历范文直接书写病历。</w:t>
      </w:r>
    </w:p>
    <w:p w14:paraId="0611BD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提供文档列表导航，显示并定位已书写病历及病历段内容。</w:t>
      </w:r>
    </w:p>
    <w:p w14:paraId="7F31BB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提供病历编辑锁定。</w:t>
      </w:r>
    </w:p>
    <w:p w14:paraId="688F2C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门诊病历书写助手</w:t>
      </w:r>
    </w:p>
    <w:p w14:paraId="403E48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设置工作站界面</w:t>
      </w:r>
    </w:p>
    <w:p w14:paraId="747C7F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提供界面每个段落适用性别、适用类型、是否必填</w:t>
      </w:r>
    </w:p>
    <w:p w14:paraId="086832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提供可自定义界面段落，适应不同科室需求</w:t>
      </w:r>
    </w:p>
    <w:p w14:paraId="557317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提供自定义工作站界面可显示的段落</w:t>
      </w:r>
    </w:p>
    <w:p w14:paraId="006082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提供段落内容显示方式</w:t>
      </w:r>
    </w:p>
    <w:p w14:paraId="420488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病历数据存储</w:t>
      </w:r>
    </w:p>
    <w:p w14:paraId="635A0D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提供病历内容结构化输入</w:t>
      </w:r>
    </w:p>
    <w:p w14:paraId="576D6A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提供病历必填项设置</w:t>
      </w:r>
    </w:p>
    <w:p w14:paraId="770F10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门诊病历查询统计</w:t>
      </w:r>
    </w:p>
    <w:p w14:paraId="212763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提供对门诊患者就诊信息的查询</w:t>
      </w:r>
    </w:p>
    <w:p w14:paraId="365DFF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提供对门诊病历书写情况信息的查询</w:t>
      </w:r>
    </w:p>
    <w:p w14:paraId="3A0232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提供病历自定义报表查询分析。</w:t>
      </w:r>
    </w:p>
    <w:p w14:paraId="130F99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范文管理</w:t>
      </w:r>
    </w:p>
    <w:p w14:paraId="1468D2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提供病历范文维护、修改</w:t>
      </w:r>
    </w:p>
    <w:p w14:paraId="2EAE65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提供病历范文审批</w:t>
      </w:r>
    </w:p>
    <w:p w14:paraId="077DEE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提供本人、本科和全院范文筛选。</w:t>
      </w:r>
    </w:p>
    <w:p w14:paraId="04F629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提供病历范文多标签搜索。</w:t>
      </w:r>
    </w:p>
    <w:p w14:paraId="7647D4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提供不同版本范文预览、替换和插入病历内容。</w:t>
      </w:r>
    </w:p>
    <w:p w14:paraId="6950A6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提供选择范文部分段导入。</w:t>
      </w:r>
    </w:p>
    <w:p w14:paraId="0E2401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提供本人、本科和全院词句组筛选。</w:t>
      </w:r>
    </w:p>
    <w:p w14:paraId="473753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提供不同词句组替换和插入病历内容。</w:t>
      </w:r>
    </w:p>
    <w:p w14:paraId="116DEA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提供选择词句组部分词句导入。 </w:t>
      </w:r>
    </w:p>
    <w:p w14:paraId="2F9A5B6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住院医生工作站系统</w:t>
      </w:r>
    </w:p>
    <w:p w14:paraId="4D69CD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住院诊疗管理</w:t>
      </w:r>
    </w:p>
    <w:p w14:paraId="5C4D5F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提供自动获取病人基本信息</w:t>
      </w:r>
    </w:p>
    <w:p w14:paraId="0FAE01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提供医疗小组管理</w:t>
      </w:r>
    </w:p>
    <w:p w14:paraId="299160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提供查阅病人历次住院相关信息</w:t>
      </w:r>
    </w:p>
    <w:p w14:paraId="653915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住院医嘱管理</w:t>
      </w:r>
    </w:p>
    <w:p w14:paraId="0811ED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提供医嘱下达、修改、删除、审核、停止、作废、回退、暂停、启用、重整功能</w:t>
      </w:r>
    </w:p>
    <w:p w14:paraId="5C21BB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提供手术申请、会诊、转科、死亡、出院特殊医嘱的处理</w:t>
      </w:r>
    </w:p>
    <w:p w14:paraId="7847EC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提供医嘱复制功能</w:t>
      </w:r>
    </w:p>
    <w:p w14:paraId="5D9878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提供医生根据需要设置个人常用医嘱</w:t>
      </w:r>
    </w:p>
    <w:p w14:paraId="72BAF3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提供手工调整医嘱排列顺序</w:t>
      </w:r>
    </w:p>
    <w:p w14:paraId="31043F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提供实时显示医嘱执行状态、计费状态信息</w:t>
      </w:r>
    </w:p>
    <w:p w14:paraId="36F4FA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提供产妇和新生儿医嘱分别管理和计费</w:t>
      </w:r>
    </w:p>
    <w:p w14:paraId="02C632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提供医嘱自动关联检验申请单，并生成收费或记账信息，申请单格式可自定义</w:t>
      </w:r>
    </w:p>
    <w:p w14:paraId="4F113E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提供检验申请单打印及补打功能</w:t>
      </w:r>
    </w:p>
    <w:p w14:paraId="26E107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提供二维码和条形码生成功能</w:t>
      </w:r>
    </w:p>
    <w:p w14:paraId="0879C9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提供医嘱自动关联检查申请单，并生成收费或记账信息，申请单格式可自定义</w:t>
      </w:r>
    </w:p>
    <w:p w14:paraId="4B9A78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提供检查申请单打印和补打功能</w:t>
      </w:r>
    </w:p>
    <w:p w14:paraId="6110F1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提供医嘱自动关联输血申请单，并生成收费或记账信息，申请单格式可自定义</w:t>
      </w:r>
    </w:p>
    <w:p w14:paraId="3207ED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提供输血申请单打印及补打功能</w:t>
      </w:r>
    </w:p>
    <w:p w14:paraId="3EEAC5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提供医嘱自动关联手术申请单，并生成收费或记账信息，申请单格式可自定义</w:t>
      </w:r>
    </w:p>
    <w:p w14:paraId="6DB96D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提供手术申请单打印及补打功能</w:t>
      </w:r>
    </w:p>
    <w:p w14:paraId="67DDB1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提供二维码和条形码生成功能</w:t>
      </w:r>
    </w:p>
    <w:p w14:paraId="38E59C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提供中草药处方录入，提供配方、方剂功能</w:t>
      </w:r>
    </w:p>
    <w:p w14:paraId="2919CB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提供西药成药处方的生成，同时产生费用信息</w:t>
      </w:r>
    </w:p>
    <w:p w14:paraId="45EE4E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提供精麻药品代办人信息的填写</w:t>
      </w:r>
    </w:p>
    <w:p w14:paraId="77BA2C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提供抗菌用药的权限管理</w:t>
      </w:r>
    </w:p>
    <w:p w14:paraId="091D9D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提供处方的打印</w:t>
      </w:r>
    </w:p>
    <w:p w14:paraId="71ED99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住院医生危急值应用</w:t>
      </w:r>
    </w:p>
    <w:p w14:paraId="693BB7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提供检验检查危急值消息提醒</w:t>
      </w:r>
    </w:p>
    <w:p w14:paraId="60EBAA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提供检查检验危急值消息查阅</w:t>
      </w:r>
    </w:p>
    <w:p w14:paraId="24A8BE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提供病历质控信息消息提醒</w:t>
      </w:r>
    </w:p>
    <w:p w14:paraId="3EFE25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住院院内会诊管理</w:t>
      </w:r>
    </w:p>
    <w:p w14:paraId="6667ED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提供新增、修改、删除、停用、启用会诊项目。</w:t>
      </w:r>
    </w:p>
    <w:p w14:paraId="2D479E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提供对会诊项目新增、修改、删除收费方式。</w:t>
      </w:r>
    </w:p>
    <w:p w14:paraId="44D0C8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提供选择下达会诊申请对应的病历模板。</w:t>
      </w:r>
    </w:p>
    <w:p w14:paraId="31CC32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提供选择书写会诊意见所对应的病历模板。</w:t>
      </w:r>
    </w:p>
    <w:p w14:paraId="1DB09A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提供选择下达会诊申请所邀请的科室具备的工作性质。</w:t>
      </w:r>
    </w:p>
    <w:p w14:paraId="123DDD4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提供根据参数控制是否启用普通会诊、院外会诊、拒绝会诊流程、拒绝后医嘱是否屏蔽打印</w:t>
      </w:r>
    </w:p>
    <w:p w14:paraId="3F0013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提供选择下达特殊会诊申请所对应的病历模板。</w:t>
      </w:r>
    </w:p>
    <w:p w14:paraId="5DA87C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选择书写特殊会诊意见所对应的病历模板。</w:t>
      </w:r>
    </w:p>
    <w:p w14:paraId="1E6510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提供选择下达特殊会诊申请后所产生的会诊医嘱。</w:t>
      </w:r>
    </w:p>
    <w:p w14:paraId="289359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提供特殊抗菌药物会诊分级审核或平行审核。</w:t>
      </w:r>
    </w:p>
    <w:p w14:paraId="78A7B7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提供新增、删除特殊抗菌药物会诊审核人员。</w:t>
      </w:r>
    </w:p>
    <w:p w14:paraId="00004C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提供设置平行审核申请邀请人数/科室。</w:t>
      </w:r>
    </w:p>
    <w:p w14:paraId="5F3C65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提供根据参数控制平行审核是否指定到科室审核</w:t>
      </w:r>
    </w:p>
    <w:p w14:paraId="15801A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提供平行审核启用仲裁，当平行审核医生审核意见不一致时，可邀请仲裁医生审核。</w:t>
      </w:r>
    </w:p>
    <w:p w14:paraId="4EA7F6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提供查看本人或本科普通会诊申请、特殊药物会诊申请及处理意见。</w:t>
      </w:r>
    </w:p>
    <w:p w14:paraId="05D5DC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提供特殊药物会诊申请医生申请仲裁。</w:t>
      </w:r>
    </w:p>
    <w:p w14:paraId="2F5A84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提供普通会诊申请进行修订申请、查看修订进度</w:t>
      </w:r>
    </w:p>
    <w:p w14:paraId="0DAE53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提供对普通会诊申请进行分配、接收、拒绝、会诊、完成会诊。</w:t>
      </w:r>
    </w:p>
    <w:p w14:paraId="091D38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提供对普通会诊申请已申请修订的会诊进行同意修订、拒绝修订、查看修订进度</w:t>
      </w:r>
    </w:p>
    <w:p w14:paraId="4C9D15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提供对特殊会诊申请填写审核意见，申请仲裁，填写仲裁意见、完成会诊。</w:t>
      </w:r>
    </w:p>
    <w:p w14:paraId="391893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检验报告查阅</w:t>
      </w:r>
    </w:p>
    <w:p w14:paraId="788080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提供报告功能，可直接查看检查报告等</w:t>
      </w:r>
    </w:p>
    <w:p w14:paraId="0C984A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提供报告打印功能</w:t>
      </w:r>
    </w:p>
    <w:p w14:paraId="23215B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提供报告历史记录对比</w:t>
      </w:r>
    </w:p>
    <w:p w14:paraId="027989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检查报告查阅</w:t>
      </w:r>
    </w:p>
    <w:p w14:paraId="2BAF4F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提供消息提醒</w:t>
      </w:r>
    </w:p>
    <w:p w14:paraId="38F27C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提供消息提醒针对个别科室或者个人</w:t>
      </w:r>
    </w:p>
    <w:p w14:paraId="5436CB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提供按照IP段设置提醒</w:t>
      </w:r>
    </w:p>
    <w:p w14:paraId="142FA0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消息提醒服务</w:t>
      </w:r>
    </w:p>
    <w:p w14:paraId="2B64AC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提供检验检查危急值查阅</w:t>
      </w:r>
    </w:p>
    <w:p w14:paraId="7AE2C1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提供危急值反馈记录登记</w:t>
      </w:r>
    </w:p>
    <w:p w14:paraId="57C773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提供医生接受反馈后的处理记录填写</w:t>
      </w:r>
    </w:p>
    <w:p w14:paraId="2A4DE8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住院诊疗一览表</w:t>
      </w:r>
    </w:p>
    <w:p w14:paraId="7B9BC9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提供集中展示住院病人就诊信息及诊疗行为。</w:t>
      </w:r>
    </w:p>
    <w:p w14:paraId="240A41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提供快捷链接到病历内容、快捷查看检验检查结果</w:t>
      </w:r>
    </w:p>
    <w:p w14:paraId="26EBFE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住院病历书写</w:t>
      </w:r>
    </w:p>
    <w:p w14:paraId="42E2EB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待办任务书写</w:t>
      </w:r>
    </w:p>
    <w:p w14:paraId="3F8CD3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提供通过待办任务书写、签名、审签病历。</w:t>
      </w:r>
    </w:p>
    <w:p w14:paraId="2016B8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提供根据书写科室执行待办任务时自动筛选或手动选择病历模板。</w:t>
      </w:r>
    </w:p>
    <w:p w14:paraId="0DE03B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提供待办任务根据质控时限分级显示。</w:t>
      </w:r>
    </w:p>
    <w:p w14:paraId="7F003C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提供通过选择病历模板书写病历。</w:t>
      </w:r>
    </w:p>
    <w:p w14:paraId="7421C5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提供根据书写科室自动筛选病历模板。</w:t>
      </w:r>
    </w:p>
    <w:p w14:paraId="5F44DB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提供多标签筛选病历模板对应病历范文直接书写病历。</w:t>
      </w:r>
    </w:p>
    <w:p w14:paraId="2D588A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文档导航</w:t>
      </w:r>
    </w:p>
    <w:p w14:paraId="62E174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提供文档列表导航。</w:t>
      </w:r>
    </w:p>
    <w:p w14:paraId="28CB59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提供病历编辑锁定及强制解锁。</w:t>
      </w:r>
    </w:p>
    <w:p w14:paraId="741070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病历范文导入</w:t>
      </w:r>
    </w:p>
    <w:p w14:paraId="05022B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提供本人、本科和全院范文筛选。</w:t>
      </w:r>
    </w:p>
    <w:p w14:paraId="45E097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提供病历范文多标签搜索。</w:t>
      </w:r>
    </w:p>
    <w:p w14:paraId="161C68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提供不同版本范文预览、替换和插入病历内容。</w:t>
      </w:r>
    </w:p>
    <w:p w14:paraId="6E039B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提供选择范文部分段导入。</w:t>
      </w:r>
    </w:p>
    <w:p w14:paraId="35D400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文书词句导入</w:t>
      </w:r>
    </w:p>
    <w:p w14:paraId="656E6B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提供本人、本科和全院词句组筛选。</w:t>
      </w:r>
    </w:p>
    <w:p w14:paraId="140180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提供不同词句组替换和插入病历内容。</w:t>
      </w:r>
    </w:p>
    <w:p w14:paraId="7AE8B1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提供选择词句组部分词句导入。</w:t>
      </w:r>
    </w:p>
    <w:p w14:paraId="72C088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临床质控反馈</w:t>
      </w:r>
    </w:p>
    <w:p w14:paraId="3E163B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提供运行病历质控、科内质控、终末质控及质控抽查反馈问题处理。</w:t>
      </w:r>
    </w:p>
    <w:p w14:paraId="7CDCFE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提供质控反馈意见。</w:t>
      </w:r>
    </w:p>
    <w:p w14:paraId="02D244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提供就诊病人、我的病人、医疗小组和本科室质控反馈列表显示。</w:t>
      </w:r>
    </w:p>
    <w:p w14:paraId="071900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提供质控反馈列表直接创建、修改、审订已书写病历和修改病案首页。</w:t>
      </w:r>
    </w:p>
    <w:p w14:paraId="06843A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病历编辑</w:t>
      </w:r>
    </w:p>
    <w:p w14:paraId="431E6F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提供同一页面、同一分组病历记录连续显示和编辑。</w:t>
      </w:r>
    </w:p>
    <w:p w14:paraId="78D45C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提供同一分组病历根据活动任务关系自动关联连续显示和编辑。</w:t>
      </w:r>
    </w:p>
    <w:p w14:paraId="5DCE43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提供不同病历类型病历段内容自动引用。</w:t>
      </w:r>
    </w:p>
    <w:p w14:paraId="753008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提供基础变量、模板变量修改手动更新信息。</w:t>
      </w:r>
    </w:p>
    <w:p w14:paraId="0D50E3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提供文本上下标及插入本地图片。</w:t>
      </w:r>
    </w:p>
    <w:p w14:paraId="3C9AF0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提供常见医学表达式插入病历快捷编辑。</w:t>
      </w:r>
    </w:p>
    <w:p w14:paraId="6D1CD6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提供标记图标记并插入，可引用已预制标记图和本地图片。</w:t>
      </w:r>
    </w:p>
    <w:p w14:paraId="69480B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提供特殊符号引用。</w:t>
      </w:r>
    </w:p>
    <w:p w14:paraId="0D80AB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提供院内/外历次门诊、住院检验报告内容引用，可表格或自由文本录入。</w:t>
      </w:r>
    </w:p>
    <w:p w14:paraId="3F9840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提供历次门诊、住院微生物报告内容引用。</w:t>
      </w:r>
    </w:p>
    <w:p w14:paraId="4B071C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提供历次门诊、住院检查报告内容引用。</w:t>
      </w:r>
    </w:p>
    <w:p w14:paraId="4D23AD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提供历次门诊、住院病理检查报告内容引用。</w:t>
      </w:r>
    </w:p>
    <w:p w14:paraId="6FBB5E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提供历次门诊、住院评分结果内容引用。</w:t>
      </w:r>
    </w:p>
    <w:p w14:paraId="1D5FF9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提供危急值处理记录引用，可选择插入危急值处理记录。</w:t>
      </w:r>
    </w:p>
    <w:p w14:paraId="6A9F6C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提供历次病历内容引用。</w:t>
      </w:r>
    </w:p>
    <w:p w14:paraId="4CD56C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提供病人诊断录入与HIS病案首页诊断同步，同时根据书写规范中规则生成文本插入到对应诊断段。</w:t>
      </w:r>
    </w:p>
    <w:p w14:paraId="7965CD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提供中医诊断的多症候多治法录入。</w:t>
      </w:r>
    </w:p>
    <w:p w14:paraId="4A35DC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提供病人诊断录入自动弹出传染病报告卡填写。</w:t>
      </w:r>
    </w:p>
    <w:p w14:paraId="168AF3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提供病人手术记录ICD-9录入与HIS病案首页手术记录同步，同时生成对应文本到病历内容中。提供自动计算手术时间及复制新增手术记录。</w:t>
      </w:r>
    </w:p>
    <w:p w14:paraId="326678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提供病历签名后继续修订病历。</w:t>
      </w:r>
    </w:p>
    <w:p w14:paraId="69751E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提供护理记录内容引用。</w:t>
      </w:r>
    </w:p>
    <w:p w14:paraId="103EFF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简便易操作界面病历</w:t>
      </w:r>
    </w:p>
    <w:p w14:paraId="76C44A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提供在同一界面完成集病历连续书写、连续查看、病历打印于一体。</w:t>
      </w:r>
    </w:p>
    <w:p w14:paraId="037CC1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基于诊疗逻辑的树形结构化录入</w:t>
      </w:r>
    </w:p>
    <w:p w14:paraId="546CFD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提供病历模板段树形结构化录入，可根据病人情况及上级树形节点动态显示录入下级树形。</w:t>
      </w:r>
    </w:p>
    <w:p w14:paraId="559C0E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提供快捷搜索调整树形节点数据。</w:t>
      </w:r>
    </w:p>
    <w:p w14:paraId="2653FB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提供树形结构化录入根据规则自动产生文本内容到对应病历段中。</w:t>
      </w:r>
    </w:p>
    <w:p w14:paraId="51C2AE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另存范文</w:t>
      </w:r>
    </w:p>
    <w:p w14:paraId="2BDDF1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提供书写病历另存为范文。</w:t>
      </w:r>
    </w:p>
    <w:p w14:paraId="3C1798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提供另存为范文版本，可覆盖原版本和新建范文版本。</w:t>
      </w:r>
    </w:p>
    <w:p w14:paraId="57E9FB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提供另存为范文时选择范文分类。</w:t>
      </w:r>
    </w:p>
    <w:p w14:paraId="567979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另存词句</w:t>
      </w:r>
    </w:p>
    <w:p w14:paraId="7A8435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提供书写文书另存为词句组。</w:t>
      </w:r>
    </w:p>
    <w:p w14:paraId="48C200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提供另存为词句组时选择范文分类。</w:t>
      </w:r>
    </w:p>
    <w:p w14:paraId="6246DF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历史版本</w:t>
      </w:r>
    </w:p>
    <w:p w14:paraId="2EB103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提供病历签名后自动生成历史版本。</w:t>
      </w:r>
    </w:p>
    <w:p w14:paraId="4A5B01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提供历史版本内容恢复。</w:t>
      </w:r>
    </w:p>
    <w:p w14:paraId="0B6DC3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提供历史版本内容对比显示修改痕迹。</w:t>
      </w:r>
    </w:p>
    <w:p w14:paraId="0BDFDF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自动保存/本地缓存</w:t>
      </w:r>
    </w:p>
    <w:p w14:paraId="4570E2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提供病历内容自动保存。</w:t>
      </w:r>
    </w:p>
    <w:p w14:paraId="48C6BF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提供本地实时缓存及本地缓存恢复。</w:t>
      </w:r>
    </w:p>
    <w:p w14:paraId="466244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病历整理及打印</w:t>
      </w:r>
    </w:p>
    <w:p w14:paraId="2B6D6F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提供病历顺序调整，同时可调整病历页面及分组。</w:t>
      </w:r>
    </w:p>
    <w:p w14:paraId="76801F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提供病历自动续打，同时提供手动续打。</w:t>
      </w:r>
    </w:p>
    <w:p w14:paraId="54DC74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提供病历打印设置，可设置单面或双面。</w:t>
      </w:r>
    </w:p>
    <w:p w14:paraId="098856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提供连续显示病历，根据记录日期时间自动排序。</w:t>
      </w:r>
    </w:p>
    <w:p w14:paraId="37CA91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提供病历打印默认奇数页、偶数页。</w:t>
      </w:r>
    </w:p>
    <w:p w14:paraId="6D03FA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提供多份病历批量打印。</w:t>
      </w:r>
    </w:p>
    <w:p w14:paraId="1351A1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范文词句</w:t>
      </w:r>
    </w:p>
    <w:p w14:paraId="1685B4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提供快捷管理病历范文和文书词句组。</w:t>
      </w:r>
    </w:p>
    <w:p w14:paraId="5FB5E3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病历自检管理</w:t>
      </w:r>
    </w:p>
    <w:p w14:paraId="5C8EE1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提供质控规则定义。</w:t>
      </w:r>
    </w:p>
    <w:p w14:paraId="784827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提供质控规则提醒内容及分值设置。</w:t>
      </w:r>
    </w:p>
    <w:p w14:paraId="11F53E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提供质控规条件设置，针对不同病人情况进行计算。</w:t>
      </w:r>
    </w:p>
    <w:p w14:paraId="6C0C01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提供临床医生根据病历质控方案进行质量评估。</w:t>
      </w:r>
    </w:p>
    <w:p w14:paraId="2CF641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调阅检验报告管理</w:t>
      </w:r>
    </w:p>
    <w:p w14:paraId="33EFFD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提供书写病历的同时可以查阅检验报告</w:t>
      </w:r>
    </w:p>
    <w:p w14:paraId="629E10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提供检验结果插入病历记录的功能</w:t>
      </w:r>
    </w:p>
    <w:p w14:paraId="38BB2F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调阅检查报告管理</w:t>
      </w:r>
    </w:p>
    <w:p w14:paraId="1C25F7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提供书写病历的同时可以查阅检查报告</w:t>
      </w:r>
    </w:p>
    <w:p w14:paraId="705A55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提供检查结果插入病历记录的功能</w:t>
      </w:r>
    </w:p>
    <w:p w14:paraId="199000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调阅医嘱信息管理</w:t>
      </w:r>
    </w:p>
    <w:p w14:paraId="26C968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提供书写病历的同时可以查阅医嘱内容</w:t>
      </w:r>
    </w:p>
    <w:p w14:paraId="596DEE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提供医嘱内容插入病历记录的功能</w:t>
      </w:r>
    </w:p>
    <w:p w14:paraId="77FF76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历史病历检索管理</w:t>
      </w:r>
    </w:p>
    <w:p w14:paraId="65CF9E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提供对历史病历书写内容进行查看的功能</w:t>
      </w:r>
    </w:p>
    <w:p w14:paraId="449724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范文管理</w:t>
      </w:r>
    </w:p>
    <w:p w14:paraId="0E23F2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提供病历模板范文管理。</w:t>
      </w:r>
    </w:p>
    <w:p w14:paraId="19B1BC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提供病历范文适用范文进行设置。</w:t>
      </w:r>
    </w:p>
    <w:p w14:paraId="009EE6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提供病历范文版本管理。</w:t>
      </w:r>
    </w:p>
    <w:p w14:paraId="70D928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提供病历范文多标签管理，书写时可通过多标签进行搜索。</w:t>
      </w:r>
    </w:p>
    <w:p w14:paraId="0FBB20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提供病历范文内容定义。</w:t>
      </w:r>
    </w:p>
    <w:p w14:paraId="5CB147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住院病历审订痕迹</w:t>
      </w:r>
    </w:p>
    <w:p w14:paraId="309DFE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提供上级医师对病历内容进行审批</w:t>
      </w:r>
    </w:p>
    <w:p w14:paraId="520270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提供对病历内容审批留痕</w:t>
      </w:r>
    </w:p>
    <w:p w14:paraId="6E3AE2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病历检索分析</w:t>
      </w:r>
    </w:p>
    <w:p w14:paraId="1C29B8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提供已书写病历内容结构化数据查询分析。</w:t>
      </w:r>
    </w:p>
    <w:p w14:paraId="3CD47A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提供检索结果列表输出。</w:t>
      </w:r>
    </w:p>
    <w:p w14:paraId="5BB583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提供检索结果病历内容批量输出电子文档。</w:t>
      </w:r>
    </w:p>
    <w:p w14:paraId="4FA9CA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提供病历检索列表查看打印状态。</w:t>
      </w:r>
    </w:p>
    <w:p w14:paraId="7F5942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提供导出操作日志记录。</w:t>
      </w:r>
    </w:p>
    <w:p w14:paraId="7995B6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提供检索出来的病历内容脱敏。 </w:t>
      </w:r>
    </w:p>
    <w:p w14:paraId="30538170">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住院临床路径管理系统</w:t>
      </w:r>
    </w:p>
    <w:p w14:paraId="6BF86C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临床路径配置</w:t>
      </w:r>
    </w:p>
    <w:p w14:paraId="37B362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提供临床路径表单定制功能，提供路径及具体内容的增删、审批以及版本管理等功能</w:t>
      </w:r>
    </w:p>
    <w:p w14:paraId="3371BD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提供患者版路径表</w:t>
      </w:r>
    </w:p>
    <w:p w14:paraId="682B91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入出路径管理</w:t>
      </w:r>
    </w:p>
    <w:p w14:paraId="4158EE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提供操作人员对路径的进入、阶段情况进行评估，以确认是否可以进入下一阶段</w:t>
      </w:r>
    </w:p>
    <w:p w14:paraId="117E23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提供随时查阅病人费用情况，并对费用进行评估</w:t>
      </w:r>
    </w:p>
    <w:p w14:paraId="44CFBF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提供根据诊断自动提示进入临床路径</w:t>
      </w:r>
    </w:p>
    <w:p w14:paraId="3E7C29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提供住院中途进入路径，可根据病人实际病情对路径进行必要的调整与变更，允许医生在一定范围内选择实际生成的路径项目</w:t>
      </w:r>
    </w:p>
    <w:p w14:paraId="795B4F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提供根据路径项目内容准确估算后续治疗费用</w:t>
      </w:r>
    </w:p>
    <w:p w14:paraId="39F25A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提供通过病人分析、变异分析等多维度进行临床路径使用的跟踪。</w:t>
      </w:r>
    </w:p>
    <w:p w14:paraId="6447AB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临床路径执行</w:t>
      </w:r>
    </w:p>
    <w:p w14:paraId="38A1DF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提供路径表单自动生成每天的路径项目，提供路径项目批量执行</w:t>
      </w:r>
    </w:p>
    <w:p w14:paraId="53273A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提供分支路径和备用路径，满足并发症、局部治疗措施不确定情况</w:t>
      </w:r>
    </w:p>
    <w:p w14:paraId="1EA595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提供合并路径，满足常见合并症和并发症的处理</w:t>
      </w:r>
    </w:p>
    <w:p w14:paraId="0BD57A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提供路径跳转，以及对路径阶段的提前或延后，并跟踪原因</w:t>
      </w:r>
    </w:p>
    <w:p w14:paraId="2493FF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提供增加路径外项目并记录原因</w:t>
      </w:r>
    </w:p>
    <w:p w14:paraId="50D386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提供变异退出身份验证/权限控制</w:t>
      </w:r>
    </w:p>
    <w:p w14:paraId="3A1DD5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提供会诊管理，可共享会诊病人的路径信息</w:t>
      </w:r>
    </w:p>
    <w:p w14:paraId="30A7DF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临床路径评估管理</w:t>
      </w:r>
    </w:p>
    <w:p w14:paraId="33D4E0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提供按天进行路径评估的功能</w:t>
      </w:r>
    </w:p>
    <w:p w14:paraId="5979D5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提供按阶段进行路径评估的功能</w:t>
      </w:r>
    </w:p>
    <w:p w14:paraId="7D0189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临床路径统计查询</w:t>
      </w:r>
    </w:p>
    <w:p w14:paraId="467B45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提供统计分析功能，分析变异原因。</w:t>
      </w:r>
    </w:p>
    <w:p w14:paraId="03ACE04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提供路径工作量统计表的统计分析。</w:t>
      </w:r>
    </w:p>
    <w:p w14:paraId="505BCE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提供路径效率与经济指标的统计分析。</w:t>
      </w:r>
    </w:p>
    <w:p w14:paraId="79B789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提供单病种病人的统计。</w:t>
      </w:r>
    </w:p>
    <w:p w14:paraId="2B971DFD">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住院护士工作站系统</w:t>
      </w:r>
    </w:p>
    <w:p w14:paraId="4A2D09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床位管理</w:t>
      </w:r>
    </w:p>
    <w:p w14:paraId="1ABEB3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提供病区床位使用情况一览表（显示床号、住院号、姓名、性别、年龄、诊断、病情、评分结果、护理等级、医护人员、费用情况）。</w:t>
      </w:r>
    </w:p>
    <w:p w14:paraId="0ACFC5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提供同步展示病人床头卡，提供护理小组分配、病区床位办理、不良事件上报、高危风险提示</w:t>
      </w:r>
    </w:p>
    <w:p w14:paraId="6BBD27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提供病人入出转功能</w:t>
      </w:r>
    </w:p>
    <w:p w14:paraId="62BABD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提供床头卡、腕带打印功能</w:t>
      </w:r>
    </w:p>
    <w:p w14:paraId="3F33AF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提供新生儿登记功能</w:t>
      </w:r>
    </w:p>
    <w:p w14:paraId="6DDFE3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提供病人信息查询和调整功能</w:t>
      </w:r>
    </w:p>
    <w:p w14:paraId="7DE222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医嘱处理</w:t>
      </w:r>
    </w:p>
    <w:p w14:paraId="359094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提供校对发送医嘱，查询、打印病区医嘱审核处理情况。</w:t>
      </w:r>
    </w:p>
    <w:p w14:paraId="36757F4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提供记录病人生命体征及相关项目。</w:t>
      </w:r>
    </w:p>
    <w:p w14:paraId="4EA195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提供打印长期及临时医嘱单。</w:t>
      </w:r>
    </w:p>
    <w:p w14:paraId="33EEB2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提供打印、查询病区对药单提供对药单分类维护</w:t>
      </w:r>
    </w:p>
    <w:p w14:paraId="0E7979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提供打印、查询病区长期、临时医嘱治疗单，提供治疗单分类维护。打印、查询输液记录卡及瓶签。</w:t>
      </w:r>
    </w:p>
    <w:p w14:paraId="299F63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提供填写药品皮试结果。</w:t>
      </w:r>
    </w:p>
    <w:p w14:paraId="2833AD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费用管理</w:t>
      </w:r>
    </w:p>
    <w:p w14:paraId="2446C6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提供护士记账，具备模板功能。</w:t>
      </w:r>
    </w:p>
    <w:p w14:paraId="1F0CC1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提供销账申请</w:t>
      </w:r>
    </w:p>
    <w:p w14:paraId="088B38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提供住院费用清单，查询打印</w:t>
      </w:r>
    </w:p>
    <w:p w14:paraId="6CC9F5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提供查询病区欠费病人清单，打印催缴通知单</w:t>
      </w:r>
    </w:p>
    <w:p w14:paraId="70A01B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提供病区费用批量记账</w:t>
      </w:r>
    </w:p>
    <w:p w14:paraId="46515F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提供需要持续性计费项目的计费</w:t>
      </w:r>
    </w:p>
    <w:p w14:paraId="071C62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临床数据查看功能</w:t>
      </w:r>
    </w:p>
    <w:p w14:paraId="5CDD9A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实现查询移动临床病人当前输液状态。</w:t>
      </w:r>
    </w:p>
    <w:p w14:paraId="3E1644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实现查询病区输液巡视记录。</w:t>
      </w:r>
    </w:p>
    <w:p w14:paraId="19CF3C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实现查询病区护理巡视记录。</w:t>
      </w:r>
    </w:p>
    <w:p w14:paraId="1EDD7BA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实现查询当天配液情况</w:t>
      </w:r>
    </w:p>
    <w:p w14:paraId="1DC287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护理计划管理</w:t>
      </w:r>
    </w:p>
    <w:p w14:paraId="5BBC82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实现各专科护理计划知识库，根据所选计划知识库，制定相应的护理处理措施。</w:t>
      </w:r>
    </w:p>
    <w:p w14:paraId="66C638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实现符合客户实际的护理计划新增、修改、维护。</w:t>
      </w:r>
    </w:p>
    <w:p w14:paraId="070025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实现对护理计划进行评价。</w:t>
      </w:r>
    </w:p>
    <w:p w14:paraId="006BCC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实现填写护录记录时根据护理计划提醒规则，提醒护士填写护理计划。</w:t>
      </w:r>
    </w:p>
    <w:p w14:paraId="1F4997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健康宣教</w:t>
      </w:r>
    </w:p>
    <w:p w14:paraId="1E6C5C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提供健康教育知识库，针对患者的不同病症，对住院须知实现床旁宣教，提供多次宣教</w:t>
      </w:r>
    </w:p>
    <w:p w14:paraId="063E6C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提供根据不同医院的健康教育需求不同，可提供内容维护</w:t>
      </w:r>
    </w:p>
    <w:p w14:paraId="7093FF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提供院方人员可在当前登录病区内患者列表中选择患者，展示当前选中患者所有教育记录</w:t>
      </w:r>
    </w:p>
    <w:p w14:paraId="4C2EFE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任务驱动管理</w:t>
      </w:r>
    </w:p>
    <w:p w14:paraId="285524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提供通过集中任务式管理护士的工作，把不同来源、不同类型的工作汇聚展现</w:t>
      </w:r>
    </w:p>
    <w:p w14:paraId="7D58FE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提供对于不同类型的任务根据业务性质，要求其执行界面或方式各有不一</w:t>
      </w:r>
    </w:p>
    <w:p w14:paraId="0C6DA8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提供任务、待执行医嘱查看功能 </w:t>
      </w:r>
    </w:p>
    <w:p w14:paraId="531EBA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输血医嘱流程管理</w:t>
      </w:r>
    </w:p>
    <w:p w14:paraId="43F844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提供输血验收</w:t>
      </w:r>
    </w:p>
    <w:p w14:paraId="634CB7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提供输血医嘱执行记录和双人核对</w:t>
      </w:r>
    </w:p>
    <w:p w14:paraId="4FA2DD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提供输液巡视观察记录</w:t>
      </w:r>
    </w:p>
    <w:p w14:paraId="28EF43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护理会诊</w:t>
      </w:r>
    </w:p>
    <w:p w14:paraId="28CDE9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提供多病区协同会诊，针对会诊流程和所需要会诊的患者，填写会诊文书</w:t>
      </w:r>
    </w:p>
    <w:p w14:paraId="1BAFAA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提供会诊申请、反馈情况的记录</w:t>
      </w:r>
    </w:p>
    <w:p w14:paraId="799D55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提供打印功能</w:t>
      </w:r>
    </w:p>
    <w:p w14:paraId="635865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交接班</w:t>
      </w:r>
    </w:p>
    <w:p w14:paraId="443972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实现病区概况如入院人数、出院人数、危重病人等数据的自动提取。</w:t>
      </w:r>
    </w:p>
    <w:p w14:paraId="790D44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实现按病区、按科室进行交接班，完成交接班报告的填写。</w:t>
      </w:r>
    </w:p>
    <w:p w14:paraId="6182AC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管道管路管理</w:t>
      </w:r>
    </w:p>
    <w:p w14:paraId="60BBA6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实现通过医嘱直接导入。</w:t>
      </w:r>
    </w:p>
    <w:p w14:paraId="20B980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实现针对病人的管道进行流程管理，从病人置管、记录护理过程观察情况、风险评估、拔管，并实现管道护理记录的打印。</w:t>
      </w:r>
    </w:p>
    <w:p w14:paraId="77FCAC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实现患者管道滑脱风险评估，并实现上级护士对滑脱风险评估进行审核。</w:t>
      </w:r>
    </w:p>
    <w:p w14:paraId="36AFC2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针对非计划拔管有原因确认及弹出不良事件上报的填写。</w:t>
      </w:r>
    </w:p>
    <w:p w14:paraId="25EE2A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实现病区管道统计汇总。</w:t>
      </w:r>
    </w:p>
    <w:p w14:paraId="3C884F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实现患者管道引流量的24小时自动汇总。</w:t>
      </w:r>
    </w:p>
    <w:p w14:paraId="422493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压力性损伤管路</w:t>
      </w:r>
    </w:p>
    <w:p w14:paraId="2E9236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实现患者压力性损伤评分。</w:t>
      </w:r>
    </w:p>
    <w:p w14:paraId="644B03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实现对压力性损伤的观察记录以及上级护士对观察记录进行审核、巡视以及情况追踪。</w:t>
      </w:r>
    </w:p>
    <w:p w14:paraId="7C86CA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实现患者难免压疮申报。</w:t>
      </w:r>
    </w:p>
    <w:p w14:paraId="671E5F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实现自定义压力性损伤、难免压力性损伤审核流程并审核。</w:t>
      </w:r>
    </w:p>
    <w:p w14:paraId="17A540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实现发生的压疮不良事件上报。</w:t>
      </w:r>
    </w:p>
    <w:p w14:paraId="556956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坠床跌倒管理</w:t>
      </w:r>
    </w:p>
    <w:p w14:paraId="4E1443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实现患者坠床跌倒评分。</w:t>
      </w:r>
    </w:p>
    <w:p w14:paraId="255327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对跌倒/坠床评分高风险患者统一管理。</w:t>
      </w:r>
    </w:p>
    <w:p w14:paraId="438CA8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实现发生跌倒/坠床事件登记，记录详细原因，提供整改措施及效果评价。</w:t>
      </w:r>
    </w:p>
    <w:p w14:paraId="1DF5B0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实现发生跌倒/坠床事件不良事件上报，针对发生原因、整改措施及效果提供报表分析。</w:t>
      </w:r>
    </w:p>
    <w:p w14:paraId="2936EF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护士档案资料管理</w:t>
      </w:r>
    </w:p>
    <w:p w14:paraId="7BDA67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实现护理人员信息查询、编辑、图片上传、档案导入。</w:t>
      </w:r>
    </w:p>
    <w:p w14:paraId="1D5761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实现按病区护理人员信息查询。</w:t>
      </w:r>
    </w:p>
    <w:p w14:paraId="78219C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实现护理人员的变动信息的登记和查询。</w:t>
      </w:r>
    </w:p>
    <w:p w14:paraId="2A16B1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实现护理人员的工作经历、兼职情况记录。</w:t>
      </w:r>
    </w:p>
    <w:p w14:paraId="4E3C9A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实现护理人员相关数据统计。</w:t>
      </w:r>
    </w:p>
    <w:p w14:paraId="421A88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实现外派、实习等无账号人员的维护，便于排班。</w:t>
      </w:r>
    </w:p>
    <w:p w14:paraId="610302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护士排班</w:t>
      </w:r>
    </w:p>
    <w:p w14:paraId="72C122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实现病区护士排班，批量调整班次，实现与护理资质绑定，自动判断每个班是否符合的资质要求。</w:t>
      </w:r>
    </w:p>
    <w:p w14:paraId="7B508A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实现通过直接轮班或轮人两种模式实现快速完成周排班。</w:t>
      </w:r>
    </w:p>
    <w:p w14:paraId="18E654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实现护理人员请假审核、加扣班管理。</w:t>
      </w:r>
    </w:p>
    <w:p w14:paraId="24C846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实现护理学员的带教排班。</w:t>
      </w:r>
    </w:p>
    <w:p w14:paraId="57A840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实现护理组长标记功能，护士长特殊符号突出显示。</w:t>
      </w:r>
    </w:p>
    <w:p w14:paraId="094D11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实现患者床位分配管理。</w:t>
      </w:r>
    </w:p>
    <w:p w14:paraId="291367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实现病区护士排班表的查询。</w:t>
      </w:r>
    </w:p>
    <w:p w14:paraId="4E4B65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实现排班数量、排班时长统计。</w:t>
      </w:r>
    </w:p>
    <w:p w14:paraId="1FA3B4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实现排班信息发布。</w:t>
      </w:r>
    </w:p>
    <w:p w14:paraId="3226BC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不良事件管理</w:t>
      </w:r>
    </w:p>
    <w:p w14:paraId="6083F9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提供对发生的不良事件院内上报。</w:t>
      </w:r>
    </w:p>
    <w:p w14:paraId="674860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提供针对护理隐患 </w:t>
      </w:r>
    </w:p>
    <w:p w14:paraId="11BB7E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提供护士长、护理部对不良事件的审核、情况追踪及管理。</w:t>
      </w:r>
    </w:p>
    <w:p w14:paraId="283046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提供不同不良事件类型可自定义需填写的内容。</w:t>
      </w:r>
    </w:p>
    <w:p w14:paraId="20B416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提供设置常用的事件类型，名称。</w:t>
      </w:r>
    </w:p>
    <w:p w14:paraId="674325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提供不良事件统计分析并生成相应统计图。</w:t>
      </w:r>
    </w:p>
    <w:p w14:paraId="7599F5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护理质量管理</w:t>
      </w:r>
    </w:p>
    <w:p w14:paraId="6712E0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提供病房质量检查填报；</w:t>
      </w:r>
    </w:p>
    <w:p w14:paraId="7F3099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提供病房敏感指标工作量统计表；</w:t>
      </w:r>
    </w:p>
    <w:p w14:paraId="475CAD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提供病房风险评估报表填报并实行护理部三级监控管理</w:t>
      </w:r>
    </w:p>
    <w:p w14:paraId="1B867C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提供对各病区的质量自查与抽查</w:t>
      </w:r>
    </w:p>
    <w:p w14:paraId="7374A7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提供对所有护理质量评分存在问题的记录汇总显示，供护理部查看和审核</w:t>
      </w:r>
    </w:p>
    <w:p w14:paraId="2176CA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提供检查项目指标的管理和维护</w:t>
      </w:r>
    </w:p>
    <w:p w14:paraId="00D708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提供扣分项目以不同颜色标识</w:t>
      </w:r>
    </w:p>
    <w:p w14:paraId="20E27C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提供护理质量检查统计分析并生成相应统计图</w:t>
      </w:r>
    </w:p>
    <w:p w14:paraId="2F22CD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护理统计分析</w:t>
      </w:r>
    </w:p>
    <w:p w14:paraId="060F3A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提供敏感性指标数据自动生成，并展现；</w:t>
      </w:r>
    </w:p>
    <w:p w14:paraId="11C6DE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提供数据的统计分析</w:t>
      </w:r>
    </w:p>
    <w:p w14:paraId="58AE51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提供少数不能自动获取的敏感性指标数据填报，这类指标需要按规范，月度/季度填报。</w:t>
      </w:r>
    </w:p>
    <w:p w14:paraId="4BB50F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提供少数不能自动获取的各专科敏感性指标的数据填报</w:t>
      </w:r>
    </w:p>
    <w:p w14:paraId="5F976A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敏感指标的例行维护</w:t>
      </w:r>
    </w:p>
    <w:p w14:paraId="06A5F6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护理文书录入</w:t>
      </w:r>
    </w:p>
    <w:p w14:paraId="15A119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提供患者体温单录入和打印，提供特殊标注和历史记录查看。</w:t>
      </w:r>
    </w:p>
    <w:p w14:paraId="7286FB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提供以周为时间单位，快速检索查询患者体温</w:t>
      </w:r>
    </w:p>
    <w:p w14:paraId="7347D7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提供不同专科科室、不同方式的护理记录单批量录入和打印，同时提供病区护理记录的批量记录</w:t>
      </w:r>
    </w:p>
    <w:p w14:paraId="6D6D42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提供体温单和护理记录单数据同步</w:t>
      </w:r>
    </w:p>
    <w:p w14:paraId="12AEBC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提供病人入出量记录管理</w:t>
      </w:r>
    </w:p>
    <w:p w14:paraId="47F393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提供患者的血糖监测记录</w:t>
      </w:r>
    </w:p>
    <w:p w14:paraId="695DC7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护理评估评分</w:t>
      </w:r>
    </w:p>
    <w:p w14:paraId="1044B1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提供成人和儿童的入/出院评估单，提供结构化的入/出院评估单</w:t>
      </w:r>
    </w:p>
    <w:p w14:paraId="5A7ABB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提供同时完成多项评分表</w:t>
      </w:r>
    </w:p>
    <w:p w14:paraId="34A122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提供护士长对病区评分评估结果审核</w:t>
      </w:r>
    </w:p>
    <w:p w14:paraId="3ACFF6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提供专科评估内容</w:t>
      </w:r>
    </w:p>
    <w:p w14:paraId="0AD539F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临床辅助决策支持信息系统</w:t>
      </w:r>
    </w:p>
    <w:p w14:paraId="26DF52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检查知识库</w:t>
      </w:r>
    </w:p>
    <w:p w14:paraId="35AE85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项目目录维护</w:t>
      </w:r>
    </w:p>
    <w:p w14:paraId="591AB3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提供增加项目名称，选择项目部位，并选择好执行科室功能。</w:t>
      </w:r>
    </w:p>
    <w:p w14:paraId="5AFA39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提供修改原有项目的名称、项目部位、及执行科室的功能。</w:t>
      </w:r>
    </w:p>
    <w:p w14:paraId="24C500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提供项目及部位的费用对照工作。</w:t>
      </w:r>
    </w:p>
    <w:p w14:paraId="199850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知识库内容维护</w:t>
      </w:r>
    </w:p>
    <w:p w14:paraId="27241F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提供检查知识库内容的导入功能。</w:t>
      </w:r>
    </w:p>
    <w:p w14:paraId="6BADAF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提供现有检查知识库内容的进行参考编辑功能。</w:t>
      </w:r>
    </w:p>
    <w:p w14:paraId="290737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提供新的检查知识库内容的增加功能。</w:t>
      </w:r>
    </w:p>
    <w:p w14:paraId="2A5216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提供增加检查知识库内容中的适应症、禁忌症、操作步骤、注意事项功能的添加。</w:t>
      </w:r>
    </w:p>
    <w:p w14:paraId="514F4B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临床项目对照</w:t>
      </w:r>
    </w:p>
    <w:p w14:paraId="3FEC08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提供在检查知识库中对相应的项目进行适用项目的对照。</w:t>
      </w:r>
    </w:p>
    <w:p w14:paraId="4622BD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提供在对应的项目可以对一类项目进行复用对照。</w:t>
      </w:r>
    </w:p>
    <w:p w14:paraId="50CE37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项目申请参考</w:t>
      </w:r>
    </w:p>
    <w:p w14:paraId="298951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提供大夫在开具检查医嘱的同时进行所申请的项目的知识库查询功能。</w:t>
      </w:r>
    </w:p>
    <w:p w14:paraId="01D274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提供大夫开具检查医嘱的同时可以对没有对照的项目知识库进行全库查询功能。</w:t>
      </w:r>
    </w:p>
    <w:p w14:paraId="680623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项目报告参考</w:t>
      </w:r>
    </w:p>
    <w:p w14:paraId="25E9BD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提供大夫在查询检查报告的同时可以查询所申请的项目对应的知识库说明功能。</w:t>
      </w:r>
    </w:p>
    <w:p w14:paraId="32E7F0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检验知识库</w:t>
      </w:r>
    </w:p>
    <w:p w14:paraId="3C9AB6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项目目录维护</w:t>
      </w:r>
    </w:p>
    <w:p w14:paraId="61D685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提供增加项目名称，选择对应采集方式，并选择好执行科室功能。</w:t>
      </w:r>
    </w:p>
    <w:p w14:paraId="2C4624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提供修改原有项目的名称、采集方式、及执行科室的功能。</w:t>
      </w:r>
    </w:p>
    <w:p w14:paraId="02437C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提供项目及采集方式的费用对照工作。</w:t>
      </w:r>
    </w:p>
    <w:p w14:paraId="732EEE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知识库内容维护</w:t>
      </w:r>
    </w:p>
    <w:p w14:paraId="17B9A4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提供检验知识库内容的导入功能。</w:t>
      </w:r>
    </w:p>
    <w:p w14:paraId="60FDC6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提供现有检验知识库内容的进行参考编辑功能。</w:t>
      </w:r>
    </w:p>
    <w:p w14:paraId="72A6E8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提供新的检验知识库内容的增加功能。</w:t>
      </w:r>
    </w:p>
    <w:p w14:paraId="401725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提供增加检验知识库内容中的适应症、禁忌症、操作步骤、注意事项功能的添加。</w:t>
      </w:r>
    </w:p>
    <w:p w14:paraId="5BB514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临床项目对照</w:t>
      </w:r>
    </w:p>
    <w:p w14:paraId="0D3626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提供在检验知识库中对相应的项目进行适用项目的对照。</w:t>
      </w:r>
    </w:p>
    <w:p w14:paraId="6D8EC1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提供在对应的项目可以对一类检验项目进行复用对照。</w:t>
      </w:r>
    </w:p>
    <w:p w14:paraId="356181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项目申请参考</w:t>
      </w:r>
    </w:p>
    <w:p w14:paraId="2E0095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提供大夫在开具检验医嘱的同时进行所申请的项目的知识库查询功能。</w:t>
      </w:r>
    </w:p>
    <w:p w14:paraId="04F841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提供大夫开具检验医嘱的同时可以对没有对照的项目知识库进行全库查询功能。</w:t>
      </w:r>
    </w:p>
    <w:p w14:paraId="55D915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项目报告参考</w:t>
      </w:r>
    </w:p>
    <w:p w14:paraId="1AAA91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提供大夫在查询加油报告的同时可以查询所申请的项目对应的知识库说明功能。</w:t>
      </w:r>
    </w:p>
    <w:p w14:paraId="7E9A2F21">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体检管理信息系统</w:t>
      </w:r>
    </w:p>
    <w:p w14:paraId="282394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体检费用管理</w:t>
      </w:r>
    </w:p>
    <w:p w14:paraId="3E17B6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提供分任务结算、部分结算、全部结算。</w:t>
      </w:r>
    </w:p>
    <w:p w14:paraId="04BD0D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提供混合支付结算。</w:t>
      </w:r>
    </w:p>
    <w:p w14:paraId="1BD648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提供退费操作和退费查询。</w:t>
      </w:r>
    </w:p>
    <w:p w14:paraId="33662C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提供已结算查询。</w:t>
      </w:r>
    </w:p>
    <w:p w14:paraId="72861B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提供根据体检状态、未检项目、体检分组、体检类型、报到/登记时间过滤</w:t>
      </w:r>
    </w:p>
    <w:p w14:paraId="0CD7F3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提供一个账单拆分多次结算。</w:t>
      </w:r>
    </w:p>
    <w:p w14:paraId="11DC2A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体检基础业务</w:t>
      </w:r>
    </w:p>
    <w:p w14:paraId="12A3EE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体检登记</w:t>
      </w:r>
    </w:p>
    <w:p w14:paraId="256A67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提供刷身份证自动填充姓名、性别、身份证号、民族、联系地址和照片文本框，提供拍照功能。</w:t>
      </w:r>
    </w:p>
    <w:p w14:paraId="35FD98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提供历史任务查询，可通过刷身份证、录入姓名、身份证号查找数据库存在的信息。</w:t>
      </w:r>
    </w:p>
    <w:p w14:paraId="6BA6F5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提供根据套餐设置不同规则，显示不同套餐。</w:t>
      </w:r>
    </w:p>
    <w:p w14:paraId="65B1E9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提供职业病体检类型选择危害因素，根据规则自动获取体检项目。</w:t>
      </w:r>
    </w:p>
    <w:p w14:paraId="61CB95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提供复制他人/上次/单位的体检项目。</w:t>
      </w:r>
    </w:p>
    <w:p w14:paraId="3EC7D0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提供调整单个项目和整体项目金额或折扣。</w:t>
      </w:r>
    </w:p>
    <w:p w14:paraId="4612FF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提供计费后自动打印指引单、健康检查表，提供打印申请单、缴费单、条码、职业健康检查表。</w:t>
      </w:r>
    </w:p>
    <w:p w14:paraId="55B9AC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提供实时自动计算采集费并展示采集费明细。</w:t>
      </w:r>
    </w:p>
    <w:p w14:paraId="20DD7B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提供人员关键信息加密。</w:t>
      </w:r>
    </w:p>
    <w:p w14:paraId="1967BB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采用门诊号唯一，体检号独立规则。</w:t>
      </w:r>
    </w:p>
    <w:p w14:paraId="026211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提供人员缴费后，程序将人员自动报到。</w:t>
      </w:r>
    </w:p>
    <w:p w14:paraId="24018B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提供体检流程进度图表查看。</w:t>
      </w:r>
    </w:p>
    <w:p w14:paraId="24C207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提供单个项目退费。</w:t>
      </w:r>
    </w:p>
    <w:p w14:paraId="017E6B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提供查看卫材发料明细。</w:t>
      </w:r>
    </w:p>
    <w:p w14:paraId="4D62A1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提供个人预交金。</w:t>
      </w:r>
    </w:p>
    <w:p w14:paraId="1E3A4E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提供团队人员费用补差。</w:t>
      </w:r>
    </w:p>
    <w:p w14:paraId="57A325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提供一览人员历次体检登记情况。</w:t>
      </w:r>
    </w:p>
    <w:p w14:paraId="7C849F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提供根据选择不同问卷模板，录入人员健康问卷情况。</w:t>
      </w:r>
    </w:p>
    <w:p w14:paraId="2194D3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提供接入签字版。</w:t>
      </w:r>
    </w:p>
    <w:p w14:paraId="766F81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提供多院区等级费用。</w:t>
      </w:r>
    </w:p>
    <w:p w14:paraId="762D79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提供职业病人脸识别并检索人员信息</w:t>
      </w:r>
    </w:p>
    <w:p w14:paraId="4DC14D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体检预约管理</w:t>
      </w:r>
    </w:p>
    <w:p w14:paraId="20A111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提供预约信息一览。</w:t>
      </w:r>
    </w:p>
    <w:p w14:paraId="5CA34C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提供多平台分时段预约号源共享。</w:t>
      </w:r>
    </w:p>
    <w:p w14:paraId="347720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提供根据院区、科室、部门查询可预约号源和预约信息查询。</w:t>
      </w:r>
    </w:p>
    <w:p w14:paraId="4BE6EF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提供查询人员预约信息。</w:t>
      </w:r>
    </w:p>
    <w:p w14:paraId="482D34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提供查询微信体检人员预约情况。</w:t>
      </w:r>
    </w:p>
    <w:p w14:paraId="1738C8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提供通过读就诊卡、身份证查询人员，提供录入人员基本信息查询。</w:t>
      </w:r>
    </w:p>
    <w:p w14:paraId="522E32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体检替检</w:t>
      </w:r>
    </w:p>
    <w:p w14:paraId="3794E4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提供个人替检。</w:t>
      </w:r>
    </w:p>
    <w:p w14:paraId="54B86C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提供团体人员替检。</w:t>
      </w:r>
    </w:p>
    <w:p w14:paraId="716B8A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提供部分项目替检。</w:t>
      </w:r>
    </w:p>
    <w:p w14:paraId="0643C8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提供替检者报告与原体检人报告分开出。</w:t>
      </w:r>
    </w:p>
    <w:p w14:paraId="514B3D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分检医生站</w:t>
      </w:r>
    </w:p>
    <w:p w14:paraId="0B0ABD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功能介绍：用于分检医生对人员检查后，填写项目结果、体检结论建议等。</w:t>
      </w:r>
    </w:p>
    <w:p w14:paraId="064C91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提供分科录入体检结果。</w:t>
      </w:r>
    </w:p>
    <w:p w14:paraId="3AAC2B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提供正常结果一键录入。</w:t>
      </w:r>
    </w:p>
    <w:p w14:paraId="78C938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提供单个/多个执行项目。</w:t>
      </w:r>
    </w:p>
    <w:p w14:paraId="7DFA54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提供体检结果缺省值填充、结果模板导入、获取设备项目结果。</w:t>
      </w:r>
    </w:p>
    <w:p w14:paraId="3DC11A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提供异常结果显示提醒。</w:t>
      </w:r>
    </w:p>
    <w:p w14:paraId="4922F7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提供查看人员的历史检查结果及趋势对比。</w:t>
      </w:r>
    </w:p>
    <w:p w14:paraId="335F2F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提供根据指标结果在评估规则条件里自动生成结论建议。.</w:t>
      </w:r>
    </w:p>
    <w:p w14:paraId="571A75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提供设置LIS/PACS项目匹配码自动生成结论建议。</w:t>
      </w:r>
    </w:p>
    <w:p w14:paraId="6712A7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提供模糊搜索结论、自定义修改结论。</w:t>
      </w:r>
    </w:p>
    <w:p w14:paraId="32CA27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提供对项目延期操作。</w:t>
      </w:r>
    </w:p>
    <w:p w14:paraId="1F0417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提供查看人员电子病案。</w:t>
      </w:r>
    </w:p>
    <w:p w14:paraId="2713E7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提供查看当前操作人员当前科室的工作量统计。</w:t>
      </w:r>
    </w:p>
    <w:p w14:paraId="4BE56F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提供通过参数控制未收费是否允许分检。</w:t>
      </w:r>
    </w:p>
    <w:p w14:paraId="282A5E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提供根据选择不同问卷模板，录入人员健康问卷情况。</w:t>
      </w:r>
    </w:p>
    <w:p w14:paraId="08EEA4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提供对体检人员进行批量分检。</w:t>
      </w:r>
    </w:p>
    <w:p w14:paraId="13CABF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提供职业病人脸识别并检索人员信息。</w:t>
      </w:r>
    </w:p>
    <w:p w14:paraId="3CD281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分检医生审核</w:t>
      </w:r>
    </w:p>
    <w:p w14:paraId="220813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提供分检结果的信息审核。</w:t>
      </w:r>
    </w:p>
    <w:p w14:paraId="38589E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提供对分科检查中分科结果及结论等错误进行纠正。</w:t>
      </w:r>
    </w:p>
    <w:p w14:paraId="394817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提供修改痕迹记录。</w:t>
      </w:r>
    </w:p>
    <w:p w14:paraId="2AACCE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体检理单</w:t>
      </w:r>
    </w:p>
    <w:p w14:paraId="59A967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提供对体检结果手工补录。</w:t>
      </w:r>
    </w:p>
    <w:p w14:paraId="0968F3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提供提供结果默认值。</w:t>
      </w:r>
    </w:p>
    <w:p w14:paraId="320618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提供词条选择。</w:t>
      </w:r>
    </w:p>
    <w:p w14:paraId="50FF76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提供修改痕迹记录。</w:t>
      </w:r>
    </w:p>
    <w:p w14:paraId="20BEEE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提供收集其它系统回传结果。</w:t>
      </w:r>
    </w:p>
    <w:p w14:paraId="7287B0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提供体检理单的过程的记录。</w:t>
      </w:r>
    </w:p>
    <w:p w14:paraId="334A5A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提供危急值查询。</w:t>
      </w:r>
    </w:p>
    <w:p w14:paraId="424716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提供统计查询、病案、检验单查询。</w:t>
      </w:r>
    </w:p>
    <w:p w14:paraId="731D81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提供批量保存、撤销人员项目结果</w:t>
      </w:r>
    </w:p>
    <w:p w14:paraId="3D1A54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提供查看人员检验报告单、PACS图片、心电图预览</w:t>
      </w:r>
    </w:p>
    <w:p w14:paraId="6B184A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提供一览人员体检状态、理单状态</w:t>
      </w:r>
    </w:p>
    <w:p w14:paraId="07EA2B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提供项目弃检、取消弃检</w:t>
      </w:r>
    </w:p>
    <w:p w14:paraId="6C90DC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个人体检总检</w:t>
      </w:r>
    </w:p>
    <w:p w14:paraId="28E7C5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提供自动收集分科检查结论。</w:t>
      </w:r>
    </w:p>
    <w:p w14:paraId="74640E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提供按规则/匹配码自动生成总检结论。</w:t>
      </w:r>
    </w:p>
    <w:p w14:paraId="082A1E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提供自定义修改结论、合并结论、拆分已合并的结论。</w:t>
      </w:r>
    </w:p>
    <w:p w14:paraId="71E910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提供根据结论按照规则自动排序。</w:t>
      </w:r>
    </w:p>
    <w:p w14:paraId="226E86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提供根据总检结果结论通过知识库生成健康建议，可自定义修改建议。</w:t>
      </w:r>
    </w:p>
    <w:p w14:paraId="7EE619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提供查看当前人员历次检查结果及趋势对比。</w:t>
      </w:r>
    </w:p>
    <w:p w14:paraId="1C0175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提供异常指标深色显示。</w:t>
      </w:r>
    </w:p>
    <w:p w14:paraId="6AD86F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提供增加随访管理、随访计划和结果通知。</w:t>
      </w:r>
    </w:p>
    <w:p w14:paraId="5C5E58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提供查看PACS报告图、心电图。</w:t>
      </w:r>
    </w:p>
    <w:p w14:paraId="102B6D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提供收集单个项目结果。</w:t>
      </w:r>
    </w:p>
    <w:p w14:paraId="10B37C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针对职业病总检，提供展示相关职业病信息，提供总检医生参考。</w:t>
      </w:r>
    </w:p>
    <w:p w14:paraId="4E566C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提供查看当前操作人员当前科室的工作量统计。</w:t>
      </w:r>
    </w:p>
    <w:p w14:paraId="07E143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提供预览人员体检问卷情况。</w:t>
      </w:r>
    </w:p>
    <w:p w14:paraId="169915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提供增加人员复查任务，提供自动打印复查凭证。</w:t>
      </w:r>
    </w:p>
    <w:p w14:paraId="263CDB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提供查看人员复查项目</w:t>
      </w:r>
    </w:p>
    <w:p w14:paraId="01DB1C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提供预览人员体检报告，提供总检完成后自动打印人员体检报告</w:t>
      </w:r>
    </w:p>
    <w:p w14:paraId="69256C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提供查看人员危急值查询、危急值处理情况</w:t>
      </w:r>
    </w:p>
    <w:p w14:paraId="2D2B93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提供历史结果对比</w:t>
      </w:r>
    </w:p>
    <w:p w14:paraId="2B7EE6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个人总检审核</w:t>
      </w:r>
    </w:p>
    <w:p w14:paraId="48F7E5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提供体检报告多级审核。</w:t>
      </w:r>
    </w:p>
    <w:p w14:paraId="1688DC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提供修改痕迹记录。</w:t>
      </w:r>
    </w:p>
    <w:p w14:paraId="30F6F9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提供查看当前操作人员当前科室的工作量统计。</w:t>
      </w:r>
    </w:p>
    <w:p w14:paraId="1EB5CF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提供审核完成后，自动生成人员体检报告。</w:t>
      </w:r>
    </w:p>
    <w:p w14:paraId="1FB731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提供预览人员体检报告，提供总检完成后自动打印人员体检报告。</w:t>
      </w:r>
    </w:p>
    <w:p w14:paraId="3A2715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团队体检总检</w:t>
      </w:r>
    </w:p>
    <w:p w14:paraId="29D754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提供按团队体检类型总检。</w:t>
      </w:r>
    </w:p>
    <w:p w14:paraId="681689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提供按年龄段、性别等人员信息统计。</w:t>
      </w:r>
    </w:p>
    <w:p w14:paraId="29ED8B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提供按阳性结果统计。</w:t>
      </w:r>
    </w:p>
    <w:p w14:paraId="44D777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提供生成团队报告，提供可视化编辑。</w:t>
      </w:r>
    </w:p>
    <w:p w14:paraId="1469CF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体检签离</w:t>
      </w:r>
    </w:p>
    <w:p w14:paraId="3A38F4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提供查看人员体检流程进度。</w:t>
      </w:r>
    </w:p>
    <w:p w14:paraId="0E9A32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提供查看人员全部项目和未执行项目。</w:t>
      </w:r>
    </w:p>
    <w:p w14:paraId="6772D0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提供对人员项目进行拒检、弃检、延期操作</w:t>
      </w:r>
    </w:p>
    <w:p w14:paraId="67E9AD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提供体检完成确认及签离。</w:t>
      </w:r>
    </w:p>
    <w:p w14:paraId="50FB7F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提供人员批量签离</w:t>
      </w:r>
    </w:p>
    <w:p w14:paraId="746AD2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体检报告管理</w:t>
      </w:r>
    </w:p>
    <w:p w14:paraId="61AC69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提供自定义个人及团队报告显示样式。</w:t>
      </w:r>
    </w:p>
    <w:p w14:paraId="2B5F6F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提供展示有危急值的项目。</w:t>
      </w:r>
    </w:p>
    <w:p w14:paraId="1090F5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提供生成报告、审核报告、打印报告、电子文档输出、电子表格导出。</w:t>
      </w:r>
    </w:p>
    <w:p w14:paraId="0A5E7D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提供单页打印、双页打印报告。</w:t>
      </w:r>
    </w:p>
    <w:p w14:paraId="0FD789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提供补打报告。</w:t>
      </w:r>
    </w:p>
    <w:p w14:paraId="09EE57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提供查询打印记录。</w:t>
      </w:r>
    </w:p>
    <w:p w14:paraId="6984F0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提供报告文件多格式输出。</w:t>
      </w:r>
    </w:p>
    <w:p w14:paraId="14AB20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提供报告多客户端查看。</w:t>
      </w:r>
    </w:p>
    <w:p w14:paraId="4F1D2F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提供体检报告批量打印、提供按照顺序打印、循环打印</w:t>
      </w:r>
    </w:p>
    <w:p w14:paraId="63CE9E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提供查看人员职业病检查记录情况</w:t>
      </w:r>
    </w:p>
    <w:p w14:paraId="7ECD39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体检评估审核</w:t>
      </w:r>
    </w:p>
    <w:p w14:paraId="74B283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总检分配</w:t>
      </w:r>
    </w:p>
    <w:p w14:paraId="7EF425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提供查看理单完成和分检完成的人员</w:t>
      </w:r>
    </w:p>
    <w:p w14:paraId="710853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提供单个人员分配和批量分配、扫码分配</w:t>
      </w:r>
    </w:p>
    <w:p w14:paraId="4F1810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提供取消分配、重新分配</w:t>
      </w:r>
    </w:p>
    <w:p w14:paraId="15F87B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健康证体检</w:t>
      </w:r>
    </w:p>
    <w:p w14:paraId="0452EFA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提供健康证类别维护的功能</w:t>
      </w:r>
    </w:p>
    <w:p w14:paraId="0B6637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提供健康证报告单打印</w:t>
      </w:r>
    </w:p>
    <w:p w14:paraId="2C81ED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职业病体检</w:t>
      </w:r>
    </w:p>
    <w:p w14:paraId="0DC7DD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提供基础数据职业数据字典知识库、危害因素等维护。</w:t>
      </w:r>
    </w:p>
    <w:p w14:paraId="573116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提供职业体检登记时，录入检查阶段、危害因素根据规则自动获取体检项目。</w:t>
      </w:r>
    </w:p>
    <w:p w14:paraId="0F3587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团队任务提供职业团检名单批量导入，提供根据分组的检查类型、检查阶段和危害因素在导入名单时自动分组。</w:t>
      </w:r>
    </w:p>
    <w:p w14:paraId="46CA24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提供职业体检问卷录入、打印，问卷在报告中体现等。</w:t>
      </w:r>
    </w:p>
    <w:p w14:paraId="637B1F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提供职业体检纯音测听工作站。</w:t>
      </w:r>
    </w:p>
    <w:p w14:paraId="555FE0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提供职业总检，展示人员职业病信息，生成职业检查结论等。</w:t>
      </w:r>
    </w:p>
    <w:p w14:paraId="553C69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提供职业体检复查，历次复查项目在报告体现等。</w:t>
      </w:r>
    </w:p>
    <w:p w14:paraId="214D28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提供职业个人报告、职业团队报告并提供个性化设计报告。</w:t>
      </w:r>
    </w:p>
    <w:p w14:paraId="262F8924">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实验室信息管理系统</w:t>
      </w:r>
    </w:p>
    <w:p w14:paraId="492F2C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条码流程管理</w:t>
      </w:r>
    </w:p>
    <w:p w14:paraId="543D8F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实现检验信息与条码的绑定。</w:t>
      </w:r>
    </w:p>
    <w:p w14:paraId="4F4114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实现对标本进行单个和批量采集、送检，实现对标本进行条码管理。</w:t>
      </w:r>
    </w:p>
    <w:p w14:paraId="381C58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常规检验管理</w:t>
      </w:r>
    </w:p>
    <w:p w14:paraId="481C6D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提供指定仪器的自动审核技师</w:t>
      </w:r>
    </w:p>
    <w:p w14:paraId="41239E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提供扫码核收标本进行项目信息提示</w:t>
      </w:r>
    </w:p>
    <w:p w14:paraId="6EE2EE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提供扫码核收标本提供按照项目号段扫码核收标本</w:t>
      </w:r>
    </w:p>
    <w:p w14:paraId="18EABD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提供核收标本时跳过已检验指标结果互认的指标</w:t>
      </w:r>
    </w:p>
    <w:p w14:paraId="1B63DD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提供自动审核开关</w:t>
      </w:r>
    </w:p>
    <w:p w14:paraId="473B7D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提供根质控标本号进行自动转质控提供无主标本、手工标本转为质控</w:t>
      </w:r>
    </w:p>
    <w:p w14:paraId="72BF42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提供标本转为质控后撤销质控</w:t>
      </w:r>
    </w:p>
    <w:p w14:paraId="154721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提供根据标本条码号进行让步核收标本</w:t>
      </w:r>
    </w:p>
    <w:p w14:paraId="112BB2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提供针对标本进行收藏打标后续一并上机</w:t>
      </w:r>
    </w:p>
    <w:p w14:paraId="326B3C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提供同一仪器同一检验日期不同标本进行复制患者信息以及检验指标</w:t>
      </w:r>
    </w:p>
    <w:p w14:paraId="129074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提供同一仪器同一检验时间进行复制患者信息以及新增检验项目产生新的标本</w:t>
      </w:r>
    </w:p>
    <w:p w14:paraId="268400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提供同一仪器同一检验时间进行标本迁移产生新的标本</w:t>
      </w:r>
    </w:p>
    <w:p w14:paraId="5B008E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提供同一仪器不同检验时间进行标本迁移产生新的标本</w:t>
      </w:r>
    </w:p>
    <w:p w14:paraId="19ABD2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提供选择文件路径导入申请提供导出模板</w:t>
      </w:r>
    </w:p>
    <w:p w14:paraId="227086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提供自动审核仪器以及人员签到</w:t>
      </w:r>
    </w:p>
    <w:p w14:paraId="4C797B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提供未出报告标本进行标本拆分</w:t>
      </w:r>
    </w:p>
    <w:p w14:paraId="6A9ABD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提供标本拆分后撤销拆分</w:t>
      </w:r>
    </w:p>
    <w:p w14:paraId="1B0EEE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提供根据检验仪器、检验时间、标本号批量修改检验人</w:t>
      </w:r>
    </w:p>
    <w:p w14:paraId="56C4B0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提供批量审核有主标本、手工标本已出结果标本提供根据时间和仪器查询有主标本、手工标本未审核标本记录</w:t>
      </w:r>
    </w:p>
    <w:p w14:paraId="22A4FB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提供批量撤销已审核报告提供根据时间和仪器查询有主标本、手工标本已审核报告记录</w:t>
      </w:r>
    </w:p>
    <w:p w14:paraId="3D8E1C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提供标本批量切换可做仪器</w:t>
      </w:r>
    </w:p>
    <w:p w14:paraId="45B815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提供补打单个标本条码</w:t>
      </w:r>
    </w:p>
    <w:p w14:paraId="17CAA2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提供半双向手工操作单条发往仪器</w:t>
      </w:r>
    </w:p>
    <w:p w14:paraId="2CE893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提供半双向手工操作批量发往仪器</w:t>
      </w:r>
    </w:p>
    <w:p w14:paraId="2BDFB3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提供未审核标本批量修改标本号</w:t>
      </w:r>
    </w:p>
    <w:p w14:paraId="57DBFE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提供批量删除无主/手工未审核标本</w:t>
      </w:r>
    </w:p>
    <w:p w14:paraId="00AAB8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提供耐受试验项目手工或者自动进行耐受合并</w:t>
      </w:r>
    </w:p>
    <w:p w14:paraId="761974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提供删除单个无主/手工未审核标本</w:t>
      </w:r>
    </w:p>
    <w:p w14:paraId="26F727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提供有主标本、手工标本置为无主</w:t>
      </w:r>
    </w:p>
    <w:p w14:paraId="3386E0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提供有主标本、手工标本浏览报告提供单个报告直接浏览</w:t>
      </w:r>
    </w:p>
    <w:p w14:paraId="2D3D50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提供有主标本、手工标本根据患者ID查询患者未审核、已发布、已打印报告</w:t>
      </w:r>
    </w:p>
    <w:p w14:paraId="53F1F3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提供标本核收后撤销核收</w:t>
      </w:r>
    </w:p>
    <w:p w14:paraId="2EEAB0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提供未审核标本新增指标</w:t>
      </w:r>
    </w:p>
    <w:p w14:paraId="63C64D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提供未审核有主标本、手工标本新增指标方案</w:t>
      </w:r>
    </w:p>
    <w:p w14:paraId="5C0765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提供发布人登录后允许审核报告</w:t>
      </w:r>
    </w:p>
    <w:p w14:paraId="39502B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提供打印单个已审报告</w:t>
      </w:r>
    </w:p>
    <w:p w14:paraId="666950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提供同一仪器原号复查、同一仪器不同标本号复查、不同仪器原号复查、不同仪器不同标本号复查</w:t>
      </w:r>
    </w:p>
    <w:p w14:paraId="0DAF12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提供未审核标本删除指标</w:t>
      </w:r>
    </w:p>
    <w:p w14:paraId="1F3DE1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提供根据住院患者信息进行病案查阅操作</w:t>
      </w:r>
    </w:p>
    <w:p w14:paraId="698A8B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提供检验指标结果互认的指标结果显示</w:t>
      </w:r>
    </w:p>
    <w:p w14:paraId="760B5C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提供快速录入或者检索患者进行手工申请</w:t>
      </w:r>
    </w:p>
    <w:p w14:paraId="6A86A4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提供已审有主标本进行补费</w:t>
      </w:r>
    </w:p>
    <w:p w14:paraId="2D9BE4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提供根据当前标本和时间范围查询患者费用明细</w:t>
      </w:r>
    </w:p>
    <w:p w14:paraId="51D873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提供未审镜检标本镜检结果处理</w:t>
      </w:r>
    </w:p>
    <w:p w14:paraId="52E907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提供根据上机仪器、检验指标、标本范围、修改比例条件进行批量修改结果</w:t>
      </w:r>
    </w:p>
    <w:p w14:paraId="421407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提供按照标本条码、门诊号、住院号、患者姓名或者采样时间查询标本记录</w:t>
      </w:r>
    </w:p>
    <w:p w14:paraId="2FF752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提供根据检验仪器、检验项目、上机时间查询自动审核相关信息</w:t>
      </w:r>
    </w:p>
    <w:p w14:paraId="4B4857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提供查询患者在HIS修改过患者基本信息、查询出患者修改信息后允许手工修改临生免相关基本信息</w:t>
      </w:r>
    </w:p>
    <w:p w14:paraId="53C93C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提供根据标本条码查询有主标本费用记录以及明细</w:t>
      </w:r>
    </w:p>
    <w:p w14:paraId="495373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提供根据仪器、时间、标本范围、频次查询指标结果以及结果分析图相关信息</w:t>
      </w:r>
    </w:p>
    <w:p w14:paraId="19F4BF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提供根据时间查询已审有主标本补费记录</w:t>
      </w:r>
    </w:p>
    <w:p w14:paraId="45AB2B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提供根据时间、项目、仪器查询患者项目记录提供导出患者项目记录数据</w:t>
      </w:r>
    </w:p>
    <w:p w14:paraId="76591A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提供根据拒收时间和拒收状态查询拒收记录提供拒收记录导出电子表格</w:t>
      </w:r>
    </w:p>
    <w:p w14:paraId="3A15AA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提供根据时间、操作状态、患者来源、执行科室、开单科室、检验小组、检验仪器、检验项目条件查询标本遗漏记录</w:t>
      </w:r>
    </w:p>
    <w:p w14:paraId="0DD2FA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提供根据时间查询定量指标、标本以及结果记录数据提供导出定量结果记录</w:t>
      </w:r>
    </w:p>
    <w:p w14:paraId="4719CF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提供根据时间查询患者申请项目记录提供导出患者申请项目记录数据</w:t>
      </w:r>
    </w:p>
    <w:p w14:paraId="1EF0C3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提供针对指标查看不同月份的结果趋势</w:t>
      </w:r>
    </w:p>
    <w:p w14:paraId="284BB5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提供自定义设置技师站相关参数</w:t>
      </w:r>
    </w:p>
    <w:p w14:paraId="5AA2EF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提供电子签名前下载证书安装</w:t>
      </w:r>
    </w:p>
    <w:p w14:paraId="5C370E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提供手工重启通讯</w:t>
      </w:r>
    </w:p>
    <w:p w14:paraId="2B35EF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提供手工设置联机仪器</w:t>
      </w:r>
    </w:p>
    <w:p w14:paraId="50A74B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提供按照不同小组批量设置常用仪器提供自由切换上机仪器</w:t>
      </w:r>
    </w:p>
    <w:p w14:paraId="1938B5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提供自动审核开关</w:t>
      </w:r>
    </w:p>
    <w:p w14:paraId="6FFD58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采集管理</w:t>
      </w:r>
    </w:p>
    <w:p w14:paraId="323053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提供根据标本条码号、就诊号、身份证号、姓名等条件检索采集任务</w:t>
      </w:r>
    </w:p>
    <w:p w14:paraId="01CEBB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提供未生成条码的标本生成条码</w:t>
      </w:r>
    </w:p>
    <w:p w14:paraId="714731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提供标本生成条码后打印条码</w:t>
      </w:r>
    </w:p>
    <w:p w14:paraId="23E4C1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提供标本生成条码后完成采集</w:t>
      </w:r>
    </w:p>
    <w:p w14:paraId="7A1885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提供生成条码的标本取消条码</w:t>
      </w:r>
    </w:p>
    <w:p w14:paraId="20B99D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提供技师手工录入或者通过就诊号检索进行患者检验申请</w:t>
      </w:r>
    </w:p>
    <w:p w14:paraId="226102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提供通过选择文件路径导入申请、导入申请后不产生条码、导入申请后自动生成条码、导入申请后自动生成条码并打印、导入申请产生条码后手动操作打印条码、自定义条码打印设置、下载导入模板</w:t>
      </w:r>
    </w:p>
    <w:p w14:paraId="2AADA9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提供根据申请时间、申请状态、开单科室、来源系统查询申请记录</w:t>
      </w:r>
    </w:p>
    <w:p w14:paraId="5F16B39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提供按照标本条码、门诊号、住院号、患者姓名或者采样时间查询标本记录</w:t>
      </w:r>
    </w:p>
    <w:p w14:paraId="0B4FF6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提供查询患者在HIS修改过患者基本信息、查询出患者修改信息后允许手工修改临生免相关基本信息</w:t>
      </w:r>
    </w:p>
    <w:p w14:paraId="7F2045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提供根据操作时间查询拆分和合并记录</w:t>
      </w:r>
    </w:p>
    <w:p w14:paraId="222D87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提供根据拒收时间和拒收状态查询拒收记录提供拒收记录导出电子表格</w:t>
      </w:r>
    </w:p>
    <w:p w14:paraId="5DB409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提供根据时间和项目查询，采集到门诊采集站主界面</w:t>
      </w:r>
    </w:p>
    <w:p w14:paraId="0ADFDC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提供根据采样时间查询已采集记录</w:t>
      </w:r>
    </w:p>
    <w:p w14:paraId="3FFDAA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提供自定义条码打印设置</w:t>
      </w:r>
    </w:p>
    <w:p w14:paraId="6DA3CA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提供自定义回执单打印设置</w:t>
      </w:r>
    </w:p>
    <w:p w14:paraId="28A7F0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患者任务来源参数设置控制界面采集任务查询限制条件、根据自动打印参数设置控制生成条码后是否自动打印条码和是否自动打印回执单、根据本机流程参数设置控制是否扫描两次自动生成条码和是否生成条</w:t>
      </w:r>
    </w:p>
    <w:p w14:paraId="561334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提供自定义采血窗口叫号设置</w:t>
      </w:r>
    </w:p>
    <w:p w14:paraId="6F295E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提供采血叫号功能进行常规管理</w:t>
      </w:r>
    </w:p>
    <w:p w14:paraId="6FA473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提供标本完成采集后统一送检标本</w:t>
      </w:r>
    </w:p>
    <w:p w14:paraId="5A3544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提供标本完成采集后取消采集</w:t>
      </w:r>
    </w:p>
    <w:p w14:paraId="507030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提供根据采样时间查询本人和本科室的采集工作量明细</w:t>
      </w:r>
    </w:p>
    <w:p w14:paraId="159458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提供选中采集工作量明细数据后重打回执单</w:t>
      </w:r>
    </w:p>
    <w:p w14:paraId="061554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提供标本拒收后重采或者批量重采</w:t>
      </w:r>
    </w:p>
    <w:p w14:paraId="3A6171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提供标本拒收后不处理或者批量不处理</w:t>
      </w:r>
    </w:p>
    <w:p w14:paraId="1B75CB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提供一个标本多个项目进行拆分后产生新标本</w:t>
      </w:r>
    </w:p>
    <w:p w14:paraId="03312A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提供满足合管规则或者采集拆分后的标本重新合并后产生新标本</w:t>
      </w:r>
    </w:p>
    <w:p w14:paraId="3F5AD9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提供根据申请时间、申请状态、开单科室、来源系统条件查询申请记录</w:t>
      </w:r>
    </w:p>
    <w:p w14:paraId="6CCEF8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提供一个标本单独拆分未收费项目后产生新标本</w:t>
      </w:r>
    </w:p>
    <w:p w14:paraId="325E2E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提供根据当前标本和时间范围查询患者费用明细</w:t>
      </w:r>
    </w:p>
    <w:p w14:paraId="749F48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p w14:paraId="49D3A9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提供根据核收时间和审核状态等条件查询报告数据</w:t>
      </w:r>
    </w:p>
    <w:p w14:paraId="43564A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提供针对勾选的报告进行打印</w:t>
      </w:r>
    </w:p>
    <w:p w14:paraId="52A7FA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提供自定义报告打印设置</w:t>
      </w:r>
    </w:p>
    <w:p w14:paraId="7B91AC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提供按照标本条码、门诊号、住院号、患者姓名或者采样时间查询标本记录</w:t>
      </w:r>
    </w:p>
    <w:p w14:paraId="5A910E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提供针对勾选的报告进行导出数据</w:t>
      </w:r>
    </w:p>
    <w:p w14:paraId="24B81E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提供根据时间、来源系统、标本条码、门诊号、住院号、患者姓名、来源、检验小组等过滤已发布以及已打印报告记录提供设置样式的报告进行报告浏览</w:t>
      </w:r>
    </w:p>
    <w:p w14:paraId="0F64D3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提供手工调整多音字</w:t>
      </w:r>
    </w:p>
    <w:p w14:paraId="5DEEF9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提供查阅门诊和住院患者电子病案</w:t>
      </w:r>
    </w:p>
    <w:p w14:paraId="48B136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提供单个和合并报告打印A4纸</w:t>
      </w:r>
    </w:p>
    <w:p w14:paraId="4E10BA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提供单个和批量打印已发布报告</w:t>
      </w:r>
    </w:p>
    <w:p w14:paraId="13D074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提供自定义报告打印设置</w:t>
      </w:r>
    </w:p>
    <w:p w14:paraId="1CE643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提供单个和批量生成电子文档</w:t>
      </w:r>
    </w:p>
    <w:p w14:paraId="1D0632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提供按照标本条码、门诊号、住院号、患者姓名或者采样时间查询标本记录</w:t>
      </w:r>
    </w:p>
    <w:p w14:paraId="1903C6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提供设置报告列表列显示</w:t>
      </w:r>
    </w:p>
    <w:p w14:paraId="215DCA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提供根据时间、标本条码、门诊号、住院号、姓名、就诊卡、年龄、标本号段、来源系统等查询已发布报告记录</w:t>
      </w:r>
    </w:p>
    <w:p w14:paraId="70F7A6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提供单个和批量打印已发布报告记录</w:t>
      </w:r>
    </w:p>
    <w:p w14:paraId="7E2A49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提供自定义报告打印设置</w:t>
      </w:r>
    </w:p>
    <w:p w14:paraId="450C47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提供单个和批量生成电子文档</w:t>
      </w:r>
    </w:p>
    <w:p w14:paraId="309E4A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提供按照不同小组批量设置常用仪器</w:t>
      </w:r>
    </w:p>
    <w:p w14:paraId="5D9FAB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提供发布人登录后允许审核报告提供审核单个有主标本、手工标本已出结果标本</w:t>
      </w:r>
    </w:p>
    <w:p w14:paraId="32974E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提供发布人登录后允许审核并打印报告</w:t>
      </w:r>
    </w:p>
    <w:p w14:paraId="34F5B6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提供查阅门诊和住院患者电子病案</w:t>
      </w:r>
    </w:p>
    <w:p w14:paraId="574860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提供手工设置报告样式</w:t>
      </w:r>
    </w:p>
    <w:p w14:paraId="196CCF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提供审核有主标本、手工标本后撤销审核</w:t>
      </w:r>
    </w:p>
    <w:p w14:paraId="33DFB2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提供自定义报告打印设置</w:t>
      </w:r>
    </w:p>
    <w:p w14:paraId="024ABF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提供手工设置报告样式</w:t>
      </w:r>
    </w:p>
    <w:p w14:paraId="4E6FFE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质控管理</w:t>
      </w:r>
    </w:p>
    <w:p w14:paraId="2F122E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提供使用最新靶值绘制质控图</w:t>
      </w:r>
    </w:p>
    <w:p w14:paraId="1A1565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提供使用Z分数图生成质控月度报告</w:t>
      </w:r>
    </w:p>
    <w:p w14:paraId="5A443B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提供失控点与在控、警告点保持连线</w:t>
      </w:r>
    </w:p>
    <w:p w14:paraId="680D88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提供是否显示靶值修改痕迹</w:t>
      </w:r>
    </w:p>
    <w:p w14:paraId="1EB84F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提供月度报告质控图是否显示质控值</w:t>
      </w:r>
    </w:p>
    <w:p w14:paraId="28C5C0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提供按医嘱执行状态变更节点提供水印设置</w:t>
      </w:r>
    </w:p>
    <w:p w14:paraId="61D9F7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提供不合管特殊项目类别提供检验项目指定仪器</w:t>
      </w:r>
    </w:p>
    <w:p w14:paraId="48F5B4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提供各种转运自动任务</w:t>
      </w:r>
    </w:p>
    <w:p w14:paraId="0CB8A2E8">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输血管理信息系统</w:t>
      </w:r>
    </w:p>
    <w:p w14:paraId="19FD34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用血计划</w:t>
      </w:r>
    </w:p>
    <w:p w14:paraId="0C07E0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提供可根据统计历史用血情况及用血量年平均增长情况自动评估估算当前年、月、日用血量计划，并可以此作为各类血液库存预警界限的设置依据</w:t>
      </w:r>
      <w:r>
        <w:rPr>
          <w:rFonts w:hint="eastAsia" w:ascii="华文中宋" w:hAnsi="华文中宋" w:eastAsia="华文中宋" w:cs="华文中宋"/>
          <w:color w:val="auto"/>
          <w:highlight w:val="none"/>
        </w:rPr>
        <w:tab/>
      </w:r>
    </w:p>
    <w:p w14:paraId="5CD6EF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血液预订</w:t>
      </w:r>
    </w:p>
    <w:p w14:paraId="6EBB93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提供可根据库存实际量和预警线自动产生需要补充预定的血液品种和数量，以此作为向血站预定输液的依据。</w:t>
      </w:r>
    </w:p>
    <w:p w14:paraId="54532A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血液入库</w:t>
      </w:r>
    </w:p>
    <w:p w14:paraId="15E54A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提供血站发血的手工入库和核对入库。</w:t>
      </w:r>
    </w:p>
    <w:p w14:paraId="1F13CA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提供对于贮存式自体输血，可对采集的病人自体血液进行入库，并记录对应的病人信息，及血液的血型、采集日期、保存位置等信息，一个病人多次采血时，可进行多次的采血记录。</w:t>
      </w:r>
    </w:p>
    <w:p w14:paraId="7C2517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提供对调用其他医疗机构的血液供本院使用时，可对调入的血液记录来源、条码、血液信息等，并补充本地库存。</w:t>
      </w:r>
    </w:p>
    <w:p w14:paraId="777582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提供对入库未使用的血液，若允许退回时，可对血液退回发出机构，并减少库存。</w:t>
      </w:r>
    </w:p>
    <w:p w14:paraId="0FA214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血液出库</w:t>
      </w:r>
    </w:p>
    <w:p w14:paraId="6A1286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提供调血出库，提供上传调血凭证图片存档。</w:t>
      </w:r>
    </w:p>
    <w:p w14:paraId="62D30E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提供其他出库，对血液采用其他出库方式出库</w:t>
      </w:r>
    </w:p>
    <w:p w14:paraId="2137EF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退血管理</w:t>
      </w:r>
    </w:p>
    <w:p w14:paraId="556F7E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提供退血到血站的管理，提供退血到调血医院，提供调血医院退回到本院</w:t>
      </w:r>
    </w:p>
    <w:p w14:paraId="012B50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血液报废</w:t>
      </w:r>
    </w:p>
    <w:p w14:paraId="730A4A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提供对血袋报废进行相应管理记录</w:t>
      </w:r>
    </w:p>
    <w:p w14:paraId="2D54D7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血液回收</w:t>
      </w:r>
    </w:p>
    <w:p w14:paraId="47554B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提供病区回收</w:t>
      </w:r>
    </w:p>
    <w:p w14:paraId="23A501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提供输血科回收</w:t>
      </w:r>
    </w:p>
    <w:p w14:paraId="4CFD58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输血前评估</w:t>
      </w:r>
    </w:p>
    <w:p w14:paraId="127EEE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提供在进行用血申请时，根据输血目的和选用的输血品种的不同，自动提取需要的输血前检验结果和血型结果，及相关的评估项内容供临床选择。</w:t>
      </w:r>
    </w:p>
    <w:p w14:paraId="2827DE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提供无相关检验记录的进行提示并禁止申请，并检查其评估项是否符合输血适应证并进行提示。</w:t>
      </w:r>
    </w:p>
    <w:p w14:paraId="0EC901A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临床用血申请</w:t>
      </w:r>
    </w:p>
    <w:p w14:paraId="6EB1C8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提供临床治疗用血、择期手术用血的申请单下达，可自动获取病人的基本信息，并可录入输血目的、用血品种、用血量等输血相关信息，并自动提交至审核环节。</w:t>
      </w:r>
    </w:p>
    <w:p w14:paraId="6D89D6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提供对紧急用血的申请，并依据紧急程度的不同，可提示并规范血库进行的不同后续操作。</w:t>
      </w:r>
    </w:p>
    <w:p w14:paraId="42D880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自体输血申请</w:t>
      </w:r>
    </w:p>
    <w:p w14:paraId="286468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提供对贮存式自体输血进行申请</w:t>
      </w:r>
    </w:p>
    <w:p w14:paraId="73AE83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术中自体输血记录</w:t>
      </w:r>
    </w:p>
    <w:p w14:paraId="7465B2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提供术中开展的回收式和稀释式自体输血</w:t>
      </w:r>
    </w:p>
    <w:p w14:paraId="18629F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采集标本</w:t>
      </w:r>
    </w:p>
    <w:p w14:paraId="3CD536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提供检验采集标本模式，检验采集标本后输血系统进行绑定标本后进行相关鉴定，配血。</w:t>
      </w:r>
    </w:p>
    <w:p w14:paraId="459A5D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提供输血系统打印条码采集标本，用于后续配血等流程。</w:t>
      </w:r>
    </w:p>
    <w:p w14:paraId="0249E7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用血审核</w:t>
      </w:r>
    </w:p>
    <w:p w14:paraId="502BDE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提供根据用血量的不同，使用不同人员参与的多级审核制度，可自行设置用血量的多个标准，及每个标准下需要参与审核的人员。</w:t>
      </w:r>
    </w:p>
    <w:p w14:paraId="31EFEF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异体血核收</w:t>
      </w:r>
    </w:p>
    <w:p w14:paraId="6B17AB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提供根据临床提交的申请单，对输血申请进行核收；可根据查看输血前评估以及申请单进行核收或拒收。</w:t>
      </w:r>
    </w:p>
    <w:p w14:paraId="2C8518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自体血核收</w:t>
      </w:r>
    </w:p>
    <w:p w14:paraId="559B90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提供临床提交的自体血申请进行核收或拒收。</w:t>
      </w:r>
    </w:p>
    <w:p w14:paraId="43CE17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血液相容性检测</w:t>
      </w:r>
    </w:p>
    <w:p w14:paraId="14AA4A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提供对需要采集标本重新做相容性检测的申请，可对临床采集的标本进行核收登记，并检查记录其标本质量情况。</w:t>
      </w:r>
    </w:p>
    <w:p w14:paraId="70734A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提供根据申请使用的血液品种自动判断需要进行的操作流程和方法</w:t>
      </w:r>
    </w:p>
    <w:p w14:paraId="64E058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对病人血型进行复核记录。</w:t>
      </w:r>
    </w:p>
    <w:p w14:paraId="0878D7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提供根据申请的血液品种判断是否进行交叉配血环节</w:t>
      </w:r>
    </w:p>
    <w:p w14:paraId="33ADEB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提供通过输血申请评估病人存在输血史、妊娠史、多次输血时，或交叉配血不合时，提示须进行不规则抗体筛查，并对过程和结果进行记录。若不规则抗体筛查为阳性，还可进行抗体鉴定的结果记录</w:t>
      </w:r>
    </w:p>
    <w:p w14:paraId="6EF637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提供疑难配血院内不能得到相容性结果时，可申请其他医疗机构进行配血。</w:t>
      </w:r>
    </w:p>
    <w:p w14:paraId="56812F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提供录外部配血的结果，并将对应相合的血液进行入库，同时和用血申请关联，血液用于指定病人。</w:t>
      </w:r>
    </w:p>
    <w:p w14:paraId="3A19B1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提供检测后的标本，按要求需要进行保存一段时间，可对标本进行存储登记，并在超过时效后进行提示，进行销毁处理和记录</w:t>
      </w:r>
    </w:p>
    <w:p w14:paraId="0B08E3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提供对完成备血后无需使用的血袋操作结束用血</w:t>
      </w:r>
    </w:p>
    <w:p w14:paraId="66DFB0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血液发放</w:t>
      </w:r>
    </w:p>
    <w:p w14:paraId="5621CB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提供审核后的临床用血申请，可由临床打印领血单，并凭领血单至血库进行领血，和血库双方共同核对血液质量情况并进行记录。可通过扫描血袋条码进行血液的核对。</w:t>
      </w:r>
    </w:p>
    <w:p w14:paraId="355A6D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提供由血库采集保存的自体血，在临床领用时双方共同进行核对，并对双方进行记录。</w:t>
      </w:r>
    </w:p>
    <w:p w14:paraId="5A9B77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提供对紧急用血的申请，可根据紧急程度及患者血型情况自动提示可用的相容血液和后续操作</w:t>
      </w:r>
    </w:p>
    <w:p w14:paraId="5E0D02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提供对危急的情况可直接进行危急发血，后续补充申请流程。</w:t>
      </w:r>
    </w:p>
    <w:p w14:paraId="1E2712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疑难配血记录</w:t>
      </w:r>
    </w:p>
    <w:p w14:paraId="559D65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提供针对患者的血液标本通过血型鉴定以及交叉配血过程中，发现是疑难配血的情况，进行标记；标记后通过疑难配血记录进行[申请外配血液]送检。</w:t>
      </w:r>
    </w:p>
    <w:p w14:paraId="4A6349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提供疑难配血界面查看血型鉴定以及配血操作</w:t>
      </w:r>
    </w:p>
    <w:p w14:paraId="457E4B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提供对送检后血站下发的血液进行定向的血站配血入库。</w:t>
      </w:r>
    </w:p>
    <w:p w14:paraId="3A4574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提供标记疑难配血后，该患者进行特殊标识，满足后续该患者再次输血能直观的知晓患者的情况。</w:t>
      </w:r>
    </w:p>
    <w:p w14:paraId="7D0387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不良反应记录</w:t>
      </w:r>
    </w:p>
    <w:p w14:paraId="447594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提供当患者输血出现输血反应时，临床医师或输血科可进行不良反应的登记填报，提供标准化的数据进行选择快速填报。</w:t>
      </w:r>
    </w:p>
    <w:p w14:paraId="129D45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提供当患者再次输血时，可自动提示患者有输血不良反应史</w:t>
      </w:r>
    </w:p>
    <w:p w14:paraId="78BD54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血液接收</w:t>
      </w:r>
    </w:p>
    <w:p w14:paraId="77D103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提供输血科血液发放后，病区进行血液接收，接收时提供双人核对；</w:t>
      </w:r>
    </w:p>
    <w:p w14:paraId="66D1A1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输血执行</w:t>
      </w:r>
    </w:p>
    <w:p w14:paraId="7E9283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提供开始输血时双人核对签名，对输血基础情况进行记录</w:t>
      </w:r>
    </w:p>
    <w:p w14:paraId="107783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提供输血过程中巡视记录填写记录。</w:t>
      </w:r>
    </w:p>
    <w:p w14:paraId="68BACE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提供开始输血前巡视记录填写</w:t>
      </w:r>
    </w:p>
    <w:p w14:paraId="1A5B23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变更执行科室</w:t>
      </w:r>
    </w:p>
    <w:p w14:paraId="2D3DEB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提供患者输血过程中血液还未输完的情况下，患者变更科室，输血血袋进行变更</w:t>
      </w:r>
    </w:p>
    <w:p w14:paraId="7E41AC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输血后评估</w:t>
      </w:r>
    </w:p>
    <w:p w14:paraId="67D646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提供可自动采集患者输血后24小时（或其他时限）内的各项检验指标结果，并比对输血前记录，供临床医生参考在病历中输血效果评价。</w:t>
      </w:r>
    </w:p>
    <w:p w14:paraId="779827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不良反应回报</w:t>
      </w:r>
    </w:p>
    <w:p w14:paraId="3372B6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提供对不良反应情况进行回报，回报内容填写后提供回报单的预览和打印。</w:t>
      </w:r>
    </w:p>
    <w:p w14:paraId="350118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血液信息</w:t>
      </w:r>
    </w:p>
    <w:p w14:paraId="360935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提供对血液基础信息维护，根据院内的所有品种进行维护，以及血液对应可收取的费用进行设置，设置后发血时自动进行记账。</w:t>
      </w:r>
    </w:p>
    <w:p w14:paraId="096498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存储位置管理</w:t>
      </w:r>
    </w:p>
    <w:p w14:paraId="0E8438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提供可维护血液保存的物理位置和环境条件，并在血液入库时，可选择记录其相关的存储位置。</w:t>
      </w:r>
    </w:p>
    <w:p w14:paraId="7ED299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检验方案管理</w:t>
      </w:r>
    </w:p>
    <w:p w14:paraId="0E8184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提供对血型鉴定的常用鉴定方案进行提前创建，费用绑定，便于血型鉴定时直接选择相应成套方案并进行计费；</w:t>
      </w:r>
    </w:p>
    <w:p w14:paraId="1F76C7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提供对交叉配血的常用鉴定方案进行提前创建，费用绑定，便于交叉配血时直接选择相应成套方案并进行计费；</w:t>
      </w:r>
    </w:p>
    <w:p w14:paraId="6BD470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提供建立检验结果的规则库，实现血型鉴定时选择相应结果值后直接生成最终的血型鉴定结果。</w:t>
      </w:r>
    </w:p>
    <w:p w14:paraId="0D69AE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输血评估</w:t>
      </w:r>
    </w:p>
    <w:p w14:paraId="3C64F5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提供输血前评估和输血后评估的评估内容自定义</w:t>
      </w:r>
    </w:p>
    <w:p w14:paraId="47FB5C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提供根据不同患者申请不同成分或品种的血液实现评估内容差异化设置，并设置默认值，实现临床医生完成评估。</w:t>
      </w:r>
    </w:p>
    <w:p w14:paraId="54EDF8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合理用血规则</w:t>
      </w:r>
    </w:p>
    <w:p w14:paraId="245346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提供自定义用血规则，对不同的评估场景、检验结果范围、评估项目自动生成评估结果的合理性。</w:t>
      </w:r>
    </w:p>
    <w:p w14:paraId="16D35C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库存预警</w:t>
      </w:r>
    </w:p>
    <w:p w14:paraId="0D8DBB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提供可按照用血计划或手工设置各血液品种的库存水平和预警界限，并可按照库存积压、正常、偏少、紧缺等多级设置界限，当库存在对应界限时，给出对应的提示或标识。</w:t>
      </w:r>
    </w:p>
    <w:p w14:paraId="3A5598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提供可按照血液的有效期，及时的对近过期线的血液进行预警提示。</w:t>
      </w:r>
    </w:p>
    <w:p w14:paraId="3B3D8B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血辩管理</w:t>
      </w:r>
    </w:p>
    <w:p w14:paraId="2CDACB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提供根据成分定义是否进行血辩管理。</w:t>
      </w:r>
    </w:p>
    <w:p w14:paraId="745537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提供记录血辩处置人、处置时间以及处置方式，且处置方式提供自定义。</w:t>
      </w:r>
    </w:p>
    <w:p w14:paraId="0E314B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血型分布</w:t>
      </w:r>
    </w:p>
    <w:p w14:paraId="0F4A02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提供查看所有住院病人的血型分布情况</w:t>
      </w:r>
    </w:p>
    <w:p w14:paraId="3F822B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提供查看输血病人的血型分布情况</w:t>
      </w:r>
    </w:p>
    <w:p w14:paraId="6A3421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结束用血记录</w:t>
      </w:r>
    </w:p>
    <w:p w14:paraId="0EE247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提供对完成备血后，临床或者输血科申请或者审核的结束用血记录进行审核和取消审核。</w:t>
      </w:r>
    </w:p>
    <w:p w14:paraId="529BD934">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放射检查信息系统</w:t>
      </w:r>
    </w:p>
    <w:p w14:paraId="4A395F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预约登记工作站</w:t>
      </w:r>
    </w:p>
    <w:p w14:paraId="25BAE8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提供患者信息登记管理</w:t>
      </w:r>
    </w:p>
    <w:p w14:paraId="28EA1B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提供患者预约管理</w:t>
      </w:r>
    </w:p>
    <w:p w14:paraId="13D5C2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技师工作站</w:t>
      </w:r>
    </w:p>
    <w:p w14:paraId="745A66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提供同时多个DICOM影像设备的图像接收。</w:t>
      </w:r>
    </w:p>
    <w:p w14:paraId="219608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提供根据不同的影像设备配置接收的优先级。</w:t>
      </w:r>
    </w:p>
    <w:p w14:paraId="020141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提供多个不同IP段的影像设备，无需统一IP。</w:t>
      </w:r>
    </w:p>
    <w:p w14:paraId="7FAC1B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提供有条件的Q/R操作。</w:t>
      </w:r>
    </w:p>
    <w:p w14:paraId="7CA3A1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提供具备DICOM网段和图像处理终端物理隔离设计。</w:t>
      </w:r>
    </w:p>
    <w:p w14:paraId="095D43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提供存储同步转发到后备存储。</w:t>
      </w:r>
    </w:p>
    <w:p w14:paraId="1365D5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提供JPEG2000的灰度图像无损压缩和解压功能。</w:t>
      </w:r>
    </w:p>
    <w:p w14:paraId="51059E2A">
      <w:pPr>
        <w:rPr>
          <w:rFonts w:hint="eastAsia" w:ascii="华文中宋" w:hAnsi="华文中宋" w:eastAsia="华文中宋" w:cs="华文中宋"/>
          <w:color w:val="auto"/>
          <w:highlight w:val="none"/>
        </w:rPr>
      </w:pPr>
      <w:r>
        <w:rPr>
          <w:rFonts w:hint="eastAsia" w:ascii="华文中宋" w:hAnsi="华文中宋" w:eastAsia="华文中宋" w:cs="华文中宋"/>
          <w:color w:val="000000" w:themeColor="text1"/>
          <w:highlight w:val="none"/>
          <w:lang w:val="en-US" w:eastAsia="zh-CN"/>
          <w14:textFill>
            <w14:solidFill>
              <w14:schemeClr w14:val="tx1"/>
            </w14:solidFill>
          </w14:textFill>
        </w:rPr>
        <w:t>具备</w:t>
      </w:r>
      <w:r>
        <w:rPr>
          <w:rFonts w:hint="eastAsia" w:ascii="华文中宋" w:hAnsi="华文中宋" w:eastAsia="华文中宋" w:cs="华文中宋"/>
          <w:color w:val="000000" w:themeColor="text1"/>
          <w:highlight w:val="none"/>
          <w14:textFill>
            <w14:solidFill>
              <w14:schemeClr w14:val="tx1"/>
            </w14:solidFill>
          </w14:textFill>
        </w:rPr>
        <w:t>数据迁移</w:t>
      </w:r>
      <w:r>
        <w:rPr>
          <w:rFonts w:hint="eastAsia" w:ascii="华文中宋" w:hAnsi="华文中宋" w:eastAsia="华文中宋" w:cs="华文中宋"/>
          <w:color w:val="000000" w:themeColor="text1"/>
          <w:highlight w:val="none"/>
          <w:lang w:val="en-US" w:eastAsia="zh-CN"/>
          <w14:textFill>
            <w14:solidFill>
              <w14:schemeClr w14:val="tx1"/>
            </w14:solidFill>
          </w14:textFill>
        </w:rPr>
        <w:t>的功能</w:t>
      </w:r>
      <w:r>
        <w:rPr>
          <w:rFonts w:hint="eastAsia" w:ascii="华文中宋" w:hAnsi="华文中宋" w:eastAsia="华文中宋" w:cs="华文中宋"/>
          <w:color w:val="auto"/>
          <w:highlight w:val="none"/>
        </w:rPr>
        <w:t>。</w:t>
      </w:r>
    </w:p>
    <w:p w14:paraId="35A897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提供跨物理磁盘，在一个磁盘上跨目录的图像文件存储，确保文件系统的高效率。</w:t>
      </w:r>
    </w:p>
    <w:p w14:paraId="42109D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提供每日自动数据打包和刻录光盘。</w:t>
      </w:r>
    </w:p>
    <w:p w14:paraId="7EDFB8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提供每日自动数据打包，并可以进行刻录光盘。</w:t>
      </w:r>
    </w:p>
    <w:p w14:paraId="035F08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提供将超过水线的图像自动迁移到近线存储管理中。</w:t>
      </w:r>
    </w:p>
    <w:p w14:paraId="3E9955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提供自动将从近线存储回溯的图像在超过时限的情况下从在线存储移除。</w:t>
      </w:r>
    </w:p>
    <w:p w14:paraId="161DB3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提供通过DICOM Q/R或者内部协议访问将长期打包的数据拆解到在线存储管理。</w:t>
      </w:r>
    </w:p>
    <w:p w14:paraId="3EC242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提供近线存储使用独立的数据库，每个Study仅占用一条记录，全部图像打包存储，并从在线系统中移除，使在线系统始终保持高效率。</w:t>
      </w:r>
    </w:p>
    <w:p w14:paraId="2E1C39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提供DICOM Gray Scale Presentation Status浏览状态的保存和传输。</w:t>
      </w:r>
    </w:p>
    <w:p w14:paraId="3FBABD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提供DICOM OVERLAY信息的表达。</w:t>
      </w:r>
    </w:p>
    <w:p w14:paraId="35079E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提供各类无损压缩格式的解压功能。</w:t>
      </w:r>
    </w:p>
    <w:p w14:paraId="4BB9C3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提供从设备上传出的DICOM SR信息的表达。</w:t>
      </w:r>
    </w:p>
    <w:p w14:paraId="059D95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提供窗宽、窗位调整、放大、漫游、图像翻转和负片操作。</w:t>
      </w:r>
    </w:p>
    <w:p w14:paraId="0C8AD7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提供各种面积、直方图、长度和角度测量工具。</w:t>
      </w:r>
    </w:p>
    <w:p w14:paraId="62AB6A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提供心胸比的测量。</w:t>
      </w:r>
    </w:p>
    <w:p w14:paraId="1A7C29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提供针对不同类型的图像，界面提供不同的工具栏和鼠标右键功能。</w:t>
      </w:r>
    </w:p>
    <w:p w14:paraId="0E1173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提供伪彩功能。</w:t>
      </w:r>
    </w:p>
    <w:p w14:paraId="6883ED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提供局部放大镜和自动窗位显示。</w:t>
      </w:r>
    </w:p>
    <w:p w14:paraId="3357FE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提供根据圈定区域自动设定窗宽、窗位。</w:t>
      </w:r>
    </w:p>
    <w:p w14:paraId="54F8E2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提供图像显示区域四角标注定制中文显示。</w:t>
      </w:r>
    </w:p>
    <w:p w14:paraId="54A98B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提供序列切换的便捷操作，可以通过左右键实现在切换不同的序列。</w:t>
      </w:r>
    </w:p>
    <w:p w14:paraId="68B676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提供在一个序列中平铺本序列所有图像。</w:t>
      </w:r>
    </w:p>
    <w:p w14:paraId="1A3A92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提供用滚动的方式查阅序列中图像。</w:t>
      </w:r>
    </w:p>
    <w:p w14:paraId="153232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提供CR/DR图像，实现长骨多幅图像的无缝拼接功能。</w:t>
      </w:r>
    </w:p>
    <w:p w14:paraId="5729B7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提供组织均衡化图像增强功能。</w:t>
      </w:r>
    </w:p>
    <w:p w14:paraId="77482E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提供针对CT/MR图像，实现自动计算定位线，并可选取定位线来选取图像。</w:t>
      </w:r>
    </w:p>
    <w:p w14:paraId="29DA35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提供对比和成组图像的操作。</w:t>
      </w:r>
    </w:p>
    <w:p w14:paraId="63F0B0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提供按扫描周期来进行序列的自动拆分和显示。</w:t>
      </w:r>
    </w:p>
    <w:p w14:paraId="4D80A6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提供CT图像的椎体自动定位功能。</w:t>
      </w:r>
    </w:p>
    <w:p w14:paraId="5113A6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提供MR图像的交叉定位功能。</w:t>
      </w:r>
    </w:p>
    <w:p w14:paraId="6C03FE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提供MPR和MIP功能。</w:t>
      </w:r>
    </w:p>
    <w:p w14:paraId="207E83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提供MPR下的直接切割功能。</w:t>
      </w:r>
    </w:p>
    <w:p w14:paraId="36EB54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提供针对DSA图像，实现多种减影模式的减影功能。</w:t>
      </w:r>
    </w:p>
    <w:p w14:paraId="22171C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提供序列拆解到单帧或者组成新电影。</w:t>
      </w:r>
    </w:p>
    <w:p w14:paraId="02DD18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提供导管定标和血管狭窄测量功能。</w:t>
      </w:r>
    </w:p>
    <w:p w14:paraId="03246D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实现左心功能分析。</w:t>
      </w:r>
    </w:p>
    <w:p w14:paraId="3F1973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针对乳腺图像，实现自动钙化点寻找。</w:t>
      </w:r>
    </w:p>
    <w:p w14:paraId="0F3C80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提供多种挂片协议，并一键在预设的协议间切换。</w:t>
      </w:r>
    </w:p>
    <w:p w14:paraId="348E9C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提供在图像处理窗口和照相窗口间拖拽图像。</w:t>
      </w:r>
    </w:p>
    <w:p w14:paraId="1520F8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提供在照相窗口中通过拖拽调整图像的顺序。</w:t>
      </w:r>
    </w:p>
    <w:p w14:paraId="5C682B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提供在照相窗口中进行缩放、漫游和调窗的处理。</w:t>
      </w:r>
    </w:p>
    <w:p w14:paraId="5F8C20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提供多个患者在一张胶片上的排版。</w:t>
      </w:r>
    </w:p>
    <w:p w14:paraId="10CBBC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可方便地选择胶片模式和目标激光相机。</w:t>
      </w:r>
    </w:p>
    <w:p w14:paraId="1DF85C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提供当激光相机故障时，可先打印至服务器，激光相机回复后自动打印胶片。</w:t>
      </w:r>
    </w:p>
    <w:p w14:paraId="33487E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提供胶片信息全中文显示。</w:t>
      </w:r>
    </w:p>
    <w:p w14:paraId="544246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提供将患者照相的状态记录下来发给RIS系统。</w:t>
      </w:r>
    </w:p>
    <w:p w14:paraId="01FD85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提供识别从PACS系统工作站、OCR识别模式的DICOM PRINT数据流。</w:t>
      </w:r>
    </w:p>
    <w:p w14:paraId="1393BE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提供电子胶片自动打包、存贮，根据配置可以选择是否自动转发到DICOM相机，打印物理胶片。</w:t>
      </w:r>
    </w:p>
    <w:p w14:paraId="276358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高效可配置的识别算法，可以智能识别出不同类型胶片中的患者基本信息。</w:t>
      </w:r>
    </w:p>
    <w:p w14:paraId="6A750A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提供在照相的DICOM PRINT数据流中插入PID、Accession NO等私有单元，便于服务器识别。</w:t>
      </w:r>
    </w:p>
    <w:p w14:paraId="451931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可根据识别的患者编号自动提取RIS患者详细信息，并进行信息核对。</w:t>
      </w:r>
    </w:p>
    <w:p w14:paraId="72BEC0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提供记录打印源、胶片类型、分格、数量、状态等信息，以备统计。</w:t>
      </w:r>
    </w:p>
    <w:p w14:paraId="67936C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提供根据预配置的策略进行数据循环删除或进行光盘刻录备份。</w:t>
      </w:r>
    </w:p>
    <w:p w14:paraId="31723B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提供电子胶片预览，提供缩放、放大镜、翻转、镜像等功能。</w:t>
      </w:r>
    </w:p>
    <w:p w14:paraId="702C55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提供患者信息编辑。</w:t>
      </w:r>
    </w:p>
    <w:p w14:paraId="6D21C3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提供按需打印胶片，可以根据配置自动选择相机，也可以手工指定相机。</w:t>
      </w:r>
    </w:p>
    <w:p w14:paraId="2C4051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提供图像重新组织DICOM标准格式并发送。</w:t>
      </w:r>
    </w:p>
    <w:p w14:paraId="2BC206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提供记录打印时间、操作人员、状态等信息。</w:t>
      </w:r>
    </w:p>
    <w:p w14:paraId="0CA17B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提供电子胶片预览，提供缩放、放大镜、翻转、镜像等功能。</w:t>
      </w:r>
    </w:p>
    <w:p w14:paraId="0D713C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提供患者胶片信息确认，提供患者编号修改及RIS信息核对工具。</w:t>
      </w:r>
    </w:p>
    <w:p w14:paraId="34F807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提供通过RIS的传参调用自动打印相关患者/相关检查的胶片。</w:t>
      </w:r>
    </w:p>
    <w:p w14:paraId="0D93C5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提供返回该患者、该次检查的胶片数量。</w:t>
      </w:r>
    </w:p>
    <w:p w14:paraId="6589E2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提供反馈给RIS系统本次胶片打印的状态。</w:t>
      </w:r>
    </w:p>
    <w:p w14:paraId="4FE891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提供统计科室每种胶片的消耗量和总成本金额。</w:t>
      </w:r>
    </w:p>
    <w:p w14:paraId="2022CB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提供统计每种影像设备的胶片消耗量和总成本金额。</w:t>
      </w:r>
    </w:p>
    <w:p w14:paraId="0C98EF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条码流程管理</w:t>
      </w:r>
    </w:p>
    <w:p w14:paraId="138E74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提供胶片自动打印条码，方便胶片管理的全程物流识别。</w:t>
      </w:r>
    </w:p>
    <w:p w14:paraId="739BFC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提供在胶片上打印含有患者信息的条码。</w:t>
      </w:r>
    </w:p>
    <w:p w14:paraId="4E8CC6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p w14:paraId="6166B4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提供报告模板管理</w:t>
      </w:r>
    </w:p>
    <w:p w14:paraId="546EC8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提供浏览图像和报告预览</w:t>
      </w:r>
    </w:p>
    <w:p w14:paraId="21CC91E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医学影像管理系统</w:t>
      </w:r>
    </w:p>
    <w:p w14:paraId="03913F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临床影像浏览系统</w:t>
      </w:r>
    </w:p>
    <w:p w14:paraId="1EDE42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提供临床科室调阅图像及报告 </w:t>
      </w:r>
    </w:p>
    <w:p w14:paraId="2E320B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提供全院影像查询及报告 </w:t>
      </w:r>
    </w:p>
    <w:p w14:paraId="1A0AA0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提供临床科室打印报告。</w:t>
      </w:r>
    </w:p>
    <w:p w14:paraId="3FA669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提供历史图像调阅</w:t>
      </w:r>
    </w:p>
    <w:p w14:paraId="35AF37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提供记录检查的所有检查流程</w:t>
      </w:r>
    </w:p>
    <w:p w14:paraId="20FAD4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设备联机</w:t>
      </w:r>
    </w:p>
    <w:p w14:paraId="5AB5B2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提供检查设备与系统的联机功能</w:t>
      </w:r>
    </w:p>
    <w:p w14:paraId="392331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提供离线采集功能。</w:t>
      </w:r>
    </w:p>
    <w:p w14:paraId="6A2F8B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危急值管理</w:t>
      </w:r>
    </w:p>
    <w:p w14:paraId="728C61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提供临床医学影像系统危急值醒目标识。</w:t>
      </w:r>
    </w:p>
    <w:p w14:paraId="63DC89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提供危急值反馈到临床医生</w:t>
      </w:r>
    </w:p>
    <w:p w14:paraId="5B250C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提供危急值反馈方式登记</w:t>
      </w:r>
    </w:p>
    <w:p w14:paraId="79295E84">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超声检查信息系统</w:t>
      </w:r>
    </w:p>
    <w:p w14:paraId="2ADAA4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检查预约及登记</w:t>
      </w:r>
    </w:p>
    <w:p w14:paraId="14BB4B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提供护士站进行预约操作</w:t>
      </w:r>
    </w:p>
    <w:p w14:paraId="27895F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提供预约时间调整</w:t>
      </w:r>
    </w:p>
    <w:p w14:paraId="3ACB33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提供取消预约后重新预约</w:t>
      </w:r>
    </w:p>
    <w:p w14:paraId="24E9AE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超声设备联机</w:t>
      </w:r>
    </w:p>
    <w:p w14:paraId="351904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提供超声设备与系统的联机功能</w:t>
      </w:r>
    </w:p>
    <w:p w14:paraId="1DAFE8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提供采集图像到本地，然后从本地导入到病人。</w:t>
      </w:r>
    </w:p>
    <w:p w14:paraId="2F6E31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提供离线采集功能。</w:t>
      </w:r>
    </w:p>
    <w:p w14:paraId="02A5C8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提供在书写报告的同时采集图像到另外一个病人上。</w:t>
      </w:r>
    </w:p>
    <w:p w14:paraId="7BFBC2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提供在不关闭上一个患者的情况下，直接采集下一个患者，等上一个患者回来后继续采集图像。</w:t>
      </w:r>
    </w:p>
    <w:p w14:paraId="71D3FB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提供多种采集卡型号。</w:t>
      </w:r>
    </w:p>
    <w:p w14:paraId="0B7C43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提供静态图像采集数量无限制。</w:t>
      </w:r>
    </w:p>
    <w:p w14:paraId="585E2B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提供动态采集，动态采集图像数量仅受本地硬盘空间限制。</w:t>
      </w:r>
    </w:p>
    <w:p w14:paraId="4BEA26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提供键盘快捷键采集、鼠标采集、门铃采集、脚踏采集和采集器采集等多种方式触发采集。</w:t>
      </w:r>
    </w:p>
    <w:p w14:paraId="0A54B4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提供进行图像处理功能。</w:t>
      </w:r>
    </w:p>
    <w:p w14:paraId="1F3BA3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提供图像导入导出功能，方便进行纠错。</w:t>
      </w:r>
    </w:p>
    <w:p w14:paraId="278D83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p w14:paraId="3176C9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提供在患者管理、报告编辑、打印界面下均可以采集图像，无需到特定的窗口采集图像。</w:t>
      </w:r>
    </w:p>
    <w:p w14:paraId="60C9B6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提供收到图像后有声音提示，避免了采集图像的丢失。</w:t>
      </w:r>
    </w:p>
    <w:p w14:paraId="0CD6F3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提供新收到的图像可自动添加到打印区域，以减少医生操作。</w:t>
      </w:r>
    </w:p>
    <w:p w14:paraId="2BB061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提供图像收到后即时显示在界面中，直观明了。</w:t>
      </w:r>
    </w:p>
    <w:p w14:paraId="5BA59F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提供图像保存为DICOM格式。</w:t>
      </w:r>
    </w:p>
    <w:p w14:paraId="630482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提供视角、报告编辑、登记、叫号均在一个模块中直接完成操作。</w:t>
      </w:r>
    </w:p>
    <w:p w14:paraId="332F52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提供针对记录员、报告人同时记录功能。</w:t>
      </w:r>
    </w:p>
    <w:p w14:paraId="77E398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提供通过点击列表患者，实时显示报告和图像。</w:t>
      </w:r>
    </w:p>
    <w:p w14:paraId="196B6F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提供高级检索界面进行细致、精确的搜索。</w:t>
      </w:r>
    </w:p>
    <w:p w14:paraId="1827DA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提供同一份报告多次修改的痕迹对比。</w:t>
      </w:r>
    </w:p>
    <w:p w14:paraId="5FF7F8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提供同一份报告历次修改的日志显示。</w:t>
      </w:r>
    </w:p>
    <w:p w14:paraId="414EA1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提供直接获取患者的电子病历和医嘱信息、检验报告、费用信息等。</w:t>
      </w:r>
    </w:p>
    <w:p w14:paraId="6C7A2D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提供通过外部调用，以WEB形式浏览其他影像科室历史检查及报告。</w:t>
      </w:r>
    </w:p>
    <w:p w14:paraId="650323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提供历史检查图像和报告查看，及检查状态变迁过程并编辑本次检查的标签。</w:t>
      </w:r>
    </w:p>
    <w:p w14:paraId="485B7F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提供诊室内分诊模块、可对本诊室的多患者有序检查。</w:t>
      </w:r>
    </w:p>
    <w:p w14:paraId="45A7E1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提供直接点击下一个按钮进行顺序检查。</w:t>
      </w:r>
    </w:p>
    <w:p w14:paraId="7F9703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提供报告模板树形管理结构，可根据检查项目自动锁定兴趣模板范围。</w:t>
      </w:r>
    </w:p>
    <w:p w14:paraId="14DDB4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提供按检查项目、录入项目进行树形结构管理词库。</w:t>
      </w:r>
    </w:p>
    <w:p w14:paraId="745B19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提供根据检查项目添加测量参数编辑，打印时亦可自动生成为表格。</w:t>
      </w:r>
    </w:p>
    <w:p w14:paraId="77F889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提供词库和模板拥有个人和公共两种管理模式。</w:t>
      </w:r>
    </w:p>
    <w:p w14:paraId="5ACC89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提供多图打印，报告打印模板根据需要自由编辑，可进行多种自动化打印。</w:t>
      </w:r>
    </w:p>
    <w:p w14:paraId="1660AF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提供报告预览界面。</w:t>
      </w:r>
    </w:p>
    <w:p w14:paraId="65E37F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提供报告打印时可打印物流识别使用的条形码。</w:t>
      </w:r>
    </w:p>
    <w:p w14:paraId="7B1FD4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提供ACR-INDEX、ICD-10根据部位和病理分类的查询。</w:t>
      </w:r>
    </w:p>
    <w:p w14:paraId="7A10B2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提供缩放、色彩调节操作，删除操作，自动存盘功能。</w:t>
      </w:r>
    </w:p>
    <w:p w14:paraId="395C4F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提供对图片或视频可以进行标注，并成为搜索关键字。</w:t>
      </w:r>
    </w:p>
    <w:p w14:paraId="403D52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提供体位图片显示，图片采集位置定义。</w:t>
      </w:r>
    </w:p>
    <w:p w14:paraId="5CC670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提供转换为DICOM格式发送到其他DICOM设备。</w:t>
      </w:r>
    </w:p>
    <w:p w14:paraId="748FDC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提供直接在报告书写界面打开随访录入界面，便于医生对随访结果的录入。</w:t>
      </w:r>
    </w:p>
    <w:p w14:paraId="6E498F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提供在报告书写过程中多选多个词句、词段以及关键词等。</w:t>
      </w:r>
    </w:p>
    <w:p w14:paraId="3B31BB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界面清晰明了，提供实时显示登记分配的未检查患者及数量。</w:t>
      </w:r>
    </w:p>
    <w:p w14:paraId="09123F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提供对急诊、特殊患者采用特殊标记，进行优先处理。</w:t>
      </w:r>
    </w:p>
    <w:p w14:paraId="083AD4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当设备故障时，提供转移患者到其他机房检查，同时通过LED大屏显示告知患者。</w:t>
      </w:r>
    </w:p>
    <w:p w14:paraId="05F5DD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提供按照登记时自动分配的顺序号进行检查，更容易维持患者秩序。</w:t>
      </w:r>
    </w:p>
    <w:p w14:paraId="62B4DD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提供对已经在检查中的患者，重新安排时会警告提示。</w:t>
      </w:r>
    </w:p>
    <w:p w14:paraId="50EA4E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提供多个机房使用一个LED大屏显示，或一个机房对应一个LED屏幕显示。</w:t>
      </w:r>
    </w:p>
    <w:p w14:paraId="5B2F28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提供同步语音叫号。</w:t>
      </w:r>
    </w:p>
    <w:p w14:paraId="5DCAE4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提供屏幕的显示和格式随意设置，叫号内容可以随意设置。</w:t>
      </w:r>
    </w:p>
    <w:p w14:paraId="1ED3EA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提供对患者可以进行重复叫号。</w:t>
      </w:r>
    </w:p>
    <w:p w14:paraId="51CDEC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提供系统自动分诊，无需人工干预。</w:t>
      </w:r>
    </w:p>
    <w:p w14:paraId="39F01E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提供登记提取信息、费用的确认、状态的反馈、费用的改变、报告的反馈。</w:t>
      </w:r>
    </w:p>
    <w:p w14:paraId="72170C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提供采集工作站上电子病历的浏览。</w:t>
      </w:r>
    </w:p>
    <w:p w14:paraId="3CF9A2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提供报告回插和临床Web浏览超声图像。</w:t>
      </w:r>
    </w:p>
    <w:p w14:paraId="5074D2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用户与用户组的权限管理。</w:t>
      </w:r>
    </w:p>
    <w:p w14:paraId="45E922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高级的查询、浏览和编辑权限划分。</w:t>
      </w:r>
    </w:p>
    <w:p w14:paraId="413308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登记界面提供超声预约，可区分冬季夏季作息时间，可显示自定义的节假日标注。</w:t>
      </w:r>
    </w:p>
    <w:p w14:paraId="7DC7D135">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内窥镜检查信息系统</w:t>
      </w:r>
    </w:p>
    <w:p w14:paraId="482DE7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检查预约及登记</w:t>
      </w:r>
    </w:p>
    <w:p w14:paraId="7BBE83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提供护士站进行预约操作</w:t>
      </w:r>
    </w:p>
    <w:p w14:paraId="3CF58D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提供预约时间调整</w:t>
      </w:r>
    </w:p>
    <w:p w14:paraId="5AA8D8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提供取消预约后重新预约</w:t>
      </w:r>
    </w:p>
    <w:p w14:paraId="08B6A7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报告管理</w:t>
      </w:r>
    </w:p>
    <w:p w14:paraId="5688D3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提供同时多个DICOM影像设备的图像接收。</w:t>
      </w:r>
    </w:p>
    <w:p w14:paraId="1A927B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提供根据不同的影像设备配置接收的优先级。</w:t>
      </w:r>
    </w:p>
    <w:p w14:paraId="43DDC5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提供多个不同IP段的影像设备，无需统一IP。</w:t>
      </w:r>
    </w:p>
    <w:p w14:paraId="267A10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提供有条件的Q/R操作。</w:t>
      </w:r>
    </w:p>
    <w:p w14:paraId="2C82B7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提供具备DICOM网段和图像处理终端物理隔离设计。</w:t>
      </w:r>
    </w:p>
    <w:p w14:paraId="0C4466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提供存储同步转发到后备存储。</w:t>
      </w:r>
    </w:p>
    <w:p w14:paraId="1BF13A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提供JPEG2000的灰度图像无损压缩和解压功能。</w:t>
      </w:r>
    </w:p>
    <w:p w14:paraId="5513D1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具备</w:t>
      </w:r>
      <w:r>
        <w:rPr>
          <w:rFonts w:hint="eastAsia" w:ascii="华文中宋" w:hAnsi="华文中宋" w:eastAsia="华文中宋" w:cs="华文中宋"/>
          <w:color w:val="auto"/>
          <w:highlight w:val="none"/>
        </w:rPr>
        <w:t>医院原有数据迁移</w:t>
      </w:r>
      <w:r>
        <w:rPr>
          <w:rFonts w:hint="eastAsia" w:ascii="华文中宋" w:hAnsi="华文中宋" w:eastAsia="华文中宋" w:cs="华文中宋"/>
          <w:color w:val="auto"/>
          <w:highlight w:val="none"/>
          <w:lang w:val="en-US" w:eastAsia="zh-CN"/>
        </w:rPr>
        <w:t>的</w:t>
      </w:r>
      <w:r>
        <w:rPr>
          <w:rFonts w:hint="eastAsia" w:ascii="华文中宋" w:hAnsi="华文中宋" w:eastAsia="华文中宋" w:cs="华文中宋"/>
          <w:color w:val="auto"/>
          <w:highlight w:val="none"/>
        </w:rPr>
        <w:t>功能</w:t>
      </w:r>
    </w:p>
    <w:p w14:paraId="63CAF1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提供跨物理磁盘，在一个磁盘上跨目录的图像文件存储，确保文件系统的高效率。</w:t>
      </w:r>
    </w:p>
    <w:p w14:paraId="4F634E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提供每日自动数据打包和刻录光盘。</w:t>
      </w:r>
    </w:p>
    <w:p w14:paraId="722699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提供每日自动数据打包，并可以进行刻录光盘。</w:t>
      </w:r>
    </w:p>
    <w:p w14:paraId="21B4F0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提供光盘带有在任意操作系统中浏览图像和报告的软件。</w:t>
      </w:r>
    </w:p>
    <w:p w14:paraId="148837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提供将超过水线的图像自动迁移到近线存储管理中。</w:t>
      </w:r>
    </w:p>
    <w:p w14:paraId="0C6D3B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提供自动将从近线存储回溯的图像在超过时限的情况下从在线存储移除。</w:t>
      </w:r>
    </w:p>
    <w:p w14:paraId="2BFBF9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提供通过DICOM Q/R或者内部协议访问将长期打包的数据拆解到在线存储管理。</w:t>
      </w:r>
    </w:p>
    <w:p w14:paraId="639D8A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提供近线存储使用独立的数据库，每个Study仅占用一条记录，全部图像打包存储，并从在线系统中移除，使在线系统始终保持高效率。</w:t>
      </w:r>
    </w:p>
    <w:p w14:paraId="2C74C2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提供至少每秒200张以上小图标的传输和显示，显示任意CT图像的时间不超过3秒，以保障使用体验。</w:t>
      </w:r>
    </w:p>
    <w:p w14:paraId="5B62E4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提供DICOM Gray Scale Presentation Status浏览状态的保存和传输。</w:t>
      </w:r>
    </w:p>
    <w:p w14:paraId="741131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提供DICOM OVERLAY信息的表达。</w:t>
      </w:r>
    </w:p>
    <w:p w14:paraId="4CCE38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提供各类无损压缩格式的解压功能。</w:t>
      </w:r>
    </w:p>
    <w:p w14:paraId="5811C7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提供从设备上传出的DICOM SR信息的表达。</w:t>
      </w:r>
    </w:p>
    <w:p w14:paraId="36EF58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提供窗宽、窗位调整、放大、漫游、图像翻转和负片操作。</w:t>
      </w:r>
    </w:p>
    <w:p w14:paraId="289B9F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提供各种面积、直方图、长度和角度测量工具。</w:t>
      </w:r>
    </w:p>
    <w:p w14:paraId="07A1AF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提供心胸比的测量。</w:t>
      </w:r>
    </w:p>
    <w:p w14:paraId="62D928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提供针对不同类型的图像，界面提供不同的工具栏和鼠标右键功能。</w:t>
      </w:r>
    </w:p>
    <w:p w14:paraId="5B2388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提供伪彩功能。</w:t>
      </w:r>
    </w:p>
    <w:p w14:paraId="42AACB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提供局部放大镜和自动窗位显示。</w:t>
      </w:r>
    </w:p>
    <w:p w14:paraId="15E896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提供根据圈定区域自动设定窗宽、窗位。</w:t>
      </w:r>
    </w:p>
    <w:p w14:paraId="1FF7EF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提供图像显示区域四角标注定制中文显示。</w:t>
      </w:r>
    </w:p>
    <w:p w14:paraId="5E9237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提供序列切换的便捷操作，可以通过左右键实现在切换不同的序列。</w:t>
      </w:r>
    </w:p>
    <w:p w14:paraId="339D28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提供在一个序列中平铺本序列所有图像。</w:t>
      </w:r>
    </w:p>
    <w:p w14:paraId="0FD5D7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提供用滚动的方式查阅序列中图像。</w:t>
      </w:r>
    </w:p>
    <w:p w14:paraId="556940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针对CR/DR图像，提供长骨多幅图像的无缝拼接功能。</w:t>
      </w:r>
    </w:p>
    <w:p w14:paraId="33B0C0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提供组织均衡化图像增强功能。</w:t>
      </w:r>
    </w:p>
    <w:p w14:paraId="656F0F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针对CT/MR图像，提供自动计算定位线，并可选取定位线来选取图像。</w:t>
      </w:r>
    </w:p>
    <w:p w14:paraId="3055B0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提供对比和成组图像的操作。</w:t>
      </w:r>
    </w:p>
    <w:p w14:paraId="41E348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提供按扫描周期来进行序列的自动拆分和显示。</w:t>
      </w:r>
    </w:p>
    <w:p w14:paraId="4BC567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提供CT图像的椎体自动定位功能。</w:t>
      </w:r>
    </w:p>
    <w:p w14:paraId="47D887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提供MR图像的交叉定位功能。</w:t>
      </w:r>
    </w:p>
    <w:p w14:paraId="1D6D81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提供MPR和MIP功能。</w:t>
      </w:r>
    </w:p>
    <w:p w14:paraId="403FB39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提供MPR下的直接切割功能。</w:t>
      </w:r>
    </w:p>
    <w:p w14:paraId="3B361D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针对DSA图像，提供多种减影模式的减影功能。</w:t>
      </w:r>
    </w:p>
    <w:p w14:paraId="1E35A3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提供电影播放最快到每秒60帧，满足高心率的播放。</w:t>
      </w:r>
    </w:p>
    <w:p w14:paraId="5ACB7A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提供序列拆解到单帧或者组成新电影。</w:t>
      </w:r>
    </w:p>
    <w:p w14:paraId="4CE78A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提供导管定标和血管狭窄测量功能。</w:t>
      </w:r>
    </w:p>
    <w:p w14:paraId="20A201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提供左心功能分析。</w:t>
      </w:r>
    </w:p>
    <w:p w14:paraId="176C96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针对乳腺图像，提供自动钙化点寻找。</w:t>
      </w:r>
    </w:p>
    <w:p w14:paraId="2AF151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提供多种挂片协议，并一键在预设的协议间切换。</w:t>
      </w:r>
    </w:p>
    <w:p w14:paraId="4C4EE5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提供在图像处理窗口和照相窗口间拖拽图像。</w:t>
      </w:r>
    </w:p>
    <w:p w14:paraId="5E0B65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提供在照相窗口中通过拖拽调整图像的顺序。</w:t>
      </w:r>
    </w:p>
    <w:p w14:paraId="47DFB7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提供在照相窗口中进行缩放、漫游和调窗的处理。</w:t>
      </w:r>
    </w:p>
    <w:p w14:paraId="3458B7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提供多个患者在一张胶片上的排版。</w:t>
      </w:r>
    </w:p>
    <w:p w14:paraId="4C730B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提供胶片信息全中文显示。</w:t>
      </w:r>
    </w:p>
    <w:p w14:paraId="4FD843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提供在胶片上打印含有患者信息的条码。</w:t>
      </w:r>
    </w:p>
    <w:p w14:paraId="3CDAC0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提供将患者照相的状态记录下来发给RIS系统。</w:t>
      </w:r>
    </w:p>
    <w:p w14:paraId="5A0EF1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提供识别从PACS系统工作站、OCR识别模式的DICOM PRINT数据流。</w:t>
      </w:r>
    </w:p>
    <w:p w14:paraId="05F8D5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提供电子胶片自动打包、存贮。</w:t>
      </w:r>
    </w:p>
    <w:p w14:paraId="47798A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高效可配置的识别算法，可以智能识别出不同类型胶片中的患者基本信息。</w:t>
      </w:r>
    </w:p>
    <w:p w14:paraId="7E8AFC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提供在照相的DICOM PRINT数据流中插入PID、Accession NO等私有单元。</w:t>
      </w:r>
    </w:p>
    <w:p w14:paraId="0F3C5F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可根据识别的患者编号自动提取RIS患者详细信息，并进行信息核对。</w:t>
      </w:r>
    </w:p>
    <w:p w14:paraId="0B9C3B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提供记录打印源、胶片类型、分格、数量、状态等信息，以备统计。</w:t>
      </w:r>
    </w:p>
    <w:p w14:paraId="180DA4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提供根据预配置的策略进行数据循环删除或进行光盘刻录备份。</w:t>
      </w:r>
    </w:p>
    <w:p w14:paraId="0EF795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提供电子胶片预览，提供缩放、漫游、放大镜、翻转、镜像等功能。</w:t>
      </w:r>
    </w:p>
    <w:p w14:paraId="2D23CD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提供患者信息编辑。</w:t>
      </w:r>
    </w:p>
    <w:p w14:paraId="419CE9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提供按需打印胶片，可以根据配置自动选择相机，也可以手工指定相机。</w:t>
      </w:r>
    </w:p>
    <w:p w14:paraId="7C4A84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提供胶片自动打印条码，方便胶片管理的全程物流识别。</w:t>
      </w:r>
    </w:p>
    <w:p w14:paraId="4F29E5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提供图像重新组织DICOM标准格式并发送。</w:t>
      </w:r>
    </w:p>
    <w:p w14:paraId="05348E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提供记录打印时间、操作人员、状态等信息。</w:t>
      </w:r>
    </w:p>
    <w:p w14:paraId="61652F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提供电子胶片预览，提供缩放、漫游、放大镜、翻转、镜像等功能。</w:t>
      </w:r>
    </w:p>
    <w:p w14:paraId="71E143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提供患者胶片信息确认，提供患者编号修改及RIS信息核对工具。</w:t>
      </w:r>
    </w:p>
    <w:p w14:paraId="363CD9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提供通过RIS的传参调用自动打印相关患者/相关检查的胶片。</w:t>
      </w:r>
    </w:p>
    <w:p w14:paraId="5367EE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提供返回该患者、该次检查的胶片数量。</w:t>
      </w:r>
    </w:p>
    <w:p w14:paraId="2415BA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提供反馈给RIS系统本次胶片打印的状态。</w:t>
      </w:r>
    </w:p>
    <w:p w14:paraId="436ADC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提供统计科室每种胶片的消耗量和总成本金额。</w:t>
      </w:r>
    </w:p>
    <w:p w14:paraId="0F0FF1FF">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手术麻醉信息系统</w:t>
      </w:r>
    </w:p>
    <w:p w14:paraId="51CBD555">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医师工作站</w:t>
      </w:r>
    </w:p>
    <w:p w14:paraId="685EB06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麻醉术前手术申请提供录入手术申请单</w:t>
      </w:r>
    </w:p>
    <w:p w14:paraId="22BDDB63">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提供手术病人选择提供查看已排台患者列表，选择患者进入后续访视、入室操作</w:t>
      </w:r>
    </w:p>
    <w:p w14:paraId="578D534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提供查看患者手术状态</w:t>
      </w:r>
    </w:p>
    <w:p w14:paraId="5CEA4A0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提供通过手术状态筛选查看患者列表</w:t>
      </w:r>
    </w:p>
    <w:p w14:paraId="52C969F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提供通过手术间筛选查看手术列表</w:t>
      </w:r>
    </w:p>
    <w:p w14:paraId="0952F900">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提供取消排台操作</w:t>
      </w:r>
    </w:p>
    <w:p w14:paraId="6B5945DB">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提供患者重排台</w:t>
      </w:r>
    </w:p>
    <w:p w14:paraId="7A0EE10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提供通过日期选择框，自定义选择日期查看手术患者列表</w:t>
      </w:r>
    </w:p>
    <w:p w14:paraId="7E53D708">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提供自动统计每天手术台数在界面右上方显示</w:t>
      </w:r>
    </w:p>
    <w:p w14:paraId="78689D6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提供通过患者姓名、住院号快速检索患者</w:t>
      </w:r>
    </w:p>
    <w:p w14:paraId="7BF6E85F">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提供存在多科室情况时，通过切换科室查看各科室排台情况</w:t>
      </w:r>
    </w:p>
    <w:p w14:paraId="42ABE4B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术前访视单</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提供术前访视单患者基本信息自动获取并填充在文书对应位置</w:t>
      </w:r>
    </w:p>
    <w:p w14:paraId="7CC0788F">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提供记录患者系统异常情况、现在情况、过去或其他情况等内容</w:t>
      </w:r>
    </w:p>
    <w:p w14:paraId="7DE95B5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提供术前访视单审核并打印操作</w:t>
      </w:r>
    </w:p>
    <w:p w14:paraId="24CC467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知情同意书</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提供麻醉知情同意书患者基本信息自动填充在文书对应位置</w:t>
      </w:r>
    </w:p>
    <w:p w14:paraId="1444FDD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提供麻醉知情同意书审核并打印操作</w:t>
      </w:r>
    </w:p>
    <w:p w14:paraId="45C270C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提供麻醉知情同意书根据医院需求做调整</w:t>
      </w:r>
    </w:p>
    <w:p w14:paraId="080CDE7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提供调阅功能</w:t>
      </w:r>
    </w:p>
    <w:p w14:paraId="2368D3F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麻醉术中麻醉记录单</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提供麻醉记录单患者基本信息自动获取并填充</w:t>
      </w:r>
    </w:p>
    <w:p w14:paraId="0E836FAD">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提供体征多种方式显示</w:t>
      </w:r>
    </w:p>
    <w:p w14:paraId="1F5563DB">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提供通过鼠标拖拽修改患者体征值</w:t>
      </w:r>
    </w:p>
    <w:p w14:paraId="34D55D73">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提供麻醉单所见即所得</w:t>
      </w:r>
    </w:p>
    <w:p w14:paraId="7942582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提供添加麻醉用药、事件等术中操作</w:t>
      </w:r>
    </w:p>
    <w:p w14:paraId="0FE384E3">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提供麻醉单中通过拼音首拼快速检索，同时提供快速选取模式</w:t>
      </w:r>
    </w:p>
    <w:p w14:paraId="5B74685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提供多通道录入输液输血</w:t>
      </w:r>
    </w:p>
    <w:p w14:paraId="18C596A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提供事件的拖拽功能</w:t>
      </w:r>
    </w:p>
    <w:p w14:paraId="4939300D">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提供记录出量信息，自动获取术中入量，自动计算出入量差值</w:t>
      </w:r>
    </w:p>
    <w:p w14:paraId="6DC948C5">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提供记录术中辅助及特殊用药</w:t>
      </w:r>
    </w:p>
    <w:p w14:paraId="196C1F2D">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提供麻醉单模板功能，存储模板到个人/科室下</w:t>
      </w:r>
    </w:p>
    <w:p w14:paraId="747E198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提供引用已存储模板</w:t>
      </w:r>
    </w:p>
    <w:p w14:paraId="64755D6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提供术中关键操作六大事件显示在界面最上方</w:t>
      </w:r>
    </w:p>
    <w:p w14:paraId="1F56350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提供记录麻醉医生、器械护士、巡回护士交接班信息</w:t>
      </w:r>
    </w:p>
    <w:p w14:paraId="4044D79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提供记录患者出室去向</w:t>
      </w:r>
    </w:p>
    <w:p w14:paraId="3FAAA62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提供术中取消手术操作</w:t>
      </w:r>
    </w:p>
    <w:p w14:paraId="3F69601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提供麻醉记录单审核并打印</w:t>
      </w:r>
    </w:p>
    <w:p w14:paraId="4E7F419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麻醉术后复苏单提供复苏记录单患者基本信息自动获取并填充</w:t>
      </w:r>
    </w:p>
    <w:p w14:paraId="10510ED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提供体征多种方式显示</w:t>
      </w:r>
    </w:p>
    <w:p w14:paraId="5E699FB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提供记录复苏用药、输液输血等内容</w:t>
      </w:r>
    </w:p>
    <w:p w14:paraId="2273676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提供记录复苏病情与处理记录</w:t>
      </w:r>
    </w:p>
    <w:p w14:paraId="135A479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提供记录出室情况</w:t>
      </w:r>
    </w:p>
    <w:p w14:paraId="2CF8DE3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术后访视提供术后访视单</w:t>
      </w:r>
    </w:p>
    <w:p w14:paraId="3C76934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提供术后访视单患者基本信息自动获取</w:t>
      </w:r>
    </w:p>
    <w:p w14:paraId="736876B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提供患者手术内容自动获取</w:t>
      </w:r>
    </w:p>
    <w:p w14:paraId="1B98C8C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提供录入术后访视内容</w:t>
      </w:r>
    </w:p>
    <w:p w14:paraId="7966D71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提供术后访视单根据医院需求做调整</w:t>
      </w:r>
    </w:p>
    <w:p w14:paraId="7BB4578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麻醉小结单提供麻醉小结单</w:t>
      </w:r>
    </w:p>
    <w:p w14:paraId="412145D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提供患者基本信息自动获取</w:t>
      </w:r>
    </w:p>
    <w:p w14:paraId="0CE2C61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提供患者手术名称、术后诊断、麻醉方法自动从麻醉单同步</w:t>
      </w:r>
    </w:p>
    <w:p w14:paraId="6EB6CC1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提供记录全麻操作/椎管操作操作内容</w:t>
      </w:r>
    </w:p>
    <w:p w14:paraId="7505184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术后镇痛提供术后镇痛记录单</w:t>
      </w:r>
    </w:p>
    <w:p w14:paraId="5ADF2D8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提供患者基本信息自动获取</w:t>
      </w:r>
    </w:p>
    <w:p w14:paraId="2640F6D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提供记录患者术后镇痛内容</w:t>
      </w:r>
    </w:p>
    <w:p w14:paraId="09BE0AA5">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在医院可提供数据来源，且录入指标数据的情况下，提供质控统计自动抓取数据，生成统计报表</w:t>
      </w:r>
    </w:p>
    <w:p w14:paraId="7A791EC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处方笺提供术中处方药品自动生成处方笺</w:t>
      </w:r>
    </w:p>
    <w:p w14:paraId="7F8CD76D">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支出处方笺患者基本信息自动获取</w:t>
      </w:r>
    </w:p>
    <w:p w14:paraId="783F250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提供患者用药信息、药品规格、使用数量自动生成</w:t>
      </w:r>
    </w:p>
    <w:p w14:paraId="2AC089B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麻方登记提供麻方登记功能</w:t>
      </w:r>
    </w:p>
    <w:p w14:paraId="7980A42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历史病案查询提供多条件查询历史患者</w:t>
      </w:r>
    </w:p>
    <w:p w14:paraId="4829823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提供浏览术后患者麻醉记录单</w:t>
      </w:r>
    </w:p>
    <w:p w14:paraId="6BA5882B">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提供以表格形式导出患者列表到本地电脑</w:t>
      </w:r>
    </w:p>
    <w:p w14:paraId="03325F25">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提供质控信息按年、按季度、按月统计</w:t>
      </w:r>
    </w:p>
    <w:p w14:paraId="789DB37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提供查看满足指标的具体患者信息</w:t>
      </w:r>
    </w:p>
    <w:p w14:paraId="45E692D0">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科室统计提供麻醉方法统计</w:t>
      </w:r>
    </w:p>
    <w:p w14:paraId="399F9A0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提供科室统计</w:t>
      </w:r>
    </w:p>
    <w:p w14:paraId="2266446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提供工作量统计</w:t>
      </w:r>
    </w:p>
    <w:p w14:paraId="6D00C40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提供ASA分级统计</w:t>
      </w:r>
    </w:p>
    <w:p w14:paraId="253F2AE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提供工作时长统计</w:t>
      </w:r>
    </w:p>
    <w:p w14:paraId="5F7CCA9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提供首台划刀统计</w:t>
      </w:r>
    </w:p>
    <w:p w14:paraId="74458FF8">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提供手术名称统计</w:t>
      </w:r>
    </w:p>
    <w:p w14:paraId="3C03824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提供复苏患者统计</w:t>
      </w:r>
    </w:p>
    <w:p w14:paraId="39CE89D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提供自定义统计时间段</w:t>
      </w:r>
    </w:p>
    <w:p w14:paraId="112A1EC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提供统计结果以表格形式导出到本地电脑</w:t>
      </w:r>
    </w:p>
    <w:p w14:paraId="4EB9EE1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提供自定义列设置，自定义配置界面显示列</w:t>
      </w:r>
    </w:p>
    <w:p w14:paraId="159D92C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系统配置系统配置提供账号配置</w:t>
      </w:r>
    </w:p>
    <w:p w14:paraId="08717E9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提供科室配置</w:t>
      </w:r>
    </w:p>
    <w:p w14:paraId="7497E5A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提供药品配置</w:t>
      </w:r>
    </w:p>
    <w:p w14:paraId="0000D32D">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提供手术名称配置</w:t>
      </w:r>
    </w:p>
    <w:p w14:paraId="0369025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提供麻醉方法配置</w:t>
      </w:r>
    </w:p>
    <w:p w14:paraId="388049D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提供麻醉单模板配置</w:t>
      </w:r>
    </w:p>
    <w:p w14:paraId="7D5BF763">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提供生命体征告警配置</w:t>
      </w:r>
    </w:p>
    <w:p w14:paraId="30EBF84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护士工作站</w:t>
      </w:r>
    </w:p>
    <w:p w14:paraId="7C39F4D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手术排台提供批量接收HIS中指定日期的手术申请单</w:t>
      </w:r>
    </w:p>
    <w:p w14:paraId="6144301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提供接收HIS下达的指定患者ID的手术申请单</w:t>
      </w:r>
    </w:p>
    <w:p w14:paraId="4349FA5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提供查看手术申请单的详细信息</w:t>
      </w:r>
    </w:p>
    <w:p w14:paraId="7751C6B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提供排班时，分配麻醉医生、巡回/洗手护士</w:t>
      </w:r>
    </w:p>
    <w:p w14:paraId="45B350C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提供通过鼠标拖拽进行快速排班</w:t>
      </w:r>
    </w:p>
    <w:p w14:paraId="62E61328">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提供批量排班</w:t>
      </w:r>
    </w:p>
    <w:p w14:paraId="33B9AA40">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提供对于单个手术间所有已排台手术集体换台操作</w:t>
      </w:r>
    </w:p>
    <w:p w14:paraId="44847ABD">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提供查看每个手术间已安排手术数量</w:t>
      </w:r>
    </w:p>
    <w:p w14:paraId="29A3E30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护理记录单</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提供护理记录单</w:t>
      </w:r>
    </w:p>
    <w:p w14:paraId="5D901FD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提供患者基本信息自动获取</w:t>
      </w:r>
    </w:p>
    <w:p w14:paraId="66D8FFD5">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风险评估单提供风险评估单</w:t>
      </w:r>
    </w:p>
    <w:p w14:paraId="582A62D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提供评估手术切口清洁程度、麻醉分级（ASA分级）、手术持续时间、手术类别等</w:t>
      </w:r>
    </w:p>
    <w:p w14:paraId="4479383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提供患者基本信息自动获取</w:t>
      </w:r>
    </w:p>
    <w:p w14:paraId="4B5B69D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安全核查单提供安全核查记录单</w:t>
      </w:r>
    </w:p>
    <w:p w14:paraId="58FB982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提供麻醉实施前核查、手术开始前核查、患者离开手术室前核查</w:t>
      </w:r>
    </w:p>
    <w:p w14:paraId="539B7A40">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提供手术医生、麻醉医生、手术护士三方核查后打印签名</w:t>
      </w:r>
    </w:p>
    <w:p w14:paraId="389C5A5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器械清点单提供器械清点记录单</w:t>
      </w:r>
    </w:p>
    <w:p w14:paraId="545EA53C">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提供患者基本信息自动获取</w:t>
      </w:r>
    </w:p>
    <w:p w14:paraId="006C8DA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提供手术器械清点后记录操作</w:t>
      </w:r>
    </w:p>
    <w:p w14:paraId="667859F8">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压疮评分提供压疮评分表</w:t>
      </w:r>
    </w:p>
    <w:p w14:paraId="7822792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提供评分后总分自动计算</w:t>
      </w:r>
    </w:p>
    <w:p w14:paraId="2172ED3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提供家属等候区大屏显示患者手术状态</w:t>
      </w:r>
    </w:p>
    <w:p w14:paraId="1EE0368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提供滚动循环显示手术患者信息</w:t>
      </w:r>
    </w:p>
    <w:p w14:paraId="2846E97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提供患者隐私保护，隐藏患者姓名全程</w:t>
      </w:r>
    </w:p>
    <w:p w14:paraId="76587B0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微信小程序</w:t>
      </w:r>
    </w:p>
    <w:p w14:paraId="5884C982">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术前准备提供查看当天手术排台情况，已排班、未排班患者列表</w:t>
      </w:r>
    </w:p>
    <w:p w14:paraId="7494A943">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提供查看手术患者基本信息</w:t>
      </w:r>
    </w:p>
    <w:p w14:paraId="573FA153">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提供指定日期查看排台结果</w:t>
      </w:r>
    </w:p>
    <w:p w14:paraId="27CEC1FB">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提供点击患者，进入详情界面，查看患者检验结果</w:t>
      </w:r>
    </w:p>
    <w:p w14:paraId="0A9EF90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术中总览提供查看当日术中患者列表</w:t>
      </w:r>
    </w:p>
    <w:p w14:paraId="20627C0E">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提供查看患者手术状态，手术开始、麻醉开始等</w:t>
      </w:r>
    </w:p>
    <w:p w14:paraId="289BEF90">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提供查看患者手术时长</w:t>
      </w:r>
    </w:p>
    <w:p w14:paraId="71EF2286">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提供点击患者，进入详情界面，查看患者术中麻醉单</w:t>
      </w:r>
    </w:p>
    <w:p w14:paraId="74F5D7C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提供麻醉单点击双指放大查看详情</w:t>
      </w:r>
    </w:p>
    <w:p w14:paraId="35EBF507">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术后复苏提供查看复苏中患者列表</w:t>
      </w:r>
    </w:p>
    <w:p w14:paraId="472185F1">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提供点击患者，进入详情界面查看患者复苏记录单</w:t>
      </w:r>
    </w:p>
    <w:p w14:paraId="1B6A76C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提供切换已出室患者查看出室患者列表</w:t>
      </w:r>
    </w:p>
    <w:p w14:paraId="71D5F67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提供点击已出室患者，进入到手术详情界面，查看麻醉单、检验结果、术中血气记录等</w:t>
      </w:r>
    </w:p>
    <w:p w14:paraId="69793508">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提供直观查看已出室患者手术总时长、复苏时长等内容</w:t>
      </w:r>
    </w:p>
    <w:p w14:paraId="2E4992E9">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科室统计提供统计科室手术情况</w:t>
      </w:r>
    </w:p>
    <w:p w14:paraId="23D50434">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提供柱状图形式显示当日手术间手术情况</w:t>
      </w:r>
    </w:p>
    <w:p w14:paraId="396FFE2B">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提供饼图统计显示当日手术ASA分级、当日医生工作量</w:t>
      </w:r>
    </w:p>
    <w:p w14:paraId="069D0C9A">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提供折线图形式统计科室近一个月手术量统计</w:t>
      </w:r>
    </w:p>
    <w:p w14:paraId="6C50DFF9">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重症监护信息系统</w:t>
      </w:r>
    </w:p>
    <w:p w14:paraId="066059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患者管理</w:t>
      </w:r>
    </w:p>
    <w:p w14:paraId="178C5D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提供床头卡根据患者不同危重等级显示不同颜色</w:t>
      </w:r>
    </w:p>
    <w:p w14:paraId="4A9613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提供关注收藏患者，仅查看“我”关注的患者列表</w:t>
      </w:r>
    </w:p>
    <w:p w14:paraId="60098E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提供自动获取患者过敏史，并在床头卡显示患者隔离标识</w:t>
      </w:r>
    </w:p>
    <w:p w14:paraId="5D1EA3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提供查看患者基本资料</w:t>
      </w:r>
    </w:p>
    <w:p w14:paraId="14C73E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提供患者床头卡模块中压疮评分、危险评分、呼吸机标识图标显示</w:t>
      </w:r>
    </w:p>
    <w:p w14:paraId="4CC9E5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提供查看一段时间内检验结果指标趋势图</w:t>
      </w:r>
    </w:p>
    <w:p w14:paraId="6D587D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提供异常结果标红显示，并通过上下箭头方式表示超标或未达标</w:t>
      </w:r>
    </w:p>
    <w:p w14:paraId="551AC5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提供自定义时间查询检验结果报告</w:t>
      </w:r>
    </w:p>
    <w:p w14:paraId="790548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提供通过检验报告名称排序查看报告内容</w:t>
      </w:r>
    </w:p>
    <w:p w14:paraId="324F51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历史患者提供查询已出科患者列表</w:t>
      </w:r>
    </w:p>
    <w:p w14:paraId="271CAD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提供通过多条件自定义查询历史患者信息</w:t>
      </w:r>
    </w:p>
    <w:p w14:paraId="32ABA9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提供查看历史已出科患者护理记录内容</w:t>
      </w:r>
    </w:p>
    <w:p w14:paraId="75418F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提供以表格形式导出历史患者列表</w:t>
      </w:r>
    </w:p>
    <w:p w14:paraId="6CBE67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提供自定义历史患者列表中显示内容</w:t>
      </w:r>
    </w:p>
    <w:p w14:paraId="4CC866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设备状态提供查看科室每床患者监护设备的连接状态</w:t>
      </w:r>
    </w:p>
    <w:p w14:paraId="79909F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提供查看具体绑定的设备编号</w:t>
      </w:r>
    </w:p>
    <w:p w14:paraId="716E7E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提供对设备进行解绑操作</w:t>
      </w:r>
    </w:p>
    <w:p w14:paraId="729222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诊断记录提供添加诊断记录</w:t>
      </w:r>
    </w:p>
    <w:p w14:paraId="7BA6BF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提供自定义时间段查询患者的诊断记录</w:t>
      </w:r>
    </w:p>
    <w:p w14:paraId="165CE0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提供以表格的形式导出患者的诊断记录列表</w:t>
      </w:r>
    </w:p>
    <w:p w14:paraId="2ADFE0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提供自定义添加患者手术记录</w:t>
      </w:r>
    </w:p>
    <w:p w14:paraId="76DC2E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提供自定义时间段查询患者手术记录</w:t>
      </w:r>
    </w:p>
    <w:p w14:paraId="029B5A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提供以表格的形式导出患者的手术记录列表</w:t>
      </w:r>
    </w:p>
    <w:p w14:paraId="146305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入院评估单</w:t>
      </w:r>
      <w:r>
        <w:rPr>
          <w:rFonts w:hint="eastAsia" w:ascii="华文中宋" w:hAnsi="华文中宋" w:eastAsia="华文中宋" w:cs="华文中宋"/>
          <w:color w:val="auto"/>
          <w:highlight w:val="none"/>
        </w:rPr>
        <w:tab/>
      </w:r>
    </w:p>
    <w:p w14:paraId="3DDADC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提供患者入院评估单</w:t>
      </w:r>
    </w:p>
    <w:p w14:paraId="0F754F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提供患者基本信息自动填充</w:t>
      </w:r>
    </w:p>
    <w:p w14:paraId="629BA8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提供手动执行药品，录入用药速度</w:t>
      </w:r>
    </w:p>
    <w:p w14:paraId="0A0320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提供以甘特图形式显示用药执行过程</w:t>
      </w:r>
    </w:p>
    <w:p w14:paraId="5FE4CE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提供根据用药方式分组显示用药列表</w:t>
      </w:r>
    </w:p>
    <w:p w14:paraId="463C3A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提供显示用药频次、用法和用药状态</w:t>
      </w:r>
    </w:p>
    <w:p w14:paraId="139A69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提供不同用药状态以不同颜色显示</w:t>
      </w:r>
    </w:p>
    <w:p w14:paraId="268622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提供分班次查看用药执行情况</w:t>
      </w:r>
    </w:p>
    <w:p w14:paraId="7D16A9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提供根据药品执行状态查看用药列表</w:t>
      </w:r>
    </w:p>
    <w:p w14:paraId="648596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提供自定义选择日期，查看所选日期下用药执行情况</w:t>
      </w:r>
    </w:p>
    <w:p w14:paraId="0EBD87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提供添加未开立医嘱的自备药品到用药列表进行执行</w:t>
      </w:r>
    </w:p>
    <w:p w14:paraId="41AF77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提供添加药品执行过程</w:t>
      </w:r>
    </w:p>
    <w:p w14:paraId="53D4DE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提供对于已经录入用药速度的药品，自动计算完成时间，用药结束后系统自动完成</w:t>
      </w:r>
    </w:p>
    <w:p w14:paraId="697C8A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提供一键暂停使用药品</w:t>
      </w:r>
    </w:p>
    <w:p w14:paraId="6B8491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提供医嘱执行用药中药量自动计入出入量模块</w:t>
      </w:r>
    </w:p>
    <w:p w14:paraId="33D51D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出入量</w:t>
      </w:r>
    </w:p>
    <w:p w14:paraId="49C6D0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提供记录患者出入量</w:t>
      </w:r>
    </w:p>
    <w:p w14:paraId="25261E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提供患者药品入量自动从医嘱执行模块获取</w:t>
      </w:r>
    </w:p>
    <w:p w14:paraId="176DD0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提供自动计算全天/每个班次的总出入量总和、累计平衡量</w:t>
      </w:r>
    </w:p>
    <w:p w14:paraId="071882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提供自定义时间段查询出入量值</w:t>
      </w:r>
    </w:p>
    <w:p w14:paraId="69DECA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提供以饼图、柱状图形式显示患者的出入量值</w:t>
      </w:r>
    </w:p>
    <w:p w14:paraId="096A8E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提供自定义配置出入量模块中记录项目明细</w:t>
      </w:r>
    </w:p>
    <w:p w14:paraId="5B2822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提供自定义配置出入量模块中记录项目分组</w:t>
      </w:r>
    </w:p>
    <w:p w14:paraId="7F5A7E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提供自定义日期查看患者出入量值</w:t>
      </w:r>
    </w:p>
    <w:p w14:paraId="0D7C2D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提供以全天/每个班次分类查看的出入量记录值</w:t>
      </w:r>
    </w:p>
    <w:p w14:paraId="26A62D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提供设备采集频率同步监护设备数据输出频率</w:t>
      </w:r>
    </w:p>
    <w:p w14:paraId="376166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提供添加患者治疗目标</w:t>
      </w:r>
    </w:p>
    <w:p w14:paraId="4F03D6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提供设置体征阈值，异常体征显示</w:t>
      </w:r>
    </w:p>
    <w:p w14:paraId="6DFF90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提供绑定监护设备操作，当设备移动使用时，自定义绑定设备进行自动采集</w:t>
      </w:r>
    </w:p>
    <w:p w14:paraId="1B06EE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提供对于需要录入文字评估内容的项目，配置常用选择项目，减少护士记录时间</w:t>
      </w:r>
    </w:p>
    <w:p w14:paraId="363755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提供自定义配置记录项目分组</w:t>
      </w:r>
    </w:p>
    <w:p w14:paraId="1CBD43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提供自定义配置记录项目明细</w:t>
      </w:r>
    </w:p>
    <w:p w14:paraId="7D181A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提供对于抢救患者添加非整点时间进行记录</w:t>
      </w:r>
    </w:p>
    <w:p w14:paraId="502A01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提供对自动获取的数据进行修改，系统后台保留更改痕迹</w:t>
      </w:r>
    </w:p>
    <w:p w14:paraId="7829BA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提供根据班次/全天分类显示监测评估记录内容</w:t>
      </w:r>
    </w:p>
    <w:p w14:paraId="0F910E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提供自定义日期时间点查看所选日期监测评估记录内容</w:t>
      </w:r>
    </w:p>
    <w:p w14:paraId="4CBABF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措施记录提供添加措施记录内容</w:t>
      </w:r>
    </w:p>
    <w:p w14:paraId="0FDA40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提供添加基础评估、约束等记录</w:t>
      </w:r>
    </w:p>
    <w:p w14:paraId="712572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提供对于需要录入文字评估内容的项目，配置常用选择项目</w:t>
      </w:r>
    </w:p>
    <w:p w14:paraId="29A6CF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提供对于抢救患者添加非整点时间进行记录</w:t>
      </w:r>
    </w:p>
    <w:p w14:paraId="58A36C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提供自定义配置记录项目分组</w:t>
      </w:r>
    </w:p>
    <w:p w14:paraId="529D86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提供自定义配置记录项目明细</w:t>
      </w:r>
    </w:p>
    <w:p w14:paraId="5EEBC3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提供根据班次/全天分类显示措施记录内容</w:t>
      </w:r>
    </w:p>
    <w:p w14:paraId="62916B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提供自定义日期时间点查看所选日期措施记录内容</w:t>
      </w:r>
    </w:p>
    <w:p w14:paraId="125DFF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护理记录</w:t>
      </w:r>
    </w:p>
    <w:p w14:paraId="118455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提供添加患者护理记录内容</w:t>
      </w:r>
    </w:p>
    <w:p w14:paraId="5F3C16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提供选择患者检验数据导入护理记录</w:t>
      </w:r>
    </w:p>
    <w:p w14:paraId="10E714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提供异常检验结果显示</w:t>
      </w:r>
    </w:p>
    <w:p w14:paraId="4BBDAF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提供选择患者检查数据导入护理记录</w:t>
      </w:r>
    </w:p>
    <w:p w14:paraId="28EAE4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提供选择医嘱执行内容导出护理记录</w:t>
      </w:r>
    </w:p>
    <w:p w14:paraId="7F00D3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提供选择患者生命体征数据导入护理记录</w:t>
      </w:r>
    </w:p>
    <w:p w14:paraId="0BEC50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提供自定义存储护理记录模板</w:t>
      </w:r>
    </w:p>
    <w:p w14:paraId="7AAAEC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提供选择护理模板到护理记录中，可进行修改</w:t>
      </w:r>
    </w:p>
    <w:p w14:paraId="1DF3C2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提供根据护理记录内容进行护理记录检索</w:t>
      </w:r>
    </w:p>
    <w:p w14:paraId="18EE5C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提供护理记录权限管理</w:t>
      </w:r>
    </w:p>
    <w:p w14:paraId="74BFE4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提供根据班次显示护理记录内容</w:t>
      </w:r>
    </w:p>
    <w:p w14:paraId="387439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提供自定义日期时间点查看所选日期下的护理记录</w:t>
      </w:r>
    </w:p>
    <w:p w14:paraId="1A0FDA3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提供对护理记录进行编辑/删错操作</w:t>
      </w:r>
    </w:p>
    <w:p w14:paraId="72C17B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导管记录</w:t>
      </w:r>
    </w:p>
    <w:p w14:paraId="161200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提供添加患者导管记录</w:t>
      </w:r>
    </w:p>
    <w:p w14:paraId="0A5D5E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提供导管超时提醒功能</w:t>
      </w:r>
    </w:p>
    <w:p w14:paraId="4F6711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提供根据导管不同危重等级显示不同颜色</w:t>
      </w:r>
    </w:p>
    <w:p w14:paraId="13E995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提供显示导管插管天数及导管使用次数</w:t>
      </w:r>
    </w:p>
    <w:p w14:paraId="6B7223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提供插管中/已拔管分类查看患者导管记录</w:t>
      </w:r>
    </w:p>
    <w:p w14:paraId="7B4292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提供添加患者导管记录</w:t>
      </w:r>
    </w:p>
    <w:p w14:paraId="6B27D1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提供一键换管/拔管操作</w:t>
      </w:r>
    </w:p>
    <w:p w14:paraId="03E23B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提供添加导管时选择此导管是否在出入量模块配置</w:t>
      </w:r>
    </w:p>
    <w:p w14:paraId="1CA5CF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提供插入单个导管或批量插入多个导管</w:t>
      </w:r>
    </w:p>
    <w:p w14:paraId="6A9FD1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皮肤记录</w:t>
      </w:r>
    </w:p>
    <w:p w14:paraId="4BFDB7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提供在人体模型图标注皮肤损伤类型</w:t>
      </w:r>
    </w:p>
    <w:p w14:paraId="725CBB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提供添加皮肤记录内容</w:t>
      </w:r>
    </w:p>
    <w:p w14:paraId="036CB6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提供批量录入皮肤记录</w:t>
      </w:r>
    </w:p>
    <w:p w14:paraId="247465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提供自定义配置记录项目明细</w:t>
      </w:r>
    </w:p>
    <w:p w14:paraId="39D7F4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健康宣教</w:t>
      </w:r>
    </w:p>
    <w:p w14:paraId="57D540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提供患者健康宣教管理</w:t>
      </w:r>
    </w:p>
    <w:p w14:paraId="390089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提供添加健康宣教内容</w:t>
      </w:r>
    </w:p>
    <w:p w14:paraId="458690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提供健康宣教模板管理，根据医院科室情况添加宣教模板内容</w:t>
      </w:r>
    </w:p>
    <w:p w14:paraId="1EC09F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批量录入提供对于在科患者全天24h血糖批量录入</w:t>
      </w:r>
    </w:p>
    <w:p w14:paraId="12B2AC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提供对于在科患者全天24h尿量批量录入</w:t>
      </w:r>
    </w:p>
    <w:p w14:paraId="6C93EB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提供对于在科患者全天24h体温批量录入</w:t>
      </w:r>
    </w:p>
    <w:p w14:paraId="7888AA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评分提供预防跌倒评估单</w:t>
      </w:r>
    </w:p>
    <w:p w14:paraId="003928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提供管道滑脱风险因素评估</w:t>
      </w:r>
    </w:p>
    <w:p w14:paraId="3B1B84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提供压疮发生危险评估</w:t>
      </w:r>
    </w:p>
    <w:p w14:paraId="2C3C01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提供Barthel评定量表</w:t>
      </w:r>
    </w:p>
    <w:p w14:paraId="2A2D37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提供GCS评分</w:t>
      </w:r>
    </w:p>
    <w:p w14:paraId="59D22E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提供NRS疼痛护理评分单</w:t>
      </w:r>
    </w:p>
    <w:p w14:paraId="62D6D6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提供Padua评分</w:t>
      </w:r>
    </w:p>
    <w:p w14:paraId="422658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提供ADL评分</w:t>
      </w:r>
    </w:p>
    <w:p w14:paraId="56C665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提供RASS评分</w:t>
      </w:r>
    </w:p>
    <w:p w14:paraId="25F1A5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提供面部表情评分</w:t>
      </w:r>
    </w:p>
    <w:p w14:paraId="7A4831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提供谵妄评分</w:t>
      </w:r>
    </w:p>
    <w:p w14:paraId="375F37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提供Braden压疮发生危险评估表</w:t>
      </w:r>
    </w:p>
    <w:p w14:paraId="42C54D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提供VTE评分</w:t>
      </w:r>
    </w:p>
    <w:p w14:paraId="0DBF1D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提供DIC评分</w:t>
      </w:r>
    </w:p>
    <w:p w14:paraId="1F0572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提供根据评分项目自动计算评分结果</w:t>
      </w:r>
    </w:p>
    <w:p w14:paraId="0F6210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提供打印评分记录单</w:t>
      </w:r>
    </w:p>
    <w:p w14:paraId="23D51D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文书打印</w:t>
      </w:r>
    </w:p>
    <w:p w14:paraId="6F46A6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提供根据检查评估记录内容自动生成监测评估记录单</w:t>
      </w:r>
    </w:p>
    <w:p w14:paraId="166CAA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提供根据医嘱及出入量模块记录内容自动生成出入量记录单</w:t>
      </w:r>
    </w:p>
    <w:p w14:paraId="4329B5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提供根据导管记录、皮肤记录、护理记录等内容，自动生成护理记录单</w:t>
      </w:r>
    </w:p>
    <w:p w14:paraId="231849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提供ICU告知书</w:t>
      </w:r>
    </w:p>
    <w:p w14:paraId="749B60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提供根据CRRT记录内容，自动生成CRRT记录单</w:t>
      </w:r>
    </w:p>
    <w:p w14:paraId="0EC5EF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提供根据ECMO记录内容，自动生成ECMO记录单</w:t>
      </w:r>
    </w:p>
    <w:p w14:paraId="7F17A6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提供高危新生儿目标性监测记录单</w:t>
      </w:r>
    </w:p>
    <w:p w14:paraId="35C5A5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提供血气记录单</w:t>
      </w:r>
    </w:p>
    <w:p w14:paraId="6C3AC5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提供血糖监测记录单</w:t>
      </w:r>
    </w:p>
    <w:p w14:paraId="633D66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提供输血记录单</w:t>
      </w:r>
    </w:p>
    <w:p w14:paraId="157374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提供措施记录单</w:t>
      </w:r>
    </w:p>
    <w:p w14:paraId="043C14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提供记录单文书打印操作</w:t>
      </w:r>
    </w:p>
    <w:p w14:paraId="7C57C7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系统配置职工管理</w:t>
      </w:r>
    </w:p>
    <w:p w14:paraId="372F76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提供配置科室职工</w:t>
      </w:r>
    </w:p>
    <w:p w14:paraId="6C7BEC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用户管理提供配置科室用户</w:t>
      </w:r>
    </w:p>
    <w:p w14:paraId="16CE60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角色管理提供配置科室角色</w:t>
      </w:r>
    </w:p>
    <w:p w14:paraId="0483A3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导管管理提供配置导管</w:t>
      </w:r>
    </w:p>
    <w:p w14:paraId="64F489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护理模板管理</w:t>
      </w:r>
    </w:p>
    <w:p w14:paraId="7F790B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提供配置护理模板</w:t>
      </w:r>
    </w:p>
    <w:p w14:paraId="1FC601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皮肤管理支撑配置皮肤损伤类型</w:t>
      </w:r>
    </w:p>
    <w:p w14:paraId="2B9E41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皮肤属性管理支撑配置皮肤属性</w:t>
      </w:r>
    </w:p>
    <w:p w14:paraId="34F933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移动微信小程序</w:t>
      </w:r>
    </w:p>
    <w:p w14:paraId="20B398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患者信息提供查看所有在科患者及患者基本资料</w:t>
      </w:r>
    </w:p>
    <w:p w14:paraId="7732D9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提供新患者、使用呼吸机患者、插管患者、有过敏史患者、需隔离患者有标识进行高亮显示</w:t>
      </w:r>
    </w:p>
    <w:p w14:paraId="3F2778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提供查看全部患者或当前登录者关注的患者</w:t>
      </w:r>
    </w:p>
    <w:p w14:paraId="6753D5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提供同一小程序查看多科数据</w:t>
      </w:r>
    </w:p>
    <w:p w14:paraId="77C0B7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提供查看患者的血气记录</w:t>
      </w:r>
    </w:p>
    <w:p w14:paraId="4CE8FC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提供查看患者当天或全部的评分数据</w:t>
      </w:r>
    </w:p>
    <w:p w14:paraId="6E8A2D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提供指定日期查看评分情况</w:t>
      </w:r>
    </w:p>
    <w:p w14:paraId="73A6B3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提供查看患者的出入量记录情况</w:t>
      </w:r>
    </w:p>
    <w:p w14:paraId="0E2BC4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提供查看每小时具体的平衡量差值</w:t>
      </w:r>
    </w:p>
    <w:p w14:paraId="43F294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提供指定日期，查看患者历史出入量记录</w:t>
      </w:r>
    </w:p>
    <w:p w14:paraId="1801D6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提供查看患者的医嘱执行情况</w:t>
      </w:r>
    </w:p>
    <w:p w14:paraId="735DCD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提供根据长期医嘱、临时医嘱以及全部医嘱进行分类查看</w:t>
      </w:r>
    </w:p>
    <w:p w14:paraId="4005FF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提供查看护理记录，提供选择不同日期查看历史护理记录内容</w:t>
      </w:r>
    </w:p>
    <w:p w14:paraId="246741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提供查看血糖记录，提供选择不同日期查看历史血糖记录</w:t>
      </w:r>
    </w:p>
    <w:p w14:paraId="231674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提供查看全天血糖走势图</w:t>
      </w:r>
    </w:p>
    <w:p w14:paraId="68120E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提供查看检验结果</w:t>
      </w:r>
    </w:p>
    <w:p w14:paraId="5C3F8D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提供查看检查结果</w:t>
      </w:r>
    </w:p>
    <w:p w14:paraId="1C48F3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提供查看患者近24小时的历史体征记录</w:t>
      </w:r>
    </w:p>
    <w:p w14:paraId="72C0A3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提供近24小时体征图</w:t>
      </w:r>
    </w:p>
    <w:p w14:paraId="6490F0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科室总览</w:t>
      </w:r>
    </w:p>
    <w:p w14:paraId="4CB1F8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提供科室总览，统筹查看科室情况</w:t>
      </w:r>
    </w:p>
    <w:p w14:paraId="2BDF19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提供时间轴的形式查看患者用药记录、评分记录</w:t>
      </w:r>
    </w:p>
    <w:p w14:paraId="37D37F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异常内容</w:t>
      </w:r>
    </w:p>
    <w:p w14:paraId="2B4238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提供设备连接异常查看功能</w:t>
      </w:r>
    </w:p>
    <w:p w14:paraId="55442A1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心电检查信息系统</w:t>
      </w:r>
    </w:p>
    <w:p w14:paraId="762552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心电信息系统数据库服务模块</w:t>
      </w:r>
    </w:p>
    <w:p w14:paraId="2BEFB4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用户登录界面，提供用户名+密码登录、CA登录、扫码登录、人脸识别多种身份认证机制，确保身份的唯一性和安全性</w:t>
      </w:r>
    </w:p>
    <w:p w14:paraId="2143EA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心电数据存储管理模块</w:t>
      </w:r>
    </w:p>
    <w:p w14:paraId="11614E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提供医院心电图数据进行数字化集中存储及管理，可对心电数据进行查找、统计、测量。</w:t>
      </w:r>
    </w:p>
    <w:p w14:paraId="4C14EA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心电数据以XML标准定义的格式进行波形的存储，建立标准心电数据库DICOMSERVER软件</w:t>
      </w:r>
    </w:p>
    <w:p w14:paraId="7D2996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提供心电图DICOM格式、HL7-aECG格式数据的显示，具备DICOMWORKLIST功能；</w:t>
      </w:r>
    </w:p>
    <w:p w14:paraId="0DC4B3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心电临床WEB报告浏览调阅</w:t>
      </w:r>
    </w:p>
    <w:p w14:paraId="52CEAE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提供WEB心电诊断功能：具有在线WEB心电图分析功能，查看原始心电波形，调整走纸和增益，提供心电图处理测量功能，波形显示、幅值调整等功能</w:t>
      </w:r>
    </w:p>
    <w:p w14:paraId="6BA1C1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心电图专业医生确认检查报告后，在医院的医生工作站上就可以浏览到具有查看权限的心电图结论，心电波形和打印带网格的心电图报告</w:t>
      </w:r>
      <w:r>
        <w:rPr>
          <w:rFonts w:hint="eastAsia" w:ascii="华文中宋" w:hAnsi="华文中宋" w:eastAsia="华文中宋" w:cs="华文中宋"/>
          <w:color w:val="auto"/>
          <w:highlight w:val="none"/>
          <w:lang w:eastAsia="zh-CN"/>
        </w:rPr>
        <w:t>。</w:t>
      </w:r>
    </w:p>
    <w:p w14:paraId="732D8E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提供嵌入门诊医生站、住院电子病历系统中，提供临床医生浏览调阅心电图报告结论；提供心电报告打印；提供通过浏览器调阅查看心电数据，心电图测量、调整心电图走纸和增益</w:t>
      </w:r>
    </w:p>
    <w:p w14:paraId="15207AB5">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康复治疗信息系统</w:t>
      </w:r>
    </w:p>
    <w:p w14:paraId="290520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康复医生工作站</w:t>
      </w:r>
    </w:p>
    <w:p w14:paraId="6890F0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实现医师对患者进行康复评估、预期目标、康复计划等操作及查看。</w:t>
      </w:r>
    </w:p>
    <w:p w14:paraId="626659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实现患者治疗项目的预约安排及执行状态的查看。</w:t>
      </w:r>
    </w:p>
    <w:p w14:paraId="71BC76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实现康复项目费用查看。</w:t>
      </w:r>
    </w:p>
    <w:p w14:paraId="6AAC73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实现批量下达、停止康复计划。</w:t>
      </w:r>
    </w:p>
    <w:p w14:paraId="49E532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康复评估</w:t>
      </w:r>
    </w:p>
    <w:p w14:paraId="2B6999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实现新增评估记录，可在不同阶段（初期、中期、末期）选择评估量表进行康复评估。</w:t>
      </w:r>
    </w:p>
    <w:p w14:paraId="22EA91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实现手工选择、组合模板、协助评估项目不同方式选择评估量表。</w:t>
      </w:r>
    </w:p>
    <w:p w14:paraId="699392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实现多个评估量表的连续书写。</w:t>
      </w:r>
    </w:p>
    <w:p w14:paraId="51EB96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实现移动端的康复评估，以满足无电脑条件下进行康复评估的场景，如床旁评估。</w:t>
      </w:r>
    </w:p>
    <w:p w14:paraId="388103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实现医师邀请治疗师协助评估的申请。</w:t>
      </w:r>
    </w:p>
    <w:p w14:paraId="60E6D5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实现协助评估申请不同状态的查看。</w:t>
      </w:r>
    </w:p>
    <w:p w14:paraId="58BEAF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实现综合类医院康复科室被邀请进行会诊的业务场景，会诊接受后，邀请科室医师可查看康复相关信息。</w:t>
      </w:r>
    </w:p>
    <w:p w14:paraId="09F00C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实现手工补充评估量表。</w:t>
      </w:r>
    </w:p>
    <w:p w14:paraId="5EFF6F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实现评估量表未完成情况下的作废。</w:t>
      </w:r>
    </w:p>
    <w:p w14:paraId="47D0A3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实现不同阶段同一评估量表在不同时间的结果对比。</w:t>
      </w:r>
    </w:p>
    <w:p w14:paraId="7748DE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实现根据评估量表的适用科室设置到对应科室书写评估量表。</w:t>
      </w:r>
    </w:p>
    <w:p w14:paraId="171765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问题目标</w:t>
      </w:r>
    </w:p>
    <w:p w14:paraId="139F4A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实现根据评估结果，自动产生患者当前康复问题清单。</w:t>
      </w:r>
    </w:p>
    <w:p w14:paraId="40E9E5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实现预期康复目标设置，可自动以评估结果更好一级的标准作为默认目标，同时实现手工设置目标。</w:t>
      </w:r>
    </w:p>
    <w:p w14:paraId="0F912F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实现治疗师对存在的问题根据问题程序和影响、患者意愿等选择是否进行治疗处置。</w:t>
      </w:r>
    </w:p>
    <w:p w14:paraId="4DED70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实现不处理问题原因的填写。</w:t>
      </w:r>
    </w:p>
    <w:p w14:paraId="26C010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实现同一评估问题与上一次评估结果的对比，形成患者问题的变化趋势。</w:t>
      </w:r>
    </w:p>
    <w:p w14:paraId="120AD6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康复计划</w:t>
      </w:r>
    </w:p>
    <w:p w14:paraId="2EAFC1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实现快速手工添加、修改康复计划。</w:t>
      </w:r>
    </w:p>
    <w:p w14:paraId="3B50DD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实现复制他人的康复计划。</w:t>
      </w:r>
    </w:p>
    <w:p w14:paraId="2EFA2E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实现针对康复计划进行床旁治疗的标记。</w:t>
      </w:r>
    </w:p>
    <w:p w14:paraId="040045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实现通过问题清单，自动产生康复计划。</w:t>
      </w:r>
    </w:p>
    <w:p w14:paraId="51756F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实现康复计划的下达，并自动产生医嘱。</w:t>
      </w:r>
    </w:p>
    <w:p w14:paraId="0BFC2F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实现多个问题针对同一康复项目，在不区分部位情况下合并显示，区分部位情况下分开显示，以实现不同情况的自动计费。</w:t>
      </w:r>
    </w:p>
    <w:p w14:paraId="42B86B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实现下达计划时通过CA签名方式产生医嘱记录。</w:t>
      </w:r>
    </w:p>
    <w:p w14:paraId="1237D4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实现拟定康复计划时根据适用科室过滤满足条件的治疗项目。</w:t>
      </w:r>
    </w:p>
    <w:p w14:paraId="2DEAD5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治疗师工作站</w:t>
      </w:r>
    </w:p>
    <w:p w14:paraId="4A8B09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实现治疗师对自己主要负责的患者信息的查看。</w:t>
      </w:r>
    </w:p>
    <w:p w14:paraId="02F8BF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实现治疗师对自己协助医师进行康复评估的患者信息的查看。</w:t>
      </w:r>
    </w:p>
    <w:p w14:paraId="003F88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实现治疗师对自己对患者进行康复评估、预期目标、康复计划等操作及查看。</w:t>
      </w:r>
    </w:p>
    <w:p w14:paraId="03E3DF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实现患者治疗项目的预约安及执行状态的查看。</w:t>
      </w:r>
    </w:p>
    <w:p w14:paraId="2448B7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实现康复项目费用查看。</w:t>
      </w:r>
    </w:p>
    <w:p w14:paraId="3DEFC2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实现治疗师对患者病案进行查问。</w:t>
      </w:r>
    </w:p>
    <w:p w14:paraId="22FED1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治疗师排班</w:t>
      </w:r>
    </w:p>
    <w:p w14:paraId="3AC0FC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实现主管治疗师（治疗师长）对治疗师的排班。</w:t>
      </w:r>
    </w:p>
    <w:p w14:paraId="4F8B68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实现通过复制上月产生当前月份的治疗师排班计划。</w:t>
      </w:r>
    </w:p>
    <w:p w14:paraId="1CA0A1D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实现节假日管理。</w:t>
      </w:r>
    </w:p>
    <w:p w14:paraId="493887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实现通过按工作日排班产生正常双休、节假日与调休日拟定工作日期的治疗师排班计划。</w:t>
      </w:r>
    </w:p>
    <w:p w14:paraId="254CA8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实现完成排班之后进行调班。</w:t>
      </w:r>
    </w:p>
    <w:p w14:paraId="6BA8E9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治疗师分配</w:t>
      </w:r>
    </w:p>
    <w:p w14:paraId="064E4C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实现主管治疗师（治疗师长）对治疗师进行分配。</w:t>
      </w:r>
    </w:p>
    <w:p w14:paraId="43BCC9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实现分配之后对治疗师进行更改。</w:t>
      </w:r>
    </w:p>
    <w:p w14:paraId="2881C5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实现主管治疗师（治疗师长）对患者是否完成康复治疗的查看。</w:t>
      </w:r>
    </w:p>
    <w:p w14:paraId="0259CD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患者预约安排</w:t>
      </w:r>
    </w:p>
    <w:p w14:paraId="55802C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实现长期康复项目一次性完成预约安排。</w:t>
      </w:r>
    </w:p>
    <w:p w14:paraId="49E6FA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实现预约安排时，根据康复项目自动获取需要占用的治疗室、治疗师、设备等。</w:t>
      </w:r>
    </w:p>
    <w:p w14:paraId="0332EB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实现患者预约安排的排他性</w:t>
      </w:r>
    </w:p>
    <w:p w14:paraId="2CD925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实现场所、设备信息查看。</w:t>
      </w:r>
    </w:p>
    <w:p w14:paraId="7F7E2E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实现康复医嘱发送后，推送消息到预约安排模块，提醒治疗师有新的任务产生。</w:t>
      </w:r>
    </w:p>
    <w:p w14:paraId="642E30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实现预约患者显示床旁属性。</w:t>
      </w:r>
    </w:p>
    <w:p w14:paraId="1A90A9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实现相同项目预约和并行项目预约。</w:t>
      </w:r>
    </w:p>
    <w:p w14:paraId="47C570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实现根据治疗场所的优先级进行患者任务预约。</w:t>
      </w:r>
    </w:p>
    <w:p w14:paraId="4CF863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实现按治疗师工作量实现自动预约。</w:t>
      </w:r>
    </w:p>
    <w:p w14:paraId="4EDA86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协助评估申请</w:t>
      </w:r>
    </w:p>
    <w:p w14:paraId="088992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实现主管治疗师接受协助评估的申请。</w:t>
      </w:r>
    </w:p>
    <w:p w14:paraId="727F65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实现主管治疗师对已申请的接受协助评估患者进行作废。</w:t>
      </w:r>
    </w:p>
    <w:p w14:paraId="0CD287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实现主管治疗师对协助评估的患者不同状态的查看。</w:t>
      </w:r>
    </w:p>
    <w:p w14:paraId="5D2CF1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治疗师执行</w:t>
      </w:r>
    </w:p>
    <w:p w14:paraId="2FF7C1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实现治疗师对自己负责康复治疗患者信息的查看。</w:t>
      </w:r>
    </w:p>
    <w:p w14:paraId="3880CA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实现对已报到患者队列的查看。</w:t>
      </w:r>
    </w:p>
    <w:p w14:paraId="09B2EF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实现对患者的治疗进行执行登记，记录开始时间。</w:t>
      </w:r>
    </w:p>
    <w:p w14:paraId="2556EF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实现批量对患者的治疗进行执行登记。</w:t>
      </w:r>
    </w:p>
    <w:p w14:paraId="30DB58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实现对患者的治疗进行结束登记，记录结束时间。</w:t>
      </w:r>
    </w:p>
    <w:p w14:paraId="41159E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实现批量对患者的治疗进行结束登记。</w:t>
      </w:r>
    </w:p>
    <w:p w14:paraId="75AEF2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实现对患者治疗提前结束的原因登记。</w:t>
      </w:r>
    </w:p>
    <w:p w14:paraId="557E00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实现患者治疗过程记录的登记。</w:t>
      </w:r>
    </w:p>
    <w:p w14:paraId="76FC1A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实现患者治疗前的知情告知书写和打印。</w:t>
      </w:r>
    </w:p>
    <w:p w14:paraId="583BCA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实现患者治疗记录的打印和预览。</w:t>
      </w:r>
    </w:p>
    <w:p w14:paraId="68EFB2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实现移动设备执行治疗项目。</w:t>
      </w:r>
    </w:p>
    <w:p w14:paraId="4564CA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实现查看患者康复治疗活动闭环流程。</w:t>
      </w:r>
    </w:p>
    <w:p w14:paraId="57E6B4E8">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单病种管理系统</w:t>
      </w:r>
    </w:p>
    <w:p w14:paraId="0B868A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基础数据管理</w:t>
      </w:r>
    </w:p>
    <w:p w14:paraId="75E565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产品提供国家单病种平台单病种清单。</w:t>
      </w:r>
    </w:p>
    <w:p w14:paraId="35D876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提供对预设定好的信息项、信息项值域进行综合维护。</w:t>
      </w:r>
    </w:p>
    <w:p w14:paraId="2F4A8B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基于关系性数据库提供的连接标准格式化</w:t>
      </w:r>
    </w:p>
    <w:p w14:paraId="652882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提供定义不同的数据来源主体。</w:t>
      </w:r>
    </w:p>
    <w:p w14:paraId="412D4A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提供采集数据具体来源定义到具体到不同的业务、基础数据表。</w:t>
      </w:r>
    </w:p>
    <w:p w14:paraId="5EAC0C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提供针对每条上报数据项目进行配置定义，实现数据采集功能。</w:t>
      </w:r>
    </w:p>
    <w:p w14:paraId="07EDF1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产品提供对采集配置对照的信息存在问题，可以通过调试功能跟踪分析。</w:t>
      </w:r>
    </w:p>
    <w:p w14:paraId="20BD69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产品提供每个单病种表单，可由哪些信息项目构成，实现填报配置信息。</w:t>
      </w:r>
    </w:p>
    <w:p w14:paraId="044B05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产品提供对单病种表单中的信息项目，自定义填报时的校验规则。</w:t>
      </w:r>
    </w:p>
    <w:p w14:paraId="210A6B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产品提供从国家单病种质量管理与控制平台导入表单的信息项目构成。</w:t>
      </w:r>
    </w:p>
    <w:p w14:paraId="532160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数据上报与统计</w:t>
      </w:r>
    </w:p>
    <w:p w14:paraId="5697F9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产品提供自动、手工登记模式采集符合填报患者，临床科室核对采集信息后填报。</w:t>
      </w:r>
    </w:p>
    <w:p w14:paraId="740622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提供对临床科室填报后提交数据再次查验与审核。</w:t>
      </w:r>
    </w:p>
    <w:p w14:paraId="54C89C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自定义时间段，统计数据的填报情况。</w:t>
      </w:r>
    </w:p>
    <w:p w14:paraId="1EC5D5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提供根据用户要求，自定义统计报表。</w:t>
      </w:r>
    </w:p>
    <w:p w14:paraId="0C8D7883">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血液透析信息管理系统</w:t>
      </w:r>
    </w:p>
    <w:p w14:paraId="1AEB42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患者管理</w:t>
      </w:r>
    </w:p>
    <w:p w14:paraId="5C17F4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电子病历管理</w:t>
      </w:r>
    </w:p>
    <w:p w14:paraId="132AC6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电子病历需包含：病历首页、治疗方案、首程记录、治疗信息、治疗图表、治疗调整、长期口服用药、透析充分性、化验信息、化验图表、病程记录、阶段小结、血管通路等，提供打印患者条码等</w:t>
      </w:r>
    </w:p>
    <w:p w14:paraId="6A370C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患者基本信息：患者姓名、性别、出生年月、联系方式等信息，提供手工录入或HIS系统导入</w:t>
      </w:r>
    </w:p>
    <w:p w14:paraId="2714C8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提供对病人传染病类型进行登记</w:t>
      </w:r>
    </w:p>
    <w:p w14:paraId="3F6F54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提供患者长期口服用药记录</w:t>
      </w:r>
    </w:p>
    <w:p w14:paraId="2D1A0E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治疗方案：提供建立常规治疗方案、长期医嘱</w:t>
      </w:r>
    </w:p>
    <w:p w14:paraId="6C5038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治疗信息查询：提供查看患者历史治疗信息，包括医生记录和护士记录</w:t>
      </w:r>
    </w:p>
    <w:p w14:paraId="3CF497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治疗图表：患者历史治疗信息图表展示。</w:t>
      </w:r>
    </w:p>
    <w:p w14:paraId="1DB060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透析充分性评估：提供自动计算Kt/V、URR指标</w:t>
      </w:r>
    </w:p>
    <w:p w14:paraId="4DE5A7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提供患者血管通路照片管理</w:t>
      </w:r>
    </w:p>
    <w:p w14:paraId="37F8FC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实现患者每次治疗自动计费</w:t>
      </w:r>
    </w:p>
    <w:p w14:paraId="4DA313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提供门诊患者和住院患者收费统计区分管理</w:t>
      </w:r>
    </w:p>
    <w:p w14:paraId="36B335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阳性患者不能排在阴性透析区，阴性患者不能排在阳性透析区，通过患者标识来区分出阳性患者</w:t>
      </w:r>
    </w:p>
    <w:p w14:paraId="10D93B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可根根据实际需要对床位或患者进行特殊符号或者颜色标识</w:t>
      </w:r>
    </w:p>
    <w:p w14:paraId="10529D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根据排班系统生成透前准备详细信息和汇总信息，显示本班次需要准备的药品和耗材信息</w:t>
      </w:r>
    </w:p>
    <w:p w14:paraId="3B07D5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透析医嘱</w:t>
      </w:r>
    </w:p>
    <w:p w14:paraId="3C2A74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根据透析治疗流程，透析医嘱操作区分透前、透中和透后，透前包括透前评估、方案制定和透前医嘱三个模块，透中包括方案调整、透中医嘱、透中情况和治疗监控四个模块，透后可记录患者透析后的数据和透析后情况。</w:t>
      </w:r>
    </w:p>
    <w:p w14:paraId="625EB2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根据患者签到顺序自动排序</w:t>
      </w:r>
    </w:p>
    <w:p w14:paraId="5A73B4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感染患者特殊标识标注</w:t>
      </w:r>
    </w:p>
    <w:p w14:paraId="40F508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住院患者特殊标识标注</w:t>
      </w:r>
    </w:p>
    <w:p w14:paraId="272D85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对于常规透析患者，医生开立医嘱时，根据化验周期要求，系统自动提示近期需要做的化验项目</w:t>
      </w:r>
    </w:p>
    <w:p w14:paraId="0C2F70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提供通过医嘱拼音简码搜索开立医嘱</w:t>
      </w:r>
    </w:p>
    <w:p w14:paraId="488F18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 xml:space="preserve">提供开立药品、治疗、化验医嘱，显示医嘱明细列表 </w:t>
      </w:r>
    </w:p>
    <w:p w14:paraId="6E7E92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提供长期医嘱功能，可开立日常用药长期医嘱，并可记录停嘱人和停嘱时间</w:t>
      </w:r>
    </w:p>
    <w:p w14:paraId="1444B8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根据患者透前体重和干体重，自动计算出本次透析预设的超滤量</w:t>
      </w:r>
    </w:p>
    <w:p w14:paraId="1B2417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提供查看患者历史治疗信息</w:t>
      </w:r>
    </w:p>
    <w:p w14:paraId="7C1FBB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提供查看患者长期口服用药</w:t>
      </w:r>
    </w:p>
    <w:p w14:paraId="18952F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可查看患者化验结果</w:t>
      </w:r>
    </w:p>
    <w:p w14:paraId="64FB60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非透析医嘱</w:t>
      </w:r>
    </w:p>
    <w:p w14:paraId="25D14E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提供非透析医嘱的开立</w:t>
      </w:r>
    </w:p>
    <w:p w14:paraId="68C35A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提供开立药品、治疗、化验医嘱，显示医嘱明细列表</w:t>
      </w:r>
    </w:p>
    <w:p w14:paraId="2A47E6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透析情况记录</w:t>
      </w:r>
    </w:p>
    <w:p w14:paraId="4249A7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系统提供对本时段所有透析患者进行透析情况记录，可在一个操作界面对所有患者进行记录，包括治疗小结、透析中并发症记录等</w:t>
      </w:r>
    </w:p>
    <w:p w14:paraId="5DF1A2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医生交班记录</w:t>
      </w:r>
    </w:p>
    <w:p w14:paraId="33A058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提供医生交班记录，包括交班人、交班时间、交班内容。</w:t>
      </w:r>
    </w:p>
    <w:p w14:paraId="56B70E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病程记录</w:t>
      </w:r>
    </w:p>
    <w:p w14:paraId="061612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提供病程记录管理，患者下机后，系统自动生成本次治疗病程记录。</w:t>
      </w:r>
    </w:p>
    <w:p w14:paraId="4A2D50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阶段小结</w:t>
      </w:r>
    </w:p>
    <w:p w14:paraId="2FEB6B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提供阶段小结管理，提供模板化管理，智能填写小结信息。</w:t>
      </w:r>
    </w:p>
    <w:p w14:paraId="19776C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护士工作站</w:t>
      </w:r>
      <w:r>
        <w:rPr>
          <w:rFonts w:hint="eastAsia" w:ascii="华文中宋" w:hAnsi="华文中宋" w:eastAsia="华文中宋" w:cs="华文中宋"/>
          <w:color w:val="auto"/>
          <w:highlight w:val="none"/>
        </w:rPr>
        <w:tab/>
      </w:r>
    </w:p>
    <w:p w14:paraId="534465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护理记录</w:t>
      </w:r>
    </w:p>
    <w:p w14:paraId="62DF21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护理记录包括，透前评估、透中护理、透析下机、化验信息、血管通路、药品库存、健康宣教等</w:t>
      </w:r>
    </w:p>
    <w:p w14:paraId="5F04E3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护士工作站自动接收医嘱信息</w:t>
      </w:r>
    </w:p>
    <w:p w14:paraId="614C2E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透前评估：包括入院方式、神志、生命体征、血管通路情况</w:t>
      </w:r>
    </w:p>
    <w:p w14:paraId="54AA4F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分区显示已开立医嘱患者列表</w:t>
      </w:r>
    </w:p>
    <w:p w14:paraId="77B39A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感染患者特殊标识</w:t>
      </w:r>
    </w:p>
    <w:p w14:paraId="50790B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具备医嘱查对功能，先查对后执行，查对护士与责任护士不能是同一个人</w:t>
      </w:r>
    </w:p>
    <w:p w14:paraId="7D69BC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护士可通过移动设备实现床旁记录透析治疗数据和患者各项生命体征。</w:t>
      </w:r>
    </w:p>
    <w:p w14:paraId="265CBE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实现移动扫码查对执行医嘱；扫码记录护理操作，扫码内容包括安装管路、穿刺、上机、查对、交叉查对护理环节。</w:t>
      </w:r>
    </w:p>
    <w:p w14:paraId="2AF862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医嘱执行联动库存记录，系统自动扣减库存</w:t>
      </w:r>
    </w:p>
    <w:p w14:paraId="2375FE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对遗漏未记录的收费项目，提供护士日后追加补录</w:t>
      </w:r>
    </w:p>
    <w:p w14:paraId="4FAB84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提供治疗过程记录，对患者的生命体征、透析机的治疗参数和患者的通路情况进行记录</w:t>
      </w:r>
    </w:p>
    <w:p w14:paraId="59829B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可查看患者化验结果</w:t>
      </w:r>
    </w:p>
    <w:p w14:paraId="07B073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提供血管通路拍照保存</w:t>
      </w:r>
    </w:p>
    <w:p w14:paraId="39E8DF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非透析护理</w:t>
      </w:r>
    </w:p>
    <w:p w14:paraId="429C19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提供非透析治疗的医嘱执行和记录</w:t>
      </w:r>
    </w:p>
    <w:p w14:paraId="602D66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提供非透析治疗收费项目的追加</w:t>
      </w:r>
    </w:p>
    <w:p w14:paraId="61E157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护士排班</w:t>
      </w:r>
    </w:p>
    <w:p w14:paraId="093B5B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提供护士排班管理，按照周为排班周期，可为每个护士每天的上午、下午班次进行排班，排班内容包括护理病区、主、休、行、听、其他，并可进行排班备注。</w:t>
      </w:r>
    </w:p>
    <w:p w14:paraId="635D09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护理交班记录</w:t>
      </w:r>
    </w:p>
    <w:p w14:paraId="0891B5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提供护理交班记录，护士可根据患者治疗过程选择是否交接，系统自动生成交接记录。</w:t>
      </w:r>
    </w:p>
    <w:p w14:paraId="584F17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护士离岗交接</w:t>
      </w:r>
    </w:p>
    <w:p w14:paraId="3A12FB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提供护士离岗交接管理，护士临时离岗，可选择自己负责的患者、选择交接人，进行离岗交接，可对交接的患者进行备注；护士返岗后，可选择患者进行返岗操作，记录返岗时间。</w:t>
      </w:r>
    </w:p>
    <w:p w14:paraId="6316EA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危急值管理</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提供危急值管理，提供记录处理人和处理措施</w:t>
      </w:r>
    </w:p>
    <w:p w14:paraId="69C88B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透析充分性评估系统根据患者化验结果，自动计算Kt/V和URR指标</w:t>
      </w:r>
    </w:p>
    <w:p w14:paraId="3C9E79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移动医疗系统既能在电脑端使用，也可以在平板电脑上使用，提供安卓平板电脑和苹果平板电脑。医护人员可以方便的手持平板在床边记录患者治疗信息、下达医嘱、执行医嘱等。</w:t>
      </w:r>
    </w:p>
    <w:p w14:paraId="689525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健康宣教</w:t>
      </w:r>
    </w:p>
    <w:p w14:paraId="70794A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宣教库管理</w:t>
      </w:r>
    </w:p>
    <w:p w14:paraId="21564E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提供图片、文字、视频三种类型宣教材料管理</w:t>
      </w:r>
    </w:p>
    <w:p w14:paraId="0696C5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健康教育路径管理</w:t>
      </w:r>
    </w:p>
    <w:p w14:paraId="293EA5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提供针对不同类型的患者进行健康宣教内容管理</w:t>
      </w:r>
    </w:p>
    <w:p w14:paraId="284C9C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宣教记录</w:t>
      </w:r>
    </w:p>
    <w:p w14:paraId="406024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可通过床旁、电视进行宣教</w:t>
      </w:r>
    </w:p>
    <w:p w14:paraId="60E8F6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宣教查询统计</w:t>
      </w:r>
    </w:p>
    <w:p w14:paraId="47F84E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可根据医护、患者、宣教类别统计宣教，可查询历史宣教记录</w:t>
      </w:r>
    </w:p>
    <w:p w14:paraId="45B314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护理质控管理提供护理质控管理，并可记录本次的质控结果</w:t>
      </w:r>
    </w:p>
    <w:p w14:paraId="19244C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SOP质控统计提供最新SOP质控统计：</w:t>
      </w:r>
    </w:p>
    <w:p w14:paraId="78F783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血液透析治疗室透析消毒合格率</w:t>
      </w:r>
    </w:p>
    <w:p w14:paraId="422F9C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透析用水生物污染检验合格率</w:t>
      </w:r>
    </w:p>
    <w:p w14:paraId="6F2ED8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 透析用水生物污染检验合格率</w:t>
      </w:r>
    </w:p>
    <w:p w14:paraId="1134E8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 新入血液透析患者血源性传染病标志物检验完成率</w:t>
      </w:r>
    </w:p>
    <w:p w14:paraId="624A3F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 维持性血液透析患者血源性传染病标志物定时检验完成率</w:t>
      </w:r>
    </w:p>
    <w:p w14:paraId="48289E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 维持性血液透析患者的乙型肝炎和丙型肝炎发病率</w:t>
      </w:r>
    </w:p>
    <w:p w14:paraId="3C8CFC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 乙型肝炎发病率</w:t>
      </w:r>
    </w:p>
    <w:p w14:paraId="5E85B0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 丙型肝炎发病率</w:t>
      </w:r>
    </w:p>
    <w:p w14:paraId="75D866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 尿素清除指数(Kt/V)和尿素下降率(URR)定时记录完成率</w:t>
      </w:r>
    </w:p>
    <w:p w14:paraId="291752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 β2微球蛋白定时检验完成率</w:t>
      </w:r>
    </w:p>
    <w:p w14:paraId="5C35CB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 尿素清除指数(Kt/V)和尿素下降率(URR)控制率</w:t>
      </w:r>
    </w:p>
    <w:p w14:paraId="27FDD6A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 透析间期体重增长控制率</w:t>
      </w:r>
    </w:p>
    <w:p w14:paraId="2FE560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 动静脉内瘘长期生存率</w:t>
      </w:r>
    </w:p>
    <w:p w14:paraId="3E42E1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 血常规定时检验完成率</w:t>
      </w:r>
    </w:p>
    <w:p w14:paraId="0A20D2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 血液生化定时检验完成率</w:t>
      </w:r>
    </w:p>
    <w:p w14:paraId="2C743C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 全段甲状旁腺素(iPTH)定时检验完成率</w:t>
      </w:r>
    </w:p>
    <w:p w14:paraId="4AA5E5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17、 血清铁蛋白和转铁蛋白饱和度定时检验完成率</w:t>
      </w:r>
    </w:p>
    <w:p w14:paraId="468131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18、 前白蛋白定时检验完成率</w:t>
      </w:r>
    </w:p>
    <w:p w14:paraId="09F173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19、 C反应蛋白(CRP)定时检测完成率</w:t>
      </w:r>
    </w:p>
    <w:p w14:paraId="4D5A1E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 高血压控制率</w:t>
      </w:r>
    </w:p>
    <w:p w14:paraId="6EB82D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21、 肾性贫血控制率</w:t>
      </w:r>
    </w:p>
    <w:p w14:paraId="035A38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22、 慢性肾脏病-矿物质与骨异常(CKD-MBD)指标控制率</w:t>
      </w:r>
    </w:p>
    <w:p w14:paraId="4F7EE9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23、 血钙定时检测完成率</w:t>
      </w:r>
    </w:p>
    <w:p w14:paraId="6D977F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 血磷定时检测完成率</w:t>
      </w:r>
    </w:p>
    <w:p w14:paraId="5DBC34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25、 血钙控制率</w:t>
      </w:r>
    </w:p>
    <w:p w14:paraId="45DDC5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26、 血磷控制率</w:t>
      </w:r>
    </w:p>
    <w:p w14:paraId="1605B0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27、 甲状旁腺激素控制率</w:t>
      </w:r>
    </w:p>
    <w:p w14:paraId="1A88BA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28、 血清白蛋白控制率</w:t>
      </w:r>
    </w:p>
    <w:p w14:paraId="1A8619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护理质控查检提供护理质控查检管理，用户可自定义质控查检模板，可选择透析患者、护士进行查检，并记录查检结果；</w:t>
      </w:r>
    </w:p>
    <w:p w14:paraId="564394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提供按季度和年度进行图表统计，同时可查看每个查检项目的合格条目数和合格率。</w:t>
      </w:r>
    </w:p>
    <w:p w14:paraId="789C4E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感控管理透析感控管理提供新入患者按自定义时间节点和自定义感控指标统计感控结果，并对未及时进行感控化验的患者特殊颜色标识。</w:t>
      </w:r>
    </w:p>
    <w:p w14:paraId="1D709C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提供维持性透析患者按自定义时间节点和自定义感控指标统计感控结果，并对未及时进行感控化验的患者特殊颜色标识。</w:t>
      </w:r>
    </w:p>
    <w:p w14:paraId="5A3A13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提供按季度和自定义感控指标统计感控结果，并对未及时进行感控化验的患者特殊颜色标识</w:t>
      </w:r>
    </w:p>
    <w:p w14:paraId="2B894DD0">
      <w:pPr>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库房管理药房管理</w:t>
      </w:r>
    </w:p>
    <w:p w14:paraId="467CEF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实现药品的进销存与在库管理，提供入库，出库，使用等明细</w:t>
      </w:r>
    </w:p>
    <w:p w14:paraId="2ED19F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设置低库存报警</w:t>
      </w:r>
    </w:p>
    <w:p w14:paraId="299317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实现患者个人药品管理，提供个人药品的入库及在库管理，可记录每次用药使用情况并可导出打印。在药品不足时自动提醒</w:t>
      </w:r>
    </w:p>
    <w:p w14:paraId="4E8812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提供药品报废记录</w:t>
      </w:r>
    </w:p>
    <w:p w14:paraId="1BEF64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耗材管理</w:t>
      </w:r>
      <w:r>
        <w:rPr>
          <w:rFonts w:hint="eastAsia" w:ascii="华文中宋" w:hAnsi="华文中宋" w:eastAsia="华文中宋" w:cs="华文中宋"/>
          <w:color w:val="auto"/>
          <w:highlight w:val="none"/>
        </w:rPr>
        <w:tab/>
      </w:r>
    </w:p>
    <w:p w14:paraId="40664B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实现耗材的进销存与在库管理，提供入库，出库，使用等明细。</w:t>
      </w:r>
    </w:p>
    <w:p w14:paraId="74F5E6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设置低库存报警</w:t>
      </w:r>
    </w:p>
    <w:p w14:paraId="1BF4DF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实现耗材与透析治疗项关联，自动记录耗材和计费</w:t>
      </w:r>
    </w:p>
    <w:p w14:paraId="2F9C54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提供耗材报废记录</w:t>
      </w:r>
    </w:p>
    <w:p w14:paraId="1AF73F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提供虚拟退库</w:t>
      </w:r>
    </w:p>
    <w:p w14:paraId="7C4336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设备管理透析机管理</w:t>
      </w:r>
      <w:r>
        <w:rPr>
          <w:rFonts w:hint="eastAsia" w:ascii="华文中宋" w:hAnsi="华文中宋" w:eastAsia="华文中宋" w:cs="华文中宋"/>
          <w:color w:val="auto"/>
          <w:highlight w:val="none"/>
        </w:rPr>
        <w:tab/>
      </w:r>
    </w:p>
    <w:p w14:paraId="420DD2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实现透析机、水处理设备的设备档案、维护记录、维修记录管理</w:t>
      </w:r>
    </w:p>
    <w:p w14:paraId="3ED3DD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实现水处理机水质监测数据的记录</w:t>
      </w:r>
    </w:p>
    <w:p w14:paraId="4084C8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实现对消毒液、细菌、内毒素等各项监测数据记录</w:t>
      </w:r>
    </w:p>
    <w:p w14:paraId="7F86CA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提供为每台透析机设定日消毒和周消毒模板，日消毒包括台间消毒和终末消毒，周消毒可选择一周的某一天选择周消毒方式，系统根据模板自动在患者透析治疗结束后生成消毒记录。</w:t>
      </w:r>
    </w:p>
    <w:p w14:paraId="60BAE5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水机管理</w:t>
      </w:r>
      <w:r>
        <w:rPr>
          <w:rFonts w:hint="eastAsia" w:ascii="华文中宋" w:hAnsi="华文中宋" w:eastAsia="华文中宋" w:cs="华文中宋"/>
          <w:color w:val="auto"/>
          <w:highlight w:val="none"/>
        </w:rPr>
        <w:tab/>
      </w:r>
    </w:p>
    <w:p w14:paraId="1F7A4F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科室管理工作量统计护士工作量统计</w:t>
      </w:r>
    </w:p>
    <w:p w14:paraId="07BF0F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系统自动记录科室护士每天工作量，形成统计报表</w:t>
      </w:r>
    </w:p>
    <w:p w14:paraId="7EAD0D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医生工作量统计</w:t>
      </w:r>
    </w:p>
    <w:p w14:paraId="592008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系统自动记录科室医生每日工作量，形成统计报表</w:t>
      </w:r>
    </w:p>
    <w:p w14:paraId="13A8EC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科研分析科研分析系统提供多维度的数据统计，提供临床科研数据分析，降低临床管理成本，辅助临床决策，同时给治疗提供相关数据提供。</w:t>
      </w:r>
    </w:p>
    <w:p w14:paraId="186F86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主要分为以下几个大类：</w:t>
      </w:r>
    </w:p>
    <w:p w14:paraId="472346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治疗统计分析</w:t>
      </w:r>
    </w:p>
    <w:p w14:paraId="5EF85A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治疗方式血管通路统计、治疗方式日次统计、治疗方式月次统计、患者治疗统计、透析频次统计、透中并发症统计、非计划下机统计、血压统计、水分增长统计</w:t>
      </w:r>
    </w:p>
    <w:p w14:paraId="1F2C92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化验统计</w:t>
      </w:r>
    </w:p>
    <w:p w14:paraId="2460F7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患者化验指标统计、常用检验指标统计、常用检验项目统计、单项指标汇总、单项指标统计、血清转铁蛋白统计、钙磷统计、Kt/V统计、BMG统计、微球蛋白统计、检查评估统计</w:t>
      </w:r>
    </w:p>
    <w:p w14:paraId="0383DD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(3)质控统计</w:t>
      </w:r>
    </w:p>
    <w:p w14:paraId="53B99B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护理检查统计、质控内容统计</w:t>
      </w:r>
    </w:p>
    <w:p w14:paraId="4DF2A3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患者统计</w:t>
      </w:r>
    </w:p>
    <w:p w14:paraId="36197B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性别统计、年龄统计、透析龄统计、原发病统计、新入患者统计、转归统计</w:t>
      </w:r>
    </w:p>
    <w:p w14:paraId="1E32EB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通路统计</w:t>
      </w:r>
    </w:p>
    <w:p w14:paraId="730E42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通路类型统计、通路时长统计、首次透析患者使用内瘘统计、患者导管统计、通路并发症统计</w:t>
      </w:r>
    </w:p>
    <w:p w14:paraId="173857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科室统计</w:t>
      </w:r>
    </w:p>
    <w:p w14:paraId="20E8BD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宣教统计、宣教计划统计、工作量统计、药品使用统计、耗材使用统计</w:t>
      </w:r>
    </w:p>
    <w:p w14:paraId="265B43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(7)评估统计</w:t>
      </w:r>
    </w:p>
    <w:p w14:paraId="4B8687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护理评估统计</w:t>
      </w:r>
    </w:p>
    <w:p w14:paraId="632C68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(8)感控统计</w:t>
      </w:r>
    </w:p>
    <w:p w14:paraId="5E9837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透析感控指标统计、季度检查项目统计、阴转阳统计</w:t>
      </w:r>
    </w:p>
    <w:p w14:paraId="37D97B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权限管理</w:t>
      </w:r>
      <w:r>
        <w:rPr>
          <w:rFonts w:hint="eastAsia" w:ascii="华文中宋" w:hAnsi="华文中宋" w:eastAsia="华文中宋" w:cs="华文中宋"/>
          <w:color w:val="auto"/>
          <w:highlight w:val="none"/>
        </w:rPr>
        <w:tab/>
      </w:r>
    </w:p>
    <w:p w14:paraId="6C8F61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实现按多角色多用户的分层权限管理</w:t>
      </w:r>
    </w:p>
    <w:p w14:paraId="1379CB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实现各类功能权限的选择配置</w:t>
      </w:r>
    </w:p>
    <w:p w14:paraId="0FAF13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辅助系统自助称量体重</w:t>
      </w:r>
      <w:r>
        <w:rPr>
          <w:rFonts w:hint="eastAsia" w:ascii="华文中宋" w:hAnsi="华文中宋" w:eastAsia="华文中宋" w:cs="华文中宋"/>
          <w:color w:val="auto"/>
          <w:highlight w:val="none"/>
        </w:rPr>
        <w:tab/>
      </w:r>
    </w:p>
    <w:p w14:paraId="077B40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与电子体重计联机，实现患者自助测量体重</w:t>
      </w:r>
    </w:p>
    <w:p w14:paraId="7EFBAB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体重数据自动计入当日透析记录，自动保存至电子病历</w:t>
      </w:r>
    </w:p>
    <w:p w14:paraId="458205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自助测量血压</w:t>
      </w:r>
      <w:r>
        <w:rPr>
          <w:rFonts w:hint="eastAsia" w:ascii="华文中宋" w:hAnsi="华文中宋" w:eastAsia="华文中宋" w:cs="华文中宋"/>
          <w:color w:val="auto"/>
          <w:highlight w:val="none"/>
        </w:rPr>
        <w:tab/>
      </w:r>
    </w:p>
    <w:p w14:paraId="2D8E76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与电子血压计联机，实现患者自助测量血压</w:t>
      </w:r>
    </w:p>
    <w:p w14:paraId="1FB4C7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血压及脉搏数据计入当日透析记录，自动保存至电子病历</w:t>
      </w:r>
    </w:p>
    <w:p w14:paraId="720026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自动排队排号根据刷卡顺序自动排队排号</w:t>
      </w:r>
    </w:p>
    <w:p w14:paraId="3BDC6C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家属等候区</w:t>
      </w:r>
      <w:r>
        <w:rPr>
          <w:rFonts w:hint="eastAsia" w:ascii="华文中宋" w:hAnsi="华文中宋" w:eastAsia="华文中宋" w:cs="华文中宋"/>
          <w:color w:val="auto"/>
          <w:highlight w:val="none"/>
        </w:rPr>
        <w:tab/>
      </w:r>
    </w:p>
    <w:p w14:paraId="668E51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可显示当日患者实时治疗进度，提供患者隐私保护</w:t>
      </w:r>
    </w:p>
    <w:p w14:paraId="400DD4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配合呼叫系统显示呼叫内容，电视自动播报语音信息</w:t>
      </w:r>
    </w:p>
    <w:p w14:paraId="1CD2F6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可播放视频和文字，可手动切换家属等候区</w:t>
      </w:r>
    </w:p>
    <w:p w14:paraId="42A4F6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可配置定时播放视频文字，定时切换家属等候区</w:t>
      </w:r>
    </w:p>
    <w:p w14:paraId="215CC1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语音呼叫</w:t>
      </w:r>
      <w:r>
        <w:rPr>
          <w:rFonts w:hint="eastAsia" w:ascii="华文中宋" w:hAnsi="华文中宋" w:eastAsia="华文中宋" w:cs="华文中宋"/>
          <w:color w:val="auto"/>
          <w:highlight w:val="none"/>
        </w:rPr>
        <w:tab/>
      </w:r>
    </w:p>
    <w:p w14:paraId="18CAE2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具有“语音呼叫”功能模块</w:t>
      </w:r>
    </w:p>
    <w:p w14:paraId="07D4FE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床旁直接呼叫等待区家属</w:t>
      </w:r>
    </w:p>
    <w:p w14:paraId="2252F3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呼叫内容可预先自定义</w:t>
      </w:r>
    </w:p>
    <w:p w14:paraId="7ECF633C">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药库管理系统</w:t>
      </w:r>
    </w:p>
    <w:p w14:paraId="25C04C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药品字典及价格管理</w:t>
      </w:r>
    </w:p>
    <w:p w14:paraId="4B3FBB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提供药品目录增加、删除、修改功能</w:t>
      </w:r>
    </w:p>
    <w:p w14:paraId="2443B7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提供药品价格管理</w:t>
      </w:r>
    </w:p>
    <w:p w14:paraId="214AF7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提供药品目录自定义查询</w:t>
      </w:r>
    </w:p>
    <w:p w14:paraId="3F92AB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药品外购入库管理</w:t>
      </w:r>
    </w:p>
    <w:p w14:paraId="20816D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提供外购入库单据增加、修改、删除功能</w:t>
      </w:r>
    </w:p>
    <w:p w14:paraId="198DB7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提供外购入库单据审核、冲销功能</w:t>
      </w:r>
    </w:p>
    <w:p w14:paraId="4329EB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提供外购入库单据的打印及输出功能</w:t>
      </w:r>
    </w:p>
    <w:p w14:paraId="0DC029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提供外购入库单据的统计</w:t>
      </w:r>
    </w:p>
    <w:p w14:paraId="09C696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提供采购入库/采购退货追溯码上传</w:t>
      </w:r>
    </w:p>
    <w:p w14:paraId="2EF007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药品自制入库管理</w:t>
      </w:r>
    </w:p>
    <w:p w14:paraId="7027A3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提供自制入库单据增加、修改、删除功能</w:t>
      </w:r>
    </w:p>
    <w:p w14:paraId="3839B2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提供自制入库单据审核、冲销功能</w:t>
      </w:r>
    </w:p>
    <w:p w14:paraId="0A4E1A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提供自制入库单据的打印及输出功能</w:t>
      </w:r>
    </w:p>
    <w:p w14:paraId="62ECD7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提供自制入库单据的统计</w:t>
      </w:r>
    </w:p>
    <w:p w14:paraId="4397EE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药品其他入库管理</w:t>
      </w:r>
    </w:p>
    <w:p w14:paraId="77373C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提供其他入库单据增加、修改、删除功能</w:t>
      </w:r>
    </w:p>
    <w:p w14:paraId="7ED4D5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提供其他入库单据审核、冲销功能</w:t>
      </w:r>
    </w:p>
    <w:p w14:paraId="66F743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提供其他入库单据的打印及输出功能</w:t>
      </w:r>
    </w:p>
    <w:p w14:paraId="23DBB3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提供其他入库单据的统计</w:t>
      </w:r>
    </w:p>
    <w:p w14:paraId="37A0CC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药品移库管理</w:t>
      </w:r>
    </w:p>
    <w:p w14:paraId="03ABDE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提供移库单据增加、修改、删除功能</w:t>
      </w:r>
    </w:p>
    <w:p w14:paraId="5D861E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提供移库单据审核、冲销功能</w:t>
      </w:r>
    </w:p>
    <w:p w14:paraId="15D58D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提供备药、发送、回退流程</w:t>
      </w:r>
    </w:p>
    <w:p w14:paraId="6D175B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提供移库单据的打印</w:t>
      </w:r>
    </w:p>
    <w:p w14:paraId="774519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提供移库单据的统计</w:t>
      </w:r>
    </w:p>
    <w:p w14:paraId="7DBEE4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药品领用管理</w:t>
      </w:r>
    </w:p>
    <w:p w14:paraId="160706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提供领用单据的增加、删除、修改功能</w:t>
      </w:r>
    </w:p>
    <w:p w14:paraId="661120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提供领用单据的审核和冲销</w:t>
      </w:r>
    </w:p>
    <w:p w14:paraId="0C2485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提供领用单据的打印</w:t>
      </w:r>
    </w:p>
    <w:p w14:paraId="57FA10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提供领用单据的统计</w:t>
      </w:r>
    </w:p>
    <w:p w14:paraId="6EC61A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药品其他出库管理</w:t>
      </w:r>
    </w:p>
    <w:p w14:paraId="5DD8CF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提供出库单据增加、修改、删除功能</w:t>
      </w:r>
    </w:p>
    <w:p w14:paraId="04BFA2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提供出库单据审核、冲销功能</w:t>
      </w:r>
    </w:p>
    <w:p w14:paraId="49CD8E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提供出库单据的打印及输出功能</w:t>
      </w:r>
    </w:p>
    <w:p w14:paraId="342E7C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提供出库单据的统计</w:t>
      </w:r>
    </w:p>
    <w:p w14:paraId="418810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药品盘点管理</w:t>
      </w:r>
    </w:p>
    <w:p w14:paraId="5168F4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提供药品盘点、报损和退库功能</w:t>
      </w:r>
    </w:p>
    <w:p w14:paraId="55B649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提供按照不同要求不同库房进行盘点的设置功能</w:t>
      </w:r>
    </w:p>
    <w:p w14:paraId="3FDEE4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打印盘点清单</w:t>
      </w:r>
    </w:p>
    <w:p w14:paraId="340ED2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提供冲销盘点单功能</w:t>
      </w:r>
    </w:p>
    <w:p w14:paraId="02ED4F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提供药品盘存追溯码上传</w:t>
      </w:r>
    </w:p>
    <w:p w14:paraId="1CE3B8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药库库存管理</w:t>
      </w:r>
    </w:p>
    <w:p w14:paraId="6A37E0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提供对药品处方明细的发药核对确认，消减库存并统计工作量</w:t>
      </w:r>
    </w:p>
    <w:p w14:paraId="688945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可随时查询任意时间段、任意药品的入、出、存明细账</w:t>
      </w:r>
    </w:p>
    <w:p w14:paraId="1DD7DA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提供按照不同库房查询库存功能</w:t>
      </w:r>
    </w:p>
    <w:p w14:paraId="2942FD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提供药品有效期特殊标注功能</w:t>
      </w:r>
    </w:p>
    <w:p w14:paraId="5A3BA2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提供库存输出功能</w:t>
      </w:r>
    </w:p>
    <w:p w14:paraId="2E7A76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药品应付款管理</w:t>
      </w:r>
    </w:p>
    <w:p w14:paraId="2A832A3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提供供应商应付款管理</w:t>
      </w:r>
    </w:p>
    <w:p w14:paraId="48559C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增加计划</w:t>
      </w:r>
    </w:p>
    <w:p w14:paraId="362376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提供单据审核、冲销功能</w:t>
      </w:r>
    </w:p>
    <w:p w14:paraId="066332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药品付款管理</w:t>
      </w:r>
    </w:p>
    <w:p w14:paraId="352D62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提供所有付款、一般付款、预付款、计划付款、拒绝付款的管理</w:t>
      </w:r>
    </w:p>
    <w:p w14:paraId="4B67EF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提供单据增加、修改、删除功能</w:t>
      </w:r>
    </w:p>
    <w:p w14:paraId="133888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提供单据的审核和冲销功能</w:t>
      </w:r>
    </w:p>
    <w:p w14:paraId="5D6CF6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提供打印及表格输出功能</w:t>
      </w:r>
    </w:p>
    <w:p w14:paraId="3F60A2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药品计划管理</w:t>
      </w:r>
    </w:p>
    <w:p w14:paraId="484331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提供增加、删除、修改计划功能</w:t>
      </w:r>
    </w:p>
    <w:p w14:paraId="3CFCFE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提供审核、复核、清除、取消功能</w:t>
      </w:r>
    </w:p>
    <w:p w14:paraId="0E573C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提供历史单据查看</w:t>
      </w:r>
    </w:p>
    <w:p w14:paraId="660210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提供计划打印、输出功能</w:t>
      </w:r>
    </w:p>
    <w:p w14:paraId="11A877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药品质量管理</w:t>
      </w:r>
    </w:p>
    <w:p w14:paraId="57CAB6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提供增加、修改、删除单据功能</w:t>
      </w:r>
    </w:p>
    <w:p w14:paraId="3A0664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提供处理药品和回退清除功能</w:t>
      </w:r>
    </w:p>
    <w:p w14:paraId="272D69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提供单据查阅、打印及输出到表格功能</w:t>
      </w:r>
    </w:p>
    <w:p w14:paraId="672E5B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药品结存管理</w:t>
      </w:r>
    </w:p>
    <w:p w14:paraId="5836A8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提供月底结存功能</w:t>
      </w:r>
    </w:p>
    <w:p w14:paraId="72EAD5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提供结存明细查看</w:t>
      </w:r>
    </w:p>
    <w:p w14:paraId="02B494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提供药品明细查看</w:t>
      </w:r>
    </w:p>
    <w:p w14:paraId="4F4B1F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提供误差明细查看</w:t>
      </w:r>
    </w:p>
    <w:p w14:paraId="590D34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药品调价管理</w:t>
      </w:r>
    </w:p>
    <w:p w14:paraId="723456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提供新增、修改、删除功能</w:t>
      </w:r>
    </w:p>
    <w:p w14:paraId="2D142C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提供调成本价和售价分别调价，成本价和售价同时调价</w:t>
      </w:r>
    </w:p>
    <w:p w14:paraId="413D8B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提供单据预览、打印及输出功能</w:t>
      </w:r>
    </w:p>
    <w:p w14:paraId="64C916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零差价批量调价</w:t>
      </w:r>
    </w:p>
    <w:p w14:paraId="1D0113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提供药品库存价格变更追溯码上传</w:t>
      </w:r>
    </w:p>
    <w:p w14:paraId="67B54D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药品申领管理</w:t>
      </w:r>
    </w:p>
    <w:p w14:paraId="6FE9DA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提供申领单据的增加、删除、修改功能</w:t>
      </w:r>
    </w:p>
    <w:p w14:paraId="6C6642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提供申领单据的审核和冲销功能</w:t>
      </w:r>
    </w:p>
    <w:p w14:paraId="32312B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提供申领单据的打印及输出功能</w:t>
      </w:r>
    </w:p>
    <w:p w14:paraId="136D40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提供申领单据的统计</w:t>
      </w:r>
    </w:p>
    <w:p w14:paraId="2CE092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协定药品入库</w:t>
      </w:r>
    </w:p>
    <w:p w14:paraId="39E39A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提供协定药品单据的增加、删除、修改功能</w:t>
      </w:r>
    </w:p>
    <w:p w14:paraId="72E391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提供协定药品单据的审核和冲销</w:t>
      </w:r>
    </w:p>
    <w:p w14:paraId="427F19E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提供协定药品单据的打印</w:t>
      </w:r>
    </w:p>
    <w:p w14:paraId="59B9AD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提供协定药品单据的统计</w:t>
      </w:r>
    </w:p>
    <w:p w14:paraId="43FD80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药品入库验收管理</w:t>
      </w:r>
    </w:p>
    <w:p w14:paraId="1BC015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提供入库验收新增、修改、删除、复核功能</w:t>
      </w:r>
    </w:p>
    <w:p w14:paraId="73AC72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提供单据查阅、预览、打印及输出功能</w:t>
      </w:r>
    </w:p>
    <w:p w14:paraId="68D607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提供验收标记及统计功能</w:t>
      </w:r>
    </w:p>
    <w:p w14:paraId="4190BBCA">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门诊药房管理系统</w:t>
      </w:r>
    </w:p>
    <w:p w14:paraId="7E7C64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药品移库管理</w:t>
      </w:r>
    </w:p>
    <w:p w14:paraId="10E599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提供移库单据增加、修改、删除功能</w:t>
      </w:r>
    </w:p>
    <w:p w14:paraId="073032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提供移库单据审核、冲销功能</w:t>
      </w:r>
    </w:p>
    <w:p w14:paraId="29D5E9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提供备药、发送、回退流程</w:t>
      </w:r>
    </w:p>
    <w:p w14:paraId="277043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提供移库单据的打印</w:t>
      </w:r>
    </w:p>
    <w:p w14:paraId="7BE0D4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提供移库单据的统计</w:t>
      </w:r>
    </w:p>
    <w:p w14:paraId="666DAC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药品领用管理</w:t>
      </w:r>
    </w:p>
    <w:p w14:paraId="463FAF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提供领用单据的增加、删除、修改功能</w:t>
      </w:r>
    </w:p>
    <w:p w14:paraId="525DE9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提供领用单据的审核和冲销</w:t>
      </w:r>
    </w:p>
    <w:p w14:paraId="7BDA0D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提供领用单据的打印</w:t>
      </w:r>
    </w:p>
    <w:p w14:paraId="0C9348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提供领用单据的统计</w:t>
      </w:r>
    </w:p>
    <w:p w14:paraId="153ECA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药品盘点管理</w:t>
      </w:r>
    </w:p>
    <w:p w14:paraId="692546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提供药品盘点、报损和退库功能</w:t>
      </w:r>
    </w:p>
    <w:p w14:paraId="5806A0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提供按照不同要求不同库房进行盘点的设置功能</w:t>
      </w:r>
    </w:p>
    <w:p w14:paraId="429AFC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打印盘点清单</w:t>
      </w:r>
    </w:p>
    <w:p w14:paraId="638327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提供冲销盘点单功能</w:t>
      </w:r>
    </w:p>
    <w:p w14:paraId="39CDA4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药品库存管理</w:t>
      </w:r>
    </w:p>
    <w:p w14:paraId="78BC84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可随时查询任意时间段、任意药品的入、出、存明细账</w:t>
      </w:r>
    </w:p>
    <w:p w14:paraId="3A0BF5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可以查看每个库房的药品库存，提供分批次查看</w:t>
      </w:r>
    </w:p>
    <w:p w14:paraId="461452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提供查找、分类查看功能</w:t>
      </w:r>
    </w:p>
    <w:p w14:paraId="077746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提供查看总账功能</w:t>
      </w:r>
    </w:p>
    <w:p w14:paraId="5BB428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药品计划管理</w:t>
      </w:r>
    </w:p>
    <w:p w14:paraId="3BCAFC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提供增加、删除、修改计划功能</w:t>
      </w:r>
    </w:p>
    <w:p w14:paraId="0CC18B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提供审核、复核、清除、取消功能</w:t>
      </w:r>
    </w:p>
    <w:p w14:paraId="1E9DFD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提供历史单据查看</w:t>
      </w:r>
    </w:p>
    <w:p w14:paraId="2A64E6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提供计划打印、输出到表格</w:t>
      </w:r>
    </w:p>
    <w:p w14:paraId="464A50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药品质量管理</w:t>
      </w:r>
    </w:p>
    <w:p w14:paraId="55E427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提供增加、修改、删除单据功能</w:t>
      </w:r>
    </w:p>
    <w:p w14:paraId="603751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提供处理药品和回退清除功能</w:t>
      </w:r>
    </w:p>
    <w:p w14:paraId="312236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提供单据查阅、打印及输出到表格功能</w:t>
      </w:r>
    </w:p>
    <w:p w14:paraId="193FED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药品结存管理</w:t>
      </w:r>
    </w:p>
    <w:p w14:paraId="0F6C94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提供月底结存功能</w:t>
      </w:r>
    </w:p>
    <w:p w14:paraId="1EDDB2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提供结存明细查看</w:t>
      </w:r>
    </w:p>
    <w:p w14:paraId="421DC1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提供药品明细查看</w:t>
      </w:r>
    </w:p>
    <w:p w14:paraId="42EA47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提供误差明细查看</w:t>
      </w:r>
    </w:p>
    <w:p w14:paraId="79617D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药品申领管理</w:t>
      </w:r>
    </w:p>
    <w:p w14:paraId="5B5122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提供增加、删除、修改申领单据功能</w:t>
      </w:r>
    </w:p>
    <w:p w14:paraId="1E24EC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提供审核、复核、清除、取消功能</w:t>
      </w:r>
    </w:p>
    <w:p w14:paraId="1B77B0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提供历史单据查看</w:t>
      </w:r>
    </w:p>
    <w:p w14:paraId="72898E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提供申领列表信息打印、输出到表格功能</w:t>
      </w:r>
    </w:p>
    <w:p w14:paraId="74B064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发药窗口管理</w:t>
      </w:r>
    </w:p>
    <w:p w14:paraId="0EA39B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提供发药窗口的新增、修改和删除功能</w:t>
      </w:r>
    </w:p>
    <w:p w14:paraId="507DA7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提供发药窗口上班下班的设置</w:t>
      </w:r>
    </w:p>
    <w:p w14:paraId="62050A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提供打印设置和打印预览功能</w:t>
      </w:r>
    </w:p>
    <w:p w14:paraId="6933F0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提供发药窗口列表输出到电子表格的功能</w:t>
      </w:r>
    </w:p>
    <w:p w14:paraId="077A4A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药品销售/销售退货追溯码上传</w:t>
      </w:r>
    </w:p>
    <w:p w14:paraId="2B6350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门急诊发药、配药管理</w:t>
      </w:r>
    </w:p>
    <w:p w14:paraId="17CD68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可自动打印配药单、处方签、发药清单、退药通知单等相关单据</w:t>
      </w:r>
    </w:p>
    <w:p w14:paraId="2009AB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提供对处方中部分或全部药品退药</w:t>
      </w:r>
    </w:p>
    <w:p w14:paraId="07EB2B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提供对药品处方明细的发药核对确认，消减库存并统计工作量</w:t>
      </w:r>
    </w:p>
    <w:p w14:paraId="5C1C84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提供根据普通、儿科、急诊、精神、麻醉药品类别自动显示相应处方颜色，提醒药剂师</w:t>
      </w:r>
    </w:p>
    <w:p w14:paraId="4A6DADD0">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住院药房管理系统</w:t>
      </w:r>
    </w:p>
    <w:p w14:paraId="4AE449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药品移库管理</w:t>
      </w:r>
    </w:p>
    <w:p w14:paraId="60E6E0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提供移库单据增加、修改、删除功能</w:t>
      </w:r>
    </w:p>
    <w:p w14:paraId="2CB826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提供移库单据审核、冲销功能</w:t>
      </w:r>
    </w:p>
    <w:p w14:paraId="235483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提供备药、发送、回退流程</w:t>
      </w:r>
    </w:p>
    <w:p w14:paraId="3BC90F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提供移库单据的打印</w:t>
      </w:r>
    </w:p>
    <w:p w14:paraId="67BD44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提供移库单据的统计</w:t>
      </w:r>
    </w:p>
    <w:p w14:paraId="22128F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药品领用管理</w:t>
      </w:r>
    </w:p>
    <w:p w14:paraId="3BA509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提供领用单据的增加、删除、修改功能</w:t>
      </w:r>
    </w:p>
    <w:p w14:paraId="1142C0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提供领用单据的审核和冲销</w:t>
      </w:r>
    </w:p>
    <w:p w14:paraId="2122F1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提供领用单据的打印</w:t>
      </w:r>
    </w:p>
    <w:p w14:paraId="2A6B531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提供领用单据的统计</w:t>
      </w:r>
    </w:p>
    <w:p w14:paraId="4043D3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药品盘点管理</w:t>
      </w:r>
    </w:p>
    <w:p w14:paraId="1EB7D1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提供药品盘点、报损和退库功能</w:t>
      </w:r>
    </w:p>
    <w:p w14:paraId="788E69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提供按照不同要求不同库房进行盘点的设置功能</w:t>
      </w:r>
    </w:p>
    <w:p w14:paraId="75A5FF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打印盘点清单</w:t>
      </w:r>
    </w:p>
    <w:p w14:paraId="225162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提供冲销盘点单功能</w:t>
      </w:r>
    </w:p>
    <w:p w14:paraId="6201D4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药品库存管理</w:t>
      </w:r>
    </w:p>
    <w:p w14:paraId="513085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提供对药品处方明细的发药核对确认，消减库存并统计工作量</w:t>
      </w:r>
    </w:p>
    <w:p w14:paraId="7D5DF2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可随时查询任意时间段、任意药品的入、出、存明细账</w:t>
      </w:r>
    </w:p>
    <w:p w14:paraId="7AE2F2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提供按照不同库房查询库存功能</w:t>
      </w:r>
    </w:p>
    <w:p w14:paraId="13C51D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提供药品有效期特殊标注功能</w:t>
      </w:r>
    </w:p>
    <w:p w14:paraId="3EF0C8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提供库存输出到电子表格功能</w:t>
      </w:r>
    </w:p>
    <w:p w14:paraId="094043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药品计划管理</w:t>
      </w:r>
    </w:p>
    <w:p w14:paraId="301F96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提供增加、删除、修改计划功能</w:t>
      </w:r>
    </w:p>
    <w:p w14:paraId="3F766A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提供审核、复核、清除、取消功能</w:t>
      </w:r>
    </w:p>
    <w:p w14:paraId="1BEB6F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提供历史单据查看</w:t>
      </w:r>
    </w:p>
    <w:p w14:paraId="6C22B3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提供计划打印、输出到表格</w:t>
      </w:r>
    </w:p>
    <w:p w14:paraId="47547F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药品质量管理</w:t>
      </w:r>
    </w:p>
    <w:p w14:paraId="2DA41E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提供增加、修改、删除单据功能</w:t>
      </w:r>
    </w:p>
    <w:p w14:paraId="7B27CD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提供处理药品和回退清除功能</w:t>
      </w:r>
    </w:p>
    <w:p w14:paraId="5EA68D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提供单据查阅、打印及输出到表格功能</w:t>
      </w:r>
    </w:p>
    <w:p w14:paraId="0F3966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药品结存管理</w:t>
      </w:r>
    </w:p>
    <w:p w14:paraId="48D9B4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提供月底结存功能</w:t>
      </w:r>
    </w:p>
    <w:p w14:paraId="43FEC9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提供结存明细查看</w:t>
      </w:r>
    </w:p>
    <w:p w14:paraId="7AF064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提供药品明细查看</w:t>
      </w:r>
    </w:p>
    <w:p w14:paraId="254DC9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提供误差明细查看</w:t>
      </w:r>
    </w:p>
    <w:p w14:paraId="2CB65D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药品申领管理</w:t>
      </w:r>
    </w:p>
    <w:p w14:paraId="260E9F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提供增加、删除、修改申领单据功能</w:t>
      </w:r>
    </w:p>
    <w:p w14:paraId="3A359F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提供审核、复核、清除、取消功能</w:t>
      </w:r>
    </w:p>
    <w:p w14:paraId="2E87A9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提供历史单据查看</w:t>
      </w:r>
    </w:p>
    <w:p w14:paraId="68D65C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提供申领列表信息打印、输出到表格功能</w:t>
      </w:r>
    </w:p>
    <w:p w14:paraId="6D0026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发药窗口管理</w:t>
      </w:r>
    </w:p>
    <w:p w14:paraId="238B45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提供发药窗口的新增、修改和删除功能</w:t>
      </w:r>
    </w:p>
    <w:p w14:paraId="7F4841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提供发药窗口上班下班的设置</w:t>
      </w:r>
    </w:p>
    <w:p w14:paraId="3A1C7D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提供打印设置和打印预览功能</w:t>
      </w:r>
    </w:p>
    <w:p w14:paraId="175477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提供发药窗口列表输出功能</w:t>
      </w:r>
    </w:p>
    <w:p w14:paraId="492468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药品销售/销售退货追溯码上传</w:t>
      </w:r>
    </w:p>
    <w:p w14:paraId="2AB058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住院发药、摆药管理</w:t>
      </w:r>
    </w:p>
    <w:p w14:paraId="47536A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可自动打印配药单、处方签、发药清单、退药通知单等相关单据</w:t>
      </w:r>
    </w:p>
    <w:p w14:paraId="4AD438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提供分别按病人的临时医嘱和长期医嘱执行确认上账功能，并自动生成各类药品的摆药单和汇总清单</w:t>
      </w:r>
    </w:p>
    <w:p w14:paraId="2E4690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提供对处方中部分或全部药品退药</w:t>
      </w:r>
    </w:p>
    <w:p w14:paraId="1DB57C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提供根据普通、儿科、急诊、精神、麻醉药品类别自动显示相应处方颜色，提醒药剂师</w:t>
      </w:r>
    </w:p>
    <w:p w14:paraId="75EF68FA">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物资管理系统</w:t>
      </w:r>
    </w:p>
    <w:p w14:paraId="719670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准入管理</w:t>
      </w:r>
    </w:p>
    <w:p w14:paraId="0ACD96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通过创建物资的准入事件，对物资的准入目录、准入方式进行管控，每个物资品种都关联其洽谈、招标文档，包括审批文件、采购合同，并关联执行细节。</w:t>
      </w:r>
    </w:p>
    <w:p w14:paraId="587D67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物资目录准入管理，添加物资目录基本信息，维护物资目录基本信息。</w:t>
      </w:r>
    </w:p>
    <w:p w14:paraId="51BDBB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计划管理</w:t>
      </w:r>
    </w:p>
    <w:p w14:paraId="7B8727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总务科仓库可创建每月申购计划。</w:t>
      </w:r>
    </w:p>
    <w:p w14:paraId="65794C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提供二级库-临床科室创建申领计划，申购计划，提交计划</w:t>
      </w:r>
    </w:p>
    <w:p w14:paraId="248883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采购管理</w:t>
      </w:r>
    </w:p>
    <w:p w14:paraId="51D050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申购计划可按供应商进行汇总并下采购订单，系统可分批向供应商提供采购订单，提供导出电子表格，系统可查看供应商订单汇总记录。</w:t>
      </w:r>
    </w:p>
    <w:p w14:paraId="288AD1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总务科仓库应可查看所有下订单记录、送货单记录，还能根据供应商表现对此次采购行为进行评价。</w:t>
      </w:r>
    </w:p>
    <w:p w14:paraId="701ADE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提供物资采购进度跟踪管理，从科室计划提交、汇总、审批、供应商下单、供应商接单、发货、仓库验收、订单完成，整个采购过程的时间节点以及详情可实时跟踪并进行回溯查看;</w:t>
      </w:r>
    </w:p>
    <w:p w14:paraId="40C11E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验收管理</w:t>
      </w:r>
    </w:p>
    <w:p w14:paraId="33D646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验收管理:结合供应商平台，可在线接收供应商送货单，根据送货单信息一键验收操作。提供查询送货单记录以及订单记录。</w:t>
      </w:r>
    </w:p>
    <w:p w14:paraId="5962E0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入库管理，系统提供来货在线入库操作，选择供应商信息，根据录入物品编码，快速检索目录信息，录入物资来货数量、生产批号、效期，完成快速入库;提供在线预览、打印入库单;查看入库记录。</w:t>
      </w:r>
    </w:p>
    <w:p w14:paraId="3C8498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对科室的领用计划进行出库操作、打印出库单、发货，记录出库情况。</w:t>
      </w:r>
    </w:p>
    <w:p w14:paraId="5AE43A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物资库管理</w:t>
      </w:r>
      <w:r>
        <w:rPr>
          <w:rFonts w:hint="eastAsia" w:ascii="华文中宋" w:hAnsi="华文中宋" w:eastAsia="华文中宋" w:cs="华文中宋"/>
          <w:color w:val="auto"/>
          <w:highlight w:val="none"/>
        </w:rPr>
        <w:tab/>
      </w:r>
    </w:p>
    <w:p w14:paraId="13770B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多级库房的管理模式：一级库、二级库、科室库等。</w:t>
      </w:r>
    </w:p>
    <w:p w14:paraId="181BD9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对物资库存进行管理，提供库存查询、库存查看;提供查看物资仓库的明细;多级库存管理,对各科室物资仓库的库存情况进行监管。</w:t>
      </w:r>
    </w:p>
    <w:p w14:paraId="14A884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仓库报表:包含但不限于以供应商名称作为查询条件、盘点表查询、月汇总表查询、出入库报表查询、月末结账查询、库存查询、库存帐查询、库存帐明细查询、库存类别、库存财务类别、出入库情况分析、库存存量查询。</w:t>
      </w:r>
    </w:p>
    <w:p w14:paraId="41371F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科室(二级库)物资库</w:t>
      </w:r>
      <w:r>
        <w:rPr>
          <w:rFonts w:hint="eastAsia" w:ascii="华文中宋" w:hAnsi="华文中宋" w:eastAsia="华文中宋" w:cs="华文中宋"/>
          <w:color w:val="auto"/>
          <w:highlight w:val="none"/>
        </w:rPr>
        <w:tab/>
      </w:r>
    </w:p>
    <w:p w14:paraId="6C8CA7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入库管理:临床科室通过系统直接获取物资仓库出库记录在线进行物资入库审核确认，查看本科室入库记录。</w:t>
      </w:r>
    </w:p>
    <w:p w14:paraId="4775DE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退库管理:临床科室能对领用的物资进行在线退库操作，物资仓库仓管员对物质审核无误后，总务会计在线预览打印退库单据，并能查看退库记录。</w:t>
      </w:r>
    </w:p>
    <w:p w14:paraId="5402CD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出库管理:各科室可对本科室消耗物资情况进行在线出库操作，并查看出库记录。</w:t>
      </w:r>
    </w:p>
    <w:p w14:paraId="155E5E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物资管理</w:t>
      </w:r>
    </w:p>
    <w:p w14:paraId="6B6182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物资的批次管理、有效期管理；物资的多单位管理，能够对物品的不同度量单位进行换算；物资的最高采购价限制，能够根据物资的实际情况安排质检的方式。</w:t>
      </w:r>
    </w:p>
    <w:p w14:paraId="22F1F3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条码化管理</w:t>
      </w:r>
      <w:r>
        <w:rPr>
          <w:rFonts w:hint="eastAsia" w:ascii="华文中宋" w:hAnsi="华文中宋" w:eastAsia="华文中宋" w:cs="华文中宋"/>
          <w:color w:val="auto"/>
          <w:highlight w:val="none"/>
        </w:rPr>
        <w:tab/>
      </w:r>
      <w:r>
        <w:rPr>
          <w:rFonts w:hint="eastAsia" w:ascii="华文中宋" w:hAnsi="华文中宋" w:eastAsia="华文中宋" w:cs="华文中宋"/>
          <w:color w:val="auto"/>
          <w:highlight w:val="none"/>
        </w:rPr>
        <w:t>系统可提供一维码、二维码管理;</w:t>
      </w:r>
    </w:p>
    <w:p w14:paraId="6D8503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盘点结转</w:t>
      </w:r>
    </w:p>
    <w:p w14:paraId="51E1B6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系统可对后期物资进行年中、年末盘点、结转，生成对应的盘点、结转表提供给财务。</w:t>
      </w:r>
    </w:p>
    <w:p w14:paraId="33375B9C">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设备管理系统</w:t>
      </w:r>
    </w:p>
    <w:p w14:paraId="5D284D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设备采购管理</w:t>
      </w:r>
    </w:p>
    <w:p w14:paraId="1DBFD5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设备采购管理提供设备采购的申请、采购计划、采购订货、采购入库、采购结算、现存量查询等功能</w:t>
      </w:r>
    </w:p>
    <w:p w14:paraId="1FB246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资产卡片管理</w:t>
      </w:r>
    </w:p>
    <w:p w14:paraId="38C009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提供固定置产卡片增加、减少、变动、盘点、清查、维护、折旧等业务管理及报表分析的功能</w:t>
      </w:r>
    </w:p>
    <w:p w14:paraId="28737B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设备维护管理</w:t>
      </w:r>
    </w:p>
    <w:p w14:paraId="4BD2BE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提供医院设备的日常检查、报修、维修、维护追溯的功能</w:t>
      </w:r>
    </w:p>
    <w:p w14:paraId="0E3CD6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折旧管理</w:t>
      </w:r>
    </w:p>
    <w:p w14:paraId="0A3B4B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按确定的方法对应计折旧额进行的系统分摊。</w:t>
      </w:r>
    </w:p>
    <w:p w14:paraId="397FDE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设备供应商管理</w:t>
      </w:r>
    </w:p>
    <w:p w14:paraId="15A8A1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提供供应商及资产材料的资质管理、证书效期管理、预警管理、供应商提醒。</w:t>
      </w:r>
    </w:p>
    <w:p w14:paraId="4F4A6A1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抗菌药物管理系统</w:t>
      </w:r>
    </w:p>
    <w:p w14:paraId="7E2B20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抗菌药物规则设置</w:t>
      </w:r>
    </w:p>
    <w:p w14:paraId="22D3C1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提供抗菌药物的等级信息维护，提供抗菌药物目录的分级查阅和维护</w:t>
      </w:r>
    </w:p>
    <w:p w14:paraId="24C894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提供对自备药限制使用抗菌药物</w:t>
      </w:r>
    </w:p>
    <w:p w14:paraId="1D95E4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抗菌药物联合用药控制</w:t>
      </w:r>
    </w:p>
    <w:p w14:paraId="650503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提供越级使用抗菌药品的明细和汇总统计表</w:t>
      </w:r>
    </w:p>
    <w:p w14:paraId="1B2AD5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提供越级使用的用量、天数限制，以及用药理由登记控制</w:t>
      </w:r>
    </w:p>
    <w:p w14:paraId="15D88F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提供在门诊处方中限制使用特殊使用级抗菌药物</w:t>
      </w:r>
    </w:p>
    <w:p w14:paraId="47CD12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抗菌药物三级管理</w:t>
      </w:r>
    </w:p>
    <w:p w14:paraId="0B712A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提供按科室、职务、管理职务对人员进行查询</w:t>
      </w:r>
    </w:p>
    <w:p w14:paraId="01D2305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提供将设置的开立控制规则，授权给指定的医务人员的使用。</w:t>
      </w:r>
    </w:p>
    <w:p w14:paraId="13461E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提供将设置药品开立的处方权。</w:t>
      </w:r>
    </w:p>
    <w:p w14:paraId="60123B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提供按科室、职务、管理职务对人员进行查询</w:t>
      </w:r>
    </w:p>
    <w:p w14:paraId="71A9CE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提供将设置的开立控制规则的审核权限，授权给指定的医务人员的使用。</w:t>
      </w:r>
    </w:p>
    <w:p w14:paraId="7F114E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抗菌药物数据采集</w:t>
      </w:r>
    </w:p>
    <w:p w14:paraId="4B062B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实现门急诊处方记录的采集上报</w:t>
      </w:r>
    </w:p>
    <w:p w14:paraId="6BAB5A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实现住院患者信息的采集上报</w:t>
      </w:r>
    </w:p>
    <w:p w14:paraId="6C6AE6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实现住院诊断记录的采集上报</w:t>
      </w:r>
    </w:p>
    <w:p w14:paraId="2ED767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实现住院医嘱记录的采集上报</w:t>
      </w:r>
    </w:p>
    <w:p w14:paraId="01A93E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实现检验结果的采集上报</w:t>
      </w:r>
    </w:p>
    <w:p w14:paraId="7B922D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实现检查结果的采集上报</w:t>
      </w:r>
    </w:p>
    <w:p w14:paraId="06A594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实现手术记录的采集上报</w:t>
      </w:r>
    </w:p>
    <w:p w14:paraId="04436A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实现生命体征记录的采集上报</w:t>
      </w:r>
    </w:p>
    <w:p w14:paraId="75B8066F">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合理用药检测系统</w:t>
      </w:r>
    </w:p>
    <w:p w14:paraId="3A1AFC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药品知识库管理</w:t>
      </w:r>
    </w:p>
    <w:p w14:paraId="4CD8F5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实现药品对码管理，院内新进药品可通过对码功能对其说明书、以及相关规则进行同步刷新。</w:t>
      </w:r>
    </w:p>
    <w:p w14:paraId="7AB6F9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实现国家医保目录的药品相关信息的要点提示。</w:t>
      </w:r>
    </w:p>
    <w:p w14:paraId="2BFF10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实现药品和食品的相互作用要点提示。</w:t>
      </w:r>
    </w:p>
    <w:p w14:paraId="41F5AB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自动监测系统</w:t>
      </w:r>
    </w:p>
    <w:p w14:paraId="49E91D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实现禁止、禁用、慎用、注意等多级监测审核标准。</w:t>
      </w:r>
    </w:p>
    <w:p w14:paraId="0E5FB1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实现对超适应症用药进行自动监测。</w:t>
      </w:r>
    </w:p>
    <w:p w14:paraId="59F455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实现对禁忌症用药进行自动监测。</w:t>
      </w:r>
    </w:p>
    <w:p w14:paraId="3D78D6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实现对给药途径不适宜自动监测。</w:t>
      </w:r>
    </w:p>
    <w:p w14:paraId="559E23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实现超过最大剂量自动监测。</w:t>
      </w:r>
    </w:p>
    <w:p w14:paraId="759EB2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实现低于最小剂量自动监测。</w:t>
      </w:r>
    </w:p>
    <w:p w14:paraId="18BC66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实现不符常规剂量自动监测。</w:t>
      </w:r>
    </w:p>
    <w:p w14:paraId="1D9C57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实现超多日（疗程）用量自动监测。</w:t>
      </w:r>
    </w:p>
    <w:p w14:paraId="63D27A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实现超最大用药天数自动监测。</w:t>
      </w:r>
    </w:p>
    <w:p w14:paraId="29067D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实现男女性别不适宜自动监测。</w:t>
      </w:r>
    </w:p>
    <w:p w14:paraId="6AE1D0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实现病人来源不适宜自动监测。</w:t>
      </w:r>
    </w:p>
    <w:p w14:paraId="2C3E6B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实现开单医生不适宜自动监测。</w:t>
      </w:r>
    </w:p>
    <w:p w14:paraId="158CD7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实现检验指标用药禁忌自动监测。</w:t>
      </w:r>
    </w:p>
    <w:p w14:paraId="19D017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实现门诊输液自动监测。</w:t>
      </w:r>
    </w:p>
    <w:p w14:paraId="14856ED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实现成年人用药自动监测。</w:t>
      </w:r>
    </w:p>
    <w:p w14:paraId="34416F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实现老年人用药自动监测。</w:t>
      </w:r>
    </w:p>
    <w:p w14:paraId="7A2835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实现妊娠患者用药自动监测。</w:t>
      </w:r>
    </w:p>
    <w:p w14:paraId="5FF81F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实现哺乳患者用药自动监测。</w:t>
      </w:r>
    </w:p>
    <w:p w14:paraId="322147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实现运动员用药自动监测。</w:t>
      </w:r>
    </w:p>
    <w:p w14:paraId="4CF6D2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实现肝功能不全患者用药自动监测。</w:t>
      </w:r>
    </w:p>
    <w:p w14:paraId="288DCE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实现肾功能不全患者用药自动监测。</w:t>
      </w:r>
    </w:p>
    <w:p w14:paraId="2CF3DB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实现严重肝功能不全患者用药自动监测。</w:t>
      </w:r>
    </w:p>
    <w:p w14:paraId="782552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实现严重肾功能不全患者用药自动监测。</w:t>
      </w:r>
    </w:p>
    <w:p w14:paraId="1BD6BC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实现药品相互作用自动监测。</w:t>
      </w:r>
    </w:p>
    <w:p w14:paraId="1A9CC4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实现重复用药自动监测。</w:t>
      </w:r>
    </w:p>
    <w:p w14:paraId="536640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实现重复用药自动监测。</w:t>
      </w:r>
    </w:p>
    <w:p w14:paraId="6C1E03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实现注射剂配伍禁忌自动监测。</w:t>
      </w:r>
    </w:p>
    <w:p w14:paraId="67094C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实现注射剂配伍浓度自动监测。</w:t>
      </w:r>
    </w:p>
    <w:p w14:paraId="40855A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实现注射剂配伍浓度自动监测。</w:t>
      </w:r>
    </w:p>
    <w:p w14:paraId="776DC3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实现越权用药自动监测。</w:t>
      </w:r>
    </w:p>
    <w:p w14:paraId="12F1D6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实现注射剂溶媒自动监测。</w:t>
      </w:r>
    </w:p>
    <w:p w14:paraId="5591A5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实现特殊人群用药自动监测。</w:t>
      </w:r>
    </w:p>
    <w:p w14:paraId="458A8F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实现对中药饮片按照十八反十九畏等规则进行用药自动监测。</w:t>
      </w:r>
    </w:p>
    <w:p w14:paraId="24D9C9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实现药师对监测审核规则自定义。</w:t>
      </w:r>
    </w:p>
    <w:p w14:paraId="6B0944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实现药师设置监测审核规则后增加条件，可添加多个条件，实现多维度的用药自动监测：</w:t>
      </w:r>
    </w:p>
    <w:p w14:paraId="4F165D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用药规则管理</w:t>
      </w:r>
    </w:p>
    <w:p w14:paraId="23D659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实现对规则进行启(停)用管理。</w:t>
      </w:r>
    </w:p>
    <w:p w14:paraId="087CCD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实现统计药师自定义规则的数量。</w:t>
      </w:r>
    </w:p>
    <w:p w14:paraId="15A9DC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实现对科室是否开启合理用药自动监测进行自定义。</w:t>
      </w:r>
    </w:p>
    <w:p w14:paraId="5E487F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实现对用药规则进行复制，可以将当前药物的用药规则复制到其他药品上。</w:t>
      </w:r>
    </w:p>
    <w:p w14:paraId="7E4291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实现药师自行设置用药预警信息。</w:t>
      </w:r>
    </w:p>
    <w:p w14:paraId="7A79DA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实现药师对注射剂配伍规则进行自定义。</w:t>
      </w:r>
    </w:p>
    <w:p w14:paraId="47C28A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实现药师对药品相互作用规则进行自定义。</w:t>
      </w:r>
    </w:p>
    <w:p w14:paraId="796078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实现调整及批量调整相互作用规则等级。</w:t>
      </w:r>
    </w:p>
    <w:p w14:paraId="1A22EB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实现中药饮片的规则自定义。</w:t>
      </w:r>
    </w:p>
    <w:p w14:paraId="659692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实现重复用药规则自定义以及自定义药品分类。</w:t>
      </w:r>
    </w:p>
    <w:p w14:paraId="2FB207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实现给药途径属性自定义，用于相互作用规则的判断。</w:t>
      </w:r>
    </w:p>
    <w:p w14:paraId="4DB971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提供直观的监测审核规则管理界面，零代码要求，药剂科可自行修改维护。</w:t>
      </w:r>
    </w:p>
    <w:p w14:paraId="147511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合理用药提示</w:t>
      </w:r>
    </w:p>
    <w:p w14:paraId="675C9D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实现要点提示管理，药师可自定义在院药品的要点提示内容</w:t>
      </w:r>
    </w:p>
    <w:p w14:paraId="0B5795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合理用药自动检测统计</w:t>
      </w:r>
    </w:p>
    <w:p w14:paraId="184911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实现从药品维度对合理用药系统监测结果按监测类型统计。</w:t>
      </w:r>
    </w:p>
    <w:p w14:paraId="3FDE40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实现从药品维度对合理用药系统监测结果按禁忌等级统计。</w:t>
      </w:r>
    </w:p>
    <w:p w14:paraId="22452E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提供合理用药系统监测问题清单。</w:t>
      </w:r>
    </w:p>
    <w:p w14:paraId="08D9A8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提供合理用药系统监测问题按监测类型统计。</w:t>
      </w:r>
    </w:p>
    <w:p w14:paraId="00DF1C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提供合理用药系统监测问题按禁忌等级统计。</w:t>
      </w:r>
    </w:p>
    <w:p w14:paraId="1BD751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提供根据科室统计合理用药系统监测结果，并能按监测类型和禁忌等级统计。</w:t>
      </w:r>
    </w:p>
    <w:p w14:paraId="48ABFB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提供根据医生统计合理用药系统监测结果，并能按监测类型和禁忌等级统计。</w:t>
      </w:r>
    </w:p>
    <w:p w14:paraId="6F3E67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实现监测结果中对处方（医嘱）明细进行查看。</w:t>
      </w:r>
    </w:p>
    <w:p w14:paraId="17C8F8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实现在监测结果报表中查看患者的病案信息，能一键调阅患者在院的所有诊疗信息。</w:t>
      </w:r>
    </w:p>
    <w:p w14:paraId="67365C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实时审方系统</w:t>
      </w:r>
    </w:p>
    <w:p w14:paraId="59B13F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实现语音提醒药师有待审核处方。</w:t>
      </w:r>
    </w:p>
    <w:p w14:paraId="66D504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实现药师对中药饮片进行实时审方。</w:t>
      </w:r>
    </w:p>
    <w:p w14:paraId="395A83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实现审查过滤模板方案功能，通过设置，药师只对部分处方（医嘱）进行实时审核。</w:t>
      </w:r>
    </w:p>
    <w:p w14:paraId="328EB1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实现对过滤模板方案进行适用范围设定，包括所有人员、专业组人员或个人。</w:t>
      </w:r>
    </w:p>
    <w:p w14:paraId="2D7B90A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实现对过滤模板方案进行处方范围设定，包括门诊、住院等。</w:t>
      </w:r>
    </w:p>
    <w:p w14:paraId="1EFF35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实现对过滤模板方案进行重点关注项目设定。</w:t>
      </w:r>
    </w:p>
    <w:p w14:paraId="6698C4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实现为药师分配需审方科室，以便在审查任务时实现专科专审。</w:t>
      </w:r>
    </w:p>
    <w:p w14:paraId="2EE539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实现药师设置根据执行科室进行审方。</w:t>
      </w:r>
    </w:p>
    <w:p w14:paraId="1EC396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实现设置科室是否启用药师实时审方。</w:t>
      </w:r>
    </w:p>
    <w:p w14:paraId="4400DF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实现已审处方查看。</w:t>
      </w:r>
    </w:p>
    <w:p w14:paraId="152C0E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实现已审处方按时间、科室、审核药师、药品等条件进行过滤查看。</w:t>
      </w:r>
    </w:p>
    <w:p w14:paraId="4CE694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实现审方不通过理由模版自定义，减少药师审方录入不通过理由时间。</w:t>
      </w:r>
    </w:p>
    <w:p w14:paraId="1AB178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实现设置审方定时刷新间隔，药师站审方系统自动刷新，不用人为频繁刷新。</w:t>
      </w:r>
    </w:p>
    <w:p w14:paraId="11DFC2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实现对每次审方动作进行标记，药师可调阅标记过的审方记录。</w:t>
      </w:r>
    </w:p>
    <w:p w14:paraId="7AC03F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实现药师和医生通过药师站和医生站的通讯工具进行实时交流。</w:t>
      </w:r>
    </w:p>
    <w:p w14:paraId="3C0D79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实现审方评分管理，药师可对审方的结果进行评价打分，实现对药师审方的结果考评。</w:t>
      </w:r>
    </w:p>
    <w:p w14:paraId="7C660A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实现待审核界面通过时间轴的方式查看同一处方（医嘱）的历史审核信息。</w:t>
      </w:r>
    </w:p>
    <w:p w14:paraId="7E445B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患者信息查询</w:t>
      </w:r>
    </w:p>
    <w:p w14:paraId="028134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实现药师开始审核前选择待审对象，实现选择“门诊”“住院”“门诊和住院”实现处方的分流。</w:t>
      </w:r>
    </w:p>
    <w:p w14:paraId="664206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实现药师审方的同时，能够一键调阅查看病人在院的所有诊疗信息，包括病历、用药清单、检验检查结果等。</w:t>
      </w:r>
    </w:p>
    <w:p w14:paraId="7955E0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药品说明书检索系统</w:t>
      </w:r>
    </w:p>
    <w:p w14:paraId="32814C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实现按照药品进行说明书内容的检索</w:t>
      </w:r>
    </w:p>
    <w:p w14:paraId="2D0250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实现根据检索的药品显示说明书的内容</w:t>
      </w:r>
    </w:p>
    <w:p w14:paraId="66400A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审方结果交互系统</w:t>
      </w:r>
    </w:p>
    <w:p w14:paraId="08388E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实现临床医生站实时提醒药师实时审方结果。</w:t>
      </w:r>
    </w:p>
    <w:p w14:paraId="2EAFC0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药师站说明书查阅结构化显示。</w:t>
      </w:r>
    </w:p>
    <w:p w14:paraId="1EB15D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实现药师界面查看合理用药自动监测结果。</w:t>
      </w:r>
    </w:p>
    <w:p w14:paraId="1FCA17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实时审方规则配置系统</w:t>
      </w:r>
    </w:p>
    <w:p w14:paraId="633104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实现临床医生站对被“打回”处方进行处理，若接纳则进行医嘱修改，若拒绝需填写拒绝理由。</w:t>
      </w:r>
    </w:p>
    <w:p w14:paraId="261055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实现药师“接单”机制，使药师资源合理利用。</w:t>
      </w:r>
    </w:p>
    <w:p w14:paraId="5F0C89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实现药师状态在“开始审核”和“离开下线”状态切换，离线后审方任务不会再继续分配到该药师 。</w:t>
      </w:r>
    </w:p>
    <w:p w14:paraId="684575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实现设置处方超时自动通过时长，对超时处方进行时间设置，如果医生站在预设时间内未收到审方结果，则处方自动通过。</w:t>
      </w:r>
    </w:p>
    <w:p w14:paraId="3C63A2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实现在医生站查看当前审方倒计时。</w:t>
      </w:r>
    </w:p>
    <w:p w14:paraId="16ED5B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实现设置药师上下班时间，在非药师工作时间处方自动通过。</w:t>
      </w:r>
    </w:p>
    <w:p w14:paraId="5698A3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实现对所有紧急医嘱的忽略审方。</w:t>
      </w:r>
    </w:p>
    <w:p w14:paraId="1C7169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实现药师在审方界面查看对应药品的药品说明书。</w:t>
      </w:r>
    </w:p>
    <w:p w14:paraId="5E8F25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审方评价系统</w:t>
      </w:r>
    </w:p>
    <w:p w14:paraId="2BE3C3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实现用户自行设置药师实时审方的管控，并且实现对门诊和住院实行分开设置。</w:t>
      </w:r>
    </w:p>
    <w:p w14:paraId="68B78C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实时审方统计系统</w:t>
      </w:r>
    </w:p>
    <w:p w14:paraId="2250F9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实现药师、科室审方结果、审方工作量统计。</w:t>
      </w:r>
    </w:p>
    <w:p w14:paraId="39DA2B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实现按待审处方和已审处方分类查询统计。</w:t>
      </w:r>
    </w:p>
    <w:p w14:paraId="1C9967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实现按不通过理由统计用药清单。</w:t>
      </w:r>
    </w:p>
    <w:p w14:paraId="550E19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统计清单实现查看药师不通过理由、医生拒绝理由。</w:t>
      </w:r>
    </w:p>
    <w:p w14:paraId="46E81E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实现全院处方审核不通过的统计。</w:t>
      </w:r>
    </w:p>
    <w:p w14:paraId="695766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实现科室和医生处方审核不通过统计。</w:t>
      </w:r>
    </w:p>
    <w:p w14:paraId="07F021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实现自动统计药师审方趋势，形成药师审方趋势统计图。</w:t>
      </w:r>
    </w:p>
    <w:p w14:paraId="0BD0C1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实现点选图形表格中的专项内容生成专项的统计报表 。   </w:t>
      </w:r>
    </w:p>
    <w:p w14:paraId="29A472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实现重点处方统计、人工审核统计、自动通过处方统计。</w:t>
      </w:r>
    </w:p>
    <w:p w14:paraId="36EEDA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处方点评筛选系统</w:t>
      </w:r>
    </w:p>
    <w:p w14:paraId="209907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实现门诊处方以处方笺形式显示，并能对处方笺里的麻醉、精一、精二、儿童、急诊处方进行颜色区分。</w:t>
      </w:r>
    </w:p>
    <w:p w14:paraId="6920A2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实现专项药品使用专项点评项目。</w:t>
      </w:r>
    </w:p>
    <w:p w14:paraId="609C9A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实现药师处方点评时一键调阅患者在院所有诊疗信息。</w:t>
      </w:r>
    </w:p>
    <w:p w14:paraId="210F3D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实现药师在进行处方点评时查看抗菌药物联用图表。</w:t>
      </w:r>
    </w:p>
    <w:p w14:paraId="632321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实现设置多样条件进行处方的抽取。</w:t>
      </w:r>
    </w:p>
    <w:p w14:paraId="6AA2E1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实现按医生数量百分比进行处方的抽取。</w:t>
      </w:r>
    </w:p>
    <w:p w14:paraId="4CECCB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实现按全院处方百分比进行处方抽取。</w:t>
      </w:r>
    </w:p>
    <w:p w14:paraId="1D6582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实现抽取自费处方比例。</w:t>
      </w:r>
    </w:p>
    <w:p w14:paraId="6713A0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实现设置随机处方数量进行处方抽取。</w:t>
      </w:r>
    </w:p>
    <w:p w14:paraId="14FBD4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实现多抽取的处方分多次点评，每次点评的结果能够进行保存。</w:t>
      </w:r>
    </w:p>
    <w:p w14:paraId="129149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实现实现闭环点评，点评结果反馈至医生站，医生可在医生站查看到药师处方点评结果。</w:t>
      </w:r>
    </w:p>
    <w:p w14:paraId="3CB987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点评系统</w:t>
      </w:r>
    </w:p>
    <w:p w14:paraId="7E4D39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实现按照国家处方点评规范所包含点评内容进行点评。</w:t>
      </w:r>
    </w:p>
    <w:p w14:paraId="249D02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实现对每次抽取的处方列表进行编辑或备注。</w:t>
      </w:r>
    </w:p>
    <w:p w14:paraId="055B4F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实现针对住院抗菌药物、门诊抗菌药物进行专项抽取点评。</w:t>
      </w:r>
    </w:p>
    <w:p w14:paraId="298F7D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实现针对在院患者进行处方的抽取点评。</w:t>
      </w:r>
    </w:p>
    <w:p w14:paraId="5F32EE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实现对抗肿瘤药物、PPI、高警示药品、中药注射剂、中药饮片、人血白蛋白等药品进行专项抽取点评。</w:t>
      </w:r>
    </w:p>
    <w:p w14:paraId="2EF664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实现围手术期预防用抗菌药物专项抽取点评。</w:t>
      </w:r>
    </w:p>
    <w:p w14:paraId="3C30C0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实现对处方进行批量自动点评。</w:t>
      </w:r>
    </w:p>
    <w:p w14:paraId="3BEB0D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实现药师对自动点评的结果进行复核、修改。</w:t>
      </w:r>
    </w:p>
    <w:p w14:paraId="0AD24E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全院处方点评</w:t>
      </w:r>
    </w:p>
    <w:p w14:paraId="66AC96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实现对未写明日、月龄的新生儿、婴幼儿处方自动点评。</w:t>
      </w:r>
    </w:p>
    <w:p w14:paraId="3CFA52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实现对未按照抗菌药物临床应用管理规定开具抗菌药物的处方自动点评。</w:t>
      </w:r>
    </w:p>
    <w:p w14:paraId="690A90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实现对药品与诊断不相符的处方自动点评。</w:t>
      </w:r>
    </w:p>
    <w:p w14:paraId="127C29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实现对存在禁忌症的“孕妇禁/慎用”处方自动点评。</w:t>
      </w:r>
    </w:p>
    <w:p w14:paraId="433712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实现对存在禁忌症的“哺乳期妇女禁/慎用”处方自动点评。</w:t>
      </w:r>
    </w:p>
    <w:p w14:paraId="5BF95A6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实现对存在禁忌症的“肝功能不全禁/慎用”处方自动点评。</w:t>
      </w:r>
    </w:p>
    <w:p w14:paraId="1F0D17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实现对存在禁忌症的“肾功能不全禁/慎用”处方自动点评。</w:t>
      </w:r>
    </w:p>
    <w:p w14:paraId="6EC67F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实现对存在禁忌症的“年龄禁/慎用”处方自动点评。</w:t>
      </w:r>
    </w:p>
    <w:p w14:paraId="39E28C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实现对存在禁忌症的“性别禁/慎用”处方自动点评。</w:t>
      </w:r>
    </w:p>
    <w:p w14:paraId="702897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实现对存在禁忌症的“过敏禁/慎用”处方自动点评。</w:t>
      </w:r>
    </w:p>
    <w:p w14:paraId="47AB05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实现对药品剂型或给药途径不适宜的处方自动点评。</w:t>
      </w:r>
    </w:p>
    <w:p w14:paraId="6547DC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实现对用法、用量不适宜的处方自动点评。</w:t>
      </w:r>
    </w:p>
    <w:p w14:paraId="3721D0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实现对联合用药不适宜的处方自动点评。</w:t>
      </w:r>
    </w:p>
    <w:p w14:paraId="0CA22D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实现对重复给药的处方自动点评。</w:t>
      </w:r>
    </w:p>
    <w:p w14:paraId="14B081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实现对有配伍禁忌或者不良相互作用的处方自动点评。</w:t>
      </w:r>
    </w:p>
    <w:p w14:paraId="3C39BA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实现对无正当理由超说明书用药的处方自动点评。</w:t>
      </w:r>
    </w:p>
    <w:p w14:paraId="35E1D9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实现对无正当理由为同一患者同时开具2种以上药理作用相同药物的处方自动点评。</w:t>
      </w:r>
    </w:p>
    <w:p w14:paraId="04509E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实现对麻醉、精一药品控缓释剂型、其他剂型处方超过规定天数常用量自动点评。</w:t>
      </w:r>
    </w:p>
    <w:p w14:paraId="4BFB01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实现诊断中仅含病毒感染性疾病时使用抗菌药自动点评。</w:t>
      </w:r>
    </w:p>
    <w:p w14:paraId="10AA1B4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实现诊断为感染性疾病但未进行病原学检查自动点评。</w:t>
      </w:r>
    </w:p>
    <w:p w14:paraId="35B6B5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实现处方医生使用抗菌药物不符合分级管理规定自动点评。</w:t>
      </w:r>
    </w:p>
    <w:p w14:paraId="14BA4D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实现临床诊断填写不规范自动点评。</w:t>
      </w:r>
    </w:p>
    <w:p w14:paraId="4400E6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实现给药频率填写不规范自动点评。</w:t>
      </w:r>
    </w:p>
    <w:p w14:paraId="4E2A78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实现给药途径填写不规范自动点评。</w:t>
      </w:r>
    </w:p>
    <w:p w14:paraId="1F3E0C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实现溶媒量低于最小值自动点评。</w:t>
      </w:r>
    </w:p>
    <w:p w14:paraId="34F5E8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实现溶媒量低于推荐低值自动点评。</w:t>
      </w:r>
    </w:p>
    <w:p w14:paraId="5F05E3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实现溶媒量超过最大值自动点评。</w:t>
      </w:r>
    </w:p>
    <w:p w14:paraId="034D6C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实现溶媒量超过推荐高值自动点评。</w:t>
      </w:r>
    </w:p>
    <w:p w14:paraId="549585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实现普通中药材剂量超过推荐值自动点评。</w:t>
      </w:r>
    </w:p>
    <w:p w14:paraId="03B780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实现毒性中药材剂量超过推荐值自动点评。</w:t>
      </w:r>
    </w:p>
    <w:p w14:paraId="5238FF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实现不规范诊断的自动点评。</w:t>
      </w:r>
    </w:p>
    <w:p w14:paraId="459470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实现对慢病的用药量及用药天数进行自动点评。</w:t>
      </w:r>
    </w:p>
    <w:p w14:paraId="650608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实现对处方金额进行自动点评。</w:t>
      </w:r>
    </w:p>
    <w:p w14:paraId="033D9E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实现对中药味数进行自动点评。</w:t>
      </w:r>
    </w:p>
    <w:p w14:paraId="6046E1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门诊处方点评</w:t>
      </w:r>
    </w:p>
    <w:p w14:paraId="08AF2E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实现对未分别开具处方的西药、中成药与中药饮片处方自动点评。</w:t>
      </w:r>
    </w:p>
    <w:p w14:paraId="573311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实现对无配药人或审核人的处方自动点评。</w:t>
      </w:r>
    </w:p>
    <w:p w14:paraId="7FDD4B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实现对未写临床诊断或临床诊断书写不全的处方自动点评。</w:t>
      </w:r>
    </w:p>
    <w:p w14:paraId="1D0AA1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实现对超过五种药品的单张门急诊处方自动点评。</w:t>
      </w:r>
    </w:p>
    <w:p w14:paraId="186A22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实现对无特殊情况下门诊处方超过7日用量、急诊处方超过3日用量、慢性病、老年病或特殊情况下需要适当延长处方用量未注明理由的处方自动点评。</w:t>
      </w:r>
    </w:p>
    <w:p w14:paraId="3760E8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实现非慢性病/慢性病患者的门、急诊处方药品（非麻醉、非精一药品）总量超过规定天数用量自动点评。</w:t>
      </w:r>
    </w:p>
    <w:p w14:paraId="2AB5CD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实现单张处方为大金额处方自动点评。</w:t>
      </w:r>
    </w:p>
    <w:p w14:paraId="726D26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实现诊断中仅含病毒感染性疾病时不得使用抗菌药自动点评。</w:t>
      </w:r>
    </w:p>
    <w:p w14:paraId="3DB57F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抗菌药物专项点评</w:t>
      </w:r>
    </w:p>
    <w:p w14:paraId="2F4149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无预防用药指征。</w:t>
      </w:r>
    </w:p>
    <w:p w14:paraId="0C5285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超抗菌谱预防用药。</w:t>
      </w:r>
    </w:p>
    <w:p w14:paraId="2161F6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预防用药起点过高。</w:t>
      </w:r>
    </w:p>
    <w:p w14:paraId="1CFE5F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特殊人群预防用药不合理。</w:t>
      </w:r>
    </w:p>
    <w:p w14:paraId="1FE73B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预防用药有禁忌症。</w:t>
      </w:r>
    </w:p>
    <w:p w14:paraId="061030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超品种用药。</w:t>
      </w:r>
    </w:p>
    <w:p w14:paraId="417FE5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无多病菌混合感染指征。</w:t>
      </w:r>
    </w:p>
    <w:p w14:paraId="0CCC62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联用不能协同增加疗效。</w:t>
      </w:r>
    </w:p>
    <w:p w14:paraId="4CC0AA6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联用增加各自毒性。</w:t>
      </w:r>
    </w:p>
    <w:p w14:paraId="55C181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联用指征。</w:t>
      </w:r>
    </w:p>
    <w:p w14:paraId="36677C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溶媒选择不合理。</w:t>
      </w:r>
    </w:p>
    <w:p w14:paraId="7C0E72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无更换药物的依据。</w:t>
      </w:r>
    </w:p>
    <w:p w14:paraId="5C08B8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频繁换药。</w:t>
      </w:r>
    </w:p>
    <w:p w14:paraId="37FC0E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剂量过大。</w:t>
      </w:r>
    </w:p>
    <w:p w14:paraId="287A81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剂量过小。</w:t>
      </w:r>
    </w:p>
    <w:p w14:paraId="2D1C19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预防用药频次不合理。</w:t>
      </w:r>
    </w:p>
    <w:p w14:paraId="522520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围手术期专项点评</w:t>
      </w:r>
    </w:p>
    <w:p w14:paraId="5AB922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在切皮前≥2h给药。</w:t>
      </w:r>
    </w:p>
    <w:p w14:paraId="547756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术前未给药，切皮后或术后给药。</w:t>
      </w:r>
    </w:p>
    <w:p w14:paraId="7169CBF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切皮前&lt;0.5H给药。</w:t>
      </w:r>
    </w:p>
    <w:p w14:paraId="7A5F5D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切皮前0.5-2H给药。</w:t>
      </w:r>
    </w:p>
    <w:p w14:paraId="118461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违规追加药品。</w:t>
      </w:r>
    </w:p>
    <w:p w14:paraId="65092D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手术时间&gt;3H未追加。</w:t>
      </w:r>
    </w:p>
    <w:p w14:paraId="2B8A54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失血&gt;1500ml未追加</w:t>
      </w:r>
    </w:p>
    <w:p w14:paraId="694AE5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术后用药时间长。</w:t>
      </w:r>
    </w:p>
    <w:p w14:paraId="796EE4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发生ADR处置不当。</w:t>
      </w:r>
    </w:p>
    <w:p w14:paraId="5C4066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发生ADR病情加重。</w:t>
      </w:r>
    </w:p>
    <w:p w14:paraId="026AA2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发生ADR未点评上报。</w:t>
      </w:r>
    </w:p>
    <w:p w14:paraId="160172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在切皮前&gt;2H给药-术前用药时间不合理。</w:t>
      </w:r>
    </w:p>
    <w:p w14:paraId="5CF3B9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术前未给药，切皮后或术后给药-术前用药时间不合理。</w:t>
      </w:r>
    </w:p>
    <w:p w14:paraId="7606AC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切皮前&lt;0.5H给药-术前用药时间不合理。</w:t>
      </w:r>
    </w:p>
    <w:p w14:paraId="73EA59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手术时间&gt;3H未追加-术中用药不合理。</w:t>
      </w:r>
    </w:p>
    <w:p w14:paraId="33902E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24H~48H-术后用药时间长。</w:t>
      </w:r>
    </w:p>
    <w:p w14:paraId="73471C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48H~72H-术后用药时间长。</w:t>
      </w:r>
    </w:p>
    <w:p w14:paraId="742F5A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3天~7天-术后用药时间长。</w:t>
      </w:r>
    </w:p>
    <w:p w14:paraId="405AEA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&gt;7天-术后用药时间长。</w:t>
      </w:r>
    </w:p>
    <w:p w14:paraId="328DEF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中药饮片专项点评</w:t>
      </w:r>
    </w:p>
    <w:p w14:paraId="771FD7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有中药配伍禁忌。</w:t>
      </w:r>
    </w:p>
    <w:p w14:paraId="6BE053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用药与辩证不符。</w:t>
      </w:r>
    </w:p>
    <w:p w14:paraId="6E3654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中药超过规定味数。</w:t>
      </w:r>
    </w:p>
    <w:p w14:paraId="2379D8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TPN专项点评</w:t>
      </w:r>
    </w:p>
    <w:p w14:paraId="7EC6DB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供给热量不适宜的功能</w:t>
      </w:r>
    </w:p>
    <w:p w14:paraId="47E048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热氮比不适宜的功能</w:t>
      </w:r>
    </w:p>
    <w:p w14:paraId="657378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糖脂比不适宜的功能</w:t>
      </w:r>
    </w:p>
    <w:p w14:paraId="52A3F3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电解质浓度不适宜的功能</w:t>
      </w:r>
    </w:p>
    <w:p w14:paraId="1A778E3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其他专项点评</w:t>
      </w:r>
    </w:p>
    <w:p w14:paraId="4C098C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实现糖皮质激素类药品的点评</w:t>
      </w:r>
    </w:p>
    <w:p w14:paraId="3B7B3D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实现激素类药物类药品的点评</w:t>
      </w:r>
    </w:p>
    <w:p w14:paraId="124AE9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实现抗肿瘤药物血液制剂类药品的点评</w:t>
      </w:r>
    </w:p>
    <w:p w14:paraId="7CC913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实现麻醉药类药品的点评</w:t>
      </w:r>
    </w:p>
    <w:p w14:paraId="4570FB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实现精神药物类药品的点评</w:t>
      </w:r>
    </w:p>
    <w:p w14:paraId="75D636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实现质子泵抑制剂类药品的点评</w:t>
      </w:r>
    </w:p>
    <w:p w14:paraId="640DE0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实现碳青霉烯类类药品的点评</w:t>
      </w:r>
    </w:p>
    <w:p w14:paraId="5992E6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点评规则配置</w:t>
      </w:r>
    </w:p>
    <w:p w14:paraId="769875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实现药师对处方点评规则进行自定义，满足各类专项药品在不同用药环境下的灵活点评。</w:t>
      </w:r>
    </w:p>
    <w:p w14:paraId="5813FB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实现点评任务分配，可创建团体处方点评任务，并规定任务完成时间。</w:t>
      </w:r>
    </w:p>
    <w:p w14:paraId="19CD2D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实现对抽取条件进行模板建立，以便下次点评时快速进行抽取。</w:t>
      </w:r>
    </w:p>
    <w:p w14:paraId="0E791F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实现对点评问题以及问题对应点评类型进行自定义设置。</w:t>
      </w:r>
    </w:p>
    <w:p w14:paraId="057822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实现对专项点评分类自定义。</w:t>
      </w:r>
    </w:p>
    <w:p w14:paraId="67A3AA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处方点评统计</w:t>
      </w:r>
    </w:p>
    <w:p w14:paraId="4CB722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实现点选药品查看该药品的医生和科室使用情况。</w:t>
      </w:r>
    </w:p>
    <w:p w14:paraId="6B7C29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实现对基本药物的使用情况进行统计。</w:t>
      </w:r>
    </w:p>
    <w:p w14:paraId="711D95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实现从科室和医生的不同维度进行基本药物使用情况统计。</w:t>
      </w:r>
    </w:p>
    <w:p w14:paraId="1547A3F6">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病案统计管理系统</w:t>
      </w:r>
    </w:p>
    <w:p w14:paraId="6F450C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病案首页</w:t>
      </w:r>
    </w:p>
    <w:p w14:paraId="7EABC1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提供未归档、已归档、未录入、已审核、已排除上报等首页状态管理；</w:t>
      </w:r>
    </w:p>
    <w:p w14:paraId="15ED96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同一界面可在各种状态下时间、科室、病案号、患者姓名进行首页信息查询与相关操作管理；</w:t>
      </w:r>
    </w:p>
    <w:p w14:paraId="38CD4C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提供首页数据下钻明细，病案号修改、同步总数据、重抽费用数据、手工录入、病案归档，以及病案首页编辑、修改、删除、质控、打印、导出等</w:t>
      </w:r>
    </w:p>
    <w:p w14:paraId="4B658E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提供中（西）病案首页模板一键切换；</w:t>
      </w:r>
    </w:p>
    <w:p w14:paraId="668A6C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提供病案首页模板个性化管理。</w:t>
      </w:r>
    </w:p>
    <w:p w14:paraId="0993CF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提供病案首页信息自动采集+人工编辑+局部数据实时采集管理</w:t>
      </w:r>
    </w:p>
    <w:p w14:paraId="0FB780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提供首页数据编辑模糊汉字、下拉框选择等编辑管理；</w:t>
      </w:r>
    </w:p>
    <w:p w14:paraId="093571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提供手术切口、手术级别、户口、住址、病理诊断、籍贯、国籍等自动纠错与自动匹配编辑</w:t>
      </w:r>
    </w:p>
    <w:p w14:paraId="2883B2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提供新增某一患者首页数据、某一条疾病或手术条目，自动产出科室、科主任、质控医师、主手术医师、术者I助、术者II助、麻醉师、出院情况自动编辑；</w:t>
      </w:r>
    </w:p>
    <w:p w14:paraId="7A97C1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提供疾病与手术编码条目通过拖、拉、拽任意插入指定位置；</w:t>
      </w:r>
    </w:p>
    <w:p w14:paraId="6ED573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提供疾病与手术编码条目上方、下方移动、排序，以及删除功能。</w:t>
      </w:r>
    </w:p>
    <w:p w14:paraId="4AE6BB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提供非标准字典如手术等级、手术切口等标准化管理</w:t>
      </w:r>
    </w:p>
    <w:p w14:paraId="73EA5B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提供医院外部信息和数据字典管理</w:t>
      </w:r>
    </w:p>
    <w:p w14:paraId="42EDEE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提供不同标准、不同版本自动映射管理</w:t>
      </w:r>
    </w:p>
    <w:p w14:paraId="134C64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统计报表</w:t>
      </w:r>
    </w:p>
    <w:p w14:paraId="0CD710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提供门诊人次、专科人次、专家人次、急诊人次、抢救人次、手术例数、会诊人数、出院人数等数据维护；提供门诊工作报表产出。</w:t>
      </w:r>
    </w:p>
    <w:p w14:paraId="067F51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实际开放床位数、原有人数、入院人数、他科转入、转往他科、出院人数等数据维护。提供病案与日志对比，提供按统计日期调整留院人数以及相应自动调整历史数据，提供调整实际开放床位数，提供住院工作量相应报表产出。</w:t>
      </w:r>
    </w:p>
    <w:p w14:paraId="205E02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提供按科室、按项目总人次、门诊人次、住院人次、阳性数、门诊收入、住院收入、工时数等方面数据维护。提供医技科室以及项目维护；提供产出医技相应工作报表</w:t>
      </w:r>
    </w:p>
    <w:p w14:paraId="110C85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提供病案手术操作信息进行类目、亚目的术种及系统手术情况统计，进行全院、科室及术者的日间手术、手术占比、三四级手术占比、微创手术占比、术后并发症等统计分析</w:t>
      </w:r>
    </w:p>
    <w:p w14:paraId="2F0E7F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可选择任意字段到参数栏作为筛选条件，任意维度和指标作为展示内容；也可以随时删除某一筛选条件，数据会自动刷新。也可任意删除、增加维度和指标，重新组合生成新的报表</w:t>
      </w:r>
    </w:p>
    <w:p w14:paraId="2B092B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国家网络直报系统（卫统 4 表）上报</w:t>
      </w:r>
    </w:p>
    <w:p w14:paraId="4B2692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提供卫统四中（西）医质控</w:t>
      </w:r>
    </w:p>
    <w:p w14:paraId="772581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数据字典管理</w:t>
      </w:r>
    </w:p>
    <w:p w14:paraId="5DCC25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提供对疾病编码及病种的新增、修改、删除管理</w:t>
      </w:r>
    </w:p>
    <w:p w14:paraId="7D5F53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提供对医疗付款方式的新增、修改、删除管理</w:t>
      </w:r>
    </w:p>
    <w:p w14:paraId="62C8DD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提供对病人类型的新增、修改、删除管理</w:t>
      </w:r>
    </w:p>
    <w:p w14:paraId="44CD27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提供对出院方式的新增、修改、删除管理</w:t>
      </w:r>
    </w:p>
    <w:p w14:paraId="382379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病历无纸化</w:t>
      </w:r>
    </w:p>
    <w:p w14:paraId="7F5B83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病案打印</w:t>
      </w:r>
    </w:p>
    <w:p w14:paraId="018124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提供以住院号、姓名、身份证等信息检索患者</w:t>
      </w:r>
    </w:p>
    <w:p w14:paraId="38CF8E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提供以病人为单位进行打印</w:t>
      </w:r>
    </w:p>
    <w:p w14:paraId="7AC68C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提供选择打印病历文档</w:t>
      </w:r>
    </w:p>
    <w:p w14:paraId="0D03C6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提供份数、页数、打印机、纸张等基本的打印选项</w:t>
      </w:r>
    </w:p>
    <w:p w14:paraId="6189AF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提供按打印用途配置需打印的病历种类打印时根据选择的用途来打印相应的病历文档</w:t>
      </w:r>
    </w:p>
    <w:p w14:paraId="4D06F7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提供自定义打印用途配置</w:t>
      </w:r>
    </w:p>
    <w:p w14:paraId="03DD57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打印文档提供水印</w:t>
      </w:r>
    </w:p>
    <w:p w14:paraId="7F8066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病案归档</w:t>
      </w:r>
    </w:p>
    <w:p w14:paraId="26E43F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提供归档时检查患者所有归档文书</w:t>
      </w:r>
    </w:p>
    <w:p w14:paraId="01CDCD4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提供对归档文书进行问题标注</w:t>
      </w:r>
    </w:p>
    <w:p w14:paraId="1635F2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提供对标注问题反馈到指定医护人员</w:t>
      </w:r>
    </w:p>
    <w:p w14:paraId="4E3617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提供将病案退回到指定医护人员</w:t>
      </w:r>
    </w:p>
    <w:p w14:paraId="74004C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提供病历分类以树形展示</w:t>
      </w:r>
    </w:p>
    <w:p w14:paraId="584D13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w:t>
      </w:r>
      <w:r>
        <w:rPr>
          <w:rFonts w:hint="eastAsia" w:ascii="华文中宋" w:hAnsi="华文中宋" w:eastAsia="华文中宋" w:cs="华文中宋"/>
          <w:color w:val="auto"/>
          <w:highlight w:val="none"/>
          <w:lang w:val="en-US" w:eastAsia="zh-CN"/>
        </w:rPr>
        <w:t>图片式文档</w:t>
      </w:r>
      <w:r>
        <w:rPr>
          <w:rFonts w:hint="eastAsia" w:ascii="华文中宋" w:hAnsi="华文中宋" w:eastAsia="华文中宋" w:cs="华文中宋"/>
          <w:color w:val="auto"/>
          <w:highlight w:val="none"/>
        </w:rPr>
        <w:t>展示患者所有电子病案文书</w:t>
      </w:r>
    </w:p>
    <w:p w14:paraId="760492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提供查看各业务系统应归档文档数量</w:t>
      </w:r>
    </w:p>
    <w:p w14:paraId="447B37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提供对各业务系统应归档文档数量与实际归档文档数据进行对比，核查缺失文档清单</w:t>
      </w:r>
    </w:p>
    <w:p w14:paraId="7AA435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提供按照纸质病案归档排序进行文档排序展示，提供自定义排序</w:t>
      </w:r>
    </w:p>
    <w:p w14:paraId="67B59E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提供临床发起追加归档流程</w:t>
      </w:r>
    </w:p>
    <w:p w14:paraId="32E71E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提供对临床补充病案内容进行追加归档</w:t>
      </w:r>
    </w:p>
    <w:p w14:paraId="2423EF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提供对特殊病案进行封存，封存后病案对外不提供查看和打印</w:t>
      </w:r>
    </w:p>
    <w:p w14:paraId="579624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提供对已封存病案进行解封</w:t>
      </w:r>
    </w:p>
    <w:p w14:paraId="5F3337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病案核收</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提供对患者所有归档文书检查核对</w:t>
      </w:r>
    </w:p>
    <w:p w14:paraId="42A8D2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提供分系统查看各业务系统应归档文档数量</w:t>
      </w:r>
    </w:p>
    <w:p w14:paraId="113F87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提供对各业务系统应归档文档数量与实际归档文档数据进行对比，得出缺失文档清单</w:t>
      </w:r>
    </w:p>
    <w:p w14:paraId="6A528B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提供临床科室质控医生和质控护士双确认提交模式</w:t>
      </w:r>
    </w:p>
    <w:p w14:paraId="000C1A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提供对病案室回退病案进行集中查询和提醒</w:t>
      </w:r>
    </w:p>
    <w:p w14:paraId="413DA9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病案示踪</w:t>
      </w:r>
    </w:p>
    <w:p w14:paraId="0A378C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提供病案核查提交、归档、退回、封存、解封、查阅、打印、借阅申请、借阅审核等各流程进行日志记录</w:t>
      </w:r>
    </w:p>
    <w:p w14:paraId="330427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提供以病人就诊记录为主线索的无纸化病案管理全流程的踪迹查阅</w:t>
      </w:r>
    </w:p>
    <w:p w14:paraId="376F11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提供以可视化的方式形象展现无纸化病案的流转过程，时间节点，操作人员</w:t>
      </w:r>
    </w:p>
    <w:p w14:paraId="19DA67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提供对历史纸质归档病案借阅进行示踪管理</w:t>
      </w:r>
    </w:p>
    <w:p w14:paraId="548321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病案质控</w:t>
      </w:r>
    </w:p>
    <w:p w14:paraId="4AB591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提供对待质控的病案进行查看、质控、取消质控、返修操作</w:t>
      </w:r>
    </w:p>
    <w:p w14:paraId="605860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提供按核收时间、住院号、出院科室、患者类型、抽样比例对病案进行抽样操作，可分配已抽取的病案至指定质控员</w:t>
      </w:r>
    </w:p>
    <w:p w14:paraId="3781D2B2">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医保规则质控系统</w:t>
      </w:r>
    </w:p>
    <w:p w14:paraId="7E624B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控费规则</w:t>
      </w:r>
    </w:p>
    <w:p w14:paraId="06A4FD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提供导入、导出基础规则库</w:t>
      </w:r>
    </w:p>
    <w:p w14:paraId="5EABF8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医院在院规则查询</w:t>
      </w:r>
    </w:p>
    <w:p w14:paraId="4ABE9D3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查询规则变更情况</w:t>
      </w:r>
    </w:p>
    <w:p w14:paraId="7E597D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医保数据采集</w:t>
      </w:r>
    </w:p>
    <w:p w14:paraId="2F537B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提供展示用户重点关注的指标数据提供图形化，直观展示包含事前违规拦截年度趋势图、事后年度违规趋势图、违规规则分布等</w:t>
      </w:r>
    </w:p>
    <w:p w14:paraId="4AA42A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提供按照科室、医生、规则等维度统计在院患者的违规情况；提供查看违规详情</w:t>
      </w:r>
    </w:p>
    <w:p w14:paraId="5F1051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按照违规项目、科室等统计在院患者违规情况</w:t>
      </w:r>
    </w:p>
    <w:p w14:paraId="03623D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医保事中提醒</w:t>
      </w:r>
    </w:p>
    <w:p w14:paraId="4115BD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提供医保科查看在院患者前一日增量费用违规情况。</w:t>
      </w:r>
    </w:p>
    <w:p w14:paraId="02AE5C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提供医生站事中查看患者费用违规情况，提供报销标记处理</w:t>
      </w:r>
    </w:p>
    <w:p w14:paraId="547DC4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提供医生站在开立患者出院时统一对费用进行违规检查</w:t>
      </w:r>
    </w:p>
    <w:p w14:paraId="6577D5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医保规则管控</w:t>
      </w:r>
    </w:p>
    <w:p w14:paraId="60B1C5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提供标准规则启停操作、提供管控方法的自定义规则添加； </w:t>
      </w:r>
    </w:p>
    <w:p w14:paraId="0F425A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按照指定的管控方法的条件进行新增管控规则</w:t>
      </w:r>
    </w:p>
    <w:p w14:paraId="30B489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提供手动同步标准规则库中在本院可使用的规则</w:t>
      </w:r>
    </w:p>
    <w:p w14:paraId="1B1045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提供管控规则的启停使用</w:t>
      </w:r>
    </w:p>
    <w:p w14:paraId="562555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提供追溯规则变更情况</w:t>
      </w:r>
    </w:p>
    <w:p w14:paraId="46813A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提供对导入后不能正确生效的规则进行修正处理</w:t>
      </w:r>
    </w:p>
    <w:p w14:paraId="4B523BDF">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医务管理系统</w:t>
      </w:r>
    </w:p>
    <w:p w14:paraId="10DAC1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医疗质量统计分析</w:t>
      </w:r>
    </w:p>
    <w:p w14:paraId="4275E9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提供分析医疗质量、运营效率、持续发展与满意度评价。</w:t>
      </w:r>
    </w:p>
    <w:p w14:paraId="47414D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提供按任意时间查询统计分析，以及导出功能。</w:t>
      </w:r>
    </w:p>
    <w:p w14:paraId="134406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医疗质量管理</w:t>
      </w:r>
    </w:p>
    <w:p w14:paraId="0ACDC5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医疗管理：</w:t>
      </w:r>
    </w:p>
    <w:p w14:paraId="50048A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医疗质控：</w:t>
      </w:r>
    </w:p>
    <w:p w14:paraId="425CB9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(1)能够通过网络从门急诊、住院的信息系统中自动实时获取相关数据  </w:t>
      </w:r>
    </w:p>
    <w:p w14:paraId="5D2CF2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(2) 根据病案首页数据自动辅助生成上报指标 </w:t>
      </w:r>
    </w:p>
    <w:p w14:paraId="072382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(3)能够自动辅助生成医疗运行管理和质量控制所需报表</w:t>
      </w:r>
    </w:p>
    <w:p w14:paraId="4C2084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医疗准入与职权管理：</w:t>
      </w:r>
    </w:p>
    <w:p w14:paraId="40558D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   （1）医护人员的岗位职责和业务权限,可在系统中完成申请、审核、授 权、暂停、终止等,全部操作有完整记录</w:t>
      </w:r>
    </w:p>
    <w:p w14:paraId="6033BB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(2)具备手术分级管理目录,可实现针对每位医师、每种手术的授权, 有授权时限控制</w:t>
      </w:r>
    </w:p>
    <w:p w14:paraId="4CF113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不良事件：（1）系统中有不良事件的报告、处理、改进与预防处理记录,不良事件 内容实现全院共享 (2)护理不良事件有记录,能够对常见护理等不良事件发生的风险进行 评估,包括:跌倒、压疮、用药错误、采血错误等</w:t>
      </w:r>
    </w:p>
    <w:p w14:paraId="255AB4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感控管理：（1）能够对医疗机构消毒供应品的消毒过程进行监测并记录 (2)能够对医疗机构工作人员的感控培训进行记录,并可记录具体参与人员 (3)具备上报感控及传染病功能,上报数据关联患者基本情况和相关知识等,能够获取各种感控管理数据,自动产生各种感控管理报表</w:t>
      </w:r>
    </w:p>
    <w:p w14:paraId="20FC6E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公立医院绩效考核</w:t>
      </w:r>
    </w:p>
    <w:p w14:paraId="3CE127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提供通过医疗质量控制、合理用药、检查检验同质化等指标；以及预约诊疗、门急诊服务、患者等待时间等指标，反映医院服务能力、效率以及医疗质量安全情况。</w:t>
      </w:r>
    </w:p>
    <w:p w14:paraId="5CAAA9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提供若需科室、专业维度分析，可实现部分指标。</w:t>
      </w:r>
    </w:p>
    <w:p w14:paraId="7FE914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提供指定指标的排序、溯源、细分、对比、部分数据源导出。</w:t>
      </w:r>
    </w:p>
    <w:p w14:paraId="402090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门诊挂号人次、出院人次、手术例次、手术台次、日间手术台次、微创手术台次、四级手术台次、门诊人次数与出院人次数比、下转患者人次数（门急诊、住院）、日间手术占择期手术比例、出院患者手术占比、出院患者微创手术占比、出院患者四级手术比例、特需医疗服务占比。</w:t>
      </w:r>
    </w:p>
    <w:p w14:paraId="63A071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质量安全</w:t>
      </w:r>
    </w:p>
    <w:p w14:paraId="15A2318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具体指标包括：门诊患者平均预约诊疗率、门诊患者预约后平均等待时间、电子病历应用功能水平分级。</w:t>
      </w:r>
    </w:p>
    <w:p w14:paraId="516D6E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合理用药</w:t>
      </w:r>
    </w:p>
    <w:p w14:paraId="5A8BD0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指标包括：点评处方占处方总数的比例、抗菌药物使用强度（DDDs）、门诊患者基本药物处方占比、住院患者基本药物使用率、基本药物采购品种数占、国家组织药品集中采购中标药品使用比例。</w:t>
      </w:r>
    </w:p>
    <w:p w14:paraId="6BE81B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服务流程</w:t>
      </w:r>
    </w:p>
    <w:p w14:paraId="0945CF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指标包括：门诊患者平均预约诊疗率、门诊患者预约后平均等待时间、电子病历应用功能水平分级；</w:t>
      </w:r>
    </w:p>
    <w:p w14:paraId="113061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运营效率</w:t>
      </w:r>
    </w:p>
    <w:p w14:paraId="16C39A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提供通过人才结构指标、临床转化指标、技术应用指标等，反映医务人员稳定性、医院创新支撑能力、引领发展和持续运行情况。</w:t>
      </w:r>
    </w:p>
    <w:p w14:paraId="22160D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分析单位：资源效率、收支结构、费用控制、经济管理</w:t>
      </w:r>
    </w:p>
    <w:p w14:paraId="108780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资源效率</w:t>
      </w:r>
    </w:p>
    <w:p w14:paraId="29A604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指标包括：每名执业医师日均住院工作负担、每百张病床药师人数</w:t>
      </w:r>
    </w:p>
    <w:p w14:paraId="71F4D5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收支结构</w:t>
      </w:r>
    </w:p>
    <w:p w14:paraId="528B33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门诊收入占医疗收入比例、门诊收入中来自医保基金的比例、住院收入占医疗收入比例、住院收入中来自医保基金的比例、医疗服务收入占医疗收入比例、辅助用药收入占比、人员支出占业务支出比重、万元收入能耗支出、收支结余、资产负债率、重点监控高值医用耗材收入占比。</w:t>
      </w:r>
    </w:p>
    <w:p w14:paraId="116049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费用控制</w:t>
      </w:r>
    </w:p>
    <w:p w14:paraId="473871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指标包括：医疗收入增幅、“医疗服务收入占比”同比、环比、门诊次均费用增幅、门诊次均药品费用增幅、住院次均费用增幅、住院次均药品费用增幅。</w:t>
      </w:r>
    </w:p>
    <w:p w14:paraId="7BB0AF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经济管理</w:t>
      </w:r>
    </w:p>
    <w:p w14:paraId="429B45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指标包括：全面预算管理、规范设立总会计师</w:t>
      </w:r>
    </w:p>
    <w:p w14:paraId="79D406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持续发展</w:t>
      </w:r>
    </w:p>
    <w:p w14:paraId="25F35F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分析单位：人员结构、人才培养、学科建设、信用建设</w:t>
      </w:r>
    </w:p>
    <w:p w14:paraId="618B9F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人员结构</w:t>
      </w:r>
    </w:p>
    <w:p w14:paraId="12F964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指标包括：卫生技术人员职称结构、麻醉、儿科、重症、病理、中医医师占比、医护比</w:t>
      </w:r>
    </w:p>
    <w:p w14:paraId="3B17EE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人才培训</w:t>
      </w:r>
    </w:p>
    <w:p w14:paraId="48C47A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学科建设</w:t>
      </w:r>
    </w:p>
    <w:p w14:paraId="365B01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信用建设</w:t>
      </w:r>
      <w:r>
        <w:rPr>
          <w:rFonts w:hint="eastAsia" w:ascii="华文中宋" w:hAnsi="华文中宋" w:eastAsia="华文中宋" w:cs="华文中宋"/>
          <w:color w:val="auto"/>
          <w:highlight w:val="none"/>
        </w:rPr>
        <w:tab/>
      </w:r>
    </w:p>
    <w:p w14:paraId="0B5C63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满意度</w:t>
      </w:r>
    </w:p>
    <w:p w14:paraId="4892B0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患者满意度</w:t>
      </w:r>
      <w:r>
        <w:rPr>
          <w:rFonts w:hint="eastAsia" w:ascii="华文中宋" w:hAnsi="华文中宋" w:eastAsia="华文中宋" w:cs="华文中宋"/>
          <w:color w:val="auto"/>
          <w:highlight w:val="none"/>
        </w:rPr>
        <w:tab/>
      </w:r>
    </w:p>
    <w:p w14:paraId="0E06E6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单病种</w:t>
      </w:r>
    </w:p>
    <w:p w14:paraId="4E130A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病种包括：急性心肌梗死、心力衰竭、肺炎、脑梗死、髋关节置换术、膝关节置换术、冠状动脉旁路移植术、剖宫产、慢性阻塞性肺疾病。</w:t>
      </w:r>
    </w:p>
    <w:p w14:paraId="7B583F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自评分析</w:t>
      </w:r>
    </w:p>
    <w:p w14:paraId="2B24BC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通过全院期历史数据，按阶段进行数据自评，严格执行监测指标数据对比、自查，持续改进指标情况，细化全院及科室监测，并出具自评报告</w:t>
      </w:r>
    </w:p>
    <w:p w14:paraId="47E935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分析形式：同比、占比</w:t>
      </w:r>
    </w:p>
    <w:p w14:paraId="4E0B6584">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疾病监测报告管理系统</w:t>
      </w:r>
    </w:p>
    <w:p w14:paraId="4BBEA0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医院权限管理</w:t>
      </w:r>
    </w:p>
    <w:p w14:paraId="5C1B2A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提供HIS系统医院导入，与HIS共用医院。</w:t>
      </w:r>
    </w:p>
    <w:p w14:paraId="675E9B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提供权限角色管理，针对不同医院群体设置不同权限。</w:t>
      </w:r>
    </w:p>
    <w:p w14:paraId="713485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提供医院角色管理，针对不同医院设置不同角色的权限。</w:t>
      </w:r>
    </w:p>
    <w:p w14:paraId="18E3F6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基础配置管理</w:t>
      </w:r>
    </w:p>
    <w:p w14:paraId="74C073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基础项目配置：增加、修改、删除报告卡使用的基础项目，基于标准数据进行定义。</w:t>
      </w:r>
    </w:p>
    <w:p w14:paraId="20B72F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项目检查配置：增加、修改、删除报告卡项目检查规则，配置报告卡的项目数据有效性的检查规则。</w:t>
      </w:r>
    </w:p>
    <w:p w14:paraId="1A98C6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模板管理：增加、修改、删除报告卡模板，含通用模板和附卡模板。</w:t>
      </w:r>
    </w:p>
    <w:p w14:paraId="168334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提供报告卡模板导入、导出。</w:t>
      </w:r>
    </w:p>
    <w:p w14:paraId="4C736F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传染病管理：增加、修改、删除传染病（以及慢病、食源、死亡、其他），配置传染病类型、上报时限、附卡等。</w:t>
      </w:r>
    </w:p>
    <w:p w14:paraId="29B45E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传染病识别规则配置：设置传染病的识别规则，如诊断。</w:t>
      </w:r>
    </w:p>
    <w:p w14:paraId="36B44F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管理工作站</w:t>
      </w:r>
      <w:r>
        <w:rPr>
          <w:rFonts w:hint="eastAsia" w:ascii="华文中宋" w:hAnsi="华文中宋" w:eastAsia="华文中宋" w:cs="华文中宋"/>
          <w:color w:val="auto"/>
          <w:highlight w:val="none"/>
        </w:rPr>
        <w:tab/>
      </w:r>
    </w:p>
    <w:p w14:paraId="04D0C1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未填报记录：根据条件对未填写报告卡的阳性反馈记录及填报任务进行查询，按状态进行统计，查看未填报原因等。</w:t>
      </w:r>
    </w:p>
    <w:p w14:paraId="3D22F2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查询报告卡：根据条件查询报告卡，并按状态进行统计。</w:t>
      </w:r>
    </w:p>
    <w:p w14:paraId="13E44C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修改：在审核报告卡时，对病人基本信息进行修正。</w:t>
      </w:r>
    </w:p>
    <w:p w14:paraId="174C87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审核/返修：对报告卡进行审核通过，或者返回临床医生进行修正，返修时通过消息提醒临床医生。</w:t>
      </w:r>
    </w:p>
    <w:p w14:paraId="5655D70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取消审核：对报告卡取消审核，撤销返修。</w:t>
      </w:r>
    </w:p>
    <w:p w14:paraId="619F3C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上报：对已审核通过的报告卡标记为已上报，记录报送信息。</w:t>
      </w:r>
    </w:p>
    <w:p w14:paraId="360406F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取消上报：对已上报的报告卡取消已上报标记。</w:t>
      </w:r>
    </w:p>
    <w:p w14:paraId="4C7C13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删除：对无需上报的报告卡标记为删除。</w:t>
      </w:r>
    </w:p>
    <w:p w14:paraId="63597E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取消删除：对删除的报告卡取消删除。</w:t>
      </w:r>
    </w:p>
    <w:p w14:paraId="25EE86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查重：根据条件查询报告卡，检查是否存在重报，对重复上报的可以进行删除。</w:t>
      </w:r>
    </w:p>
    <w:p w14:paraId="382E7B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打印：对报告卡进行打印存档。</w:t>
      </w:r>
    </w:p>
    <w:p w14:paraId="741E1E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LIS/PACS应用</w:t>
      </w:r>
    </w:p>
    <w:p w14:paraId="2C0A16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阳性结果反馈</w:t>
      </w:r>
    </w:p>
    <w:p w14:paraId="2EC7A93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反馈传染病阳性结果，产生消息通知临床医生。</w:t>
      </w:r>
    </w:p>
    <w:p w14:paraId="7BA086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阳性结果查询</w:t>
      </w:r>
    </w:p>
    <w:p w14:paraId="35FCE9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查询已填写的传染病阳性结果反馈卡，可查看临床医生的处理情况。</w:t>
      </w:r>
    </w:p>
    <w:p w14:paraId="049953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门诊/住院医生站应用</w:t>
      </w:r>
      <w:r>
        <w:rPr>
          <w:rFonts w:hint="eastAsia" w:ascii="华文中宋" w:hAnsi="华文中宋" w:eastAsia="华文中宋" w:cs="华文中宋"/>
          <w:color w:val="auto"/>
          <w:highlight w:val="none"/>
        </w:rPr>
        <w:tab/>
      </w:r>
    </w:p>
    <w:p w14:paraId="4B6FB8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传染病消息提醒：针对阳性反馈消息、填卡上报消息、报告卡返修消息进行提醒。</w:t>
      </w:r>
    </w:p>
    <w:p w14:paraId="0BAFC0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阳性结果反馈查询、处理：对传染病阳性结果反馈进程查询和处理，确认传染病、非传染病、转科处理。</w:t>
      </w:r>
    </w:p>
    <w:p w14:paraId="79770B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传染病上报：传染病诊断下达后，自动判断是否需上报，若需上报将要求临床医生填写报告卡进行上报。</w:t>
      </w:r>
    </w:p>
    <w:p w14:paraId="33E914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传染病报告卡返修：接收报告卡返修通知消息，并对报告卡进行修正后重新上报。</w:t>
      </w:r>
    </w:p>
    <w:p w14:paraId="1C59A1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查询报告卡：查询当前病人本次就诊已填写的报告卡，可选择进行修改和删除。</w:t>
      </w:r>
    </w:p>
    <w:p w14:paraId="171199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新增报告卡：临床医生根据患者情况，手工新增报告卡进行上报。</w:t>
      </w:r>
    </w:p>
    <w:p w14:paraId="4B7658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修改报告卡：修改未审核的报告卡。</w:t>
      </w:r>
    </w:p>
    <w:p w14:paraId="78B84C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删除报告卡：删除未审核的报告卡。</w:t>
      </w:r>
    </w:p>
    <w:p w14:paraId="20F094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外接应用</w:t>
      </w:r>
      <w:r>
        <w:rPr>
          <w:rFonts w:hint="eastAsia" w:ascii="华文中宋" w:hAnsi="华文中宋" w:eastAsia="华文中宋" w:cs="华文中宋"/>
          <w:color w:val="auto"/>
          <w:highlight w:val="none"/>
        </w:rPr>
        <w:tab/>
      </w:r>
    </w:p>
    <w:p w14:paraId="71A289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提供电子病案查询主界面接入。</w:t>
      </w:r>
    </w:p>
    <w:p w14:paraId="7AB1B4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提供标准查询统计工具</w:t>
      </w:r>
    </w:p>
    <w:p w14:paraId="273C12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其他分类应用</w:t>
      </w:r>
      <w:r>
        <w:rPr>
          <w:rFonts w:hint="eastAsia" w:ascii="华文中宋" w:hAnsi="华文中宋" w:eastAsia="华文中宋" w:cs="华文中宋"/>
          <w:color w:val="auto"/>
          <w:highlight w:val="none"/>
        </w:rPr>
        <w:tab/>
      </w:r>
    </w:p>
    <w:p w14:paraId="7C8797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提供食源上报。</w:t>
      </w:r>
    </w:p>
    <w:p w14:paraId="00E192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提供死亡上报。</w:t>
      </w:r>
    </w:p>
    <w:p w14:paraId="5CF39E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提供其他上报。</w:t>
      </w:r>
    </w:p>
    <w:p w14:paraId="1D83FC41">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医院感染管理系统</w:t>
      </w:r>
    </w:p>
    <w:p w14:paraId="764FFB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感染预警</w:t>
      </w:r>
    </w:p>
    <w:p w14:paraId="72658C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(1)系统提供完善的预警模型，可以动态调整和定制预警模型，可以根据自身医院的情况，配置出最恰当的搜索组合条件；</w:t>
      </w:r>
    </w:p>
    <w:p w14:paraId="646D82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(2)可以根据预警模型自动生成感染数据；</w:t>
      </w:r>
    </w:p>
    <w:p w14:paraId="48586F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(3)自动生成感染数据内容包括：患者基本信息、易感因素、感染信息、检验信息、院内院外感染、预警感染数据因素；</w:t>
      </w:r>
    </w:p>
    <w:p w14:paraId="31B156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(4)工作人员只需对生成的感染数据或医生上报的感染数据做审核确认即可；</w:t>
      </w:r>
    </w:p>
    <w:p w14:paraId="08F9C2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(5)主动搜索模式能够有效防止医生漏报；</w:t>
      </w:r>
    </w:p>
    <w:p w14:paraId="567C06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(6)能够缩小院感科工作人员查看病历的范围；</w:t>
      </w:r>
    </w:p>
    <w:p w14:paraId="60441F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(7)提供某时段内同科室发生了多次相同感染情况、相同病原体的感染病例的预警提示功能；</w:t>
      </w:r>
    </w:p>
    <w:p w14:paraId="31E63B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(8)自动展现某时段内多重耐药菌感染病历预警提示功能；</w:t>
      </w:r>
    </w:p>
    <w:p w14:paraId="3F8C7A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(9)观察时间段天数、预警的例数可调；</w:t>
      </w:r>
    </w:p>
    <w:p w14:paraId="6C5F86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(10)实现特殊耐药的预警功能；</w:t>
      </w:r>
    </w:p>
    <w:p w14:paraId="08B991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患者信息展示</w:t>
      </w:r>
    </w:p>
    <w:p w14:paraId="456316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能够摄取、采集或调阅医院各系统中的患者基本信息、医嘱、手术情况、微生物送检情况、检验结果、电子体温单、病程记录等信息。</w:t>
      </w:r>
    </w:p>
    <w:p w14:paraId="671542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(1)具有综合概括病历展示的能力，能够直观地展示各病历的详细诊疗情况，特别是感染的阳性指标；</w:t>
      </w:r>
    </w:p>
    <w:p w14:paraId="254025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(2)能够在程序中嵌入调阅医院医嘱数据；</w:t>
      </w:r>
    </w:p>
    <w:p w14:paraId="1F8172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(3)能够调阅医院系统中的患者相关电子病历信息；</w:t>
      </w:r>
    </w:p>
    <w:p w14:paraId="6A4E7D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(4)能够在程序中嵌入院方各信息系统中的手术信息； </w:t>
      </w:r>
    </w:p>
    <w:p w14:paraId="59A279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(5)能够调阅医院LIS系统数据；</w:t>
      </w:r>
    </w:p>
    <w:p w14:paraId="2882E1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(6)能够将微生物送检；</w:t>
      </w:r>
    </w:p>
    <w:p w14:paraId="7F399C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(7)能够调阅医院系统中的患者电子体温单数据或体温情况；</w:t>
      </w:r>
    </w:p>
    <w:p w14:paraId="1B6895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全院综合性监测</w:t>
      </w:r>
    </w:p>
    <w:p w14:paraId="0E7B3D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对全院患者进行院内感染监测，出具相应的报表；</w:t>
      </w:r>
    </w:p>
    <w:p w14:paraId="439BA0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(1)按科室统计感染率；</w:t>
      </w:r>
    </w:p>
    <w:p w14:paraId="513E37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(2)医院感染病原体按科室统计；</w:t>
      </w:r>
    </w:p>
    <w:p w14:paraId="5BE1E2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(3)医院感染病原体分布情况；</w:t>
      </w:r>
    </w:p>
    <w:p w14:paraId="5C64BB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(4)医院感染病原体与抗菌药物敏感情况；</w:t>
      </w:r>
    </w:p>
    <w:p w14:paraId="047561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(5)医院感染按易感因素统计；</w:t>
      </w:r>
    </w:p>
    <w:p w14:paraId="121AA7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(6)医院感染部位构成比；</w:t>
      </w:r>
    </w:p>
    <w:p w14:paraId="267A0D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(7)医院感染同期对比。</w:t>
      </w:r>
    </w:p>
    <w:p w14:paraId="6438AC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ICU目标性监测</w:t>
      </w:r>
    </w:p>
    <w:p w14:paraId="4E33CC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(1)能够进行全院各科室的ICU监测，也可以只关注ICU科室的监测；</w:t>
      </w:r>
    </w:p>
    <w:p w14:paraId="2B1F54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(2)提供ICU医院感染监测日志与月报表导出</w:t>
      </w:r>
    </w:p>
    <w:p w14:paraId="527D5B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(3)自动获取留置导尿管患者数和使用总日数；</w:t>
      </w:r>
    </w:p>
    <w:p w14:paraId="304020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(4)自动获取中心静脉插管患者数和使用总日数；</w:t>
      </w:r>
    </w:p>
    <w:p w14:paraId="4ADCB6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(5)自动获取使用呼吸机患者数和使用总日数；</w:t>
      </w:r>
    </w:p>
    <w:p w14:paraId="1E734E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(6)提供患者危险等级评分，提供灵活的评分方式，日评或周评，评分自动汇总并计算平均等级；</w:t>
      </w:r>
    </w:p>
    <w:p w14:paraId="2F70D9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(7)自动计算ICU感染率、感染例次率，并且能够按感染部位分类统计；</w:t>
      </w:r>
    </w:p>
    <w:p w14:paraId="2F5708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(8)患者日感染率；</w:t>
      </w:r>
    </w:p>
    <w:p w14:paraId="6DEC8D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(9)调整日感染人次率；</w:t>
      </w:r>
    </w:p>
    <w:p w14:paraId="298697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(10)自动计算例次日感染率；导尿管使用率；重症监护室与导尿管相关泌尿系统感染发生率；中心静脉插管使用率；</w:t>
      </w:r>
    </w:p>
    <w:p w14:paraId="0211FA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(11)重症监护室与中心静脉置管相关血液感染发生率；</w:t>
      </w:r>
    </w:p>
    <w:p w14:paraId="440E82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(12)呼吸机使用率；</w:t>
      </w:r>
    </w:p>
    <w:p w14:paraId="40674F2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(13)重症监护室中与呼吸机相关肺部感染发生率；</w:t>
      </w:r>
    </w:p>
    <w:p w14:paraId="78D503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(14)与血液透析相关血液感染发生率；</w:t>
      </w:r>
    </w:p>
    <w:p w14:paraId="0544E2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(15)统计ICU感染病原体分布情况；</w:t>
      </w:r>
    </w:p>
    <w:p w14:paraId="790232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(16)ICU感染病原体与抗菌药物敏感情况统计。</w:t>
      </w:r>
    </w:p>
    <w:p w14:paraId="439046A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高危新生儿监测</w:t>
      </w:r>
    </w:p>
    <w:p w14:paraId="0908D4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(1)高危新生儿日志；</w:t>
      </w:r>
    </w:p>
    <w:p w14:paraId="521FDF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(2)新生儿患者医院感染发生率；</w:t>
      </w:r>
    </w:p>
    <w:p w14:paraId="52F634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(3)感染例次率；</w:t>
      </w:r>
    </w:p>
    <w:p w14:paraId="3AE241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(4)患者日感染发生率；</w:t>
      </w:r>
    </w:p>
    <w:p w14:paraId="609934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(5)调整日感染发生率；</w:t>
      </w:r>
    </w:p>
    <w:p w14:paraId="273DDD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(6)患者日感染例次发生率；</w:t>
      </w:r>
    </w:p>
    <w:p w14:paraId="19D066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(7)调整日感染例次发生率；</w:t>
      </w:r>
    </w:p>
    <w:p w14:paraId="3F0583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(8)脐/中心静脉插管使用率及使用日数；</w:t>
      </w:r>
    </w:p>
    <w:p w14:paraId="3A3D9C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(9)脐/中心静脉插管相关血液感染率；</w:t>
      </w:r>
    </w:p>
    <w:p w14:paraId="4AD26E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(10)自动进行呼吸机使用率、呼吸机相关肺炎发病率、总器械使用率等指标的统计</w:t>
      </w:r>
    </w:p>
    <w:p w14:paraId="672505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手术部位监测</w:t>
      </w:r>
    </w:p>
    <w:p w14:paraId="6240F4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能够自动采集全院所有的外科手术病历进行目标性监测，自动计算一段时间内择期手术患者出院人数、医院感染例次数、感染发生率（%），提供统计回溯功能。</w:t>
      </w:r>
    </w:p>
    <w:p w14:paraId="71FF21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(1)自动获取所有外科手术记录</w:t>
      </w:r>
    </w:p>
    <w:p w14:paraId="2AADE4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(2)自动获取外科手术感染情况；</w:t>
      </w:r>
    </w:p>
    <w:p w14:paraId="373E15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(3)能够自动统计一段时间内科室、手术操作、医生计算外科手术切口感染率；</w:t>
      </w:r>
    </w:p>
    <w:p w14:paraId="5D0D22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(4)能够自动生成医生手术后感染情况反馈表；</w:t>
      </w:r>
    </w:p>
    <w:p w14:paraId="24179E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(5)能够自动计算外科手术危险指数；</w:t>
      </w:r>
    </w:p>
    <w:p w14:paraId="5F3910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(6)能够自动根据危险指数对感染率计算；</w:t>
      </w:r>
    </w:p>
    <w:p w14:paraId="448A73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能够自动计算外科手术医生感染专率、围术期抗菌药物使用率、围术期使用抗菌药物患者的感染率、与手术相关医院感染发生率、手术患者肺部感染发生率、手术部位感染总发生率、择期手术患者医院感染发生率；</w:t>
      </w:r>
    </w:p>
    <w:p w14:paraId="5F4A20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(8)能够自动生成一段时间内手术风险分级（0分级）手术部位感染率、手术风险分级（1分级）手术部位感染率、手术风险分级（2分级）手术部位感染率、手术风险分级（3分级）手术部位感染率等指标；</w:t>
      </w:r>
    </w:p>
    <w:p w14:paraId="3A8131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(9)能够自动生成一段时间内手术时间超过3小时或失血量超过1500毫升者，术中追加抗菌药物所选范围内手术比率；</w:t>
      </w:r>
    </w:p>
    <w:p w14:paraId="2DFEE1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病原体监测</w:t>
      </w:r>
    </w:p>
    <w:p w14:paraId="654633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不仅可以单独统计出院感的病原菌耐药情况，还可以自动从检验系统中统计出全院所有的病原菌耐药情况</w:t>
      </w:r>
    </w:p>
    <w:p w14:paraId="05210C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(1)能够自动区分多耐、泛耐、全耐，排除天然耐药情况；</w:t>
      </w:r>
    </w:p>
    <w:p w14:paraId="028385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(2)能够自动统计多耐率，多耐医院感染率、多耐社区感染率、定植菌的比例；</w:t>
      </w:r>
    </w:p>
    <w:p w14:paraId="6C0660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(3)能够在多耐患者列表中直接进行干预信息的发送；</w:t>
      </w:r>
    </w:p>
    <w:p w14:paraId="263BC0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(4)能够直接查看病原体所属患者的详细病历情况；</w:t>
      </w:r>
    </w:p>
    <w:p w14:paraId="617B15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(5)院感患者病原体耐药率；住院患者病原体耐药率等指标；</w:t>
      </w:r>
    </w:p>
    <w:p w14:paraId="1DB294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(6)病原体耐药率提供按细菌、真菌、病毒等类别进行划分；</w:t>
      </w:r>
    </w:p>
    <w:p w14:paraId="3F5B58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(7)提供按革兰氏阴性、阳性菌等类别进行划分；</w:t>
      </w:r>
    </w:p>
    <w:p w14:paraId="12B613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(8)提供按葡萄球菌属、链球菌属、肠球菌属等类别进行划分；</w:t>
      </w:r>
    </w:p>
    <w:p w14:paraId="6581A4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(9)自动生成各菌对各种抗菌药物的敏感率、耐药率；</w:t>
      </w:r>
    </w:p>
    <w:p w14:paraId="000A9A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(10)耐药率结果能够以30％，40%，50%,75%等级别以不同颜色进行警示；</w:t>
      </w:r>
    </w:p>
    <w:p w14:paraId="261F99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导管监测</w:t>
      </w:r>
    </w:p>
    <w:p w14:paraId="03FC6E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(1)血管导管相关血流感染发病率</w:t>
      </w:r>
    </w:p>
    <w:p w14:paraId="36F017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(2)呼吸机相关肺炎发病率(HAIQI-VAP-10)</w:t>
      </w:r>
    </w:p>
    <w:p w14:paraId="169EC4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(3)导尿管相关尿路感染发病率</w:t>
      </w:r>
    </w:p>
    <w:p w14:paraId="255507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(4)血液透析相关感染发生率(HAIQI-IHDI-12)</w:t>
      </w:r>
    </w:p>
    <w:p w14:paraId="75EEF8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消毒灭菌学监测</w:t>
      </w:r>
    </w:p>
    <w:p w14:paraId="499B74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主要包括消毒灭菌、一次性无菌物品、内镜、透析液、空气、物表、手卫生、污水等内容的监测，并提供全院联网。</w:t>
      </w:r>
    </w:p>
    <w:p w14:paraId="4989CE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(1)按照国家标准更新；</w:t>
      </w:r>
    </w:p>
    <w:p w14:paraId="3EEAB2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(2)自动进行监测结果评价；</w:t>
      </w:r>
    </w:p>
    <w:p w14:paraId="5EB168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(3)可直接打印监测结果报告单；</w:t>
      </w:r>
    </w:p>
    <w:p w14:paraId="47F4B8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(4)监测结果合格率统计；</w:t>
      </w:r>
    </w:p>
    <w:p w14:paraId="7DAA1B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(5)监测结果超标统计。</w:t>
      </w:r>
    </w:p>
    <w:p w14:paraId="6272A6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针刺伤与职业暴露的管理</w:t>
      </w:r>
    </w:p>
    <w:p w14:paraId="0494E9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进行医务人员针刺伤及血液体液暴露情况的监测，及时给予相应处理的提示，并且可以按不同的角度进行统计。</w:t>
      </w:r>
    </w:p>
    <w:p w14:paraId="7ED0F2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(1)登记医务人员基本资料；</w:t>
      </w:r>
    </w:p>
    <w:p w14:paraId="54970F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(2)提供为每个登记人员打印调查表；</w:t>
      </w:r>
    </w:p>
    <w:p w14:paraId="7F5F97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(3)包括关联患者资料；</w:t>
      </w:r>
    </w:p>
    <w:p w14:paraId="18EC45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(4)包括伤害资料；</w:t>
      </w:r>
    </w:p>
    <w:p w14:paraId="1D613F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(5)包括暴露情况、暴露源严重程度、评估、暴露后处理情况、暴露预约用药、临床观察、暴露后血清学检查以及结论；</w:t>
      </w:r>
    </w:p>
    <w:p w14:paraId="047057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(6)自动评估暴露级别，评估人签名；</w:t>
      </w:r>
    </w:p>
    <w:p w14:paraId="1A8E60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(7)可提醒预警根据职业暴露情况相应的后续检查；</w:t>
      </w:r>
    </w:p>
    <w:p w14:paraId="6CDD53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(8)可提醒预警根据职业暴露情况相应后续随访处置；</w:t>
      </w:r>
    </w:p>
    <w:p w14:paraId="5232FB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(9)处理提示可即时打印；</w:t>
      </w:r>
    </w:p>
    <w:p w14:paraId="4ACBAD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(10)可按科室统计针刺伤情况，并计算各科室构成比；</w:t>
      </w:r>
    </w:p>
    <w:p w14:paraId="382664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(11)可按工别、工龄、性别分别统计，并计算构成比；</w:t>
      </w:r>
    </w:p>
    <w:p w14:paraId="3602C7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(12)可按关联操作进行统计，并计算各种操作的构成比，指导重点防护措施。</w:t>
      </w:r>
    </w:p>
    <w:p w14:paraId="269926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(13)可提供某时段内职业暴露例次统计。</w:t>
      </w:r>
    </w:p>
    <w:p w14:paraId="699004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手卫生调查</w:t>
      </w:r>
    </w:p>
    <w:p w14:paraId="7FC403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主要功能说明：医疗机构工作人员实际执行手卫生时机数占同期应执行手卫生时机数的比例。</w:t>
      </w:r>
    </w:p>
    <w:p w14:paraId="27E6A3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(1)本指标中医疗机构工作人员包括：医疗机构内医务人员和直接或间接接触患者及环境的其他工作人员。可分别统计医务人员和其他工作人员手卫生依从率。</w:t>
      </w:r>
    </w:p>
    <w:p w14:paraId="52C22B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现患率调查</w:t>
      </w:r>
    </w:p>
    <w:p w14:paraId="493599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(1)能够实现自动化现患率调查，极大地缩减现患率调查的工作量。1、能够一键生成现患率统计；</w:t>
      </w:r>
    </w:p>
    <w:p w14:paraId="450EA9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(2)可以随时自动获取当前在院患者信息；</w:t>
      </w:r>
    </w:p>
    <w:p w14:paraId="3AA85F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(3)提供全院医生一起做调查；</w:t>
      </w:r>
    </w:p>
    <w:p w14:paraId="02B049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(4)区分医院感染和社区感染；</w:t>
      </w:r>
    </w:p>
    <w:p w14:paraId="5F4C35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分析管理</w:t>
      </w:r>
    </w:p>
    <w:p w14:paraId="2A20EE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(1)满足国家《医院感染管理质量控制指标(2015年版)》十三项指标分析要求</w:t>
      </w:r>
    </w:p>
    <w:p w14:paraId="631084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(2)满足国家《医院感染管理质量控制指标(2024年版)》十二项指标分析要求</w:t>
      </w:r>
    </w:p>
    <w:p w14:paraId="12FD94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(3)满足国家《医疗机构住院患者感染监测基本数据集及质量控制指标集实施指南（2021版）》指标统计分析要求</w:t>
      </w:r>
    </w:p>
    <w:p w14:paraId="55F7E4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上报功能</w:t>
      </w:r>
    </w:p>
    <w:p w14:paraId="111E3B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医院感染发病（例次）率（%）；</w:t>
      </w:r>
    </w:p>
    <w:p w14:paraId="1E37FC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医院感染现患（例次）率（%）；</w:t>
      </w:r>
    </w:p>
    <w:p w14:paraId="58DACE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医院感染病例漏报率（%）；</w:t>
      </w:r>
    </w:p>
    <w:p w14:paraId="0055FB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多重耐药菌感染发现率（%）；</w:t>
      </w:r>
    </w:p>
    <w:p w14:paraId="409086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多重耐药感染检出率（%）；</w:t>
      </w:r>
    </w:p>
    <w:p w14:paraId="7DEDA9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医务人员手卫生依从率（%）；</w:t>
      </w:r>
    </w:p>
    <w:p w14:paraId="14E518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住院患者抗菌药物使用率（%）；</w:t>
      </w:r>
    </w:p>
    <w:p w14:paraId="3C748E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抗菌药物治疗前病原学送检率（%）；</w:t>
      </w:r>
    </w:p>
    <w:p w14:paraId="1CFC57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I类切口手术部位感染率（%）；</w:t>
      </w:r>
    </w:p>
    <w:p w14:paraId="15FA96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I类切口手术抗菌药物预防使用率（%）；</w:t>
      </w:r>
    </w:p>
    <w:p w14:paraId="44AFDB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血管内导管相关血流感染发病率（‰）；</w:t>
      </w:r>
    </w:p>
    <w:p w14:paraId="263A21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呼吸机相关肺炎发病率（‰）；</w:t>
      </w:r>
    </w:p>
    <w:p w14:paraId="137C79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导尿管相关泌尿系感染发病率（‰）</w:t>
      </w:r>
    </w:p>
    <w:p w14:paraId="51E254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（2）血液透析上报</w:t>
      </w:r>
    </w:p>
    <w:p w14:paraId="082205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根据质控平台最新调查页面进行调整并对符合医院本次血透调查的病人生成单独的调查表；</w:t>
      </w:r>
    </w:p>
    <w:p w14:paraId="4FD452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（3）哨点数据上报</w:t>
      </w:r>
    </w:p>
    <w:p w14:paraId="6E706F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提供抗菌药物治疗前病原学送检率数据上报。</w:t>
      </w:r>
    </w:p>
    <w:p w14:paraId="11E33AB7">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医疗统计报表系统</w:t>
      </w:r>
    </w:p>
    <w:p w14:paraId="6B2000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提供医院资源方面的统计报表如收费项目、科室资源等</w:t>
      </w:r>
    </w:p>
    <w:p w14:paraId="27E3F7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提供效率质量方面的统计报表如质量、工作量分析、费用分析等</w:t>
      </w:r>
    </w:p>
    <w:p w14:paraId="0AE512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提供药品、卫材方面的统计报表如用药分析、流向跟踪等</w:t>
      </w:r>
    </w:p>
    <w:p w14:paraId="6D5B76B1">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医保管理系统</w:t>
      </w:r>
    </w:p>
    <w:p w14:paraId="12680D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提供与医院现有医保对接</w:t>
      </w:r>
    </w:p>
    <w:p w14:paraId="61F8D187">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税务\电子票据接口</w:t>
      </w:r>
    </w:p>
    <w:p w14:paraId="4C99DF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提供上传电子结算凭证基本信息</w:t>
      </w:r>
    </w:p>
    <w:p w14:paraId="0FB872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提供查询电子结算凭证基本信息上传结果</w:t>
      </w:r>
    </w:p>
    <w:p w14:paraId="006592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提供重传电子结算凭证</w:t>
      </w:r>
    </w:p>
    <w:p w14:paraId="22563A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提供查询电子结算凭证状态</w:t>
      </w:r>
    </w:p>
    <w:p w14:paraId="0BE97FB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提供根据业务流水号获取开票情况接口</w:t>
      </w:r>
    </w:p>
    <w:p w14:paraId="799FA8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提供根据电子票信息获取电子票据状态接口</w:t>
      </w:r>
    </w:p>
    <w:p w14:paraId="28A2AA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提供获取电子票据明细接口</w:t>
      </w:r>
    </w:p>
    <w:p w14:paraId="68E30B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提供获取已换开的电子票据列表接口</w:t>
      </w:r>
    </w:p>
    <w:p w14:paraId="343D74F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提供查询电子票据入账状态接口</w:t>
      </w:r>
    </w:p>
    <w:p w14:paraId="2DAD8A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提供获取电子票据流通状态接口</w:t>
      </w:r>
    </w:p>
    <w:p w14:paraId="5C64117C">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电子病历应用服务</w:t>
      </w:r>
    </w:p>
    <w:p w14:paraId="754524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实现患者的历次就诊记录（医嘱、病历、诊断、护理记录、三方文书等）统一视图查看，可嵌入在医生工作站、护士工作站等工作站点。</w:t>
      </w:r>
    </w:p>
    <w:p w14:paraId="04CD8A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实现嵌入医生工作站、护士工作站等工作站点快捷查看指定患者临床视图。</w:t>
      </w:r>
    </w:p>
    <w:p w14:paraId="5DB4B3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实现查阅患者摘要,患者的基本信息、就诊信息等摘要记录。</w:t>
      </w:r>
    </w:p>
    <w:p w14:paraId="43BC24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实现按就诊时间轴查看患者的历次就诊数据。</w:t>
      </w:r>
    </w:p>
    <w:p w14:paraId="72FC9B8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实现查阅门诊处方,患者在院的门诊处方记录，用药、治疗、检查检验等。</w:t>
      </w:r>
    </w:p>
    <w:p w14:paraId="7510BD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实现结构化查看患者历次就诊的所有医嘱数据。</w:t>
      </w:r>
    </w:p>
    <w:p w14:paraId="6C75C9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实现查看检查影像图,除影像报告以外，患者的原始影像图也可查看。</w:t>
      </w:r>
    </w:p>
    <w:p w14:paraId="590CA3A1">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单点登录管理系统</w:t>
      </w:r>
    </w:p>
    <w:p w14:paraId="69C830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登录授权管理</w:t>
      </w:r>
    </w:p>
    <w:p w14:paraId="79444C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功能介绍：根据用户需要授权可登录的业务系统。</w:t>
      </w:r>
    </w:p>
    <w:p w14:paraId="5242B6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提供给用户新增、修改可单点登录的系统</w:t>
      </w:r>
    </w:p>
    <w:p w14:paraId="182E15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登录配置管理</w:t>
      </w:r>
    </w:p>
    <w:p w14:paraId="3A454C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提供三方系统单点登录接入配置管理及三方系统订阅服务管理。</w:t>
      </w:r>
    </w:p>
    <w:p w14:paraId="3C2705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提供新增三方系统的单点登录接入。</w:t>
      </w:r>
    </w:p>
    <w:p w14:paraId="180F80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提供为三方系统的单点登录按钮设置图标。</w:t>
      </w:r>
    </w:p>
    <w:p w14:paraId="47C5C2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提供停用或启用三方系统的单点登录。</w:t>
      </w:r>
    </w:p>
    <w:p w14:paraId="5EDABE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提供为三方系统的业务交互订阅服务或取消订阅服务。</w:t>
      </w:r>
    </w:p>
    <w:p w14:paraId="215631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单点登录日志</w:t>
      </w:r>
    </w:p>
    <w:p w14:paraId="402977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提供单点登录日志查询，记录登录账号、登录姓名、IP、登录系统。</w:t>
      </w:r>
    </w:p>
    <w:p w14:paraId="745B9B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提供按开始时间、结束时间查询单点登录日志。</w:t>
      </w:r>
    </w:p>
    <w:p w14:paraId="71D787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提供按账号查询固定时间段的单点登录日志。</w:t>
      </w:r>
    </w:p>
    <w:p w14:paraId="5EC1E4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提供按IP地址查询固定时间段的单点登录日志。</w:t>
      </w:r>
    </w:p>
    <w:p w14:paraId="7F73DF29">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集成平台</w:t>
      </w:r>
    </w:p>
    <w:p w14:paraId="0C5D26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数据交换定义及转换</w:t>
      </w:r>
    </w:p>
    <w:p w14:paraId="254BBA9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提供图形化交换配置工具</w:t>
      </w:r>
    </w:p>
    <w:p w14:paraId="0B873E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提供服务代理、消息路由、数据转换、服务组合等共享交换方式</w:t>
      </w:r>
    </w:p>
    <w:p w14:paraId="2C3910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提供同步、异步、分发等共享交换模式，提供服务自运行策略定义</w:t>
      </w:r>
    </w:p>
    <w:p w14:paraId="2DEA30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服务总线ESB</w:t>
      </w:r>
    </w:p>
    <w:p w14:paraId="6695319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提供XML、JMS、MQ、SOAP等基础消息格式和医疗卫生行业的HIPPAEDI、HL7V2/V3Message等消息格式的转化，以及提供HTTP、HTTPs、MLLP、TCP/IP等通信协议切换</w:t>
      </w:r>
    </w:p>
    <w:p w14:paraId="1FE119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提供利用XSLT或XQuery转换、业务规则、系统交叉参考和域值映射进行数据转换和文档扩充</w:t>
      </w:r>
    </w:p>
    <w:p w14:paraId="24C195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具备不同协议的动态路由功能，且路由规则通过配置方式实现</w:t>
      </w:r>
    </w:p>
    <w:p w14:paraId="403180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具备通过请求的数据内容的关键值进行主题发布的功能</w:t>
      </w:r>
    </w:p>
    <w:p w14:paraId="174A43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提供对已有服务的重新编排，从而生成新的服务</w:t>
      </w:r>
    </w:p>
    <w:p w14:paraId="652893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提供消息异常处理</w:t>
      </w:r>
    </w:p>
    <w:p w14:paraId="73FEE5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提供消息预警管理机制</w:t>
      </w:r>
    </w:p>
    <w:p w14:paraId="2A157A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提供消息性能的图形化监控</w:t>
      </w:r>
    </w:p>
    <w:p w14:paraId="6D1575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提供消息备份与恢复</w:t>
      </w:r>
    </w:p>
    <w:p w14:paraId="5CBF2D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提供多线程通信方式</w:t>
      </w:r>
    </w:p>
    <w:p w14:paraId="3017628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提供第三方系统的多种方式调用，包括Web服务、WebAPI、HTTP服务等</w:t>
      </w:r>
    </w:p>
    <w:p w14:paraId="1A299C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提供请求/响应、点对点、发布/订阅和事件等多种集成模式</w:t>
      </w:r>
    </w:p>
    <w:p w14:paraId="4536BD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提供基于内容的路由和内容过滤</w:t>
      </w:r>
    </w:p>
    <w:p w14:paraId="6920C2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标准服务</w:t>
      </w:r>
    </w:p>
    <w:p w14:paraId="5E0ACF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a、提供采用同一套集成标准服务，对外消息格式采用HL7VX/HL7VXX格式；</w:t>
      </w:r>
    </w:p>
    <w:p w14:paraId="638D3A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b、由于HL7VX/HL7VXX本身服务不完全满足以及它自身具备扩展性，所以部分服务是在HL7VX/HL7VXX的基础上扩展而成；</w:t>
      </w:r>
    </w:p>
    <w:p w14:paraId="4A929B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c、提供基于该标准服务与医院信息系统整合紧密，关联性等因素；</w:t>
      </w:r>
    </w:p>
    <w:p w14:paraId="3B2CAC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d、提供在运行中转换成应对国家标准评测的HL7V0格式消息；</w:t>
      </w:r>
    </w:p>
    <w:p w14:paraId="0B7F0E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f、提供JSON/HL7V.3格式；</w:t>
      </w:r>
    </w:p>
    <w:p w14:paraId="5AB7E5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中间件</w:t>
      </w:r>
    </w:p>
    <w:p w14:paraId="0D4552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提供自研中间件使用</w:t>
      </w:r>
    </w:p>
    <w:p w14:paraId="21307D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运行管理工具</w:t>
      </w:r>
    </w:p>
    <w:p w14:paraId="02F7EA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提供统一可视化工具进行管理，监控和分析</w:t>
      </w:r>
    </w:p>
    <w:p w14:paraId="66D149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提供更丰富的、交互式个性化操作信息面板，可通过浏览器方式展现业务活动实时数据和个性化报表以监控业务流程和服务，以及从流程和服务中跟踪关键性能指标</w:t>
      </w:r>
    </w:p>
    <w:p w14:paraId="550FAD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可以设置个性化的警告条件，实现对重要事件发生时，通过电子邮件、短信等方式发送给指定的用户</w:t>
      </w:r>
    </w:p>
    <w:p w14:paraId="6D5615A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提供日志审计，能够记录平台系统管理员的操作，发现违规行为</w:t>
      </w:r>
    </w:p>
    <w:p w14:paraId="4D4074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提供图形化的流程设计器，提供可视化的设置向导，以简化常见的任务</w:t>
      </w:r>
    </w:p>
    <w:p w14:paraId="1F03E6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提供用可视化的控制台</w:t>
      </w:r>
    </w:p>
    <w:p w14:paraId="556B06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提供业务规则定义工具，并预置医院业务的常见规则</w:t>
      </w:r>
    </w:p>
    <w:p w14:paraId="4299A9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提供业务规则的发布，管理和维护功能</w:t>
      </w:r>
    </w:p>
    <w:p w14:paraId="45E9A8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提供业务规则执行引擎</w:t>
      </w:r>
    </w:p>
    <w:p w14:paraId="1483D2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提供通过图形方式操作规则，用户也可以使用工具自行编写规则</w:t>
      </w:r>
    </w:p>
    <w:p w14:paraId="0BE7E7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提供标准的业务规则服务，提供各应用系统集成</w:t>
      </w:r>
    </w:p>
    <w:p w14:paraId="273B14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提供基于基础界面组件的动态界面设计工具</w:t>
      </w:r>
    </w:p>
    <w:p w14:paraId="5834059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提供动态界面解释执行引擎</w:t>
      </w:r>
    </w:p>
    <w:p w14:paraId="3213CC3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提供运行分析及调试工具</w:t>
      </w:r>
    </w:p>
    <w:p w14:paraId="7F2F59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授权许可的窗体数以满足本项目定制开发所需要的数量为准</w:t>
      </w:r>
    </w:p>
    <w:p w14:paraId="0AEF8793">
      <w:pPr>
        <w:rPr>
          <w:rFonts w:hint="eastAsia" w:ascii="华文中宋" w:hAnsi="华文中宋" w:eastAsia="华文中宋" w:cs="华文中宋"/>
          <w:color w:val="000000" w:themeColor="text1"/>
          <w:highlight w:val="none"/>
          <w:lang w:eastAsia="zh-CN"/>
          <w14:textFill>
            <w14:solidFill>
              <w14:schemeClr w14:val="tx1"/>
            </w14:solidFill>
          </w14:textFill>
        </w:rPr>
      </w:pPr>
      <w:r>
        <w:rPr>
          <w:rFonts w:hint="eastAsia" w:ascii="华文中宋" w:hAnsi="华文中宋" w:eastAsia="华文中宋" w:cs="华文中宋"/>
          <w:color w:val="000000" w:themeColor="text1"/>
          <w:highlight w:val="none"/>
          <w:lang w:val="en-US" w:eastAsia="zh-CN"/>
          <w14:textFill>
            <w14:solidFill>
              <w14:schemeClr w14:val="tx1"/>
            </w14:solidFill>
          </w14:textFill>
        </w:rPr>
        <w:t>具备</w:t>
      </w:r>
      <w:r>
        <w:rPr>
          <w:rFonts w:hint="eastAsia" w:ascii="华文中宋" w:hAnsi="华文中宋" w:eastAsia="华文中宋" w:cs="华文中宋"/>
          <w:color w:val="000000" w:themeColor="text1"/>
          <w:highlight w:val="none"/>
          <w14:textFill>
            <w14:solidFill>
              <w14:schemeClr w14:val="tx1"/>
            </w14:solidFill>
          </w14:textFill>
        </w:rPr>
        <w:t>数据迁移</w:t>
      </w:r>
      <w:r>
        <w:rPr>
          <w:rFonts w:hint="eastAsia" w:ascii="华文中宋" w:hAnsi="华文中宋" w:eastAsia="华文中宋" w:cs="华文中宋"/>
          <w:color w:val="000000" w:themeColor="text1"/>
          <w:highlight w:val="none"/>
          <w:lang w:val="en-US" w:eastAsia="zh-CN"/>
          <w14:textFill>
            <w14:solidFill>
              <w14:schemeClr w14:val="tx1"/>
            </w14:solidFill>
          </w14:textFill>
        </w:rPr>
        <w:t>的功能</w:t>
      </w:r>
      <w:r>
        <w:rPr>
          <w:rFonts w:hint="eastAsia" w:ascii="华文中宋" w:hAnsi="华文中宋" w:eastAsia="华文中宋" w:cs="华文中宋"/>
          <w:color w:val="000000" w:themeColor="text1"/>
          <w:highlight w:val="none"/>
          <w14:textFill>
            <w14:solidFill>
              <w14:schemeClr w14:val="tx1"/>
            </w14:solidFill>
          </w14:textFill>
        </w:rPr>
        <w:t>。</w:t>
      </w:r>
    </w:p>
    <w:p w14:paraId="415FA9DA">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临床数据中心</w:t>
      </w:r>
    </w:p>
    <w:p w14:paraId="2B0A82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基础术语管理</w:t>
      </w:r>
    </w:p>
    <w:p w14:paraId="7AA2D9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提供病人费用记账、划价、审核、结账等功能</w:t>
      </w:r>
    </w:p>
    <w:p w14:paraId="6664C2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提供病人欠费提醒与控制，提供分别设置不同科室、不同病人类型、医保/非医保的提醒限额</w:t>
      </w:r>
    </w:p>
    <w:p w14:paraId="1385FF5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提供票据领用、注销、作废、补打、重打等管理功能</w:t>
      </w:r>
    </w:p>
    <w:p w14:paraId="7A34BF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临床术语管理</w:t>
      </w:r>
    </w:p>
    <w:p w14:paraId="294D9E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具备完整的医疗卫生信息结构体系中所需要的统一、无歧义的基本数据单元</w:t>
      </w:r>
    </w:p>
    <w:p w14:paraId="4EB4CC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依据临床服务、医院管理以及平台应用业务活动，对元数据进行组织，形成以活动为基础的数据集合.</w:t>
      </w:r>
    </w:p>
    <w:p w14:paraId="67F26D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具备标准数据字典的维护的维护功能</w:t>
      </w:r>
    </w:p>
    <w:p w14:paraId="682446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具备标准数据元、标准术语库以及代码映射表均可在应用过程中不断更新的功能</w:t>
      </w:r>
    </w:p>
    <w:p w14:paraId="1A5D4F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具备标准数据与私有数据对照功能</w:t>
      </w:r>
    </w:p>
    <w:p w14:paraId="0FC36D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具备标准数据元格式转换功能</w:t>
      </w:r>
    </w:p>
    <w:p w14:paraId="279A36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EMR数据集管理</w:t>
      </w:r>
    </w:p>
    <w:p w14:paraId="099CA7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提供数据子集的新增、修改、删除、更新</w:t>
      </w:r>
    </w:p>
    <w:p w14:paraId="5178AD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提供数据集版本的新增、修改、删除、作废等。</w:t>
      </w:r>
    </w:p>
    <w:p w14:paraId="4F370F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提供数据集内容的新增、修改、删除、引用</w:t>
      </w:r>
    </w:p>
    <w:p w14:paraId="7E3EF7B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提供EMR原型对照。</w:t>
      </w:r>
    </w:p>
    <w:p w14:paraId="0C6563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提供EMR结构标识管理。</w:t>
      </w:r>
    </w:p>
    <w:p w14:paraId="2AF4BC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提供EMR结构定义。</w:t>
      </w:r>
    </w:p>
    <w:p w14:paraId="5B75BD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CDA数据集管理</w:t>
      </w:r>
    </w:p>
    <w:p w14:paraId="0E2FFB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提供CDA数据集的新增、修改、删除、启用、停用。</w:t>
      </w:r>
    </w:p>
    <w:p w14:paraId="5D9A48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提供CDA版本的新增、修改、删除、复制、发布、取消、作废。</w:t>
      </w:r>
    </w:p>
    <w:p w14:paraId="376596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提供CDA数据集的内容管理。</w:t>
      </w:r>
    </w:p>
    <w:p w14:paraId="001CB2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提供CDA数据集的内容映射。</w:t>
      </w:r>
    </w:p>
    <w:p w14:paraId="5A9022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共享文档管理</w:t>
      </w:r>
    </w:p>
    <w:p w14:paraId="31212D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CDA文档管理提供生成CDA、上传CDA、下载CDA、删除、刷新、退出。</w:t>
      </w:r>
    </w:p>
    <w:p w14:paraId="212EF5D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数据验证</w:t>
      </w:r>
    </w:p>
    <w:p w14:paraId="44C19B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提供对数据格式、数据内容以及所包含的术语进行数据验证</w:t>
      </w:r>
    </w:p>
    <w:p w14:paraId="373FBD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数据监控</w:t>
      </w:r>
    </w:p>
    <w:p w14:paraId="7C275C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可以查看任意时间段存入CDR的数据</w:t>
      </w:r>
    </w:p>
    <w:p w14:paraId="7256C7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ETL数据转换</w:t>
      </w:r>
    </w:p>
    <w:p w14:paraId="57399B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实现将各业务系统中的生产数据自动抽取转换到数据中心</w:t>
      </w:r>
    </w:p>
    <w:p w14:paraId="1B0149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病历服务图片打印</w:t>
      </w:r>
      <w:r>
        <w:rPr>
          <w:rFonts w:hint="eastAsia" w:ascii="华文中宋" w:hAnsi="华文中宋" w:eastAsia="华文中宋" w:cs="华文中宋"/>
          <w:color w:val="auto"/>
          <w:highlight w:val="none"/>
        </w:rPr>
        <w:tab/>
      </w:r>
    </w:p>
    <w:p w14:paraId="2EBD5B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提供病历文档生成图片，并提供查看、删除、刷新、退出。</w:t>
      </w:r>
    </w:p>
    <w:p w14:paraId="4861BA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病人主索引管理系统</w:t>
      </w:r>
    </w:p>
    <w:p w14:paraId="54E819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患者主索引根据医疗业务特点应用特定的算法为在不同时间点、不同业务系统中的患者提供唯一标识服务，能够将分布在不同系统，不同标准的医疗信息通过患者主索引关联起来</w:t>
      </w:r>
    </w:p>
    <w:p w14:paraId="7C9AF5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提供各业务域患者信息注册</w:t>
      </w:r>
    </w:p>
    <w:p w14:paraId="4A4938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提供通过各业务域患者ID号查询患者主索引信息</w:t>
      </w:r>
    </w:p>
    <w:p w14:paraId="695592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提供跨患者域交叉查询服务</w:t>
      </w:r>
    </w:p>
    <w:p w14:paraId="0B7AB8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提供通过门诊号查询患者住院号</w:t>
      </w:r>
    </w:p>
    <w:p w14:paraId="776FEF7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提供通过主索引ID查询</w:t>
      </w:r>
    </w:p>
    <w:p w14:paraId="6E0B3F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提供通过主索引ID查询相关联的门诊/住院等患者信息</w:t>
      </w:r>
    </w:p>
    <w:p w14:paraId="483AC2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主数据管理系统</w:t>
      </w:r>
    </w:p>
    <w:p w14:paraId="544671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集成平台上构建医院主数据管理数据库，集中统一的管理全院主数据，通过对平台相关的各业务系统提供主数据服务，主数据的同步和匹配，包括但不限于术语、人员、科室、检查检验项目、药品、耗材、诊断ICD、手术ICD等</w:t>
      </w:r>
    </w:p>
    <w:p w14:paraId="5FAC9BF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全体工作人员和科室数据管理，建立医院统一的组织机构架构，包括业务科室、护理单元、职能部门、后勤部门等。</w:t>
      </w:r>
    </w:p>
    <w:p w14:paraId="3BBB60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提供从医院现有业务系统同步人员、科室、病区、药品、材料等相关信息，建立与主数据同步的对应管理</w:t>
      </w:r>
    </w:p>
    <w:p w14:paraId="08553C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提供访问患者纵向记录的窗口，能够显示所有CDR存储库中的数据</w:t>
      </w:r>
    </w:p>
    <w:p w14:paraId="63BF9C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提供能够使用信息平台中的患者注册服务来检索患者信息的功能</w:t>
      </w:r>
    </w:p>
    <w:p w14:paraId="5DBDEC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提供不同方式的视图</w:t>
      </w:r>
    </w:p>
    <w:p w14:paraId="2DDA339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提供医师在患者就诊期间或在就诊的上下文环境中获得对患者健康记录的访问</w:t>
      </w:r>
    </w:p>
    <w:p w14:paraId="25FE61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可查阅患者摘要：患者的基本信息、过敏史、就诊记录、手术史等摘要记录</w:t>
      </w:r>
    </w:p>
    <w:p w14:paraId="51554B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可查阅患者病历资料：患者在院的所有电子病历资料</w:t>
      </w:r>
    </w:p>
    <w:p w14:paraId="44C5FE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可查阅病案资料：患者的病案首页记录</w:t>
      </w:r>
    </w:p>
    <w:p w14:paraId="4C9A9D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可查阅检查报告：患者的RIS/PACS检查的文字报告、影像报告</w:t>
      </w:r>
    </w:p>
    <w:p w14:paraId="40927D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可查看检查影像图：除影像报告以外，患者的原始影像图也可以查看</w:t>
      </w:r>
    </w:p>
    <w:p w14:paraId="5759E1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可查阅检验报告：患者的LIS报告记录，提供多次检验报告的对比等功能</w:t>
      </w:r>
    </w:p>
    <w:p w14:paraId="6085A3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可查阅体检报告：患者在院的所有的体检报告记录</w:t>
      </w:r>
    </w:p>
    <w:p w14:paraId="20F56E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可查阅长期医嘱：患者历次在院的住院长期医嘱记录</w:t>
      </w:r>
    </w:p>
    <w:p w14:paraId="2A0D7F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可查阅临时医嘱：患者历次在院的住院临时医嘱记录</w:t>
      </w:r>
    </w:p>
    <w:p w14:paraId="46A6CF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可查阅门诊处方：患者在院的门诊处方记录，用药、治疗、检查化验等</w:t>
      </w:r>
    </w:p>
    <w:p w14:paraId="7B1E08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可查阅手术记录：患者历次在院的手术记录，手术时间、名称等</w:t>
      </w:r>
    </w:p>
    <w:p w14:paraId="55BA0B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可查阅过敏信息：患者历次在院的过敏记录</w:t>
      </w:r>
    </w:p>
    <w:p w14:paraId="54EABE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可查阅临床诊断：患者在院的门诊住院诊断记录，诊断名称、时间</w:t>
      </w:r>
    </w:p>
    <w:p w14:paraId="18C1ED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可查阅治疗回顾：按照时间的表格，将患者的不同的就诊业务呈现出来</w:t>
      </w:r>
    </w:p>
    <w:p w14:paraId="5C8269E4">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患者视图</w:t>
      </w:r>
    </w:p>
    <w:p w14:paraId="0349AAD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提供患者视图查询功能</w:t>
      </w:r>
    </w:p>
    <w:p w14:paraId="660015B3">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医院BI</w:t>
      </w:r>
    </w:p>
    <w:p w14:paraId="16393B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运营数据中心</w:t>
      </w:r>
    </w:p>
    <w:p w14:paraId="0AF30E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(1)提供整合门诊、住院、药品、医保、医技等多源业务数据，构建统一数据仓库。</w:t>
      </w:r>
    </w:p>
    <w:p w14:paraId="1114EF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(2)提供按院区、时间（年/季/月/日/小时）、科室、医生、患者等多维度建模。</w:t>
      </w:r>
    </w:p>
    <w:p w14:paraId="77074F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(3)内置医院运营管理与医疗质量KPI指标体系，涵盖：</w:t>
      </w:r>
    </w:p>
    <w:p w14:paraId="7586AB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业务量</w:t>
      </w:r>
    </w:p>
    <w:p w14:paraId="731B6A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收入</w:t>
      </w:r>
    </w:p>
    <w:p w14:paraId="3C1E2EC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工作效率</w:t>
      </w:r>
    </w:p>
    <w:p w14:paraId="55A4C6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感染控制、合理用药等医疗质量主题</w:t>
      </w:r>
    </w:p>
    <w:p w14:paraId="3495B5E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(4)提供实时或近实时数据抽取、清洗、转换（ETL）与存储。</w:t>
      </w:r>
    </w:p>
    <w:p w14:paraId="685E93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(5)提供数据校验机制，确保前台展示数据与业务系统、外挂报表口径一致。</w:t>
      </w:r>
    </w:p>
    <w:p w14:paraId="268991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(6)提供宽表模型及事实表模型。</w:t>
      </w:r>
    </w:p>
    <w:p w14:paraId="47387B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基础管理</w:t>
      </w:r>
    </w:p>
    <w:p w14:paraId="6C78A4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(1)人员管理：提供新增、删除、停用用户，设置所属科室，修改密码。</w:t>
      </w:r>
    </w:p>
    <w:p w14:paraId="7542C6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(2)菜单管理：提供多级菜单动态配置（新增、删除、逐级添加）。</w:t>
      </w:r>
    </w:p>
    <w:p w14:paraId="406612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(3)角色与权限管理：</w:t>
      </w:r>
    </w:p>
    <w:p w14:paraId="18F8C14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提供角色创建、停用及权限分配；</w:t>
      </w:r>
    </w:p>
    <w:p w14:paraId="280253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提供菜单权限+数据权限。</w:t>
      </w:r>
    </w:p>
    <w:p w14:paraId="044435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指标管理</w:t>
      </w:r>
    </w:p>
    <w:p w14:paraId="4E7E9D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(1)指标按业务域分类展示，提供新增、启用、搜索、导出。</w:t>
      </w:r>
    </w:p>
    <w:p w14:paraId="6B5CEB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(2)提供指标下钻维度配置。</w:t>
      </w:r>
    </w:p>
    <w:p w14:paraId="07BA58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(3)指标属性维护包括：</w:t>
      </w:r>
    </w:p>
    <w:p w14:paraId="24D8CF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指标名称、分类、口径说明、小数位数、单位、比率类型、评价标准、是否补录、配置方式等。</w:t>
      </w:r>
    </w:p>
    <w:p w14:paraId="17E5D48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(4)提供三种指标口径配置方式：</w:t>
      </w:r>
    </w:p>
    <w:p w14:paraId="292FE2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公式配置</w:t>
      </w:r>
    </w:p>
    <w:p w14:paraId="3A62B4B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维度配置</w:t>
      </w:r>
    </w:p>
    <w:p w14:paraId="67743C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SQL脚本配置</w:t>
      </w:r>
    </w:p>
    <w:p w14:paraId="2AD49A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(5)提供指标标准化管理，明确指标出处与行业/院内标准。</w:t>
      </w:r>
    </w:p>
    <w:p w14:paraId="7E2FA1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目标值管理</w:t>
      </w:r>
    </w:p>
    <w:p w14:paraId="64B361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(1)提供全院、分院、科室三级目标值设置，按年度/月度维度管理。</w:t>
      </w:r>
    </w:p>
    <w:p w14:paraId="1E5F95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(2)提供目标值批量导入/导出。</w:t>
      </w:r>
    </w:p>
    <w:p w14:paraId="3A1F9C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(3)提供科室目标值基于全院目标自动分配算法。</w:t>
      </w:r>
    </w:p>
    <w:p w14:paraId="0854D0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预警知识管理</w:t>
      </w:r>
    </w:p>
    <w:p w14:paraId="44DF4E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(1)提供为指标设置多类预警规则。</w:t>
      </w:r>
    </w:p>
    <w:p w14:paraId="60D6C5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(2)预警标准可选：国家标准、区域标准、行业标准、院内标准。</w:t>
      </w:r>
    </w:p>
    <w:p w14:paraId="599C59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(3)提供多规则并存。</w:t>
      </w:r>
    </w:p>
    <w:p w14:paraId="15E6F9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(4)预警提醒方式：PC端弹窗/消息等</w:t>
      </w:r>
    </w:p>
    <w:p w14:paraId="13E3E82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自助报表设计</w:t>
      </w:r>
    </w:p>
    <w:p w14:paraId="134E3A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(1)提供图例自由拆分、合并、删除。</w:t>
      </w:r>
    </w:p>
    <w:p w14:paraId="2025E1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(2)内置可视化图例。</w:t>
      </w:r>
    </w:p>
    <w:p w14:paraId="7C0D783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(3)提供图例标题、颜色、边距等样式自定义。</w:t>
      </w:r>
    </w:p>
    <w:p w14:paraId="0EBAA3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(4)提供图形联动。</w:t>
      </w:r>
    </w:p>
    <w:p w14:paraId="46EE30F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(5)提供报表中直接切换指标，无需重新设计。</w:t>
      </w:r>
    </w:p>
    <w:p w14:paraId="7A05A2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(6)提供多级下钻。</w:t>
      </w:r>
    </w:p>
    <w:p w14:paraId="21C050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(7)提供维度对比分析。</w:t>
      </w:r>
    </w:p>
    <w:p w14:paraId="2D63AB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(8)提供同期、环比、同比、环期等时间维度计算与可视化。</w:t>
      </w:r>
    </w:p>
    <w:p w14:paraId="398E6C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运营决策提供分析</w:t>
      </w:r>
    </w:p>
    <w:p w14:paraId="47C8A2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(1)全院实时监控</w:t>
      </w:r>
    </w:p>
    <w:p w14:paraId="589259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门诊：门急诊人次、候诊人数、收入、按小时趋势</w:t>
      </w:r>
    </w:p>
    <w:p w14:paraId="30BBF3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住院：在院/出院人次、危重人数、住院收入</w:t>
      </w:r>
    </w:p>
    <w:p w14:paraId="5E12F6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手术：门诊/住院手术量、科室排名</w:t>
      </w:r>
    </w:p>
    <w:p w14:paraId="114755D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(2)门诊分析</w:t>
      </w:r>
    </w:p>
    <w:p w14:paraId="5B2B80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业务概况、预约渠道分析</w:t>
      </w:r>
    </w:p>
    <w:p w14:paraId="2B9E34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处方分析</w:t>
      </w:r>
    </w:p>
    <w:p w14:paraId="4DC5D3D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收入分析</w:t>
      </w:r>
    </w:p>
    <w:p w14:paraId="6FC0D4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收入大项目构成与趋势</w:t>
      </w:r>
    </w:p>
    <w:p w14:paraId="60444F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(3)住院分析</w:t>
      </w:r>
    </w:p>
    <w:p w14:paraId="063775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住院日分布、入出院趋势</w:t>
      </w:r>
    </w:p>
    <w:p w14:paraId="219E5F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床位使用率、周转次数、科室排名</w:t>
      </w:r>
    </w:p>
    <w:p w14:paraId="2EBCF4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住院收入、药品收入、均次费用趋势与排名</w:t>
      </w:r>
    </w:p>
    <w:p w14:paraId="4FE3C8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住院大项目收入结构</w:t>
      </w:r>
    </w:p>
    <w:p w14:paraId="3CFB47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(4)其他主题</w:t>
      </w:r>
    </w:p>
    <w:p w14:paraId="7943DC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药品分析、医保分析、手术质量、医技效率、自助机使用等</w:t>
      </w:r>
    </w:p>
    <w:p w14:paraId="5E6B79ED">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DRGs管理系统</w:t>
      </w:r>
    </w:p>
    <w:p w14:paraId="1C3AB4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分组器数据查询</w:t>
      </w:r>
    </w:p>
    <w:p w14:paraId="5E74E3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按诊断查询相关联的分组器数据</w:t>
      </w:r>
    </w:p>
    <w:p w14:paraId="383E45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按手术查询相关联的分组器数据</w:t>
      </w:r>
    </w:p>
    <w:p w14:paraId="6770A8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查询当前分组器并发/合并症的编码范围和要求</w:t>
      </w:r>
    </w:p>
    <w:p w14:paraId="104CA0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查询当前分组器多发创伤诊断范围</w:t>
      </w:r>
    </w:p>
    <w:p w14:paraId="686A4EA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查询当前分组器的分组排除列表</w:t>
      </w:r>
    </w:p>
    <w:p w14:paraId="6B1166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临床费用进度显限设置</w:t>
      </w:r>
    </w:p>
    <w:p w14:paraId="17EA9E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根据病例费用、主要分组情况及该组地区支付标准，对低倍/高倍率病例情况进行警示</w:t>
      </w:r>
    </w:p>
    <w:p w14:paraId="4C0F11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临床显示项目设置</w:t>
      </w:r>
    </w:p>
    <w:p w14:paraId="5C69460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可根据需要自由设置应用端各类分组及组别是否显示及显示顺序</w:t>
      </w:r>
    </w:p>
    <w:p w14:paraId="030328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异常病例类型设置</w:t>
      </w:r>
    </w:p>
    <w:p w14:paraId="3964EA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新增异常病例类型设置，可定义异常病例类型，及条件判定的关系和是否纳入正常的DRG分组指标统计。</w:t>
      </w:r>
    </w:p>
    <w:p w14:paraId="110F59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可设置异常病例类型的判定条件。</w:t>
      </w:r>
    </w:p>
    <w:p w14:paraId="402E16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修改异常病例类型设置，可定义异常病例类型，及条件判定的关系和是否纳入正常的DRG分组指标统计。</w:t>
      </w:r>
    </w:p>
    <w:p w14:paraId="0ED491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可设置异常病例类型的判定条件。</w:t>
      </w:r>
    </w:p>
    <w:p w14:paraId="36F6C2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提供删除异常病例类型</w:t>
      </w:r>
    </w:p>
    <w:p w14:paraId="266624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提供新增符合性条件功能，可以设置用于判定异常病例的条件项目，并指定其类型、选项来源和判定的数据取数方式。</w:t>
      </w:r>
    </w:p>
    <w:p w14:paraId="68650B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提供修改符合性条件功能，可以设置用于判定异常病例的条件项目，并指定其类型、选项来源和判定的数据取数方式。</w:t>
      </w:r>
    </w:p>
    <w:p w14:paraId="48FA14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提供当前异常病例类型对应符合性条件的删除</w:t>
      </w:r>
    </w:p>
    <w:p w14:paraId="0FF7F9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提供当前异常病例类型对应排除性条件的新增</w:t>
      </w:r>
    </w:p>
    <w:p w14:paraId="2CB711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提供当前异常病例类型对应排除性条件的修改</w:t>
      </w:r>
    </w:p>
    <w:p w14:paraId="279156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提供当前异常病例类型对应排除性条件的删除</w:t>
      </w:r>
    </w:p>
    <w:p w14:paraId="285F8B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DRG诊断查询及对照</w:t>
      </w:r>
    </w:p>
    <w:p w14:paraId="28F8EC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DRG分组中，用于判断分组结果的诊断及手术操作编码是基于医保版ICD，因此在应用时需要将临床所使用的诊断和手术操作编码和医保版进行对照。</w:t>
      </w:r>
    </w:p>
    <w:p w14:paraId="3E894C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首页质控应用</w:t>
      </w:r>
    </w:p>
    <w:p w14:paraId="75DFB1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提供在临床首页填写和病案首页编目时进行质控规则检查。</w:t>
      </w:r>
    </w:p>
    <w:p w14:paraId="4159ED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提供可根据不同应用场景使用不同的质控规则。</w:t>
      </w:r>
    </w:p>
    <w:p w14:paraId="4CC0CC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提供首页病人入院基本信息填写校验，规则引擎自动校验患者基本信息填写的完整性、准确性。</w:t>
      </w:r>
    </w:p>
    <w:p w14:paraId="666051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提供首页诊断记录和手术操作记录根据编码规则的逻辑校验。</w:t>
      </w:r>
    </w:p>
    <w:p w14:paraId="607B08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提供规则校验后需纠正内容的提醒，并可定位填写位置。</w:t>
      </w:r>
    </w:p>
    <w:p w14:paraId="4D898C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可提供规则纠错后的首页的在线编辑修改。</w:t>
      </w:r>
    </w:p>
    <w:p w14:paraId="0EC502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编码规则的校验，纠错提醒信息提供显示标准的ICD编码和名称。</w:t>
      </w:r>
    </w:p>
    <w:p w14:paraId="7E01E7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提供根据身份证对性别和出生日期的校验修正信息的回传。</w:t>
      </w:r>
    </w:p>
    <w:p w14:paraId="6C2A6C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运营日志</w:t>
      </w:r>
    </w:p>
    <w:p w14:paraId="6D828D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记录所有规则异议行为，并提供病案追溯</w:t>
      </w:r>
    </w:p>
    <w:p w14:paraId="3521AD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病案首页信息校验与监控</w:t>
      </w:r>
    </w:p>
    <w:p w14:paraId="49CB7FF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提供对质控规则的自定义设置。</w:t>
      </w:r>
    </w:p>
    <w:p w14:paraId="7C4E3F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提供应用场景的定义，并可将质控规则分场景应用。</w:t>
      </w:r>
    </w:p>
    <w:p w14:paraId="0C57802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提供对病案首页的所有项目应用于规则使用。</w:t>
      </w:r>
    </w:p>
    <w:p w14:paraId="46B287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提供使用标准的病案首页项目建立规则检查对象。</w:t>
      </w:r>
    </w:p>
    <w:p w14:paraId="6A4DEA1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提供对规则的提示内容进行自定义。</w:t>
      </w:r>
    </w:p>
    <w:p w14:paraId="71F604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提供对单个规则复数判定条件的应用。</w:t>
      </w:r>
    </w:p>
    <w:p w14:paraId="076FE1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复数条件应用提供多个条件间“并且”和“或者”关系的定义。</w:t>
      </w:r>
    </w:p>
    <w:p w14:paraId="0E0E592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提供对首页项目录入内容的非空检查。</w:t>
      </w:r>
    </w:p>
    <w:p w14:paraId="45736C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提供对首页项目录入内容固定结果的检查定义定义。</w:t>
      </w:r>
    </w:p>
    <w:p w14:paraId="3B668E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提供对首页项目录入内容结果模糊匹配的检查方式定义。</w:t>
      </w:r>
    </w:p>
    <w:p w14:paraId="74A27F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提供对首页项目录入内容和其他项目结果比对的检查方式定义。</w:t>
      </w:r>
    </w:p>
    <w:p w14:paraId="611F48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提供对首页项目录入内容等于、不等于、大于、小于、包含等的运算检查。</w:t>
      </w:r>
    </w:p>
    <w:p w14:paraId="30577C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提供对具备标准值域的首页项目，在条件中使用标准值域建立规则的结果判定依据。</w:t>
      </w:r>
    </w:p>
    <w:p w14:paraId="11AAE5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提供对身份证的合理性校验定义。</w:t>
      </w:r>
    </w:p>
    <w:p w14:paraId="05751B5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提供根据身份证对性别和出生日期的校验。</w:t>
      </w:r>
    </w:p>
    <w:p w14:paraId="0151EA9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提供对诊断和手术操作编码的合理性校验定义。</w:t>
      </w:r>
    </w:p>
    <w:p w14:paraId="168F31A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集成对首页项目的基础校验规则和基于规范的编码逻辑规则。</w:t>
      </w:r>
    </w:p>
    <w:p w14:paraId="6C2AB1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提供对质控规则的停用和启用。</w:t>
      </w:r>
    </w:p>
    <w:p w14:paraId="4CF1E0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提供基于标准编码库明细、目录或自定义分类建立编码间的逻辑规则。</w:t>
      </w:r>
    </w:p>
    <w:p w14:paraId="74D379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提供编码库目录和自定义分类在编码规则应用时，自动拆分编码明细。</w:t>
      </w:r>
    </w:p>
    <w:p w14:paraId="021349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提供对编码间的共存逻辑定义。</w:t>
      </w:r>
    </w:p>
    <w:p w14:paraId="63F375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提供对编码间的互斥逻辑定义。</w:t>
      </w:r>
    </w:p>
    <w:p w14:paraId="6D3BB0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提供对编码间的合并逻辑定义。</w:t>
      </w:r>
    </w:p>
    <w:p w14:paraId="2F699F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提供对编码的填写顺序的逻辑定义。</w:t>
      </w:r>
    </w:p>
    <w:p w14:paraId="4E8DC5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多维度数据分析与报告生成</w:t>
      </w:r>
    </w:p>
    <w:p w14:paraId="7DE3D5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提供医院/科室/医师多个组织维度的筛选与分析，提供年/季度/月多个时间维度的筛选与分析</w:t>
      </w:r>
    </w:p>
    <w:p w14:paraId="4795D840">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后勤管理系统</w:t>
      </w:r>
    </w:p>
    <w:p w14:paraId="0819266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办公用品信息</w:t>
      </w:r>
    </w:p>
    <w:p w14:paraId="7B66AD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提供办公用品信息登记功能</w:t>
      </w:r>
    </w:p>
    <w:p w14:paraId="1CB18E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用车登记信息</w:t>
      </w:r>
    </w:p>
    <w:p w14:paraId="37660C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提供用车登记信息登记功能。</w:t>
      </w:r>
    </w:p>
    <w:p w14:paraId="05E187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报修管理</w:t>
      </w:r>
    </w:p>
    <w:p w14:paraId="18A2D93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后勤报修信息：电脑端、掌上后勤报修管理。</w:t>
      </w:r>
    </w:p>
    <w:p w14:paraId="0CBB97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报修工单信息：实现对报修工单信息的管理和维护</w:t>
      </w:r>
    </w:p>
    <w:p w14:paraId="3B0DD7C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维修工信息：实现对维修工信息的管理和维护</w:t>
      </w:r>
    </w:p>
    <w:p w14:paraId="0F8740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维修反馈信息：实现对维修反馈信息的管理和维护</w:t>
      </w:r>
    </w:p>
    <w:p w14:paraId="7A3F68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维修评价信息：实现对维修评价信息的管理和维护</w:t>
      </w:r>
    </w:p>
    <w:p w14:paraId="7F5D64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仓库库存信息</w:t>
      </w:r>
    </w:p>
    <w:p w14:paraId="21FA6EB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完成入库(根据入库清单以及手工输入更新库存信息)、出库(根据出库单以及手工输入更新出库)、盘库(手工清点库存后,手工输入盘库清单,与库存对比)。</w:t>
      </w:r>
    </w:p>
    <w:p w14:paraId="5F0A23B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预算管理系统</w:t>
      </w:r>
    </w:p>
    <w:p w14:paraId="5A412E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总体预算编制</w:t>
      </w:r>
    </w:p>
    <w:p w14:paraId="034194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以收入，支出，药占比，耗占比，手术例数，门诊人次，入院人次，平均住院日共八项来完成基本总体预算规划。</w:t>
      </w:r>
    </w:p>
    <w:p w14:paraId="34C68B4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医疗收入编制</w:t>
      </w:r>
    </w:p>
    <w:p w14:paraId="19272A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包含归口科室预算标准设置、科室工作量预算、医疗收入预算汇总，根据科室填报的预算数据并结合次均费用汇总计算出各项目的医疗收入预算</w:t>
      </w:r>
    </w:p>
    <w:p w14:paraId="09720B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财政补助收入编制</w:t>
      </w:r>
    </w:p>
    <w:p w14:paraId="4EC9BA9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通过选项年份和项目分类的支出，自动加载系统内置的各种项目，并维护明年的预算值。</w:t>
      </w:r>
    </w:p>
    <w:p w14:paraId="60C4D1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科教收入编制</w:t>
      </w:r>
    </w:p>
    <w:p w14:paraId="3E1998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由对应的归口科室来对各个科教收入预算项目进行预算金额的填报，实现科教收入预算的编制。</w:t>
      </w:r>
    </w:p>
    <w:p w14:paraId="35494A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其他收入预算编制</w:t>
      </w:r>
    </w:p>
    <w:p w14:paraId="1012F93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由对应的归口科室来对各个其他收入预算项目进行预算金额的填报，实现其他收入预算的编制。通过选项年份和系统维护的科目分类，来确定明年的预算金额。</w:t>
      </w:r>
    </w:p>
    <w:p w14:paraId="3DC53D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人员经费预算</w:t>
      </w:r>
    </w:p>
    <w:p w14:paraId="10014D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通过人员经费预算项目，结合各个预算项目去年的人数及金额，由归口科室填报下年度各预算项目的人数来进行下年度的人员经费项目预算，实现人员经费的预算编制。</w:t>
      </w:r>
    </w:p>
    <w:p w14:paraId="07D651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办公经费预算编制</w:t>
      </w:r>
    </w:p>
    <w:p w14:paraId="2BA709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提供办公经费预算编制</w:t>
      </w:r>
    </w:p>
    <w:p w14:paraId="1CE5A8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专项经费预算编制</w:t>
      </w:r>
    </w:p>
    <w:p w14:paraId="35B2CB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提供专项经费预算编制归口科室通过各个专项经费预算项目的去年值和实际情况对专项经费项目进行预算编制。</w:t>
      </w:r>
    </w:p>
    <w:p w14:paraId="58F5D4E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医疗支出预算编制</w:t>
      </w:r>
    </w:p>
    <w:p w14:paraId="4BB89F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提供医疗支出预算编制由归口科室对各个医疗支出预算项目的去年值和实际情况进行下年度的医疗支出预算填报。</w:t>
      </w:r>
    </w:p>
    <w:p w14:paraId="5BDE6B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采购预算</w:t>
      </w:r>
    </w:p>
    <w:p w14:paraId="65A9BD1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提供采购预算为资本性支出预算，由各科室进行填报，然后根据各个科室填报的预算额进行采购预算汇总。</w:t>
      </w:r>
    </w:p>
    <w:p w14:paraId="3F1B18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预算决算设置</w:t>
      </w:r>
    </w:p>
    <w:p w14:paraId="0032AA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提供预算决算设置根据院内系统接口来获取对应预算项目的决算额，也可由预算管理科室填报对应的决算额。</w:t>
      </w:r>
    </w:p>
    <w:p w14:paraId="2020E7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通过项目的预算和决算可以对院内预算的执行情况进行分析，为医院的决策提供数据提供。</w:t>
      </w:r>
    </w:p>
    <w:p w14:paraId="600A3D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预算科室信息</w:t>
      </w:r>
    </w:p>
    <w:p w14:paraId="6B9FBF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参与预算管理科室的维护,由预算管理人员维护</w:t>
      </w:r>
    </w:p>
    <w:p w14:paraId="1654255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预算项目信息</w:t>
      </w:r>
    </w:p>
    <w:p w14:paraId="4844DC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各科室预算项目维护,由预算管理人员按照主题,如公用支出、维修支出等,按项目,如购买定额文件资料、复印机维护和配件等完成预算项目字典的维护</w:t>
      </w:r>
    </w:p>
    <w:p w14:paraId="11508A8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预算申请信息</w:t>
      </w:r>
    </w:p>
    <w:p w14:paraId="3BDDA9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医院各预算申请科室通过内部信息网指定网站登录预算申请页面，进行本科室的预算申请</w:t>
      </w:r>
    </w:p>
    <w:p w14:paraId="460E10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预算项目信息</w:t>
      </w:r>
    </w:p>
    <w:p w14:paraId="2C758D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各科室预算项目维护,由预算管理人员按照主题,如公用支出、维修支出等,按项目,如购买定额文件资料、复印机维护和配件等完成预算项目字典的维护</w:t>
      </w:r>
    </w:p>
    <w:p w14:paraId="185355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预算执行信息</w:t>
      </w:r>
    </w:p>
    <w:p w14:paraId="1BB13F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预算管理主要由预算管理人员来进行各种日常预算管理工作，这其中包括预算的调整，预算执行的调整，以及各种统计分析等。</w:t>
      </w:r>
    </w:p>
    <w:p w14:paraId="721697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数据分析</w:t>
      </w:r>
    </w:p>
    <w:p w14:paraId="0EB306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对各类指标数据进行图形化处理，并对这些数据进行整理分析。</w:t>
      </w:r>
    </w:p>
    <w:p w14:paraId="41E631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预算报表</w:t>
      </w:r>
    </w:p>
    <w:p w14:paraId="010883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全面利用指标数据，生成各类报表，进行分类管理。通过各类报表，获得不同报表数据，进行整理、汇总、分析。</w:t>
      </w:r>
    </w:p>
    <w:p w14:paraId="33D1558A">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成本管理系统</w:t>
      </w:r>
    </w:p>
    <w:p w14:paraId="1CF984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科室成本核算</w:t>
      </w:r>
    </w:p>
    <w:p w14:paraId="3332C3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提供科室成本多级、多类全成本分摊，提供医院成本收益、成本构成、成本分析、本量利分析等报表。</w:t>
      </w:r>
    </w:p>
    <w:p w14:paraId="3AAC223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项目成本核算</w:t>
      </w:r>
    </w:p>
    <w:p w14:paraId="733A27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医疗服务项目成本核算是以各科室开展的医疗服务项目为对象，归集和分配各项支出，计算出各项目单位成本的过程。</w:t>
      </w:r>
    </w:p>
    <w:p w14:paraId="22183C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病种成本核算</w:t>
      </w:r>
    </w:p>
    <w:p w14:paraId="0BACCB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以病种为核算对象，按一定流程和方法归集相关费用计算病种成本的过程。核算办法是将为治疗某一病种所消耗费的医疗项目成本、药品成本及单独收费材料成本进行叠加。</w:t>
      </w:r>
    </w:p>
    <w:p w14:paraId="6CFDD9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科室成本接口</w:t>
      </w:r>
    </w:p>
    <w:p w14:paraId="37D633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通过接口实现科室全成本核算、分析所需数据的自动归集。</w:t>
      </w:r>
    </w:p>
    <w:p w14:paraId="2BEB55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基础业务信息</w:t>
      </w:r>
    </w:p>
    <w:p w14:paraId="6B5CB4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实现与医院现有信息系统的完全整合，确保系统间数据的一致性，实现各个系统模块之间的协同运作。</w:t>
      </w:r>
    </w:p>
    <w:p w14:paraId="7A7C4B7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收入归集信息</w:t>
      </w:r>
    </w:p>
    <w:p w14:paraId="7ED8F55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以核算单元为单位收入汇集。</w:t>
      </w:r>
    </w:p>
    <w:p w14:paraId="722F70D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成本分摊信息</w:t>
      </w:r>
    </w:p>
    <w:p w14:paraId="571B51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按照不同的核算目标</w:t>
      </w:r>
    </w:p>
    <w:p w14:paraId="4FBB2A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成本核算信息</w:t>
      </w:r>
    </w:p>
    <w:p w14:paraId="1474B1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根据管理要求，从最小核算单元开始完成成本核算。</w:t>
      </w:r>
    </w:p>
    <w:p w14:paraId="7257B5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成本分析信息</w:t>
      </w:r>
    </w:p>
    <w:p w14:paraId="6DF60EC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根据成本的各种组成元素、来源、成本对象等，从不同角度进行深度的成本分析。</w:t>
      </w:r>
    </w:p>
    <w:p w14:paraId="5ADD819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资料信息</w:t>
      </w:r>
    </w:p>
    <w:p w14:paraId="587DC8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对物资、药品、设备信息进行维护。</w:t>
      </w:r>
      <w:r>
        <w:rPr>
          <w:rFonts w:hint="eastAsia" w:ascii="华文中宋" w:hAnsi="华文中宋" w:eastAsia="华文中宋" w:cs="华文中宋"/>
          <w:color w:val="auto"/>
          <w:highlight w:val="none"/>
        </w:rPr>
        <w:br w:type="page"/>
      </w:r>
    </w:p>
    <w:p w14:paraId="5E827F5E">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绩效管理系统</w:t>
      </w:r>
    </w:p>
    <w:p w14:paraId="3DCDA229">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考核平台</w:t>
      </w:r>
    </w:p>
    <w:p w14:paraId="09D194B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提供全方位的绩效考评体系；</w:t>
      </w:r>
    </w:p>
    <w:p w14:paraId="34B0DBA6">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提供选取关键指标，对目标的执行进行管理、考核、分析、评价；</w:t>
      </w:r>
    </w:p>
    <w:p w14:paraId="726A8B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科室及个人考核</w:t>
      </w:r>
      <w:r>
        <w:rPr>
          <w:rFonts w:hint="eastAsia" w:ascii="华文中宋" w:hAnsi="华文中宋" w:eastAsia="华文中宋" w:cs="华文中宋"/>
          <w:color w:val="auto"/>
          <w:highlight w:val="none"/>
        </w:rPr>
        <w:tab/>
      </w:r>
    </w:p>
    <w:p w14:paraId="0E4973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提供考核层级科室（班组）、个人，提供总体考核和单项考核， </w:t>
      </w:r>
    </w:p>
    <w:p w14:paraId="395F5E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考核周期</w:t>
      </w:r>
    </w:p>
    <w:p w14:paraId="59A204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考核周期提供按照月、季、半年、年为周期的考核</w:t>
      </w:r>
    </w:p>
    <w:p w14:paraId="3EBF4F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分配参数设置</w:t>
      </w:r>
    </w:p>
    <w:p w14:paraId="7A6CA0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能针对医、护、技、行政后勤人员不同特点，提供基于工作量化的参数比例设置</w:t>
      </w:r>
    </w:p>
    <w:p w14:paraId="106A1B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考核指标库</w:t>
      </w:r>
    </w:p>
    <w:p w14:paraId="7E8870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自定义纬度，维护财务、客户、内部流程、学习成长等方面的KPI指标。</w:t>
      </w:r>
    </w:p>
    <w:p w14:paraId="33AA1D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质量考核指标</w:t>
      </w:r>
    </w:p>
    <w:p w14:paraId="3FB8C9E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提供质量考核指标的设置</w:t>
      </w:r>
    </w:p>
    <w:p w14:paraId="27F399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质量考核信息</w:t>
      </w:r>
    </w:p>
    <w:p w14:paraId="3158C3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在日常工作中，各基层管理人员通过定期、不定期、随机等检查手段，监管各个科室的质量运行，医疗质量、医疗安全情况，通过质量平台及时录入考核信息。</w:t>
      </w:r>
    </w:p>
    <w:p w14:paraId="75AAC6F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质量考评信息</w:t>
      </w:r>
    </w:p>
    <w:p w14:paraId="76EDF4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数据录入完成后，每月要生成一次质量数据，以便查看各个科室每月的质量考评扣分情况。质量考评周期为1次/月，科室由三处一部、财经中心等进行检查考评；机关和职能科室由院领导牵头考评。质量科负责最终核实确认。</w:t>
      </w:r>
    </w:p>
    <w:p w14:paraId="52B4A5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质量考评结果</w:t>
      </w:r>
    </w:p>
    <w:p w14:paraId="1514C0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提供质量汇总数据及明细层级查询。</w:t>
      </w:r>
    </w:p>
    <w:p w14:paraId="1D9085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提供实时查看质量扣分明细。</w:t>
      </w:r>
    </w:p>
    <w:p w14:paraId="04FA119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提供根据质量指标、部门、责任人查询质量考核结果。对显示的质量数据列表进行筛选过滤。跟踪监控科室质量安全事件。查询科室反馈改进情况。</w:t>
      </w:r>
    </w:p>
    <w:p w14:paraId="7D6DEDD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工作量核算</w:t>
      </w:r>
    </w:p>
    <w:p w14:paraId="7D7E688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工作量数据的生成、工作量的录入、工作量系数设置、工作量类别细分，以及从多角度多层面的工作量、劳动强度、收益数据进行核算。</w:t>
      </w:r>
    </w:p>
    <w:p w14:paraId="5A818E0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职能科室综合考核</w:t>
      </w:r>
    </w:p>
    <w:p w14:paraId="2D1EC44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各职能部门对各自负责的科室医疗质量、服务效率、医德医风等各类考核指标，在系统里分别录入考核数据，考核办最终审核，考核过程全部实现无纸化。</w:t>
      </w:r>
    </w:p>
    <w:p w14:paraId="349729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考核办可以随时查询职能科室打分情况，对未按时完成考核工作的职能科室进行提醒和督促。自动生成医院需求的各种考核得分结果表。并能够查询考核人操作时间、加、扣分原因。</w:t>
      </w:r>
    </w:p>
    <w:p w14:paraId="53B9E8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绩效工资分配</w:t>
      </w:r>
    </w:p>
    <w:p w14:paraId="67E2469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提供院级奖金分配、科级奖金分配、科室总收入、科室总成本、毛收益、提成比、绩效奖、重点工作量、科室人数、质量得分、单项奖惩、其他奖励、科室总奖金</w:t>
      </w:r>
    </w:p>
    <w:p w14:paraId="76171F9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奖金核算和发放</w:t>
      </w:r>
    </w:p>
    <w:p w14:paraId="420851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自定义奖金方案配置，实现奖金核算及其分配，并将绩效考核结果与奖金分配进行有效对接，实现以合理分配、有效激励的原则</w:t>
      </w:r>
    </w:p>
    <w:p w14:paraId="710809F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绩效报表</w:t>
      </w:r>
    </w:p>
    <w:p w14:paraId="5439B4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临床科室奖金分配报表的查询、打印、输出；</w:t>
      </w:r>
    </w:p>
    <w:p w14:paraId="08DDD82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医技科室奖金分配报表的查询、打印、输出；</w:t>
      </w:r>
    </w:p>
    <w:p w14:paraId="6930F07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提供行政后勤科室奖金分配报表的查询、打印输出；</w:t>
      </w:r>
    </w:p>
    <w:p w14:paraId="138AC4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提供科室按权限查询本科奖金核算、分配报表；</w:t>
      </w:r>
    </w:p>
    <w:p w14:paraId="1758B7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提供院科奖金核算与分配构成、统计汇总与排名；</w:t>
      </w:r>
    </w:p>
    <w:p w14:paraId="5876F3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提供院级奖金分配趋势和与业务收入的占比分析；</w:t>
      </w:r>
    </w:p>
    <w:p w14:paraId="0597CE7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提供院领导对奖金分配状况综合查询与分析。</w:t>
      </w:r>
    </w:p>
    <w:p w14:paraId="22476F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科研教学管理</w:t>
      </w:r>
    </w:p>
    <w:p w14:paraId="13CE90C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提供医院科研教学活动的记录、内容、参加人员、成果及会议管理</w:t>
      </w:r>
    </w:p>
    <w:p w14:paraId="714FCA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数据中心</w:t>
      </w:r>
    </w:p>
    <w:p w14:paraId="6EA792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数字讲评、病种分析、报表类别设置、设置科室报表、设置人员报表、科室报表中心、人员报表中心</w:t>
      </w:r>
    </w:p>
    <w:p w14:paraId="6B054D89">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高值耗材</w:t>
      </w:r>
    </w:p>
    <w:p w14:paraId="7564A80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基础档案管理</w:t>
      </w:r>
    </w:p>
    <w:p w14:paraId="5E0C063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耗材中标目录导入</w:t>
      </w:r>
    </w:p>
    <w:p w14:paraId="10D3B9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供应商证照记录</w:t>
      </w:r>
      <w:r>
        <w:rPr>
          <w:rFonts w:hint="eastAsia" w:ascii="华文中宋" w:hAnsi="华文中宋" w:eastAsia="华文中宋" w:cs="华文中宋"/>
          <w:color w:val="auto"/>
          <w:highlight w:val="none"/>
        </w:rPr>
        <w:tab/>
      </w:r>
    </w:p>
    <w:p w14:paraId="785F2B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列出供应商供货目录，包含产品的注册证、厂家各种证件的有效期，供应商本身的各种证件信息（证件种类可以自定义维护）</w:t>
      </w:r>
    </w:p>
    <w:p w14:paraId="2FD972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制定采购计划</w:t>
      </w:r>
    </w:p>
    <w:p w14:paraId="76FA6B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仪器部库房通过系统自动汇总各科室提交的需求申请。</w:t>
      </w:r>
    </w:p>
    <w:p w14:paraId="75C952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采购验收入库</w:t>
      </w:r>
    </w:p>
    <w:p w14:paraId="49325D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供应商送货到仓库，所有耗材先扫条形码，系统可按条形码识别并自动验收品种，验收审核后可打印验收单，并产生库存。系统尚自动按订货单信息选择一次性入库或多次分批入库</w:t>
      </w:r>
    </w:p>
    <w:p w14:paraId="5F1C20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临床科室使用划价</w:t>
      </w:r>
    </w:p>
    <w:p w14:paraId="0734489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临床科室需要使用时，在系统中已经备货的品种中进行选择，然后输入病人信息，保存后，备货产品状态变改为已经使用。</w:t>
      </w:r>
    </w:p>
    <w:p w14:paraId="5D73C8CF">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智慧医院</w:t>
      </w:r>
    </w:p>
    <w:p w14:paraId="1B28D55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门诊服务</w:t>
      </w:r>
    </w:p>
    <w:p w14:paraId="2CEED0E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登录注册登录注册提供通过手机号及验证码进行账号注册；通过微信登录、短信验证码、手机号一键认证进行系统登录</w:t>
      </w:r>
    </w:p>
    <w:p w14:paraId="61811B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线上挂号挂当天号提供当天挂号，取消挂号</w:t>
      </w:r>
    </w:p>
    <w:p w14:paraId="6FDC794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预约挂号提供预约挂号，取消预约</w:t>
      </w:r>
    </w:p>
    <w:p w14:paraId="6806CDC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就诊指南就诊指南患者在挂号预约时，提前通知患者医院相关就诊前指南以及科室预约指南。</w:t>
      </w:r>
    </w:p>
    <w:p w14:paraId="111747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通过弹窗通知的形式明确告诉用户医院相关的诊前须知事项</w:t>
      </w:r>
    </w:p>
    <w:p w14:paraId="5BB38F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在线支付挂号缴费</w:t>
      </w:r>
    </w:p>
    <w:p w14:paraId="68AB49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提供当天挂号缴费、预约挂号缴费、加号缴费</w:t>
      </w:r>
    </w:p>
    <w:p w14:paraId="5C844C2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挂号缴费在时限内提供线上退费</w:t>
      </w:r>
    </w:p>
    <w:p w14:paraId="1685076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门诊缴费APP、微信、支付宝扫一扫功能，扫描医生开具的处方、检查、检验单即可缴费</w:t>
      </w:r>
    </w:p>
    <w:p w14:paraId="59A919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住院押金缴费用户线上绑定住院号，可以查看住院期间的每日清单，费用汇总等</w:t>
      </w:r>
    </w:p>
    <w:p w14:paraId="00BD08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支付方式在线支付方式：微信支付、支付宝支付</w:t>
      </w:r>
    </w:p>
    <w:p w14:paraId="65EB9B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提供扫描患者微信、支付宝付款码，收取门诊、住院押金费用</w:t>
      </w:r>
    </w:p>
    <w:p w14:paraId="5FF341D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线上检验报告查询检验报告查询通过就诊人信息，或查询码查询对应检验报告</w:t>
      </w:r>
    </w:p>
    <w:p w14:paraId="742ABC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线上检查报告查询检查报告查询通过就诊人信息，或二维码码查询对应检查报告</w:t>
      </w:r>
    </w:p>
    <w:p w14:paraId="347C14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住院服务</w:t>
      </w:r>
    </w:p>
    <w:p w14:paraId="2EFBD4C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住院押金缴纳可实现线上缴纳住院押金</w:t>
      </w:r>
    </w:p>
    <w:p w14:paraId="3CF497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住院费用清单查看用户线上绑定住院号，可以查看住院期间的每日清单，费用汇总等</w:t>
      </w:r>
    </w:p>
    <w:p w14:paraId="58C80E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查询检验报告患者绑定住院号后，可以查询住院时的检验报告</w:t>
      </w:r>
    </w:p>
    <w:p w14:paraId="6495DC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查询检查报告患者绑定住院号后，可以查询住院时的检查报告</w:t>
      </w:r>
    </w:p>
    <w:p w14:paraId="100719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对账服务</w:t>
      </w:r>
    </w:p>
    <w:p w14:paraId="13A292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后台对账提供医院通过平台的各渠道在线支付的自动对账和人工核账服务，包括医保移动支付个人账户与现金部分支付对账。</w:t>
      </w:r>
    </w:p>
    <w:p w14:paraId="67E114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医保移动支付</w:t>
      </w:r>
    </w:p>
    <w:p w14:paraId="2157DF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实现场景微信公众号、支付宝小程序</w:t>
      </w:r>
    </w:p>
    <w:p w14:paraId="164C86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医保交互实现与医保移动支付中心、地方医保 (核心医保) 进行交互，基于院内 HIS 数据与医保移动支付中心交互，连接第三方支付渠道商的数据交互，完成患者线上医保支付的业务流程。</w:t>
      </w:r>
    </w:p>
    <w:p w14:paraId="0413B07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医保移动支付通过移动医保支付的对接，提供省直医保、市医保患者挂号、门诊结算场景的医保支付及混合支付，可以完成医保账户和个人自费部分的线上移动支付</w:t>
      </w:r>
    </w:p>
    <w:p w14:paraId="1DF90B8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挂号场景医保缴费医保移动支付可以实现患者在手机端完成挂号场景的医保缴费</w:t>
      </w:r>
    </w:p>
    <w:p w14:paraId="0A9CB0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门诊结算提供在线获取门诊结算中的处方、检查、检验、处置等项目缴费信息，患者可以通过医院门户扫码或拉取订单的方式自费或医保支付，同时在支付时可查看处方、检查、检验明细</w:t>
      </w:r>
    </w:p>
    <w:p w14:paraId="7C7F34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医保身份认证患者可领取医保电子凭证，需通过刷脸等方式进行实名认证，提供医保电子凭证的激活、展码、移动支付能力</w:t>
      </w:r>
    </w:p>
    <w:p w14:paraId="0E583EF2">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智慧</w:t>
      </w:r>
      <w:r>
        <w:rPr>
          <w:rFonts w:hint="eastAsia" w:ascii="华文中宋" w:hAnsi="华文中宋" w:eastAsia="华文中宋" w:cs="华文中宋"/>
          <w:color w:val="auto"/>
          <w:highlight w:val="none"/>
        </w:rPr>
        <w:t>就医</w:t>
      </w:r>
    </w:p>
    <w:p w14:paraId="0D13E2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门诊住院预约结算清单</w:t>
      </w:r>
    </w:p>
    <w:p w14:paraId="51848B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预约挂号门诊患者挂号后，可以查看挂号信息</w:t>
      </w:r>
    </w:p>
    <w:p w14:paraId="37E18E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就诊提醒门诊患者就诊当天提醒患者准时到诊</w:t>
      </w:r>
    </w:p>
    <w:p w14:paraId="79DC65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诊断通知门诊医生给患者下门诊诊断后，通知患者查看</w:t>
      </w:r>
    </w:p>
    <w:p w14:paraId="704B68B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诊间支付门诊对于门诊期间产生的费用，可以在线完成支付</w:t>
      </w:r>
    </w:p>
    <w:p w14:paraId="4F804F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检验注意事项门诊对于患者在门诊期间开具的检验，可以提醒患者查看对应项目的检查检验注意事项</w:t>
      </w:r>
    </w:p>
    <w:p w14:paraId="35D4DB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检查注意事项门诊对于患者在门诊期间开具的检验，可以提醒患者查看对应项目的检查检验注意事项</w:t>
      </w:r>
    </w:p>
    <w:p w14:paraId="345FF6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检验报告门诊患者检验报告出具后，推送消息提醒患者及时查看</w:t>
      </w:r>
    </w:p>
    <w:p w14:paraId="433E5B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检查报告门诊患者检查报告出具后，推送消息提醒患者及时查看</w:t>
      </w:r>
    </w:p>
    <w:p w14:paraId="21009F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满意度调查门诊患者当天门诊结束以后，提醒患者在线完成满意度调查</w:t>
      </w:r>
    </w:p>
    <w:p w14:paraId="0A619B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门诊电子发票门诊展示获取电子发票的步骤及流程</w:t>
      </w:r>
    </w:p>
    <w:p w14:paraId="741B4E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须知门诊展示门诊预约及就诊须知</w:t>
      </w:r>
    </w:p>
    <w:p w14:paraId="3C338A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指南门诊展示门诊相关办事指南</w:t>
      </w:r>
    </w:p>
    <w:p w14:paraId="2F63A37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入院办理住院提醒患者可以办理入院，提示患者入院流程及注意事项等内容</w:t>
      </w:r>
    </w:p>
    <w:p w14:paraId="336007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入科办理住院提醒患者可以办理入科，提示患者入科信息及注意事项等内容</w:t>
      </w:r>
    </w:p>
    <w:p w14:paraId="3ED1EB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押金缴费住院患者可以根据自身费用情况，在线完成押金缴纳</w:t>
      </w:r>
    </w:p>
    <w:p w14:paraId="7CD178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今日报告住院患者可以查看住院期间的报告信息</w:t>
      </w:r>
    </w:p>
    <w:p w14:paraId="71682FF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费用清单住院患者可以查看住院期间的每日费用清单信息</w:t>
      </w:r>
    </w:p>
    <w:p w14:paraId="61179C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费用汇总住院患者可以查看住院期间的费用汇总信息</w:t>
      </w:r>
    </w:p>
    <w:p w14:paraId="44B65BC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宣教住院住院对应的科室开通头条后发送的宣教内容</w:t>
      </w:r>
    </w:p>
    <w:p w14:paraId="6DFBFA22">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OA系统</w:t>
      </w:r>
    </w:p>
    <w:p w14:paraId="27742A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移动端门户工作台</w:t>
      </w:r>
    </w:p>
    <w:p w14:paraId="438B1A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提供移动端</w:t>
      </w:r>
    </w:p>
    <w:p w14:paraId="5664C0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提供工作台基础分组、排序。</w:t>
      </w:r>
    </w:p>
    <w:p w14:paraId="371ADB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提供工作台定制设计。</w:t>
      </w:r>
    </w:p>
    <w:p w14:paraId="429CF8B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提供工作台自建组件。</w:t>
      </w:r>
    </w:p>
    <w:p w14:paraId="5D512BD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组织结构</w:t>
      </w:r>
    </w:p>
    <w:p w14:paraId="50AE64A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具备管理系统组织结构。</w:t>
      </w:r>
    </w:p>
    <w:p w14:paraId="4D2538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提供组织结构内各个组织既可独立使用又可互联互通。</w:t>
      </w:r>
    </w:p>
    <w:p w14:paraId="716B95F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提供增加新组织结构。</w:t>
      </w:r>
    </w:p>
    <w:p w14:paraId="2A8E42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提供设置各个组织之间是否可见。</w:t>
      </w:r>
    </w:p>
    <w:p w14:paraId="65CECA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提供各组织独立维护自己的应用类别与权限。</w:t>
      </w:r>
    </w:p>
    <w:p w14:paraId="7DAD38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提供系统统一的通讯录管理。</w:t>
      </w:r>
    </w:p>
    <w:p w14:paraId="154ECA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提供直接搜索职工信息，提供中文、拼音、工号、昵称等模糊搜索。</w:t>
      </w:r>
    </w:p>
    <w:p w14:paraId="75AF668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提供选择是否显示用户手机号码，不显示手机号码时，只能通过组织统一号码进行呼叫。</w:t>
      </w:r>
    </w:p>
    <w:p w14:paraId="30D5E7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提供设置特别关注人员。</w:t>
      </w:r>
    </w:p>
    <w:p w14:paraId="571B04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成员管理提供表格批量导入，提供增加、删除、修改成员信息，提供人员信息常用字段及自定义字段，提供设置成员角色组、成员角色，成员角色可被调用到通知、公告、审批等环节。</w:t>
      </w:r>
    </w:p>
    <w:p w14:paraId="18C4A48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部门管理提供增加、删除、修改部门信息，提供设置部门可见性、隐藏性、根据部门可直接创建部门群，提供通过搜索框搜索到部门、部门人员及部门电话。</w:t>
      </w:r>
    </w:p>
    <w:p w14:paraId="02A63D6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提供隐藏特殊部门，隐藏后该部门在通讯录不可见。</w:t>
      </w:r>
    </w:p>
    <w:p w14:paraId="3E26CAA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重要领导提供隐藏电话号码/屏蔽系统电话通知/屏蔽短信/应用内强提醒/视频会议/音频会议/视频通话/语音通话/消息等，允许指定成员联系重要领导。</w:t>
      </w:r>
    </w:p>
    <w:p w14:paraId="1188C4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通讯录查看页面提供水印，可直接发起聊天、语音通话、提供通过用户手机号码拨打普通电话、提供通过公司统一号码拨打办公电话。</w:t>
      </w:r>
    </w:p>
    <w:p w14:paraId="30989C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提供配置每个人员的通讯录查看权限。</w:t>
      </w:r>
    </w:p>
    <w:p w14:paraId="1A35A61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提供操作风险提醒。</w:t>
      </w:r>
    </w:p>
    <w:p w14:paraId="667991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即时通讯</w:t>
      </w:r>
    </w:p>
    <w:p w14:paraId="6E927F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提供统一的即时通讯工具，并在常规沟通基础上进行更多业务信息的快速流转。</w:t>
      </w:r>
    </w:p>
    <w:p w14:paraId="735F59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提供组织内部的即时通讯功能。</w:t>
      </w:r>
    </w:p>
    <w:p w14:paraId="6840E4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消息撤回，提供消息24小时撤回，提供群管理员撤回群消息。</w:t>
      </w:r>
    </w:p>
    <w:p w14:paraId="01221F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即时通讯功能同时提供PC端和移动端，并且PC端和移动端可以实现消息同步、文件互传；PC端和移动端可同时在线。</w:t>
      </w:r>
    </w:p>
    <w:p w14:paraId="1A445C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提供APP召开电话、视频会议，提供多方通话、多方视频、群直播、桌面分享。</w:t>
      </w:r>
    </w:p>
    <w:p w14:paraId="4CF441E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提供设置常用联系人、群组。</w:t>
      </w:r>
    </w:p>
    <w:p w14:paraId="65717C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提供查看用户联系方式，并直接发起在线沟通、电话、短信、邮件。</w:t>
      </w:r>
    </w:p>
    <w:p w14:paraId="343938A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群聊提供与其他软件及邮箱进行文件互传功能，提供设置群管理员。</w:t>
      </w:r>
    </w:p>
    <w:p w14:paraId="36C9A8B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在线编辑</w:t>
      </w:r>
    </w:p>
    <w:p w14:paraId="0982C8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提供移动端对常见格式文件的在线编辑，无需下载第三方应用打开。</w:t>
      </w:r>
    </w:p>
    <w:p w14:paraId="6419263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聊天文件常用格式提供在线浏览、在线编辑，编辑完成后可提醒群成员，提供查看历史版本。</w:t>
      </w:r>
    </w:p>
    <w:p w14:paraId="3072720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多人协同编辑时，每个编辑者有不同的颜色区别，可实时看到其他编辑者正在修改哪部分内容。</w:t>
      </w:r>
    </w:p>
    <w:p w14:paraId="465C252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通知公告应用</w:t>
      </w:r>
    </w:p>
    <w:p w14:paraId="4DB276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提供添加标题、封面图片、内容、附件。</w:t>
      </w:r>
    </w:p>
    <w:p w14:paraId="36991A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提供发布权限、发送范围、置顶、保密公告、发通知。</w:t>
      </w:r>
    </w:p>
    <w:p w14:paraId="7218BF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文件专栏应用</w:t>
      </w:r>
    </w:p>
    <w:p w14:paraId="2F3A153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提供按照文件类型分类公示，在线查阅或下载，提供统计查阅量数据。</w:t>
      </w:r>
    </w:p>
    <w:p w14:paraId="215D62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闭环消息应用</w:t>
      </w:r>
    </w:p>
    <w:p w14:paraId="21CF080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提供消息系统、任务系统、日程管理系统的消息。</w:t>
      </w:r>
    </w:p>
    <w:p w14:paraId="783559D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提供已读、未读归类处理并且做到强提醒，平台内、短信、电话。</w:t>
      </w:r>
    </w:p>
    <w:p w14:paraId="4399F0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公文流转应用</w:t>
      </w:r>
    </w:p>
    <w:p w14:paraId="7023CB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提供表单自定义设计器、流程设计器、流程数据统计和分析、权限管理。需提供发文拟稿、收文登记、收文办理、发文办理、公文查询、草稿箱功能。</w:t>
      </w:r>
    </w:p>
    <w:p w14:paraId="21D080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流程编辑器，提供在列表的设计版块模块下进行具体的编辑。</w:t>
      </w:r>
    </w:p>
    <w:p w14:paraId="1A52707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提供红头文件模板。</w:t>
      </w:r>
    </w:p>
    <w:p w14:paraId="4927C9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提供设计打印格式、单个公文下载、数据汇总下载。</w:t>
      </w:r>
    </w:p>
    <w:p w14:paraId="44B1F5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提供设定管理范围、操作权限。</w:t>
      </w:r>
    </w:p>
    <w:p w14:paraId="0F40D4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审批应用</w:t>
      </w:r>
    </w:p>
    <w:p w14:paraId="1D4014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提供表单自定义设计器、审批流程自定义设计器、流程数据统计和分析、权限管理。</w:t>
      </w:r>
    </w:p>
    <w:p w14:paraId="4E6EC37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提供创建应用／管理应用。</w:t>
      </w:r>
    </w:p>
    <w:p w14:paraId="439AD7F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提供审批流程自定义设计器：</w:t>
      </w:r>
    </w:p>
    <w:p w14:paraId="189D49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提供自定义默认流程、分条件流程；</w:t>
      </w:r>
    </w:p>
    <w:p w14:paraId="2360DA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流程提供自动去重、自动通过、允许加签、审批撤销、限时审批、手写签名、审批意见、允许代他人提交。提供人工审批、自动通过、自动拒绝。提供设置审批人、表单操作权限、审批限时处理。提供审批方式，审批方式需提供手写签名、加签、转交、退回、拒绝、评论、发起讨论；</w:t>
      </w:r>
    </w:p>
    <w:p w14:paraId="7C1DEF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提供业务规则、并行节点、动态流程、OCR识别、自定义审批编号、单选数据联动、多条件组合、高级权限、数据列表增强。</w:t>
      </w:r>
    </w:p>
    <w:p w14:paraId="477717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提供审批诊断，有效流程、建议时长、耗时异常（红色）、效率月报、总审批单、试运行流程完成率、平均运行时长、耗时异常事项、流程完成率、流程使用人数、效率提升、OA审批周报/月报功能。</w:t>
      </w:r>
    </w:p>
    <w:p w14:paraId="31A034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提供设计打印格式、单个审批下载、数据汇总下载。</w:t>
      </w:r>
    </w:p>
    <w:p w14:paraId="5F5F61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会议全流程管理应用</w:t>
      </w:r>
    </w:p>
    <w:p w14:paraId="4D1B1D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提供会议预约、通知、动态静态二维码签到、会议纪要、任务追踪、会后讨论群闭环管理。</w:t>
      </w:r>
    </w:p>
    <w:p w14:paraId="73EAD4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提供统计签到数据。</w:t>
      </w:r>
    </w:p>
    <w:p w14:paraId="27935E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报表收集应用</w:t>
      </w:r>
    </w:p>
    <w:p w14:paraId="6885E6E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提供可自行创建表单填写，提供单选、多选、问答、评分、手机号、身份证、通信行程卡、数字、手写签名、文件、表格单选、表格填空、省市区、当前位置、说明文字、日期时间、图片、部门、联系人、计算公式模块。 </w:t>
      </w:r>
    </w:p>
    <w:p w14:paraId="4B22BD2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提供设定填写范围、发送范围、填写时间、填写周期、匿名填写。</w:t>
      </w:r>
    </w:p>
    <w:p w14:paraId="3767096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提供数据统计、配置数据权限。</w:t>
      </w:r>
    </w:p>
    <w:p w14:paraId="447712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考勤</w:t>
      </w:r>
    </w:p>
    <w:p w14:paraId="463387D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提供考勤基础功能。考勤组管理、班次管理、考勤规则管理、考勤统计、假期管理、链接人脸识别考勤机。</w:t>
      </w:r>
    </w:p>
    <w:p w14:paraId="62D006A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提供考勤团队统计自定义、员工统计自定义、报表专家模式、考勤封账、年度报表。</w:t>
      </w:r>
    </w:p>
    <w:p w14:paraId="64F98F4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服务窗</w:t>
      </w:r>
    </w:p>
    <w:p w14:paraId="373341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提供对外展示窗口。</w:t>
      </w:r>
    </w:p>
    <w:p w14:paraId="473C473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提供图文编辑和信息发布。</w:t>
      </w:r>
    </w:p>
    <w:p w14:paraId="76FE1D7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提供通过扫码、邀请链接批量导入的方式关注服务窗。</w:t>
      </w:r>
    </w:p>
    <w:p w14:paraId="338D09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排班管理</w:t>
      </w:r>
    </w:p>
    <w:p w14:paraId="1EEB2F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提供总值班、科室排班等需求，按需调班，排班通知，排班提醒。</w:t>
      </w:r>
    </w:p>
    <w:p w14:paraId="06016D1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提供通过排班管理系统，查看当班人员，并可通过平台一键沟通。</w:t>
      </w:r>
    </w:p>
    <w:p w14:paraId="408465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工资条</w:t>
      </w:r>
    </w:p>
    <w:p w14:paraId="1D121BB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提供电子表格一键导入工资条、分发给相对应的人员工资明细单。</w:t>
      </w:r>
    </w:p>
    <w:p w14:paraId="4EF6092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对外问卷调查</w:t>
      </w:r>
    </w:p>
    <w:p w14:paraId="61D6B5E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提供自定义门诊、住院患者满意度调查问卷，患者提供微信扫码填写。</w:t>
      </w:r>
    </w:p>
    <w:p w14:paraId="1820FAE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开放集成 </w:t>
      </w:r>
    </w:p>
    <w:p w14:paraId="612FEB9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单点登录</w:t>
      </w:r>
      <w:r>
        <w:rPr>
          <w:rFonts w:hint="eastAsia" w:ascii="华文中宋" w:hAnsi="华文中宋" w:eastAsia="华文中宋" w:cs="华文中宋"/>
          <w:color w:val="auto"/>
          <w:highlight w:val="none"/>
          <w:lang w:val="en-US" w:eastAsia="zh-CN"/>
        </w:rPr>
        <w:t>功能</w:t>
      </w:r>
      <w:r>
        <w:rPr>
          <w:rFonts w:hint="eastAsia" w:ascii="华文中宋" w:hAnsi="华文中宋" w:eastAsia="华文中宋" w:cs="华文中宋"/>
          <w:color w:val="auto"/>
          <w:highlight w:val="none"/>
        </w:rPr>
        <w:t>。</w:t>
      </w:r>
    </w:p>
    <w:p w14:paraId="268323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客户端扫码并确认登录第三方系统。</w:t>
      </w:r>
    </w:p>
    <w:p w14:paraId="13B192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提供第三方系统读写通讯录信息。</w:t>
      </w:r>
    </w:p>
    <w:p w14:paraId="20CE77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提供第三方系统推送提醒消息至移动端。</w:t>
      </w:r>
    </w:p>
    <w:p w14:paraId="36117BC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开放移动端考勤。</w:t>
      </w:r>
    </w:p>
    <w:p w14:paraId="0E98316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提供移动端日程。</w:t>
      </w:r>
    </w:p>
    <w:p w14:paraId="0695C9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移动后台管理</w:t>
      </w:r>
    </w:p>
    <w:p w14:paraId="6B958C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提供统一的后台管理工具，提供设置子管理员，将部分管理权限下放。</w:t>
      </w:r>
    </w:p>
    <w:p w14:paraId="4C1C11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提供各类操作的日志查询统计。</w:t>
      </w:r>
    </w:p>
    <w:p w14:paraId="7A7B2B4D">
      <w:pPr>
        <w:pStyle w:val="5"/>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危急值管理系统</w:t>
      </w:r>
    </w:p>
    <w:p w14:paraId="07A7181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门诊医生危急值应用</w:t>
      </w:r>
    </w:p>
    <w:p w14:paraId="7A93014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提供检验检查危急值查阅</w:t>
      </w:r>
    </w:p>
    <w:p w14:paraId="259CAB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提供危急值反馈记录登记</w:t>
      </w:r>
    </w:p>
    <w:p w14:paraId="1E2117C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提供医生接受反馈后的处理记录填写</w:t>
      </w:r>
    </w:p>
    <w:p w14:paraId="1C9386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提供检查阳性报告查阅</w:t>
      </w:r>
    </w:p>
    <w:p w14:paraId="7A06B15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提供阳性报告反馈记录登记</w:t>
      </w:r>
    </w:p>
    <w:p w14:paraId="4D4F20B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住院医生危急值应用</w:t>
      </w:r>
    </w:p>
    <w:p w14:paraId="4CCC742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提供检验检查危急值消息提醒</w:t>
      </w:r>
    </w:p>
    <w:p w14:paraId="749DD0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提供检查检验危急值消息查阅</w:t>
      </w:r>
    </w:p>
    <w:p w14:paraId="220A5C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提供病历质控信息消息提醒</w:t>
      </w:r>
    </w:p>
    <w:p w14:paraId="461173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消息提醒服务</w:t>
      </w:r>
    </w:p>
    <w:p w14:paraId="053AD9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提供危急值信息提醒</w:t>
      </w:r>
    </w:p>
    <w:p w14:paraId="3FEABB4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提供检验检查危急值查阅</w:t>
      </w:r>
    </w:p>
    <w:p w14:paraId="23A997E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提供危急值反馈记录登记</w:t>
      </w:r>
    </w:p>
    <w:p w14:paraId="7162FB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实现危急值的闭环管理</w:t>
      </w:r>
    </w:p>
    <w:p w14:paraId="5054D7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检查危急值管理</w:t>
      </w:r>
    </w:p>
    <w:p w14:paraId="28971F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提供临床医学影像系统危急值醒目标识。</w:t>
      </w:r>
    </w:p>
    <w:p w14:paraId="4333678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提供危急值反馈到临床医生</w:t>
      </w:r>
    </w:p>
    <w:p w14:paraId="23CB43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提供危急值反馈方式登记</w:t>
      </w:r>
    </w:p>
    <w:p w14:paraId="6954E4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检验危急值预警和回报系统</w:t>
      </w:r>
    </w:p>
    <w:p w14:paraId="3FCFD86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实现实验室对检验危急值闭环管理。并提在检验过程中，加强危急值的识别能力，提高危急值处理及时性，实现与临床数据互联。包含功能主要有：</w:t>
      </w:r>
    </w:p>
    <w:p w14:paraId="7B1F13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感知超时报警、回报超时报警、接报超时报警等警示及处理。</w:t>
      </w:r>
    </w:p>
    <w:p w14:paraId="1BC00D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临床接报超时后检验科电话回报过程登记。</w:t>
      </w:r>
    </w:p>
    <w:p w14:paraId="4EAEDB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记录</w:t>
      </w:r>
      <w:r>
        <w:rPr>
          <w:rFonts w:hint="eastAsia" w:ascii="华文中宋" w:hAnsi="华文中宋" w:eastAsia="华文中宋" w:cs="华文中宋"/>
          <w:color w:val="auto"/>
          <w:highlight w:val="none"/>
          <w:lang w:val="en-US" w:eastAsia="zh-CN"/>
        </w:rPr>
        <w:t>危急值</w:t>
      </w:r>
      <w:r>
        <w:rPr>
          <w:rFonts w:hint="eastAsia" w:ascii="华文中宋" w:hAnsi="华文中宋" w:eastAsia="华文中宋" w:cs="华文中宋"/>
          <w:color w:val="auto"/>
          <w:highlight w:val="none"/>
        </w:rPr>
        <w:t>时间及时间差</w:t>
      </w:r>
    </w:p>
    <w:p w14:paraId="7D2899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危急值</w:t>
      </w:r>
      <w:r>
        <w:rPr>
          <w:rFonts w:hint="eastAsia" w:ascii="华文中宋" w:hAnsi="华文中宋" w:eastAsia="华文中宋" w:cs="华文中宋"/>
          <w:color w:val="auto"/>
          <w:highlight w:val="none"/>
          <w:lang w:val="en-US" w:eastAsia="zh-CN"/>
        </w:rPr>
        <w:t>规则</w:t>
      </w:r>
      <w:r>
        <w:rPr>
          <w:rFonts w:hint="eastAsia" w:ascii="华文中宋" w:hAnsi="华文中宋" w:eastAsia="华文中宋" w:cs="华文中宋"/>
          <w:color w:val="auto"/>
          <w:highlight w:val="none"/>
        </w:rPr>
        <w:t>设置</w:t>
      </w:r>
    </w:p>
    <w:p w14:paraId="06F6C71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危急值报告提供通过网络、短信、微信等多种方式进行回报，也可人工判断之后进行回报。</w:t>
      </w:r>
    </w:p>
    <w:p w14:paraId="50979BB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仪器分析完成后将数据传送到实验室信息系统，实验室信息系统能根据危急值规则对危急值进行预警。</w:t>
      </w:r>
    </w:p>
    <w:p w14:paraId="0AE6F6C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危急值预警信息、超时报警信息提示。工作站消息终端进行</w:t>
      </w:r>
      <w:r>
        <w:rPr>
          <w:rFonts w:hint="eastAsia" w:ascii="华文中宋" w:hAnsi="华文中宋" w:eastAsia="华文中宋" w:cs="华文中宋"/>
          <w:color w:val="auto"/>
          <w:highlight w:val="none"/>
          <w:lang w:val="en-US" w:eastAsia="zh-CN"/>
        </w:rPr>
        <w:t>危急值</w:t>
      </w:r>
      <w:r>
        <w:rPr>
          <w:rFonts w:hint="eastAsia" w:ascii="华文中宋" w:hAnsi="华文中宋" w:eastAsia="华文中宋" w:cs="华文中宋"/>
          <w:color w:val="auto"/>
          <w:highlight w:val="none"/>
        </w:rPr>
        <w:t>处理操作。</w:t>
      </w:r>
    </w:p>
    <w:p w14:paraId="7248F4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提供规定时间内未发送和未回执的危急值进行提醒。</w:t>
      </w:r>
    </w:p>
    <w:p w14:paraId="79998DA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提供</w:t>
      </w:r>
      <w:r>
        <w:rPr>
          <w:rFonts w:hint="eastAsia" w:ascii="华文中宋" w:hAnsi="华文中宋" w:eastAsia="华文中宋" w:cs="华文中宋"/>
          <w:color w:val="auto"/>
          <w:highlight w:val="none"/>
        </w:rPr>
        <w:t>危急值分析报表</w:t>
      </w:r>
      <w:r>
        <w:rPr>
          <w:rFonts w:hint="eastAsia" w:ascii="华文中宋" w:hAnsi="华文中宋" w:eastAsia="华文中宋" w:cs="华文中宋"/>
          <w:color w:val="auto"/>
          <w:highlight w:val="none"/>
          <w:lang w:eastAsia="zh-CN"/>
        </w:rPr>
        <w:t>。</w:t>
      </w:r>
    </w:p>
    <w:p w14:paraId="384F1A9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心电危急值管理</w:t>
      </w:r>
    </w:p>
    <w:p w14:paraId="1832546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提供心电系统危急值醒目标识。</w:t>
      </w:r>
    </w:p>
    <w:p w14:paraId="1580051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提供危急值反馈到临床医生</w:t>
      </w:r>
    </w:p>
    <w:p w14:paraId="4E8BE9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提供危急值反馈方式登记</w:t>
      </w:r>
    </w:p>
    <w:p w14:paraId="56B0ED52">
      <w:pPr>
        <w:rPr>
          <w:rFonts w:hint="eastAsia" w:ascii="华文中宋" w:hAnsi="华文中宋" w:eastAsia="华文中宋" w:cs="华文中宋"/>
          <w:color w:val="auto"/>
          <w:highlight w:val="none"/>
        </w:rPr>
      </w:pPr>
    </w:p>
    <w:p w14:paraId="302926C9">
      <w:pPr>
        <w:rPr>
          <w:rFonts w:hint="eastAsia" w:ascii="华文中宋" w:hAnsi="华文中宋" w:eastAsia="华文中宋" w:cs="华文中宋"/>
          <w:color w:val="auto"/>
          <w:highlight w:val="none"/>
        </w:rPr>
      </w:pPr>
      <w:bookmarkStart w:id="65" w:name="_Toc424378696"/>
      <w:bookmarkStart w:id="66" w:name="_Toc352761948"/>
      <w:bookmarkStart w:id="67" w:name="_Toc91694430"/>
      <w:bookmarkStart w:id="68" w:name="_Toc28436"/>
      <w:r>
        <w:rPr>
          <w:rFonts w:hint="eastAsia" w:ascii="华文中宋" w:hAnsi="华文中宋" w:eastAsia="华文中宋" w:cs="华文中宋"/>
          <w:color w:val="auto"/>
          <w:highlight w:val="none"/>
        </w:rPr>
        <w:br w:type="page"/>
      </w:r>
    </w:p>
    <w:p w14:paraId="3A84C0F0">
      <w:pPr>
        <w:pStyle w:val="2"/>
        <w:bidi w:val="0"/>
        <w:rPr>
          <w:rFonts w:hint="eastAsia" w:ascii="华文中宋" w:hAnsi="华文中宋" w:eastAsia="华文中宋" w:cs="华文中宋"/>
          <w:color w:val="auto"/>
          <w:highlight w:val="none"/>
        </w:rPr>
      </w:pPr>
      <w:bookmarkStart w:id="69" w:name="_Toc12236"/>
      <w:r>
        <w:rPr>
          <w:rFonts w:hint="eastAsia" w:ascii="华文中宋" w:hAnsi="华文中宋" w:eastAsia="华文中宋" w:cs="华文中宋"/>
          <w:color w:val="auto"/>
          <w:highlight w:val="none"/>
        </w:rPr>
        <w:t>第五部分</w:t>
      </w:r>
      <w:bookmarkEnd w:id="65"/>
      <w:bookmarkEnd w:id="66"/>
      <w:r>
        <w:rPr>
          <w:rFonts w:hint="eastAsia" w:ascii="华文中宋" w:hAnsi="华文中宋" w:eastAsia="华文中宋" w:cs="华文中宋"/>
          <w:color w:val="auto"/>
          <w:highlight w:val="none"/>
        </w:rPr>
        <w:t xml:space="preserve">  资格审查内容及标准</w:t>
      </w:r>
      <w:bookmarkEnd w:id="67"/>
      <w:bookmarkEnd w:id="68"/>
      <w:bookmarkEnd w:id="69"/>
      <w:bookmarkStart w:id="70" w:name="_Toc400718590"/>
    </w:p>
    <w:p w14:paraId="11EA99A5">
      <w:pPr>
        <w:bidi w:val="0"/>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资格审查内容及标准</w:t>
      </w:r>
    </w:p>
    <w:tbl>
      <w:tblPr>
        <w:tblStyle w:val="19"/>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50"/>
        <w:gridCol w:w="2941"/>
        <w:gridCol w:w="4168"/>
      </w:tblGrid>
      <w:tr w14:paraId="164D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Align w:val="center"/>
          </w:tcPr>
          <w:p w14:paraId="223BB09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450" w:type="dxa"/>
            <w:vAlign w:val="center"/>
          </w:tcPr>
          <w:p w14:paraId="4DD31A1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类型</w:t>
            </w:r>
          </w:p>
        </w:tc>
        <w:tc>
          <w:tcPr>
            <w:tcW w:w="2941" w:type="dxa"/>
            <w:vAlign w:val="center"/>
          </w:tcPr>
          <w:p w14:paraId="55659BE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审查要求</w:t>
            </w:r>
          </w:p>
        </w:tc>
        <w:tc>
          <w:tcPr>
            <w:tcW w:w="4168" w:type="dxa"/>
            <w:vAlign w:val="center"/>
          </w:tcPr>
          <w:p w14:paraId="4E7BBFC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要求说明</w:t>
            </w:r>
          </w:p>
        </w:tc>
      </w:tr>
      <w:tr w14:paraId="0962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16" w:type="dxa"/>
            <w:vAlign w:val="center"/>
          </w:tcPr>
          <w:p w14:paraId="2FE98C7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450" w:type="dxa"/>
            <w:vAlign w:val="center"/>
          </w:tcPr>
          <w:p w14:paraId="18A70A9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0204475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具有独立承担民事责任的能力</w:t>
            </w:r>
          </w:p>
        </w:tc>
        <w:tc>
          <w:tcPr>
            <w:tcW w:w="4168" w:type="dxa"/>
            <w:vAlign w:val="center"/>
          </w:tcPr>
          <w:p w14:paraId="65F62FB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618F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616" w:type="dxa"/>
            <w:vAlign w:val="center"/>
          </w:tcPr>
          <w:p w14:paraId="11CC36A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450" w:type="dxa"/>
            <w:vAlign w:val="center"/>
          </w:tcPr>
          <w:p w14:paraId="7CCE479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41775FB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具有良好的商业信誉和健全的财务会计制度</w:t>
            </w:r>
          </w:p>
        </w:tc>
        <w:tc>
          <w:tcPr>
            <w:tcW w:w="4168" w:type="dxa"/>
            <w:vAlign w:val="center"/>
          </w:tcPr>
          <w:p w14:paraId="7C8CF96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79AB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616" w:type="dxa"/>
            <w:vAlign w:val="center"/>
          </w:tcPr>
          <w:p w14:paraId="69E3EC9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450" w:type="dxa"/>
            <w:vAlign w:val="center"/>
          </w:tcPr>
          <w:p w14:paraId="4D71963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10715E4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具有依法缴纳税收和社会保障资金的良好记录</w:t>
            </w:r>
          </w:p>
        </w:tc>
        <w:tc>
          <w:tcPr>
            <w:tcW w:w="4168" w:type="dxa"/>
            <w:vAlign w:val="center"/>
          </w:tcPr>
          <w:p w14:paraId="48FBF49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7329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16" w:type="dxa"/>
            <w:vAlign w:val="center"/>
          </w:tcPr>
          <w:p w14:paraId="5898475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450" w:type="dxa"/>
            <w:vAlign w:val="center"/>
          </w:tcPr>
          <w:p w14:paraId="383C77B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3EF2B33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具有履行合同所必需的设备和专业技术能力</w:t>
            </w:r>
          </w:p>
        </w:tc>
        <w:tc>
          <w:tcPr>
            <w:tcW w:w="4168" w:type="dxa"/>
            <w:vAlign w:val="center"/>
          </w:tcPr>
          <w:p w14:paraId="3431B6A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5AA9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616" w:type="dxa"/>
            <w:vAlign w:val="center"/>
          </w:tcPr>
          <w:p w14:paraId="45B4E8A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450" w:type="dxa"/>
            <w:vAlign w:val="center"/>
          </w:tcPr>
          <w:p w14:paraId="1B72EB9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567B13E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参加本项目投标前三年内，在经营活动中没有重大违法记录</w:t>
            </w:r>
          </w:p>
        </w:tc>
        <w:tc>
          <w:tcPr>
            <w:tcW w:w="4168" w:type="dxa"/>
            <w:vAlign w:val="center"/>
          </w:tcPr>
          <w:p w14:paraId="0790533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1508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16" w:type="dxa"/>
            <w:vAlign w:val="center"/>
          </w:tcPr>
          <w:p w14:paraId="72BC2F9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450" w:type="dxa"/>
            <w:vAlign w:val="center"/>
          </w:tcPr>
          <w:p w14:paraId="0AC4F13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1757424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反商业贿赂承诺书</w:t>
            </w:r>
          </w:p>
        </w:tc>
        <w:tc>
          <w:tcPr>
            <w:tcW w:w="4168" w:type="dxa"/>
            <w:vAlign w:val="center"/>
          </w:tcPr>
          <w:p w14:paraId="56BE6D5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提供反商业贿赂承诺书。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0C75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16" w:type="dxa"/>
            <w:vAlign w:val="center"/>
          </w:tcPr>
          <w:p w14:paraId="080F808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w:t>
            </w:r>
          </w:p>
        </w:tc>
        <w:tc>
          <w:tcPr>
            <w:tcW w:w="1450" w:type="dxa"/>
            <w:vAlign w:val="center"/>
          </w:tcPr>
          <w:p w14:paraId="19344C8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09D3FE0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法定代表人身份证明书</w:t>
            </w:r>
          </w:p>
        </w:tc>
        <w:tc>
          <w:tcPr>
            <w:tcW w:w="4168" w:type="dxa"/>
            <w:vAlign w:val="center"/>
          </w:tcPr>
          <w:p w14:paraId="4A726F6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提供法定代表人身份证明书；</w:t>
            </w:r>
          </w:p>
          <w:p w14:paraId="1FF0BF5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证明文件须内容完整、签署符合要求、加盖电子CA章。否则，投标无效。</w:t>
            </w:r>
          </w:p>
        </w:tc>
      </w:tr>
      <w:tr w14:paraId="6078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16" w:type="dxa"/>
            <w:vAlign w:val="center"/>
          </w:tcPr>
          <w:p w14:paraId="32F3B5B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w:t>
            </w:r>
          </w:p>
        </w:tc>
        <w:tc>
          <w:tcPr>
            <w:tcW w:w="1450" w:type="dxa"/>
            <w:vAlign w:val="center"/>
          </w:tcPr>
          <w:p w14:paraId="49BF95E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72652D9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法定代表人授权委托书</w:t>
            </w:r>
          </w:p>
        </w:tc>
        <w:tc>
          <w:tcPr>
            <w:tcW w:w="4168" w:type="dxa"/>
            <w:vAlign w:val="center"/>
          </w:tcPr>
          <w:p w14:paraId="396D898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提供法定代表人授权委托书；</w:t>
            </w:r>
          </w:p>
          <w:p w14:paraId="132A944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证明文件须内容完整、签署符合要求、加盖电子CA章。否则，投标无效。</w:t>
            </w:r>
          </w:p>
        </w:tc>
      </w:tr>
      <w:tr w14:paraId="33D0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16" w:type="dxa"/>
            <w:vAlign w:val="center"/>
          </w:tcPr>
          <w:p w14:paraId="199528B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9</w:t>
            </w:r>
          </w:p>
        </w:tc>
        <w:tc>
          <w:tcPr>
            <w:tcW w:w="1450" w:type="dxa"/>
            <w:shd w:val="clear" w:color="auto" w:fill="auto"/>
            <w:vAlign w:val="center"/>
          </w:tcPr>
          <w:p w14:paraId="2CEFE01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特定资格和合格投标人要求</w:t>
            </w:r>
          </w:p>
        </w:tc>
        <w:tc>
          <w:tcPr>
            <w:tcW w:w="2941" w:type="dxa"/>
            <w:shd w:val="clear" w:color="auto" w:fill="auto"/>
            <w:vAlign w:val="center"/>
          </w:tcPr>
          <w:p w14:paraId="7FF8AE6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相关证件或承诺</w:t>
            </w:r>
          </w:p>
        </w:tc>
        <w:tc>
          <w:tcPr>
            <w:tcW w:w="4168" w:type="dxa"/>
            <w:shd w:val="clear" w:color="auto" w:fill="auto"/>
            <w:vAlign w:val="center"/>
          </w:tcPr>
          <w:p w14:paraId="0112E08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具体要求详见投标人须知</w:t>
            </w:r>
            <w:r>
              <w:rPr>
                <w:rFonts w:hint="eastAsia" w:ascii="华文中宋" w:hAnsi="华文中宋" w:cs="华文中宋"/>
                <w:color w:val="auto"/>
                <w:highlight w:val="none"/>
                <w:lang w:val="en-US" w:eastAsia="zh-CN"/>
              </w:rPr>
              <w:t>及</w:t>
            </w:r>
            <w:r>
              <w:rPr>
                <w:rFonts w:hint="eastAsia" w:ascii="华文中宋" w:hAnsi="华文中宋" w:eastAsia="华文中宋" w:cs="华文中宋"/>
                <w:color w:val="auto"/>
                <w:highlight w:val="none"/>
                <w:lang w:val="en-US" w:eastAsia="zh-CN"/>
              </w:rPr>
              <w:t>前附表</w:t>
            </w:r>
          </w:p>
        </w:tc>
      </w:tr>
      <w:tr w14:paraId="31D1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16" w:type="dxa"/>
            <w:vAlign w:val="center"/>
          </w:tcPr>
          <w:p w14:paraId="0A259FE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10</w:t>
            </w:r>
          </w:p>
        </w:tc>
        <w:tc>
          <w:tcPr>
            <w:tcW w:w="1450" w:type="dxa"/>
            <w:shd w:val="clear" w:color="auto" w:fill="auto"/>
            <w:vAlign w:val="center"/>
          </w:tcPr>
          <w:p w14:paraId="5644318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cs="华文中宋"/>
                <w:color w:val="auto"/>
                <w:highlight w:val="none"/>
                <w:lang w:val="en-US" w:eastAsia="zh-CN"/>
              </w:rPr>
            </w:pPr>
            <w:r>
              <w:rPr>
                <w:rFonts w:hint="eastAsia" w:ascii="华文中宋" w:hAnsi="华文中宋" w:cs="华文中宋"/>
                <w:color w:val="auto"/>
                <w:highlight w:val="none"/>
                <w:lang w:val="en-US" w:eastAsia="zh-CN"/>
              </w:rPr>
              <w:t>特定资质</w:t>
            </w:r>
          </w:p>
        </w:tc>
        <w:tc>
          <w:tcPr>
            <w:tcW w:w="2941" w:type="dxa"/>
            <w:shd w:val="clear" w:color="auto" w:fill="auto"/>
            <w:vAlign w:val="center"/>
          </w:tcPr>
          <w:p w14:paraId="0C87052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cs="华文中宋"/>
                <w:color w:val="auto"/>
                <w:highlight w:val="none"/>
                <w:lang w:val="en-US" w:eastAsia="zh-CN"/>
              </w:rPr>
            </w:pPr>
            <w:r>
              <w:rPr>
                <w:rFonts w:hint="eastAsia" w:ascii="华文中宋" w:hAnsi="华文中宋" w:cs="华文中宋"/>
                <w:color w:val="auto"/>
                <w:highlight w:val="none"/>
                <w:lang w:val="en-US" w:eastAsia="zh-CN"/>
              </w:rPr>
              <w:t>特定资质</w:t>
            </w:r>
          </w:p>
        </w:tc>
        <w:tc>
          <w:tcPr>
            <w:tcW w:w="4168" w:type="dxa"/>
            <w:shd w:val="clear" w:color="auto" w:fill="auto"/>
            <w:vAlign w:val="center"/>
          </w:tcPr>
          <w:p w14:paraId="5053D8B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ascii="微软雅黑" w:hAnsi="微软雅黑" w:eastAsia="微软雅黑" w:cs="微软雅黑"/>
                <w:i w:val="0"/>
                <w:iCs w:val="0"/>
                <w:caps w:val="0"/>
                <w:color w:val="232323"/>
                <w:spacing w:val="0"/>
                <w:sz w:val="21"/>
                <w:szCs w:val="21"/>
                <w:shd w:val="clear" w:fill="F5F6FA"/>
              </w:rPr>
              <w:t>本招标项目的招标范围涉及二类医疗器械产品： ①投标人属于医疗器械生产企业直接参加投标的，提供生产企业许可证和经营备案凭证。医疗器械注册人、备案人在其住所或者生产地址销售其注册、备案的医疗器械，无需办理医疗器械备案凭证，但应当符合经营的条件。 ②投标人属于医疗器械经营企业参加投标的，提供经营备案凭证。 ③本次投标产品属于二类医疗器械，须提供医疗器械注册证。 所投产品不属于医疗器械可不提供上述特定资格要求中①、②、③要求的内容。</w:t>
            </w:r>
          </w:p>
        </w:tc>
      </w:tr>
    </w:tbl>
    <w:p w14:paraId="53EE2C0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说明：</w:t>
      </w:r>
    </w:p>
    <w:p w14:paraId="731C94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1．资格检查的内容若有一项未提供或达不到检查标准，将导致其不具备投标资格，且不允许在开标后补正。</w:t>
      </w:r>
    </w:p>
    <w:p w14:paraId="2A81E7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2．依法免税或不需要缴纳社会保障金的投标人，应提供相应的证明文件扫描件加盖法人电子印章。</w:t>
      </w:r>
    </w:p>
    <w:p w14:paraId="549A19B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lang w:eastAsia="zh"/>
          <w:woUserID w:val="1"/>
        </w:rPr>
        <w:t>除招标文件明确规定的资格审查资料外，</w:t>
      </w:r>
      <w:r>
        <w:rPr>
          <w:rFonts w:hint="eastAsia" w:ascii="华文中宋" w:hAnsi="华文中宋" w:eastAsia="华文中宋" w:cs="华文中宋"/>
          <w:color w:val="auto"/>
          <w:highlight w:val="none"/>
        </w:rPr>
        <w:t>投标人提供的其他材料，不作为资格检查的内容。</w:t>
      </w:r>
    </w:p>
    <w:p w14:paraId="512A9551">
      <w:pPr>
        <w:rPr>
          <w:rFonts w:hint="eastAsia" w:ascii="华文中宋" w:hAnsi="华文中宋" w:eastAsia="华文中宋" w:cs="华文中宋"/>
          <w:color w:val="auto"/>
          <w:highlight w:val="none"/>
        </w:rPr>
      </w:pPr>
      <w:bookmarkStart w:id="71" w:name="_Toc91694431"/>
      <w:bookmarkStart w:id="72" w:name="_Toc28161"/>
      <w:r>
        <w:rPr>
          <w:rFonts w:hint="eastAsia" w:ascii="华文中宋" w:hAnsi="华文中宋" w:eastAsia="华文中宋" w:cs="华文中宋"/>
          <w:color w:val="auto"/>
          <w:highlight w:val="none"/>
        </w:rPr>
        <w:br w:type="page"/>
      </w:r>
    </w:p>
    <w:p w14:paraId="36DA99D7">
      <w:pPr>
        <w:pStyle w:val="2"/>
        <w:bidi w:val="0"/>
        <w:rPr>
          <w:rFonts w:hint="eastAsia" w:ascii="华文中宋" w:hAnsi="华文中宋" w:eastAsia="华文中宋" w:cs="华文中宋"/>
          <w:color w:val="auto"/>
          <w:highlight w:val="none"/>
        </w:rPr>
      </w:pPr>
      <w:bookmarkStart w:id="73" w:name="_Toc17499"/>
      <w:r>
        <w:rPr>
          <w:rFonts w:hint="eastAsia" w:ascii="华文中宋" w:hAnsi="华文中宋" w:eastAsia="华文中宋" w:cs="华文中宋"/>
          <w:color w:val="auto"/>
          <w:highlight w:val="none"/>
        </w:rPr>
        <w:t>第六部分  评标标准和评标方法</w:t>
      </w:r>
      <w:bookmarkEnd w:id="71"/>
      <w:bookmarkEnd w:id="72"/>
      <w:bookmarkEnd w:id="73"/>
    </w:p>
    <w:p w14:paraId="7B4CA4B1">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一、</w:t>
      </w:r>
      <w:r>
        <w:rPr>
          <w:rFonts w:hint="eastAsia" w:ascii="华文中宋" w:hAnsi="华文中宋" w:eastAsia="华文中宋" w:cs="华文中宋"/>
          <w:color w:val="auto"/>
          <w:highlight w:val="none"/>
        </w:rPr>
        <w:t>符合性审查的内容及标准</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679"/>
        <w:gridCol w:w="5289"/>
      </w:tblGrid>
      <w:tr w14:paraId="617A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4657277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序号</w:t>
            </w:r>
          </w:p>
        </w:tc>
        <w:tc>
          <w:tcPr>
            <w:tcW w:w="2679" w:type="dxa"/>
            <w:vAlign w:val="center"/>
          </w:tcPr>
          <w:p w14:paraId="1891E22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内容</w:t>
            </w:r>
          </w:p>
        </w:tc>
        <w:tc>
          <w:tcPr>
            <w:tcW w:w="5289" w:type="dxa"/>
            <w:vAlign w:val="center"/>
          </w:tcPr>
          <w:p w14:paraId="2F9E28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标准</w:t>
            </w:r>
          </w:p>
        </w:tc>
      </w:tr>
      <w:tr w14:paraId="44D1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3C6C63D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2679" w:type="dxa"/>
            <w:vAlign w:val="center"/>
          </w:tcPr>
          <w:p w14:paraId="253F71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投标文件的报价</w:t>
            </w:r>
          </w:p>
        </w:tc>
        <w:tc>
          <w:tcPr>
            <w:tcW w:w="5289" w:type="dxa"/>
          </w:tcPr>
          <w:p w14:paraId="0DE8499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所有投标报价均以人民币/元为计算单位。</w:t>
            </w:r>
          </w:p>
          <w:p w14:paraId="235B04B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投标人投报多包的，应对每包分别报价并分别填报开标报价一览表。</w:t>
            </w:r>
          </w:p>
          <w:p w14:paraId="75CF929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不接受可选择或可调整的报价。</w:t>
            </w:r>
          </w:p>
          <w:p w14:paraId="37370BE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不接受超出本项目预算金额的报价。</w:t>
            </w:r>
          </w:p>
          <w:p w14:paraId="55D0C2E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645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14:paraId="2A61461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2679" w:type="dxa"/>
            <w:vMerge w:val="restart"/>
            <w:vAlign w:val="center"/>
          </w:tcPr>
          <w:p w14:paraId="70CB6B6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采购需求中的实质性要求</w:t>
            </w:r>
          </w:p>
        </w:tc>
        <w:tc>
          <w:tcPr>
            <w:tcW w:w="5289" w:type="dxa"/>
          </w:tcPr>
          <w:p w14:paraId="46E40F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对照本文件第四部分实质性要求中“商务要求”内容和投标文件的响应内容进行审查，没有做出实质性响应的做无效投标处理。</w:t>
            </w:r>
          </w:p>
        </w:tc>
      </w:tr>
      <w:tr w14:paraId="1035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32D3BDF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p>
        </w:tc>
        <w:tc>
          <w:tcPr>
            <w:tcW w:w="2679" w:type="dxa"/>
            <w:vMerge w:val="continue"/>
            <w:vAlign w:val="center"/>
          </w:tcPr>
          <w:p w14:paraId="002C7D1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p>
        </w:tc>
        <w:tc>
          <w:tcPr>
            <w:tcW w:w="5289" w:type="dxa"/>
          </w:tcPr>
          <w:p w14:paraId="45C7773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对照本文件第四部分实质性要求中“政策性及强制性要求”内容和投标文件的响应内容进行审查，没有做出实质性响应的做无效投标处理。</w:t>
            </w:r>
          </w:p>
        </w:tc>
      </w:tr>
      <w:tr w14:paraId="1130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7D3DB5F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p>
        </w:tc>
        <w:tc>
          <w:tcPr>
            <w:tcW w:w="2679" w:type="dxa"/>
            <w:vMerge w:val="continue"/>
            <w:vAlign w:val="center"/>
          </w:tcPr>
          <w:p w14:paraId="4379A50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p>
        </w:tc>
        <w:tc>
          <w:tcPr>
            <w:tcW w:w="5289" w:type="dxa"/>
          </w:tcPr>
          <w:p w14:paraId="2CBE077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对照本文件第四部分实质性要求“服务要求”内容和投标文件的响应内容进行审查，没有做出实质性响应的做无效投标处理。</w:t>
            </w:r>
          </w:p>
        </w:tc>
      </w:tr>
      <w:tr w14:paraId="7E1B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05658B2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p>
        </w:tc>
        <w:tc>
          <w:tcPr>
            <w:tcW w:w="2679" w:type="dxa"/>
            <w:vMerge w:val="continue"/>
            <w:vAlign w:val="center"/>
          </w:tcPr>
          <w:p w14:paraId="2397575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p>
        </w:tc>
        <w:tc>
          <w:tcPr>
            <w:tcW w:w="5289" w:type="dxa"/>
          </w:tcPr>
          <w:p w14:paraId="7FFE831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对照本文件第四部分的实质性要求“技术要求”中</w:t>
            </w:r>
            <w:r>
              <w:rPr>
                <w:rFonts w:hint="eastAsia" w:ascii="华文中宋" w:hAnsi="华文中宋" w:eastAsia="华文中宋" w:cs="华文中宋"/>
                <w:color w:val="auto"/>
                <w:highlight w:val="none"/>
                <w:lang w:val="en-US" w:eastAsia="zh-CN"/>
              </w:rPr>
              <w:t>实质性</w:t>
            </w:r>
            <w:r>
              <w:rPr>
                <w:rFonts w:hint="eastAsia" w:ascii="华文中宋" w:hAnsi="华文中宋" w:eastAsia="华文中宋" w:cs="华文中宋"/>
                <w:color w:val="auto"/>
                <w:highlight w:val="none"/>
              </w:rPr>
              <w:t>内容和投标文件的响应内容进行审查，没有做出实质性响应的做无效投标处理。</w:t>
            </w:r>
          </w:p>
          <w:p w14:paraId="61F7E51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投标人照搬照抄招标文件技术要求内容的做无效投标处理。</w:t>
            </w:r>
          </w:p>
        </w:tc>
      </w:tr>
      <w:tr w14:paraId="3731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15382B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3</w:t>
            </w:r>
          </w:p>
        </w:tc>
        <w:tc>
          <w:tcPr>
            <w:tcW w:w="2679" w:type="dxa"/>
            <w:vAlign w:val="center"/>
          </w:tcPr>
          <w:p w14:paraId="2B123B1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投标函</w:t>
            </w:r>
          </w:p>
        </w:tc>
        <w:tc>
          <w:tcPr>
            <w:tcW w:w="5289" w:type="dxa"/>
          </w:tcPr>
          <w:p w14:paraId="027C8E1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《投标函》内容齐全，</w:t>
            </w:r>
            <w:r>
              <w:rPr>
                <w:rFonts w:hint="eastAsia" w:ascii="华文中宋" w:hAnsi="华文中宋" w:cs="华文中宋"/>
                <w:color w:val="auto"/>
                <w:highlight w:val="none"/>
                <w:lang w:eastAsia="zh-CN"/>
              </w:rPr>
              <w:t>签字或盖章</w:t>
            </w:r>
            <w:r>
              <w:rPr>
                <w:rFonts w:hint="eastAsia" w:ascii="华文中宋" w:hAnsi="华文中宋" w:eastAsia="华文中宋" w:cs="华文中宋"/>
                <w:color w:val="auto"/>
                <w:highlight w:val="none"/>
              </w:rPr>
              <w:t>。</w:t>
            </w:r>
          </w:p>
        </w:tc>
      </w:tr>
      <w:tr w14:paraId="2737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056030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4</w:t>
            </w:r>
          </w:p>
        </w:tc>
        <w:tc>
          <w:tcPr>
            <w:tcW w:w="2679" w:type="dxa"/>
            <w:vAlign w:val="center"/>
          </w:tcPr>
          <w:p w14:paraId="562D90C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进口产品</w:t>
            </w:r>
          </w:p>
        </w:tc>
        <w:tc>
          <w:tcPr>
            <w:tcW w:w="5289" w:type="dxa"/>
          </w:tcPr>
          <w:p w14:paraId="2D18B07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本项目采购标的物未特别注明“进口产品”字样的，若投标人投报进口产品的做无效投标处理。</w:t>
            </w:r>
          </w:p>
        </w:tc>
      </w:tr>
    </w:tbl>
    <w:p w14:paraId="123A3C6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说明：</w:t>
      </w:r>
    </w:p>
    <w:p w14:paraId="5F2BD05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符合性检查的内容，经评标委员会共同认定没有做出实质性响应的，将导致投标无效。</w:t>
      </w:r>
    </w:p>
    <w:p w14:paraId="2EE3CDA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2．审查时，对特殊情况的处理评标委员会要遵循招标文件第三部分投标人须知第22条规定的原则。</w:t>
      </w:r>
    </w:p>
    <w:p w14:paraId="74546C48">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二、落实政府采购政策性要求的评审内容及标准</w:t>
      </w:r>
    </w:p>
    <w:p w14:paraId="65CAFB5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37193C1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二）本文件列明的强制采购绿色产品标的物，投标人必须投报“节能产品政府采购品目清单”中的强制节能产品，同时提供处于有效期之内的产品认证证书扫描件，并如实填写《政府强制采购产品明细表》（格式见第八部分）；不接受非强制采购产品。</w:t>
      </w:r>
    </w:p>
    <w:p w14:paraId="5E23A92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本文件列明的优先采购的绿色产品标的物，投标人可以投报“节能产品政府采购品目清单”中的非强制类产品、“环境标志产品政府采购品目清单”中的产品，也可投报清单以外的产品。</w:t>
      </w:r>
    </w:p>
    <w:p w14:paraId="191E2D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三）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35C7D89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对中小微企业等主体,严格落实政府采购优惠政策,同时享受绿色采购政策的价格扣除等评审优惠措施,分别计算、叠加执行,叠加计算方式以财政主管部门相关政策文件为准。</w:t>
      </w:r>
    </w:p>
    <w:p w14:paraId="4ECBFCE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四）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符合绿色数据中心建设要求承诺书》，格式见第八部分。</w:t>
      </w:r>
    </w:p>
    <w:p w14:paraId="02B310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（五）本项目采购标的物涉及计算机产品或硬件产品内预装软件的，投标人须填写《正版软件承诺》。</w:t>
      </w:r>
    </w:p>
    <w:p w14:paraId="2A8DCB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六）投标货物中如含有工信部会同有关部门制定下发的《网络关键设备和网络安全专用产品目录》中的产品，须提供提供由具备资格的机构安全认证合格或者安全检测符合要求的有效证明材料扫描件（具备资格的机构是指列入《承担网络关键设备和网络安全专用产品安全认证和安全检测任务机构名录》的机构），否则将可能导致投标无效。</w:t>
      </w:r>
    </w:p>
    <w:p w14:paraId="1CBB700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（七）小型、微型企业参加本项目的评审标准</w:t>
      </w:r>
    </w:p>
    <w:p w14:paraId="5DC4BCB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5F8896F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小型、微企业只有提供本企业制造的货物或者服务，或者提供其他小型、微企业制造的货物，享受投标货物价格折扣。</w:t>
      </w:r>
    </w:p>
    <w:p w14:paraId="16145D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 小型、微型企业提供的货物既有中小企业制造货物，也有大型企业制造货物的，不享受价格折扣。</w:t>
      </w:r>
    </w:p>
    <w:p w14:paraId="26519E7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 联合体价格折扣：本项目若允许联合体参加，大中型企业与小型、微型企业组成联合体的，联合协议约定小型、微型企业的合同份额占到合同总金额30%以上的，对联合体的报价给予一定比例的价格扣除，用扣除后价格参加评审。组成联合体小微企业与联合体内其他企业之间存在直接控 股、管理关系的，不享受价格扣除优惠政策。</w:t>
      </w:r>
    </w:p>
    <w:p w14:paraId="243993C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 大中型企业向小型、微型企业分包的价格折扣：大中型企业向一家或者多家小型、微型企业分包的，分包意向协议约定小型、微型企业的合同份额占到合同总金额30%以上的，对大中型企业的报价给予一定比例的价格扣除，用扣除后价格参加评审。接受分包 的小微企业与分包企业之间存在直接控 股、管理关系的，不享受价格扣除优惠政策。</w:t>
      </w:r>
    </w:p>
    <w:p w14:paraId="4FE6EA8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 通过享受扶持政策、价格折扣并获得政府采购合同的：小微企业不得将合同分包给大中型企业；中型企业不得将合同分包给大型企业。</w:t>
      </w:r>
    </w:p>
    <w:p w14:paraId="68BFD7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（八）残疾人福利性单位参加本项目的评审标准</w:t>
      </w:r>
    </w:p>
    <w:p w14:paraId="22AC7BD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须根据财库【2017】141号《关于促进残疾人就业政府采购政策的通知》的要求，如实填写《残疾人福利性单位声明函》，残疾人福利性单位参加本项目投标时，享受等同于小微企业的价格折扣，用扣除后的价格参与评审。</w:t>
      </w:r>
    </w:p>
    <w:p w14:paraId="4E175D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享受政府采购支持政策的残疾人福利性单位应当同时满足以下条件：</w:t>
      </w:r>
    </w:p>
    <w:p w14:paraId="7165A17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（1）安置的残疾人占本单位在职职工人数的比例不低于25%（含25%），并且安置的残疾人人数不少于10人（含10人）；</w:t>
      </w:r>
    </w:p>
    <w:p w14:paraId="62EFFC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（2）依法与安置的每位残疾人签订了一年以上（含一年）的劳动合同或服务协议；</w:t>
      </w:r>
    </w:p>
    <w:p w14:paraId="2BAAB2D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（3）为安置的每位残疾人按月足额缴纳了基本养老保险、基本医疗保险、失业保险、工伤保险和生育保险等社会保险费；</w:t>
      </w:r>
    </w:p>
    <w:p w14:paraId="4E9C20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（4）通过银行等金融机构向安置的每位残疾人，按月支付了不低于单位所在区县适用的经省级人民政府批准的月最低工资标准的工资；</w:t>
      </w:r>
    </w:p>
    <w:p w14:paraId="56A5F66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（5）提供本单位制造的货物、承担的工程或者服务（以下简称产品），或者提供其他残疾人福利性单位制造的货物（不包括使用非残疾人福利性单位注册商标的货物）;</w:t>
      </w:r>
    </w:p>
    <w:p w14:paraId="37E9F2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50CF87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（7）供应商提供的《残疾人福利性单位声明函》与事实不符的，依照《政府采购法》第七十七条第一款的规定追究法律责任；</w:t>
      </w:r>
    </w:p>
    <w:p w14:paraId="7DA4534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41CB70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（九）监狱企业参加本项目的评审标准</w:t>
      </w:r>
    </w:p>
    <w:p w14:paraId="7CA6130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监狱企业参加投标视同小微企业，需提供由省级以上监狱管理局或戒毒管理局出具的属于监狱企业的证明文件。</w:t>
      </w:r>
    </w:p>
    <w:p w14:paraId="0A3405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监狱企业只有提供本企业制造的货物或服务，或者提供其他小、微企业制造的货物，享受等同于小微企业的价格折扣。</w:t>
      </w:r>
    </w:p>
    <w:p w14:paraId="08C5B33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 监狱企业与中型企业组成联合体参加投标的，或者向监狱企业分包，且联合体协议或分包意向协议约定监狱企业的协议金额占到合同金额30%以上的，享受投标标的一定比例的价格扣除，用扣除后的价格参与评审。</w:t>
      </w:r>
    </w:p>
    <w:p w14:paraId="2377FE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（十）专门面向中小企业采购的项目，不重复执行中小企业发展、促进残疾人就业、支持监狱企业发展的价格优惠政策。</w:t>
      </w:r>
    </w:p>
    <w:p w14:paraId="4D6841B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十一）本项目涉及商品包装和快递包装的评审标准：严格落实《商品包装政府采购需求标准（试行）》《快递包装政府采购需求标准（试行）》。本项目涉及商品包装和快递包装要求的，投标人须填写《商品包装和快递包装承诺函》（格式见第八部分）。</w:t>
      </w:r>
    </w:p>
    <w:p w14:paraId="33AEB49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（十二）涉及绿色建筑和绿色建材政府强制采购的要求：</w:t>
      </w:r>
    </w:p>
    <w:p w14:paraId="5053094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215A997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十三</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依据《国务院办公厅关于在政府采购中实施本国产品标准及相关政策的通知》（国办发〔2025〕34号）的规定“三、对本国产品的支持政策</w:t>
      </w:r>
      <w:r>
        <w:rPr>
          <w:rFonts w:hint="eastAsia" w:ascii="华文中宋" w:hAnsi="华文中宋" w:eastAsia="华文中宋" w:cs="华文中宋"/>
          <w:color w:val="auto"/>
          <w:highlight w:val="none"/>
          <w:lang w:eastAsia="zh-CN"/>
        </w:rPr>
        <w:t>：</w:t>
      </w:r>
    </w:p>
    <w:p w14:paraId="3B97B66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政府采购活动中既有本国产品又有非本国产品参与竞争的，依法对本国产品给予价格评审优惠，对本国产品的报价给予20%的价格扣除，用扣除后的价格参与评审。”</w:t>
      </w:r>
    </w:p>
    <w:p w14:paraId="37D8B03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938F554">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ED4B2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投标人提供《关于符合本国产品标准的声明函》或财政部会同有关部门规定的有关证明文件（如有），视为本国产品。</w:t>
      </w:r>
    </w:p>
    <w:p w14:paraId="08C4476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证明材料未提供、提供不完整、不足以证明或不符合要求的，不享受相应政策。</w:t>
      </w:r>
    </w:p>
    <w:p w14:paraId="1C96DAE2">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三、无效投标的情形</w:t>
      </w:r>
    </w:p>
    <w:p w14:paraId="6257C28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未通过资格性、符合性审查的投标文件为无效投标。</w:t>
      </w:r>
    </w:p>
    <w:p w14:paraId="5BCE983F">
      <w:pPr>
        <w:pStyle w:val="3"/>
        <w:bidi w:val="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四、评标方法及中标条件</w:t>
      </w:r>
    </w:p>
    <w:bookmarkEnd w:id="70"/>
    <w:p w14:paraId="18EB3B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采用综合评分法，因落实政府采购政策进行价格调整的，以调整后的价格计算评标基准价和投标报价。根据省财政厅晋财购【2024】54号文件相关要求，对中小微企业等主体，严格落实政府采购优惠政策，同时享受绿色采购政策</w:t>
      </w:r>
      <w:r>
        <w:rPr>
          <w:rFonts w:hint="eastAsia" w:ascii="华文中宋" w:hAnsi="华文中宋" w:eastAsia="华文中宋" w:cs="华文中宋"/>
          <w:color w:val="auto"/>
          <w:highlight w:val="none"/>
          <w:lang w:val="en-US" w:eastAsia="zh-CN"/>
        </w:rPr>
        <w:t>和</w:t>
      </w:r>
      <w:r>
        <w:rPr>
          <w:rFonts w:hint="eastAsia" w:ascii="华文中宋" w:hAnsi="华文中宋" w:eastAsia="华文中宋" w:cs="华文中宋"/>
          <w:color w:val="auto"/>
          <w:highlight w:val="none"/>
        </w:rPr>
        <w:t>本国产品的价格扣除评审优惠措施。</w:t>
      </w:r>
    </w:p>
    <w:p w14:paraId="1FB395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叠加计算方式为：</w:t>
      </w:r>
    </w:p>
    <w:p w14:paraId="124744F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val="en-US" w:eastAsia="zh-CN"/>
        </w:rPr>
        <w:t>经评审投标</w:t>
      </w:r>
      <w:r>
        <w:rPr>
          <w:rFonts w:hint="eastAsia" w:ascii="华文中宋" w:hAnsi="华文中宋" w:eastAsia="华文中宋" w:cs="华文中宋"/>
          <w:color w:val="auto"/>
          <w:highlight w:val="none"/>
        </w:rPr>
        <w:t>报价=最终总报价×</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1-本国</w:t>
      </w:r>
      <w:r>
        <w:rPr>
          <w:rFonts w:hint="eastAsia" w:ascii="华文中宋" w:hAnsi="华文中宋" w:eastAsia="华文中宋" w:cs="华文中宋"/>
          <w:color w:val="auto"/>
          <w:highlight w:val="none"/>
        </w:rPr>
        <w:t>产品价格扣除比例</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rPr>
        <w:t>×（1-小微企业价格扣除比例）</w:t>
      </w:r>
    </w:p>
    <w:p w14:paraId="795FBF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购人授权评标委员会直接确定中标供应商的，综合评分得分排名第一的投标供应商为中标供应商。</w:t>
      </w:r>
    </w:p>
    <w:p w14:paraId="693D0C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综合评分法细则如下：</w:t>
      </w:r>
    </w:p>
    <w:p w14:paraId="660EDF89">
      <w:pPr>
        <w:rPr>
          <w:rFonts w:hint="eastAsia" w:ascii="华文中宋" w:hAnsi="华文中宋" w:eastAsia="华文中宋" w:cs="华文中宋"/>
          <w:color w:val="auto"/>
          <w:highlight w:val="none"/>
        </w:rPr>
      </w:pPr>
      <w:bookmarkStart w:id="74" w:name="PO_TDCUS_ITEM_SM_TITLE_1_0"/>
      <w:r>
        <w:rPr>
          <w:rFonts w:hint="eastAsia" w:ascii="华文中宋" w:hAnsi="华文中宋" w:eastAsia="华文中宋" w:cs="华文中宋"/>
          <w:color w:val="auto"/>
          <w:highlight w:val="none"/>
        </w:rPr>
        <w:t>包1的评分方法</w:t>
      </w:r>
      <w:bookmarkEnd w:id="74"/>
      <w:bookmarkStart w:id="75" w:name="PO_TDCUS_ITEM_SM_TABLE_1_0"/>
      <w:r>
        <w:rPr>
          <w:rFonts w:hint="eastAsia" w:ascii="华文中宋" w:hAnsi="华文中宋" w:eastAsia="华文中宋" w:cs="华文中宋"/>
          <w:color w:val="auto"/>
          <w:highlight w:val="none"/>
        </w:rPr>
        <w:t xml:space="preserve"> </w:t>
      </w:r>
    </w:p>
    <w:tbl>
      <w:tblPr>
        <w:tblStyle w:val="20"/>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7884"/>
        <w:gridCol w:w="811"/>
      </w:tblGrid>
      <w:tr w14:paraId="7CD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6CC035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b/>
                <w:bCs/>
                <w:color w:val="auto"/>
                <w:highlight w:val="none"/>
                <w:lang w:eastAsia="zh-CN"/>
              </w:rPr>
            </w:pPr>
            <w:r>
              <w:rPr>
                <w:rFonts w:hint="eastAsia" w:ascii="华文中宋" w:hAnsi="华文中宋" w:eastAsia="华文中宋" w:cs="华文中宋"/>
                <w:b/>
                <w:bCs/>
                <w:color w:val="auto"/>
                <w:highlight w:val="none"/>
                <w:lang w:val="en-US" w:eastAsia="zh-CN"/>
              </w:rPr>
              <w:t>序</w:t>
            </w:r>
            <w:r>
              <w:rPr>
                <w:rFonts w:hint="eastAsia" w:ascii="华文中宋" w:hAnsi="华文中宋" w:eastAsia="华文中宋" w:cs="华文中宋"/>
                <w:b/>
                <w:bCs/>
                <w:color w:val="auto"/>
                <w:highlight w:val="none"/>
                <w:lang w:eastAsia="zh-CN"/>
              </w:rPr>
              <w:t>号</w:t>
            </w:r>
          </w:p>
        </w:tc>
        <w:tc>
          <w:tcPr>
            <w:tcW w:w="4199" w:type="pct"/>
            <w:vAlign w:val="center"/>
          </w:tcPr>
          <w:p w14:paraId="58BAC1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b/>
                <w:bCs/>
                <w:color w:val="auto"/>
                <w:highlight w:val="none"/>
                <w:lang w:eastAsia="zh-CN"/>
              </w:rPr>
            </w:pPr>
            <w:r>
              <w:rPr>
                <w:rFonts w:hint="eastAsia" w:ascii="华文中宋" w:hAnsi="华文中宋" w:eastAsia="华文中宋" w:cs="华文中宋"/>
                <w:b/>
                <w:bCs/>
                <w:color w:val="auto"/>
                <w:highlight w:val="none"/>
                <w:lang w:eastAsia="zh-CN"/>
              </w:rPr>
              <w:t>评分标准</w:t>
            </w:r>
          </w:p>
        </w:tc>
        <w:tc>
          <w:tcPr>
            <w:tcW w:w="431" w:type="pct"/>
            <w:vAlign w:val="center"/>
          </w:tcPr>
          <w:p w14:paraId="0F58C8B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b/>
                <w:bCs/>
                <w:color w:val="auto"/>
                <w:highlight w:val="none"/>
                <w:lang w:eastAsia="zh-CN"/>
              </w:rPr>
            </w:pPr>
            <w:r>
              <w:rPr>
                <w:rFonts w:hint="eastAsia" w:ascii="华文中宋" w:hAnsi="华文中宋" w:eastAsia="华文中宋" w:cs="华文中宋"/>
                <w:b/>
                <w:bCs/>
                <w:color w:val="auto"/>
                <w:highlight w:val="none"/>
                <w:lang w:eastAsia="zh-CN"/>
              </w:rPr>
              <w:t>分值</w:t>
            </w:r>
          </w:p>
        </w:tc>
      </w:tr>
      <w:tr w14:paraId="3ADD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112EF8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w:t>
            </w:r>
          </w:p>
        </w:tc>
        <w:tc>
          <w:tcPr>
            <w:tcW w:w="4199" w:type="pct"/>
          </w:tcPr>
          <w:p w14:paraId="09A959D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满足招标文件要求且最低</w:t>
            </w:r>
            <w:r>
              <w:rPr>
                <w:rFonts w:hint="eastAsia" w:ascii="华文中宋" w:hAnsi="华文中宋" w:eastAsia="华文中宋" w:cs="华文中宋"/>
                <w:color w:val="auto"/>
                <w:highlight w:val="none"/>
                <w:lang w:val="en-US" w:eastAsia="zh-CN"/>
              </w:rPr>
              <w:t>经评审</w:t>
            </w:r>
            <w:r>
              <w:rPr>
                <w:rFonts w:hint="eastAsia" w:ascii="华文中宋" w:hAnsi="华文中宋" w:eastAsia="华文中宋" w:cs="华文中宋"/>
                <w:color w:val="auto"/>
                <w:highlight w:val="none"/>
                <w:lang w:eastAsia="zh-CN"/>
              </w:rPr>
              <w:t>投标</w:t>
            </w:r>
            <w:r>
              <w:rPr>
                <w:rFonts w:hint="eastAsia" w:ascii="华文中宋" w:hAnsi="华文中宋" w:eastAsia="华文中宋" w:cs="华文中宋"/>
                <w:color w:val="auto"/>
                <w:highlight w:val="none"/>
                <w:lang w:val="en-US" w:eastAsia="zh-CN"/>
              </w:rPr>
              <w:t>报</w:t>
            </w:r>
            <w:r>
              <w:rPr>
                <w:rFonts w:hint="eastAsia" w:ascii="华文中宋" w:hAnsi="华文中宋" w:eastAsia="华文中宋" w:cs="华文中宋"/>
                <w:color w:val="auto"/>
                <w:highlight w:val="none"/>
                <w:lang w:eastAsia="zh-CN"/>
              </w:rPr>
              <w:t>格为评标基准价，其价格分为满分30分。其他投标人的价格分统一按照下列公式计算：</w:t>
            </w:r>
          </w:p>
          <w:p w14:paraId="7239863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投标报价得分=(评标基准价／</w:t>
            </w:r>
            <w:r>
              <w:rPr>
                <w:rFonts w:hint="eastAsia" w:ascii="华文中宋" w:hAnsi="华文中宋" w:eastAsia="华文中宋" w:cs="华文中宋"/>
                <w:color w:val="auto"/>
                <w:highlight w:val="none"/>
                <w:lang w:val="en-US" w:eastAsia="zh-CN"/>
              </w:rPr>
              <w:t>经评审</w:t>
            </w:r>
            <w:r>
              <w:rPr>
                <w:rFonts w:hint="eastAsia" w:ascii="华文中宋" w:hAnsi="华文中宋" w:eastAsia="华文中宋" w:cs="华文中宋"/>
                <w:color w:val="auto"/>
                <w:highlight w:val="none"/>
                <w:lang w:eastAsia="zh-CN"/>
              </w:rPr>
              <w:t>投标报价)×30%×100</w:t>
            </w:r>
          </w:p>
          <w:p w14:paraId="481C695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投标人符合招标文件规定的落实政府采购政策条件的，享受价格优惠政策，用扣除后的价格</w:t>
            </w:r>
            <w:r>
              <w:rPr>
                <w:rFonts w:hint="eastAsia" w:ascii="华文中宋" w:hAnsi="华文中宋" w:eastAsia="华文中宋" w:cs="华文中宋"/>
                <w:color w:val="auto"/>
                <w:highlight w:val="none"/>
                <w:lang w:val="en-US" w:eastAsia="zh-CN"/>
              </w:rPr>
              <w:t>为</w:t>
            </w:r>
            <w:r>
              <w:rPr>
                <w:rFonts w:hint="eastAsia" w:ascii="华文中宋" w:hAnsi="华文中宋" w:eastAsia="华文中宋" w:cs="华文中宋"/>
                <w:color w:val="auto"/>
                <w:highlight w:val="none"/>
                <w:lang w:eastAsia="zh-CN"/>
              </w:rPr>
              <w:t>评审</w:t>
            </w:r>
            <w:r>
              <w:rPr>
                <w:rFonts w:hint="eastAsia" w:ascii="华文中宋" w:hAnsi="华文中宋" w:eastAsia="华文中宋" w:cs="华文中宋"/>
                <w:color w:val="auto"/>
                <w:highlight w:val="none"/>
                <w:lang w:val="en-US" w:eastAsia="zh-CN"/>
              </w:rPr>
              <w:t>价</w:t>
            </w:r>
            <w:r>
              <w:rPr>
                <w:rFonts w:hint="eastAsia" w:ascii="华文中宋" w:hAnsi="华文中宋" w:eastAsia="华文中宋" w:cs="华文中宋"/>
                <w:color w:val="auto"/>
                <w:highlight w:val="none"/>
                <w:lang w:eastAsia="zh-CN"/>
              </w:rPr>
              <w:t>。相关承诺随中标公告同时公示。</w:t>
            </w:r>
          </w:p>
        </w:tc>
        <w:tc>
          <w:tcPr>
            <w:tcW w:w="431" w:type="pct"/>
          </w:tcPr>
          <w:p w14:paraId="1058F4B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0</w:t>
            </w:r>
            <w:r>
              <w:rPr>
                <w:rFonts w:hint="eastAsia" w:ascii="华文中宋" w:hAnsi="华文中宋" w:eastAsia="华文中宋" w:cs="华文中宋"/>
                <w:color w:val="auto"/>
                <w:highlight w:val="none"/>
                <w:lang w:val="en-US" w:eastAsia="zh-CN"/>
              </w:rPr>
              <w:t>-</w:t>
            </w:r>
            <w:r>
              <w:rPr>
                <w:rFonts w:hint="eastAsia" w:ascii="华文中宋" w:hAnsi="华文中宋" w:eastAsia="华文中宋" w:cs="华文中宋"/>
                <w:color w:val="auto"/>
                <w:highlight w:val="none"/>
                <w:lang w:eastAsia="zh-CN"/>
              </w:rPr>
              <w:t>30</w:t>
            </w:r>
          </w:p>
        </w:tc>
      </w:tr>
      <w:tr w14:paraId="59F9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4DAB00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2</w:t>
            </w:r>
          </w:p>
        </w:tc>
        <w:tc>
          <w:tcPr>
            <w:tcW w:w="4199" w:type="pct"/>
            <w:vAlign w:val="top"/>
          </w:tcPr>
          <w:p w14:paraId="119AD891">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eastAsia="zh-CN"/>
              </w:rPr>
              <w:t>提供截止投标之日止近3年（近三年是指202</w:t>
            </w:r>
            <w:r>
              <w:rPr>
                <w:rFonts w:hint="eastAsia" w:ascii="华文中宋" w:hAnsi="华文中宋" w:eastAsia="华文中宋" w:cs="华文中宋"/>
                <w:color w:val="auto"/>
                <w:highlight w:val="none"/>
                <w:lang w:val="en-US" w:eastAsia="zh-CN"/>
              </w:rPr>
              <w:t>3</w:t>
            </w:r>
            <w:r>
              <w:rPr>
                <w:rFonts w:hint="eastAsia" w:ascii="华文中宋" w:hAnsi="华文中宋" w:eastAsia="华文中宋" w:cs="华文中宋"/>
                <w:color w:val="auto"/>
                <w:highlight w:val="none"/>
                <w:lang w:eastAsia="zh-CN"/>
              </w:rPr>
              <w:t>年</w:t>
            </w:r>
            <w:r>
              <w:rPr>
                <w:rFonts w:hint="eastAsia" w:ascii="华文中宋" w:hAnsi="华文中宋" w:eastAsia="华文中宋" w:cs="华文中宋"/>
                <w:color w:val="auto"/>
                <w:highlight w:val="none"/>
                <w:lang w:val="en-US" w:eastAsia="zh-CN"/>
              </w:rPr>
              <w:t>2</w:t>
            </w:r>
            <w:r>
              <w:rPr>
                <w:rFonts w:hint="eastAsia" w:ascii="华文中宋" w:hAnsi="华文中宋" w:eastAsia="华文中宋" w:cs="华文中宋"/>
                <w:color w:val="auto"/>
                <w:highlight w:val="none"/>
                <w:lang w:eastAsia="zh-CN"/>
              </w:rPr>
              <w:t>月至投标截止之日）投标</w:t>
            </w:r>
            <w:r>
              <w:rPr>
                <w:rFonts w:hint="eastAsia" w:ascii="华文中宋" w:hAnsi="华文中宋" w:eastAsia="华文中宋" w:cs="华文中宋"/>
                <w:color w:val="auto"/>
                <w:highlight w:val="none"/>
                <w:lang w:val="en-US" w:eastAsia="zh-CN"/>
              </w:rPr>
              <w:t>人</w:t>
            </w:r>
            <w:r>
              <w:rPr>
                <w:rFonts w:hint="eastAsia" w:ascii="华文中宋" w:hAnsi="华文中宋" w:eastAsia="华文中宋" w:cs="华文中宋"/>
                <w:color w:val="auto"/>
                <w:highlight w:val="none"/>
                <w:lang w:eastAsia="zh-CN"/>
              </w:rPr>
              <w:t>自身已完成的同类项目合同案例，提供与最终用户签订的包括合同首页、合同金额所在页、签字盖章页、供货明细单、结算凭证（结算凭证指对应业绩合同增值税发票或对应款项银行回单）的扫描件。每提供一个已完成的同类</w:t>
            </w:r>
            <w:r>
              <w:rPr>
                <w:rFonts w:hint="eastAsia" w:ascii="华文中宋" w:hAnsi="华文中宋" w:eastAsia="华文中宋" w:cs="华文中宋"/>
                <w:color w:val="auto"/>
                <w:highlight w:val="none"/>
                <w:lang w:val="en-US" w:eastAsia="zh-CN"/>
              </w:rPr>
              <w:t>硬件或者软件</w:t>
            </w:r>
            <w:r>
              <w:rPr>
                <w:rFonts w:hint="eastAsia" w:ascii="华文中宋" w:hAnsi="华文中宋" w:eastAsia="华文中宋" w:cs="华文中宋"/>
                <w:color w:val="auto"/>
                <w:highlight w:val="none"/>
                <w:lang w:eastAsia="zh-CN"/>
              </w:rPr>
              <w:t>项目合同得（</w:t>
            </w:r>
            <w:r>
              <w:rPr>
                <w:rFonts w:hint="eastAsia" w:ascii="华文中宋" w:hAnsi="华文中宋" w:eastAsia="华文中宋" w:cs="华文中宋"/>
                <w:color w:val="auto"/>
                <w:highlight w:val="none"/>
                <w:lang w:val="en-US" w:eastAsia="zh-CN"/>
              </w:rPr>
              <w:t>1</w:t>
            </w:r>
            <w:r>
              <w:rPr>
                <w:rFonts w:hint="eastAsia" w:ascii="华文中宋" w:hAnsi="华文中宋" w:eastAsia="华文中宋" w:cs="华文中宋"/>
                <w:color w:val="auto"/>
                <w:highlight w:val="none"/>
                <w:lang w:eastAsia="zh-CN"/>
              </w:rPr>
              <w:t>）分。（</w:t>
            </w:r>
            <w:r>
              <w:rPr>
                <w:rFonts w:hint="eastAsia" w:ascii="华文中宋" w:hAnsi="华文中宋" w:eastAsia="华文中宋" w:cs="华文中宋"/>
                <w:color w:val="auto"/>
                <w:highlight w:val="none"/>
                <w:lang w:val="en-US" w:eastAsia="zh-CN"/>
              </w:rPr>
              <w:t>如果一个</w:t>
            </w:r>
            <w:r>
              <w:rPr>
                <w:rFonts w:hint="eastAsia" w:ascii="华文中宋" w:hAnsi="华文中宋" w:eastAsia="华文中宋" w:cs="华文中宋"/>
                <w:color w:val="auto"/>
                <w:highlight w:val="none"/>
                <w:lang w:eastAsia="zh-CN"/>
              </w:rPr>
              <w:t>同类项目合同</w:t>
            </w:r>
            <w:r>
              <w:rPr>
                <w:rFonts w:hint="eastAsia" w:ascii="华文中宋" w:hAnsi="华文中宋" w:eastAsia="华文中宋" w:cs="华文中宋"/>
                <w:color w:val="auto"/>
                <w:highlight w:val="none"/>
                <w:lang w:val="en-US" w:eastAsia="zh-CN"/>
              </w:rPr>
              <w:t>包含有硬件和软件得2分</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本评审因素</w:t>
            </w:r>
            <w:r>
              <w:rPr>
                <w:rFonts w:hint="eastAsia" w:ascii="华文中宋" w:hAnsi="华文中宋" w:eastAsia="华文中宋" w:cs="华文中宋"/>
                <w:color w:val="auto"/>
                <w:highlight w:val="none"/>
                <w:lang w:eastAsia="zh-CN"/>
              </w:rPr>
              <w:t>最高得（</w:t>
            </w:r>
            <w:r>
              <w:rPr>
                <w:rFonts w:hint="eastAsia" w:ascii="华文中宋" w:hAnsi="华文中宋" w:eastAsia="华文中宋" w:cs="华文中宋"/>
                <w:color w:val="auto"/>
                <w:highlight w:val="none"/>
                <w:lang w:val="en-US" w:eastAsia="zh-CN"/>
              </w:rPr>
              <w:t>6</w:t>
            </w:r>
            <w:r>
              <w:rPr>
                <w:rFonts w:hint="eastAsia" w:ascii="华文中宋" w:hAnsi="华文中宋" w:eastAsia="华文中宋" w:cs="华文中宋"/>
                <w:color w:val="auto"/>
                <w:highlight w:val="none"/>
                <w:lang w:eastAsia="zh-CN"/>
              </w:rPr>
              <w:t>）分。</w:t>
            </w:r>
          </w:p>
        </w:tc>
        <w:tc>
          <w:tcPr>
            <w:tcW w:w="431" w:type="pct"/>
            <w:vAlign w:val="top"/>
          </w:tcPr>
          <w:p w14:paraId="19DF91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eastAsia="zh-CN"/>
              </w:rPr>
              <w:t>0</w:t>
            </w:r>
            <w:r>
              <w:rPr>
                <w:rFonts w:hint="eastAsia" w:ascii="华文中宋" w:hAnsi="华文中宋" w:eastAsia="华文中宋" w:cs="华文中宋"/>
                <w:color w:val="auto"/>
                <w:highlight w:val="none"/>
                <w:lang w:val="en-US" w:eastAsia="zh-CN"/>
              </w:rPr>
              <w:t>-</w:t>
            </w:r>
            <w:r>
              <w:rPr>
                <w:rFonts w:hint="eastAsia" w:ascii="华文中宋" w:hAnsi="华文中宋" w:cs="华文中宋"/>
                <w:color w:val="auto"/>
                <w:highlight w:val="none"/>
                <w:lang w:val="en-US" w:eastAsia="zh-CN"/>
              </w:rPr>
              <w:t>6</w:t>
            </w:r>
          </w:p>
        </w:tc>
      </w:tr>
      <w:tr w14:paraId="28B1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568E34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3</w:t>
            </w:r>
          </w:p>
        </w:tc>
        <w:tc>
          <w:tcPr>
            <w:tcW w:w="4199" w:type="pct"/>
          </w:tcPr>
          <w:p w14:paraId="4692EC5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针对本项目制定实施进度计划，包括但不限于①阶段性节点、②</w:t>
            </w:r>
            <w:r>
              <w:rPr>
                <w:rFonts w:hint="eastAsia" w:ascii="华文中宋" w:hAnsi="华文中宋" w:eastAsia="华文中宋" w:cs="华文中宋"/>
                <w:color w:val="auto"/>
                <w:highlight w:val="none"/>
                <w:lang w:val="en-US" w:eastAsia="zh-CN"/>
              </w:rPr>
              <w:t>进度保障措施</w:t>
            </w:r>
            <w:r>
              <w:rPr>
                <w:rFonts w:hint="eastAsia" w:ascii="华文中宋" w:hAnsi="华文中宋" w:eastAsia="华文中宋" w:cs="华文中宋"/>
                <w:color w:val="auto"/>
                <w:highlight w:val="none"/>
                <w:lang w:eastAsia="zh-CN"/>
              </w:rPr>
              <w:t>等进行评定；③</w:t>
            </w:r>
            <w:r>
              <w:rPr>
                <w:rFonts w:hint="eastAsia" w:ascii="华文中宋" w:hAnsi="华文中宋" w:eastAsia="华文中宋" w:cs="华文中宋"/>
                <w:color w:val="auto"/>
                <w:highlight w:val="none"/>
                <w:lang w:val="en-US" w:eastAsia="zh-CN"/>
              </w:rPr>
              <w:t>货物采购质量保障措施</w:t>
            </w:r>
          </w:p>
          <w:p w14:paraId="1C89B0E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每有一项内容得2分，各项内容</w:t>
            </w:r>
            <w:r>
              <w:rPr>
                <w:rFonts w:hint="eastAsia" w:ascii="华文中宋" w:hAnsi="华文中宋" w:cs="华文中宋"/>
                <w:color w:val="auto"/>
                <w:highlight w:val="none"/>
                <w:lang w:val="en-US" w:eastAsia="zh-CN"/>
              </w:rPr>
              <w:t>如有缺陷，扣该项1分（缺陷是指</w:t>
            </w:r>
            <w:r>
              <w:rPr>
                <w:rFonts w:hint="eastAsia" w:ascii="华文中宋" w:hAnsi="华文中宋" w:eastAsia="华文中宋" w:cs="华文中宋"/>
                <w:color w:val="auto"/>
                <w:highlight w:val="none"/>
                <w:lang w:val="en-US" w:eastAsia="zh-CN"/>
              </w:rPr>
              <w:t>与项目</w:t>
            </w:r>
            <w:r>
              <w:rPr>
                <w:rFonts w:hint="eastAsia" w:ascii="华文中宋" w:hAnsi="华文中宋" w:cs="华文中宋"/>
                <w:color w:val="auto"/>
                <w:highlight w:val="none"/>
                <w:lang w:val="en-US" w:eastAsia="zh-CN"/>
              </w:rPr>
              <w:t>货物服务质量无关、与</w:t>
            </w:r>
            <w:r>
              <w:rPr>
                <w:rFonts w:hint="eastAsia" w:ascii="华文中宋" w:hAnsi="华文中宋" w:eastAsia="华文中宋" w:cs="华文中宋"/>
                <w:color w:val="auto"/>
                <w:highlight w:val="none"/>
                <w:lang w:val="en-US" w:eastAsia="zh-CN"/>
              </w:rPr>
              <w:t>商务条件、采购需求不</w:t>
            </w:r>
            <w:r>
              <w:rPr>
                <w:rFonts w:hint="eastAsia" w:ascii="华文中宋" w:hAnsi="华文中宋" w:cs="华文中宋"/>
                <w:color w:val="auto"/>
                <w:highlight w:val="none"/>
                <w:lang w:val="en-US" w:eastAsia="zh-CN"/>
              </w:rPr>
              <w:t>适</w:t>
            </w:r>
            <w:r>
              <w:rPr>
                <w:rFonts w:hint="eastAsia" w:ascii="华文中宋" w:hAnsi="华文中宋" w:eastAsia="华文中宋" w:cs="华文中宋"/>
                <w:color w:val="auto"/>
                <w:highlight w:val="none"/>
                <w:lang w:val="en-US" w:eastAsia="zh-CN"/>
              </w:rPr>
              <w:t>应</w:t>
            </w:r>
            <w:r>
              <w:rPr>
                <w:rFonts w:hint="eastAsia" w:ascii="华文中宋" w:hAnsi="华文中宋" w:cs="华文中宋"/>
                <w:color w:val="auto"/>
                <w:highlight w:val="none"/>
                <w:lang w:val="en-US" w:eastAsia="zh-CN"/>
              </w:rPr>
              <w:t>、与项目特点不适应）；</w:t>
            </w:r>
            <w:r>
              <w:rPr>
                <w:rFonts w:hint="eastAsia" w:ascii="华文中宋" w:hAnsi="华文中宋" w:eastAsia="华文中宋" w:cs="华文中宋"/>
                <w:color w:val="auto"/>
                <w:highlight w:val="none"/>
                <w:lang w:val="en-US" w:eastAsia="zh-CN"/>
              </w:rPr>
              <w:t>若有缺项，则缺项部分不得分。</w:t>
            </w:r>
          </w:p>
        </w:tc>
        <w:tc>
          <w:tcPr>
            <w:tcW w:w="431" w:type="pct"/>
          </w:tcPr>
          <w:p w14:paraId="348E559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eastAsia="zh-CN"/>
              </w:rPr>
              <w:t>0</w:t>
            </w:r>
            <w:r>
              <w:rPr>
                <w:rFonts w:hint="eastAsia" w:ascii="华文中宋" w:hAnsi="华文中宋" w:eastAsia="华文中宋" w:cs="华文中宋"/>
                <w:color w:val="auto"/>
                <w:highlight w:val="none"/>
                <w:lang w:val="en-US" w:eastAsia="zh-CN"/>
              </w:rPr>
              <w:t>-</w:t>
            </w:r>
            <w:r>
              <w:rPr>
                <w:rFonts w:hint="eastAsia" w:ascii="华文中宋" w:hAnsi="华文中宋" w:cs="华文中宋"/>
                <w:color w:val="auto"/>
                <w:highlight w:val="none"/>
                <w:lang w:val="en-US" w:eastAsia="zh-CN"/>
              </w:rPr>
              <w:t>6</w:t>
            </w:r>
          </w:p>
        </w:tc>
      </w:tr>
      <w:tr w14:paraId="4CC8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426FAE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eastAsia="zh-CN"/>
              </w:rPr>
            </w:pPr>
            <w:r>
              <w:rPr>
                <w:rFonts w:hint="eastAsia" w:ascii="华文中宋" w:hAnsi="华文中宋" w:cs="华文中宋"/>
                <w:color w:val="auto"/>
                <w:highlight w:val="none"/>
                <w:lang w:val="en-US" w:eastAsia="zh-CN"/>
              </w:rPr>
              <w:t>4</w:t>
            </w:r>
          </w:p>
        </w:tc>
        <w:tc>
          <w:tcPr>
            <w:tcW w:w="4199" w:type="pct"/>
          </w:tcPr>
          <w:p w14:paraId="308110D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针对本项目</w:t>
            </w:r>
            <w:r>
              <w:rPr>
                <w:rFonts w:hint="eastAsia" w:ascii="华文中宋" w:hAnsi="华文中宋" w:eastAsia="华文中宋" w:cs="华文中宋"/>
                <w:color w:val="auto"/>
                <w:highlight w:val="none"/>
                <w:lang w:val="en-US" w:eastAsia="zh-CN"/>
              </w:rPr>
              <w:t>得组织实施和</w:t>
            </w:r>
            <w:r>
              <w:rPr>
                <w:rFonts w:hint="eastAsia" w:ascii="华文中宋" w:hAnsi="华文中宋" w:eastAsia="华文中宋" w:cs="华文中宋"/>
                <w:color w:val="auto"/>
                <w:highlight w:val="none"/>
                <w:lang w:eastAsia="zh-CN"/>
              </w:rPr>
              <w:t>人员配置方案，具备开展项目实施，技术支</w:t>
            </w:r>
            <w:r>
              <w:rPr>
                <w:rFonts w:hint="eastAsia" w:ascii="华文中宋" w:hAnsi="华文中宋" w:eastAsia="华文中宋" w:cs="华文中宋"/>
                <w:color w:val="auto"/>
                <w:highlight w:val="none"/>
                <w:lang w:val="en-US" w:eastAsia="zh-CN"/>
              </w:rPr>
              <w:t>持</w:t>
            </w:r>
            <w:r>
              <w:rPr>
                <w:rFonts w:hint="eastAsia" w:ascii="华文中宋" w:hAnsi="华文中宋" w:eastAsia="华文中宋" w:cs="华文中宋"/>
                <w:color w:val="auto"/>
                <w:highlight w:val="none"/>
                <w:lang w:eastAsia="zh-CN"/>
              </w:rPr>
              <w:t>的能力</w:t>
            </w:r>
            <w:r>
              <w:rPr>
                <w:rFonts w:hint="eastAsia" w:ascii="华文中宋" w:hAnsi="华文中宋" w:eastAsia="华文中宋" w:cs="华文中宋"/>
                <w:color w:val="auto"/>
                <w:highlight w:val="none"/>
                <w:lang w:val="en-US" w:eastAsia="zh-CN"/>
              </w:rPr>
              <w:t>包括并不限于</w:t>
            </w:r>
            <w:r>
              <w:rPr>
                <w:rFonts w:hint="eastAsia" w:ascii="华文中宋" w:hAnsi="华文中宋" w:eastAsia="华文中宋" w:cs="华文中宋"/>
                <w:color w:val="auto"/>
                <w:highlight w:val="none"/>
                <w:lang w:eastAsia="zh-CN"/>
              </w:rPr>
              <w:t>①</w:t>
            </w:r>
            <w:r>
              <w:rPr>
                <w:rFonts w:hint="eastAsia" w:ascii="华文中宋" w:hAnsi="华文中宋" w:eastAsia="华文中宋" w:cs="华文中宋"/>
                <w:color w:val="auto"/>
                <w:highlight w:val="none"/>
                <w:lang w:val="en-US" w:eastAsia="zh-CN"/>
              </w:rPr>
              <w:t>实施组织架构、</w:t>
            </w:r>
            <w:r>
              <w:rPr>
                <w:rFonts w:hint="eastAsia" w:ascii="华文中宋" w:hAnsi="华文中宋" w:eastAsia="华文中宋" w:cs="华文中宋"/>
                <w:color w:val="auto"/>
                <w:highlight w:val="none"/>
                <w:lang w:eastAsia="zh-CN"/>
              </w:rPr>
              <w:t>②</w:t>
            </w:r>
            <w:r>
              <w:rPr>
                <w:rFonts w:hint="eastAsia" w:ascii="华文中宋" w:hAnsi="华文中宋" w:eastAsia="华文中宋" w:cs="华文中宋"/>
                <w:color w:val="auto"/>
                <w:highlight w:val="none"/>
                <w:lang w:val="en-US" w:eastAsia="zh-CN"/>
              </w:rPr>
              <w:t>岗位设置及职责、</w:t>
            </w:r>
            <w:r>
              <w:rPr>
                <w:rFonts w:hint="eastAsia" w:ascii="华文中宋" w:hAnsi="华文中宋" w:eastAsia="华文中宋" w:cs="华文中宋"/>
                <w:color w:val="auto"/>
                <w:highlight w:val="none"/>
                <w:lang w:eastAsia="zh-CN"/>
              </w:rPr>
              <w:t>③</w:t>
            </w:r>
            <w:r>
              <w:rPr>
                <w:rFonts w:hint="eastAsia" w:ascii="华文中宋" w:hAnsi="华文中宋" w:eastAsia="华文中宋" w:cs="华文中宋"/>
                <w:color w:val="auto"/>
                <w:highlight w:val="none"/>
                <w:lang w:val="en-US" w:eastAsia="zh-CN"/>
              </w:rPr>
              <w:t>相应岗位人员技术职称。</w:t>
            </w:r>
          </w:p>
          <w:p w14:paraId="5427E03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en-US" w:eastAsia="zh-CN"/>
              </w:rPr>
              <w:t>每有一项内容得2分，各项内容</w:t>
            </w:r>
            <w:r>
              <w:rPr>
                <w:rFonts w:hint="eastAsia" w:ascii="华文中宋" w:hAnsi="华文中宋" w:cs="华文中宋"/>
                <w:color w:val="auto"/>
                <w:highlight w:val="none"/>
                <w:lang w:val="en-US" w:eastAsia="zh-CN"/>
              </w:rPr>
              <w:t>如有缺陷，扣该项1分（缺陷是指</w:t>
            </w:r>
            <w:r>
              <w:rPr>
                <w:rFonts w:hint="eastAsia" w:ascii="华文中宋" w:hAnsi="华文中宋" w:eastAsia="华文中宋" w:cs="华文中宋"/>
                <w:color w:val="auto"/>
                <w:highlight w:val="none"/>
                <w:lang w:val="en-US" w:eastAsia="zh-CN"/>
              </w:rPr>
              <w:t>与项目</w:t>
            </w:r>
            <w:r>
              <w:rPr>
                <w:rFonts w:hint="eastAsia" w:ascii="华文中宋" w:hAnsi="华文中宋" w:cs="华文中宋"/>
                <w:color w:val="auto"/>
                <w:highlight w:val="none"/>
                <w:lang w:val="en-US" w:eastAsia="zh-CN"/>
              </w:rPr>
              <w:t>货物服务质量无关、与</w:t>
            </w:r>
            <w:r>
              <w:rPr>
                <w:rFonts w:hint="eastAsia" w:ascii="华文中宋" w:hAnsi="华文中宋" w:eastAsia="华文中宋" w:cs="华文中宋"/>
                <w:color w:val="auto"/>
                <w:highlight w:val="none"/>
                <w:lang w:val="en-US" w:eastAsia="zh-CN"/>
              </w:rPr>
              <w:t>商务条件、采购需求不</w:t>
            </w:r>
            <w:r>
              <w:rPr>
                <w:rFonts w:hint="eastAsia" w:ascii="华文中宋" w:hAnsi="华文中宋" w:cs="华文中宋"/>
                <w:color w:val="auto"/>
                <w:highlight w:val="none"/>
                <w:lang w:val="en-US" w:eastAsia="zh-CN"/>
              </w:rPr>
              <w:t>适</w:t>
            </w:r>
            <w:r>
              <w:rPr>
                <w:rFonts w:hint="eastAsia" w:ascii="华文中宋" w:hAnsi="华文中宋" w:eastAsia="华文中宋" w:cs="华文中宋"/>
                <w:color w:val="auto"/>
                <w:highlight w:val="none"/>
                <w:lang w:val="en-US" w:eastAsia="zh-CN"/>
              </w:rPr>
              <w:t>应</w:t>
            </w:r>
            <w:r>
              <w:rPr>
                <w:rFonts w:hint="eastAsia" w:ascii="华文中宋" w:hAnsi="华文中宋" w:cs="华文中宋"/>
                <w:color w:val="auto"/>
                <w:highlight w:val="none"/>
                <w:lang w:val="en-US" w:eastAsia="zh-CN"/>
              </w:rPr>
              <w:t>、与项目特点不适应）；</w:t>
            </w:r>
            <w:r>
              <w:rPr>
                <w:rFonts w:hint="eastAsia" w:ascii="华文中宋" w:hAnsi="华文中宋" w:eastAsia="华文中宋" w:cs="华文中宋"/>
                <w:color w:val="auto"/>
                <w:highlight w:val="none"/>
                <w:lang w:val="en-US" w:eastAsia="zh-CN"/>
              </w:rPr>
              <w:t>若有缺项，则缺项部分不得分。</w:t>
            </w:r>
          </w:p>
        </w:tc>
        <w:tc>
          <w:tcPr>
            <w:tcW w:w="431" w:type="pct"/>
          </w:tcPr>
          <w:p w14:paraId="3FDDD74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eastAsia="zh-CN"/>
              </w:rPr>
              <w:t>0</w:t>
            </w:r>
            <w:r>
              <w:rPr>
                <w:rFonts w:hint="eastAsia" w:ascii="华文中宋" w:hAnsi="华文中宋" w:eastAsia="华文中宋" w:cs="华文中宋"/>
                <w:color w:val="auto"/>
                <w:highlight w:val="none"/>
                <w:lang w:val="en-US" w:eastAsia="zh-CN"/>
              </w:rPr>
              <w:t>-6</w:t>
            </w:r>
          </w:p>
        </w:tc>
      </w:tr>
      <w:tr w14:paraId="02F3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46905B9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eastAsia="zh-CN"/>
              </w:rPr>
            </w:pPr>
            <w:r>
              <w:rPr>
                <w:rFonts w:hint="eastAsia" w:ascii="华文中宋" w:hAnsi="华文中宋" w:cs="华文中宋"/>
                <w:color w:val="auto"/>
                <w:highlight w:val="none"/>
                <w:lang w:val="en-US" w:eastAsia="zh-CN"/>
              </w:rPr>
              <w:t>5</w:t>
            </w:r>
          </w:p>
        </w:tc>
        <w:tc>
          <w:tcPr>
            <w:tcW w:w="4199" w:type="pct"/>
          </w:tcPr>
          <w:p w14:paraId="10D4487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针对项目</w:t>
            </w:r>
            <w:r>
              <w:rPr>
                <w:rFonts w:hint="eastAsia" w:ascii="华文中宋" w:hAnsi="华文中宋" w:eastAsia="华文中宋" w:cs="华文中宋"/>
                <w:color w:val="auto"/>
                <w:highlight w:val="none"/>
                <w:lang w:val="en-US" w:eastAsia="zh-CN"/>
              </w:rPr>
              <w:t>安装、集成、调试、配合验收</w:t>
            </w:r>
            <w:r>
              <w:rPr>
                <w:rFonts w:hint="eastAsia" w:ascii="华文中宋" w:hAnsi="华文中宋" w:eastAsia="华文中宋" w:cs="华文中宋"/>
                <w:color w:val="auto"/>
                <w:highlight w:val="none"/>
                <w:lang w:eastAsia="zh-CN"/>
              </w:rPr>
              <w:t>方案，包括但不限于①</w:t>
            </w:r>
            <w:r>
              <w:rPr>
                <w:rFonts w:hint="eastAsia" w:ascii="华文中宋" w:hAnsi="华文中宋" w:eastAsia="华文中宋" w:cs="华文中宋"/>
                <w:color w:val="auto"/>
                <w:highlight w:val="none"/>
                <w:lang w:val="en-US" w:eastAsia="zh-CN"/>
              </w:rPr>
              <w:t>安装方案、</w:t>
            </w:r>
            <w:r>
              <w:rPr>
                <w:rFonts w:hint="eastAsia" w:ascii="华文中宋" w:hAnsi="华文中宋" w:eastAsia="华文中宋" w:cs="华文中宋"/>
                <w:color w:val="auto"/>
                <w:highlight w:val="none"/>
                <w:lang w:eastAsia="zh-CN"/>
              </w:rPr>
              <w:t>②</w:t>
            </w:r>
            <w:r>
              <w:rPr>
                <w:rFonts w:hint="eastAsia" w:ascii="华文中宋" w:hAnsi="华文中宋" w:eastAsia="华文中宋" w:cs="华文中宋"/>
                <w:color w:val="auto"/>
                <w:highlight w:val="none"/>
                <w:lang w:val="en-US" w:eastAsia="zh-CN"/>
              </w:rPr>
              <w:t>集成调试方案、</w:t>
            </w:r>
            <w:r>
              <w:rPr>
                <w:rFonts w:hint="eastAsia" w:ascii="华文中宋" w:hAnsi="华文中宋" w:eastAsia="华文中宋" w:cs="华文中宋"/>
                <w:color w:val="auto"/>
                <w:highlight w:val="none"/>
                <w:lang w:eastAsia="zh-CN"/>
              </w:rPr>
              <w:t>③</w:t>
            </w:r>
            <w:r>
              <w:rPr>
                <w:rFonts w:hint="eastAsia" w:ascii="华文中宋" w:hAnsi="华文中宋" w:eastAsia="华文中宋" w:cs="华文中宋"/>
                <w:color w:val="auto"/>
                <w:highlight w:val="none"/>
                <w:lang w:val="en-US" w:eastAsia="zh-CN"/>
              </w:rPr>
              <w:t>验收方案。</w:t>
            </w:r>
          </w:p>
          <w:p w14:paraId="4BC35D2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en-US" w:eastAsia="zh-CN"/>
              </w:rPr>
              <w:t>每有一项内容得2分，各项内容</w:t>
            </w:r>
            <w:r>
              <w:rPr>
                <w:rFonts w:hint="eastAsia" w:ascii="华文中宋" w:hAnsi="华文中宋" w:cs="华文中宋"/>
                <w:color w:val="auto"/>
                <w:highlight w:val="none"/>
                <w:lang w:val="en-US" w:eastAsia="zh-CN"/>
              </w:rPr>
              <w:t>如有缺陷，扣该项1分（缺陷是指</w:t>
            </w:r>
            <w:r>
              <w:rPr>
                <w:rFonts w:hint="eastAsia" w:ascii="华文中宋" w:hAnsi="华文中宋" w:eastAsia="华文中宋" w:cs="华文中宋"/>
                <w:color w:val="auto"/>
                <w:highlight w:val="none"/>
                <w:lang w:val="en-US" w:eastAsia="zh-CN"/>
              </w:rPr>
              <w:t>与项目</w:t>
            </w:r>
            <w:r>
              <w:rPr>
                <w:rFonts w:hint="eastAsia" w:ascii="华文中宋" w:hAnsi="华文中宋" w:cs="华文中宋"/>
                <w:color w:val="auto"/>
                <w:highlight w:val="none"/>
                <w:lang w:val="en-US" w:eastAsia="zh-CN"/>
              </w:rPr>
              <w:t>货物服务质量无关、与</w:t>
            </w:r>
            <w:r>
              <w:rPr>
                <w:rFonts w:hint="eastAsia" w:ascii="华文中宋" w:hAnsi="华文中宋" w:eastAsia="华文中宋" w:cs="华文中宋"/>
                <w:color w:val="auto"/>
                <w:highlight w:val="none"/>
                <w:lang w:val="en-US" w:eastAsia="zh-CN"/>
              </w:rPr>
              <w:t>商务条件、采购需求不</w:t>
            </w:r>
            <w:r>
              <w:rPr>
                <w:rFonts w:hint="eastAsia" w:ascii="华文中宋" w:hAnsi="华文中宋" w:cs="华文中宋"/>
                <w:color w:val="auto"/>
                <w:highlight w:val="none"/>
                <w:lang w:val="en-US" w:eastAsia="zh-CN"/>
              </w:rPr>
              <w:t>适</w:t>
            </w:r>
            <w:r>
              <w:rPr>
                <w:rFonts w:hint="eastAsia" w:ascii="华文中宋" w:hAnsi="华文中宋" w:eastAsia="华文中宋" w:cs="华文中宋"/>
                <w:color w:val="auto"/>
                <w:highlight w:val="none"/>
                <w:lang w:val="en-US" w:eastAsia="zh-CN"/>
              </w:rPr>
              <w:t>应</w:t>
            </w:r>
            <w:r>
              <w:rPr>
                <w:rFonts w:hint="eastAsia" w:ascii="华文中宋" w:hAnsi="华文中宋" w:cs="华文中宋"/>
                <w:color w:val="auto"/>
                <w:highlight w:val="none"/>
                <w:lang w:val="en-US" w:eastAsia="zh-CN"/>
              </w:rPr>
              <w:t>、与项目特点不适应）；</w:t>
            </w:r>
            <w:r>
              <w:rPr>
                <w:rFonts w:hint="eastAsia" w:ascii="华文中宋" w:hAnsi="华文中宋" w:eastAsia="华文中宋" w:cs="华文中宋"/>
                <w:color w:val="auto"/>
                <w:highlight w:val="none"/>
                <w:lang w:val="en-US" w:eastAsia="zh-CN"/>
              </w:rPr>
              <w:t>若有缺项，则缺项部分不得分。</w:t>
            </w:r>
          </w:p>
        </w:tc>
        <w:tc>
          <w:tcPr>
            <w:tcW w:w="431" w:type="pct"/>
          </w:tcPr>
          <w:p w14:paraId="6B35955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eastAsia="zh-CN"/>
              </w:rPr>
              <w:t>0</w:t>
            </w:r>
            <w:r>
              <w:rPr>
                <w:rFonts w:hint="eastAsia" w:ascii="华文中宋" w:hAnsi="华文中宋" w:eastAsia="华文中宋" w:cs="华文中宋"/>
                <w:color w:val="auto"/>
                <w:highlight w:val="none"/>
                <w:lang w:val="en-US" w:eastAsia="zh-CN"/>
              </w:rPr>
              <w:t>-</w:t>
            </w:r>
            <w:r>
              <w:rPr>
                <w:rFonts w:hint="eastAsia" w:ascii="华文中宋" w:hAnsi="华文中宋" w:cs="华文中宋"/>
                <w:color w:val="auto"/>
                <w:highlight w:val="none"/>
                <w:lang w:val="en-US" w:eastAsia="zh-CN"/>
              </w:rPr>
              <w:t>6</w:t>
            </w:r>
          </w:p>
        </w:tc>
      </w:tr>
      <w:tr w14:paraId="1B54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368" w:type="pct"/>
            <w:vAlign w:val="center"/>
          </w:tcPr>
          <w:p w14:paraId="5F2507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eastAsia="zh-CN"/>
              </w:rPr>
            </w:pPr>
            <w:r>
              <w:rPr>
                <w:rFonts w:hint="eastAsia" w:ascii="华文中宋" w:hAnsi="华文中宋" w:cs="华文中宋"/>
                <w:color w:val="auto"/>
                <w:highlight w:val="none"/>
                <w:lang w:val="en-US" w:eastAsia="zh-CN"/>
              </w:rPr>
              <w:t>6</w:t>
            </w:r>
          </w:p>
        </w:tc>
        <w:tc>
          <w:tcPr>
            <w:tcW w:w="4199" w:type="pct"/>
          </w:tcPr>
          <w:p w14:paraId="4A2B55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根据项目制定售后质保方案，包括但不限于①质保内容、②</w:t>
            </w:r>
            <w:r>
              <w:rPr>
                <w:rFonts w:hint="eastAsia" w:ascii="华文中宋" w:hAnsi="华文中宋" w:eastAsia="华文中宋" w:cs="华文中宋"/>
                <w:color w:val="auto"/>
                <w:highlight w:val="none"/>
                <w:lang w:val="en-US" w:eastAsia="zh-CN"/>
              </w:rPr>
              <w:t>排除故障</w:t>
            </w:r>
            <w:r>
              <w:rPr>
                <w:rFonts w:hint="eastAsia" w:ascii="华文中宋" w:hAnsi="华文中宋" w:eastAsia="华文中宋" w:cs="华文中宋"/>
                <w:color w:val="auto"/>
                <w:highlight w:val="none"/>
                <w:lang w:eastAsia="zh-CN"/>
              </w:rPr>
              <w:t>响应时间、③服务</w:t>
            </w:r>
            <w:r>
              <w:rPr>
                <w:rFonts w:hint="eastAsia" w:ascii="华文中宋" w:hAnsi="华文中宋" w:eastAsia="华文中宋" w:cs="华文中宋"/>
                <w:color w:val="auto"/>
                <w:highlight w:val="none"/>
                <w:lang w:val="en-US" w:eastAsia="zh-CN"/>
              </w:rPr>
              <w:t>保障措施</w:t>
            </w:r>
            <w:r>
              <w:rPr>
                <w:rFonts w:hint="eastAsia" w:ascii="华文中宋" w:hAnsi="华文中宋" w:eastAsia="华文中宋" w:cs="华文中宋"/>
                <w:color w:val="auto"/>
                <w:highlight w:val="none"/>
                <w:lang w:eastAsia="zh-CN"/>
              </w:rPr>
              <w:t>、④</w:t>
            </w:r>
            <w:r>
              <w:rPr>
                <w:rFonts w:hint="eastAsia" w:ascii="华文中宋" w:hAnsi="华文中宋" w:eastAsia="华文中宋" w:cs="华文中宋"/>
                <w:color w:val="auto"/>
                <w:highlight w:val="none"/>
                <w:lang w:val="en-US" w:eastAsia="zh-CN"/>
              </w:rPr>
              <w:t>产品升级</w:t>
            </w:r>
            <w:r>
              <w:rPr>
                <w:rFonts w:hint="eastAsia" w:ascii="华文中宋" w:hAnsi="华文中宋" w:cs="华文中宋"/>
                <w:color w:val="auto"/>
                <w:highlight w:val="none"/>
                <w:lang w:val="en-US" w:eastAsia="zh-CN"/>
              </w:rPr>
              <w:t>服务、</w:t>
            </w:r>
            <w:r>
              <w:rPr>
                <w:rFonts w:hint="eastAsia" w:ascii="微软雅黑" w:hAnsi="微软雅黑" w:eastAsia="微软雅黑" w:cs="微软雅黑"/>
                <w:color w:val="auto"/>
                <w:highlight w:val="none"/>
                <w:lang w:val="en-US" w:eastAsia="zh-CN"/>
              </w:rPr>
              <w:t>⑤</w:t>
            </w:r>
            <w:r>
              <w:rPr>
                <w:rFonts w:hint="eastAsia" w:ascii="华文中宋" w:hAnsi="华文中宋" w:eastAsia="华文中宋" w:cs="华文中宋"/>
                <w:color w:val="auto"/>
                <w:highlight w:val="none"/>
                <w:lang w:val="en-US" w:eastAsia="zh-CN"/>
              </w:rPr>
              <w:t>易损易耗品服务</w:t>
            </w:r>
            <w:r>
              <w:rPr>
                <w:rFonts w:hint="eastAsia" w:ascii="华文中宋" w:hAnsi="华文中宋" w:eastAsia="华文中宋" w:cs="华文中宋"/>
                <w:color w:val="auto"/>
                <w:highlight w:val="none"/>
                <w:lang w:eastAsia="zh-CN"/>
              </w:rPr>
              <w:t>进行评定。</w:t>
            </w:r>
          </w:p>
          <w:p w14:paraId="3CDBCA8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en-US" w:eastAsia="zh-CN"/>
              </w:rPr>
              <w:t>每有一项内容得</w:t>
            </w:r>
            <w:r>
              <w:rPr>
                <w:rFonts w:hint="eastAsia" w:ascii="华文中宋" w:hAnsi="华文中宋" w:cs="华文中宋"/>
                <w:color w:val="auto"/>
                <w:highlight w:val="none"/>
                <w:lang w:val="en-US" w:eastAsia="zh-CN"/>
              </w:rPr>
              <w:t>1</w:t>
            </w:r>
            <w:r>
              <w:rPr>
                <w:rFonts w:hint="eastAsia" w:ascii="华文中宋" w:hAnsi="华文中宋" w:eastAsia="华文中宋" w:cs="华文中宋"/>
                <w:color w:val="auto"/>
                <w:highlight w:val="none"/>
                <w:lang w:val="en-US" w:eastAsia="zh-CN"/>
              </w:rPr>
              <w:t>分，各项内容</w:t>
            </w:r>
            <w:r>
              <w:rPr>
                <w:rFonts w:hint="eastAsia" w:ascii="华文中宋" w:hAnsi="华文中宋" w:cs="华文中宋"/>
                <w:color w:val="auto"/>
                <w:highlight w:val="none"/>
                <w:lang w:val="en-US" w:eastAsia="zh-CN"/>
              </w:rPr>
              <w:t>如有缺陷，扣该项0.5分（缺陷是指</w:t>
            </w:r>
            <w:r>
              <w:rPr>
                <w:rFonts w:hint="eastAsia" w:ascii="华文中宋" w:hAnsi="华文中宋" w:eastAsia="华文中宋" w:cs="华文中宋"/>
                <w:color w:val="auto"/>
                <w:highlight w:val="none"/>
                <w:lang w:val="en-US" w:eastAsia="zh-CN"/>
              </w:rPr>
              <w:t>与项目</w:t>
            </w:r>
            <w:r>
              <w:rPr>
                <w:rFonts w:hint="eastAsia" w:ascii="华文中宋" w:hAnsi="华文中宋" w:cs="华文中宋"/>
                <w:color w:val="auto"/>
                <w:highlight w:val="none"/>
                <w:lang w:val="en-US" w:eastAsia="zh-CN"/>
              </w:rPr>
              <w:t>货物服务质量无关、与</w:t>
            </w:r>
            <w:r>
              <w:rPr>
                <w:rFonts w:hint="eastAsia" w:ascii="华文中宋" w:hAnsi="华文中宋" w:eastAsia="华文中宋" w:cs="华文中宋"/>
                <w:color w:val="auto"/>
                <w:highlight w:val="none"/>
                <w:lang w:val="en-US" w:eastAsia="zh-CN"/>
              </w:rPr>
              <w:t>商务条件、采购需求不</w:t>
            </w:r>
            <w:r>
              <w:rPr>
                <w:rFonts w:hint="eastAsia" w:ascii="华文中宋" w:hAnsi="华文中宋" w:cs="华文中宋"/>
                <w:color w:val="auto"/>
                <w:highlight w:val="none"/>
                <w:lang w:val="en-US" w:eastAsia="zh-CN"/>
              </w:rPr>
              <w:t>适</w:t>
            </w:r>
            <w:r>
              <w:rPr>
                <w:rFonts w:hint="eastAsia" w:ascii="华文中宋" w:hAnsi="华文中宋" w:eastAsia="华文中宋" w:cs="华文中宋"/>
                <w:color w:val="auto"/>
                <w:highlight w:val="none"/>
                <w:lang w:val="en-US" w:eastAsia="zh-CN"/>
              </w:rPr>
              <w:t>应</w:t>
            </w:r>
            <w:r>
              <w:rPr>
                <w:rFonts w:hint="eastAsia" w:ascii="华文中宋" w:hAnsi="华文中宋" w:cs="华文中宋"/>
                <w:color w:val="auto"/>
                <w:highlight w:val="none"/>
                <w:lang w:val="en-US" w:eastAsia="zh-CN"/>
              </w:rPr>
              <w:t>、与项目特点不适应）；</w:t>
            </w:r>
            <w:r>
              <w:rPr>
                <w:rFonts w:hint="eastAsia" w:ascii="华文中宋" w:hAnsi="华文中宋" w:eastAsia="华文中宋" w:cs="华文中宋"/>
                <w:color w:val="auto"/>
                <w:highlight w:val="none"/>
                <w:lang w:val="en-US" w:eastAsia="zh-CN"/>
              </w:rPr>
              <w:t>若有缺项，则缺项部分不得分。</w:t>
            </w:r>
          </w:p>
        </w:tc>
        <w:tc>
          <w:tcPr>
            <w:tcW w:w="431" w:type="pct"/>
          </w:tcPr>
          <w:p w14:paraId="3333135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eastAsia="zh-CN"/>
              </w:rPr>
              <w:t>0</w:t>
            </w:r>
            <w:r>
              <w:rPr>
                <w:rFonts w:hint="eastAsia" w:ascii="华文中宋" w:hAnsi="华文中宋" w:eastAsia="华文中宋" w:cs="华文中宋"/>
                <w:color w:val="auto"/>
                <w:highlight w:val="none"/>
                <w:lang w:val="en-US" w:eastAsia="zh-CN"/>
              </w:rPr>
              <w:t>-</w:t>
            </w:r>
            <w:r>
              <w:rPr>
                <w:rFonts w:hint="eastAsia" w:ascii="华文中宋" w:hAnsi="华文中宋" w:cs="华文中宋"/>
                <w:color w:val="auto"/>
                <w:highlight w:val="none"/>
                <w:lang w:val="en-US" w:eastAsia="zh-CN"/>
              </w:rPr>
              <w:t>5</w:t>
            </w:r>
          </w:p>
        </w:tc>
      </w:tr>
      <w:tr w14:paraId="4EB9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68" w:type="pct"/>
            <w:vAlign w:val="center"/>
          </w:tcPr>
          <w:p w14:paraId="0630F3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7</w:t>
            </w:r>
          </w:p>
        </w:tc>
        <w:tc>
          <w:tcPr>
            <w:tcW w:w="4199" w:type="pct"/>
          </w:tcPr>
          <w:p w14:paraId="11BC369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en-US" w:eastAsia="zh-CN"/>
              </w:rPr>
              <w:t>针对本项目培训方案：</w:t>
            </w:r>
            <w:r>
              <w:rPr>
                <w:rFonts w:hint="eastAsia" w:ascii="华文中宋" w:hAnsi="华文中宋" w:eastAsia="华文中宋" w:cs="华文中宋"/>
                <w:color w:val="auto"/>
                <w:highlight w:val="none"/>
                <w:lang w:eastAsia="zh-CN"/>
              </w:rPr>
              <w:t>包括但不限于①</w:t>
            </w:r>
            <w:r>
              <w:rPr>
                <w:rFonts w:hint="eastAsia" w:ascii="华文中宋" w:hAnsi="华文中宋" w:eastAsia="华文中宋" w:cs="华文中宋"/>
                <w:color w:val="auto"/>
                <w:highlight w:val="none"/>
                <w:lang w:val="en-US" w:eastAsia="zh-CN"/>
              </w:rPr>
              <w:t>培训计划</w:t>
            </w:r>
            <w:r>
              <w:rPr>
                <w:rFonts w:hint="eastAsia" w:ascii="华文中宋" w:hAnsi="华文中宋" w:eastAsia="华文中宋" w:cs="华文中宋"/>
                <w:color w:val="auto"/>
                <w:highlight w:val="none"/>
                <w:lang w:eastAsia="zh-CN"/>
              </w:rPr>
              <w:t>、②</w:t>
            </w:r>
            <w:r>
              <w:rPr>
                <w:rFonts w:hint="eastAsia" w:ascii="华文中宋" w:hAnsi="华文中宋" w:eastAsia="华文中宋" w:cs="华文中宋"/>
                <w:color w:val="auto"/>
                <w:highlight w:val="none"/>
                <w:lang w:val="en-US" w:eastAsia="zh-CN"/>
              </w:rPr>
              <w:t>培训师资安排</w:t>
            </w:r>
            <w:r>
              <w:rPr>
                <w:rFonts w:hint="eastAsia" w:ascii="华文中宋" w:hAnsi="华文中宋" w:eastAsia="华文中宋" w:cs="华文中宋"/>
                <w:color w:val="auto"/>
                <w:highlight w:val="none"/>
                <w:lang w:eastAsia="zh-CN"/>
              </w:rPr>
              <w:t>、③</w:t>
            </w:r>
            <w:r>
              <w:rPr>
                <w:rFonts w:hint="eastAsia" w:ascii="华文中宋" w:hAnsi="华文中宋" w:eastAsia="华文中宋" w:cs="华文中宋"/>
                <w:color w:val="auto"/>
                <w:highlight w:val="none"/>
                <w:lang w:val="en-US" w:eastAsia="zh-CN"/>
              </w:rPr>
              <w:t>培训内容</w:t>
            </w:r>
            <w:r>
              <w:rPr>
                <w:rFonts w:hint="eastAsia" w:ascii="华文中宋" w:hAnsi="华文中宋" w:eastAsia="华文中宋" w:cs="华文中宋"/>
                <w:color w:val="auto"/>
                <w:highlight w:val="none"/>
                <w:lang w:eastAsia="zh-CN"/>
              </w:rPr>
              <w:t>、④</w:t>
            </w:r>
            <w:r>
              <w:rPr>
                <w:rFonts w:hint="eastAsia" w:ascii="华文中宋" w:hAnsi="华文中宋" w:eastAsia="华文中宋" w:cs="华文中宋"/>
                <w:color w:val="auto"/>
                <w:highlight w:val="none"/>
                <w:lang w:val="en-US" w:eastAsia="zh-CN"/>
              </w:rPr>
              <w:t>培训效果考核</w:t>
            </w:r>
            <w:r>
              <w:rPr>
                <w:rFonts w:hint="eastAsia" w:ascii="华文中宋" w:hAnsi="华文中宋" w:eastAsia="华文中宋" w:cs="华文中宋"/>
                <w:color w:val="auto"/>
                <w:highlight w:val="none"/>
                <w:lang w:eastAsia="zh-CN"/>
              </w:rPr>
              <w:t>。</w:t>
            </w:r>
          </w:p>
          <w:p w14:paraId="3F27D35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每有一项内容得</w:t>
            </w:r>
            <w:r>
              <w:rPr>
                <w:rFonts w:hint="eastAsia" w:ascii="华文中宋" w:hAnsi="华文中宋" w:cs="华文中宋"/>
                <w:color w:val="auto"/>
                <w:highlight w:val="none"/>
                <w:lang w:val="en-US" w:eastAsia="zh-CN"/>
              </w:rPr>
              <w:t>1</w:t>
            </w:r>
            <w:r>
              <w:rPr>
                <w:rFonts w:hint="eastAsia" w:ascii="华文中宋" w:hAnsi="华文中宋" w:eastAsia="华文中宋" w:cs="华文中宋"/>
                <w:color w:val="auto"/>
                <w:highlight w:val="none"/>
                <w:lang w:val="en-US" w:eastAsia="zh-CN"/>
              </w:rPr>
              <w:t>分，各项内容</w:t>
            </w:r>
            <w:r>
              <w:rPr>
                <w:rFonts w:hint="eastAsia" w:ascii="华文中宋" w:hAnsi="华文中宋" w:cs="华文中宋"/>
                <w:color w:val="auto"/>
                <w:highlight w:val="none"/>
                <w:lang w:val="en-US" w:eastAsia="zh-CN"/>
              </w:rPr>
              <w:t>如有缺陷，扣该项0.5分（缺陷是指</w:t>
            </w:r>
            <w:r>
              <w:rPr>
                <w:rFonts w:hint="eastAsia" w:ascii="华文中宋" w:hAnsi="华文中宋" w:eastAsia="华文中宋" w:cs="华文中宋"/>
                <w:color w:val="auto"/>
                <w:highlight w:val="none"/>
                <w:lang w:val="en-US" w:eastAsia="zh-CN"/>
              </w:rPr>
              <w:t>与项目</w:t>
            </w:r>
            <w:r>
              <w:rPr>
                <w:rFonts w:hint="eastAsia" w:ascii="华文中宋" w:hAnsi="华文中宋" w:cs="华文中宋"/>
                <w:color w:val="auto"/>
                <w:highlight w:val="none"/>
                <w:lang w:val="en-US" w:eastAsia="zh-CN"/>
              </w:rPr>
              <w:t>货物服务质量无关、与</w:t>
            </w:r>
            <w:r>
              <w:rPr>
                <w:rFonts w:hint="eastAsia" w:ascii="华文中宋" w:hAnsi="华文中宋" w:eastAsia="华文中宋" w:cs="华文中宋"/>
                <w:color w:val="auto"/>
                <w:highlight w:val="none"/>
                <w:lang w:val="en-US" w:eastAsia="zh-CN"/>
              </w:rPr>
              <w:t>商务条件、采购需求不</w:t>
            </w:r>
            <w:r>
              <w:rPr>
                <w:rFonts w:hint="eastAsia" w:ascii="华文中宋" w:hAnsi="华文中宋" w:cs="华文中宋"/>
                <w:color w:val="auto"/>
                <w:highlight w:val="none"/>
                <w:lang w:val="en-US" w:eastAsia="zh-CN"/>
              </w:rPr>
              <w:t>适</w:t>
            </w:r>
            <w:r>
              <w:rPr>
                <w:rFonts w:hint="eastAsia" w:ascii="华文中宋" w:hAnsi="华文中宋" w:eastAsia="华文中宋" w:cs="华文中宋"/>
                <w:color w:val="auto"/>
                <w:highlight w:val="none"/>
                <w:lang w:val="en-US" w:eastAsia="zh-CN"/>
              </w:rPr>
              <w:t>应</w:t>
            </w:r>
            <w:r>
              <w:rPr>
                <w:rFonts w:hint="eastAsia" w:ascii="华文中宋" w:hAnsi="华文中宋" w:cs="华文中宋"/>
                <w:color w:val="auto"/>
                <w:highlight w:val="none"/>
                <w:lang w:val="en-US" w:eastAsia="zh-CN"/>
              </w:rPr>
              <w:t>、与项目特点不适应）；</w:t>
            </w:r>
            <w:r>
              <w:rPr>
                <w:rFonts w:hint="eastAsia" w:ascii="华文中宋" w:hAnsi="华文中宋" w:eastAsia="华文中宋" w:cs="华文中宋"/>
                <w:color w:val="auto"/>
                <w:highlight w:val="none"/>
                <w:lang w:val="en-US" w:eastAsia="zh-CN"/>
              </w:rPr>
              <w:t>若有缺项，则缺项部分不得分。</w:t>
            </w:r>
          </w:p>
        </w:tc>
        <w:tc>
          <w:tcPr>
            <w:tcW w:w="431" w:type="pct"/>
          </w:tcPr>
          <w:p w14:paraId="2740C4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0-4</w:t>
            </w:r>
          </w:p>
        </w:tc>
      </w:tr>
      <w:tr w14:paraId="49CA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66BBDA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8</w:t>
            </w:r>
          </w:p>
        </w:tc>
        <w:tc>
          <w:tcPr>
            <w:tcW w:w="4199" w:type="pct"/>
          </w:tcPr>
          <w:p w14:paraId="60DEA6F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货物（方案）中有最新公布的《节能产品政府采购品目清单》中强制采购产品以外的其他节能产品，每提供一项得0.2分，最高得1分，仅以提供的所投产品国家确定的认证机构出具的、处于有效期之内的节能产品认证证书为打分依据。</w:t>
            </w:r>
          </w:p>
        </w:tc>
        <w:tc>
          <w:tcPr>
            <w:tcW w:w="431" w:type="pct"/>
          </w:tcPr>
          <w:p w14:paraId="0D383FB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0-1</w:t>
            </w:r>
          </w:p>
        </w:tc>
      </w:tr>
      <w:tr w14:paraId="68BC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4F07DB6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9</w:t>
            </w:r>
          </w:p>
        </w:tc>
        <w:tc>
          <w:tcPr>
            <w:tcW w:w="4199" w:type="pct"/>
          </w:tcPr>
          <w:p w14:paraId="0138C5D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供应商所投产品是最新公布的《环境标志产品政府采购品目清单》中产品的每提供一项得0.2分，最高得1分，仅以提供的所投产品国家确定的认证机构出具的、处于有效期之内的环境标志产品认证证书为打分依据。</w:t>
            </w:r>
          </w:p>
        </w:tc>
        <w:tc>
          <w:tcPr>
            <w:tcW w:w="431" w:type="pct"/>
          </w:tcPr>
          <w:p w14:paraId="132612E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0-1</w:t>
            </w:r>
          </w:p>
        </w:tc>
      </w:tr>
      <w:tr w14:paraId="09F3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2A44B3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1</w:t>
            </w:r>
            <w:r>
              <w:rPr>
                <w:rFonts w:hint="eastAsia" w:ascii="华文中宋" w:hAnsi="华文中宋" w:cs="华文中宋"/>
                <w:color w:val="auto"/>
                <w:highlight w:val="none"/>
                <w:lang w:val="en-US" w:eastAsia="zh-CN"/>
              </w:rPr>
              <w:t>0</w:t>
            </w:r>
          </w:p>
        </w:tc>
        <w:tc>
          <w:tcPr>
            <w:tcW w:w="4199" w:type="pct"/>
            <w:vAlign w:val="top"/>
          </w:tcPr>
          <w:p w14:paraId="6E69475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投标人所投标的物为硬件产品技术参数、配置</w:t>
            </w:r>
            <w:r>
              <w:rPr>
                <w:rFonts w:hint="eastAsia" w:ascii="华文中宋" w:hAnsi="华文中宋" w:cs="华文中宋"/>
                <w:color w:val="auto"/>
                <w:highlight w:val="none"/>
                <w:lang w:val="en-US" w:eastAsia="zh-CN"/>
              </w:rPr>
              <w:t>均</w:t>
            </w:r>
            <w:r>
              <w:rPr>
                <w:rFonts w:hint="eastAsia" w:ascii="华文中宋" w:hAnsi="华文中宋" w:eastAsia="华文中宋" w:cs="华文中宋"/>
                <w:color w:val="auto"/>
                <w:highlight w:val="none"/>
                <w:lang w:val="en-US" w:eastAsia="zh-CN"/>
              </w:rPr>
              <w:t>满足</w:t>
            </w:r>
            <w:r>
              <w:rPr>
                <w:rFonts w:hint="eastAsia" w:ascii="华文中宋" w:hAnsi="华文中宋" w:cs="华文中宋"/>
                <w:color w:val="auto"/>
                <w:highlight w:val="none"/>
                <w:lang w:val="en-US" w:eastAsia="zh-CN"/>
              </w:rPr>
              <w:t>最低</w:t>
            </w:r>
            <w:r>
              <w:rPr>
                <w:rFonts w:hint="eastAsia" w:ascii="华文中宋" w:hAnsi="华文中宋" w:eastAsia="华文中宋" w:cs="华文中宋"/>
                <w:color w:val="auto"/>
                <w:highlight w:val="none"/>
                <w:lang w:val="en-US" w:eastAsia="zh-CN"/>
              </w:rPr>
              <w:t>采购需求指标的得</w:t>
            </w:r>
            <w:r>
              <w:rPr>
                <w:rFonts w:hint="eastAsia" w:ascii="华文中宋" w:hAnsi="华文中宋" w:cs="华文中宋"/>
                <w:color w:val="auto"/>
                <w:highlight w:val="none"/>
                <w:lang w:val="en-US" w:eastAsia="zh-CN"/>
              </w:rPr>
              <w:t>15</w:t>
            </w:r>
            <w:r>
              <w:rPr>
                <w:rFonts w:hint="eastAsia" w:ascii="华文中宋" w:hAnsi="华文中宋" w:eastAsia="华文中宋" w:cs="华文中宋"/>
                <w:color w:val="auto"/>
                <w:highlight w:val="none"/>
                <w:lang w:val="en-US" w:eastAsia="zh-CN"/>
              </w:rPr>
              <w:t>分；</w:t>
            </w:r>
          </w:p>
          <w:p w14:paraId="17B8C30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非标注“★”一般性技术参数</w:t>
            </w:r>
            <w:r>
              <w:rPr>
                <w:rFonts w:hint="eastAsia" w:ascii="华文中宋" w:hAnsi="华文中宋" w:cs="华文中宋"/>
                <w:color w:val="auto"/>
                <w:highlight w:val="none"/>
                <w:lang w:val="en-US" w:eastAsia="zh-CN"/>
              </w:rPr>
              <w:t>，</w:t>
            </w:r>
            <w:r>
              <w:rPr>
                <w:rFonts w:hint="eastAsia" w:ascii="华文中宋" w:hAnsi="华文中宋" w:eastAsia="华文中宋" w:cs="华文中宋"/>
                <w:color w:val="auto"/>
                <w:highlight w:val="none"/>
                <w:lang w:val="en-US" w:eastAsia="zh-CN"/>
              </w:rPr>
              <w:t>一般技术指标认定以投标人提供的对应技术偏离表为准</w:t>
            </w:r>
            <w:r>
              <w:rPr>
                <w:rFonts w:hint="eastAsia" w:ascii="华文中宋" w:hAnsi="华文中宋" w:cs="华文中宋"/>
                <w:color w:val="auto"/>
                <w:highlight w:val="none"/>
                <w:lang w:val="en-US" w:eastAsia="zh-CN"/>
              </w:rPr>
              <w:t>，如投标人照搬照抄招标文件技术参数、</w:t>
            </w:r>
            <w:r>
              <w:rPr>
                <w:rFonts w:hint="eastAsia" w:ascii="华文中宋" w:hAnsi="华文中宋" w:eastAsia="华文中宋" w:cs="华文中宋"/>
                <w:color w:val="auto"/>
                <w:highlight w:val="none"/>
                <w:lang w:val="en-US" w:eastAsia="zh-CN"/>
              </w:rPr>
              <w:t>负偏离、响应含糊不清表述每项扣0.5分。</w:t>
            </w:r>
          </w:p>
          <w:p w14:paraId="24E5228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所有设备负偏离总计</w:t>
            </w:r>
            <w:r>
              <w:rPr>
                <w:rFonts w:hint="eastAsia" w:ascii="华文中宋" w:hAnsi="华文中宋" w:cs="华文中宋"/>
                <w:color w:val="auto"/>
                <w:highlight w:val="none"/>
                <w:lang w:val="en-US" w:eastAsia="zh-CN"/>
              </w:rPr>
              <w:t>2</w:t>
            </w:r>
            <w:r>
              <w:rPr>
                <w:rFonts w:hint="eastAsia" w:ascii="华文中宋" w:hAnsi="华文中宋" w:eastAsia="华文中宋" w:cs="华文中宋"/>
                <w:color w:val="auto"/>
                <w:highlight w:val="none"/>
                <w:lang w:val="en-US" w:eastAsia="zh-CN"/>
              </w:rPr>
              <w:t>0项以上（含</w:t>
            </w:r>
            <w:r>
              <w:rPr>
                <w:rFonts w:hint="eastAsia" w:ascii="华文中宋" w:hAnsi="华文中宋" w:cs="华文中宋"/>
                <w:color w:val="auto"/>
                <w:highlight w:val="none"/>
                <w:lang w:val="en-US" w:eastAsia="zh-CN"/>
              </w:rPr>
              <w:t>2</w:t>
            </w:r>
            <w:r>
              <w:rPr>
                <w:rFonts w:hint="eastAsia" w:ascii="华文中宋" w:hAnsi="华文中宋" w:eastAsia="华文中宋" w:cs="华文中宋"/>
                <w:color w:val="auto"/>
                <w:highlight w:val="none"/>
                <w:lang w:val="en-US" w:eastAsia="zh-CN"/>
              </w:rPr>
              <w:t>0项）该评审因素部分不得分。</w:t>
            </w:r>
          </w:p>
        </w:tc>
        <w:tc>
          <w:tcPr>
            <w:tcW w:w="431" w:type="pct"/>
            <w:vAlign w:val="top"/>
          </w:tcPr>
          <w:p w14:paraId="0CA2363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0~</w:t>
            </w:r>
            <w:r>
              <w:rPr>
                <w:rFonts w:hint="eastAsia" w:ascii="华文中宋" w:hAnsi="华文中宋" w:cs="华文中宋"/>
                <w:color w:val="auto"/>
                <w:highlight w:val="none"/>
                <w:lang w:val="en-US" w:eastAsia="zh-CN"/>
              </w:rPr>
              <w:t>15</w:t>
            </w:r>
          </w:p>
        </w:tc>
      </w:tr>
      <w:tr w14:paraId="3900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2130E97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11</w:t>
            </w:r>
          </w:p>
        </w:tc>
        <w:tc>
          <w:tcPr>
            <w:tcW w:w="4199" w:type="pct"/>
          </w:tcPr>
          <w:p w14:paraId="0509A61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业务系统一：</w:t>
            </w:r>
          </w:p>
          <w:p w14:paraId="66FC215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依据招标文件中关于“</w:t>
            </w:r>
            <w:r>
              <w:rPr>
                <w:rFonts w:hint="eastAsia"/>
                <w:color w:val="auto"/>
                <w:sz w:val="24"/>
                <w:szCs w:val="24"/>
                <w:highlight w:val="none"/>
              </w:rPr>
              <w:t>门诊挂号管理系统</w:t>
            </w:r>
            <w:r>
              <w:rPr>
                <w:rFonts w:hint="eastAsia"/>
                <w:color w:val="auto"/>
                <w:sz w:val="24"/>
                <w:szCs w:val="24"/>
                <w:highlight w:val="none"/>
                <w:lang w:eastAsia="zh-CN"/>
              </w:rPr>
              <w:t>、</w:t>
            </w:r>
            <w:r>
              <w:rPr>
                <w:rFonts w:hint="eastAsia"/>
                <w:color w:val="auto"/>
                <w:sz w:val="24"/>
                <w:szCs w:val="24"/>
                <w:highlight w:val="none"/>
              </w:rPr>
              <w:t>出入院管理系统</w:t>
            </w:r>
            <w:r>
              <w:rPr>
                <w:rFonts w:hint="eastAsia"/>
                <w:color w:val="auto"/>
                <w:sz w:val="24"/>
                <w:szCs w:val="24"/>
                <w:highlight w:val="none"/>
                <w:lang w:eastAsia="zh-CN"/>
              </w:rPr>
              <w:t>、</w:t>
            </w:r>
            <w:r>
              <w:rPr>
                <w:rFonts w:hint="eastAsia"/>
                <w:color w:val="auto"/>
                <w:sz w:val="24"/>
                <w:szCs w:val="24"/>
                <w:highlight w:val="none"/>
              </w:rPr>
              <w:t>门诊医生工作站系统</w:t>
            </w:r>
            <w:r>
              <w:rPr>
                <w:rFonts w:hint="eastAsia"/>
                <w:color w:val="auto"/>
                <w:sz w:val="24"/>
                <w:szCs w:val="24"/>
                <w:highlight w:val="none"/>
                <w:lang w:eastAsia="zh-CN"/>
              </w:rPr>
              <w:t>、</w:t>
            </w:r>
            <w:r>
              <w:rPr>
                <w:rFonts w:hint="eastAsia"/>
                <w:color w:val="auto"/>
                <w:sz w:val="24"/>
                <w:szCs w:val="24"/>
                <w:highlight w:val="none"/>
              </w:rPr>
              <w:t>住院医生工作站系统</w:t>
            </w:r>
            <w:r>
              <w:rPr>
                <w:rFonts w:hint="eastAsia"/>
                <w:color w:val="auto"/>
                <w:sz w:val="24"/>
                <w:szCs w:val="24"/>
                <w:highlight w:val="none"/>
                <w:lang w:eastAsia="zh-CN"/>
              </w:rPr>
              <w:t>、</w:t>
            </w:r>
            <w:r>
              <w:rPr>
                <w:rFonts w:hint="eastAsia"/>
                <w:color w:val="auto"/>
                <w:sz w:val="24"/>
                <w:szCs w:val="24"/>
                <w:highlight w:val="none"/>
              </w:rPr>
              <w:t>住院临床路径管理系统</w:t>
            </w:r>
            <w:r>
              <w:rPr>
                <w:rFonts w:hint="eastAsia"/>
                <w:color w:val="auto"/>
                <w:sz w:val="24"/>
                <w:szCs w:val="24"/>
                <w:highlight w:val="none"/>
                <w:lang w:eastAsia="zh-CN"/>
              </w:rPr>
              <w:t>、</w:t>
            </w:r>
            <w:r>
              <w:rPr>
                <w:rFonts w:hint="eastAsia"/>
                <w:color w:val="auto"/>
                <w:sz w:val="24"/>
                <w:szCs w:val="24"/>
                <w:highlight w:val="none"/>
              </w:rPr>
              <w:t>住院护士工作站系统</w:t>
            </w:r>
            <w:r>
              <w:rPr>
                <w:rFonts w:hint="eastAsia"/>
                <w:color w:val="auto"/>
                <w:sz w:val="24"/>
                <w:szCs w:val="24"/>
                <w:highlight w:val="none"/>
                <w:lang w:eastAsia="zh-CN"/>
              </w:rPr>
              <w:t>、</w:t>
            </w:r>
            <w:r>
              <w:rPr>
                <w:rFonts w:hint="eastAsia"/>
                <w:color w:val="auto"/>
                <w:sz w:val="24"/>
                <w:szCs w:val="24"/>
                <w:highlight w:val="none"/>
              </w:rPr>
              <w:t>临床辅助决策支持信息系统</w:t>
            </w:r>
            <w:r>
              <w:rPr>
                <w:rFonts w:hint="eastAsia"/>
                <w:color w:val="auto"/>
                <w:sz w:val="24"/>
                <w:szCs w:val="24"/>
                <w:highlight w:val="none"/>
                <w:lang w:eastAsia="zh-CN"/>
              </w:rPr>
              <w:t>、</w:t>
            </w:r>
            <w:r>
              <w:rPr>
                <w:rFonts w:hint="eastAsia"/>
                <w:color w:val="auto"/>
                <w:sz w:val="24"/>
                <w:szCs w:val="24"/>
                <w:highlight w:val="none"/>
              </w:rPr>
              <w:t>体检管理信息系统</w:t>
            </w:r>
            <w:r>
              <w:rPr>
                <w:rFonts w:hint="eastAsia"/>
                <w:color w:val="auto"/>
                <w:sz w:val="24"/>
                <w:szCs w:val="24"/>
                <w:highlight w:val="none"/>
                <w:lang w:eastAsia="zh-CN"/>
              </w:rPr>
              <w:t>、</w:t>
            </w:r>
            <w:r>
              <w:rPr>
                <w:rFonts w:hint="eastAsia"/>
                <w:color w:val="auto"/>
                <w:sz w:val="24"/>
                <w:szCs w:val="24"/>
                <w:highlight w:val="none"/>
              </w:rPr>
              <w:t>实验室信息管理系统</w:t>
            </w:r>
            <w:r>
              <w:rPr>
                <w:rFonts w:hint="eastAsia"/>
                <w:color w:val="auto"/>
                <w:sz w:val="24"/>
                <w:szCs w:val="24"/>
                <w:highlight w:val="none"/>
                <w:lang w:eastAsia="zh-CN"/>
              </w:rPr>
              <w:t>、</w:t>
            </w:r>
            <w:r>
              <w:rPr>
                <w:rFonts w:hint="eastAsia"/>
                <w:color w:val="auto"/>
                <w:sz w:val="24"/>
                <w:szCs w:val="24"/>
                <w:highlight w:val="none"/>
              </w:rPr>
              <w:t>输血管理信息系统</w:t>
            </w:r>
            <w:r>
              <w:rPr>
                <w:rFonts w:hint="eastAsia"/>
                <w:color w:val="auto"/>
                <w:sz w:val="24"/>
                <w:szCs w:val="24"/>
                <w:highlight w:val="none"/>
                <w:lang w:eastAsia="zh-CN"/>
              </w:rPr>
              <w:t>、</w:t>
            </w:r>
            <w:r>
              <w:rPr>
                <w:rFonts w:hint="eastAsia"/>
                <w:color w:val="auto"/>
                <w:sz w:val="24"/>
                <w:szCs w:val="24"/>
                <w:highlight w:val="none"/>
              </w:rPr>
              <w:t>放射检查信息系统</w:t>
            </w:r>
            <w:r>
              <w:rPr>
                <w:rFonts w:hint="eastAsia"/>
                <w:color w:val="auto"/>
                <w:sz w:val="24"/>
                <w:szCs w:val="24"/>
                <w:highlight w:val="none"/>
                <w:lang w:eastAsia="zh-CN"/>
              </w:rPr>
              <w:t>、</w:t>
            </w:r>
            <w:r>
              <w:rPr>
                <w:rFonts w:hint="eastAsia"/>
                <w:color w:val="auto"/>
                <w:sz w:val="24"/>
                <w:szCs w:val="24"/>
                <w:highlight w:val="none"/>
              </w:rPr>
              <w:t>医学影像管理系统</w:t>
            </w:r>
            <w:r>
              <w:rPr>
                <w:rFonts w:hint="eastAsia"/>
                <w:color w:val="auto"/>
                <w:sz w:val="24"/>
                <w:szCs w:val="24"/>
                <w:highlight w:val="none"/>
                <w:lang w:eastAsia="zh-CN"/>
              </w:rPr>
              <w:t>、</w:t>
            </w:r>
            <w:r>
              <w:rPr>
                <w:rFonts w:hint="eastAsia"/>
                <w:color w:val="auto"/>
                <w:sz w:val="24"/>
                <w:szCs w:val="24"/>
                <w:highlight w:val="none"/>
              </w:rPr>
              <w:t>超声检查信息系统</w:t>
            </w:r>
            <w:r>
              <w:rPr>
                <w:rFonts w:hint="eastAsia"/>
                <w:color w:val="auto"/>
                <w:sz w:val="24"/>
                <w:szCs w:val="24"/>
                <w:highlight w:val="none"/>
                <w:lang w:eastAsia="zh-CN"/>
              </w:rPr>
              <w:t>、</w:t>
            </w:r>
            <w:r>
              <w:rPr>
                <w:rFonts w:hint="eastAsia"/>
                <w:color w:val="auto"/>
                <w:sz w:val="24"/>
                <w:szCs w:val="24"/>
                <w:highlight w:val="none"/>
              </w:rPr>
              <w:t>内窥镜检查信息系统</w:t>
            </w:r>
            <w:r>
              <w:rPr>
                <w:rFonts w:hint="eastAsia"/>
                <w:color w:val="auto"/>
                <w:sz w:val="24"/>
                <w:szCs w:val="24"/>
                <w:highlight w:val="none"/>
                <w:lang w:eastAsia="zh-CN"/>
              </w:rPr>
              <w:t>、</w:t>
            </w:r>
            <w:r>
              <w:rPr>
                <w:rFonts w:hint="eastAsia"/>
                <w:color w:val="auto"/>
                <w:sz w:val="24"/>
                <w:szCs w:val="24"/>
                <w:highlight w:val="none"/>
              </w:rPr>
              <w:t>手术麻醉信息系统</w:t>
            </w:r>
            <w:r>
              <w:rPr>
                <w:rFonts w:hint="eastAsia"/>
                <w:color w:val="auto"/>
                <w:sz w:val="24"/>
                <w:szCs w:val="24"/>
                <w:highlight w:val="none"/>
                <w:lang w:eastAsia="zh-CN"/>
              </w:rPr>
              <w:t>、</w:t>
            </w:r>
            <w:r>
              <w:rPr>
                <w:rFonts w:hint="eastAsia"/>
                <w:color w:val="auto"/>
                <w:sz w:val="24"/>
                <w:szCs w:val="24"/>
                <w:highlight w:val="none"/>
              </w:rPr>
              <w:t>重症监护信息系统</w:t>
            </w:r>
            <w:r>
              <w:rPr>
                <w:rFonts w:hint="eastAsia"/>
                <w:color w:val="auto"/>
                <w:sz w:val="24"/>
                <w:szCs w:val="24"/>
                <w:highlight w:val="none"/>
                <w:lang w:eastAsia="zh-CN"/>
              </w:rPr>
              <w:t>、</w:t>
            </w:r>
            <w:r>
              <w:rPr>
                <w:rFonts w:hint="eastAsia"/>
                <w:color w:val="auto"/>
                <w:sz w:val="24"/>
                <w:szCs w:val="24"/>
                <w:highlight w:val="none"/>
              </w:rPr>
              <w:t>心电检查信息系统</w:t>
            </w:r>
            <w:r>
              <w:rPr>
                <w:rFonts w:hint="eastAsia"/>
                <w:color w:val="auto"/>
                <w:sz w:val="24"/>
                <w:szCs w:val="24"/>
                <w:highlight w:val="none"/>
                <w:lang w:eastAsia="zh-CN"/>
              </w:rPr>
              <w:t>、</w:t>
            </w:r>
            <w:r>
              <w:rPr>
                <w:rFonts w:hint="eastAsia"/>
                <w:color w:val="auto"/>
                <w:sz w:val="24"/>
                <w:szCs w:val="24"/>
                <w:highlight w:val="none"/>
              </w:rPr>
              <w:t>康复治疗信息系统</w:t>
            </w:r>
            <w:r>
              <w:rPr>
                <w:rFonts w:hint="eastAsia"/>
                <w:color w:val="auto"/>
                <w:sz w:val="24"/>
                <w:szCs w:val="24"/>
                <w:highlight w:val="none"/>
                <w:lang w:eastAsia="zh-CN"/>
              </w:rPr>
              <w:t>、</w:t>
            </w:r>
            <w:r>
              <w:rPr>
                <w:rFonts w:hint="eastAsia"/>
                <w:color w:val="auto"/>
                <w:sz w:val="24"/>
                <w:szCs w:val="24"/>
                <w:highlight w:val="none"/>
              </w:rPr>
              <w:t>单病种管理系统</w:t>
            </w:r>
            <w:r>
              <w:rPr>
                <w:rFonts w:hint="eastAsia"/>
                <w:color w:val="auto"/>
                <w:sz w:val="24"/>
                <w:szCs w:val="24"/>
                <w:highlight w:val="none"/>
                <w:lang w:eastAsia="zh-CN"/>
              </w:rPr>
              <w:t>、</w:t>
            </w:r>
            <w:r>
              <w:rPr>
                <w:rFonts w:hint="eastAsia"/>
                <w:color w:val="auto"/>
                <w:sz w:val="24"/>
                <w:szCs w:val="24"/>
                <w:highlight w:val="none"/>
              </w:rPr>
              <w:t>血液透析信息管理系统</w:t>
            </w:r>
            <w:r>
              <w:rPr>
                <w:rFonts w:hint="eastAsia" w:ascii="华文中宋" w:hAnsi="华文中宋" w:eastAsia="华文中宋" w:cs="华文中宋"/>
                <w:color w:val="auto"/>
                <w:highlight w:val="none"/>
                <w:lang w:val="en-US" w:eastAsia="zh-CN"/>
              </w:rPr>
              <w:t>”的技术要求，根据投标人提供的响应文件内容进行评审。</w:t>
            </w:r>
          </w:p>
          <w:p w14:paraId="3522944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每</w:t>
            </w:r>
            <w:r>
              <w:rPr>
                <w:rFonts w:hint="eastAsia" w:ascii="华文中宋" w:hAnsi="华文中宋" w:cs="华文中宋"/>
                <w:color w:val="auto"/>
                <w:highlight w:val="none"/>
                <w:lang w:val="en-US" w:eastAsia="zh-CN"/>
              </w:rPr>
              <w:t>个系统功能</w:t>
            </w:r>
            <w:r>
              <w:rPr>
                <w:rFonts w:hint="eastAsia" w:ascii="华文中宋" w:hAnsi="华文中宋" w:eastAsia="华文中宋" w:cs="华文中宋"/>
                <w:color w:val="auto"/>
                <w:highlight w:val="none"/>
                <w:lang w:val="en-US" w:eastAsia="zh-CN"/>
              </w:rPr>
              <w:t>内容</w:t>
            </w:r>
            <w:r>
              <w:rPr>
                <w:rFonts w:hint="eastAsia" w:ascii="华文中宋" w:hAnsi="华文中宋" w:cs="华文中宋"/>
                <w:color w:val="auto"/>
                <w:highlight w:val="none"/>
                <w:lang w:val="en-US" w:eastAsia="zh-CN"/>
              </w:rPr>
              <w:t>完整</w:t>
            </w:r>
            <w:r>
              <w:rPr>
                <w:rFonts w:hint="eastAsia" w:ascii="华文中宋" w:hAnsi="华文中宋" w:eastAsia="华文中宋" w:cs="华文中宋"/>
                <w:color w:val="auto"/>
                <w:highlight w:val="none"/>
                <w:lang w:val="en-US" w:eastAsia="zh-CN"/>
              </w:rPr>
              <w:t>得</w:t>
            </w:r>
            <w:r>
              <w:rPr>
                <w:rFonts w:hint="eastAsia" w:ascii="华文中宋" w:hAnsi="华文中宋" w:cs="华文中宋"/>
                <w:color w:val="auto"/>
                <w:highlight w:val="none"/>
                <w:lang w:val="en-US" w:eastAsia="zh-CN"/>
              </w:rPr>
              <w:t>0.4</w:t>
            </w:r>
            <w:r>
              <w:rPr>
                <w:rFonts w:hint="eastAsia" w:ascii="华文中宋" w:hAnsi="华文中宋" w:eastAsia="华文中宋" w:cs="华文中宋"/>
                <w:color w:val="auto"/>
                <w:highlight w:val="none"/>
                <w:lang w:val="en-US" w:eastAsia="zh-CN"/>
              </w:rPr>
              <w:t>分，各</w:t>
            </w:r>
            <w:r>
              <w:rPr>
                <w:rFonts w:hint="eastAsia" w:ascii="华文中宋" w:hAnsi="华文中宋" w:cs="华文中宋"/>
                <w:color w:val="auto"/>
                <w:highlight w:val="none"/>
                <w:lang w:val="en-US" w:eastAsia="zh-CN"/>
              </w:rPr>
              <w:t>系统如有功能缺项，每项扣0.2分，扣完为止</w:t>
            </w:r>
            <w:r>
              <w:rPr>
                <w:rFonts w:hint="eastAsia" w:ascii="华文中宋" w:hAnsi="华文中宋" w:eastAsia="华文中宋" w:cs="华文中宋"/>
                <w:color w:val="auto"/>
                <w:highlight w:val="none"/>
                <w:lang w:val="en-US" w:eastAsia="zh-CN"/>
              </w:rPr>
              <w:t>。</w:t>
            </w:r>
          </w:p>
        </w:tc>
        <w:tc>
          <w:tcPr>
            <w:tcW w:w="431" w:type="pct"/>
            <w:vAlign w:val="center"/>
          </w:tcPr>
          <w:p w14:paraId="666FDE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0</w:t>
            </w:r>
            <w:r>
              <w:rPr>
                <w:rFonts w:hint="eastAsia" w:ascii="华文中宋" w:hAnsi="华文中宋" w:eastAsia="华文中宋" w:cs="华文中宋"/>
                <w:color w:val="auto"/>
                <w:highlight w:val="none"/>
                <w:lang w:eastAsia="zh-CN"/>
              </w:rPr>
              <w:t>~</w:t>
            </w:r>
            <w:r>
              <w:rPr>
                <w:rFonts w:hint="eastAsia" w:ascii="华文中宋" w:hAnsi="华文中宋" w:cs="华文中宋"/>
                <w:color w:val="auto"/>
                <w:highlight w:val="none"/>
                <w:lang w:val="en-US" w:eastAsia="zh-CN"/>
              </w:rPr>
              <w:t>8</w:t>
            </w:r>
          </w:p>
        </w:tc>
      </w:tr>
      <w:tr w14:paraId="6399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32E423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12</w:t>
            </w:r>
          </w:p>
        </w:tc>
        <w:tc>
          <w:tcPr>
            <w:tcW w:w="4199" w:type="pct"/>
          </w:tcPr>
          <w:p w14:paraId="24D8F86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业务系统二：</w:t>
            </w:r>
          </w:p>
          <w:p w14:paraId="2242406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依据招标文件中关于“</w:t>
            </w:r>
            <w:r>
              <w:rPr>
                <w:rFonts w:hint="eastAsia"/>
                <w:color w:val="auto"/>
                <w:sz w:val="24"/>
                <w:szCs w:val="24"/>
                <w:highlight w:val="none"/>
              </w:rPr>
              <w:t>药库管理系统</w:t>
            </w:r>
            <w:r>
              <w:rPr>
                <w:rFonts w:hint="eastAsia"/>
                <w:color w:val="auto"/>
                <w:sz w:val="24"/>
                <w:szCs w:val="24"/>
                <w:highlight w:val="none"/>
                <w:lang w:eastAsia="zh-CN"/>
              </w:rPr>
              <w:t>、</w:t>
            </w:r>
            <w:r>
              <w:rPr>
                <w:rFonts w:hint="eastAsia"/>
                <w:color w:val="auto"/>
                <w:sz w:val="24"/>
                <w:szCs w:val="24"/>
                <w:highlight w:val="none"/>
              </w:rPr>
              <w:t>门诊药房管理系统</w:t>
            </w:r>
            <w:r>
              <w:rPr>
                <w:rFonts w:hint="eastAsia"/>
                <w:color w:val="auto"/>
                <w:sz w:val="24"/>
                <w:szCs w:val="24"/>
                <w:highlight w:val="none"/>
                <w:lang w:eastAsia="zh-CN"/>
              </w:rPr>
              <w:t>、</w:t>
            </w:r>
            <w:r>
              <w:rPr>
                <w:rFonts w:hint="eastAsia"/>
                <w:color w:val="auto"/>
                <w:sz w:val="24"/>
                <w:szCs w:val="24"/>
                <w:highlight w:val="none"/>
              </w:rPr>
              <w:t>住院药房管理系统</w:t>
            </w:r>
            <w:r>
              <w:rPr>
                <w:rFonts w:hint="eastAsia"/>
                <w:color w:val="auto"/>
                <w:sz w:val="24"/>
                <w:szCs w:val="24"/>
                <w:highlight w:val="none"/>
                <w:lang w:eastAsia="zh-CN"/>
              </w:rPr>
              <w:t>、</w:t>
            </w:r>
            <w:r>
              <w:rPr>
                <w:rFonts w:hint="eastAsia"/>
                <w:color w:val="auto"/>
                <w:sz w:val="24"/>
                <w:szCs w:val="24"/>
                <w:highlight w:val="none"/>
              </w:rPr>
              <w:t>物资管理系统</w:t>
            </w:r>
            <w:r>
              <w:rPr>
                <w:rFonts w:hint="eastAsia"/>
                <w:color w:val="auto"/>
                <w:sz w:val="24"/>
                <w:szCs w:val="24"/>
                <w:highlight w:val="none"/>
                <w:lang w:eastAsia="zh-CN"/>
              </w:rPr>
              <w:t>、</w:t>
            </w:r>
            <w:r>
              <w:rPr>
                <w:rFonts w:hint="eastAsia"/>
                <w:color w:val="auto"/>
                <w:sz w:val="24"/>
                <w:szCs w:val="24"/>
                <w:highlight w:val="none"/>
              </w:rPr>
              <w:t>设备管理系统</w:t>
            </w:r>
            <w:r>
              <w:rPr>
                <w:rFonts w:hint="eastAsia"/>
                <w:color w:val="auto"/>
                <w:sz w:val="24"/>
                <w:szCs w:val="24"/>
                <w:highlight w:val="none"/>
                <w:lang w:eastAsia="zh-CN"/>
              </w:rPr>
              <w:t>、</w:t>
            </w:r>
            <w:r>
              <w:rPr>
                <w:rFonts w:hint="eastAsia"/>
                <w:color w:val="auto"/>
                <w:sz w:val="24"/>
                <w:szCs w:val="24"/>
                <w:highlight w:val="none"/>
              </w:rPr>
              <w:t>抗菌药物管理系统</w:t>
            </w:r>
            <w:r>
              <w:rPr>
                <w:rFonts w:hint="eastAsia"/>
                <w:color w:val="auto"/>
                <w:sz w:val="24"/>
                <w:szCs w:val="24"/>
                <w:highlight w:val="none"/>
                <w:lang w:eastAsia="zh-CN"/>
              </w:rPr>
              <w:t>、</w:t>
            </w:r>
            <w:r>
              <w:rPr>
                <w:rFonts w:hint="eastAsia"/>
                <w:color w:val="auto"/>
                <w:sz w:val="24"/>
                <w:szCs w:val="24"/>
                <w:highlight w:val="none"/>
              </w:rPr>
              <w:t>合理用药检测系统</w:t>
            </w:r>
            <w:r>
              <w:rPr>
                <w:rFonts w:hint="eastAsia"/>
                <w:color w:val="auto"/>
                <w:sz w:val="24"/>
                <w:szCs w:val="24"/>
                <w:highlight w:val="none"/>
                <w:lang w:eastAsia="zh-CN"/>
              </w:rPr>
              <w:t>、</w:t>
            </w:r>
            <w:r>
              <w:rPr>
                <w:rFonts w:hint="eastAsia"/>
                <w:color w:val="auto"/>
                <w:sz w:val="24"/>
                <w:szCs w:val="24"/>
                <w:highlight w:val="none"/>
              </w:rPr>
              <w:t>病案统计管理系统</w:t>
            </w:r>
            <w:r>
              <w:rPr>
                <w:rFonts w:hint="eastAsia"/>
                <w:color w:val="auto"/>
                <w:sz w:val="24"/>
                <w:szCs w:val="24"/>
                <w:highlight w:val="none"/>
                <w:lang w:eastAsia="zh-CN"/>
              </w:rPr>
              <w:t>、</w:t>
            </w:r>
            <w:r>
              <w:rPr>
                <w:rFonts w:hint="eastAsia"/>
                <w:color w:val="auto"/>
                <w:sz w:val="24"/>
                <w:szCs w:val="24"/>
                <w:highlight w:val="none"/>
              </w:rPr>
              <w:t>医保规则质控系统</w:t>
            </w:r>
            <w:r>
              <w:rPr>
                <w:rFonts w:hint="eastAsia"/>
                <w:color w:val="auto"/>
                <w:sz w:val="24"/>
                <w:szCs w:val="24"/>
                <w:highlight w:val="none"/>
                <w:lang w:eastAsia="zh-CN"/>
              </w:rPr>
              <w:t>、</w:t>
            </w:r>
            <w:r>
              <w:rPr>
                <w:rFonts w:hint="eastAsia"/>
                <w:color w:val="auto"/>
                <w:sz w:val="24"/>
                <w:szCs w:val="24"/>
                <w:highlight w:val="none"/>
              </w:rPr>
              <w:t>医院感染管理系统</w:t>
            </w:r>
            <w:r>
              <w:rPr>
                <w:rFonts w:hint="eastAsia"/>
                <w:color w:val="auto"/>
                <w:sz w:val="24"/>
                <w:szCs w:val="24"/>
                <w:highlight w:val="none"/>
                <w:lang w:eastAsia="zh-CN"/>
              </w:rPr>
              <w:t>、</w:t>
            </w:r>
            <w:r>
              <w:rPr>
                <w:rFonts w:hint="eastAsia"/>
                <w:color w:val="auto"/>
                <w:sz w:val="24"/>
                <w:szCs w:val="24"/>
                <w:highlight w:val="none"/>
              </w:rPr>
              <w:t>危急值管理系统</w:t>
            </w:r>
            <w:r>
              <w:rPr>
                <w:rFonts w:hint="eastAsia"/>
                <w:color w:val="auto"/>
                <w:sz w:val="24"/>
                <w:szCs w:val="24"/>
                <w:highlight w:val="none"/>
                <w:lang w:eastAsia="zh-CN"/>
              </w:rPr>
              <w:t>、</w:t>
            </w:r>
            <w:r>
              <w:rPr>
                <w:rFonts w:hint="eastAsia"/>
                <w:color w:val="auto"/>
                <w:sz w:val="24"/>
                <w:szCs w:val="24"/>
                <w:highlight w:val="none"/>
              </w:rPr>
              <w:t>电子病历应用服务</w:t>
            </w:r>
            <w:r>
              <w:rPr>
                <w:rFonts w:hint="eastAsia"/>
                <w:color w:val="auto"/>
                <w:sz w:val="24"/>
                <w:szCs w:val="24"/>
                <w:highlight w:val="none"/>
                <w:lang w:eastAsia="zh-CN"/>
              </w:rPr>
              <w:t>、</w:t>
            </w:r>
            <w:r>
              <w:rPr>
                <w:rFonts w:hint="eastAsia"/>
                <w:color w:val="auto"/>
                <w:sz w:val="24"/>
                <w:szCs w:val="24"/>
                <w:highlight w:val="none"/>
              </w:rPr>
              <w:t>医保管理系统</w:t>
            </w:r>
            <w:r>
              <w:rPr>
                <w:rFonts w:hint="eastAsia"/>
                <w:color w:val="auto"/>
                <w:sz w:val="24"/>
                <w:szCs w:val="24"/>
                <w:highlight w:val="none"/>
                <w:lang w:eastAsia="zh-CN"/>
              </w:rPr>
              <w:t>、</w:t>
            </w:r>
            <w:r>
              <w:rPr>
                <w:rFonts w:hint="eastAsia"/>
                <w:color w:val="auto"/>
                <w:sz w:val="24"/>
                <w:szCs w:val="24"/>
                <w:highlight w:val="none"/>
              </w:rPr>
              <w:t>集成平台</w:t>
            </w:r>
            <w:r>
              <w:rPr>
                <w:rFonts w:hint="eastAsia"/>
                <w:color w:val="auto"/>
                <w:sz w:val="24"/>
                <w:szCs w:val="24"/>
                <w:highlight w:val="none"/>
                <w:lang w:eastAsia="zh-CN"/>
              </w:rPr>
              <w:t>、</w:t>
            </w:r>
            <w:r>
              <w:rPr>
                <w:rFonts w:hint="eastAsia"/>
                <w:color w:val="auto"/>
                <w:sz w:val="24"/>
                <w:szCs w:val="24"/>
                <w:highlight w:val="none"/>
              </w:rPr>
              <w:t>DRGs管理系统</w:t>
            </w:r>
            <w:r>
              <w:rPr>
                <w:rFonts w:hint="eastAsia" w:ascii="华文中宋" w:hAnsi="华文中宋" w:eastAsia="华文中宋" w:cs="华文中宋"/>
                <w:color w:val="auto"/>
                <w:highlight w:val="none"/>
                <w:lang w:val="en-US" w:eastAsia="zh-CN"/>
              </w:rPr>
              <w:t>”的技术要求，根据投标人提供的响应文件内容进行评审。</w:t>
            </w:r>
          </w:p>
          <w:p w14:paraId="6BD92B2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每</w:t>
            </w:r>
            <w:r>
              <w:rPr>
                <w:rFonts w:hint="eastAsia" w:ascii="华文中宋" w:hAnsi="华文中宋" w:cs="华文中宋"/>
                <w:color w:val="auto"/>
                <w:highlight w:val="none"/>
                <w:lang w:val="en-US" w:eastAsia="zh-CN"/>
              </w:rPr>
              <w:t>个系统功能</w:t>
            </w:r>
            <w:r>
              <w:rPr>
                <w:rFonts w:hint="eastAsia" w:ascii="华文中宋" w:hAnsi="华文中宋" w:eastAsia="华文中宋" w:cs="华文中宋"/>
                <w:color w:val="auto"/>
                <w:highlight w:val="none"/>
                <w:lang w:val="en-US" w:eastAsia="zh-CN"/>
              </w:rPr>
              <w:t>内容</w:t>
            </w:r>
            <w:r>
              <w:rPr>
                <w:rFonts w:hint="eastAsia" w:ascii="华文中宋" w:hAnsi="华文中宋" w:cs="华文中宋"/>
                <w:color w:val="auto"/>
                <w:highlight w:val="none"/>
                <w:lang w:val="en-US" w:eastAsia="zh-CN"/>
              </w:rPr>
              <w:t>完整</w:t>
            </w:r>
            <w:r>
              <w:rPr>
                <w:rFonts w:hint="eastAsia" w:ascii="华文中宋" w:hAnsi="华文中宋" w:eastAsia="华文中宋" w:cs="华文中宋"/>
                <w:color w:val="auto"/>
                <w:highlight w:val="none"/>
                <w:lang w:val="en-US" w:eastAsia="zh-CN"/>
              </w:rPr>
              <w:t>得</w:t>
            </w:r>
            <w:r>
              <w:rPr>
                <w:rFonts w:hint="eastAsia" w:ascii="华文中宋" w:hAnsi="华文中宋" w:cs="华文中宋"/>
                <w:color w:val="auto"/>
                <w:highlight w:val="none"/>
                <w:lang w:val="en-US" w:eastAsia="zh-CN"/>
              </w:rPr>
              <w:t>0.4</w:t>
            </w:r>
            <w:r>
              <w:rPr>
                <w:rFonts w:hint="eastAsia" w:ascii="华文中宋" w:hAnsi="华文中宋" w:eastAsia="华文中宋" w:cs="华文中宋"/>
                <w:color w:val="auto"/>
                <w:highlight w:val="none"/>
                <w:lang w:val="en-US" w:eastAsia="zh-CN"/>
              </w:rPr>
              <w:t>分，各</w:t>
            </w:r>
            <w:r>
              <w:rPr>
                <w:rFonts w:hint="eastAsia" w:ascii="华文中宋" w:hAnsi="华文中宋" w:cs="华文中宋"/>
                <w:color w:val="auto"/>
                <w:highlight w:val="none"/>
                <w:lang w:val="en-US" w:eastAsia="zh-CN"/>
              </w:rPr>
              <w:t>系统如有功能缺项，每项扣0.2分，扣完为止</w:t>
            </w:r>
            <w:r>
              <w:rPr>
                <w:rFonts w:hint="eastAsia" w:ascii="华文中宋" w:hAnsi="华文中宋" w:eastAsia="华文中宋" w:cs="华文中宋"/>
                <w:color w:val="auto"/>
                <w:highlight w:val="none"/>
                <w:lang w:val="en-US" w:eastAsia="zh-CN"/>
              </w:rPr>
              <w:t>。</w:t>
            </w:r>
          </w:p>
        </w:tc>
        <w:tc>
          <w:tcPr>
            <w:tcW w:w="431" w:type="pct"/>
            <w:vAlign w:val="center"/>
          </w:tcPr>
          <w:p w14:paraId="6B0212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华文中宋" w:hAnsi="华文中宋" w:cs="华文中宋"/>
                <w:color w:val="auto"/>
                <w:highlight w:val="none"/>
                <w:lang w:val="en-US" w:eastAsia="zh-CN"/>
              </w:rPr>
            </w:pPr>
            <w:r>
              <w:rPr>
                <w:rFonts w:hint="eastAsia" w:ascii="华文中宋" w:hAnsi="华文中宋" w:cs="华文中宋"/>
                <w:color w:val="auto"/>
                <w:highlight w:val="none"/>
                <w:lang w:val="en-US" w:eastAsia="zh-CN"/>
              </w:rPr>
              <w:t>0</w:t>
            </w:r>
            <w:r>
              <w:rPr>
                <w:rFonts w:hint="eastAsia" w:ascii="华文中宋" w:hAnsi="华文中宋" w:eastAsia="华文中宋" w:cs="华文中宋"/>
                <w:color w:val="auto"/>
                <w:highlight w:val="none"/>
                <w:lang w:eastAsia="zh-CN"/>
              </w:rPr>
              <w:t>~</w:t>
            </w:r>
            <w:r>
              <w:rPr>
                <w:rFonts w:hint="eastAsia" w:ascii="华文中宋" w:hAnsi="华文中宋" w:cs="华文中宋"/>
                <w:color w:val="auto"/>
                <w:highlight w:val="none"/>
                <w:lang w:val="en-US" w:eastAsia="zh-CN"/>
              </w:rPr>
              <w:t>6</w:t>
            </w:r>
          </w:p>
        </w:tc>
      </w:tr>
      <w:tr w14:paraId="78F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 w:type="pct"/>
            <w:vAlign w:val="center"/>
          </w:tcPr>
          <w:p w14:paraId="01F1F9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13</w:t>
            </w:r>
          </w:p>
        </w:tc>
        <w:tc>
          <w:tcPr>
            <w:tcW w:w="4199" w:type="pct"/>
          </w:tcPr>
          <w:p w14:paraId="08DCA1A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业务系统三：</w:t>
            </w:r>
          </w:p>
          <w:p w14:paraId="1B43769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依据招标文件中关于“</w:t>
            </w:r>
            <w:r>
              <w:rPr>
                <w:rFonts w:hint="eastAsia"/>
                <w:color w:val="auto"/>
                <w:sz w:val="24"/>
                <w:szCs w:val="24"/>
                <w:highlight w:val="none"/>
              </w:rPr>
              <w:t>医务管理系统</w:t>
            </w:r>
            <w:r>
              <w:rPr>
                <w:rFonts w:hint="eastAsia"/>
                <w:color w:val="auto"/>
                <w:sz w:val="24"/>
                <w:szCs w:val="24"/>
                <w:highlight w:val="none"/>
                <w:lang w:eastAsia="zh-CN"/>
              </w:rPr>
              <w:t>、</w:t>
            </w:r>
            <w:r>
              <w:rPr>
                <w:rFonts w:hint="eastAsia"/>
                <w:color w:val="auto"/>
                <w:sz w:val="24"/>
                <w:szCs w:val="24"/>
                <w:highlight w:val="none"/>
              </w:rPr>
              <w:t>疾病监测报告管理系统</w:t>
            </w:r>
            <w:r>
              <w:rPr>
                <w:rFonts w:hint="eastAsia"/>
                <w:color w:val="auto"/>
                <w:sz w:val="24"/>
                <w:szCs w:val="24"/>
                <w:highlight w:val="none"/>
                <w:lang w:eastAsia="zh-CN"/>
              </w:rPr>
              <w:t>、</w:t>
            </w:r>
            <w:r>
              <w:rPr>
                <w:rFonts w:hint="eastAsia"/>
                <w:color w:val="auto"/>
                <w:sz w:val="24"/>
                <w:szCs w:val="24"/>
                <w:highlight w:val="none"/>
              </w:rPr>
              <w:t>医疗统计报表系统</w:t>
            </w:r>
            <w:r>
              <w:rPr>
                <w:rFonts w:hint="eastAsia"/>
                <w:color w:val="auto"/>
                <w:sz w:val="24"/>
                <w:szCs w:val="24"/>
                <w:highlight w:val="none"/>
                <w:lang w:eastAsia="zh-CN"/>
              </w:rPr>
              <w:t>、</w:t>
            </w:r>
            <w:r>
              <w:rPr>
                <w:rFonts w:hint="eastAsia"/>
                <w:color w:val="auto"/>
                <w:sz w:val="24"/>
                <w:szCs w:val="24"/>
                <w:highlight w:val="none"/>
              </w:rPr>
              <w:t>税务\电子票据接口</w:t>
            </w:r>
            <w:r>
              <w:rPr>
                <w:rFonts w:hint="eastAsia"/>
                <w:color w:val="auto"/>
                <w:sz w:val="24"/>
                <w:szCs w:val="24"/>
                <w:highlight w:val="none"/>
                <w:lang w:eastAsia="zh-CN"/>
              </w:rPr>
              <w:t>、</w:t>
            </w:r>
            <w:r>
              <w:rPr>
                <w:rFonts w:hint="eastAsia"/>
                <w:color w:val="auto"/>
                <w:sz w:val="24"/>
                <w:szCs w:val="24"/>
                <w:highlight w:val="none"/>
              </w:rPr>
              <w:t>单点登录管理系统</w:t>
            </w:r>
            <w:r>
              <w:rPr>
                <w:rFonts w:hint="eastAsia"/>
                <w:color w:val="auto"/>
                <w:sz w:val="24"/>
                <w:szCs w:val="24"/>
                <w:highlight w:val="none"/>
                <w:lang w:eastAsia="zh-CN"/>
              </w:rPr>
              <w:t>、</w:t>
            </w:r>
            <w:r>
              <w:rPr>
                <w:rFonts w:hint="eastAsia"/>
                <w:color w:val="auto"/>
                <w:sz w:val="24"/>
                <w:szCs w:val="24"/>
                <w:highlight w:val="none"/>
              </w:rPr>
              <w:t>临床数据中心</w:t>
            </w:r>
            <w:r>
              <w:rPr>
                <w:rFonts w:hint="eastAsia"/>
                <w:color w:val="auto"/>
                <w:sz w:val="24"/>
                <w:szCs w:val="24"/>
                <w:highlight w:val="none"/>
                <w:lang w:eastAsia="zh-CN"/>
              </w:rPr>
              <w:t>、</w:t>
            </w:r>
            <w:r>
              <w:rPr>
                <w:rFonts w:hint="eastAsia"/>
                <w:color w:val="auto"/>
                <w:sz w:val="24"/>
                <w:szCs w:val="24"/>
                <w:highlight w:val="none"/>
              </w:rPr>
              <w:t>医院BI</w:t>
            </w:r>
            <w:r>
              <w:rPr>
                <w:rFonts w:hint="eastAsia"/>
                <w:color w:val="auto"/>
                <w:sz w:val="24"/>
                <w:szCs w:val="24"/>
                <w:highlight w:val="none"/>
                <w:lang w:eastAsia="zh-CN"/>
              </w:rPr>
              <w:t>、</w:t>
            </w:r>
            <w:r>
              <w:rPr>
                <w:rFonts w:hint="eastAsia"/>
                <w:color w:val="auto"/>
                <w:sz w:val="24"/>
                <w:szCs w:val="24"/>
                <w:highlight w:val="none"/>
              </w:rPr>
              <w:t>后勤管理系统</w:t>
            </w:r>
            <w:r>
              <w:rPr>
                <w:rFonts w:hint="eastAsia"/>
                <w:color w:val="auto"/>
                <w:sz w:val="24"/>
                <w:szCs w:val="24"/>
                <w:highlight w:val="none"/>
                <w:lang w:eastAsia="zh-CN"/>
              </w:rPr>
              <w:t>、</w:t>
            </w:r>
            <w:r>
              <w:rPr>
                <w:rFonts w:hint="eastAsia"/>
                <w:color w:val="auto"/>
                <w:sz w:val="24"/>
                <w:szCs w:val="24"/>
                <w:highlight w:val="none"/>
              </w:rPr>
              <w:t>预算管理系统</w:t>
            </w:r>
            <w:r>
              <w:rPr>
                <w:rFonts w:hint="eastAsia"/>
                <w:color w:val="auto"/>
                <w:sz w:val="24"/>
                <w:szCs w:val="24"/>
                <w:highlight w:val="none"/>
                <w:lang w:eastAsia="zh-CN"/>
              </w:rPr>
              <w:t>、</w:t>
            </w:r>
            <w:r>
              <w:rPr>
                <w:rFonts w:hint="eastAsia"/>
                <w:color w:val="auto"/>
                <w:sz w:val="24"/>
                <w:szCs w:val="24"/>
                <w:highlight w:val="none"/>
              </w:rPr>
              <w:t>成本管理系统</w:t>
            </w:r>
            <w:r>
              <w:rPr>
                <w:rFonts w:hint="eastAsia"/>
                <w:color w:val="auto"/>
                <w:sz w:val="24"/>
                <w:szCs w:val="24"/>
                <w:highlight w:val="none"/>
                <w:lang w:eastAsia="zh-CN"/>
              </w:rPr>
              <w:t>、</w:t>
            </w:r>
            <w:r>
              <w:rPr>
                <w:rFonts w:hint="eastAsia"/>
                <w:color w:val="auto"/>
                <w:sz w:val="24"/>
                <w:szCs w:val="24"/>
                <w:highlight w:val="none"/>
              </w:rPr>
              <w:t>绩效管理系统</w:t>
            </w:r>
            <w:r>
              <w:rPr>
                <w:rFonts w:hint="eastAsia"/>
                <w:color w:val="auto"/>
                <w:sz w:val="24"/>
                <w:szCs w:val="24"/>
                <w:highlight w:val="none"/>
                <w:lang w:eastAsia="zh-CN"/>
              </w:rPr>
              <w:t>、</w:t>
            </w:r>
            <w:r>
              <w:rPr>
                <w:rFonts w:hint="eastAsia"/>
                <w:color w:val="auto"/>
                <w:sz w:val="24"/>
                <w:szCs w:val="24"/>
                <w:highlight w:val="none"/>
              </w:rPr>
              <w:t>高值耗材</w:t>
            </w:r>
            <w:r>
              <w:rPr>
                <w:rFonts w:hint="eastAsia"/>
                <w:color w:val="auto"/>
                <w:sz w:val="24"/>
                <w:szCs w:val="24"/>
                <w:highlight w:val="none"/>
                <w:lang w:eastAsia="zh-CN"/>
              </w:rPr>
              <w:t>、</w:t>
            </w:r>
            <w:r>
              <w:rPr>
                <w:rFonts w:hint="eastAsia"/>
                <w:color w:val="auto"/>
                <w:sz w:val="24"/>
                <w:szCs w:val="24"/>
                <w:highlight w:val="none"/>
              </w:rPr>
              <w:t>智慧医院</w:t>
            </w:r>
            <w:r>
              <w:rPr>
                <w:rFonts w:hint="eastAsia"/>
                <w:color w:val="auto"/>
                <w:sz w:val="24"/>
                <w:szCs w:val="24"/>
                <w:highlight w:val="none"/>
                <w:lang w:eastAsia="zh-CN"/>
              </w:rPr>
              <w:t>、</w:t>
            </w:r>
            <w:r>
              <w:rPr>
                <w:rFonts w:hint="eastAsia"/>
                <w:color w:val="auto"/>
                <w:sz w:val="24"/>
                <w:szCs w:val="24"/>
                <w:highlight w:val="none"/>
              </w:rPr>
              <w:t>智慧就医</w:t>
            </w:r>
            <w:r>
              <w:rPr>
                <w:rFonts w:hint="eastAsia"/>
                <w:color w:val="auto"/>
                <w:sz w:val="24"/>
                <w:szCs w:val="24"/>
                <w:highlight w:val="none"/>
                <w:lang w:eastAsia="zh-CN"/>
              </w:rPr>
              <w:t>、</w:t>
            </w:r>
            <w:r>
              <w:rPr>
                <w:rFonts w:hint="eastAsia"/>
                <w:color w:val="auto"/>
                <w:sz w:val="24"/>
                <w:szCs w:val="24"/>
                <w:highlight w:val="none"/>
              </w:rPr>
              <w:t>OA系统</w:t>
            </w:r>
            <w:r>
              <w:rPr>
                <w:rFonts w:hint="eastAsia" w:ascii="华文中宋" w:hAnsi="华文中宋" w:eastAsia="华文中宋" w:cs="华文中宋"/>
                <w:color w:val="auto"/>
                <w:highlight w:val="none"/>
                <w:lang w:val="en-US" w:eastAsia="zh-CN"/>
              </w:rPr>
              <w:t>”的技术要求，根据投标人提供的响应文件内容进行评审。</w:t>
            </w:r>
          </w:p>
          <w:p w14:paraId="6FC7D3C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每</w:t>
            </w:r>
            <w:r>
              <w:rPr>
                <w:rFonts w:hint="eastAsia" w:ascii="华文中宋" w:hAnsi="华文中宋" w:cs="华文中宋"/>
                <w:color w:val="auto"/>
                <w:highlight w:val="none"/>
                <w:lang w:val="en-US" w:eastAsia="zh-CN"/>
              </w:rPr>
              <w:t>个系统功能</w:t>
            </w:r>
            <w:r>
              <w:rPr>
                <w:rFonts w:hint="eastAsia" w:ascii="华文中宋" w:hAnsi="华文中宋" w:eastAsia="华文中宋" w:cs="华文中宋"/>
                <w:color w:val="auto"/>
                <w:highlight w:val="none"/>
                <w:lang w:val="en-US" w:eastAsia="zh-CN"/>
              </w:rPr>
              <w:t>内容</w:t>
            </w:r>
            <w:r>
              <w:rPr>
                <w:rFonts w:hint="eastAsia" w:ascii="华文中宋" w:hAnsi="华文中宋" w:cs="华文中宋"/>
                <w:color w:val="auto"/>
                <w:highlight w:val="none"/>
                <w:lang w:val="en-US" w:eastAsia="zh-CN"/>
              </w:rPr>
              <w:t>完整</w:t>
            </w:r>
            <w:r>
              <w:rPr>
                <w:rFonts w:hint="eastAsia" w:ascii="华文中宋" w:hAnsi="华文中宋" w:eastAsia="华文中宋" w:cs="华文中宋"/>
                <w:color w:val="auto"/>
                <w:highlight w:val="none"/>
                <w:lang w:val="en-US" w:eastAsia="zh-CN"/>
              </w:rPr>
              <w:t>得</w:t>
            </w:r>
            <w:r>
              <w:rPr>
                <w:rFonts w:hint="eastAsia" w:ascii="华文中宋" w:hAnsi="华文中宋" w:cs="华文中宋"/>
                <w:color w:val="auto"/>
                <w:highlight w:val="none"/>
                <w:lang w:val="en-US" w:eastAsia="zh-CN"/>
              </w:rPr>
              <w:t>0.4</w:t>
            </w:r>
            <w:r>
              <w:rPr>
                <w:rFonts w:hint="eastAsia" w:ascii="华文中宋" w:hAnsi="华文中宋" w:eastAsia="华文中宋" w:cs="华文中宋"/>
                <w:color w:val="auto"/>
                <w:highlight w:val="none"/>
                <w:lang w:val="en-US" w:eastAsia="zh-CN"/>
              </w:rPr>
              <w:t>分，各</w:t>
            </w:r>
            <w:r>
              <w:rPr>
                <w:rFonts w:hint="eastAsia" w:ascii="华文中宋" w:hAnsi="华文中宋" w:cs="华文中宋"/>
                <w:color w:val="auto"/>
                <w:highlight w:val="none"/>
                <w:lang w:val="en-US" w:eastAsia="zh-CN"/>
              </w:rPr>
              <w:t>系统如有功能缺项，每项扣0.2分，扣完为止</w:t>
            </w:r>
            <w:r>
              <w:rPr>
                <w:rFonts w:hint="eastAsia" w:ascii="华文中宋" w:hAnsi="华文中宋" w:eastAsia="华文中宋" w:cs="华文中宋"/>
                <w:color w:val="auto"/>
                <w:highlight w:val="none"/>
                <w:lang w:val="en-US" w:eastAsia="zh-CN"/>
              </w:rPr>
              <w:t>。</w:t>
            </w:r>
          </w:p>
        </w:tc>
        <w:tc>
          <w:tcPr>
            <w:tcW w:w="431" w:type="pct"/>
            <w:vAlign w:val="center"/>
          </w:tcPr>
          <w:p w14:paraId="18C214E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华文中宋" w:hAnsi="华文中宋" w:cs="华文中宋"/>
                <w:color w:val="auto"/>
                <w:highlight w:val="none"/>
                <w:lang w:val="en-US" w:eastAsia="zh-CN"/>
              </w:rPr>
            </w:pPr>
            <w:r>
              <w:rPr>
                <w:rFonts w:hint="eastAsia" w:ascii="华文中宋" w:hAnsi="华文中宋" w:cs="华文中宋"/>
                <w:color w:val="auto"/>
                <w:highlight w:val="none"/>
                <w:lang w:val="en-US" w:eastAsia="zh-CN"/>
              </w:rPr>
              <w:t>0</w:t>
            </w:r>
            <w:r>
              <w:rPr>
                <w:rFonts w:hint="eastAsia" w:ascii="华文中宋" w:hAnsi="华文中宋" w:eastAsia="华文中宋" w:cs="华文中宋"/>
                <w:color w:val="auto"/>
                <w:highlight w:val="none"/>
                <w:lang w:eastAsia="zh-CN"/>
              </w:rPr>
              <w:t>~</w:t>
            </w:r>
            <w:r>
              <w:rPr>
                <w:rFonts w:hint="eastAsia" w:ascii="华文中宋" w:hAnsi="华文中宋" w:cs="华文中宋"/>
                <w:color w:val="auto"/>
                <w:highlight w:val="none"/>
                <w:lang w:val="en-US" w:eastAsia="zh-CN"/>
              </w:rPr>
              <w:t>6</w:t>
            </w:r>
          </w:p>
        </w:tc>
      </w:tr>
    </w:tbl>
    <w:p w14:paraId="07D291F5">
      <w:pPr>
        <w:rPr>
          <w:rFonts w:hint="default"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注：评标专家根据招标文件商务和技术要求、采购需求、评标标准和方法对投标文件进行评审。</w:t>
      </w:r>
    </w:p>
    <w:bookmarkEnd w:id="75"/>
    <w:p w14:paraId="6F1F46D2">
      <w:pPr>
        <w:pStyle w:val="2"/>
        <w:bidi w:val="0"/>
        <w:rPr>
          <w:rFonts w:hint="eastAsia" w:ascii="华文中宋" w:hAnsi="华文中宋" w:eastAsia="华文中宋" w:cs="华文中宋"/>
          <w:color w:val="auto"/>
          <w:highlight w:val="none"/>
        </w:rPr>
      </w:pPr>
      <w:bookmarkStart w:id="76" w:name="_Toc91694432"/>
      <w:bookmarkStart w:id="77" w:name="_Toc352761952"/>
      <w:bookmarkStart w:id="78" w:name="_Toc424378697"/>
      <w:bookmarkStart w:id="79" w:name="_Toc5560"/>
      <w:r>
        <w:rPr>
          <w:rFonts w:hint="eastAsia" w:ascii="华文中宋" w:hAnsi="华文中宋" w:eastAsia="华文中宋" w:cs="华文中宋"/>
          <w:color w:val="auto"/>
          <w:highlight w:val="none"/>
        </w:rPr>
        <w:br w:type="page"/>
      </w:r>
      <w:bookmarkStart w:id="80" w:name="_Toc3080"/>
      <w:r>
        <w:rPr>
          <w:rFonts w:hint="eastAsia" w:ascii="华文中宋" w:hAnsi="华文中宋" w:eastAsia="华文中宋" w:cs="华文中宋"/>
          <w:color w:val="auto"/>
          <w:highlight w:val="none"/>
        </w:rPr>
        <w:t>第七部分  合同范本</w:t>
      </w:r>
      <w:bookmarkEnd w:id="76"/>
      <w:bookmarkEnd w:id="80"/>
    </w:p>
    <w:bookmarkEnd w:id="77"/>
    <w:bookmarkEnd w:id="78"/>
    <w:bookmarkEnd w:id="79"/>
    <w:p w14:paraId="1AF1D542">
      <w:pPr>
        <w:spacing w:line="360" w:lineRule="auto"/>
        <w:rPr>
          <w:rFonts w:hint="eastAsia" w:ascii="华文中宋" w:hAnsi="华文中宋" w:eastAsia="华文中宋" w:cs="华文中宋"/>
          <w:color w:val="auto"/>
          <w:szCs w:val="21"/>
          <w:highlight w:val="none"/>
          <w:u w:val="single"/>
        </w:rPr>
      </w:pPr>
      <w:r>
        <w:rPr>
          <w:rFonts w:hint="eastAsia" w:ascii="华文中宋" w:hAnsi="华文中宋" w:eastAsia="华文中宋" w:cs="华文中宋"/>
          <w:color w:val="auto"/>
          <w:szCs w:val="21"/>
          <w:highlight w:val="none"/>
        </w:rPr>
        <w:t>需</w:t>
      </w:r>
      <w:r>
        <w:rPr>
          <w:rFonts w:hint="eastAsia" w:ascii="华文中宋" w:hAnsi="华文中宋" w:eastAsia="华文中宋" w:cs="华文中宋"/>
          <w:color w:val="auto"/>
          <w:szCs w:val="21"/>
          <w:highlight w:val="none"/>
        </w:rPr>
        <w:tab/>
      </w:r>
      <w:r>
        <w:rPr>
          <w:rFonts w:hint="eastAsia" w:ascii="华文中宋" w:hAnsi="华文中宋" w:eastAsia="华文中宋" w:cs="华文中宋"/>
          <w:color w:val="auto"/>
          <w:szCs w:val="21"/>
          <w:highlight w:val="none"/>
        </w:rPr>
        <w:t>方</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甲方</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rPr>
        <w:t>：</w:t>
      </w:r>
    </w:p>
    <w:p w14:paraId="415ABCE1">
      <w:pPr>
        <w:spacing w:line="360" w:lineRule="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供</w:t>
      </w:r>
      <w:r>
        <w:rPr>
          <w:rFonts w:hint="eastAsia" w:ascii="华文中宋" w:hAnsi="华文中宋" w:eastAsia="华文中宋" w:cs="华文中宋"/>
          <w:color w:val="auto"/>
          <w:szCs w:val="21"/>
          <w:highlight w:val="none"/>
        </w:rPr>
        <w:tab/>
      </w:r>
      <w:r>
        <w:rPr>
          <w:rFonts w:hint="eastAsia" w:ascii="华文中宋" w:hAnsi="华文中宋" w:eastAsia="华文中宋" w:cs="华文中宋"/>
          <w:color w:val="auto"/>
          <w:szCs w:val="21"/>
          <w:highlight w:val="none"/>
        </w:rPr>
        <w:t>方</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乙方</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rPr>
        <w:t>：</w:t>
      </w:r>
    </w:p>
    <w:p w14:paraId="1276398D">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在</w:t>
      </w:r>
      <w:r>
        <w:rPr>
          <w:rFonts w:hint="eastAsia" w:ascii="华文中宋" w:hAnsi="华文中宋" w:cs="华文中宋"/>
          <w:color w:val="auto"/>
          <w:szCs w:val="21"/>
          <w:highlight w:val="none"/>
          <w:lang w:val="en-US" w:eastAsia="zh-CN"/>
        </w:rPr>
        <w:t>石楼县政务服务中心</w:t>
      </w:r>
      <w:r>
        <w:rPr>
          <w:rFonts w:hint="eastAsia" w:ascii="华文中宋" w:hAnsi="华文中宋" w:eastAsia="华文中宋" w:cs="华文中宋"/>
          <w:color w:val="auto"/>
          <w:szCs w:val="21"/>
          <w:highlight w:val="none"/>
        </w:rPr>
        <w:t>集中采购机构组织的（项目名称</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lang w:eastAsia="zh-CN"/>
        </w:rPr>
        <w:t>项目（集采设备）</w:t>
      </w:r>
      <w:r>
        <w:rPr>
          <w:rFonts w:hint="eastAsia" w:ascii="华文中宋" w:hAnsi="华文中宋" w:eastAsia="华文中宋" w:cs="华文中宋"/>
          <w:color w:val="auto"/>
          <w:szCs w:val="21"/>
          <w:highlight w:val="none"/>
        </w:rPr>
        <w:t>、项目编号</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rPr>
        <w:t>）项目公开招标采购中中标，经双方协商一致，签订本合同。</w:t>
      </w:r>
    </w:p>
    <w:p w14:paraId="2D1E8056">
      <w:pPr>
        <w:spacing w:line="360" w:lineRule="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一、货物条款</w:t>
      </w:r>
    </w:p>
    <w:p w14:paraId="1D4337B3">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向</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提供以下货物：</w:t>
      </w:r>
    </w:p>
    <w:p w14:paraId="446C7967">
      <w:pPr>
        <w:spacing w:line="360" w:lineRule="auto"/>
        <w:ind w:firstLine="360" w:firstLineChars="1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（具体品牌、数量、技术参数及质保期等清单后附）</w:t>
      </w:r>
    </w:p>
    <w:p w14:paraId="377985C7">
      <w:pPr>
        <w:spacing w:line="360" w:lineRule="auto"/>
        <w:rPr>
          <w:rFonts w:hint="eastAsia" w:ascii="华文中宋" w:hAnsi="华文中宋" w:eastAsia="华文中宋" w:cs="华文中宋"/>
          <w:b/>
          <w:color w:val="auto"/>
          <w:szCs w:val="21"/>
          <w:highlight w:val="none"/>
        </w:rPr>
      </w:pPr>
      <w:bookmarkStart w:id="81" w:name="bookmark0"/>
      <w:r>
        <w:rPr>
          <w:rFonts w:hint="eastAsia" w:ascii="华文中宋" w:hAnsi="华文中宋" w:eastAsia="华文中宋" w:cs="华文中宋"/>
          <w:b/>
          <w:color w:val="auto"/>
          <w:szCs w:val="21"/>
          <w:highlight w:val="none"/>
        </w:rPr>
        <w:t>二</w:t>
      </w:r>
      <w:bookmarkEnd w:id="81"/>
      <w:r>
        <w:rPr>
          <w:rFonts w:hint="eastAsia" w:ascii="华文中宋" w:hAnsi="华文中宋" w:eastAsia="华文中宋" w:cs="华文中宋"/>
          <w:b/>
          <w:color w:val="auto"/>
          <w:szCs w:val="21"/>
          <w:highlight w:val="none"/>
        </w:rPr>
        <w:t>、合同总金额</w:t>
      </w:r>
    </w:p>
    <w:p w14:paraId="0232A07D">
      <w:pPr>
        <w:spacing w:line="360" w:lineRule="auto"/>
        <w:ind w:firstLine="480" w:firstLineChars="200"/>
        <w:rPr>
          <w:rFonts w:hint="eastAsia" w:ascii="华文中宋" w:hAnsi="华文中宋" w:eastAsia="华文中宋" w:cs="华文中宋"/>
          <w:color w:val="auto"/>
          <w:szCs w:val="21"/>
          <w:highlight w:val="none"/>
          <w:u w:val="single"/>
          <w:lang w:val="en-US" w:eastAsia="zh-CN"/>
        </w:rPr>
      </w:pPr>
      <w:r>
        <w:rPr>
          <w:rFonts w:hint="eastAsia" w:ascii="华文中宋" w:hAnsi="华文中宋" w:eastAsia="华文中宋" w:cs="华文中宋"/>
          <w:color w:val="auto"/>
          <w:szCs w:val="21"/>
          <w:highlight w:val="none"/>
        </w:rPr>
        <w:t>人民币（大写）：</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元整（小写）：￥</w:t>
      </w:r>
      <w:r>
        <w:rPr>
          <w:rFonts w:hint="eastAsia" w:ascii="华文中宋" w:hAnsi="华文中宋" w:eastAsia="华文中宋" w:cs="华文中宋"/>
          <w:color w:val="auto"/>
          <w:szCs w:val="21"/>
          <w:highlight w:val="none"/>
          <w:lang w:val="en-US" w:eastAsia="zh-CN"/>
        </w:rPr>
        <w:t xml:space="preserve">             元</w:t>
      </w:r>
    </w:p>
    <w:p w14:paraId="7A9BE999">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合同总金额包含包装、仓储、运输、装卸、安装调试、税费、保险费、</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应当提供的伴随服务/售后服务费用以及验收合格之前与质保期内备品备件发生的所有费用。此价格为合同执行不变价，不因国家政策变化而变化。</w:t>
      </w:r>
    </w:p>
    <w:p w14:paraId="560E8587">
      <w:pPr>
        <w:spacing w:line="360" w:lineRule="auto"/>
        <w:rPr>
          <w:rFonts w:hint="eastAsia" w:ascii="华文中宋" w:hAnsi="华文中宋" w:eastAsia="华文中宋" w:cs="华文中宋"/>
          <w:b/>
          <w:color w:val="auto"/>
          <w:szCs w:val="21"/>
          <w:highlight w:val="none"/>
        </w:rPr>
      </w:pPr>
      <w:bookmarkStart w:id="82" w:name="bookmark1"/>
      <w:r>
        <w:rPr>
          <w:rFonts w:hint="eastAsia" w:ascii="华文中宋" w:hAnsi="华文中宋" w:eastAsia="华文中宋" w:cs="华文中宋"/>
          <w:b/>
          <w:color w:val="auto"/>
          <w:szCs w:val="21"/>
          <w:highlight w:val="none"/>
        </w:rPr>
        <w:t>三</w:t>
      </w:r>
      <w:bookmarkEnd w:id="82"/>
      <w:r>
        <w:rPr>
          <w:rFonts w:hint="eastAsia" w:ascii="华文中宋" w:hAnsi="华文中宋" w:eastAsia="华文中宋" w:cs="华文中宋"/>
          <w:b/>
          <w:color w:val="auto"/>
          <w:szCs w:val="21"/>
          <w:highlight w:val="none"/>
        </w:rPr>
        <w:t>、合同资金支付</w:t>
      </w:r>
    </w:p>
    <w:p w14:paraId="3902DDCB">
      <w:pPr>
        <w:spacing w:line="360" w:lineRule="auto"/>
        <w:ind w:firstLine="480" w:firstLineChars="200"/>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szCs w:val="21"/>
          <w:highlight w:val="none"/>
          <w:lang w:val="en-US" w:eastAsia="zh-CN"/>
        </w:rPr>
        <w:t>合同签订并提供甲方认可的技术实施方案后10个工作日内支付合同金额的40%；硬件设备货到指定地点后，甲方对货物进行初步核对（核对内容包括货物数量、外观破损），核对无误后5个工作日甲方向乙方支付合同金额的30%；</w:t>
      </w:r>
      <w:r>
        <w:rPr>
          <w:rFonts w:hint="eastAsia" w:ascii="华文中宋" w:hAnsi="华文中宋" w:eastAsia="华文中宋" w:cs="华文中宋"/>
          <w:color w:val="auto"/>
          <w:highlight w:val="none"/>
          <w:lang w:val="en-US" w:eastAsia="zh-CN"/>
        </w:rPr>
        <w:t>待使用方石楼县人民医院验收合格后5个工作日支付合同金额的25%；质保期满一年时支付2%的合同金额，质保期满三年时支付剩余3%的合同金额。</w:t>
      </w:r>
    </w:p>
    <w:p w14:paraId="1F21ADD4">
      <w:pPr>
        <w:spacing w:line="360" w:lineRule="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四</w:t>
      </w:r>
      <w:r>
        <w:rPr>
          <w:rFonts w:hint="eastAsia" w:ascii="华文中宋" w:hAnsi="华文中宋" w:eastAsia="华文中宋" w:cs="华文中宋"/>
          <w:b/>
          <w:color w:val="auto"/>
          <w:szCs w:val="21"/>
          <w:highlight w:val="none"/>
        </w:rPr>
        <w:t>、售后服务及承诺</w:t>
      </w:r>
    </w:p>
    <w:p w14:paraId="19B3CF92">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乙方</w:t>
      </w:r>
      <w:r>
        <w:rPr>
          <w:rFonts w:hint="eastAsia" w:ascii="华文中宋" w:hAnsi="华文中宋" w:eastAsia="华文中宋" w:cs="华文中宋"/>
          <w:color w:val="auto"/>
          <w:szCs w:val="21"/>
          <w:highlight w:val="none"/>
        </w:rPr>
        <w:t>向</w:t>
      </w:r>
      <w:r>
        <w:rPr>
          <w:rFonts w:hint="eastAsia" w:ascii="华文中宋" w:hAnsi="华文中宋" w:eastAsia="华文中宋" w:cs="华文中宋"/>
          <w:color w:val="auto"/>
          <w:szCs w:val="21"/>
          <w:highlight w:val="none"/>
          <w:lang w:val="en-US" w:eastAsia="zh-CN"/>
        </w:rPr>
        <w:t>甲</w:t>
      </w:r>
      <w:r>
        <w:rPr>
          <w:rFonts w:hint="eastAsia" w:ascii="华文中宋" w:hAnsi="华文中宋" w:eastAsia="华文中宋" w:cs="华文中宋"/>
          <w:color w:val="auto"/>
          <w:szCs w:val="21"/>
          <w:highlight w:val="none"/>
        </w:rPr>
        <w:t>方承诺：</w:t>
      </w:r>
      <w:r>
        <w:rPr>
          <w:rFonts w:hint="eastAsia" w:ascii="华文中宋" w:hAnsi="华文中宋" w:eastAsia="华文中宋" w:cs="华文中宋"/>
          <w:color w:val="auto"/>
          <w:szCs w:val="21"/>
          <w:highlight w:val="none"/>
          <w:lang w:val="en-US" w:eastAsia="zh-CN"/>
        </w:rPr>
        <w:t>对</w:t>
      </w:r>
      <w:r>
        <w:rPr>
          <w:rFonts w:hint="eastAsia" w:ascii="华文中宋" w:hAnsi="华文中宋" w:eastAsia="华文中宋" w:cs="华文中宋"/>
          <w:color w:val="auto"/>
          <w:szCs w:val="21"/>
          <w:highlight w:val="none"/>
        </w:rPr>
        <w:t>硬件</w:t>
      </w:r>
      <w:r>
        <w:rPr>
          <w:rFonts w:hint="eastAsia" w:ascii="华文中宋" w:hAnsi="华文中宋" w:eastAsia="华文中宋" w:cs="华文中宋"/>
          <w:color w:val="auto"/>
          <w:szCs w:val="21"/>
          <w:highlight w:val="none"/>
          <w:lang w:val="en-US" w:eastAsia="zh-CN"/>
        </w:rPr>
        <w:t>设备及其相关软件提供三年的质保及技术服务</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对医疗软件系统提供自验收合格之日起三年的技术服务</w:t>
      </w:r>
      <w:r>
        <w:rPr>
          <w:rFonts w:hint="eastAsia" w:ascii="华文中宋" w:hAnsi="华文中宋" w:eastAsia="华文中宋" w:cs="华文中宋"/>
          <w:color w:val="auto"/>
          <w:szCs w:val="21"/>
          <w:highlight w:val="none"/>
        </w:rPr>
        <w:t>。</w:t>
      </w:r>
    </w:p>
    <w:p w14:paraId="61D2EF52">
      <w:pPr>
        <w:spacing w:line="360" w:lineRule="auto"/>
        <w:rPr>
          <w:rFonts w:hint="eastAsia"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五</w:t>
      </w:r>
      <w:r>
        <w:rPr>
          <w:rFonts w:hint="eastAsia"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lang w:val="en-US" w:eastAsia="zh-CN"/>
        </w:rPr>
        <w:t>实施周期</w:t>
      </w:r>
    </w:p>
    <w:p w14:paraId="369F183A">
      <w:pPr>
        <w:spacing w:line="360" w:lineRule="auto"/>
        <w:ind w:firstLine="480" w:firstLineChars="200"/>
        <w:rPr>
          <w:rFonts w:hint="eastAsia" w:ascii="华文中宋" w:hAnsi="华文中宋" w:eastAsia="华文中宋" w:cs="华文中宋"/>
          <w:color w:val="auto"/>
          <w:szCs w:val="21"/>
          <w:highlight w:val="none"/>
        </w:rPr>
      </w:pPr>
      <w:bookmarkStart w:id="83" w:name="bookmark5"/>
      <w:r>
        <w:rPr>
          <w:rFonts w:hint="eastAsia" w:ascii="华文中宋" w:hAnsi="华文中宋" w:eastAsia="华文中宋" w:cs="华文中宋"/>
          <w:color w:val="auto"/>
          <w:szCs w:val="21"/>
          <w:highlight w:val="none"/>
        </w:rPr>
        <w:t>1</w:t>
      </w:r>
      <w:bookmarkEnd w:id="83"/>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合同履行期限</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val="en-US" w:eastAsia="zh-CN"/>
        </w:rPr>
        <w:t>签订合同之日起软件系统须在签订合同后12个月内上线；硬件设备须在合同签订后3个月内完成交货，安装及调试。</w:t>
      </w:r>
    </w:p>
    <w:p w14:paraId="696B3F64">
      <w:pPr>
        <w:spacing w:line="360" w:lineRule="auto"/>
        <w:ind w:firstLine="480" w:firstLineChars="200"/>
        <w:rPr>
          <w:rFonts w:hint="default" w:ascii="华文中宋" w:hAnsi="华文中宋" w:eastAsia="华文中宋" w:cs="华文中宋"/>
          <w:color w:val="auto"/>
          <w:szCs w:val="21"/>
          <w:highlight w:val="none"/>
          <w:lang w:val="en-US" w:eastAsia="zh-CN"/>
        </w:rPr>
      </w:pPr>
      <w:bookmarkStart w:id="84" w:name="bookmark6"/>
      <w:r>
        <w:rPr>
          <w:rFonts w:hint="eastAsia" w:ascii="华文中宋" w:hAnsi="华文中宋" w:eastAsia="华文中宋" w:cs="华文中宋"/>
          <w:color w:val="auto"/>
          <w:szCs w:val="21"/>
          <w:highlight w:val="none"/>
        </w:rPr>
        <w:t>2</w:t>
      </w:r>
      <w:bookmarkEnd w:id="84"/>
      <w:r>
        <w:rPr>
          <w:rFonts w:hint="eastAsia" w:ascii="华文中宋" w:hAnsi="华文中宋" w:eastAsia="华文中宋" w:cs="华文中宋"/>
          <w:color w:val="auto"/>
          <w:szCs w:val="21"/>
          <w:highlight w:val="none"/>
        </w:rPr>
        <w:t>.交货地点：</w:t>
      </w:r>
      <w:r>
        <w:rPr>
          <w:rFonts w:hint="eastAsia" w:ascii="华文中宋" w:hAnsi="华文中宋" w:eastAsia="华文中宋" w:cs="华文中宋"/>
          <w:color w:val="auto"/>
          <w:szCs w:val="21"/>
          <w:highlight w:val="none"/>
          <w:lang w:val="en-US" w:eastAsia="zh-CN"/>
        </w:rPr>
        <w:t>石楼县</w:t>
      </w:r>
      <w:r>
        <w:rPr>
          <w:rFonts w:hint="eastAsia" w:ascii="华文中宋" w:hAnsi="华文中宋" w:cs="华文中宋"/>
          <w:color w:val="auto"/>
          <w:szCs w:val="21"/>
          <w:highlight w:val="none"/>
          <w:lang w:val="en-US" w:eastAsia="zh-CN"/>
        </w:rPr>
        <w:t>灵泉镇郭村</w:t>
      </w:r>
    </w:p>
    <w:p w14:paraId="4626AF6F">
      <w:pPr>
        <w:spacing w:line="360" w:lineRule="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六</w:t>
      </w:r>
      <w:r>
        <w:rPr>
          <w:rFonts w:hint="eastAsia" w:ascii="华文中宋" w:hAnsi="华文中宋" w:eastAsia="华文中宋" w:cs="华文中宋"/>
          <w:b/>
          <w:color w:val="auto"/>
          <w:szCs w:val="21"/>
          <w:highlight w:val="none"/>
        </w:rPr>
        <w:t>、交验</w:t>
      </w:r>
    </w:p>
    <w:p w14:paraId="621AE821">
      <w:pPr>
        <w:spacing w:line="360" w:lineRule="auto"/>
        <w:ind w:firstLine="480" w:firstLineChars="200"/>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highlight w:val="none"/>
          <w:lang w:val="en-US" w:eastAsia="zh-CN"/>
        </w:rPr>
        <w:t>采购方按照《政府采购法》41条、《政府采购法实施条例》45条、财库〔2016〕205号文件、87号令74条（适用于公开招标和邀请招标）等规定编制项目履约验收标准；根据招标文件及合同等进行验收。</w:t>
      </w:r>
      <w:r>
        <w:rPr>
          <w:rFonts w:hint="eastAsia" w:ascii="华文中宋" w:hAnsi="华文中宋" w:cs="华文中宋"/>
          <w:color w:val="auto"/>
          <w:szCs w:val="21"/>
          <w:highlight w:val="none"/>
          <w:lang w:val="en-US" w:eastAsia="zh-CN"/>
        </w:rPr>
        <w:t>验收需在采购人与院方共同验收。</w:t>
      </w:r>
    </w:p>
    <w:p w14:paraId="38A21DD0">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验收配合与供货期要求：</w:t>
      </w:r>
    </w:p>
    <w:p w14:paraId="54D071E6">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1.产品到货后，供应商需在 </w:t>
      </w:r>
      <w:r>
        <w:rPr>
          <w:rFonts w:hint="eastAsia" w:ascii="华文中宋" w:hAnsi="华文中宋" w:eastAsia="华文中宋" w:cs="华文中宋"/>
          <w:color w:val="auto"/>
          <w:szCs w:val="21"/>
          <w:highlight w:val="none"/>
          <w:lang w:eastAsia="zh"/>
        </w:rPr>
        <w:t>3个月</w:t>
      </w:r>
      <w:r>
        <w:rPr>
          <w:rFonts w:hint="eastAsia" w:ascii="华文中宋" w:hAnsi="华文中宋" w:eastAsia="华文中宋" w:cs="华文中宋"/>
          <w:color w:val="auto"/>
          <w:szCs w:val="21"/>
          <w:highlight w:val="none"/>
        </w:rPr>
        <w:t>内完成所有</w:t>
      </w:r>
      <w:r>
        <w:rPr>
          <w:rFonts w:hint="eastAsia" w:ascii="华文中宋" w:hAnsi="华文中宋" w:eastAsia="华文中宋" w:cs="华文中宋"/>
          <w:color w:val="auto"/>
          <w:szCs w:val="21"/>
          <w:highlight w:val="none"/>
          <w:lang w:val="en-US" w:eastAsia="zh-CN"/>
        </w:rPr>
        <w:t>硬件</w:t>
      </w:r>
      <w:r>
        <w:rPr>
          <w:rFonts w:hint="eastAsia" w:ascii="华文中宋" w:hAnsi="华文中宋" w:eastAsia="华文中宋" w:cs="华文中宋"/>
          <w:color w:val="auto"/>
          <w:szCs w:val="21"/>
          <w:highlight w:val="none"/>
        </w:rPr>
        <w:t>设备的安装调试，确保设备符合</w:t>
      </w:r>
      <w:r>
        <w:rPr>
          <w:rFonts w:hint="eastAsia" w:ascii="华文中宋" w:hAnsi="华文中宋" w:eastAsia="华文中宋" w:cs="华文中宋"/>
          <w:color w:val="auto"/>
          <w:szCs w:val="21"/>
          <w:highlight w:val="none"/>
          <w:lang w:val="en-US" w:eastAsia="zh-CN"/>
        </w:rPr>
        <w:t>并满足</w:t>
      </w:r>
      <w:r>
        <w:rPr>
          <w:rFonts w:hint="eastAsia" w:ascii="华文中宋" w:hAnsi="华文中宋" w:eastAsia="华文中宋" w:cs="华文中宋"/>
          <w:color w:val="auto"/>
          <w:szCs w:val="21"/>
          <w:highlight w:val="none"/>
        </w:rPr>
        <w:t>医院使用需求。</w:t>
      </w:r>
    </w:p>
    <w:p w14:paraId="038FC36E">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2</w:t>
      </w:r>
      <w:r>
        <w:rPr>
          <w:rFonts w:hint="eastAsia" w:ascii="华文中宋" w:hAnsi="华文中宋" w:eastAsia="华文中宋" w:cs="华文中宋"/>
          <w:color w:val="auto"/>
          <w:szCs w:val="21"/>
          <w:highlight w:val="none"/>
        </w:rPr>
        <w:t xml:space="preserve">.供应商需配合医院在调试完成后 </w:t>
      </w:r>
      <w:r>
        <w:rPr>
          <w:rFonts w:hint="eastAsia" w:ascii="华文中宋" w:hAnsi="华文中宋" w:eastAsia="华文中宋" w:cs="华文中宋"/>
          <w:color w:val="auto"/>
          <w:szCs w:val="21"/>
          <w:highlight w:val="none"/>
          <w:lang w:val="en-US" w:eastAsia="zh-CN"/>
        </w:rPr>
        <w:t>10</w:t>
      </w:r>
      <w:r>
        <w:rPr>
          <w:rFonts w:hint="eastAsia" w:ascii="华文中宋" w:hAnsi="华文中宋" w:eastAsia="华文中宋" w:cs="华文中宋"/>
          <w:color w:val="auto"/>
          <w:szCs w:val="21"/>
          <w:highlight w:val="none"/>
        </w:rPr>
        <w:t>个工作日内完成验收，并提供验收所需的产品技术资料。</w:t>
      </w:r>
    </w:p>
    <w:p w14:paraId="26DC4B0C">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3.验收不合格的产品，供应商需在 </w:t>
      </w:r>
      <w:r>
        <w:rPr>
          <w:rFonts w:hint="eastAsia" w:ascii="华文中宋" w:hAnsi="华文中宋" w:eastAsia="华文中宋" w:cs="华文中宋"/>
          <w:color w:val="auto"/>
          <w:szCs w:val="21"/>
          <w:highlight w:val="none"/>
          <w:lang w:val="en-US" w:eastAsia="zh-CN"/>
        </w:rPr>
        <w:t>5</w:t>
      </w:r>
      <w:r>
        <w:rPr>
          <w:rFonts w:hint="eastAsia" w:ascii="华文中宋" w:hAnsi="华文中宋" w:eastAsia="华文中宋" w:cs="华文中宋"/>
          <w:color w:val="auto"/>
          <w:szCs w:val="21"/>
          <w:highlight w:val="none"/>
        </w:rPr>
        <w:t>个工作日内无条件更换，更换产生的所有费用由供应商承担。</w:t>
      </w:r>
    </w:p>
    <w:p w14:paraId="28674987">
      <w:pPr>
        <w:spacing w:line="360" w:lineRule="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七</w:t>
      </w:r>
      <w:r>
        <w:rPr>
          <w:rFonts w:hint="eastAsia"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lang w:eastAsia="zh-CN"/>
        </w:rPr>
        <w:t>甲方</w:t>
      </w:r>
      <w:r>
        <w:rPr>
          <w:rFonts w:hint="eastAsia" w:ascii="华文中宋" w:hAnsi="华文中宋" w:eastAsia="华文中宋" w:cs="华文中宋"/>
          <w:b/>
          <w:color w:val="auto"/>
          <w:szCs w:val="21"/>
          <w:highlight w:val="none"/>
        </w:rPr>
        <w:t>责任</w:t>
      </w:r>
    </w:p>
    <w:p w14:paraId="7BF1C86D">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1.及时办理付款手续。不得以机构变动、人员更替、政策调整等为由延迟付款，不得将采购文件和合同中未规定的义务作为向供应商付款的条件。</w:t>
      </w:r>
    </w:p>
    <w:p w14:paraId="4B4E505C">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2.负责提供工作场地，协助</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办理有关事宜。</w:t>
      </w:r>
    </w:p>
    <w:p w14:paraId="01F35E25">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3.对合同条款及价格负有保密义务。</w:t>
      </w:r>
    </w:p>
    <w:p w14:paraId="1195B2FD">
      <w:pPr>
        <w:spacing w:line="360" w:lineRule="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八</w:t>
      </w:r>
      <w:r>
        <w:rPr>
          <w:rFonts w:hint="eastAsia"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lang w:eastAsia="zh-CN"/>
        </w:rPr>
        <w:t>乙方</w:t>
      </w:r>
      <w:r>
        <w:rPr>
          <w:rFonts w:hint="eastAsia" w:ascii="华文中宋" w:hAnsi="华文中宋" w:eastAsia="华文中宋" w:cs="华文中宋"/>
          <w:b/>
          <w:color w:val="auto"/>
          <w:szCs w:val="21"/>
          <w:highlight w:val="none"/>
        </w:rPr>
        <w:t>责任</w:t>
      </w:r>
    </w:p>
    <w:p w14:paraId="75B9B836">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r>
        <w:rPr>
          <w:rFonts w:hint="eastAsia" w:ascii="华文中宋" w:hAnsi="华文中宋" w:eastAsia="华文中宋" w:cs="华文中宋"/>
          <w:color w:val="auto"/>
          <w:szCs w:val="21"/>
          <w:highlight w:val="none"/>
          <w:lang w:val="en-US" w:eastAsia="zh-CN"/>
        </w:rPr>
        <w:t>保证所供货物均为标书承诺的品牌、型号、规格，符合本合同及标书约定标准，同时符合国家强制性质量检测标准、行业标准及该产品出厂标准。</w:t>
      </w:r>
    </w:p>
    <w:p w14:paraId="36801A45">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2.保证售后服务，严格依据投标文件及</w:t>
      </w:r>
      <w:r>
        <w:rPr>
          <w:rFonts w:hint="eastAsia" w:ascii="华文中宋" w:hAnsi="华文中宋" w:eastAsia="华文中宋" w:cs="华文中宋"/>
          <w:color w:val="auto"/>
          <w:szCs w:val="21"/>
          <w:highlight w:val="none"/>
          <w:lang w:val="en-US" w:eastAsia="zh-CN"/>
        </w:rPr>
        <w:t>本合同相关</w:t>
      </w:r>
      <w:r>
        <w:rPr>
          <w:rFonts w:hint="eastAsia" w:ascii="华文中宋" w:hAnsi="华文中宋" w:eastAsia="华文中宋" w:cs="华文中宋"/>
          <w:color w:val="auto"/>
          <w:szCs w:val="21"/>
          <w:highlight w:val="none"/>
        </w:rPr>
        <w:t>承诺，</w:t>
      </w:r>
      <w:r>
        <w:rPr>
          <w:rFonts w:hint="eastAsia" w:ascii="华文中宋" w:hAnsi="华文中宋" w:eastAsia="华文中宋" w:cs="华文中宋"/>
          <w:color w:val="auto"/>
          <w:szCs w:val="21"/>
          <w:highlight w:val="none"/>
          <w:lang w:val="en-US" w:eastAsia="zh-CN"/>
        </w:rPr>
        <w:t>提供</w:t>
      </w:r>
      <w:r>
        <w:rPr>
          <w:rFonts w:hint="eastAsia" w:ascii="华文中宋" w:hAnsi="华文中宋" w:eastAsia="华文中宋" w:cs="华文中宋"/>
          <w:color w:val="auto"/>
          <w:szCs w:val="21"/>
          <w:highlight w:val="none"/>
        </w:rPr>
        <w:t>保修、维护等服务。</w:t>
      </w:r>
      <w:r>
        <w:rPr>
          <w:rFonts w:hint="eastAsia" w:ascii="华文中宋" w:hAnsi="华文中宋" w:eastAsia="华文中宋" w:cs="华文中宋"/>
          <w:color w:val="auto"/>
          <w:szCs w:val="21"/>
          <w:highlight w:val="none"/>
          <w:lang w:val="en-US" w:eastAsia="zh-CN"/>
        </w:rPr>
        <w:t>乙方接到甲方售后需求后，应在2小时内响应，24小时内到场处理。</w:t>
      </w:r>
    </w:p>
    <w:p w14:paraId="600DF61A">
      <w:pPr>
        <w:spacing w:line="360" w:lineRule="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九</w:t>
      </w:r>
      <w:r>
        <w:rPr>
          <w:rFonts w:hint="eastAsia" w:ascii="华文中宋" w:hAnsi="华文中宋" w:eastAsia="华文中宋" w:cs="华文中宋"/>
          <w:b/>
          <w:color w:val="auto"/>
          <w:szCs w:val="21"/>
          <w:highlight w:val="none"/>
        </w:rPr>
        <w:t>、违约责任</w:t>
      </w:r>
    </w:p>
    <w:p w14:paraId="1FBCD5D0">
      <w:pPr>
        <w:spacing w:line="360" w:lineRule="auto"/>
        <w:ind w:firstLine="480" w:firstLineChars="200"/>
        <w:rPr>
          <w:rFonts w:hint="eastAsia" w:ascii="华文中宋" w:hAnsi="华文中宋" w:eastAsia="华文中宋" w:cs="华文中宋"/>
          <w:color w:val="auto"/>
          <w:szCs w:val="21"/>
          <w:highlight w:val="none"/>
        </w:rPr>
      </w:pPr>
      <w:bookmarkStart w:id="85" w:name="bookmark8"/>
      <w:r>
        <w:rPr>
          <w:rFonts w:hint="eastAsia" w:ascii="华文中宋" w:hAnsi="华文中宋" w:eastAsia="华文中宋" w:cs="华文中宋"/>
          <w:color w:val="auto"/>
          <w:szCs w:val="21"/>
          <w:highlight w:val="none"/>
        </w:rPr>
        <w:t>1</w:t>
      </w:r>
      <w:bookmarkEnd w:id="85"/>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无正当理由逾期支付货款的，每逾期一日向</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偿付合同款总额（</w:t>
      </w:r>
      <w:r>
        <w:rPr>
          <w:rFonts w:hint="eastAsia" w:ascii="华文中宋" w:hAnsi="华文中宋" w:eastAsia="华文中宋" w:cs="华文中宋"/>
          <w:color w:val="auto"/>
          <w:spacing w:val="6"/>
          <w:szCs w:val="21"/>
          <w:highlight w:val="none"/>
          <w:u w:val="none"/>
          <w:lang w:val="en-US" w:eastAsia="zh-CN"/>
        </w:rPr>
        <w:t>0.02</w:t>
      </w:r>
      <w:r>
        <w:rPr>
          <w:rFonts w:hint="eastAsia" w:ascii="华文中宋" w:hAnsi="华文中宋" w:eastAsia="华文中宋" w:cs="华文中宋"/>
          <w:color w:val="auto"/>
          <w:szCs w:val="21"/>
          <w:highlight w:val="none"/>
        </w:rPr>
        <w:t>%）的违约金。逾期付款超过（</w:t>
      </w:r>
      <w:r>
        <w:rPr>
          <w:rFonts w:hint="eastAsia" w:ascii="华文中宋" w:hAnsi="华文中宋" w:eastAsia="华文中宋" w:cs="华文中宋"/>
          <w:color w:val="auto"/>
          <w:spacing w:val="6"/>
          <w:szCs w:val="21"/>
          <w:highlight w:val="none"/>
          <w:lang w:val="en-US" w:eastAsia="zh-CN"/>
        </w:rPr>
        <w:t>30</w:t>
      </w:r>
      <w:r>
        <w:rPr>
          <w:rFonts w:hint="eastAsia" w:ascii="华文中宋" w:hAnsi="华文中宋" w:eastAsia="华文中宋" w:cs="华文中宋"/>
          <w:color w:val="auto"/>
          <w:szCs w:val="21"/>
          <w:highlight w:val="none"/>
        </w:rPr>
        <w:t>）日，</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有权解除合同，届时</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lang w:val="en-US" w:eastAsia="zh-CN"/>
        </w:rPr>
        <w:t>应</w:t>
      </w:r>
      <w:r>
        <w:rPr>
          <w:rFonts w:hint="eastAsia" w:ascii="华文中宋" w:hAnsi="华文中宋" w:eastAsia="华文中宋" w:cs="华文中宋"/>
          <w:color w:val="auto"/>
          <w:szCs w:val="21"/>
          <w:highlight w:val="none"/>
        </w:rPr>
        <w:t>赔偿由此给</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造成的全部经济损失。同时，</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lang w:val="en-US" w:eastAsia="zh-CN"/>
        </w:rPr>
        <w:t>向乙方</w:t>
      </w:r>
      <w:r>
        <w:rPr>
          <w:rFonts w:hint="eastAsia" w:ascii="华文中宋" w:hAnsi="华文中宋" w:eastAsia="华文中宋" w:cs="华文中宋"/>
          <w:color w:val="auto"/>
          <w:szCs w:val="21"/>
          <w:highlight w:val="none"/>
        </w:rPr>
        <w:t>支付合同款总额（</w:t>
      </w:r>
      <w:r>
        <w:rPr>
          <w:rFonts w:hint="eastAsia" w:ascii="华文中宋" w:hAnsi="华文中宋" w:eastAsia="华文中宋" w:cs="华文中宋"/>
          <w:color w:val="auto"/>
          <w:spacing w:val="6"/>
          <w:szCs w:val="21"/>
          <w:highlight w:val="none"/>
          <w:lang w:val="en-US" w:eastAsia="zh-CN"/>
        </w:rPr>
        <w:t>10</w:t>
      </w:r>
      <w:r>
        <w:rPr>
          <w:rFonts w:hint="eastAsia" w:ascii="华文中宋" w:hAnsi="华文中宋" w:eastAsia="华文中宋" w:cs="华文中宋"/>
          <w:color w:val="auto"/>
          <w:szCs w:val="21"/>
          <w:highlight w:val="none"/>
        </w:rPr>
        <w:t>%）的违约金。</w:t>
      </w:r>
    </w:p>
    <w:p w14:paraId="6A2C8669">
      <w:pPr>
        <w:spacing w:line="360" w:lineRule="auto"/>
        <w:ind w:firstLine="480" w:firstLineChars="200"/>
        <w:rPr>
          <w:rFonts w:hint="eastAsia" w:ascii="华文中宋" w:hAnsi="华文中宋" w:eastAsia="华文中宋" w:cs="华文中宋"/>
          <w:color w:val="auto"/>
          <w:szCs w:val="21"/>
          <w:highlight w:val="none"/>
        </w:rPr>
      </w:pPr>
      <w:bookmarkStart w:id="86" w:name="bookmark9"/>
      <w:r>
        <w:rPr>
          <w:rFonts w:hint="eastAsia" w:ascii="华文中宋" w:hAnsi="华文中宋" w:eastAsia="华文中宋" w:cs="华文中宋"/>
          <w:color w:val="auto"/>
          <w:szCs w:val="21"/>
          <w:highlight w:val="none"/>
        </w:rPr>
        <w:t>2</w:t>
      </w:r>
      <w:bookmarkEnd w:id="86"/>
      <w:r>
        <w:rPr>
          <w:rFonts w:hint="eastAsia" w:ascii="华文中宋" w:hAnsi="华文中宋" w:eastAsia="华文中宋" w:cs="华文中宋"/>
          <w:color w:val="auto"/>
          <w:szCs w:val="21"/>
          <w:highlight w:val="none"/>
        </w:rPr>
        <w:t>.乙方所交</w:t>
      </w:r>
      <w:r>
        <w:rPr>
          <w:rFonts w:hint="eastAsia" w:ascii="华文中宋" w:hAnsi="华文中宋" w:eastAsia="华文中宋" w:cs="华文中宋"/>
          <w:color w:val="auto"/>
          <w:szCs w:val="21"/>
          <w:highlight w:val="none"/>
          <w:lang w:val="en-US" w:eastAsia="zh-CN"/>
        </w:rPr>
        <w:t>付</w:t>
      </w:r>
      <w:r>
        <w:rPr>
          <w:rFonts w:hint="eastAsia" w:ascii="华文中宋" w:hAnsi="华文中宋" w:eastAsia="华文中宋" w:cs="华文中宋"/>
          <w:color w:val="auto"/>
          <w:szCs w:val="21"/>
          <w:highlight w:val="none"/>
        </w:rPr>
        <w:t>的货物品种、型号、规格、质量不符合合同规定标准，甲方有权拒收，乙方应当在3日内免费进行更换。若乙方拒不更换或乙方更换后仍不符合合同规定标准，甲方有权解除合同，乙方应向甲方支付合同款总额20%的违约金。违约金不足以补偿甲方因乙方违约造成的损失，甲方有权要求乙方补足（包括但不限于甲方为实现权利而支付的律师费、诉讼费、保全费和保全保险费等）。</w:t>
      </w:r>
    </w:p>
    <w:p w14:paraId="4A8609F2">
      <w:pPr>
        <w:spacing w:line="360" w:lineRule="auto"/>
        <w:ind w:firstLine="480" w:firstLineChars="200"/>
        <w:rPr>
          <w:rFonts w:hint="eastAsia" w:ascii="华文中宋" w:hAnsi="华文中宋" w:eastAsia="华文中宋" w:cs="华文中宋"/>
          <w:color w:val="auto"/>
          <w:szCs w:val="21"/>
          <w:highlight w:val="none"/>
        </w:rPr>
      </w:pPr>
      <w:bookmarkStart w:id="87" w:name="bookmark10"/>
      <w:r>
        <w:rPr>
          <w:rFonts w:hint="eastAsia" w:ascii="华文中宋" w:hAnsi="华文中宋" w:eastAsia="华文中宋" w:cs="华文中宋"/>
          <w:color w:val="auto"/>
          <w:szCs w:val="21"/>
          <w:highlight w:val="none"/>
        </w:rPr>
        <w:t>3</w:t>
      </w:r>
      <w:bookmarkEnd w:id="87"/>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eastAsia="zh-CN"/>
        </w:rPr>
        <w:t>乙方明确表示或以行为表明不能</w:t>
      </w:r>
      <w:r>
        <w:rPr>
          <w:rFonts w:hint="eastAsia" w:ascii="华文中宋" w:hAnsi="华文中宋" w:eastAsia="华文中宋" w:cs="华文中宋"/>
          <w:color w:val="auto"/>
          <w:szCs w:val="21"/>
          <w:highlight w:val="none"/>
        </w:rPr>
        <w:t>交付货物时，甲方有权解除合同，乙方应向甲方支付合同款总额20%的违约金。</w:t>
      </w:r>
      <w:r>
        <w:rPr>
          <w:rFonts w:hint="eastAsia" w:ascii="华文中宋" w:hAnsi="华文中宋" w:eastAsia="华文中宋" w:cs="华文中宋"/>
          <w:color w:val="auto"/>
          <w:szCs w:val="21"/>
          <w:highlight w:val="none"/>
          <w:lang w:val="en-US" w:eastAsia="zh-CN"/>
        </w:rPr>
        <w:t>若</w:t>
      </w:r>
      <w:r>
        <w:rPr>
          <w:rFonts w:hint="eastAsia" w:ascii="华文中宋" w:hAnsi="华文中宋" w:eastAsia="华文中宋" w:cs="华文中宋"/>
          <w:color w:val="auto"/>
          <w:szCs w:val="21"/>
          <w:highlight w:val="none"/>
        </w:rPr>
        <w:t>违约金不足以补偿甲方</w:t>
      </w:r>
      <w:r>
        <w:rPr>
          <w:rFonts w:hint="eastAsia" w:ascii="华文中宋" w:hAnsi="华文中宋" w:eastAsia="华文中宋" w:cs="华文中宋"/>
          <w:color w:val="auto"/>
          <w:szCs w:val="21"/>
          <w:highlight w:val="none"/>
          <w:lang w:val="en-US" w:eastAsia="zh-CN"/>
        </w:rPr>
        <w:t>因此而</w:t>
      </w:r>
      <w:r>
        <w:rPr>
          <w:rFonts w:hint="eastAsia" w:ascii="华文中宋" w:hAnsi="华文中宋" w:eastAsia="华文中宋" w:cs="华文中宋"/>
          <w:color w:val="auto"/>
          <w:szCs w:val="21"/>
          <w:highlight w:val="none"/>
        </w:rPr>
        <w:t>造成的损失，甲方有权要求乙方补足（包括但不限于甲方为实现权利而支付的律师费、诉讼费、保全费和保全保险费等）。</w:t>
      </w:r>
    </w:p>
    <w:p w14:paraId="24CD2ADF">
      <w:pPr>
        <w:spacing w:line="360" w:lineRule="auto"/>
        <w:ind w:firstLine="480" w:firstLineChars="200"/>
        <w:rPr>
          <w:rFonts w:hint="eastAsia" w:ascii="华文中宋" w:hAnsi="华文中宋" w:eastAsia="华文中宋" w:cs="华文中宋"/>
          <w:color w:val="auto"/>
          <w:szCs w:val="21"/>
          <w:highlight w:val="none"/>
        </w:rPr>
      </w:pPr>
      <w:bookmarkStart w:id="88" w:name="bookmark11"/>
      <w:r>
        <w:rPr>
          <w:rFonts w:hint="eastAsia" w:ascii="华文中宋" w:hAnsi="华文中宋" w:eastAsia="华文中宋" w:cs="华文中宋"/>
          <w:color w:val="auto"/>
          <w:szCs w:val="21"/>
          <w:highlight w:val="none"/>
        </w:rPr>
        <w:t>4</w:t>
      </w:r>
      <w:bookmarkEnd w:id="88"/>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逾期交付货物时，每逾1日</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向</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偿付合同款总额（</w:t>
      </w:r>
      <w:r>
        <w:rPr>
          <w:rFonts w:hint="eastAsia" w:ascii="华文中宋" w:hAnsi="华文中宋" w:eastAsia="华文中宋" w:cs="华文中宋"/>
          <w:color w:val="auto"/>
          <w:spacing w:val="6"/>
          <w:szCs w:val="21"/>
          <w:highlight w:val="none"/>
          <w:lang w:val="en-US" w:eastAsia="zh-CN"/>
        </w:rPr>
        <w:t>0.02</w:t>
      </w:r>
      <w:r>
        <w:rPr>
          <w:rFonts w:hint="eastAsia" w:ascii="华文中宋" w:hAnsi="华文中宋" w:eastAsia="华文中宋" w:cs="华文中宋"/>
          <w:color w:val="auto"/>
          <w:szCs w:val="21"/>
          <w:highlight w:val="none"/>
        </w:rPr>
        <w:t>%）的</w:t>
      </w:r>
      <w:r>
        <w:rPr>
          <w:rFonts w:hint="eastAsia" w:ascii="华文中宋" w:hAnsi="华文中宋" w:eastAsia="华文中宋" w:cs="华文中宋"/>
          <w:color w:val="auto"/>
          <w:szCs w:val="21"/>
          <w:highlight w:val="none"/>
          <w:lang w:val="en-US" w:eastAsia="zh-CN"/>
        </w:rPr>
        <w:t>违约金</w:t>
      </w:r>
      <w:r>
        <w:rPr>
          <w:rFonts w:hint="eastAsia" w:ascii="华文中宋" w:hAnsi="华文中宋" w:eastAsia="华文中宋" w:cs="华文中宋"/>
          <w:color w:val="auto"/>
          <w:szCs w:val="21"/>
          <w:highlight w:val="none"/>
        </w:rPr>
        <w:t>。逾期交货超过30天后，</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有权决定是否继续履行合同。</w:t>
      </w:r>
      <w:r>
        <w:rPr>
          <w:rFonts w:hint="eastAsia" w:ascii="华文中宋" w:hAnsi="华文中宋" w:eastAsia="华文中宋" w:cs="华文中宋"/>
          <w:color w:val="auto"/>
          <w:szCs w:val="21"/>
          <w:highlight w:val="none"/>
          <w:lang w:val="en-US" w:eastAsia="zh-CN"/>
        </w:rPr>
        <w:t>若甲方选择继续履行合同，乙方应立即加快供货进度，逾期交货违约金继续按本条约定标准计算至货物实际交付之日止；若</w:t>
      </w:r>
      <w:r>
        <w:rPr>
          <w:rFonts w:hint="eastAsia" w:ascii="华文中宋" w:hAnsi="华文中宋" w:eastAsia="华文中宋" w:cs="华文中宋"/>
          <w:color w:val="auto"/>
          <w:szCs w:val="21"/>
          <w:highlight w:val="none"/>
        </w:rPr>
        <w:t>甲方</w:t>
      </w:r>
      <w:r>
        <w:rPr>
          <w:rFonts w:hint="eastAsia" w:ascii="华文中宋" w:hAnsi="华文中宋" w:eastAsia="华文中宋" w:cs="华文中宋"/>
          <w:color w:val="auto"/>
          <w:szCs w:val="21"/>
          <w:highlight w:val="none"/>
          <w:lang w:val="en-US" w:eastAsia="zh-CN"/>
        </w:rPr>
        <w:t>选择</w:t>
      </w:r>
      <w:r>
        <w:rPr>
          <w:rFonts w:hint="eastAsia" w:ascii="华文中宋" w:hAnsi="华文中宋" w:eastAsia="华文中宋" w:cs="华文中宋"/>
          <w:color w:val="auto"/>
          <w:szCs w:val="21"/>
          <w:highlight w:val="none"/>
        </w:rPr>
        <w:t>解除合同，乙方应向甲方支付合同款总额20%的违约金</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rPr>
        <w:t>违约金不足以补偿甲方因乙方违约造成的损失，甲方有权要求乙方补足（包括但不限于甲方为实现权利而支付的律师费、诉讼费、保全费和保全保险费等）。</w:t>
      </w:r>
    </w:p>
    <w:p w14:paraId="3B4E314D">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5</w:t>
      </w:r>
      <w:r>
        <w:rPr>
          <w:rFonts w:hint="eastAsia" w:ascii="华文中宋" w:hAnsi="华文中宋" w:eastAsia="华文中宋" w:cs="华文中宋"/>
          <w:color w:val="auto"/>
          <w:szCs w:val="21"/>
          <w:highlight w:val="none"/>
        </w:rPr>
        <w:t>.因</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错告或</w:t>
      </w:r>
      <w:r>
        <w:rPr>
          <w:rFonts w:hint="eastAsia" w:ascii="华文中宋" w:hAnsi="华文中宋" w:eastAsia="华文中宋" w:cs="华文中宋"/>
          <w:color w:val="auto"/>
          <w:szCs w:val="21"/>
          <w:highlight w:val="none"/>
          <w:lang w:val="en-US" w:eastAsia="zh-CN"/>
        </w:rPr>
        <w:t>未提前通知乙方</w:t>
      </w:r>
      <w:r>
        <w:rPr>
          <w:rFonts w:hint="eastAsia" w:ascii="华文中宋" w:hAnsi="华文中宋" w:eastAsia="华文中宋" w:cs="华文中宋"/>
          <w:color w:val="auto"/>
          <w:szCs w:val="21"/>
          <w:highlight w:val="none"/>
        </w:rPr>
        <w:t>变更到货地点而</w:t>
      </w:r>
      <w:r>
        <w:rPr>
          <w:rFonts w:hint="eastAsia" w:ascii="华文中宋" w:hAnsi="华文中宋" w:eastAsia="华文中宋" w:cs="华文中宋"/>
          <w:color w:val="auto"/>
          <w:szCs w:val="21"/>
          <w:highlight w:val="none"/>
          <w:lang w:val="en-US" w:eastAsia="zh-CN"/>
        </w:rPr>
        <w:t>给</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造成的损失，由</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负担。</w:t>
      </w:r>
    </w:p>
    <w:p w14:paraId="21875698">
      <w:pPr>
        <w:spacing w:line="360" w:lineRule="auto"/>
        <w:ind w:firstLine="48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s="华文中宋"/>
          <w:color w:val="auto"/>
          <w:szCs w:val="21"/>
          <w:highlight w:val="none"/>
        </w:rPr>
        <w:t>.因</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原因导致合同变更、中止或者终止的，</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应当对</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受到的</w:t>
      </w:r>
      <w:r>
        <w:rPr>
          <w:rFonts w:hint="eastAsia" w:ascii="华文中宋" w:hAnsi="华文中宋" w:eastAsia="华文中宋" w:cs="华文中宋"/>
          <w:color w:val="auto"/>
          <w:szCs w:val="21"/>
          <w:highlight w:val="none"/>
          <w:lang w:val="en-US" w:eastAsia="zh-CN"/>
        </w:rPr>
        <w:t>直接</w:t>
      </w:r>
      <w:r>
        <w:rPr>
          <w:rFonts w:hint="eastAsia" w:ascii="华文中宋" w:hAnsi="华文中宋" w:eastAsia="华文中宋" w:cs="华文中宋"/>
          <w:color w:val="auto"/>
          <w:szCs w:val="21"/>
          <w:highlight w:val="none"/>
        </w:rPr>
        <w:t>损失予以赔偿。</w:t>
      </w:r>
    </w:p>
    <w:p w14:paraId="701F9F4E">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十、不可抗力</w:t>
      </w:r>
    </w:p>
    <w:p w14:paraId="77D4626F">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甲乙</w:t>
      </w:r>
      <w:r>
        <w:rPr>
          <w:rFonts w:hint="eastAsia" w:ascii="华文中宋" w:hAnsi="华文中宋" w:eastAsia="华文中宋" w:cs="华文中宋"/>
          <w:color w:val="auto"/>
          <w:szCs w:val="21"/>
          <w:highlight w:val="none"/>
        </w:rPr>
        <w:t>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35780B96">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十</w:t>
      </w:r>
      <w:r>
        <w:rPr>
          <w:rFonts w:hint="eastAsia" w:ascii="华文中宋" w:hAnsi="华文中宋" w:eastAsia="华文中宋" w:cs="华文中宋"/>
          <w:b/>
          <w:color w:val="auto"/>
          <w:szCs w:val="21"/>
          <w:highlight w:val="none"/>
          <w:lang w:val="en-US" w:eastAsia="zh-CN"/>
        </w:rPr>
        <w:t>一</w:t>
      </w:r>
      <w:r>
        <w:rPr>
          <w:rFonts w:hint="eastAsia" w:ascii="华文中宋" w:hAnsi="华文中宋" w:eastAsia="华文中宋" w:cs="华文中宋"/>
          <w:b/>
          <w:color w:val="auto"/>
          <w:szCs w:val="21"/>
          <w:highlight w:val="none"/>
        </w:rPr>
        <w:t>、争议解决</w:t>
      </w:r>
    </w:p>
    <w:p w14:paraId="089C65D0">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甲乙</w:t>
      </w:r>
      <w:r>
        <w:rPr>
          <w:rFonts w:hint="eastAsia" w:ascii="华文中宋" w:hAnsi="华文中宋" w:eastAsia="华文中宋" w:cs="华文中宋"/>
          <w:color w:val="auto"/>
          <w:szCs w:val="21"/>
          <w:highlight w:val="none"/>
        </w:rPr>
        <w:t>双方在执行合同中发生争议，应通过协商解决。如协商不成，双方均可向</w:t>
      </w: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住所地有管辖权的人民法院提起诉讼。</w:t>
      </w:r>
    </w:p>
    <w:p w14:paraId="18BCF884">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十</w:t>
      </w:r>
      <w:r>
        <w:rPr>
          <w:rFonts w:hint="eastAsia" w:ascii="华文中宋" w:hAnsi="华文中宋" w:eastAsia="华文中宋" w:cs="华文中宋"/>
          <w:b/>
          <w:color w:val="auto"/>
          <w:szCs w:val="21"/>
          <w:highlight w:val="none"/>
          <w:lang w:val="en-US" w:eastAsia="zh-CN"/>
        </w:rPr>
        <w:t>二</w:t>
      </w:r>
      <w:r>
        <w:rPr>
          <w:rFonts w:hint="eastAsia" w:ascii="华文中宋" w:hAnsi="华文中宋" w:eastAsia="华文中宋" w:cs="华文中宋"/>
          <w:b/>
          <w:color w:val="auto"/>
          <w:szCs w:val="21"/>
          <w:highlight w:val="none"/>
        </w:rPr>
        <w:t>、合同生效及其他</w:t>
      </w:r>
    </w:p>
    <w:p w14:paraId="523709A7">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1.合同由</w:t>
      </w:r>
      <w:r>
        <w:rPr>
          <w:rFonts w:hint="eastAsia" w:ascii="华文中宋" w:hAnsi="华文中宋" w:eastAsia="华文中宋" w:cs="华文中宋"/>
          <w:color w:val="auto"/>
          <w:szCs w:val="21"/>
          <w:highlight w:val="none"/>
          <w:lang w:val="en-US" w:eastAsia="zh-CN"/>
        </w:rPr>
        <w:t>甲乙</w:t>
      </w:r>
      <w:r>
        <w:rPr>
          <w:rFonts w:hint="eastAsia" w:ascii="华文中宋" w:hAnsi="华文中宋" w:eastAsia="华文中宋" w:cs="华文中宋"/>
          <w:color w:val="auto"/>
          <w:szCs w:val="21"/>
          <w:highlight w:val="none"/>
        </w:rPr>
        <w:t>双方法定代表人或授权代表签字并加盖公章或合同专用章之日起生效。</w:t>
      </w:r>
    </w:p>
    <w:p w14:paraId="29A5D8A9">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2.本合同一式（</w:t>
      </w:r>
      <w:r>
        <w:rPr>
          <w:rFonts w:hint="eastAsia" w:ascii="华文中宋" w:hAnsi="华文中宋" w:eastAsia="华文中宋" w:cs="华文中宋"/>
          <w:color w:val="auto"/>
          <w:spacing w:val="6"/>
          <w:szCs w:val="21"/>
          <w:highlight w:val="none"/>
          <w:u w:val="single"/>
          <w:lang w:val="en-US" w:eastAsia="zh-CN"/>
        </w:rPr>
        <w:t>陆</w:t>
      </w:r>
      <w:r>
        <w:rPr>
          <w:rFonts w:hint="eastAsia" w:ascii="华文中宋" w:hAnsi="华文中宋" w:eastAsia="华文中宋" w:cs="华文中宋"/>
          <w:color w:val="auto"/>
          <w:szCs w:val="21"/>
          <w:highlight w:val="none"/>
        </w:rPr>
        <w:t>）份</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甲乙双方各执叁份，具有同等法律效力</w:t>
      </w:r>
      <w:r>
        <w:rPr>
          <w:rFonts w:hint="eastAsia" w:ascii="华文中宋" w:hAnsi="华文中宋" w:eastAsia="华文中宋" w:cs="华文中宋"/>
          <w:color w:val="auto"/>
          <w:szCs w:val="21"/>
          <w:highlight w:val="none"/>
        </w:rPr>
        <w:t>。</w:t>
      </w:r>
    </w:p>
    <w:p w14:paraId="1881B86E">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3.合同执行过程中出现的未尽事宜，双方在不违背合同和招标文件的前提下协商解决。协商结果以“纪要”形式供需双方签字盖章确认，作为合同附件，与合同具有同等效力。</w:t>
      </w:r>
    </w:p>
    <w:p w14:paraId="22A56EFF">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十</w:t>
      </w:r>
      <w:r>
        <w:rPr>
          <w:rFonts w:hint="eastAsia" w:ascii="华文中宋" w:hAnsi="华文中宋" w:eastAsia="华文中宋" w:cs="华文中宋"/>
          <w:b/>
          <w:color w:val="auto"/>
          <w:szCs w:val="21"/>
          <w:highlight w:val="none"/>
          <w:lang w:val="en-US" w:eastAsia="zh-CN"/>
        </w:rPr>
        <w:t>三</w:t>
      </w:r>
      <w:r>
        <w:rPr>
          <w:rFonts w:hint="eastAsia" w:ascii="华文中宋" w:hAnsi="华文中宋" w:eastAsia="华文中宋" w:cs="华文中宋"/>
          <w:b/>
          <w:color w:val="auto"/>
          <w:szCs w:val="21"/>
          <w:highlight w:val="none"/>
        </w:rPr>
        <w:t>、下列文件为本合同不可分割部分</w:t>
      </w:r>
    </w:p>
    <w:p w14:paraId="50698FA5">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1.招标文件（含澄清或修改文件）</w:t>
      </w:r>
    </w:p>
    <w:p w14:paraId="101E0632">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2.投标文件（含澄清或说明文件）</w:t>
      </w:r>
    </w:p>
    <w:p w14:paraId="53ADA460">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3.投标人所做的其他承诺</w:t>
      </w:r>
    </w:p>
    <w:p w14:paraId="67AD2B78">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4.项目验收标准、程序</w:t>
      </w:r>
    </w:p>
    <w:p w14:paraId="133B1A28">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hint="eastAsia" w:ascii="华文中宋" w:hAnsi="华文中宋" w:cs="华文中宋"/>
          <w:color w:val="auto"/>
          <w:szCs w:val="21"/>
          <w:highlight w:val="none"/>
          <w:lang w:val="en-US" w:eastAsia="zh-CN"/>
        </w:rPr>
      </w:pPr>
      <w:r>
        <w:rPr>
          <w:rFonts w:hint="eastAsia" w:ascii="华文中宋" w:hAnsi="华文中宋" w:cs="华文中宋"/>
          <w:color w:val="auto"/>
          <w:szCs w:val="21"/>
          <w:highlight w:val="none"/>
          <w:lang w:val="en-US" w:eastAsia="zh-CN"/>
        </w:rPr>
        <w:t>5.与医院签订技术协议、售后服务协议</w:t>
      </w:r>
    </w:p>
    <w:p w14:paraId="2E20F707">
      <w:pPr>
        <w:keepNext w:val="0"/>
        <w:keepLines w:val="0"/>
        <w:pageBreakBefore w:val="0"/>
        <w:widowControl w:val="0"/>
        <w:kinsoku/>
        <w:overflowPunct/>
        <w:topLinePunct w:val="0"/>
        <w:autoSpaceDE/>
        <w:autoSpaceDN/>
        <w:bidi w:val="0"/>
        <w:adjustRightInd/>
        <w:snapToGrid/>
        <w:spacing w:line="312" w:lineRule="auto"/>
        <w:ind w:left="0" w:leftChars="0" w:firstLine="0" w:firstLineChars="0"/>
        <w:textAlignment w:val="auto"/>
        <w:rPr>
          <w:rFonts w:hint="default" w:ascii="华文中宋" w:hAnsi="华文中宋" w:cs="华文中宋"/>
          <w:color w:val="auto"/>
          <w:szCs w:val="21"/>
          <w:highlight w:val="none"/>
          <w:lang w:val="en-US" w:eastAsia="zh-CN"/>
        </w:rPr>
      </w:pPr>
    </w:p>
    <w:p w14:paraId="379D96B2">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rPr>
      </w:pPr>
    </w:p>
    <w:p w14:paraId="17D3018A">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eastAsia="zh-CN"/>
        </w:rPr>
        <w:t>甲方</w:t>
      </w:r>
      <w:r>
        <w:rPr>
          <w:rFonts w:hint="eastAsia" w:ascii="华文中宋" w:hAnsi="华文中宋" w:eastAsia="华文中宋" w:cs="华文中宋"/>
          <w:color w:val="auto"/>
          <w:szCs w:val="21"/>
          <w:highlight w:val="none"/>
        </w:rPr>
        <w:t>(章):</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lang w:eastAsia="zh-CN"/>
        </w:rPr>
        <w:t>乙方</w:t>
      </w:r>
      <w:r>
        <w:rPr>
          <w:rFonts w:hint="eastAsia" w:ascii="华文中宋" w:hAnsi="华文中宋" w:eastAsia="华文中宋" w:cs="华文中宋"/>
          <w:color w:val="auto"/>
          <w:szCs w:val="21"/>
          <w:highlight w:val="none"/>
        </w:rPr>
        <w:t>(章)：</w:t>
      </w:r>
    </w:p>
    <w:p w14:paraId="37CD2B26">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法定代表人</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法定代表人:</w:t>
      </w:r>
    </w:p>
    <w:p w14:paraId="2AD20CEB">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授权代表: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授权代表:</w:t>
      </w:r>
    </w:p>
    <w:p w14:paraId="0EB1E3D9">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地址：</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地址：</w:t>
      </w:r>
    </w:p>
    <w:p w14:paraId="6B11573C">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电话：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电话：</w:t>
      </w:r>
    </w:p>
    <w:p w14:paraId="1FDFA470">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rPr>
        <w:t xml:space="preserve">开户银行: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开户银行:</w:t>
      </w:r>
      <w:r>
        <w:rPr>
          <w:rFonts w:hint="eastAsia" w:ascii="华文中宋" w:hAnsi="华文中宋" w:eastAsia="华文中宋" w:cs="华文中宋"/>
          <w:color w:val="auto"/>
          <w:szCs w:val="21"/>
          <w:highlight w:val="none"/>
          <w:lang w:val="en-US" w:eastAsia="zh-CN"/>
        </w:rPr>
        <w:t xml:space="preserve"> </w:t>
      </w:r>
    </w:p>
    <w:p w14:paraId="201BB1DE">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rPr>
        <w:t xml:space="preserve">账号：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账号：</w:t>
      </w:r>
      <w:r>
        <w:rPr>
          <w:rFonts w:hint="eastAsia" w:ascii="华文中宋" w:hAnsi="华文中宋" w:eastAsia="华文中宋" w:cs="华文中宋"/>
          <w:color w:val="auto"/>
          <w:szCs w:val="21"/>
          <w:highlight w:val="none"/>
          <w:lang w:val="en-US" w:eastAsia="zh-CN"/>
        </w:rPr>
        <w:t xml:space="preserve"> </w:t>
      </w:r>
    </w:p>
    <w:p w14:paraId="34BA69C5">
      <w:pPr>
        <w:keepNext w:val="0"/>
        <w:keepLines w:val="0"/>
        <w:pageBreakBefore w:val="0"/>
        <w:widowControl w:val="0"/>
        <w:kinsoku/>
        <w:overflowPunct/>
        <w:topLinePunct w:val="0"/>
        <w:autoSpaceDE/>
        <w:autoSpaceDN/>
        <w:bidi w:val="0"/>
        <w:adjustRightInd/>
        <w:snapToGrid/>
        <w:spacing w:line="312" w:lineRule="auto"/>
        <w:ind w:right="420"/>
        <w:textAlignment w:val="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本合同的签署地:</w:t>
      </w:r>
    </w:p>
    <w:p w14:paraId="2273E9F8">
      <w:pPr>
        <w:keepNext w:val="0"/>
        <w:keepLines w:val="0"/>
        <w:pageBreakBefore w:val="0"/>
        <w:widowControl w:val="0"/>
        <w:kinsoku/>
        <w:wordWrap w:val="0"/>
        <w:overflowPunct/>
        <w:topLinePunct w:val="0"/>
        <w:autoSpaceDE/>
        <w:autoSpaceDN/>
        <w:bidi w:val="0"/>
        <w:adjustRightInd/>
        <w:snapToGrid/>
        <w:spacing w:line="312" w:lineRule="auto"/>
        <w:ind w:right="315"/>
        <w:jc w:val="right"/>
        <w:textAlignment w:val="auto"/>
        <w:rPr>
          <w:rFonts w:hint="eastAsia" w:ascii="华文中宋" w:hAnsi="华文中宋" w:eastAsia="华文中宋" w:cs="华文中宋"/>
          <w:color w:val="auto"/>
          <w:szCs w:val="21"/>
          <w:highlight w:val="none"/>
        </w:rPr>
        <w:sectPr>
          <w:footerReference r:id="rId6" w:type="default"/>
          <w:pgSz w:w="11906" w:h="16838"/>
          <w:pgMar w:top="1304" w:right="1304" w:bottom="1304" w:left="1304" w:header="851" w:footer="992" w:gutter="0"/>
          <w:pgNumType w:fmt="decimal" w:start="1"/>
          <w:cols w:space="720" w:num="1"/>
          <w:docGrid w:type="lines" w:linePitch="312" w:charSpace="0"/>
        </w:sectPr>
      </w:pPr>
      <w:r>
        <w:rPr>
          <w:rFonts w:hint="eastAsia" w:ascii="华文中宋" w:hAnsi="华文中宋" w:eastAsia="华文中宋" w:cs="华文中宋"/>
          <w:color w:val="auto"/>
          <w:szCs w:val="21"/>
          <w:highlight w:val="none"/>
        </w:rPr>
        <w:t xml:space="preserve">日期：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年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月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日</w:t>
      </w:r>
    </w:p>
    <w:p w14:paraId="257C0ECA">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b/>
          <w:color w:val="auto"/>
          <w:sz w:val="28"/>
          <w:szCs w:val="28"/>
          <w:highlight w:val="none"/>
          <w:lang w:val="en-US" w:eastAsia="zh-CN"/>
        </w:rPr>
      </w:pPr>
      <w:r>
        <w:rPr>
          <w:rFonts w:hint="eastAsia" w:ascii="华文中宋" w:hAnsi="华文中宋" w:eastAsia="华文中宋" w:cs="华文中宋"/>
          <w:b/>
          <w:color w:val="auto"/>
          <w:sz w:val="28"/>
          <w:szCs w:val="28"/>
          <w:highlight w:val="none"/>
          <w:lang w:val="en-US" w:eastAsia="zh-CN"/>
        </w:rPr>
        <w:t>附件1</w:t>
      </w:r>
      <w:r>
        <w:rPr>
          <w:rFonts w:hint="eastAsia" w:ascii="华文中宋" w:hAnsi="华文中宋" w:eastAsia="华文中宋" w:cs="华文中宋"/>
          <w:b/>
          <w:color w:val="auto"/>
          <w:sz w:val="28"/>
          <w:szCs w:val="28"/>
          <w:highlight w:val="none"/>
          <w:lang w:eastAsia="zh-CN"/>
        </w:rPr>
        <w:t>：</w:t>
      </w:r>
      <w:r>
        <w:rPr>
          <w:rFonts w:hint="eastAsia" w:ascii="华文中宋" w:hAnsi="华文中宋" w:eastAsia="华文中宋" w:cs="华文中宋"/>
          <w:b/>
          <w:color w:val="auto"/>
          <w:sz w:val="28"/>
          <w:szCs w:val="28"/>
          <w:highlight w:val="none"/>
          <w:lang w:val="en-US" w:eastAsia="zh-CN"/>
        </w:rPr>
        <w:t>货物清单</w:t>
      </w:r>
    </w:p>
    <w:p w14:paraId="1FF6D4A0">
      <w:pPr>
        <w:wordWrap w:val="0"/>
        <w:spacing w:line="360" w:lineRule="auto"/>
        <w:ind w:right="315"/>
        <w:jc w:val="center"/>
        <w:outlineLvl w:val="0"/>
        <w:rPr>
          <w:rFonts w:hint="eastAsia" w:ascii="华文中宋" w:hAnsi="华文中宋" w:eastAsia="华文中宋" w:cs="华文中宋"/>
          <w:color w:val="auto"/>
          <w:szCs w:val="21"/>
          <w:highlight w:val="none"/>
        </w:rPr>
      </w:pPr>
      <w:bookmarkStart w:id="89" w:name="_Toc18674"/>
      <w:bookmarkStart w:id="90" w:name="_Toc30882"/>
      <w:r>
        <w:rPr>
          <w:rFonts w:hint="eastAsia" w:ascii="华文中宋" w:hAnsi="华文中宋" w:eastAsia="华文中宋" w:cs="华文中宋"/>
          <w:b/>
          <w:color w:val="auto"/>
          <w:spacing w:val="20"/>
          <w:kern w:val="44"/>
          <w:sz w:val="28"/>
          <w:szCs w:val="28"/>
          <w:highlight w:val="none"/>
        </w:rPr>
        <w:t>货物</w:t>
      </w:r>
      <w:r>
        <w:rPr>
          <w:rFonts w:hint="eastAsia" w:ascii="华文中宋" w:hAnsi="华文中宋" w:eastAsia="华文中宋" w:cs="华文中宋"/>
          <w:b/>
          <w:color w:val="auto"/>
          <w:spacing w:val="20"/>
          <w:kern w:val="44"/>
          <w:sz w:val="28"/>
          <w:szCs w:val="28"/>
          <w:highlight w:val="none"/>
          <w:lang w:val="en-US" w:eastAsia="zh-CN"/>
        </w:rPr>
        <w:t>清单</w:t>
      </w:r>
      <w:bookmarkEnd w:id="89"/>
      <w:bookmarkEnd w:id="90"/>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03"/>
        <w:gridCol w:w="1133"/>
        <w:gridCol w:w="1400"/>
        <w:gridCol w:w="1622"/>
        <w:gridCol w:w="756"/>
        <w:gridCol w:w="1400"/>
        <w:gridCol w:w="1466"/>
        <w:gridCol w:w="2067"/>
        <w:gridCol w:w="2440"/>
      </w:tblGrid>
      <w:tr w14:paraId="31CA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1" w:type="dxa"/>
            <w:noWrap w:val="0"/>
            <w:vAlign w:val="center"/>
          </w:tcPr>
          <w:p w14:paraId="654C598E">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序号</w:t>
            </w:r>
          </w:p>
        </w:tc>
        <w:tc>
          <w:tcPr>
            <w:tcW w:w="1403" w:type="dxa"/>
            <w:noWrap w:val="0"/>
            <w:vAlign w:val="center"/>
          </w:tcPr>
          <w:p w14:paraId="175F2018">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货物名称</w:t>
            </w:r>
          </w:p>
        </w:tc>
        <w:tc>
          <w:tcPr>
            <w:tcW w:w="1133" w:type="dxa"/>
            <w:noWrap w:val="0"/>
            <w:vAlign w:val="center"/>
          </w:tcPr>
          <w:p w14:paraId="63D061D1">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品牌</w:t>
            </w:r>
          </w:p>
        </w:tc>
        <w:tc>
          <w:tcPr>
            <w:tcW w:w="1400" w:type="dxa"/>
            <w:tcBorders>
              <w:bottom w:val="single" w:color="auto" w:sz="4" w:space="0"/>
            </w:tcBorders>
            <w:noWrap w:val="0"/>
            <w:vAlign w:val="center"/>
          </w:tcPr>
          <w:p w14:paraId="485056CA">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规格型号</w:t>
            </w:r>
          </w:p>
        </w:tc>
        <w:tc>
          <w:tcPr>
            <w:tcW w:w="1622" w:type="dxa"/>
            <w:tcBorders>
              <w:bottom w:val="single" w:color="auto" w:sz="4" w:space="0"/>
            </w:tcBorders>
            <w:noWrap w:val="0"/>
            <w:vAlign w:val="center"/>
          </w:tcPr>
          <w:p w14:paraId="236644F6">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产地及厂家</w:t>
            </w:r>
          </w:p>
        </w:tc>
        <w:tc>
          <w:tcPr>
            <w:tcW w:w="756" w:type="dxa"/>
            <w:tcBorders>
              <w:bottom w:val="single" w:color="auto" w:sz="4" w:space="0"/>
            </w:tcBorders>
            <w:noWrap w:val="0"/>
            <w:vAlign w:val="center"/>
          </w:tcPr>
          <w:p w14:paraId="4C319588">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数量</w:t>
            </w:r>
          </w:p>
        </w:tc>
        <w:tc>
          <w:tcPr>
            <w:tcW w:w="1400" w:type="dxa"/>
            <w:tcBorders>
              <w:bottom w:val="single" w:color="auto" w:sz="4" w:space="0"/>
            </w:tcBorders>
            <w:noWrap w:val="0"/>
            <w:vAlign w:val="center"/>
          </w:tcPr>
          <w:p w14:paraId="1905ECDC">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单价</w:t>
            </w:r>
          </w:p>
        </w:tc>
        <w:tc>
          <w:tcPr>
            <w:tcW w:w="1466" w:type="dxa"/>
            <w:tcBorders>
              <w:bottom w:val="single" w:color="auto" w:sz="4" w:space="0"/>
            </w:tcBorders>
            <w:noWrap w:val="0"/>
            <w:vAlign w:val="center"/>
          </w:tcPr>
          <w:p w14:paraId="550FB848">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合价</w:t>
            </w:r>
          </w:p>
        </w:tc>
        <w:tc>
          <w:tcPr>
            <w:tcW w:w="2067" w:type="dxa"/>
            <w:tcBorders>
              <w:bottom w:val="single" w:color="auto" w:sz="4" w:space="0"/>
            </w:tcBorders>
            <w:noWrap w:val="0"/>
            <w:vAlign w:val="center"/>
          </w:tcPr>
          <w:p w14:paraId="1634230A">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eastAsia="zh-CN"/>
              </w:rPr>
              <w:t>合同履行期限</w:t>
            </w:r>
            <w:r>
              <w:rPr>
                <w:rFonts w:hint="eastAsia" w:ascii="华文中宋" w:hAnsi="华文中宋" w:eastAsia="华文中宋" w:cs="华文中宋"/>
                <w:color w:val="auto"/>
                <w:szCs w:val="21"/>
                <w:highlight w:val="none"/>
              </w:rPr>
              <w:t>限</w:t>
            </w:r>
          </w:p>
        </w:tc>
        <w:tc>
          <w:tcPr>
            <w:tcW w:w="2440" w:type="dxa"/>
            <w:tcBorders>
              <w:bottom w:val="single" w:color="auto" w:sz="4" w:space="0"/>
            </w:tcBorders>
            <w:noWrap w:val="0"/>
            <w:vAlign w:val="center"/>
          </w:tcPr>
          <w:p w14:paraId="6476AA8B">
            <w:pPr>
              <w:keepNext w:val="0"/>
              <w:keepLines w:val="0"/>
              <w:pageBreakBefore w:val="0"/>
              <w:widowControl w:val="0"/>
              <w:kinsoku/>
              <w:overflowPunct/>
              <w:topLinePunct w:val="0"/>
              <w:autoSpaceDE/>
              <w:autoSpaceDN/>
              <w:bidi w:val="0"/>
              <w:adjustRightInd/>
              <w:snapToGrid/>
              <w:spacing w:line="312" w:lineRule="auto"/>
              <w:ind w:left="0" w:leftChars="0" w:firstLine="0" w:firstLineChars="0"/>
              <w:textAlignment w:val="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备注</w:t>
            </w:r>
          </w:p>
        </w:tc>
      </w:tr>
      <w:tr w14:paraId="4D4B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7886565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2A0D515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615B116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46373BB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3808CB6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721D54EE">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526CDCA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1D3C0B4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7A05795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753710B2">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6B74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0393E24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2484BEB3">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6FF9FD3A">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7B461D7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380B08C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04AAF56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7006710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45CC85D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4D11B36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5792F893">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74CD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4CE2D7E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08DD96F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73E5AAF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11CC7B1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61D2806C">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5184841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16FB838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5AD1CB1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6AF494F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54CCEA2D">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6F1B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3C2A329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553F9B63">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7D6646D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466D96A3">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00BA525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6FED0810">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0603797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08F39790">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349F576A">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58CFD1A4">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592D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5DC7D57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59456F0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260DA8F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0139D04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6018E13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2FF4D1A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6F21EFAC">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6772BD7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41555D8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774F4F9B">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0EF2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1561822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6DBA3CC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439661A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56CD66F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7CA06C0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3DD29D6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5128176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06763EB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31CED48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50F40B76">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426B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393D6C2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6B65992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38F8544A">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13F81F8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0778C35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4D17AEF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05844D8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043FACB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459F2A1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7CD501E5">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r w14:paraId="4277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44363A1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3" w:type="dxa"/>
            <w:noWrap w:val="0"/>
            <w:vAlign w:val="center"/>
          </w:tcPr>
          <w:p w14:paraId="65E370C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133" w:type="dxa"/>
            <w:noWrap w:val="0"/>
            <w:vAlign w:val="center"/>
          </w:tcPr>
          <w:p w14:paraId="40BFEEF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bottom w:val="single" w:color="auto" w:sz="4" w:space="0"/>
            </w:tcBorders>
            <w:noWrap w:val="0"/>
            <w:vAlign w:val="center"/>
          </w:tcPr>
          <w:p w14:paraId="7F65707C">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622" w:type="dxa"/>
            <w:tcBorders>
              <w:top w:val="single" w:color="auto" w:sz="4" w:space="0"/>
              <w:bottom w:val="single" w:color="auto" w:sz="4" w:space="0"/>
            </w:tcBorders>
            <w:noWrap w:val="0"/>
            <w:vAlign w:val="center"/>
          </w:tcPr>
          <w:p w14:paraId="70D0741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756" w:type="dxa"/>
            <w:tcBorders>
              <w:top w:val="single" w:color="auto" w:sz="4" w:space="0"/>
            </w:tcBorders>
            <w:noWrap w:val="0"/>
            <w:vAlign w:val="center"/>
          </w:tcPr>
          <w:p w14:paraId="2DB6A16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00" w:type="dxa"/>
            <w:tcBorders>
              <w:top w:val="single" w:color="auto" w:sz="4" w:space="0"/>
            </w:tcBorders>
            <w:noWrap w:val="0"/>
            <w:vAlign w:val="center"/>
          </w:tcPr>
          <w:p w14:paraId="62E42FC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1466" w:type="dxa"/>
            <w:tcBorders>
              <w:top w:val="single" w:color="auto" w:sz="4" w:space="0"/>
            </w:tcBorders>
            <w:noWrap w:val="0"/>
            <w:vAlign w:val="center"/>
          </w:tcPr>
          <w:p w14:paraId="23BF263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067" w:type="dxa"/>
            <w:tcBorders>
              <w:top w:val="single" w:color="auto" w:sz="4" w:space="0"/>
            </w:tcBorders>
            <w:noWrap w:val="0"/>
            <w:vAlign w:val="center"/>
          </w:tcPr>
          <w:p w14:paraId="6098352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华文中宋"/>
                <w:color w:val="auto"/>
                <w:szCs w:val="21"/>
                <w:highlight w:val="none"/>
                <w:lang w:val="en-US" w:eastAsia="zh-CN"/>
              </w:rPr>
            </w:pPr>
          </w:p>
        </w:tc>
        <w:tc>
          <w:tcPr>
            <w:tcW w:w="2440" w:type="dxa"/>
            <w:tcBorders>
              <w:top w:val="single" w:color="auto" w:sz="4" w:space="0"/>
            </w:tcBorders>
            <w:noWrap w:val="0"/>
            <w:vAlign w:val="center"/>
          </w:tcPr>
          <w:p w14:paraId="487D2AC1">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color w:val="auto"/>
                <w:szCs w:val="21"/>
                <w:highlight w:val="none"/>
                <w:lang w:val="en-US" w:eastAsia="zh-CN"/>
              </w:rPr>
            </w:pPr>
          </w:p>
        </w:tc>
      </w:tr>
    </w:tbl>
    <w:p w14:paraId="2050AD0C">
      <w:pPr>
        <w:keepNext w:val="0"/>
        <w:keepLines w:val="0"/>
        <w:pageBreakBefore w:val="0"/>
        <w:widowControl w:val="0"/>
        <w:kinsoku/>
        <w:wordWrap w:val="0"/>
        <w:overflowPunct/>
        <w:topLinePunct w:val="0"/>
        <w:autoSpaceDE/>
        <w:autoSpaceDN/>
        <w:bidi w:val="0"/>
        <w:adjustRightInd/>
        <w:snapToGrid/>
        <w:spacing w:line="312" w:lineRule="auto"/>
        <w:ind w:right="315"/>
        <w:jc w:val="both"/>
        <w:textAlignment w:val="auto"/>
        <w:rPr>
          <w:rFonts w:hint="eastAsia" w:ascii="华文中宋" w:hAnsi="华文中宋" w:eastAsia="华文中宋" w:cs="华文中宋"/>
          <w:color w:val="auto"/>
          <w:szCs w:val="21"/>
          <w:highlight w:val="none"/>
        </w:rPr>
        <w:sectPr>
          <w:pgSz w:w="16838" w:h="11906" w:orient="landscape"/>
          <w:pgMar w:top="1304" w:right="1304" w:bottom="1304" w:left="1304" w:header="851" w:footer="992" w:gutter="0"/>
          <w:pgNumType w:fmt="decimal"/>
          <w:cols w:space="720" w:num="1"/>
          <w:docGrid w:type="lines" w:linePitch="312" w:charSpace="0"/>
        </w:sectPr>
      </w:pPr>
    </w:p>
    <w:p w14:paraId="6B700158">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华文中宋"/>
          <w:b/>
          <w:color w:val="auto"/>
          <w:sz w:val="28"/>
          <w:szCs w:val="28"/>
          <w:highlight w:val="none"/>
          <w:lang w:val="en-US" w:eastAsia="zh-CN"/>
        </w:rPr>
      </w:pPr>
      <w:r>
        <w:rPr>
          <w:rFonts w:hint="eastAsia" w:ascii="华文中宋" w:hAnsi="华文中宋" w:eastAsia="华文中宋" w:cs="华文中宋"/>
          <w:b/>
          <w:color w:val="auto"/>
          <w:sz w:val="28"/>
          <w:szCs w:val="28"/>
          <w:highlight w:val="none"/>
          <w:lang w:val="en-US" w:eastAsia="zh-CN"/>
        </w:rPr>
        <w:t>附件2:技术参数</w:t>
      </w:r>
    </w:p>
    <w:p w14:paraId="4B823000">
      <w:pPr>
        <w:rPr>
          <w:rFonts w:hint="eastAsia" w:ascii="华文中宋" w:hAnsi="华文中宋" w:eastAsia="华文中宋" w:cs="华文中宋"/>
          <w:color w:val="auto"/>
          <w:highlight w:val="none"/>
        </w:rPr>
      </w:pPr>
    </w:p>
    <w:p w14:paraId="0D6E544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（此范本仅做参考，以实际签订合同为</w:t>
      </w:r>
      <w:r>
        <w:rPr>
          <w:rFonts w:hint="eastAsia" w:ascii="华文中宋" w:hAnsi="华文中宋" w:eastAsia="华文中宋" w:cs="华文中宋"/>
          <w:color w:val="auto"/>
          <w:highlight w:val="none"/>
          <w:lang w:val="en-US" w:eastAsia="zh-CN"/>
        </w:rPr>
        <w:t>准</w:t>
      </w:r>
      <w:r>
        <w:rPr>
          <w:rFonts w:hint="eastAsia" w:ascii="华文中宋" w:hAnsi="华文中宋" w:eastAsia="华文中宋" w:cs="华文中宋"/>
          <w:color w:val="auto"/>
          <w:highlight w:val="none"/>
        </w:rPr>
        <w:t>）</w:t>
      </w:r>
    </w:p>
    <w:p w14:paraId="5CA37CDC">
      <w:pPr>
        <w:rPr>
          <w:rFonts w:hint="eastAsia" w:ascii="华文中宋" w:hAnsi="华文中宋" w:eastAsia="华文中宋" w:cs="华文中宋"/>
          <w:color w:val="auto"/>
          <w:highlight w:val="none"/>
        </w:rPr>
      </w:pPr>
    </w:p>
    <w:p w14:paraId="20C7556A">
      <w:pPr>
        <w:rPr>
          <w:rFonts w:hint="eastAsia" w:ascii="华文中宋" w:hAnsi="华文中宋" w:eastAsia="华文中宋" w:cs="华文中宋"/>
          <w:color w:val="auto"/>
          <w:highlight w:val="none"/>
        </w:rPr>
      </w:pPr>
    </w:p>
    <w:p w14:paraId="717B9ED3">
      <w:pPr>
        <w:rPr>
          <w:rFonts w:hint="eastAsia" w:ascii="华文中宋" w:hAnsi="华文中宋" w:eastAsia="华文中宋" w:cs="华文中宋"/>
          <w:color w:val="auto"/>
          <w:highlight w:val="none"/>
        </w:rPr>
      </w:pPr>
    </w:p>
    <w:p w14:paraId="7C43F3B9">
      <w:pPr>
        <w:rPr>
          <w:rFonts w:hint="eastAsia" w:ascii="华文中宋" w:hAnsi="华文中宋" w:eastAsia="华文中宋" w:cs="华文中宋"/>
          <w:color w:val="auto"/>
          <w:highlight w:val="none"/>
        </w:rPr>
      </w:pPr>
    </w:p>
    <w:p w14:paraId="03AEA752">
      <w:pPr>
        <w:rPr>
          <w:rFonts w:hint="eastAsia" w:ascii="华文中宋" w:hAnsi="华文中宋" w:eastAsia="华文中宋" w:cs="华文中宋"/>
          <w:color w:val="auto"/>
          <w:highlight w:val="none"/>
        </w:rPr>
      </w:pPr>
      <w:bookmarkStart w:id="91" w:name="_Toc4492"/>
      <w:bookmarkStart w:id="92" w:name="_Toc91694433"/>
      <w:r>
        <w:rPr>
          <w:rFonts w:hint="eastAsia" w:ascii="华文中宋" w:hAnsi="华文中宋" w:eastAsia="华文中宋" w:cs="华文中宋"/>
          <w:color w:val="auto"/>
          <w:highlight w:val="none"/>
        </w:rPr>
        <w:br w:type="page"/>
      </w:r>
    </w:p>
    <w:p w14:paraId="06F9DAB1">
      <w:pPr>
        <w:pStyle w:val="2"/>
        <w:bidi w:val="0"/>
        <w:rPr>
          <w:rFonts w:hint="eastAsia" w:ascii="华文中宋" w:hAnsi="华文中宋" w:eastAsia="华文中宋" w:cs="华文中宋"/>
          <w:color w:val="auto"/>
          <w:highlight w:val="none"/>
        </w:rPr>
      </w:pPr>
      <w:bookmarkStart w:id="93" w:name="_Toc18935"/>
      <w:r>
        <w:rPr>
          <w:rFonts w:hint="eastAsia" w:ascii="华文中宋" w:hAnsi="华文中宋" w:eastAsia="华文中宋" w:cs="华文中宋"/>
          <w:color w:val="auto"/>
          <w:highlight w:val="none"/>
        </w:rPr>
        <w:t>第八部分  投标文件内容要求及格式</w:t>
      </w:r>
      <w:bookmarkEnd w:id="91"/>
      <w:bookmarkEnd w:id="92"/>
      <w:bookmarkEnd w:id="93"/>
    </w:p>
    <w:p w14:paraId="3A4778D1">
      <w:pPr>
        <w:rPr>
          <w:rFonts w:hint="eastAsia" w:ascii="华文中宋" w:hAnsi="华文中宋" w:eastAsia="华文中宋" w:cs="华文中宋"/>
          <w:color w:val="auto"/>
          <w:highlight w:val="none"/>
        </w:rPr>
      </w:pPr>
      <w:bookmarkStart w:id="94" w:name="_Toc175644062"/>
      <w:bookmarkStart w:id="95" w:name="_Toc326248014"/>
      <w:bookmarkStart w:id="96" w:name="_Toc86202633"/>
    </w:p>
    <w:p w14:paraId="62F2AC7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投标人提交投标文件须知</w:t>
      </w:r>
      <w:bookmarkEnd w:id="94"/>
      <w:bookmarkEnd w:id="95"/>
      <w:bookmarkEnd w:id="96"/>
    </w:p>
    <w:p w14:paraId="12CF101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投标人按照本部分编排投标文件（资格证明文件、商务技术文件），编排中涉及格式资料的，应按照本部分提供的内容和格式（所有表格的格式可扩展）填写提交。</w:t>
      </w:r>
    </w:p>
    <w:p w14:paraId="2CA951C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全部声明和问题的回答及所附材料必须是真实的、准确的和完整的。</w:t>
      </w:r>
    </w:p>
    <w:p w14:paraId="76B2BF5D">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3. 按招标文件要求“格式”提供的材料，如有调整，内容及签署必须完整、有效</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但不作为否决条件。</w:t>
      </w:r>
    </w:p>
    <w:p w14:paraId="3B8A09A7">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4.投标文件不涉及的内容，可填“/”</w:t>
      </w:r>
    </w:p>
    <w:p w14:paraId="426459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32494D21">
      <w:pPr>
        <w:adjustRightInd/>
        <w:snapToGrid/>
        <w:spacing w:after="0" w:line="240" w:lineRule="auto"/>
        <w:outlineLvl w:val="9"/>
        <w:rPr>
          <w:rFonts w:hint="eastAsia"/>
          <w:color w:val="auto"/>
          <w:highlight w:val="none"/>
        </w:rPr>
      </w:pPr>
    </w:p>
    <w:p w14:paraId="664AD1CF">
      <w:pPr>
        <w:adjustRightInd w:val="0"/>
        <w:snapToGrid w:val="0"/>
        <w:spacing w:after="0" w:line="240" w:lineRule="auto"/>
        <w:outlineLvl w:val="2"/>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 xml:space="preserve"> 投标文件（资格审查部分）封面（封皮）格式</w:t>
      </w:r>
    </w:p>
    <w:p w14:paraId="653B5067">
      <w:pPr>
        <w:adjustRightInd w:val="0"/>
        <w:snapToGrid w:val="0"/>
        <w:spacing w:after="0" w:line="240" w:lineRule="auto"/>
        <w:rPr>
          <w:rFonts w:hint="eastAsia" w:ascii="华文中宋" w:hAnsi="华文中宋" w:eastAsia="华文中宋" w:cs="华文中宋"/>
          <w:b/>
          <w:color w:val="auto"/>
          <w:sz w:val="21"/>
          <w:szCs w:val="21"/>
          <w:highlight w:val="none"/>
        </w:rPr>
      </w:pPr>
    </w:p>
    <w:p w14:paraId="1881AC0C">
      <w:pPr>
        <w:adjustRightInd/>
        <w:snapToGrid/>
        <w:spacing w:after="0" w:line="240" w:lineRule="auto"/>
        <w:outlineLvl w:val="9"/>
        <w:rPr>
          <w:rFonts w:hint="eastAsia"/>
          <w:color w:val="auto"/>
          <w:highlight w:val="none"/>
        </w:rPr>
      </w:pPr>
    </w:p>
    <w:p w14:paraId="661913C2">
      <w:pPr>
        <w:adjustRightInd/>
        <w:snapToGrid/>
        <w:spacing w:after="0" w:line="240" w:lineRule="auto"/>
        <w:rPr>
          <w:rFonts w:hint="eastAsia" w:ascii="华文中宋" w:hAnsi="华文中宋" w:eastAsia="华文中宋" w:cs="华文中宋"/>
          <w:b/>
          <w:color w:val="auto"/>
          <w:sz w:val="28"/>
          <w:szCs w:val="28"/>
          <w:highlight w:val="none"/>
          <w:bdr w:val="single" w:color="auto" w:sz="4" w:space="0"/>
        </w:rPr>
      </w:pPr>
      <w:r>
        <w:rPr>
          <w:rFonts w:hint="eastAsia" w:ascii="华文中宋" w:hAnsi="华文中宋" w:eastAsia="华文中宋" w:cs="华文中宋"/>
          <w:b/>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4057015</wp:posOffset>
                </wp:positionH>
                <wp:positionV relativeFrom="paragraph">
                  <wp:posOffset>-97155</wp:posOffset>
                </wp:positionV>
                <wp:extent cx="1361440" cy="424180"/>
                <wp:effectExtent l="4445" t="5080" r="5715" b="15240"/>
                <wp:wrapNone/>
                <wp:docPr id="2" name="矩形 2"/>
                <wp:cNvGraphicFramePr/>
                <a:graphic xmlns:a="http://schemas.openxmlformats.org/drawingml/2006/main">
                  <a:graphicData uri="http://schemas.microsoft.com/office/word/2010/wordprocessingShape">
                    <wps:wsp>
                      <wps:cNvSpPr/>
                      <wps:spPr>
                        <a:xfrm>
                          <a:off x="0" y="0"/>
                          <a:ext cx="1361440" cy="424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1CE53B">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w:t>
                            </w:r>
                            <w:r>
                              <w:rPr>
                                <w:rFonts w:hint="eastAsia" w:ascii="仿宋" w:hAnsi="仿宋" w:eastAsia="仿宋"/>
                                <w:b/>
                                <w:sz w:val="28"/>
                                <w:szCs w:val="28"/>
                                <w:lang w:val="en-US" w:eastAsia="zh-CN"/>
                              </w:rPr>
                              <w:t>副本</w:t>
                            </w:r>
                          </w:p>
                        </w:txbxContent>
                      </wps:txbx>
                      <wps:bodyPr upright="1"/>
                    </wps:wsp>
                  </a:graphicData>
                </a:graphic>
              </wp:anchor>
            </w:drawing>
          </mc:Choice>
          <mc:Fallback>
            <w:pict>
              <v:rect id="_x0000_s1026" o:spid="_x0000_s1026" o:spt="1" style="position:absolute;left:0pt;margin-left:319.45pt;margin-top:-7.65pt;height:33.4pt;width:107.2pt;z-index:251666432;mso-width-relative:page;mso-height-relative:page;" fillcolor="#FFFFFF" filled="t" stroked="t" coordsize="21600,21600" o:gfxdata="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O2QedkAAAAKAQAADwAAAAAAAAABACAAAAAiAAAAZHJz&#10;L2Rvd25yZXYueG1sUEsBAhQAFAAAAAgAh07iQOxdYFIDAgAAKQQAAA4AAAAAAAAAAQAgAAAAKAEA&#10;AGRycy9lMm9Eb2MueG1sUEsFBgAAAAAGAAYAWQEAAJ0FAAAAAA==&#10;">
                <v:fill on="t" focussize="0,0"/>
                <v:stroke color="#000000" joinstyle="miter"/>
                <v:imagedata o:title=""/>
                <o:lock v:ext="edit" aspectratio="f"/>
                <v:textbox>
                  <w:txbxContent>
                    <w:p w14:paraId="511CE53B">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w:t>
                      </w:r>
                      <w:r>
                        <w:rPr>
                          <w:rFonts w:hint="eastAsia" w:ascii="仿宋" w:hAnsi="仿宋" w:eastAsia="仿宋"/>
                          <w:b/>
                          <w:sz w:val="28"/>
                          <w:szCs w:val="28"/>
                          <w:lang w:val="en-US" w:eastAsia="zh-CN"/>
                        </w:rPr>
                        <w:t>副本</w:t>
                      </w:r>
                    </w:p>
                  </w:txbxContent>
                </v:textbox>
              </v:rect>
            </w:pict>
          </mc:Fallback>
        </mc:AlternateContent>
      </w:r>
      <w:r>
        <w:rPr>
          <w:rFonts w:hint="eastAsia" w:ascii="华文中宋" w:hAnsi="华文中宋" w:eastAsia="华文中宋" w:cs="华文中宋"/>
          <w:b/>
          <w:color w:val="auto"/>
          <w:sz w:val="28"/>
          <w:szCs w:val="28"/>
          <w:highlight w:val="none"/>
        </w:rPr>
        <w:t xml:space="preserve">           </w:t>
      </w:r>
      <w:r>
        <w:rPr>
          <w:rFonts w:hint="eastAsia" w:ascii="华文中宋" w:hAnsi="华文中宋" w:eastAsia="华文中宋" w:cs="华文中宋"/>
          <w:b/>
          <w:color w:val="auto"/>
          <w:sz w:val="28"/>
          <w:szCs w:val="28"/>
          <w:highlight w:val="none"/>
          <w:bdr w:val="single" w:color="auto" w:sz="4" w:space="0"/>
        </w:rPr>
        <w:t xml:space="preserve">                                </w:t>
      </w:r>
    </w:p>
    <w:p w14:paraId="302A1594">
      <w:pPr>
        <w:adjustRightInd w:val="0"/>
        <w:snapToGrid w:val="0"/>
        <w:spacing w:after="0" w:line="240" w:lineRule="auto"/>
        <w:jc w:val="center"/>
        <w:rPr>
          <w:rFonts w:hint="eastAsia" w:ascii="华文中宋" w:hAnsi="华文中宋" w:eastAsia="华文中宋" w:cs="华文中宋"/>
          <w:b/>
          <w:color w:val="auto"/>
          <w:spacing w:val="78"/>
          <w:sz w:val="30"/>
          <w:szCs w:val="30"/>
          <w:highlight w:val="none"/>
        </w:rPr>
      </w:pPr>
    </w:p>
    <w:p w14:paraId="35346B4D">
      <w:pPr>
        <w:adjustRightInd w:val="0"/>
        <w:snapToGrid w:val="0"/>
        <w:spacing w:after="0" w:line="240" w:lineRule="auto"/>
        <w:jc w:val="both"/>
        <w:rPr>
          <w:rFonts w:hint="eastAsia" w:ascii="华文中宋" w:hAnsi="华文中宋" w:eastAsia="华文中宋" w:cs="华文中宋"/>
          <w:b/>
          <w:color w:val="auto"/>
          <w:spacing w:val="78"/>
          <w:sz w:val="52"/>
          <w:szCs w:val="52"/>
          <w:highlight w:val="none"/>
        </w:rPr>
      </w:pPr>
      <w:r>
        <w:rPr>
          <w:rFonts w:hint="eastAsia" w:ascii="华文中宋" w:hAnsi="华文中宋" w:eastAsia="华文中宋" w:cs="华文中宋"/>
          <w:b/>
          <w:color w:val="auto"/>
          <w:spacing w:val="78"/>
          <w:sz w:val="90"/>
          <w:szCs w:val="90"/>
          <w:highlight w:val="none"/>
        </w:rPr>
        <w:t>投 标 文 件</w:t>
      </w:r>
    </w:p>
    <w:p w14:paraId="373A9EDD">
      <w:pPr>
        <w:adjustRightInd w:val="0"/>
        <w:snapToGrid w:val="0"/>
        <w:spacing w:after="0" w:line="240" w:lineRule="auto"/>
        <w:jc w:val="center"/>
        <w:rPr>
          <w:rFonts w:hint="eastAsia" w:ascii="华文中宋" w:hAnsi="华文中宋" w:eastAsia="华文中宋" w:cs="华文中宋"/>
          <w:b/>
          <w:color w:val="auto"/>
          <w:sz w:val="52"/>
          <w:szCs w:val="52"/>
          <w:highlight w:val="none"/>
        </w:rPr>
      </w:pPr>
    </w:p>
    <w:p w14:paraId="470B8F31">
      <w:pPr>
        <w:adjustRightInd w:val="0"/>
        <w:snapToGrid w:val="0"/>
        <w:spacing w:after="0" w:line="240" w:lineRule="auto"/>
        <w:jc w:val="center"/>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（资格审查部分）</w:t>
      </w:r>
    </w:p>
    <w:p w14:paraId="416784C6">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4A03490B">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352AA01B">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792F52A4">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r>
        <w:rPr>
          <w:rFonts w:hint="eastAsia" w:ascii="华文中宋" w:hAnsi="华文中宋" w:eastAsia="华文中宋" w:cs="华文中宋"/>
          <w:b/>
          <w:color w:val="auto"/>
          <w:sz w:val="36"/>
          <w:szCs w:val="36"/>
          <w:highlight w:val="none"/>
        </w:rPr>
        <w:t>项目编号：</w:t>
      </w:r>
      <w:r>
        <w:rPr>
          <w:rFonts w:hint="eastAsia" w:ascii="华文中宋" w:hAnsi="华文中宋" w:eastAsia="华文中宋" w:cs="华文中宋"/>
          <w:b/>
          <w:color w:val="auto"/>
          <w:sz w:val="36"/>
          <w:szCs w:val="36"/>
          <w:highlight w:val="none"/>
          <w:u w:val="single"/>
        </w:rPr>
        <w:t xml:space="preserve">                            </w:t>
      </w:r>
    </w:p>
    <w:p w14:paraId="3CD31D50">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p>
    <w:p w14:paraId="26B00050">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项目名称：</w:t>
      </w:r>
      <w:r>
        <w:rPr>
          <w:rFonts w:hint="eastAsia" w:ascii="华文中宋" w:hAnsi="华文中宋" w:eastAsia="华文中宋" w:cs="华文中宋"/>
          <w:b/>
          <w:color w:val="auto"/>
          <w:sz w:val="36"/>
          <w:szCs w:val="36"/>
          <w:highlight w:val="none"/>
          <w:u w:val="single"/>
        </w:rPr>
        <w:t xml:space="preserve">                            </w:t>
      </w:r>
    </w:p>
    <w:p w14:paraId="381E9CC3">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p>
    <w:p w14:paraId="33EE49F1">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投标包号：</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 xml:space="preserve"> </w:t>
      </w:r>
    </w:p>
    <w:p w14:paraId="42C3F17C">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73C2CA18">
      <w:pPr>
        <w:adjustRightInd w:val="0"/>
        <w:snapToGrid w:val="0"/>
        <w:spacing w:after="0" w:line="240" w:lineRule="auto"/>
        <w:rPr>
          <w:rFonts w:hint="eastAsia" w:ascii="华文中宋" w:hAnsi="华文中宋" w:eastAsia="华文中宋" w:cs="华文中宋"/>
          <w:b/>
          <w:color w:val="auto"/>
          <w:sz w:val="36"/>
          <w:szCs w:val="36"/>
          <w:highlight w:val="none"/>
        </w:rPr>
      </w:pPr>
    </w:p>
    <w:p w14:paraId="12247D59">
      <w:pPr>
        <w:adjustRightInd w:val="0"/>
        <w:snapToGrid w:val="0"/>
        <w:spacing w:after="0" w:line="240" w:lineRule="auto"/>
        <w:rPr>
          <w:rFonts w:hint="eastAsia" w:ascii="华文中宋" w:hAnsi="华文中宋" w:eastAsia="华文中宋" w:cs="华文中宋"/>
          <w:b/>
          <w:color w:val="auto"/>
          <w:sz w:val="36"/>
          <w:szCs w:val="36"/>
          <w:highlight w:val="none"/>
        </w:rPr>
      </w:pPr>
    </w:p>
    <w:p w14:paraId="7B429F54">
      <w:pPr>
        <w:adjustRightInd w:val="0"/>
        <w:snapToGrid w:val="0"/>
        <w:spacing w:after="0" w:line="240" w:lineRule="auto"/>
        <w:rPr>
          <w:rFonts w:hint="eastAsia" w:ascii="华文中宋" w:hAnsi="华文中宋" w:eastAsia="华文中宋" w:cs="华文中宋"/>
          <w:b/>
          <w:color w:val="auto"/>
          <w:sz w:val="36"/>
          <w:szCs w:val="36"/>
          <w:highlight w:val="none"/>
        </w:rPr>
      </w:pPr>
    </w:p>
    <w:p w14:paraId="495C4E8C">
      <w:pPr>
        <w:adjustRightInd w:val="0"/>
        <w:snapToGrid w:val="0"/>
        <w:spacing w:after="0" w:line="240" w:lineRule="auto"/>
        <w:rPr>
          <w:rFonts w:hint="eastAsia" w:ascii="华文中宋" w:hAnsi="华文中宋" w:eastAsia="华文中宋" w:cs="华文中宋"/>
          <w:b/>
          <w:color w:val="auto"/>
          <w:sz w:val="36"/>
          <w:szCs w:val="36"/>
          <w:highlight w:val="none"/>
        </w:rPr>
      </w:pPr>
    </w:p>
    <w:p w14:paraId="6225E23D">
      <w:pPr>
        <w:adjustRightInd w:val="0"/>
        <w:snapToGrid w:val="0"/>
        <w:spacing w:after="0" w:line="240" w:lineRule="auto"/>
        <w:ind w:firstLine="1608" w:firstLineChars="445"/>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投标单位全称（公章）：</w:t>
      </w:r>
      <w:r>
        <w:rPr>
          <w:rFonts w:hint="eastAsia" w:ascii="华文中宋" w:hAnsi="华文中宋" w:eastAsia="华文中宋" w:cs="华文中宋"/>
          <w:b/>
          <w:color w:val="auto"/>
          <w:sz w:val="36"/>
          <w:szCs w:val="36"/>
          <w:highlight w:val="none"/>
          <w:u w:val="single"/>
        </w:rPr>
        <w:t xml:space="preserve">                 </w:t>
      </w:r>
    </w:p>
    <w:p w14:paraId="2973D504">
      <w:pPr>
        <w:adjustRightInd w:val="0"/>
        <w:snapToGrid w:val="0"/>
        <w:spacing w:after="0" w:line="240" w:lineRule="auto"/>
        <w:ind w:left="2160" w:leftChars="900"/>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 xml:space="preserve"> </w:t>
      </w:r>
    </w:p>
    <w:p w14:paraId="7BC4CC91">
      <w:pPr>
        <w:adjustRightInd w:val="0"/>
        <w:snapToGrid w:val="0"/>
        <w:spacing w:after="0" w:line="240" w:lineRule="auto"/>
        <w:ind w:firstLine="1626" w:firstLineChars="450"/>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日     期：</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年</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月</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日</w:t>
      </w:r>
    </w:p>
    <w:p w14:paraId="6560FE57">
      <w:pPr>
        <w:adjustRightInd w:val="0"/>
        <w:snapToGrid w:val="0"/>
        <w:spacing w:after="0" w:line="360" w:lineRule="auto"/>
        <w:ind w:left="0" w:leftChars="0" w:firstLine="0" w:firstLineChars="0"/>
        <w:rPr>
          <w:rFonts w:hint="eastAsia" w:ascii="华文中宋" w:hAnsi="华文中宋" w:eastAsia="华文中宋" w:cs="华文中宋"/>
          <w:b/>
          <w:color w:val="auto"/>
          <w:sz w:val="24"/>
          <w:szCs w:val="24"/>
          <w:highlight w:val="none"/>
        </w:rPr>
      </w:pPr>
    </w:p>
    <w:p w14:paraId="7056C217">
      <w:pPr>
        <w:adjustRightInd w:val="0"/>
        <w:snapToGrid w:val="0"/>
        <w:spacing w:after="0" w:line="360" w:lineRule="auto"/>
        <w:jc w:val="center"/>
        <w:rPr>
          <w:rFonts w:hint="eastAsia" w:ascii="华文中宋" w:hAnsi="华文中宋" w:eastAsia="华文中宋" w:cs="华文中宋"/>
          <w:b/>
          <w:color w:val="auto"/>
          <w:sz w:val="24"/>
          <w:szCs w:val="24"/>
          <w:highlight w:val="none"/>
        </w:rPr>
      </w:pPr>
    </w:p>
    <w:p w14:paraId="2D62D2CE">
      <w:pPr>
        <w:adjustRightInd w:val="0"/>
        <w:snapToGrid w:val="0"/>
        <w:spacing w:after="0" w:line="36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投标文件（资格审查部分）目录</w:t>
      </w:r>
    </w:p>
    <w:p w14:paraId="452E18FD">
      <w:pPr>
        <w:adjustRightInd w:val="0"/>
        <w:snapToGrid w:val="0"/>
        <w:spacing w:after="0" w:line="360" w:lineRule="auto"/>
        <w:rPr>
          <w:rFonts w:hint="eastAsia" w:ascii="华文中宋" w:hAnsi="华文中宋" w:eastAsia="华文中宋" w:cs="华文中宋"/>
          <w:color w:val="auto"/>
          <w:sz w:val="24"/>
          <w:szCs w:val="24"/>
          <w:highlight w:val="none"/>
        </w:rPr>
      </w:pPr>
    </w:p>
    <w:p w14:paraId="38AAA28D">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1．供应商信用承诺书……………………………………………………</w:t>
      </w:r>
    </w:p>
    <w:p w14:paraId="17D20CA2">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2</w:t>
      </w:r>
      <w:r>
        <w:rPr>
          <w:rFonts w:hint="eastAsia" w:ascii="华文中宋" w:hAnsi="华文中宋" w:eastAsia="华文中宋" w:cs="华文中宋"/>
          <w:color w:val="auto"/>
          <w:sz w:val="28"/>
          <w:szCs w:val="28"/>
          <w:highlight w:val="none"/>
        </w:rPr>
        <w:t>．反商业贿赂承诺书……………………………………………………</w:t>
      </w:r>
    </w:p>
    <w:p w14:paraId="5DDF1BB0">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3</w:t>
      </w:r>
      <w:r>
        <w:rPr>
          <w:rFonts w:hint="eastAsia" w:ascii="华文中宋" w:hAnsi="华文中宋" w:eastAsia="华文中宋" w:cs="华文中宋"/>
          <w:color w:val="auto"/>
          <w:sz w:val="28"/>
          <w:szCs w:val="28"/>
          <w:highlight w:val="none"/>
        </w:rPr>
        <w:t>．法定代表人身份证明书………………………………………………</w:t>
      </w:r>
    </w:p>
    <w:p w14:paraId="774FA799">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4</w:t>
      </w:r>
      <w:r>
        <w:rPr>
          <w:rFonts w:hint="eastAsia" w:ascii="华文中宋" w:hAnsi="华文中宋" w:eastAsia="华文中宋" w:cs="华文中宋"/>
          <w:color w:val="auto"/>
          <w:sz w:val="28"/>
          <w:szCs w:val="28"/>
          <w:highlight w:val="none"/>
        </w:rPr>
        <w:t>．法定代表人授权委托书………………………………………………</w:t>
      </w:r>
    </w:p>
    <w:p w14:paraId="2E49D9CA">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5</w:t>
      </w:r>
      <w:r>
        <w:rPr>
          <w:rFonts w:hint="eastAsia" w:ascii="华文中宋" w:hAnsi="华文中宋" w:eastAsia="华文中宋" w:cs="华文中宋"/>
          <w:color w:val="auto"/>
          <w:sz w:val="28"/>
          <w:szCs w:val="28"/>
          <w:highlight w:val="none"/>
        </w:rPr>
        <w:t>. 资质要求………………………………………………………………</w:t>
      </w:r>
    </w:p>
    <w:p w14:paraId="785557FA">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6</w:t>
      </w:r>
      <w:r>
        <w:rPr>
          <w:rFonts w:hint="eastAsia" w:ascii="华文中宋" w:hAnsi="华文中宋" w:eastAsia="华文中宋" w:cs="华文中宋"/>
          <w:color w:val="auto"/>
          <w:sz w:val="28"/>
          <w:szCs w:val="28"/>
          <w:highlight w:val="none"/>
        </w:rPr>
        <w:t>.</w:t>
      </w:r>
      <w:r>
        <w:rPr>
          <w:rFonts w:hint="eastAsia" w:ascii="华文中宋" w:hAnsi="华文中宋" w:eastAsia="华文中宋" w:cs="华文中宋"/>
          <w:color w:val="auto"/>
          <w:sz w:val="28"/>
          <w:szCs w:val="28"/>
          <w:highlight w:val="none"/>
          <w:lang w:val="en-US" w:eastAsia="zh-CN"/>
        </w:rPr>
        <w:t xml:space="preserve"> </w:t>
      </w:r>
      <w:r>
        <w:rPr>
          <w:rFonts w:hint="eastAsia" w:ascii="华文中宋" w:hAnsi="华文中宋" w:eastAsia="华文中宋" w:cs="华文中宋"/>
          <w:color w:val="auto"/>
          <w:sz w:val="28"/>
          <w:szCs w:val="28"/>
          <w:highlight w:val="none"/>
        </w:rPr>
        <w:t>其它</w:t>
      </w:r>
      <w:r>
        <w:rPr>
          <w:rFonts w:hint="eastAsia" w:ascii="华文中宋" w:hAnsi="华文中宋" w:eastAsia="华文中宋" w:cs="华文中宋"/>
          <w:color w:val="auto"/>
          <w:sz w:val="28"/>
          <w:szCs w:val="28"/>
          <w:highlight w:val="none"/>
          <w:lang w:val="en-US" w:eastAsia="zh-CN"/>
        </w:rPr>
        <w:t>资格条件证明</w:t>
      </w:r>
      <w:r>
        <w:rPr>
          <w:rFonts w:hint="eastAsia" w:ascii="华文中宋" w:hAnsi="华文中宋" w:eastAsia="华文中宋" w:cs="华文中宋"/>
          <w:color w:val="auto"/>
          <w:sz w:val="28"/>
          <w:szCs w:val="28"/>
          <w:highlight w:val="none"/>
        </w:rPr>
        <w:t>………………………………</w:t>
      </w:r>
    </w:p>
    <w:p w14:paraId="07FC4AA0">
      <w:pPr>
        <w:pStyle w:val="10"/>
        <w:adjustRightInd w:val="0"/>
        <w:snapToGrid w:val="0"/>
        <w:spacing w:after="0" w:line="540" w:lineRule="exact"/>
        <w:ind w:left="0" w:leftChars="0" w:firstLine="551" w:firstLineChars="196"/>
        <w:jc w:val="center"/>
        <w:rPr>
          <w:rFonts w:hint="eastAsia" w:ascii="华文中宋" w:hAnsi="华文中宋" w:eastAsia="华文中宋" w:cs="华文中宋"/>
          <w:b/>
          <w:color w:val="auto"/>
          <w:sz w:val="28"/>
          <w:szCs w:val="28"/>
          <w:highlight w:val="none"/>
        </w:rPr>
      </w:pPr>
    </w:p>
    <w:p w14:paraId="3EA74CD3">
      <w:pPr>
        <w:adjustRightInd w:val="0"/>
        <w:snapToGrid w:val="0"/>
        <w:spacing w:line="540" w:lineRule="exac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47C62A6A">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1</w:t>
      </w:r>
    </w:p>
    <w:p w14:paraId="636952AB">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供应商信用承诺书</w:t>
      </w:r>
    </w:p>
    <w:p w14:paraId="62961098">
      <w:pPr>
        <w:adjustRightInd w:val="0"/>
        <w:snapToGrid w:val="0"/>
        <w:spacing w:line="540" w:lineRule="exact"/>
        <w:rPr>
          <w:rFonts w:hint="eastAsia" w:ascii="华文中宋" w:hAnsi="华文中宋" w:eastAsia="华文中宋" w:cs="华文中宋"/>
          <w:b/>
          <w:color w:val="auto"/>
          <w:sz w:val="28"/>
          <w:szCs w:val="28"/>
          <w:highlight w:val="none"/>
        </w:rPr>
      </w:pPr>
    </w:p>
    <w:p w14:paraId="129642D0">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6914F47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现针对贵中心组织的</w:t>
      </w:r>
      <w:r>
        <w:rPr>
          <w:rFonts w:hint="eastAsia" w:ascii="华文中宋" w:hAnsi="华文中宋" w:eastAsia="华文中宋" w:cs="华文中宋"/>
          <w:color w:val="auto"/>
          <w:sz w:val="28"/>
          <w:szCs w:val="28"/>
          <w:highlight w:val="none"/>
          <w:u w:val="single"/>
        </w:rPr>
        <w:t xml:space="preserve">    （项目名称、项目编号）   </w:t>
      </w:r>
      <w:r>
        <w:rPr>
          <w:rFonts w:hint="eastAsia" w:ascii="华文中宋" w:hAnsi="华文中宋" w:eastAsia="华文中宋" w:cs="华文中宋"/>
          <w:color w:val="auto"/>
          <w:sz w:val="28"/>
          <w:szCs w:val="28"/>
          <w:highlight w:val="none"/>
        </w:rPr>
        <w:t>项目，截至开标日我方的“信用承诺书”情况声明如下：</w:t>
      </w:r>
    </w:p>
    <w:p w14:paraId="5559A37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一、具有履行合同所必需的设备和专业技术能力； </w:t>
      </w:r>
    </w:p>
    <w:p w14:paraId="17E47D57">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二、具有良好的商业信誉和健全的财务会计制度；</w:t>
      </w:r>
    </w:p>
    <w:p w14:paraId="4545FC5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三、具有依法缴纳税收和社会保障资金的良好记录； </w:t>
      </w:r>
    </w:p>
    <w:p w14:paraId="32D888D7">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四、参加本项目投标前三年内，在经营活动中没有重大违法记录；</w:t>
      </w:r>
    </w:p>
    <w:p w14:paraId="6AECBC82">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五、具有独立承担民事责任的能力； </w:t>
      </w:r>
    </w:p>
    <w:p w14:paraId="0A135E20">
      <w:pPr>
        <w:adjustRightInd w:val="0"/>
        <w:snapToGrid w:val="0"/>
        <w:spacing w:after="0" w:line="540" w:lineRule="exact"/>
        <w:ind w:firstLine="560" w:firstLineChars="200"/>
        <w:rPr>
          <w:rFonts w:hint="eastAsia" w:ascii="华文中宋" w:hAnsi="华文中宋" w:eastAsia="华文中宋" w:cs="华文中宋"/>
          <w:color w:val="auto"/>
          <w:sz w:val="28"/>
          <w:szCs w:val="28"/>
          <w:highlight w:val="none"/>
        </w:rPr>
      </w:pPr>
    </w:p>
    <w:p w14:paraId="43F5B9DB">
      <w:pPr>
        <w:adjustRightInd w:val="0"/>
        <w:snapToGrid w:val="0"/>
        <w:spacing w:after="0" w:line="540" w:lineRule="exact"/>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我方保证上述承诺符合要求、有效、完整。否则，响应无效。</w:t>
      </w:r>
    </w:p>
    <w:p w14:paraId="3596996E">
      <w:pPr>
        <w:adjustRightInd w:val="0"/>
        <w:snapToGrid w:val="0"/>
        <w:spacing w:line="540" w:lineRule="exact"/>
        <w:ind w:firstLine="562" w:firstLineChars="20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特此承诺！</w:t>
      </w:r>
    </w:p>
    <w:p w14:paraId="387C0FA2">
      <w:pPr>
        <w:adjustRightInd w:val="0"/>
        <w:snapToGrid w:val="0"/>
        <w:spacing w:line="540" w:lineRule="exact"/>
        <w:ind w:firstLine="3935" w:firstLineChars="1400"/>
        <w:rPr>
          <w:rFonts w:hint="eastAsia" w:ascii="华文中宋" w:hAnsi="华文中宋" w:eastAsia="华文中宋" w:cs="华文中宋"/>
          <w:b/>
          <w:color w:val="auto"/>
          <w:sz w:val="28"/>
          <w:szCs w:val="28"/>
          <w:highlight w:val="none"/>
        </w:rPr>
      </w:pPr>
    </w:p>
    <w:p w14:paraId="4BC73B38">
      <w:pPr>
        <w:adjustRightInd w:val="0"/>
        <w:snapToGrid w:val="0"/>
        <w:spacing w:line="540" w:lineRule="exact"/>
        <w:ind w:firstLine="4014" w:firstLineChars="142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586677D6">
      <w:pPr>
        <w:adjustRightInd w:val="0"/>
        <w:snapToGrid w:val="0"/>
        <w:spacing w:line="540" w:lineRule="exact"/>
        <w:ind w:firstLine="4014" w:firstLineChars="142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法定代表人或全权代理人：</w:t>
      </w:r>
      <w:r>
        <w:rPr>
          <w:rFonts w:hint="eastAsia" w:ascii="华文中宋" w:hAnsi="华文中宋" w:eastAsia="华文中宋" w:cs="华文中宋"/>
          <w:b/>
          <w:color w:val="auto"/>
          <w:sz w:val="28"/>
          <w:szCs w:val="28"/>
          <w:highlight w:val="none"/>
          <w:u w:val="single"/>
        </w:rPr>
        <w:t xml:space="preserve">（签字或盖章） </w:t>
      </w:r>
    </w:p>
    <w:p w14:paraId="17AA2E69">
      <w:pPr>
        <w:adjustRightInd w:val="0"/>
        <w:snapToGrid w:val="0"/>
        <w:spacing w:line="540" w:lineRule="exact"/>
        <w:ind w:firstLine="4014" w:firstLineChars="1428"/>
        <w:rPr>
          <w:rFonts w:hint="eastAsia" w:ascii="华文中宋" w:hAnsi="华文中宋" w:eastAsia="华文中宋" w:cs="华文中宋"/>
          <w:b/>
          <w:color w:val="auto"/>
          <w:sz w:val="21"/>
          <w:szCs w:val="21"/>
          <w:highlight w:val="none"/>
          <w:u w:val="singl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p>
    <w:p w14:paraId="361A7CFD">
      <w:pPr>
        <w:adjustRightInd w:val="0"/>
        <w:snapToGrid w:val="0"/>
        <w:spacing w:line="540" w:lineRule="exact"/>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26544F23">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2</w:t>
      </w:r>
    </w:p>
    <w:p w14:paraId="4FC2C471">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反商业贿赂承诺书</w:t>
      </w:r>
    </w:p>
    <w:p w14:paraId="2F00B863">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6D4C63A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为了进一步营造公平竞争的市场环境，维护市场秩序，我方在政府采购活动中郑重承诺：</w:t>
      </w:r>
    </w:p>
    <w:p w14:paraId="291061B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一、依法参与政府采购活动，遵纪守法，诚信经营，公平竞争。</w:t>
      </w:r>
    </w:p>
    <w:p w14:paraId="3989513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二、不向采购人、集中采购机构和政府采购评审专家提供任何形式的商业贿赂；对索取或接受商业贿赂的单位和个人，及时向财政部门或纪检监察机关举报。</w:t>
      </w:r>
    </w:p>
    <w:p w14:paraId="1EC47E9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三、坚决做到不提供虚假资质文件和虚假材料谋取中标。</w:t>
      </w:r>
    </w:p>
    <w:p w14:paraId="6BD5AF1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四、不采取不正当手段诋毁、排挤其他投标人，与其他投标人保持公平的竞争关系。</w:t>
      </w:r>
    </w:p>
    <w:p w14:paraId="77885F42">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五、不与采购人、集中采购机构和政府采购评审专家串通，自觉维护政府采购公平竞争的市场秩序。</w:t>
      </w:r>
    </w:p>
    <w:p w14:paraId="1C0149D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六、不与其他投标人串通采取围标、陪标等商业欺诈手段谋取中标，积极维护国家利益、社会公共利益和采购单位的合法权益。</w:t>
      </w:r>
    </w:p>
    <w:p w14:paraId="0D10E15A">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七、严格履行政府采购合同约定的责任和义务，保质保量地完成采购合同规定的任务，准确兑现售后服务承诺。</w:t>
      </w:r>
    </w:p>
    <w:p w14:paraId="4B750EF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八、自觉接受并积极配合财政部门和纪检监察机关依法实施的监督检查，如实反映情况，及时提供有关证明材料。</w:t>
      </w:r>
    </w:p>
    <w:p w14:paraId="53FDE813">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p>
    <w:p w14:paraId="6130771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投标单位全称（公章）：                                      </w:t>
      </w:r>
    </w:p>
    <w:p w14:paraId="667B6AE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签署日期：          年       月        日</w:t>
      </w:r>
    </w:p>
    <w:p w14:paraId="2ABC55DE">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3</w:t>
      </w:r>
    </w:p>
    <w:p w14:paraId="7C1D3C4A">
      <w:pPr>
        <w:adjustRightInd w:val="0"/>
        <w:snapToGrid w:val="0"/>
        <w:spacing w:line="192" w:lineRule="auto"/>
        <w:ind w:left="0" w:leftChars="0" w:firstLine="0" w:firstLineChars="0"/>
        <w:jc w:val="both"/>
        <w:rPr>
          <w:rFonts w:hint="eastAsia" w:ascii="华文中宋" w:hAnsi="华文中宋" w:eastAsia="华文中宋" w:cs="华文中宋"/>
          <w:b/>
          <w:color w:val="auto"/>
          <w:sz w:val="32"/>
          <w:szCs w:val="32"/>
          <w:highlight w:val="none"/>
        </w:rPr>
      </w:pPr>
    </w:p>
    <w:p w14:paraId="18DA9D0C">
      <w:pPr>
        <w:adjustRightInd w:val="0"/>
        <w:snapToGrid w:val="0"/>
        <w:spacing w:line="192" w:lineRule="auto"/>
        <w:ind w:left="0" w:leftChars="0" w:firstLine="0" w:firstLineChars="0"/>
        <w:jc w:val="both"/>
        <w:rPr>
          <w:rFonts w:hint="eastAsia" w:ascii="华文中宋" w:hAnsi="华文中宋" w:eastAsia="华文中宋" w:cs="华文中宋"/>
          <w:b/>
          <w:color w:val="auto"/>
          <w:sz w:val="32"/>
          <w:szCs w:val="32"/>
          <w:highlight w:val="none"/>
        </w:rPr>
      </w:pPr>
    </w:p>
    <w:p w14:paraId="6825536F">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法定代表人身份证明书</w:t>
      </w:r>
    </w:p>
    <w:p w14:paraId="3467981A">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单位名称：</w:t>
      </w:r>
    </w:p>
    <w:p w14:paraId="4620A692">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单位性质：</w:t>
      </w:r>
    </w:p>
    <w:p w14:paraId="13651ECF">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地址：</w:t>
      </w:r>
    </w:p>
    <w:p w14:paraId="1E2A2DA6">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成立时间：    年   月  日</w:t>
      </w:r>
    </w:p>
    <w:p w14:paraId="7B116AC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经营期限：</w:t>
      </w:r>
    </w:p>
    <w:p w14:paraId="1264DAC7">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姓名：           性别：</w:t>
      </w:r>
    </w:p>
    <w:p w14:paraId="7FF76F12">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身份证号：       职务：</w:t>
      </w:r>
    </w:p>
    <w:p w14:paraId="7B6940EB">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系   （投标人名称）        的法定代表人。</w:t>
      </w:r>
    </w:p>
    <w:p w14:paraId="23F3F3E6">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特此证明。</w:t>
      </w:r>
    </w:p>
    <w:tbl>
      <w:tblPr>
        <w:tblStyle w:val="19"/>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1EA0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F2B7F8">
            <w:pPr>
              <w:adjustRightInd w:val="0"/>
              <w:snapToGrid w:val="0"/>
              <w:spacing w:line="192" w:lineRule="auto"/>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法定代表人身份证/护照（正反两面）</w:t>
            </w:r>
          </w:p>
        </w:tc>
      </w:tr>
    </w:tbl>
    <w:p w14:paraId="17E9DD7E">
      <w:pPr>
        <w:adjustRightInd w:val="0"/>
        <w:snapToGrid w:val="0"/>
        <w:spacing w:line="192" w:lineRule="auto"/>
        <w:ind w:firstLine="3935" w:firstLineChars="1400"/>
        <w:rPr>
          <w:rFonts w:hint="eastAsia" w:ascii="华文中宋" w:hAnsi="华文中宋" w:eastAsia="华文中宋" w:cs="华文中宋"/>
          <w:b/>
          <w:color w:val="auto"/>
          <w:sz w:val="28"/>
          <w:szCs w:val="28"/>
          <w:highlight w:val="none"/>
        </w:rPr>
      </w:pPr>
    </w:p>
    <w:p w14:paraId="3916AE8E">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投标单位全称（公章）：                              </w:t>
      </w:r>
    </w:p>
    <w:p w14:paraId="69B4FC97">
      <w:pPr>
        <w:adjustRightInd w:val="0"/>
        <w:snapToGrid w:val="0"/>
        <w:spacing w:after="0" w:line="360" w:lineRule="auto"/>
        <w:ind w:firstLine="56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8"/>
          <w:szCs w:val="28"/>
          <w:highlight w:val="none"/>
        </w:rPr>
        <w:t>签署日期：         年      月     日</w:t>
      </w:r>
      <w:r>
        <w:rPr>
          <w:rFonts w:hint="eastAsia" w:ascii="华文中宋" w:hAnsi="华文中宋" w:eastAsia="华文中宋" w:cs="华文中宋"/>
          <w:color w:val="auto"/>
          <w:highlight w:val="none"/>
        </w:rPr>
        <w:br w:type="page"/>
      </w:r>
    </w:p>
    <w:p w14:paraId="404A059F">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4</w:t>
      </w:r>
    </w:p>
    <w:p w14:paraId="120E0D55">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法定代表人授权委托书</w:t>
      </w:r>
    </w:p>
    <w:p w14:paraId="4E227CC6">
      <w:pPr>
        <w:rPr>
          <w:rFonts w:hint="eastAsia" w:ascii="华文中宋" w:hAnsi="华文中宋" w:eastAsia="华文中宋" w:cs="华文中宋"/>
          <w:color w:val="auto"/>
          <w:highlight w:val="none"/>
          <w:lang w:val="en-US" w:eastAsia="zh-CN"/>
        </w:rPr>
      </w:pPr>
    </w:p>
    <w:p w14:paraId="5BA65A3D">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64320D7D">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本授权委托书声明：注册于  （投标人住址）的（投标人名称）  法定代表人（法定代表人姓名） 代表本公司授权（投标人代表姓名、身份证号）为本公司的合法代理人，就贵方组织的（项目名称、项目编号）项目，以本公司名义处理与</w:t>
      </w:r>
      <w:r>
        <w:rPr>
          <w:rFonts w:hint="eastAsia" w:ascii="华文中宋" w:hAnsi="华文中宋" w:eastAsia="华文中宋" w:cs="华文中宋"/>
          <w:color w:val="auto"/>
          <w:sz w:val="28"/>
          <w:szCs w:val="28"/>
          <w:highlight w:val="none"/>
          <w:lang w:val="en-US" w:eastAsia="zh-CN"/>
        </w:rPr>
        <w:t>投标</w:t>
      </w:r>
      <w:r>
        <w:rPr>
          <w:rFonts w:hint="eastAsia" w:ascii="华文中宋" w:hAnsi="华文中宋" w:eastAsia="华文中宋" w:cs="华文中宋"/>
          <w:color w:val="auto"/>
          <w:sz w:val="28"/>
          <w:szCs w:val="28"/>
          <w:highlight w:val="none"/>
        </w:rPr>
        <w:t>有关的事务。</w:t>
      </w:r>
    </w:p>
    <w:p w14:paraId="61C0AC7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本授权</w:t>
      </w:r>
      <w:r>
        <w:rPr>
          <w:rFonts w:hint="eastAsia" w:ascii="华文中宋" w:hAnsi="华文中宋" w:eastAsia="华文中宋" w:cs="华文中宋"/>
          <w:color w:val="auto"/>
          <w:sz w:val="28"/>
          <w:szCs w:val="28"/>
          <w:highlight w:val="none"/>
          <w:lang w:val="en-US" w:eastAsia="zh-CN"/>
        </w:rPr>
        <w:t xml:space="preserve">期限       </w:t>
      </w:r>
      <w:r>
        <w:rPr>
          <w:rFonts w:hint="eastAsia" w:ascii="华文中宋" w:hAnsi="华文中宋" w:eastAsia="华文中宋" w:cs="华文中宋"/>
          <w:color w:val="auto"/>
          <w:sz w:val="28"/>
          <w:szCs w:val="28"/>
          <w:highlight w:val="none"/>
        </w:rPr>
        <w:t>，</w:t>
      </w:r>
    </w:p>
    <w:p w14:paraId="739E2746">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特此声明。</w:t>
      </w:r>
    </w:p>
    <w:tbl>
      <w:tblPr>
        <w:tblStyle w:val="19"/>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14:paraId="5636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7FA68">
            <w:pPr>
              <w:adjustRightInd w:val="0"/>
              <w:snapToGrid w:val="0"/>
              <w:spacing w:line="540" w:lineRule="exact"/>
              <w:ind w:firstLine="555"/>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法定代表人身份证/护照</w:t>
            </w:r>
          </w:p>
          <w:p w14:paraId="6C72673F">
            <w:pPr>
              <w:adjustRightInd w:val="0"/>
              <w:snapToGrid w:val="0"/>
              <w:spacing w:line="540" w:lineRule="exact"/>
              <w:ind w:firstLine="555"/>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（正反两面）</w:t>
            </w:r>
          </w:p>
        </w:tc>
        <w:tc>
          <w:tcPr>
            <w:tcW w:w="540" w:type="dxa"/>
            <w:tcBorders>
              <w:top w:val="nil"/>
              <w:left w:val="single" w:color="auto" w:sz="4" w:space="0"/>
              <w:bottom w:val="nil"/>
              <w:right w:val="single" w:color="auto" w:sz="4" w:space="0"/>
              <w:tl2br w:val="nil"/>
              <w:tr2bl w:val="nil"/>
            </w:tcBorders>
            <w:noWrap w:val="0"/>
            <w:vAlign w:val="center"/>
          </w:tcPr>
          <w:p w14:paraId="24B00B34">
            <w:pPr>
              <w:adjustRightInd w:val="0"/>
              <w:snapToGrid w:val="0"/>
              <w:spacing w:line="540" w:lineRule="exact"/>
              <w:jc w:val="center"/>
              <w:rPr>
                <w:rFonts w:hint="eastAsia" w:ascii="华文中宋" w:hAnsi="华文中宋" w:eastAsia="华文中宋" w:cs="华文中宋"/>
                <w:color w:val="auto"/>
                <w:sz w:val="28"/>
                <w:szCs w:val="28"/>
                <w:highlight w:val="none"/>
              </w:rPr>
            </w:pPr>
          </w:p>
        </w:tc>
        <w:tc>
          <w:tcPr>
            <w:tcW w:w="4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40061">
            <w:pPr>
              <w:adjustRightInd w:val="0"/>
              <w:snapToGrid w:val="0"/>
              <w:spacing w:line="540" w:lineRule="exact"/>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全权代理人身份证/护照</w:t>
            </w:r>
          </w:p>
          <w:p w14:paraId="3DA85114">
            <w:pPr>
              <w:adjustRightInd w:val="0"/>
              <w:snapToGrid w:val="0"/>
              <w:spacing w:line="540" w:lineRule="exact"/>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（正反两面）</w:t>
            </w:r>
          </w:p>
        </w:tc>
      </w:tr>
    </w:tbl>
    <w:p w14:paraId="6B866824">
      <w:pPr>
        <w:adjustRightInd w:val="0"/>
        <w:snapToGrid w:val="0"/>
        <w:spacing w:line="192" w:lineRule="auto"/>
        <w:rPr>
          <w:rFonts w:hint="eastAsia" w:ascii="华文中宋" w:hAnsi="华文中宋" w:eastAsia="华文中宋" w:cs="华文中宋"/>
          <w:color w:val="auto"/>
          <w:sz w:val="24"/>
          <w:szCs w:val="24"/>
          <w:highlight w:val="none"/>
        </w:rPr>
      </w:pPr>
    </w:p>
    <w:p w14:paraId="53A0C9A3">
      <w:pPr>
        <w:adjustRightInd w:val="0"/>
        <w:snapToGrid w:val="0"/>
        <w:spacing w:line="192" w:lineRule="auto"/>
        <w:ind w:firstLine="480" w:firstLineChars="200"/>
        <w:rPr>
          <w:rFonts w:hint="eastAsia" w:ascii="华文中宋" w:hAnsi="华文中宋" w:eastAsia="华文中宋" w:cs="华文中宋"/>
          <w:color w:val="auto"/>
          <w:sz w:val="24"/>
          <w:szCs w:val="24"/>
          <w:highlight w:val="none"/>
        </w:rPr>
      </w:pPr>
    </w:p>
    <w:p w14:paraId="3A3A83DC">
      <w:pPr>
        <w:adjustRightInd w:val="0"/>
        <w:snapToGrid w:val="0"/>
        <w:spacing w:line="192" w:lineRule="auto"/>
        <w:ind w:firstLine="480" w:firstLineChars="200"/>
        <w:rPr>
          <w:rFonts w:hint="eastAsia" w:ascii="华文中宋" w:hAnsi="华文中宋" w:eastAsia="华文中宋" w:cs="华文中宋"/>
          <w:color w:val="auto"/>
          <w:sz w:val="24"/>
          <w:szCs w:val="24"/>
          <w:highlight w:val="none"/>
        </w:rPr>
      </w:pPr>
    </w:p>
    <w:p w14:paraId="4A45D676">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法定代表人（签字或盖章）：                </w:t>
      </w:r>
    </w:p>
    <w:p w14:paraId="0EBD872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授权代理人（签字或盖章）：                </w:t>
      </w:r>
    </w:p>
    <w:p w14:paraId="65D0D78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投标单位全称（公章）：              </w:t>
      </w:r>
    </w:p>
    <w:p w14:paraId="007CBA0D">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签署日期：        年      月     日</w:t>
      </w:r>
    </w:p>
    <w:p w14:paraId="63C68B5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098E09A1">
      <w:pPr>
        <w:adjustRightInd w:val="0"/>
        <w:snapToGrid w:val="0"/>
        <w:spacing w:line="192" w:lineRule="auto"/>
        <w:jc w:val="both"/>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5</w:t>
      </w:r>
    </w:p>
    <w:p w14:paraId="4A0B8EC8">
      <w:pPr>
        <w:adjustRightInd w:val="0"/>
        <w:snapToGrid w:val="0"/>
        <w:spacing w:line="192" w:lineRule="auto"/>
        <w:jc w:val="both"/>
        <w:rPr>
          <w:rFonts w:hint="eastAsia" w:ascii="华文中宋" w:hAnsi="华文中宋" w:eastAsia="华文中宋" w:cs="华文中宋"/>
          <w:b/>
          <w:color w:val="auto"/>
          <w:sz w:val="24"/>
          <w:szCs w:val="24"/>
          <w:highlight w:val="none"/>
          <w:lang w:val="en-US" w:eastAsia="zh-CN"/>
        </w:rPr>
      </w:pPr>
    </w:p>
    <w:p w14:paraId="3F30285A">
      <w:pPr>
        <w:adjustRightInd w:val="0"/>
        <w:snapToGrid w:val="0"/>
        <w:spacing w:line="192" w:lineRule="auto"/>
        <w:jc w:val="both"/>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资质要求</w:t>
      </w:r>
    </w:p>
    <w:p w14:paraId="467D8BDE">
      <w:pPr>
        <w:adjustRightInd w:val="0"/>
        <w:snapToGrid w:val="0"/>
        <w:spacing w:line="540" w:lineRule="exact"/>
        <w:outlineLvl w:val="2"/>
        <w:rPr>
          <w:rFonts w:hint="eastAsia" w:ascii="华文中宋" w:hAnsi="华文中宋" w:eastAsia="华文中宋" w:cs="华文中宋"/>
          <w:b/>
          <w:color w:val="auto"/>
          <w:sz w:val="24"/>
          <w:szCs w:val="24"/>
          <w:highlight w:val="none"/>
        </w:rPr>
        <w:sectPr>
          <w:footerReference r:id="rId7" w:type="default"/>
          <w:pgSz w:w="11906" w:h="16838"/>
          <w:pgMar w:top="1417" w:right="1418" w:bottom="1587" w:left="1531" w:header="851" w:footer="992" w:gutter="0"/>
          <w:lnNumType w:countBy="0" w:distance="360"/>
          <w:pgNumType w:fmt="decimal"/>
          <w:cols w:space="720" w:num="1"/>
          <w:docGrid w:linePitch="312" w:charSpace="0"/>
        </w:sectPr>
      </w:pPr>
    </w:p>
    <w:p w14:paraId="01D451B4">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6</w:t>
      </w:r>
    </w:p>
    <w:p w14:paraId="02612B35">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32"/>
          <w:szCs w:val="32"/>
          <w:highlight w:val="none"/>
        </w:rPr>
        <w:t>其他</w:t>
      </w:r>
      <w:r>
        <w:rPr>
          <w:rFonts w:hint="eastAsia" w:ascii="华文中宋" w:hAnsi="华文中宋" w:eastAsia="华文中宋" w:cs="华文中宋"/>
          <w:b/>
          <w:color w:val="auto"/>
          <w:sz w:val="32"/>
          <w:szCs w:val="32"/>
          <w:highlight w:val="none"/>
          <w:lang w:val="en-US" w:eastAsia="zh-CN"/>
        </w:rPr>
        <w:t>资格条件</w:t>
      </w:r>
    </w:p>
    <w:p w14:paraId="23B473F1">
      <w:pPr>
        <w:adjustRightInd w:val="0"/>
        <w:snapToGrid w:val="0"/>
        <w:spacing w:after="0" w:line="540" w:lineRule="exact"/>
        <w:ind w:firstLine="470" w:firstLineChars="196"/>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br w:type="page"/>
      </w:r>
    </w:p>
    <w:p w14:paraId="2F17A182">
      <w:pPr>
        <w:adjustRightInd w:val="0"/>
        <w:snapToGrid w:val="0"/>
        <w:spacing w:after="0" w:line="240" w:lineRule="auto"/>
        <w:outlineLvl w:val="2"/>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 xml:space="preserve"> 投标文件（商务技术部分）封面（封皮）格式</w:t>
      </w:r>
    </w:p>
    <w:p w14:paraId="08C14434">
      <w:pPr>
        <w:adjustRightInd/>
        <w:snapToGrid/>
        <w:spacing w:after="0" w:line="240" w:lineRule="auto"/>
        <w:outlineLvl w:val="9"/>
        <w:rPr>
          <w:rFonts w:hint="eastAsia"/>
          <w:color w:val="auto"/>
          <w:highlight w:val="none"/>
        </w:rPr>
      </w:pPr>
      <w:r>
        <w:rPr>
          <w:rFonts w:hint="eastAsia"/>
          <w:color w:val="auto"/>
          <w:highlight w:val="none"/>
        </w:rPr>
        <w:t xml:space="preserve">                                                                  </w:t>
      </w:r>
    </w:p>
    <w:p w14:paraId="5FD50A3A">
      <w:pPr>
        <w:adjustRightInd w:val="0"/>
        <w:snapToGrid w:val="0"/>
        <w:spacing w:after="0" w:line="240" w:lineRule="auto"/>
        <w:rPr>
          <w:rFonts w:hint="eastAsia" w:ascii="华文中宋" w:hAnsi="华文中宋" w:eastAsia="华文中宋" w:cs="华文中宋"/>
          <w:b/>
          <w:color w:val="auto"/>
          <w:sz w:val="28"/>
          <w:szCs w:val="28"/>
          <w:highlight w:val="none"/>
          <w:bdr w:val="single" w:color="auto" w:sz="4" w:space="0"/>
        </w:rPr>
      </w:pPr>
      <w:r>
        <w:rPr>
          <w:rFonts w:hint="eastAsia" w:ascii="华文中宋" w:hAnsi="华文中宋" w:eastAsia="华文中宋" w:cs="华文中宋"/>
          <w:color w:val="auto"/>
          <w:sz w:val="21"/>
          <w:szCs w:val="21"/>
          <w:highlight w:val="none"/>
        </w:rPr>
        <mc:AlternateContent>
          <mc:Choice Requires="wps">
            <w:drawing>
              <wp:anchor distT="0" distB="0" distL="114300" distR="114300" simplePos="0" relativeHeight="251667456" behindDoc="0" locked="0" layoutInCell="1" allowOverlap="1">
                <wp:simplePos x="0" y="0"/>
                <wp:positionH relativeFrom="column">
                  <wp:posOffset>4267200</wp:posOffset>
                </wp:positionH>
                <wp:positionV relativeFrom="paragraph">
                  <wp:posOffset>91440</wp:posOffset>
                </wp:positionV>
                <wp:extent cx="1143000" cy="297180"/>
                <wp:effectExtent l="4445" t="4445" r="14605" b="22225"/>
                <wp:wrapNone/>
                <wp:docPr id="1" name="矩形 1"/>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ECAC4F">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正本或副本</w:t>
                            </w:r>
                          </w:p>
                        </w:txbxContent>
                      </wps:txbx>
                      <wps:bodyPr upright="1"/>
                    </wps:wsp>
                  </a:graphicData>
                </a:graphic>
              </wp:anchor>
            </w:drawing>
          </mc:Choice>
          <mc:Fallback>
            <w:pict>
              <v:rect id="_x0000_s1026" o:spid="_x0000_s1026" o:spt="1" style="position:absolute;left:0pt;margin-left:336pt;margin-top:7.2pt;height:23.4pt;width:90pt;z-index:251667456;mso-width-relative:page;mso-height-relative:page;" fillcolor="#FFFFFF" filled="t" stroked="t" coordsize="21600,21600" o:gfxdata="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lCAtnWAAAACQEAAA8AAAAAAAAAAQAgAAAAIgAAAGRycy9k&#10;b3ducmV2LnhtbFBLAQIUABQAAAAIAIdO4kCUxfyjBAIAACkEAAAOAAAAAAAAAAEAIAAAACUBAABk&#10;cnMvZTJvRG9jLnhtbFBLBQYAAAAABgAGAFkBAACbBQAAAAA=&#10;">
                <v:fill on="t" focussize="0,0"/>
                <v:stroke color="#000000" joinstyle="miter"/>
                <v:imagedata o:title=""/>
                <o:lock v:ext="edit" aspectratio="f"/>
                <v:textbox>
                  <w:txbxContent>
                    <w:p w14:paraId="72ECAC4F">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正本或副本</w:t>
                      </w:r>
                    </w:p>
                  </w:txbxContent>
                </v:textbox>
              </v:rect>
            </w:pict>
          </mc:Fallback>
        </mc:AlternateContent>
      </w:r>
      <w:r>
        <w:rPr>
          <w:rFonts w:hint="eastAsia" w:ascii="华文中宋" w:hAnsi="华文中宋" w:eastAsia="华文中宋" w:cs="华文中宋"/>
          <w:b/>
          <w:color w:val="auto"/>
          <w:sz w:val="28"/>
          <w:szCs w:val="28"/>
          <w:highlight w:val="none"/>
        </w:rPr>
        <w:t xml:space="preserve">           </w:t>
      </w:r>
      <w:r>
        <w:rPr>
          <w:rFonts w:hint="eastAsia" w:ascii="华文中宋" w:hAnsi="华文中宋" w:eastAsia="华文中宋" w:cs="华文中宋"/>
          <w:b/>
          <w:color w:val="auto"/>
          <w:sz w:val="28"/>
          <w:szCs w:val="28"/>
          <w:highlight w:val="none"/>
          <w:bdr w:val="single" w:color="auto" w:sz="4" w:space="0"/>
        </w:rPr>
        <w:t xml:space="preserve">            </w:t>
      </w:r>
    </w:p>
    <w:p w14:paraId="65C99264">
      <w:pPr>
        <w:adjustRightInd w:val="0"/>
        <w:snapToGrid w:val="0"/>
        <w:spacing w:after="0" w:line="240" w:lineRule="auto"/>
        <w:rPr>
          <w:rFonts w:hint="eastAsia" w:ascii="华文中宋" w:hAnsi="华文中宋" w:eastAsia="华文中宋" w:cs="华文中宋"/>
          <w:b/>
          <w:color w:val="auto"/>
          <w:spacing w:val="78"/>
          <w:sz w:val="36"/>
          <w:szCs w:val="36"/>
          <w:highlight w:val="none"/>
        </w:rPr>
      </w:pPr>
      <w:r>
        <w:rPr>
          <w:rFonts w:hint="eastAsia" w:ascii="华文中宋" w:hAnsi="华文中宋" w:eastAsia="华文中宋" w:cs="华文中宋"/>
          <w:b/>
          <w:color w:val="auto"/>
          <w:sz w:val="28"/>
          <w:szCs w:val="28"/>
          <w:highlight w:val="none"/>
          <w:bdr w:val="single" w:color="auto" w:sz="4" w:space="0"/>
        </w:rPr>
        <w:t xml:space="preserve">                                        </w:t>
      </w:r>
    </w:p>
    <w:p w14:paraId="40B54DFC">
      <w:pPr>
        <w:adjustRightInd w:val="0"/>
        <w:snapToGrid w:val="0"/>
        <w:spacing w:after="0" w:line="240" w:lineRule="auto"/>
        <w:ind w:left="0" w:leftChars="0" w:firstLine="0" w:firstLineChars="0"/>
        <w:jc w:val="center"/>
        <w:rPr>
          <w:rFonts w:hint="eastAsia" w:ascii="华文中宋" w:hAnsi="华文中宋" w:eastAsia="华文中宋" w:cs="华文中宋"/>
          <w:b/>
          <w:color w:val="auto"/>
          <w:spacing w:val="78"/>
          <w:sz w:val="52"/>
          <w:szCs w:val="52"/>
          <w:highlight w:val="none"/>
        </w:rPr>
      </w:pPr>
      <w:r>
        <w:rPr>
          <w:rFonts w:hint="eastAsia" w:ascii="华文中宋" w:hAnsi="华文中宋" w:eastAsia="华文中宋" w:cs="华文中宋"/>
          <w:b/>
          <w:color w:val="auto"/>
          <w:spacing w:val="78"/>
          <w:sz w:val="90"/>
          <w:szCs w:val="90"/>
          <w:highlight w:val="none"/>
        </w:rPr>
        <w:t>投 标 文 件</w:t>
      </w:r>
    </w:p>
    <w:p w14:paraId="1580425D">
      <w:pPr>
        <w:adjustRightInd w:val="0"/>
        <w:snapToGrid w:val="0"/>
        <w:spacing w:after="0" w:line="240" w:lineRule="auto"/>
        <w:ind w:left="0" w:leftChars="0" w:firstLine="0" w:firstLineChars="0"/>
        <w:jc w:val="left"/>
        <w:rPr>
          <w:rFonts w:hint="eastAsia" w:ascii="华文中宋" w:hAnsi="华文中宋" w:eastAsia="华文中宋" w:cs="华文中宋"/>
          <w:b/>
          <w:color w:val="auto"/>
          <w:sz w:val="44"/>
          <w:szCs w:val="44"/>
          <w:highlight w:val="none"/>
        </w:rPr>
      </w:pPr>
    </w:p>
    <w:p w14:paraId="28A58093">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（商务技术部分）</w:t>
      </w:r>
    </w:p>
    <w:p w14:paraId="2DF0EAE9">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3AE8FC99">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4484B40C">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21C952B0">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464B71EA">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u w:val="single"/>
        </w:rPr>
      </w:pPr>
      <w:r>
        <w:rPr>
          <w:rFonts w:hint="eastAsia" w:ascii="华文中宋" w:hAnsi="华文中宋" w:eastAsia="华文中宋" w:cs="华文中宋"/>
          <w:b/>
          <w:color w:val="auto"/>
          <w:sz w:val="36"/>
          <w:szCs w:val="36"/>
          <w:highlight w:val="none"/>
        </w:rPr>
        <w:t>项目编号：</w:t>
      </w:r>
    </w:p>
    <w:p w14:paraId="52709523">
      <w:pPr>
        <w:adjustRightInd w:val="0"/>
        <w:snapToGrid w:val="0"/>
        <w:spacing w:after="0" w:line="240" w:lineRule="auto"/>
        <w:ind w:left="1440" w:leftChars="600" w:firstLine="358" w:firstLineChars="99"/>
        <w:jc w:val="center"/>
        <w:rPr>
          <w:rFonts w:hint="eastAsia" w:ascii="华文中宋" w:hAnsi="华文中宋" w:eastAsia="华文中宋" w:cs="华文中宋"/>
          <w:b/>
          <w:color w:val="auto"/>
          <w:sz w:val="36"/>
          <w:szCs w:val="36"/>
          <w:highlight w:val="none"/>
          <w:u w:val="single"/>
        </w:rPr>
      </w:pPr>
    </w:p>
    <w:p w14:paraId="4E083905">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项目名称：</w:t>
      </w:r>
    </w:p>
    <w:p w14:paraId="6A4815A7">
      <w:pPr>
        <w:adjustRightInd w:val="0"/>
        <w:snapToGrid w:val="0"/>
        <w:spacing w:after="0" w:line="240" w:lineRule="auto"/>
        <w:ind w:left="1440" w:leftChars="600" w:firstLine="358" w:firstLineChars="99"/>
        <w:jc w:val="center"/>
        <w:rPr>
          <w:rFonts w:hint="eastAsia" w:ascii="华文中宋" w:hAnsi="华文中宋" w:eastAsia="华文中宋" w:cs="华文中宋"/>
          <w:b/>
          <w:color w:val="auto"/>
          <w:sz w:val="36"/>
          <w:szCs w:val="36"/>
          <w:highlight w:val="none"/>
          <w:u w:val="single"/>
        </w:rPr>
      </w:pPr>
    </w:p>
    <w:p w14:paraId="47F6542A">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投标包号：</w:t>
      </w:r>
    </w:p>
    <w:p w14:paraId="63CEF5A8">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6FF8830E">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2E59CE1F">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0DC89E81">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1A09834C">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11E73401">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5B50D4B3">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投标单位全称（公章）：</w:t>
      </w:r>
    </w:p>
    <w:p w14:paraId="3C5E10E2">
      <w:pPr>
        <w:adjustRightInd w:val="0"/>
        <w:snapToGrid w:val="0"/>
        <w:spacing w:after="0" w:line="240" w:lineRule="auto"/>
        <w:ind w:left="2160" w:leftChars="900"/>
        <w:jc w:val="center"/>
        <w:rPr>
          <w:rFonts w:hint="eastAsia" w:ascii="华文中宋" w:hAnsi="华文中宋" w:eastAsia="华文中宋" w:cs="华文中宋"/>
          <w:b/>
          <w:color w:val="auto"/>
          <w:sz w:val="36"/>
          <w:szCs w:val="36"/>
          <w:highlight w:val="none"/>
        </w:rPr>
      </w:pPr>
    </w:p>
    <w:p w14:paraId="040DDC4F">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日     期：</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年</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月</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日</w:t>
      </w:r>
    </w:p>
    <w:p w14:paraId="7D57BB3B">
      <w:pPr>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5A25B68D">
      <w:pPr>
        <w:adjustRightInd w:val="0"/>
        <w:snapToGrid w:val="0"/>
        <w:spacing w:line="240" w:lineRule="auto"/>
        <w:rPr>
          <w:rFonts w:hint="eastAsia" w:ascii="华文中宋" w:hAnsi="华文中宋" w:eastAsia="华文中宋" w:cs="华文中宋"/>
          <w:b/>
          <w:color w:val="auto"/>
          <w:sz w:val="24"/>
          <w:szCs w:val="24"/>
          <w:highlight w:val="none"/>
          <w:lang w:val="en-US" w:eastAsia="zh-CN"/>
        </w:rPr>
      </w:pPr>
    </w:p>
    <w:p w14:paraId="09D0BE29">
      <w:pPr>
        <w:pStyle w:val="10"/>
        <w:adjustRightInd w:val="0"/>
        <w:snapToGrid w:val="0"/>
        <w:spacing w:after="0" w:line="240" w:lineRule="auto"/>
        <w:ind w:left="0" w:leftChars="0"/>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投标文件（商务技术部分）目录</w:t>
      </w:r>
    </w:p>
    <w:p w14:paraId="2659A3FE">
      <w:pPr>
        <w:spacing w:line="240" w:lineRule="auto"/>
        <w:rPr>
          <w:rFonts w:hint="eastAsia" w:ascii="华文中宋" w:hAnsi="华文中宋" w:eastAsia="华文中宋" w:cs="华文中宋"/>
          <w:color w:val="auto"/>
          <w:sz w:val="28"/>
          <w:szCs w:val="28"/>
          <w:highlight w:val="none"/>
        </w:rPr>
      </w:pPr>
    </w:p>
    <w:p w14:paraId="5AED2045">
      <w:pPr>
        <w:adjustRightInd w:val="0"/>
        <w:snapToGrid w:val="0"/>
        <w:spacing w:line="540" w:lineRule="exact"/>
        <w:rPr>
          <w:rFonts w:hint="eastAsia" w:ascii="华文中宋" w:hAnsi="华文中宋" w:eastAsia="华文中宋" w:cs="华文中宋"/>
          <w:color w:val="auto"/>
          <w:sz w:val="18"/>
          <w:szCs w:val="18"/>
          <w:highlight w:val="none"/>
        </w:rPr>
      </w:pPr>
    </w:p>
    <w:p w14:paraId="2FFD1B4B">
      <w:pPr>
        <w:adjustRightInd w:val="0"/>
        <w:snapToGrid w:val="0"/>
        <w:spacing w:line="540" w:lineRule="exact"/>
        <w:rPr>
          <w:rFonts w:hint="eastAsia" w:ascii="华文中宋" w:hAnsi="华文中宋" w:eastAsia="华文中宋" w:cs="华文中宋"/>
          <w:color w:val="auto"/>
          <w:sz w:val="18"/>
          <w:szCs w:val="18"/>
          <w:highlight w:val="none"/>
        </w:rPr>
      </w:pPr>
    </w:p>
    <w:p w14:paraId="3057700D">
      <w:pPr>
        <w:adjustRightInd w:val="0"/>
        <w:snapToGrid w:val="0"/>
        <w:spacing w:line="540" w:lineRule="exact"/>
        <w:rPr>
          <w:rFonts w:hint="eastAsia" w:ascii="华文中宋" w:hAnsi="华文中宋" w:eastAsia="华文中宋" w:cs="华文中宋"/>
          <w:color w:val="auto"/>
          <w:sz w:val="18"/>
          <w:szCs w:val="18"/>
          <w:highlight w:val="none"/>
        </w:rPr>
      </w:pPr>
    </w:p>
    <w:p w14:paraId="52440212">
      <w:pPr>
        <w:adjustRightInd w:val="0"/>
        <w:snapToGrid w:val="0"/>
        <w:spacing w:line="540" w:lineRule="exact"/>
        <w:rPr>
          <w:rFonts w:hint="eastAsia" w:ascii="华文中宋" w:hAnsi="华文中宋" w:eastAsia="华文中宋" w:cs="华文中宋"/>
          <w:color w:val="auto"/>
          <w:sz w:val="18"/>
          <w:szCs w:val="18"/>
          <w:highlight w:val="none"/>
        </w:rPr>
      </w:pPr>
    </w:p>
    <w:p w14:paraId="6156ACE9">
      <w:pPr>
        <w:adjustRightInd w:val="0"/>
        <w:snapToGrid w:val="0"/>
        <w:spacing w:line="540" w:lineRule="exact"/>
        <w:rPr>
          <w:rFonts w:hint="eastAsia" w:ascii="华文中宋" w:hAnsi="华文中宋" w:eastAsia="华文中宋" w:cs="华文中宋"/>
          <w:color w:val="auto"/>
          <w:sz w:val="18"/>
          <w:szCs w:val="18"/>
          <w:highlight w:val="none"/>
        </w:rPr>
      </w:pPr>
    </w:p>
    <w:p w14:paraId="0B50D822">
      <w:pPr>
        <w:adjustRightInd w:val="0"/>
        <w:snapToGrid w:val="0"/>
        <w:spacing w:line="540" w:lineRule="exact"/>
        <w:rPr>
          <w:rFonts w:hint="eastAsia" w:ascii="华文中宋" w:hAnsi="华文中宋" w:eastAsia="华文中宋" w:cs="华文中宋"/>
          <w:color w:val="auto"/>
          <w:sz w:val="18"/>
          <w:szCs w:val="18"/>
          <w:highlight w:val="none"/>
        </w:rPr>
      </w:pPr>
    </w:p>
    <w:p w14:paraId="19CCAF69">
      <w:pPr>
        <w:adjustRightInd w:val="0"/>
        <w:snapToGrid w:val="0"/>
        <w:spacing w:line="540" w:lineRule="exact"/>
        <w:rPr>
          <w:rFonts w:hint="eastAsia" w:ascii="华文中宋" w:hAnsi="华文中宋" w:eastAsia="华文中宋" w:cs="华文中宋"/>
          <w:color w:val="auto"/>
          <w:sz w:val="18"/>
          <w:szCs w:val="18"/>
          <w:highlight w:val="none"/>
        </w:rPr>
      </w:pPr>
    </w:p>
    <w:p w14:paraId="37442F8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7C315337">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27D4D821">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59DF142C">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47D28704">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4E3D5D6C">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5F7A26C4">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4B419D52">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47F9B93B">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1EE596DB">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5C70580F">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D12F2E1">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31037B0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994B78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23E0D85B">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5C8697FC">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13013C84">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75774670">
      <w:pPr>
        <w:adjustRightInd w:val="0"/>
        <w:snapToGrid w:val="0"/>
        <w:spacing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投标函</w:t>
      </w:r>
    </w:p>
    <w:p w14:paraId="16BB8FE6">
      <w:pPr>
        <w:rPr>
          <w:rFonts w:hint="eastAsia" w:ascii="华文中宋" w:hAnsi="华文中宋" w:eastAsia="华文中宋" w:cs="华文中宋"/>
          <w:color w:val="auto"/>
          <w:highlight w:val="none"/>
        </w:rPr>
      </w:pPr>
      <w:r>
        <w:rPr>
          <w:rFonts w:hint="eastAsia" w:ascii="华文中宋" w:hAnsi="华文中宋" w:cs="华文中宋"/>
          <w:color w:val="auto"/>
          <w:highlight w:val="none"/>
          <w:lang w:val="en-US" w:eastAsia="zh-CN"/>
        </w:rPr>
        <w:t>石楼县政务服务中心</w:t>
      </w:r>
      <w:r>
        <w:rPr>
          <w:rFonts w:hint="eastAsia" w:ascii="华文中宋" w:hAnsi="华文中宋" w:eastAsia="华文中宋" w:cs="华文中宋"/>
          <w:color w:val="auto"/>
          <w:highlight w:val="none"/>
        </w:rPr>
        <w:t>：</w:t>
      </w:r>
    </w:p>
    <w:p w14:paraId="3283AE4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我方对本次招标文件已详细审阅，内容全部清楚。我方自愿参加此次（招标项目名称、招标编号）采购项目投标，谨郑重声明以下诸点并对之负法律责任：</w:t>
      </w:r>
    </w:p>
    <w:p w14:paraId="7924235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1．我方同意招标文件的各项规定及你方对招标文件的解释。</w:t>
      </w:r>
    </w:p>
    <w:p w14:paraId="23DD506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2．如果我方存在违反政府采购相关法律法规及招标文件规定的行为，自愿接受没收投标保证金、禁止参加政府采购活动等相关处罚。</w:t>
      </w:r>
    </w:p>
    <w:p w14:paraId="5EFA28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3．我方按照“第二部分 投标人须知前附表 投标文件提交”的要求提交投标文件。 </w:t>
      </w:r>
    </w:p>
    <w:p w14:paraId="7867F2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4．我方同意投标有效期自提交投标文件的截止之日起算  天；</w:t>
      </w:r>
      <w:r>
        <w:rPr>
          <w:rFonts w:hint="eastAsia" w:ascii="华文中宋" w:hAnsi="华文中宋" w:eastAsia="华文中宋" w:cs="华文中宋"/>
          <w:color w:val="auto"/>
          <w:highlight w:val="none"/>
          <w:lang w:val="en-US" w:eastAsia="zh-CN"/>
        </w:rPr>
        <w:t>同意</w:t>
      </w:r>
      <w:r>
        <w:rPr>
          <w:rFonts w:hint="eastAsia" w:ascii="华文中宋" w:hAnsi="华文中宋" w:eastAsia="华文中宋" w:cs="华文中宋"/>
          <w:color w:val="auto"/>
          <w:highlight w:val="none"/>
        </w:rPr>
        <w:t>在特殊情况下，采购人或集中采购机构与我方协商延长投标有效期的规定。</w:t>
      </w:r>
    </w:p>
    <w:p w14:paraId="43DA935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5．我方提供的投标文件及资料、证照真实合法有效；</w:t>
      </w:r>
    </w:p>
    <w:p w14:paraId="65F52A1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6．我方愿向你方提供与本次招标有关的一切真实数据或资料；</w:t>
      </w:r>
    </w:p>
    <w:p w14:paraId="3199E1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7．我方同意承担由投标文件内容填报不清或填报错误，所造成的无效标、废标、落标等后果;</w:t>
      </w:r>
    </w:p>
    <w:p w14:paraId="6A44B7D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8．我方</w:t>
      </w:r>
      <w:r>
        <w:rPr>
          <w:rFonts w:hint="eastAsia" w:ascii="华文中宋" w:hAnsi="华文中宋" w:eastAsia="华文中宋" w:cs="华文中宋"/>
          <w:color w:val="auto"/>
          <w:highlight w:val="none"/>
          <w:lang w:val="en-US" w:eastAsia="zh-CN"/>
        </w:rPr>
        <w:t>同意</w:t>
      </w:r>
      <w:r>
        <w:rPr>
          <w:rFonts w:hint="eastAsia" w:ascii="华文中宋" w:hAnsi="华文中宋" w:eastAsia="华文中宋" w:cs="华文中宋"/>
          <w:color w:val="auto"/>
          <w:highlight w:val="none"/>
        </w:rPr>
        <w:t>你方组织的资格审查小组、评标委员会所做出的评审和选择，完全理解同意本招标项目不一定接受最低报价的投标，同意资格审查小组、评标委员会无义务向投标人进行任何有关评审解释的规定；</w:t>
      </w:r>
    </w:p>
    <w:p w14:paraId="70F546E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9．我方保证诚实履行合同，做到所供货物货真价实，绝不以次充好、以假充真，保质保量按期交货（完工）；</w:t>
      </w:r>
    </w:p>
    <w:p w14:paraId="399550E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10．我方保证按照服务承诺提供及时有效的售后服务。</w:t>
      </w:r>
    </w:p>
    <w:p w14:paraId="6C31EAD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投标单位全称（公章）：                </w:t>
      </w:r>
    </w:p>
    <w:p w14:paraId="18207C0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w:t>
      </w:r>
      <w:r>
        <w:rPr>
          <w:rFonts w:hint="eastAsia" w:ascii="华文中宋" w:hAnsi="华文中宋" w:eastAsia="华文中宋" w:cs="华文中宋"/>
          <w:color w:val="auto"/>
          <w:highlight w:val="none"/>
          <w:lang w:val="en-US" w:eastAsia="zh-CN"/>
        </w:rPr>
        <w:t>授权</w:t>
      </w:r>
      <w:r>
        <w:rPr>
          <w:rFonts w:hint="eastAsia" w:ascii="华文中宋" w:hAnsi="华文中宋" w:eastAsia="华文中宋" w:cs="华文中宋"/>
          <w:color w:val="auto"/>
          <w:highlight w:val="none"/>
        </w:rPr>
        <w:t>代理人：（签字或盖章）</w:t>
      </w:r>
    </w:p>
    <w:p w14:paraId="728091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签署日期：        年      月      日</w:t>
      </w:r>
    </w:p>
    <w:p w14:paraId="7BE60B2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16841F02">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73071177">
      <w:pPr>
        <w:adjustRightInd w:val="0"/>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投标报价表</w:t>
      </w:r>
    </w:p>
    <w:p w14:paraId="5C7F1354">
      <w:pPr>
        <w:adjustRightInd w:val="0"/>
        <w:snapToGrid w:val="0"/>
        <w:spacing w:after="0" w:line="540" w:lineRule="exact"/>
        <w:jc w:val="left"/>
        <w:rPr>
          <w:rFonts w:hint="eastAsia" w:ascii="华文中宋" w:hAnsi="华文中宋" w:eastAsia="华文中宋" w:cs="华文中宋"/>
          <w:b/>
          <w:color w:val="auto"/>
          <w:sz w:val="32"/>
          <w:szCs w:val="32"/>
          <w:highlight w:val="none"/>
        </w:rPr>
      </w:pPr>
    </w:p>
    <w:p w14:paraId="7013E16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本附件包含两部分，分别为“（一）报价表”、“（二）投标报价明细表”，请投标人填写完整。</w:t>
      </w:r>
    </w:p>
    <w:p w14:paraId="66737DD4">
      <w:pPr>
        <w:rPr>
          <w:rFonts w:hint="eastAsia" w:ascii="华文中宋" w:hAnsi="华文中宋" w:eastAsia="华文中宋" w:cs="华文中宋"/>
          <w:color w:val="auto"/>
          <w:highlight w:val="none"/>
        </w:rPr>
      </w:pPr>
    </w:p>
    <w:p w14:paraId="20BE3DA8">
      <w:pPr>
        <w:jc w:val="center"/>
        <w:rPr>
          <w:rFonts w:hint="eastAsia" w:ascii="华文中宋" w:hAnsi="华文中宋" w:eastAsia="华文中宋" w:cs="华文中宋"/>
          <w:color w:val="auto"/>
          <w:highlight w:val="none"/>
        </w:rPr>
      </w:pPr>
    </w:p>
    <w:p w14:paraId="24212329">
      <w:pPr>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（一）报价表</w:t>
      </w:r>
    </w:p>
    <w:p w14:paraId="7A8B21EA">
      <w:pPr>
        <w:jc w:val="righ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单位：元</w:t>
      </w:r>
    </w:p>
    <w:tbl>
      <w:tblPr>
        <w:tblStyle w:val="19"/>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248"/>
      </w:tblGrid>
      <w:tr w14:paraId="22B8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CC85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包号</w:t>
            </w: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662F01">
            <w:pPr>
              <w:rPr>
                <w:rFonts w:hint="eastAsia" w:ascii="华文中宋" w:hAnsi="华文中宋" w:eastAsia="华文中宋" w:cs="华文中宋"/>
                <w:color w:val="auto"/>
                <w:highlight w:val="none"/>
              </w:rPr>
            </w:pPr>
          </w:p>
        </w:tc>
      </w:tr>
      <w:tr w14:paraId="0B5B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F32D65">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en-US" w:eastAsia="zh-CN"/>
              </w:rPr>
              <w:t>投标报价</w:t>
            </w: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45FDA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人民币（小写）：</w:t>
            </w:r>
          </w:p>
        </w:tc>
      </w:tr>
      <w:tr w14:paraId="0A4B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BAA293">
            <w:pPr>
              <w:rPr>
                <w:rFonts w:hint="eastAsia" w:ascii="华文中宋" w:hAnsi="华文中宋" w:eastAsia="华文中宋" w:cs="华文中宋"/>
                <w:color w:val="auto"/>
                <w:highlight w:val="none"/>
              </w:rPr>
            </w:pP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BA28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人民币（大写）：</w:t>
            </w:r>
          </w:p>
        </w:tc>
      </w:tr>
      <w:tr w14:paraId="4122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981B2A">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eastAsia="zh-CN"/>
              </w:rPr>
              <w:t>合同履行期限</w:t>
            </w:r>
            <w:r>
              <w:rPr>
                <w:rFonts w:hint="eastAsia" w:ascii="华文中宋" w:hAnsi="华文中宋" w:eastAsia="华文中宋" w:cs="华文中宋"/>
                <w:color w:val="auto"/>
                <w:highlight w:val="none"/>
              </w:rPr>
              <w:t>限</w:t>
            </w: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3155FC">
            <w:pPr>
              <w:rPr>
                <w:rFonts w:hint="eastAsia" w:ascii="华文中宋" w:hAnsi="华文中宋" w:eastAsia="华文中宋" w:cs="华文中宋"/>
                <w:color w:val="auto"/>
                <w:highlight w:val="none"/>
              </w:rPr>
            </w:pPr>
          </w:p>
        </w:tc>
      </w:tr>
    </w:tbl>
    <w:p w14:paraId="5B57F011">
      <w:pPr>
        <w:rPr>
          <w:rFonts w:hint="eastAsia" w:ascii="华文中宋" w:hAnsi="华文中宋" w:eastAsia="华文中宋" w:cs="华文中宋"/>
          <w:color w:val="auto"/>
          <w:highlight w:val="none"/>
        </w:rPr>
      </w:pPr>
    </w:p>
    <w:p w14:paraId="5C937E41">
      <w:pPr>
        <w:rPr>
          <w:rFonts w:hint="eastAsia" w:ascii="华文中宋" w:hAnsi="华文中宋" w:eastAsia="华文中宋" w:cs="华文中宋"/>
          <w:color w:val="auto"/>
          <w:highlight w:val="none"/>
        </w:rPr>
      </w:pPr>
    </w:p>
    <w:p w14:paraId="23842F5A">
      <w:pPr>
        <w:rPr>
          <w:rFonts w:hint="eastAsia" w:ascii="华文中宋" w:hAnsi="华文中宋" w:eastAsia="华文中宋" w:cs="华文中宋"/>
          <w:color w:val="auto"/>
          <w:highlight w:val="none"/>
        </w:rPr>
      </w:pPr>
    </w:p>
    <w:p w14:paraId="5B780518">
      <w:pPr>
        <w:rPr>
          <w:rFonts w:hint="eastAsia" w:ascii="华文中宋" w:hAnsi="华文中宋" w:eastAsia="华文中宋" w:cs="华文中宋"/>
          <w:color w:val="auto"/>
          <w:highlight w:val="none"/>
        </w:rPr>
      </w:pPr>
    </w:p>
    <w:p w14:paraId="1DD2643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投标单位全称(公章)：                      </w:t>
      </w:r>
    </w:p>
    <w:p w14:paraId="4645A73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法定代表人或全权代理人：（签字或盖章） </w:t>
      </w:r>
    </w:p>
    <w:p w14:paraId="3F0442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签署日期：        年       月       日</w:t>
      </w:r>
    </w:p>
    <w:p w14:paraId="6246EB2E">
      <w:pPr>
        <w:rPr>
          <w:rFonts w:hint="eastAsia" w:ascii="华文中宋" w:hAnsi="华文中宋" w:eastAsia="华文中宋" w:cs="华文中宋"/>
          <w:color w:val="auto"/>
          <w:highlight w:val="none"/>
        </w:rPr>
        <w:sectPr>
          <w:footerReference r:id="rId8" w:type="default"/>
          <w:pgSz w:w="11906" w:h="16838"/>
          <w:pgMar w:top="1417" w:right="1418" w:bottom="1417" w:left="1417" w:header="851" w:footer="992" w:gutter="0"/>
          <w:lnNumType w:countBy="0" w:distance="360"/>
          <w:pgNumType w:fmt="decimal"/>
          <w:cols w:space="720" w:num="1"/>
          <w:docGrid w:linePitch="312" w:charSpace="0"/>
        </w:sectPr>
      </w:pPr>
    </w:p>
    <w:p w14:paraId="7196F223">
      <w:pPr>
        <w:tabs>
          <w:tab w:val="left" w:pos="3600"/>
        </w:tabs>
        <w:adjustRightInd w:val="0"/>
        <w:snapToGrid w:val="0"/>
        <w:spacing w:line="240" w:lineRule="auto"/>
        <w:jc w:val="center"/>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32"/>
          <w:szCs w:val="32"/>
          <w:highlight w:val="none"/>
        </w:rPr>
        <w:t>（二）投标报价明细表</w:t>
      </w:r>
    </w:p>
    <w:p w14:paraId="4D4C97BE">
      <w:pPr>
        <w:tabs>
          <w:tab w:val="left" w:pos="3600"/>
        </w:tabs>
        <w:adjustRightInd w:val="0"/>
        <w:snapToGrid w:val="0"/>
        <w:spacing w:line="240" w:lineRule="auto"/>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 xml:space="preserve">                                                                           单位：元</w:t>
      </w:r>
    </w:p>
    <w:tbl>
      <w:tblPr>
        <w:tblStyle w:val="19"/>
        <w:tblW w:w="3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803"/>
        <w:gridCol w:w="986"/>
        <w:gridCol w:w="928"/>
        <w:gridCol w:w="928"/>
        <w:gridCol w:w="963"/>
        <w:gridCol w:w="928"/>
        <w:gridCol w:w="1150"/>
        <w:gridCol w:w="741"/>
        <w:gridCol w:w="1618"/>
      </w:tblGrid>
      <w:tr w14:paraId="66AB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169D3C">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序号</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0B741B">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投标产品全称</w:t>
            </w: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A057FE">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生产厂家</w:t>
            </w: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635CC5">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产地</w:t>
            </w: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4CF649">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品牌</w:t>
            </w: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310D32">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型号</w:t>
            </w:r>
          </w:p>
          <w:p w14:paraId="30DE98F8">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或规格</w:t>
            </w: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6D3E39">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数量</w:t>
            </w: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2D5B80">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单价</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8B63B6">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金额小计</w:t>
            </w: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67B6CA">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lang w:val="en-US" w:eastAsia="zh-CN"/>
              </w:rPr>
              <w:t>备注</w:t>
            </w:r>
          </w:p>
        </w:tc>
      </w:tr>
      <w:tr w14:paraId="5381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322DD5">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865DD9">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485FC6">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181D95">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BB8450">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BAA337">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866F0F">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37660A">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D40CE2">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26CC27">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r>
      <w:tr w14:paraId="4170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974097">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852BAF">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1835E4">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6DB0CA">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52AD77">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14DF9C">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85890B">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9BC272">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C5675E">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EA5572">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r>
      <w:tr w14:paraId="4AF4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F3BE71">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BE3B88">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6A83A0">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FC494A">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6C8528">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5DE2D1">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65237D">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B69CD0">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2AFF17">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7D657D">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r>
      <w:tr w14:paraId="2FAF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16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98375E">
            <w:pPr>
              <w:adjustRightInd w:val="0"/>
              <w:snapToGrid w:val="0"/>
              <w:spacing w:after="0" w:line="240" w:lineRule="auto"/>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投标总价</w:t>
            </w:r>
          </w:p>
        </w:tc>
        <w:tc>
          <w:tcPr>
            <w:tcW w:w="3836" w:type="pct"/>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1547250D">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仿宋" w:hAnsi="仿宋" w:eastAsia="仿宋"/>
                <w:b/>
                <w:color w:val="auto"/>
                <w:sz w:val="24"/>
                <w:szCs w:val="24"/>
                <w:highlight w:val="none"/>
                <w:lang w:val="en-US" w:eastAsia="zh-CN"/>
              </w:rPr>
              <w:t>小写：                     大写：</w:t>
            </w:r>
          </w:p>
        </w:tc>
      </w:tr>
    </w:tbl>
    <w:p w14:paraId="44593000">
      <w:pPr>
        <w:adjustRightInd w:val="0"/>
        <w:snapToGrid w:val="0"/>
        <w:spacing w:after="0" w:line="540" w:lineRule="exact"/>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注：1．投标人</w:t>
      </w:r>
      <w:r>
        <w:rPr>
          <w:rFonts w:hint="eastAsia" w:ascii="华文中宋" w:hAnsi="华文中宋" w:eastAsia="华文中宋" w:cs="华文中宋"/>
          <w:color w:val="auto"/>
          <w:sz w:val="24"/>
          <w:szCs w:val="24"/>
          <w:highlight w:val="none"/>
          <w:lang w:val="en-US" w:eastAsia="zh-CN"/>
        </w:rPr>
        <w:t>完整填写表格内容，</w:t>
      </w:r>
      <w:r>
        <w:rPr>
          <w:rFonts w:hint="eastAsia" w:ascii="华文中宋" w:hAnsi="华文中宋" w:eastAsia="华文中宋" w:cs="华文中宋"/>
          <w:color w:val="auto"/>
          <w:sz w:val="24"/>
          <w:szCs w:val="24"/>
          <w:highlight w:val="none"/>
        </w:rPr>
        <w:t>不得更改表格格式，否则投标文件无效。</w:t>
      </w:r>
    </w:p>
    <w:p w14:paraId="2A5CAB3D">
      <w:pPr>
        <w:rPr>
          <w:rFonts w:hint="eastAsia" w:ascii="华文中宋" w:hAnsi="华文中宋" w:eastAsia="华文中宋" w:cs="华文中宋"/>
          <w:color w:val="auto"/>
          <w:highlight w:val="none"/>
        </w:rPr>
      </w:pPr>
    </w:p>
    <w:p w14:paraId="031E998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投标单位全称(公章)：                   </w:t>
      </w:r>
    </w:p>
    <w:p w14:paraId="6CE6C9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法定代表人或全权代理人： （</w:t>
      </w:r>
      <w:r>
        <w:rPr>
          <w:rFonts w:hint="eastAsia" w:ascii="华文中宋" w:hAnsi="华文中宋" w:eastAsia="华文中宋" w:cs="华文中宋"/>
          <w:color w:val="auto"/>
          <w:highlight w:val="none"/>
          <w:lang w:val="en-US" w:eastAsia="zh-CN"/>
        </w:rPr>
        <w:t>签字或盖章</w:t>
      </w:r>
      <w:r>
        <w:rPr>
          <w:rFonts w:hint="eastAsia" w:ascii="华文中宋" w:hAnsi="华文中宋" w:eastAsia="华文中宋" w:cs="华文中宋"/>
          <w:color w:val="auto"/>
          <w:highlight w:val="none"/>
        </w:rPr>
        <w:t xml:space="preserve">） </w:t>
      </w:r>
    </w:p>
    <w:p w14:paraId="0670958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 署 日 期：         年     月     日</w:t>
      </w:r>
    </w:p>
    <w:p w14:paraId="2F61BDA2">
      <w:pPr>
        <w:rPr>
          <w:rFonts w:hint="eastAsia" w:ascii="华文中宋" w:hAnsi="华文中宋" w:eastAsia="华文中宋" w:cs="华文中宋"/>
          <w:color w:val="auto"/>
          <w:highlight w:val="none"/>
        </w:rPr>
      </w:pPr>
    </w:p>
    <w:p w14:paraId="10CF3E35">
      <w:pPr>
        <w:rPr>
          <w:rFonts w:hint="eastAsia" w:ascii="华文中宋" w:hAnsi="华文中宋" w:eastAsia="华文中宋" w:cs="华文中宋"/>
          <w:color w:val="auto"/>
          <w:highlight w:val="none"/>
        </w:rPr>
        <w:sectPr>
          <w:footerReference r:id="rId9" w:type="default"/>
          <w:pgSz w:w="16838" w:h="11906" w:orient="landscape"/>
          <w:pgMar w:top="1531" w:right="1245" w:bottom="1418" w:left="1843" w:header="851" w:footer="992" w:gutter="0"/>
          <w:lnNumType w:countBy="0" w:distance="360"/>
          <w:pgNumType w:fmt="decimal"/>
          <w:cols w:space="720" w:num="1"/>
          <w:docGrid w:linePitch="312" w:charSpace="0"/>
        </w:sectPr>
      </w:pPr>
    </w:p>
    <w:p w14:paraId="452C7350">
      <w:pPr>
        <w:adjustRightInd w:val="0"/>
        <w:snapToGrid w:val="0"/>
        <w:spacing w:after="0"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投标货物技术偏离表</w:t>
      </w:r>
    </w:p>
    <w:p w14:paraId="0E3A17C3">
      <w:pPr>
        <w:adjustRightInd w:val="0"/>
        <w:snapToGrid w:val="0"/>
        <w:spacing w:line="192" w:lineRule="auto"/>
        <w:rPr>
          <w:rFonts w:hint="eastAsia" w:ascii="华文中宋" w:hAnsi="华文中宋" w:eastAsia="华文中宋" w:cs="华文中宋"/>
          <w:b/>
          <w:color w:val="auto"/>
          <w:sz w:val="24"/>
          <w:szCs w:val="24"/>
          <w:highlight w:val="none"/>
        </w:rPr>
      </w:pPr>
    </w:p>
    <w:p w14:paraId="5FA320C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项目名称：                                                 </w:t>
      </w:r>
    </w:p>
    <w:p w14:paraId="18FD0CF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项目编号：                                                 </w:t>
      </w:r>
    </w:p>
    <w:p w14:paraId="4731456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投标人名称：                                               </w:t>
      </w:r>
    </w:p>
    <w:tbl>
      <w:tblPr>
        <w:tblStyle w:val="19"/>
        <w:tblW w:w="9310" w:type="dxa"/>
        <w:tblInd w:w="-10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82"/>
        <w:gridCol w:w="1322"/>
        <w:gridCol w:w="719"/>
        <w:gridCol w:w="1917"/>
        <w:gridCol w:w="2037"/>
        <w:gridCol w:w="1207"/>
        <w:gridCol w:w="1526"/>
      </w:tblGrid>
      <w:tr w14:paraId="4DF67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0F2FB725">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D29B3C2">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货物名称</w:t>
            </w: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968B4D">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948D31">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招标文件技术规范、要求</w:t>
            </w: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65FD1DC">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投标文件对应规范</w:t>
            </w: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A4FFA0">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偏离情况</w:t>
            </w: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9ED80C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备注</w:t>
            </w:r>
          </w:p>
        </w:tc>
      </w:tr>
      <w:tr w14:paraId="6F2B9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2C352325">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461B3873">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30AA9D">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B3A721B">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01AF7D">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61BE4D">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F78E6B">
            <w:pPr>
              <w:rPr>
                <w:rFonts w:hint="eastAsia" w:ascii="华文中宋" w:hAnsi="华文中宋" w:eastAsia="华文中宋" w:cs="华文中宋"/>
                <w:color w:val="auto"/>
                <w:highlight w:val="none"/>
              </w:rPr>
            </w:pPr>
          </w:p>
        </w:tc>
      </w:tr>
      <w:tr w14:paraId="64B11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7EA0722C">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DC0D452">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4096FB">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FFE0B7">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794C983">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E83BF5">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992E59">
            <w:pPr>
              <w:rPr>
                <w:rFonts w:hint="eastAsia" w:ascii="华文中宋" w:hAnsi="华文中宋" w:eastAsia="华文中宋" w:cs="华文中宋"/>
                <w:color w:val="auto"/>
                <w:highlight w:val="none"/>
              </w:rPr>
            </w:pPr>
          </w:p>
        </w:tc>
      </w:tr>
      <w:tr w14:paraId="36966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5C0FBC0D">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3AC729AB">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D891FD">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729374">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137810">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FDFEFC">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E17F31">
            <w:pPr>
              <w:rPr>
                <w:rFonts w:hint="eastAsia" w:ascii="华文中宋" w:hAnsi="华文中宋" w:eastAsia="华文中宋" w:cs="华文中宋"/>
                <w:color w:val="auto"/>
                <w:highlight w:val="none"/>
              </w:rPr>
            </w:pPr>
          </w:p>
        </w:tc>
      </w:tr>
      <w:tr w14:paraId="5E53D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2F069800">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E3C3801">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C8526C">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87D31E4">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A4E211">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A4F3ADE">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52B4F5">
            <w:pPr>
              <w:rPr>
                <w:rFonts w:hint="eastAsia" w:ascii="华文中宋" w:hAnsi="华文中宋" w:eastAsia="华文中宋" w:cs="华文中宋"/>
                <w:color w:val="auto"/>
                <w:highlight w:val="none"/>
              </w:rPr>
            </w:pPr>
          </w:p>
        </w:tc>
      </w:tr>
      <w:tr w14:paraId="0FE81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4CDC145F">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3CE4CF74">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14F357">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D15FF41">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2BE8BD7">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51B523">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EA6C3C7">
            <w:pPr>
              <w:rPr>
                <w:rFonts w:hint="eastAsia" w:ascii="华文中宋" w:hAnsi="华文中宋" w:eastAsia="华文中宋" w:cs="华文中宋"/>
                <w:color w:val="auto"/>
                <w:highlight w:val="none"/>
              </w:rPr>
            </w:pPr>
          </w:p>
        </w:tc>
      </w:tr>
      <w:tr w14:paraId="3A93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376FE03">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511364DB">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2761BC7">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F534DD">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DB0500C">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A2E185">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AD68CC">
            <w:pPr>
              <w:rPr>
                <w:rFonts w:hint="eastAsia" w:ascii="华文中宋" w:hAnsi="华文中宋" w:eastAsia="华文中宋" w:cs="华文中宋"/>
                <w:color w:val="auto"/>
                <w:highlight w:val="none"/>
              </w:rPr>
            </w:pPr>
          </w:p>
        </w:tc>
      </w:tr>
      <w:tr w14:paraId="158D9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254CC49C">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764DF456">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30DC36">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1E13AA">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7D3CF2">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13F7DE">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69A099C">
            <w:pPr>
              <w:rPr>
                <w:rFonts w:hint="eastAsia" w:ascii="华文中宋" w:hAnsi="华文中宋" w:eastAsia="华文中宋" w:cs="华文中宋"/>
                <w:color w:val="auto"/>
                <w:highlight w:val="none"/>
              </w:rPr>
            </w:pPr>
          </w:p>
        </w:tc>
      </w:tr>
      <w:tr w14:paraId="510F5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075EFCEB">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34F4EF39">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574D811">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E07A93">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B1030B">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DE53B1">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8083CE">
            <w:pPr>
              <w:rPr>
                <w:rFonts w:hint="eastAsia" w:ascii="华文中宋" w:hAnsi="华文中宋" w:eastAsia="华文中宋" w:cs="华文中宋"/>
                <w:color w:val="auto"/>
                <w:highlight w:val="none"/>
              </w:rPr>
            </w:pPr>
          </w:p>
        </w:tc>
      </w:tr>
      <w:tr w14:paraId="64E7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3B711489">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98E8DA2">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FEB89E">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172F7E">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680B05">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9E0D4F">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8693101">
            <w:pPr>
              <w:rPr>
                <w:rFonts w:hint="eastAsia" w:ascii="华文中宋" w:hAnsi="华文中宋" w:eastAsia="华文中宋" w:cs="华文中宋"/>
                <w:color w:val="auto"/>
                <w:highlight w:val="none"/>
              </w:rPr>
            </w:pPr>
          </w:p>
        </w:tc>
      </w:tr>
      <w:tr w14:paraId="2955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459AB50C">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5C131B9">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C059D09">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CEEFCB8">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BE66FC">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B7C8D8">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44B840">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r>
      <w:tr w14:paraId="1595A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228C404B">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E293DA8">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B62188">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5A073FB">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E99BA6">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83FAE8">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D651C6">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r>
    </w:tbl>
    <w:p w14:paraId="2E0D313E">
      <w:pPr>
        <w:adjustRightInd w:val="0"/>
        <w:snapToGrid w:val="0"/>
        <w:spacing w:line="192" w:lineRule="auto"/>
        <w:rPr>
          <w:rFonts w:hint="eastAsia" w:ascii="华文中宋" w:hAnsi="华文中宋" w:eastAsia="华文中宋" w:cs="华文中宋"/>
          <w:b/>
          <w:color w:val="auto"/>
          <w:sz w:val="24"/>
          <w:szCs w:val="24"/>
          <w:highlight w:val="none"/>
        </w:rPr>
      </w:pPr>
    </w:p>
    <w:p w14:paraId="2528D5D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投标单位（公章）：                       </w:t>
      </w:r>
    </w:p>
    <w:p w14:paraId="789683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法定代表人或全权代理人（</w:t>
      </w:r>
      <w:r>
        <w:rPr>
          <w:rFonts w:hint="eastAsia" w:ascii="华文中宋" w:hAnsi="华文中宋" w:eastAsia="华文中宋" w:cs="华文中宋"/>
          <w:color w:val="auto"/>
          <w:highlight w:val="none"/>
          <w:lang w:val="en-US" w:eastAsia="zh-CN"/>
        </w:rPr>
        <w:t>签字或盖章</w:t>
      </w:r>
      <w:r>
        <w:rPr>
          <w:rFonts w:hint="eastAsia" w:ascii="华文中宋" w:hAnsi="华文中宋" w:eastAsia="华文中宋" w:cs="华文中宋"/>
          <w:color w:val="auto"/>
          <w:highlight w:val="none"/>
        </w:rPr>
        <w:t xml:space="preserve">）：             </w:t>
      </w:r>
    </w:p>
    <w:p w14:paraId="77B832C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日期：         </w:t>
      </w:r>
      <w:r>
        <w:rPr>
          <w:rFonts w:hint="eastAsia" w:ascii="华文中宋" w:hAnsi="华文中宋" w:eastAsia="华文中宋" w:cs="华文中宋"/>
          <w:color w:val="auto"/>
          <w:highlight w:val="none"/>
          <w:lang w:val="en-US" w:eastAsia="zh-CN"/>
        </w:rPr>
        <w:t>年  月  日</w:t>
      </w:r>
      <w:r>
        <w:rPr>
          <w:rFonts w:hint="eastAsia" w:ascii="华文中宋" w:hAnsi="华文中宋" w:eastAsia="华文中宋" w:cs="华文中宋"/>
          <w:color w:val="auto"/>
          <w:highlight w:val="none"/>
        </w:rPr>
        <w:t xml:space="preserve">                       </w:t>
      </w:r>
    </w:p>
    <w:p w14:paraId="51E1ADF9">
      <w:pPr>
        <w:adjustRightInd w:val="0"/>
        <w:snapToGrid w:val="0"/>
        <w:spacing w:line="360" w:lineRule="auto"/>
        <w:rPr>
          <w:rFonts w:hint="eastAsia" w:ascii="华文中宋" w:hAnsi="华文中宋" w:eastAsia="华文中宋" w:cs="华文中宋"/>
          <w:b/>
          <w:color w:val="auto"/>
          <w:sz w:val="24"/>
          <w:szCs w:val="24"/>
          <w:highlight w:val="none"/>
        </w:rPr>
      </w:pPr>
    </w:p>
    <w:p w14:paraId="64A92C50">
      <w:pPr>
        <w:adjustRightInd w:val="0"/>
        <w:snapToGrid w:val="0"/>
        <w:spacing w:line="360" w:lineRule="auto"/>
        <w:ind w:left="0" w:leftChars="0" w:firstLine="0" w:firstLineChars="0"/>
        <w:rPr>
          <w:rFonts w:hint="eastAsia" w:ascii="华文中宋" w:hAnsi="华文中宋" w:eastAsia="华文中宋" w:cs="华文中宋"/>
          <w:b/>
          <w:color w:val="auto"/>
          <w:sz w:val="24"/>
          <w:szCs w:val="24"/>
          <w:highlight w:val="none"/>
        </w:rPr>
      </w:pPr>
    </w:p>
    <w:p w14:paraId="00937B83">
      <w:pPr>
        <w:adjustRightInd w:val="0"/>
        <w:snapToGrid w:val="0"/>
        <w:spacing w:line="36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lang w:val="en-US" w:eastAsia="zh-CN"/>
        </w:rPr>
        <w:t>商务</w:t>
      </w:r>
      <w:r>
        <w:rPr>
          <w:rFonts w:hint="eastAsia" w:ascii="华文中宋" w:hAnsi="华文中宋" w:eastAsia="华文中宋" w:cs="华文中宋"/>
          <w:b/>
          <w:color w:val="auto"/>
          <w:sz w:val="32"/>
          <w:szCs w:val="32"/>
          <w:highlight w:val="none"/>
        </w:rPr>
        <w:t>要求偏离表</w:t>
      </w:r>
    </w:p>
    <w:p w14:paraId="3570DE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项目名称：                                                 </w:t>
      </w:r>
    </w:p>
    <w:p w14:paraId="4A9E259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项目编号：                                                 </w:t>
      </w:r>
    </w:p>
    <w:p w14:paraId="3617337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投标人名称：                                               </w:t>
      </w:r>
    </w:p>
    <w:tbl>
      <w:tblPr>
        <w:tblStyle w:val="19"/>
        <w:tblW w:w="924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95"/>
        <w:gridCol w:w="1985"/>
        <w:gridCol w:w="2668"/>
        <w:gridCol w:w="2151"/>
        <w:gridCol w:w="1134"/>
        <w:gridCol w:w="709"/>
      </w:tblGrid>
      <w:tr w14:paraId="28525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1CE6E4">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985"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7E7E9BCD">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招标文件条目号</w:t>
            </w:r>
          </w:p>
        </w:tc>
        <w:tc>
          <w:tcPr>
            <w:tcW w:w="26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25626D">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招标文件服务内容、要求</w:t>
            </w:r>
          </w:p>
        </w:tc>
        <w:tc>
          <w:tcPr>
            <w:tcW w:w="21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008FBE7">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响应文件对应内容、要求范</w:t>
            </w:r>
          </w:p>
        </w:tc>
        <w:tc>
          <w:tcPr>
            <w:tcW w:w="113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BF64D8">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偏离情况</w:t>
            </w:r>
          </w:p>
        </w:tc>
        <w:tc>
          <w:tcPr>
            <w:tcW w:w="70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DE6E546">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备注</w:t>
            </w:r>
          </w:p>
        </w:tc>
      </w:tr>
      <w:tr w14:paraId="3666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54613F">
            <w:pPr>
              <w:rPr>
                <w:rFonts w:hint="eastAsia" w:ascii="华文中宋" w:hAnsi="华文中宋" w:eastAsia="华文中宋" w:cs="华文中宋"/>
                <w:color w:val="auto"/>
                <w:highlight w:val="none"/>
              </w:rPr>
            </w:pPr>
          </w:p>
        </w:tc>
        <w:tc>
          <w:tcPr>
            <w:tcW w:w="1985"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7FB2A38F">
            <w:pPr>
              <w:rPr>
                <w:rFonts w:hint="eastAsia" w:ascii="华文中宋" w:hAnsi="华文中宋" w:eastAsia="华文中宋" w:cs="华文中宋"/>
                <w:color w:val="auto"/>
                <w:highlight w:val="none"/>
              </w:rPr>
            </w:pPr>
          </w:p>
        </w:tc>
        <w:tc>
          <w:tcPr>
            <w:tcW w:w="26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847574">
            <w:pPr>
              <w:rPr>
                <w:rFonts w:hint="eastAsia" w:ascii="华文中宋" w:hAnsi="华文中宋" w:eastAsia="华文中宋" w:cs="华文中宋"/>
                <w:color w:val="auto"/>
                <w:highlight w:val="none"/>
              </w:rPr>
            </w:pPr>
          </w:p>
        </w:tc>
        <w:tc>
          <w:tcPr>
            <w:tcW w:w="21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CDFCE2">
            <w:pPr>
              <w:rPr>
                <w:rFonts w:hint="eastAsia" w:ascii="华文中宋" w:hAnsi="华文中宋" w:eastAsia="华文中宋" w:cs="华文中宋"/>
                <w:color w:val="auto"/>
                <w:highlight w:val="none"/>
              </w:rPr>
            </w:pPr>
          </w:p>
        </w:tc>
        <w:tc>
          <w:tcPr>
            <w:tcW w:w="113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BC4222">
            <w:pPr>
              <w:rPr>
                <w:rFonts w:hint="eastAsia" w:ascii="华文中宋" w:hAnsi="华文中宋" w:eastAsia="华文中宋" w:cs="华文中宋"/>
                <w:color w:val="auto"/>
                <w:highlight w:val="none"/>
              </w:rPr>
            </w:pPr>
          </w:p>
        </w:tc>
        <w:tc>
          <w:tcPr>
            <w:tcW w:w="70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358AB99">
            <w:pPr>
              <w:rPr>
                <w:rFonts w:hint="eastAsia" w:ascii="华文中宋" w:hAnsi="华文中宋" w:eastAsia="华文中宋" w:cs="华文中宋"/>
                <w:color w:val="auto"/>
                <w:highlight w:val="none"/>
              </w:rPr>
            </w:pPr>
          </w:p>
        </w:tc>
      </w:tr>
      <w:tr w14:paraId="5AAC3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84DC1A">
            <w:pPr>
              <w:rPr>
                <w:rFonts w:hint="eastAsia" w:ascii="华文中宋" w:hAnsi="华文中宋" w:eastAsia="华文中宋" w:cs="华文中宋"/>
                <w:color w:val="auto"/>
                <w:highlight w:val="none"/>
              </w:rPr>
            </w:pPr>
          </w:p>
        </w:tc>
        <w:tc>
          <w:tcPr>
            <w:tcW w:w="1985"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65157ABB">
            <w:pPr>
              <w:rPr>
                <w:rFonts w:hint="eastAsia" w:ascii="华文中宋" w:hAnsi="华文中宋" w:eastAsia="华文中宋" w:cs="华文中宋"/>
                <w:color w:val="auto"/>
                <w:highlight w:val="none"/>
              </w:rPr>
            </w:pPr>
          </w:p>
        </w:tc>
        <w:tc>
          <w:tcPr>
            <w:tcW w:w="26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FE9CBE">
            <w:pPr>
              <w:rPr>
                <w:rFonts w:hint="eastAsia" w:ascii="华文中宋" w:hAnsi="华文中宋" w:eastAsia="华文中宋" w:cs="华文中宋"/>
                <w:color w:val="auto"/>
                <w:highlight w:val="none"/>
              </w:rPr>
            </w:pPr>
          </w:p>
        </w:tc>
        <w:tc>
          <w:tcPr>
            <w:tcW w:w="21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7EDFF6">
            <w:pPr>
              <w:rPr>
                <w:rFonts w:hint="eastAsia" w:ascii="华文中宋" w:hAnsi="华文中宋" w:eastAsia="华文中宋" w:cs="华文中宋"/>
                <w:color w:val="auto"/>
                <w:highlight w:val="none"/>
              </w:rPr>
            </w:pPr>
          </w:p>
        </w:tc>
        <w:tc>
          <w:tcPr>
            <w:tcW w:w="113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65CC46">
            <w:pPr>
              <w:rPr>
                <w:rFonts w:hint="eastAsia" w:ascii="华文中宋" w:hAnsi="华文中宋" w:eastAsia="华文中宋" w:cs="华文中宋"/>
                <w:color w:val="auto"/>
                <w:highlight w:val="none"/>
              </w:rPr>
            </w:pPr>
          </w:p>
        </w:tc>
        <w:tc>
          <w:tcPr>
            <w:tcW w:w="70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AB82BB">
            <w:pPr>
              <w:rPr>
                <w:rFonts w:hint="eastAsia" w:ascii="华文中宋" w:hAnsi="华文中宋" w:eastAsia="华文中宋" w:cs="华文中宋"/>
                <w:color w:val="auto"/>
                <w:highlight w:val="none"/>
              </w:rPr>
            </w:pPr>
          </w:p>
        </w:tc>
      </w:tr>
    </w:tbl>
    <w:p w14:paraId="06BABF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  </w:t>
      </w:r>
    </w:p>
    <w:p w14:paraId="561544AD">
      <w:pPr>
        <w:rPr>
          <w:rFonts w:hint="eastAsia" w:ascii="华文中宋" w:hAnsi="华文中宋" w:eastAsia="华文中宋" w:cs="华文中宋"/>
          <w:color w:val="auto"/>
          <w:highlight w:val="none"/>
        </w:rPr>
      </w:pPr>
    </w:p>
    <w:p w14:paraId="3D926D82">
      <w:pPr>
        <w:rPr>
          <w:rFonts w:hint="eastAsia" w:ascii="华文中宋" w:hAnsi="华文中宋" w:eastAsia="华文中宋" w:cs="华文中宋"/>
          <w:color w:val="auto"/>
          <w:highlight w:val="none"/>
        </w:rPr>
      </w:pPr>
    </w:p>
    <w:p w14:paraId="3720CC7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投标单位（公章）：                       </w:t>
      </w:r>
    </w:p>
    <w:p w14:paraId="1969322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法定代表人或全权代理人（</w:t>
      </w:r>
      <w:r>
        <w:rPr>
          <w:rFonts w:hint="eastAsia" w:ascii="华文中宋" w:hAnsi="华文中宋" w:eastAsia="华文中宋" w:cs="华文中宋"/>
          <w:color w:val="auto"/>
          <w:highlight w:val="none"/>
          <w:lang w:val="en-US" w:eastAsia="zh-CN"/>
        </w:rPr>
        <w:t>签字或盖章</w:t>
      </w:r>
      <w:r>
        <w:rPr>
          <w:rFonts w:hint="eastAsia" w:ascii="华文中宋" w:hAnsi="华文中宋" w:eastAsia="华文中宋" w:cs="华文中宋"/>
          <w:color w:val="auto"/>
          <w:highlight w:val="none"/>
        </w:rPr>
        <w:t xml:space="preserve">）：             </w:t>
      </w:r>
    </w:p>
    <w:p w14:paraId="065D0F4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日期：          </w:t>
      </w:r>
      <w:r>
        <w:rPr>
          <w:rFonts w:hint="eastAsia" w:ascii="华文中宋" w:hAnsi="华文中宋" w:eastAsia="华文中宋" w:cs="华文中宋"/>
          <w:color w:val="auto"/>
          <w:highlight w:val="none"/>
          <w:lang w:val="en-US" w:eastAsia="zh-CN"/>
        </w:rPr>
        <w:t>年  月  日</w:t>
      </w:r>
      <w:r>
        <w:rPr>
          <w:rFonts w:hint="eastAsia" w:ascii="华文中宋" w:hAnsi="华文中宋" w:eastAsia="华文中宋" w:cs="华文中宋"/>
          <w:color w:val="auto"/>
          <w:highlight w:val="none"/>
        </w:rPr>
        <w:t xml:space="preserve">                            </w:t>
      </w:r>
    </w:p>
    <w:p w14:paraId="770C40D1">
      <w:pPr>
        <w:rPr>
          <w:rFonts w:hint="eastAsia" w:ascii="华文中宋" w:hAnsi="华文中宋" w:eastAsia="华文中宋" w:cs="华文中宋"/>
          <w:color w:val="auto"/>
          <w:highlight w:val="none"/>
        </w:rPr>
      </w:pPr>
    </w:p>
    <w:p w14:paraId="1DC80B35">
      <w:pPr>
        <w:tabs>
          <w:tab w:val="left" w:pos="1680"/>
        </w:tabs>
        <w:adjustRightInd w:val="0"/>
        <w:snapToGrid w:val="0"/>
        <w:spacing w:line="540" w:lineRule="exact"/>
        <w:rPr>
          <w:rFonts w:hint="eastAsia" w:ascii="华文中宋" w:hAnsi="华文中宋" w:eastAsia="华文中宋" w:cs="华文中宋"/>
          <w:color w:val="auto"/>
          <w:sz w:val="24"/>
          <w:szCs w:val="24"/>
          <w:highlight w:val="none"/>
          <w:u w:val="single"/>
        </w:rPr>
      </w:pPr>
    </w:p>
    <w:p w14:paraId="47384084">
      <w:pP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06429A99">
      <w:pPr>
        <w:spacing w:after="0" w:line="240" w:lineRule="auto"/>
        <w:rPr>
          <w:rFonts w:hint="eastAsia" w:ascii="华文中宋" w:hAnsi="华文中宋" w:eastAsia="华文中宋" w:cs="华文中宋"/>
          <w:b/>
          <w:color w:val="auto"/>
          <w:sz w:val="24"/>
          <w:szCs w:val="24"/>
          <w:highlight w:val="none"/>
        </w:rPr>
      </w:pPr>
    </w:p>
    <w:p w14:paraId="627D1DAB">
      <w:pPr>
        <w:spacing w:after="0" w:line="240" w:lineRule="auto"/>
        <w:jc w:val="center"/>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28"/>
          <w:szCs w:val="28"/>
          <w:highlight w:val="none"/>
        </w:rPr>
        <w:t>投标人业绩情况</w:t>
      </w:r>
    </w:p>
    <w:p w14:paraId="00DFC769">
      <w:pPr>
        <w:spacing w:after="0" w:line="240" w:lineRule="auto"/>
        <w:rPr>
          <w:rFonts w:hint="eastAsia" w:ascii="华文中宋" w:hAnsi="华文中宋" w:eastAsia="华文中宋" w:cs="华文中宋"/>
          <w:b/>
          <w:color w:val="auto"/>
          <w:sz w:val="24"/>
          <w:szCs w:val="24"/>
          <w:highlight w:val="none"/>
        </w:rPr>
      </w:pPr>
    </w:p>
    <w:p w14:paraId="4B32E589">
      <w:pPr>
        <w:spacing w:after="0" w:line="240" w:lineRule="auto"/>
        <w:rPr>
          <w:rFonts w:hint="eastAsia" w:ascii="华文中宋" w:hAnsi="华文中宋" w:eastAsia="华文中宋" w:cs="华文中宋"/>
          <w:b/>
          <w:color w:val="auto"/>
          <w:sz w:val="24"/>
          <w:szCs w:val="24"/>
          <w:highlight w:val="none"/>
        </w:rPr>
      </w:pPr>
    </w:p>
    <w:p w14:paraId="6CD5F96E">
      <w:pPr>
        <w:spacing w:after="0" w:line="240" w:lineRule="auto"/>
        <w:rPr>
          <w:rFonts w:hint="eastAsia" w:ascii="华文中宋" w:hAnsi="华文中宋" w:eastAsia="华文中宋" w:cs="华文中宋"/>
          <w:b/>
          <w:color w:val="auto"/>
          <w:sz w:val="24"/>
          <w:szCs w:val="24"/>
          <w:highlight w:val="none"/>
        </w:rPr>
      </w:pPr>
    </w:p>
    <w:p w14:paraId="4AAAD561">
      <w:pPr>
        <w:spacing w:after="0" w:line="240" w:lineRule="auto"/>
        <w:rPr>
          <w:rFonts w:hint="eastAsia" w:ascii="华文中宋" w:hAnsi="华文中宋" w:eastAsia="华文中宋" w:cs="华文中宋"/>
          <w:b/>
          <w:color w:val="auto"/>
          <w:sz w:val="24"/>
          <w:szCs w:val="24"/>
          <w:highlight w:val="none"/>
        </w:rPr>
      </w:pPr>
    </w:p>
    <w:p w14:paraId="2A90B8E7">
      <w:pPr>
        <w:spacing w:after="0" w:line="240" w:lineRule="auto"/>
        <w:rPr>
          <w:rFonts w:hint="eastAsia" w:ascii="华文中宋" w:hAnsi="华文中宋" w:eastAsia="华文中宋" w:cs="华文中宋"/>
          <w:b/>
          <w:color w:val="auto"/>
          <w:sz w:val="24"/>
          <w:szCs w:val="24"/>
          <w:highlight w:val="none"/>
        </w:rPr>
      </w:pPr>
    </w:p>
    <w:p w14:paraId="08265020">
      <w:pPr>
        <w:spacing w:after="0" w:line="240" w:lineRule="auto"/>
        <w:rPr>
          <w:rFonts w:hint="eastAsia" w:ascii="华文中宋" w:hAnsi="华文中宋" w:eastAsia="华文中宋" w:cs="华文中宋"/>
          <w:b/>
          <w:color w:val="auto"/>
          <w:sz w:val="24"/>
          <w:szCs w:val="24"/>
          <w:highlight w:val="none"/>
        </w:rPr>
      </w:pPr>
    </w:p>
    <w:p w14:paraId="33FF03C0">
      <w:pPr>
        <w:spacing w:after="0" w:line="240" w:lineRule="auto"/>
        <w:rPr>
          <w:rFonts w:hint="eastAsia" w:ascii="华文中宋" w:hAnsi="华文中宋" w:eastAsia="华文中宋" w:cs="华文中宋"/>
          <w:b/>
          <w:color w:val="auto"/>
          <w:sz w:val="24"/>
          <w:szCs w:val="24"/>
          <w:highlight w:val="none"/>
        </w:rPr>
      </w:pPr>
    </w:p>
    <w:p w14:paraId="44B0898A">
      <w:pPr>
        <w:spacing w:after="0" w:line="240" w:lineRule="auto"/>
        <w:rPr>
          <w:rFonts w:hint="eastAsia" w:ascii="华文中宋" w:hAnsi="华文中宋" w:eastAsia="华文中宋" w:cs="华文中宋"/>
          <w:b/>
          <w:color w:val="auto"/>
          <w:sz w:val="24"/>
          <w:szCs w:val="24"/>
          <w:highlight w:val="none"/>
        </w:rPr>
      </w:pPr>
    </w:p>
    <w:p w14:paraId="131903E5">
      <w:pPr>
        <w:spacing w:after="0" w:line="240" w:lineRule="auto"/>
        <w:rPr>
          <w:rFonts w:hint="eastAsia" w:ascii="华文中宋" w:hAnsi="华文中宋" w:eastAsia="华文中宋" w:cs="华文中宋"/>
          <w:b/>
          <w:color w:val="auto"/>
          <w:sz w:val="24"/>
          <w:szCs w:val="24"/>
          <w:highlight w:val="none"/>
        </w:rPr>
      </w:pPr>
    </w:p>
    <w:p w14:paraId="1188D142">
      <w:pPr>
        <w:spacing w:after="0" w:line="240" w:lineRule="auto"/>
        <w:rPr>
          <w:rFonts w:hint="eastAsia" w:ascii="华文中宋" w:hAnsi="华文中宋" w:eastAsia="华文中宋" w:cs="华文中宋"/>
          <w:b/>
          <w:color w:val="auto"/>
          <w:sz w:val="24"/>
          <w:szCs w:val="24"/>
          <w:highlight w:val="none"/>
        </w:rPr>
      </w:pPr>
    </w:p>
    <w:p w14:paraId="0387E919">
      <w:pPr>
        <w:spacing w:after="0" w:line="240" w:lineRule="auto"/>
        <w:rPr>
          <w:rFonts w:hint="eastAsia" w:ascii="华文中宋" w:hAnsi="华文中宋" w:eastAsia="华文中宋" w:cs="华文中宋"/>
          <w:b/>
          <w:color w:val="auto"/>
          <w:sz w:val="24"/>
          <w:szCs w:val="24"/>
          <w:highlight w:val="none"/>
        </w:rPr>
      </w:pPr>
    </w:p>
    <w:p w14:paraId="5043588B">
      <w:pPr>
        <w:spacing w:after="0" w:line="240" w:lineRule="auto"/>
        <w:rPr>
          <w:rFonts w:hint="eastAsia" w:ascii="华文中宋" w:hAnsi="华文中宋" w:eastAsia="华文中宋" w:cs="华文中宋"/>
          <w:b/>
          <w:color w:val="auto"/>
          <w:sz w:val="24"/>
          <w:szCs w:val="24"/>
          <w:highlight w:val="none"/>
        </w:rPr>
      </w:pPr>
    </w:p>
    <w:p w14:paraId="471DAE90">
      <w:pPr>
        <w:spacing w:after="0" w:line="240" w:lineRule="auto"/>
        <w:rPr>
          <w:rFonts w:hint="eastAsia" w:ascii="华文中宋" w:hAnsi="华文中宋" w:eastAsia="华文中宋" w:cs="华文中宋"/>
          <w:b/>
          <w:color w:val="auto"/>
          <w:sz w:val="24"/>
          <w:szCs w:val="24"/>
          <w:highlight w:val="none"/>
        </w:rPr>
      </w:pPr>
    </w:p>
    <w:p w14:paraId="5898A480">
      <w:pPr>
        <w:spacing w:after="0" w:line="240" w:lineRule="auto"/>
        <w:rPr>
          <w:rFonts w:hint="eastAsia" w:ascii="华文中宋" w:hAnsi="华文中宋" w:eastAsia="华文中宋" w:cs="华文中宋"/>
          <w:b/>
          <w:color w:val="auto"/>
          <w:sz w:val="24"/>
          <w:szCs w:val="24"/>
          <w:highlight w:val="none"/>
        </w:rPr>
      </w:pPr>
    </w:p>
    <w:p w14:paraId="597BAAE4">
      <w:pPr>
        <w:spacing w:after="0" w:line="240" w:lineRule="auto"/>
        <w:rPr>
          <w:rFonts w:hint="eastAsia" w:ascii="华文中宋" w:hAnsi="华文中宋" w:eastAsia="华文中宋" w:cs="华文中宋"/>
          <w:b/>
          <w:color w:val="auto"/>
          <w:sz w:val="24"/>
          <w:szCs w:val="24"/>
          <w:highlight w:val="none"/>
        </w:rPr>
      </w:pPr>
    </w:p>
    <w:p w14:paraId="1BA03D56">
      <w:pPr>
        <w:spacing w:after="0" w:line="240" w:lineRule="auto"/>
        <w:rPr>
          <w:rFonts w:hint="eastAsia" w:ascii="华文中宋" w:hAnsi="华文中宋" w:eastAsia="华文中宋" w:cs="华文中宋"/>
          <w:b/>
          <w:color w:val="auto"/>
          <w:sz w:val="24"/>
          <w:szCs w:val="24"/>
          <w:highlight w:val="none"/>
        </w:rPr>
      </w:pPr>
    </w:p>
    <w:p w14:paraId="0C0AB25D">
      <w:pPr>
        <w:spacing w:after="0" w:line="240" w:lineRule="auto"/>
        <w:rPr>
          <w:rFonts w:hint="eastAsia" w:ascii="华文中宋" w:hAnsi="华文中宋" w:eastAsia="华文中宋" w:cs="华文中宋"/>
          <w:b/>
          <w:color w:val="auto"/>
          <w:sz w:val="24"/>
          <w:szCs w:val="24"/>
          <w:highlight w:val="none"/>
        </w:rPr>
      </w:pPr>
    </w:p>
    <w:p w14:paraId="7638D216">
      <w:pPr>
        <w:spacing w:after="0" w:line="240" w:lineRule="auto"/>
        <w:rPr>
          <w:rFonts w:hint="eastAsia" w:ascii="华文中宋" w:hAnsi="华文中宋" w:eastAsia="华文中宋" w:cs="华文中宋"/>
          <w:b/>
          <w:color w:val="auto"/>
          <w:sz w:val="24"/>
          <w:szCs w:val="24"/>
          <w:highlight w:val="none"/>
        </w:rPr>
      </w:pPr>
    </w:p>
    <w:p w14:paraId="533D2FBB">
      <w:pPr>
        <w:spacing w:after="0" w:line="240" w:lineRule="auto"/>
        <w:rPr>
          <w:rFonts w:hint="eastAsia" w:ascii="华文中宋" w:hAnsi="华文中宋" w:eastAsia="华文中宋" w:cs="华文中宋"/>
          <w:b/>
          <w:color w:val="auto"/>
          <w:sz w:val="24"/>
          <w:szCs w:val="24"/>
          <w:highlight w:val="none"/>
        </w:rPr>
      </w:pPr>
    </w:p>
    <w:p w14:paraId="2F13252C">
      <w:pPr>
        <w:spacing w:after="0" w:line="240" w:lineRule="auto"/>
        <w:rPr>
          <w:rFonts w:hint="eastAsia" w:ascii="华文中宋" w:hAnsi="华文中宋" w:eastAsia="华文中宋" w:cs="华文中宋"/>
          <w:b/>
          <w:color w:val="auto"/>
          <w:sz w:val="24"/>
          <w:szCs w:val="24"/>
          <w:highlight w:val="none"/>
        </w:rPr>
      </w:pPr>
    </w:p>
    <w:p w14:paraId="04D77ADA">
      <w:pPr>
        <w:spacing w:after="0" w:line="240" w:lineRule="auto"/>
        <w:rPr>
          <w:rFonts w:hint="eastAsia" w:ascii="华文中宋" w:hAnsi="华文中宋" w:eastAsia="华文中宋" w:cs="华文中宋"/>
          <w:b/>
          <w:color w:val="auto"/>
          <w:sz w:val="24"/>
          <w:szCs w:val="24"/>
          <w:highlight w:val="none"/>
        </w:rPr>
      </w:pPr>
    </w:p>
    <w:p w14:paraId="482D8288">
      <w:pPr>
        <w:spacing w:after="0" w:line="240" w:lineRule="auto"/>
        <w:rPr>
          <w:rFonts w:hint="eastAsia" w:ascii="华文中宋" w:hAnsi="华文中宋" w:eastAsia="华文中宋" w:cs="华文中宋"/>
          <w:b/>
          <w:color w:val="auto"/>
          <w:sz w:val="24"/>
          <w:szCs w:val="24"/>
          <w:highlight w:val="none"/>
        </w:rPr>
      </w:pPr>
    </w:p>
    <w:p w14:paraId="5A731938">
      <w:pPr>
        <w:spacing w:after="0" w:line="240" w:lineRule="auto"/>
        <w:rPr>
          <w:rFonts w:hint="eastAsia" w:ascii="华文中宋" w:hAnsi="华文中宋" w:eastAsia="华文中宋" w:cs="华文中宋"/>
          <w:b/>
          <w:color w:val="auto"/>
          <w:sz w:val="24"/>
          <w:szCs w:val="24"/>
          <w:highlight w:val="none"/>
        </w:rPr>
      </w:pPr>
    </w:p>
    <w:p w14:paraId="274C1324">
      <w:pPr>
        <w:spacing w:after="0" w:line="240" w:lineRule="auto"/>
        <w:rPr>
          <w:rFonts w:hint="eastAsia" w:ascii="华文中宋" w:hAnsi="华文中宋" w:eastAsia="华文中宋" w:cs="华文中宋"/>
          <w:b/>
          <w:color w:val="auto"/>
          <w:sz w:val="24"/>
          <w:szCs w:val="24"/>
          <w:highlight w:val="none"/>
        </w:rPr>
      </w:pPr>
    </w:p>
    <w:p w14:paraId="6A342E11">
      <w:pPr>
        <w:spacing w:after="0" w:line="240" w:lineRule="auto"/>
        <w:rPr>
          <w:rFonts w:hint="eastAsia" w:ascii="华文中宋" w:hAnsi="华文中宋" w:eastAsia="华文中宋" w:cs="华文中宋"/>
          <w:b/>
          <w:color w:val="auto"/>
          <w:sz w:val="24"/>
          <w:szCs w:val="24"/>
          <w:highlight w:val="none"/>
        </w:rPr>
      </w:pPr>
    </w:p>
    <w:p w14:paraId="42958E96">
      <w:pPr>
        <w:spacing w:after="0" w:line="240" w:lineRule="auto"/>
        <w:rPr>
          <w:rFonts w:hint="eastAsia" w:ascii="华文中宋" w:hAnsi="华文中宋" w:eastAsia="华文中宋" w:cs="华文中宋"/>
          <w:b/>
          <w:color w:val="auto"/>
          <w:sz w:val="24"/>
          <w:szCs w:val="24"/>
          <w:highlight w:val="none"/>
        </w:rPr>
      </w:pPr>
    </w:p>
    <w:p w14:paraId="7631EF44">
      <w:pPr>
        <w:spacing w:after="0" w:line="240" w:lineRule="auto"/>
        <w:rPr>
          <w:rFonts w:hint="eastAsia" w:ascii="华文中宋" w:hAnsi="华文中宋" w:eastAsia="华文中宋" w:cs="华文中宋"/>
          <w:b/>
          <w:color w:val="auto"/>
          <w:sz w:val="24"/>
          <w:szCs w:val="24"/>
          <w:highlight w:val="none"/>
        </w:rPr>
      </w:pPr>
    </w:p>
    <w:p w14:paraId="23E88049">
      <w:pPr>
        <w:spacing w:after="0" w:line="240" w:lineRule="auto"/>
        <w:rPr>
          <w:rFonts w:hint="eastAsia" w:ascii="华文中宋" w:hAnsi="华文中宋" w:eastAsia="华文中宋" w:cs="华文中宋"/>
          <w:b/>
          <w:color w:val="auto"/>
          <w:sz w:val="24"/>
          <w:szCs w:val="24"/>
          <w:highlight w:val="none"/>
        </w:rPr>
      </w:pPr>
    </w:p>
    <w:p w14:paraId="01366BCB">
      <w:pPr>
        <w:spacing w:after="0" w:line="240" w:lineRule="auto"/>
        <w:rPr>
          <w:rFonts w:hint="eastAsia" w:ascii="华文中宋" w:hAnsi="华文中宋" w:eastAsia="华文中宋" w:cs="华文中宋"/>
          <w:b/>
          <w:color w:val="auto"/>
          <w:sz w:val="24"/>
          <w:szCs w:val="24"/>
          <w:highlight w:val="none"/>
        </w:rPr>
      </w:pPr>
    </w:p>
    <w:p w14:paraId="67FD8B8D">
      <w:pPr>
        <w:spacing w:after="0" w:line="240" w:lineRule="auto"/>
        <w:rPr>
          <w:rFonts w:hint="eastAsia" w:ascii="华文中宋" w:hAnsi="华文中宋" w:eastAsia="华文中宋" w:cs="华文中宋"/>
          <w:b/>
          <w:color w:val="auto"/>
          <w:sz w:val="24"/>
          <w:szCs w:val="24"/>
          <w:highlight w:val="none"/>
        </w:rPr>
      </w:pPr>
    </w:p>
    <w:p w14:paraId="7022A381">
      <w:pPr>
        <w:spacing w:after="0" w:line="240" w:lineRule="auto"/>
        <w:rPr>
          <w:rFonts w:hint="eastAsia" w:ascii="华文中宋" w:hAnsi="华文中宋" w:eastAsia="华文中宋" w:cs="华文中宋"/>
          <w:b/>
          <w:color w:val="auto"/>
          <w:sz w:val="24"/>
          <w:szCs w:val="24"/>
          <w:highlight w:val="none"/>
        </w:rPr>
      </w:pPr>
    </w:p>
    <w:p w14:paraId="1190566D">
      <w:pPr>
        <w:spacing w:after="0" w:line="240" w:lineRule="auto"/>
        <w:rPr>
          <w:rFonts w:hint="eastAsia" w:ascii="华文中宋" w:hAnsi="华文中宋" w:eastAsia="华文中宋" w:cs="华文中宋"/>
          <w:b/>
          <w:color w:val="auto"/>
          <w:sz w:val="24"/>
          <w:szCs w:val="24"/>
          <w:highlight w:val="none"/>
        </w:rPr>
      </w:pPr>
    </w:p>
    <w:p w14:paraId="73FB5AF9">
      <w:pPr>
        <w:spacing w:after="0" w:line="240" w:lineRule="auto"/>
        <w:rPr>
          <w:rFonts w:hint="eastAsia" w:ascii="华文中宋" w:hAnsi="华文中宋" w:eastAsia="华文中宋" w:cs="华文中宋"/>
          <w:b/>
          <w:color w:val="auto"/>
          <w:sz w:val="24"/>
          <w:szCs w:val="24"/>
          <w:highlight w:val="none"/>
        </w:rPr>
      </w:pPr>
    </w:p>
    <w:p w14:paraId="29E9D1AD">
      <w:pPr>
        <w:spacing w:after="0" w:line="240" w:lineRule="auto"/>
        <w:rPr>
          <w:rFonts w:hint="eastAsia" w:ascii="华文中宋" w:hAnsi="华文中宋" w:eastAsia="华文中宋" w:cs="华文中宋"/>
          <w:b/>
          <w:color w:val="auto"/>
          <w:sz w:val="24"/>
          <w:szCs w:val="24"/>
          <w:highlight w:val="none"/>
        </w:rPr>
      </w:pPr>
    </w:p>
    <w:p w14:paraId="4E1FE85B">
      <w:pPr>
        <w:spacing w:after="0" w:line="240" w:lineRule="auto"/>
        <w:rPr>
          <w:rFonts w:hint="eastAsia" w:ascii="华文中宋" w:hAnsi="华文中宋" w:eastAsia="华文中宋" w:cs="华文中宋"/>
          <w:b/>
          <w:color w:val="auto"/>
          <w:sz w:val="24"/>
          <w:szCs w:val="24"/>
          <w:highlight w:val="none"/>
        </w:rPr>
      </w:pPr>
    </w:p>
    <w:p w14:paraId="1FC1AD66">
      <w:pPr>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投标货物功能、性能、技术参数说明</w:t>
      </w:r>
    </w:p>
    <w:p w14:paraId="49D1728B">
      <w:pPr>
        <w:spacing w:line="240" w:lineRule="auto"/>
        <w:rPr>
          <w:rFonts w:hint="eastAsia" w:ascii="华文中宋" w:hAnsi="华文中宋" w:eastAsia="华文中宋" w:cs="华文中宋"/>
          <w:color w:val="auto"/>
          <w:sz w:val="24"/>
          <w:szCs w:val="24"/>
          <w:highlight w:val="none"/>
        </w:rPr>
        <w:sectPr>
          <w:footerReference r:id="rId10" w:type="default"/>
          <w:pgSz w:w="11906" w:h="16838"/>
          <w:pgMar w:top="2155" w:right="1418" w:bottom="2041" w:left="1531" w:header="851" w:footer="992" w:gutter="0"/>
          <w:lnNumType w:countBy="0" w:distance="360"/>
          <w:pgNumType w:fmt="decimal"/>
          <w:cols w:space="720" w:num="1"/>
          <w:docGrid w:linePitch="312" w:charSpace="0"/>
        </w:sectPr>
      </w:pPr>
    </w:p>
    <w:p w14:paraId="3134B0E2">
      <w:pPr>
        <w:jc w:val="center"/>
        <w:rPr>
          <w:rFonts w:hint="eastAsia" w:ascii="华文中宋" w:hAnsi="华文中宋" w:eastAsia="华文中宋" w:cs="华文中宋"/>
          <w:b/>
          <w:color w:val="auto"/>
          <w:sz w:val="32"/>
          <w:szCs w:val="32"/>
          <w:highlight w:val="none"/>
          <w:lang w:val="en-US" w:eastAsia="zh-CN"/>
        </w:rPr>
      </w:pPr>
      <w:r>
        <w:rPr>
          <w:rFonts w:hint="eastAsia" w:ascii="华文中宋" w:hAnsi="华文中宋" w:eastAsia="华文中宋" w:cs="华文中宋"/>
          <w:b/>
          <w:color w:val="auto"/>
          <w:sz w:val="32"/>
          <w:szCs w:val="32"/>
          <w:highlight w:val="none"/>
          <w:lang w:val="en-US" w:eastAsia="zh-CN"/>
        </w:rPr>
        <w:t>供货、服务方案</w:t>
      </w:r>
    </w:p>
    <w:p w14:paraId="4A8B04EB">
      <w:pPr>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32"/>
          <w:szCs w:val="32"/>
          <w:highlight w:val="none"/>
        </w:rPr>
        <w:br w:type="page"/>
      </w:r>
    </w:p>
    <w:p w14:paraId="4A5E412B">
      <w:pPr>
        <w:spacing w:line="240" w:lineRule="auto"/>
        <w:rPr>
          <w:rFonts w:hint="eastAsia" w:ascii="华文中宋" w:hAnsi="华文中宋" w:eastAsia="华文中宋" w:cs="华文中宋"/>
          <w:color w:val="auto"/>
          <w:sz w:val="24"/>
          <w:szCs w:val="24"/>
          <w:highlight w:val="none"/>
        </w:rPr>
        <w:sectPr>
          <w:pgSz w:w="11906" w:h="16838"/>
          <w:pgMar w:top="2155" w:right="1418" w:bottom="2041" w:left="1531" w:header="851" w:footer="992" w:gutter="0"/>
          <w:lnNumType w:countBy="0" w:distance="360"/>
          <w:pgNumType w:fmt="decimal"/>
          <w:cols w:space="720" w:num="1"/>
          <w:docGrid w:linePitch="312" w:charSpace="0"/>
        </w:sectPr>
      </w:pPr>
    </w:p>
    <w:p w14:paraId="6B4EEE3D">
      <w:pPr>
        <w:spacing w:after="0" w:line="240" w:lineRule="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附件1</w:t>
      </w:r>
    </w:p>
    <w:p w14:paraId="0C13E155">
      <w:pPr>
        <w:widowControl/>
        <w:spacing w:before="100" w:beforeAutospacing="1" w:after="100" w:afterAutospacing="1" w:line="435" w:lineRule="atLeast"/>
        <w:jc w:val="center"/>
        <w:rPr>
          <w:rFonts w:hint="eastAsia" w:ascii="华文中宋" w:hAnsi="华文中宋" w:eastAsia="华文中宋" w:cs="华文中宋"/>
          <w:color w:val="auto"/>
          <w:sz w:val="21"/>
          <w:szCs w:val="21"/>
          <w:highlight w:val="none"/>
        </w:rPr>
      </w:pPr>
      <w:r>
        <w:rPr>
          <w:rStyle w:val="22"/>
          <w:rFonts w:hint="eastAsia" w:ascii="华文中宋" w:hAnsi="华文中宋" w:eastAsia="华文中宋" w:cs="华文中宋"/>
          <w:color w:val="auto"/>
          <w:kern w:val="0"/>
          <w:sz w:val="28"/>
          <w:szCs w:val="28"/>
          <w:highlight w:val="none"/>
          <w:shd w:val="clear" w:color="auto" w:fill="FFFFFF"/>
        </w:rPr>
        <w:t>中小企业声明函（货物）</w:t>
      </w:r>
    </w:p>
    <w:p w14:paraId="14BB469B">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本公司（联合体）郑重声明，根据《政府采购促进中小企业发展管理办法》（财库﹝2020﹞46 号）的规定，本公司（联合体）参加</w:t>
      </w:r>
      <w:r>
        <w:rPr>
          <w:rFonts w:hint="eastAsia" w:ascii="华文中宋" w:hAnsi="华文中宋" w:eastAsia="华文中宋" w:cs="华文中宋"/>
          <w:color w:val="auto"/>
          <w:kern w:val="0"/>
          <w:sz w:val="28"/>
          <w:szCs w:val="28"/>
          <w:highlight w:val="none"/>
          <w:u w:val="single"/>
          <w:shd w:val="clear" w:color="auto" w:fill="FFFFFF"/>
        </w:rPr>
        <w:t>     （单位名称）</w:t>
      </w:r>
      <w:r>
        <w:rPr>
          <w:rFonts w:hint="eastAsia" w:ascii="华文中宋" w:hAnsi="华文中宋" w:eastAsia="华文中宋" w:cs="华文中宋"/>
          <w:color w:val="auto"/>
          <w:kern w:val="0"/>
          <w:sz w:val="28"/>
          <w:szCs w:val="28"/>
          <w:highlight w:val="none"/>
          <w:shd w:val="clear" w:color="auto" w:fill="FFFFFF"/>
        </w:rPr>
        <w:t>的</w:t>
      </w:r>
      <w:r>
        <w:rPr>
          <w:rFonts w:hint="eastAsia" w:ascii="华文中宋" w:hAnsi="华文中宋" w:eastAsia="华文中宋" w:cs="华文中宋"/>
          <w:color w:val="auto"/>
          <w:kern w:val="0"/>
          <w:sz w:val="28"/>
          <w:szCs w:val="28"/>
          <w:highlight w:val="none"/>
          <w:u w:val="single"/>
          <w:shd w:val="clear" w:color="auto" w:fill="FFFFFF"/>
        </w:rPr>
        <w:t>    （项目名称）</w:t>
      </w:r>
      <w:r>
        <w:rPr>
          <w:rFonts w:hint="eastAsia" w:ascii="华文中宋" w:hAnsi="华文中宋" w:eastAsia="华文中宋" w:cs="华文中宋"/>
          <w:color w:val="auto"/>
          <w:kern w:val="0"/>
          <w:sz w:val="28"/>
          <w:szCs w:val="28"/>
          <w:highlight w:val="none"/>
          <w:shd w:val="clear" w:color="auto" w:fill="FFFFFF"/>
        </w:rPr>
        <w:t>采购活动，提供的货物全部由符合政策要求的中小企业制造。相关企业（含联合体中的中小企业、签订分包意向协议的中小企业）的具体情况如下：</w:t>
      </w:r>
    </w:p>
    <w:p w14:paraId="66C13E97">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1.</w:t>
      </w:r>
      <w:r>
        <w:rPr>
          <w:rFonts w:hint="eastAsia" w:ascii="华文中宋" w:hAnsi="华文中宋" w:eastAsia="华文中宋" w:cs="华文中宋"/>
          <w:color w:val="auto"/>
          <w:kern w:val="0"/>
          <w:sz w:val="28"/>
          <w:szCs w:val="28"/>
          <w:highlight w:val="none"/>
          <w:u w:val="single"/>
          <w:shd w:val="clear" w:color="auto" w:fill="FFFFFF"/>
        </w:rPr>
        <w:t>     （标的名称）</w:t>
      </w:r>
      <w:r>
        <w:rPr>
          <w:rFonts w:hint="eastAsia" w:ascii="华文中宋" w:hAnsi="华文中宋" w:eastAsia="华文中宋" w:cs="华文中宋"/>
          <w:color w:val="auto"/>
          <w:kern w:val="0"/>
          <w:sz w:val="28"/>
          <w:szCs w:val="28"/>
          <w:highlight w:val="none"/>
          <w:shd w:val="clear" w:color="auto" w:fill="FFFFFF"/>
        </w:rPr>
        <w:t>，属于</w:t>
      </w:r>
      <w:r>
        <w:rPr>
          <w:rFonts w:hint="eastAsia" w:ascii="华文中宋" w:hAnsi="华文中宋" w:eastAsia="华文中宋" w:cs="华文中宋"/>
          <w:color w:val="auto"/>
          <w:kern w:val="0"/>
          <w:sz w:val="28"/>
          <w:szCs w:val="28"/>
          <w:highlight w:val="none"/>
          <w:u w:val="single"/>
          <w:shd w:val="clear" w:color="auto" w:fill="FFFFFF"/>
        </w:rPr>
        <w:t>     （采购文件中明确的所属行业）</w:t>
      </w:r>
      <w:r>
        <w:rPr>
          <w:rFonts w:hint="eastAsia" w:ascii="华文中宋" w:hAnsi="华文中宋" w:eastAsia="华文中宋" w:cs="华文中宋"/>
          <w:color w:val="auto"/>
          <w:kern w:val="0"/>
          <w:sz w:val="28"/>
          <w:szCs w:val="28"/>
          <w:highlight w:val="none"/>
          <w:shd w:val="clear" w:color="auto" w:fill="FFFFFF"/>
        </w:rPr>
        <w:t>行业；制造商为</w:t>
      </w:r>
      <w:r>
        <w:rPr>
          <w:rFonts w:hint="eastAsia" w:ascii="华文中宋" w:hAnsi="华文中宋" w:eastAsia="华文中宋" w:cs="华文中宋"/>
          <w:color w:val="auto"/>
          <w:kern w:val="0"/>
          <w:sz w:val="28"/>
          <w:szCs w:val="28"/>
          <w:highlight w:val="none"/>
          <w:u w:val="single"/>
          <w:shd w:val="clear" w:color="auto" w:fill="FFFFFF"/>
        </w:rPr>
        <w:t>       （企业名称）</w:t>
      </w:r>
      <w:r>
        <w:rPr>
          <w:rFonts w:hint="eastAsia" w:ascii="华文中宋" w:hAnsi="华文中宋" w:eastAsia="华文中宋" w:cs="华文中宋"/>
          <w:color w:val="auto"/>
          <w:kern w:val="0"/>
          <w:sz w:val="28"/>
          <w:szCs w:val="28"/>
          <w:highlight w:val="none"/>
          <w:shd w:val="clear" w:color="auto" w:fill="FFFFFF"/>
        </w:rPr>
        <w:t>，从业人员</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人，营业收入为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万元，资产总额为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w:t>
      </w:r>
      <w:r>
        <w:rPr>
          <w:rFonts w:hint="eastAsia" w:ascii="华文中宋" w:hAnsi="华文中宋" w:eastAsia="华文中宋" w:cs="华文中宋"/>
          <w:color w:val="auto"/>
          <w:kern w:val="0"/>
          <w:sz w:val="28"/>
          <w:szCs w:val="28"/>
          <w:highlight w:val="none"/>
          <w:shd w:val="clear" w:color="auto" w:fill="FFFFFF"/>
          <w:vertAlign w:val="superscript"/>
        </w:rPr>
        <w:t>1</w:t>
      </w:r>
      <w:r>
        <w:rPr>
          <w:rFonts w:hint="eastAsia" w:ascii="华文中宋" w:hAnsi="华文中宋" w:eastAsia="华文中宋" w:cs="华文中宋"/>
          <w:color w:val="auto"/>
          <w:kern w:val="0"/>
          <w:sz w:val="28"/>
          <w:szCs w:val="28"/>
          <w:highlight w:val="none"/>
          <w:shd w:val="clear" w:color="auto" w:fill="FFFFFF"/>
        </w:rPr>
        <w:t>，属于</w:t>
      </w:r>
      <w:r>
        <w:rPr>
          <w:rFonts w:hint="eastAsia" w:ascii="华文中宋" w:hAnsi="华文中宋" w:eastAsia="华文中宋" w:cs="华文中宋"/>
          <w:color w:val="auto"/>
          <w:kern w:val="0"/>
          <w:sz w:val="28"/>
          <w:szCs w:val="28"/>
          <w:highlight w:val="none"/>
          <w:u w:val="single"/>
          <w:shd w:val="clear" w:color="auto" w:fill="FFFFFF"/>
        </w:rPr>
        <w:t>     （中型企业、小型企业、微型企业）</w:t>
      </w:r>
      <w:r>
        <w:rPr>
          <w:rFonts w:hint="eastAsia" w:ascii="华文中宋" w:hAnsi="华文中宋" w:eastAsia="华文中宋" w:cs="华文中宋"/>
          <w:color w:val="auto"/>
          <w:kern w:val="0"/>
          <w:sz w:val="28"/>
          <w:szCs w:val="28"/>
          <w:highlight w:val="none"/>
          <w:shd w:val="clear" w:color="auto" w:fill="FFFFFF"/>
        </w:rPr>
        <w:t>；</w:t>
      </w:r>
    </w:p>
    <w:p w14:paraId="5D700F90">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2.</w:t>
      </w:r>
      <w:r>
        <w:rPr>
          <w:rFonts w:hint="eastAsia" w:ascii="华文中宋" w:hAnsi="华文中宋" w:eastAsia="华文中宋" w:cs="华文中宋"/>
          <w:color w:val="auto"/>
          <w:kern w:val="0"/>
          <w:sz w:val="28"/>
          <w:szCs w:val="28"/>
          <w:highlight w:val="none"/>
          <w:u w:val="single"/>
          <w:shd w:val="clear" w:color="auto" w:fill="FFFFFF"/>
        </w:rPr>
        <w:t>     （标的名称）</w:t>
      </w:r>
      <w:r>
        <w:rPr>
          <w:rFonts w:hint="eastAsia" w:ascii="华文中宋" w:hAnsi="华文中宋" w:eastAsia="华文中宋" w:cs="华文中宋"/>
          <w:color w:val="auto"/>
          <w:kern w:val="0"/>
          <w:sz w:val="28"/>
          <w:szCs w:val="28"/>
          <w:highlight w:val="none"/>
          <w:shd w:val="clear" w:color="auto" w:fill="FFFFFF"/>
        </w:rPr>
        <w:t>，属于</w:t>
      </w:r>
      <w:r>
        <w:rPr>
          <w:rFonts w:hint="eastAsia" w:ascii="华文中宋" w:hAnsi="华文中宋" w:eastAsia="华文中宋" w:cs="华文中宋"/>
          <w:color w:val="auto"/>
          <w:kern w:val="0"/>
          <w:sz w:val="28"/>
          <w:szCs w:val="28"/>
          <w:highlight w:val="none"/>
          <w:u w:val="single"/>
          <w:shd w:val="clear" w:color="auto" w:fill="FFFFFF"/>
        </w:rPr>
        <w:t>     （采购文件中明确的所属行业）</w:t>
      </w:r>
      <w:r>
        <w:rPr>
          <w:rFonts w:hint="eastAsia" w:ascii="华文中宋" w:hAnsi="华文中宋" w:eastAsia="华文中宋" w:cs="华文中宋"/>
          <w:color w:val="auto"/>
          <w:kern w:val="0"/>
          <w:sz w:val="28"/>
          <w:szCs w:val="28"/>
          <w:highlight w:val="none"/>
          <w:shd w:val="clear" w:color="auto" w:fill="FFFFFF"/>
        </w:rPr>
        <w:t>行业；制造商为</w:t>
      </w:r>
      <w:r>
        <w:rPr>
          <w:rFonts w:hint="eastAsia" w:ascii="华文中宋" w:hAnsi="华文中宋" w:eastAsia="华文中宋" w:cs="华文中宋"/>
          <w:color w:val="auto"/>
          <w:kern w:val="0"/>
          <w:sz w:val="28"/>
          <w:szCs w:val="28"/>
          <w:highlight w:val="none"/>
          <w:u w:val="single"/>
          <w:shd w:val="clear" w:color="auto" w:fill="FFFFFF"/>
        </w:rPr>
        <w:t>       （企业名称）</w:t>
      </w:r>
      <w:r>
        <w:rPr>
          <w:rFonts w:hint="eastAsia" w:ascii="华文中宋" w:hAnsi="华文中宋" w:eastAsia="华文中宋" w:cs="华文中宋"/>
          <w:color w:val="auto"/>
          <w:kern w:val="0"/>
          <w:sz w:val="28"/>
          <w:szCs w:val="28"/>
          <w:highlight w:val="none"/>
          <w:shd w:val="clear" w:color="auto" w:fill="FFFFFF"/>
        </w:rPr>
        <w:t>，从业人员</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人，营业收入为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万元，资产总额为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万元，属于</w:t>
      </w:r>
      <w:r>
        <w:rPr>
          <w:rFonts w:hint="eastAsia" w:ascii="华文中宋" w:hAnsi="华文中宋" w:eastAsia="华文中宋" w:cs="华文中宋"/>
          <w:color w:val="auto"/>
          <w:kern w:val="0"/>
          <w:sz w:val="28"/>
          <w:szCs w:val="28"/>
          <w:highlight w:val="none"/>
          <w:u w:val="single"/>
          <w:shd w:val="clear" w:color="auto" w:fill="FFFFFF"/>
        </w:rPr>
        <w:t>     （中型企业、小型企业、微型企业）</w:t>
      </w:r>
      <w:r>
        <w:rPr>
          <w:rFonts w:hint="eastAsia" w:ascii="华文中宋" w:hAnsi="华文中宋" w:eastAsia="华文中宋" w:cs="华文中宋"/>
          <w:color w:val="auto"/>
          <w:kern w:val="0"/>
          <w:sz w:val="28"/>
          <w:szCs w:val="28"/>
          <w:highlight w:val="none"/>
          <w:shd w:val="clear" w:color="auto" w:fill="FFFFFF"/>
        </w:rPr>
        <w:t>；</w:t>
      </w:r>
    </w:p>
    <w:p w14:paraId="07ECB8CD">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w:t>
      </w:r>
    </w:p>
    <w:p w14:paraId="23074E8D">
      <w:pPr>
        <w:widowControl/>
        <w:spacing w:before="100" w:beforeAutospacing="1" w:after="100" w:afterAutospacing="1" w:line="435" w:lineRule="atLeast"/>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以上企业，不属于大企业的分支机构，不存在控股股东为大企业的情形，也不存在与大企业的负责人为同一人的情形。</w:t>
      </w:r>
    </w:p>
    <w:p w14:paraId="371C8679">
      <w:pPr>
        <w:widowControl/>
        <w:spacing w:before="100" w:beforeAutospacing="1" w:after="100" w:afterAutospacing="1" w:line="435" w:lineRule="atLeast"/>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本企业对上述声明内容的真实性负责。如有虚假，将依法承担相应责任。</w:t>
      </w:r>
    </w:p>
    <w:p w14:paraId="76D47FCA">
      <w:pPr>
        <w:widowControl/>
        <w:spacing w:before="100" w:beforeAutospacing="1" w:after="100" w:afterAutospacing="1" w:line="435" w:lineRule="atLeast"/>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从业人员、营业收入、资产总额填报上一年度数据，无上一年度数据的新成立企业可不填报</w:t>
      </w:r>
    </w:p>
    <w:p w14:paraId="4689960C">
      <w:pPr>
        <w:spacing w:line="240" w:lineRule="auto"/>
        <w:ind w:firstLine="3927" w:firstLineChars="1397"/>
        <w:rPr>
          <w:rFonts w:hint="eastAsia" w:ascii="华文中宋" w:hAnsi="华文中宋" w:eastAsia="华文中宋" w:cs="华文中宋"/>
          <w:b/>
          <w:color w:val="auto"/>
          <w:sz w:val="28"/>
          <w:szCs w:val="28"/>
          <w:highlight w:val="none"/>
        </w:rPr>
      </w:pPr>
    </w:p>
    <w:p w14:paraId="4417527A">
      <w:pPr>
        <w:spacing w:line="240" w:lineRule="auto"/>
        <w:ind w:firstLine="2811" w:firstLineChars="100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 xml:space="preserve"> </w:t>
      </w:r>
    </w:p>
    <w:p w14:paraId="0D96E93D">
      <w:pPr>
        <w:spacing w:line="192" w:lineRule="auto"/>
        <w:ind w:firstLine="2811" w:firstLineChars="1000"/>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p>
    <w:p w14:paraId="0303F8A0">
      <w:pPr>
        <w:tabs>
          <w:tab w:val="left" w:pos="1680"/>
        </w:tabs>
        <w:adjustRightInd w:val="0"/>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2</w:t>
      </w:r>
    </w:p>
    <w:p w14:paraId="5C3B6DD8">
      <w:pPr>
        <w:tabs>
          <w:tab w:val="left" w:pos="1680"/>
        </w:tabs>
        <w:adjustRightInd w:val="0"/>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属于监狱企业的证明文件</w:t>
      </w:r>
    </w:p>
    <w:p w14:paraId="68412FC6">
      <w:pPr>
        <w:widowControl/>
        <w:spacing w:before="100" w:beforeAutospacing="1" w:after="100" w:afterAutospacing="1" w:line="360" w:lineRule="auto"/>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监狱企业须提供由省级以上监狱管理局、戒毒管理局（含新疆生产建设兵团）出具的“属于监狱企业的证明文件”。</w:t>
      </w:r>
    </w:p>
    <w:p w14:paraId="5DECD878">
      <w:pPr>
        <w:tabs>
          <w:tab w:val="left" w:pos="1680"/>
        </w:tabs>
        <w:adjustRightInd w:val="0"/>
        <w:snapToGrid w:val="0"/>
        <w:spacing w:line="540" w:lineRule="exac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66D229A7">
      <w:pPr>
        <w:tabs>
          <w:tab w:val="left" w:pos="1680"/>
        </w:tabs>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bookmarkStart w:id="97" w:name="OLE_LINK13"/>
      <w:bookmarkStart w:id="98" w:name="OLE_LINK14"/>
      <w:r>
        <w:rPr>
          <w:rFonts w:hint="eastAsia" w:ascii="华文中宋" w:hAnsi="华文中宋" w:eastAsia="华文中宋" w:cs="华文中宋"/>
          <w:b/>
          <w:color w:val="auto"/>
          <w:sz w:val="24"/>
          <w:szCs w:val="24"/>
          <w:highlight w:val="none"/>
          <w:lang w:val="en-US" w:eastAsia="zh-CN"/>
        </w:rPr>
        <w:t>3</w:t>
      </w:r>
    </w:p>
    <w:p w14:paraId="411E5006">
      <w:pPr>
        <w:tabs>
          <w:tab w:val="left" w:pos="1680"/>
        </w:tabs>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残疾人福利性单位声明函</w:t>
      </w:r>
      <w:bookmarkEnd w:id="97"/>
      <w:bookmarkEnd w:id="98"/>
    </w:p>
    <w:p w14:paraId="799646F5">
      <w:pPr>
        <w:pStyle w:val="27"/>
        <w:numPr>
          <w:ilvl w:val="0"/>
          <w:numId w:val="0"/>
        </w:numPr>
        <w:snapToGrid w:val="0"/>
        <w:spacing w:line="240" w:lineRule="auto"/>
        <w:ind w:left="0"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370ABD">
      <w:pPr>
        <w:pStyle w:val="27"/>
        <w:numPr>
          <w:ilvl w:val="0"/>
          <w:numId w:val="0"/>
        </w:numPr>
        <w:snapToGrid w:val="0"/>
        <w:spacing w:line="240" w:lineRule="auto"/>
        <w:ind w:left="0"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本单位对上述声明的真实性负责。如有虚假，将依法承担相应责任。</w:t>
      </w:r>
    </w:p>
    <w:p w14:paraId="5D22DC0F">
      <w:pPr>
        <w:spacing w:line="240" w:lineRule="auto"/>
        <w:ind w:firstLine="3927" w:firstLineChars="1397"/>
        <w:rPr>
          <w:rFonts w:hint="eastAsia" w:ascii="华文中宋" w:hAnsi="华文中宋" w:eastAsia="华文中宋" w:cs="华文中宋"/>
          <w:b/>
          <w:color w:val="auto"/>
          <w:sz w:val="28"/>
          <w:szCs w:val="28"/>
          <w:highlight w:val="none"/>
        </w:rPr>
      </w:pPr>
    </w:p>
    <w:p w14:paraId="43043886">
      <w:pPr>
        <w:spacing w:line="240" w:lineRule="auto"/>
        <w:ind w:firstLine="3927" w:firstLineChars="1397"/>
        <w:rPr>
          <w:rFonts w:hint="eastAsia" w:ascii="华文中宋" w:hAnsi="华文中宋" w:eastAsia="华文中宋" w:cs="华文中宋"/>
          <w:b/>
          <w:color w:val="auto"/>
          <w:sz w:val="28"/>
          <w:szCs w:val="28"/>
          <w:highlight w:val="none"/>
        </w:rPr>
      </w:pPr>
    </w:p>
    <w:p w14:paraId="71DCAFEE">
      <w:pPr>
        <w:spacing w:line="240" w:lineRule="auto"/>
        <w:rPr>
          <w:rFonts w:hint="eastAsia" w:ascii="华文中宋" w:hAnsi="华文中宋" w:eastAsia="华文中宋" w:cs="华文中宋"/>
          <w:b/>
          <w:color w:val="auto"/>
          <w:sz w:val="28"/>
          <w:szCs w:val="28"/>
          <w:highlight w:val="none"/>
        </w:rPr>
      </w:pPr>
    </w:p>
    <w:p w14:paraId="33F55D59">
      <w:pPr>
        <w:spacing w:line="240" w:lineRule="auto"/>
        <w:ind w:firstLine="3204" w:firstLineChars="114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3D9114C1">
      <w:pPr>
        <w:spacing w:line="240" w:lineRule="auto"/>
        <w:ind w:firstLine="3204" w:firstLineChars="114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4"/>
          <w:szCs w:val="24"/>
          <w:highlight w:val="none"/>
        </w:rPr>
        <w:t>日</w:t>
      </w:r>
    </w:p>
    <w:p w14:paraId="3B2FA422">
      <w:pPr>
        <w:tabs>
          <w:tab w:val="left" w:pos="1680"/>
        </w:tabs>
        <w:snapToGrid w:val="0"/>
        <w:spacing w:line="240" w:lineRule="auto"/>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br w:type="page"/>
      </w:r>
    </w:p>
    <w:p w14:paraId="2AA16E04">
      <w:pPr>
        <w:tabs>
          <w:tab w:val="left" w:pos="1680"/>
        </w:tabs>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4</w:t>
      </w:r>
    </w:p>
    <w:p w14:paraId="2A77A24A">
      <w:pPr>
        <w:tabs>
          <w:tab w:val="left" w:pos="1680"/>
        </w:tabs>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创新产品或创新服务明细表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1487"/>
        <w:gridCol w:w="738"/>
        <w:gridCol w:w="1079"/>
        <w:gridCol w:w="1293"/>
        <w:gridCol w:w="651"/>
        <w:gridCol w:w="651"/>
        <w:gridCol w:w="651"/>
      </w:tblGrid>
      <w:tr w14:paraId="3097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648E7">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包号/序号</w:t>
            </w:r>
          </w:p>
          <w:p w14:paraId="343EEE57">
            <w:pPr>
              <w:spacing w:after="0"/>
              <w:jc w:val="center"/>
              <w:rPr>
                <w:rFonts w:hint="eastAsia" w:ascii="华文中宋" w:hAnsi="华文中宋" w:eastAsia="华文中宋" w:cs="华文中宋"/>
                <w:b/>
                <w:color w:val="auto"/>
                <w:sz w:val="22"/>
                <w:szCs w:val="22"/>
                <w:highlight w:val="none"/>
              </w:rPr>
            </w:pP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8F3DC4">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产品名称</w:t>
            </w:r>
          </w:p>
          <w:p w14:paraId="397B35E2">
            <w:pPr>
              <w:spacing w:after="0"/>
              <w:jc w:val="center"/>
              <w:rPr>
                <w:rFonts w:hint="eastAsia" w:ascii="华文中宋" w:hAnsi="华文中宋" w:eastAsia="华文中宋" w:cs="华文中宋"/>
                <w:b/>
                <w:color w:val="auto"/>
                <w:sz w:val="22"/>
                <w:szCs w:val="22"/>
                <w:highlight w:val="none"/>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7935B">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品牌</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BC87F50">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规格型号</w:t>
            </w:r>
          </w:p>
          <w:p w14:paraId="345F2BF1">
            <w:pPr>
              <w:spacing w:after="0"/>
              <w:jc w:val="center"/>
              <w:rPr>
                <w:rFonts w:hint="eastAsia" w:ascii="华文中宋" w:hAnsi="华文中宋" w:eastAsia="华文中宋" w:cs="华文中宋"/>
                <w:b/>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FB4CBCD">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产地及厂家</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470D9B3F">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数量</w:t>
            </w:r>
          </w:p>
          <w:p w14:paraId="73B431DB">
            <w:pPr>
              <w:spacing w:after="0"/>
              <w:jc w:val="center"/>
              <w:rPr>
                <w:rFonts w:hint="eastAsia" w:ascii="华文中宋" w:hAnsi="华文中宋" w:eastAsia="华文中宋" w:cs="华文中宋"/>
                <w:b/>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64DF6519">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单价</w:t>
            </w:r>
          </w:p>
          <w:p w14:paraId="23F13A15">
            <w:pPr>
              <w:spacing w:after="0"/>
              <w:jc w:val="center"/>
              <w:rPr>
                <w:rFonts w:hint="eastAsia" w:ascii="华文中宋" w:hAnsi="华文中宋" w:eastAsia="华文中宋" w:cs="华文中宋"/>
                <w:b/>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79096E1C">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总价</w:t>
            </w:r>
          </w:p>
        </w:tc>
      </w:tr>
      <w:tr w14:paraId="0372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l2br w:val="nil"/>
              <w:tr2bl w:val="nil"/>
            </w:tcBorders>
            <w:noWrap w:val="0"/>
            <w:vAlign w:val="top"/>
          </w:tcPr>
          <w:p w14:paraId="4411A528">
            <w:pPr>
              <w:pStyle w:val="7"/>
              <w:spacing w:after="0"/>
              <w:rPr>
                <w:rFonts w:hint="eastAsia" w:ascii="华文中宋" w:hAnsi="华文中宋" w:eastAsia="华文中宋" w:cs="华文中宋"/>
                <w:color w:val="auto"/>
                <w:sz w:val="28"/>
                <w:szCs w:val="21"/>
                <w:highlight w:val="none"/>
              </w:rPr>
            </w:pP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E362">
            <w:pPr>
              <w:pStyle w:val="7"/>
              <w:spacing w:after="0"/>
              <w:rPr>
                <w:rFonts w:hint="eastAsia" w:ascii="华文中宋" w:hAnsi="华文中宋" w:eastAsia="华文中宋" w:cs="华文中宋"/>
                <w:color w:val="auto"/>
                <w:sz w:val="28"/>
                <w:szCs w:val="21"/>
                <w:highlight w:val="none"/>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top"/>
          </w:tcPr>
          <w:p w14:paraId="73B9F836">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2C64A605">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6102A173">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3240823C">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260FC534">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1830B421">
            <w:pPr>
              <w:pStyle w:val="7"/>
              <w:spacing w:after="0"/>
              <w:rPr>
                <w:rFonts w:hint="eastAsia" w:ascii="华文中宋" w:hAnsi="华文中宋" w:eastAsia="华文中宋" w:cs="华文中宋"/>
                <w:color w:val="auto"/>
                <w:sz w:val="28"/>
                <w:szCs w:val="21"/>
                <w:highlight w:val="none"/>
              </w:rPr>
            </w:pPr>
          </w:p>
        </w:tc>
      </w:tr>
      <w:tr w14:paraId="0AE3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l2br w:val="nil"/>
              <w:tr2bl w:val="nil"/>
            </w:tcBorders>
            <w:noWrap w:val="0"/>
            <w:vAlign w:val="top"/>
          </w:tcPr>
          <w:p w14:paraId="1CCB31C1">
            <w:pPr>
              <w:pStyle w:val="7"/>
              <w:spacing w:after="0"/>
              <w:rPr>
                <w:rFonts w:hint="eastAsia" w:ascii="华文中宋" w:hAnsi="华文中宋" w:eastAsia="华文中宋" w:cs="华文中宋"/>
                <w:color w:val="auto"/>
                <w:sz w:val="28"/>
                <w:szCs w:val="21"/>
                <w:highlight w:val="none"/>
              </w:rPr>
            </w:pP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top"/>
          </w:tcPr>
          <w:p w14:paraId="5C0FC165">
            <w:pPr>
              <w:pStyle w:val="7"/>
              <w:spacing w:after="0"/>
              <w:rPr>
                <w:rFonts w:hint="eastAsia" w:ascii="华文中宋" w:hAnsi="华文中宋" w:eastAsia="华文中宋" w:cs="华文中宋"/>
                <w:color w:val="auto"/>
                <w:sz w:val="28"/>
                <w:szCs w:val="21"/>
                <w:highlight w:val="none"/>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top"/>
          </w:tcPr>
          <w:p w14:paraId="29172DAB">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0FA8122A">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4A9873CE">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0528CC2D">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77AFA0B7">
            <w:pPr>
              <w:pStyle w:val="7"/>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0AA552E6">
            <w:pPr>
              <w:pStyle w:val="7"/>
              <w:spacing w:after="0"/>
              <w:rPr>
                <w:rFonts w:hint="eastAsia" w:ascii="华文中宋" w:hAnsi="华文中宋" w:eastAsia="华文中宋" w:cs="华文中宋"/>
                <w:color w:val="auto"/>
                <w:sz w:val="28"/>
                <w:szCs w:val="21"/>
                <w:highlight w:val="none"/>
              </w:rPr>
            </w:pPr>
          </w:p>
        </w:tc>
      </w:tr>
      <w:tr w14:paraId="39A0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l2br w:val="nil"/>
              <w:tr2bl w:val="nil"/>
            </w:tcBorders>
            <w:noWrap w:val="0"/>
            <w:vAlign w:val="top"/>
          </w:tcPr>
          <w:p w14:paraId="1CE31973">
            <w:pPr>
              <w:widowControl/>
              <w:spacing w:after="0"/>
              <w:jc w:val="left"/>
              <w:rPr>
                <w:rFonts w:hint="eastAsia" w:ascii="华文中宋" w:hAnsi="华文中宋" w:eastAsia="华文中宋" w:cs="华文中宋"/>
                <w:color w:val="auto"/>
                <w:kern w:val="0"/>
                <w:sz w:val="22"/>
                <w:szCs w:val="22"/>
                <w:highlight w:val="none"/>
              </w:rPr>
            </w:pPr>
            <w:r>
              <w:rPr>
                <w:rFonts w:hint="eastAsia" w:ascii="华文中宋" w:hAnsi="华文中宋" w:eastAsia="华文中宋" w:cs="华文中宋"/>
                <w:color w:val="auto"/>
                <w:kern w:val="0"/>
                <w:sz w:val="22"/>
                <w:szCs w:val="22"/>
                <w:highlight w:val="none"/>
              </w:rPr>
              <w:t xml:space="preserve">创新产品或创新服务价格合计： </w:t>
            </w:r>
          </w:p>
          <w:p w14:paraId="6B36D235">
            <w:pPr>
              <w:pStyle w:val="7"/>
              <w:spacing w:after="0"/>
              <w:rPr>
                <w:rFonts w:hint="eastAsia" w:ascii="华文中宋" w:hAnsi="华文中宋" w:eastAsia="华文中宋" w:cs="华文中宋"/>
                <w:color w:val="auto"/>
                <w:sz w:val="28"/>
                <w:szCs w:val="21"/>
                <w:highlight w:val="none"/>
              </w:rPr>
            </w:pPr>
          </w:p>
        </w:tc>
        <w:tc>
          <w:tcPr>
            <w:tcW w:w="6455"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14:paraId="3A38DCE7">
            <w:pPr>
              <w:pStyle w:val="7"/>
              <w:spacing w:after="0"/>
              <w:rPr>
                <w:rFonts w:hint="eastAsia" w:ascii="华文中宋" w:hAnsi="华文中宋" w:eastAsia="华文中宋" w:cs="华文中宋"/>
                <w:color w:val="auto"/>
                <w:sz w:val="28"/>
                <w:szCs w:val="21"/>
                <w:highlight w:val="none"/>
              </w:rPr>
            </w:pPr>
          </w:p>
        </w:tc>
      </w:tr>
    </w:tbl>
    <w:p w14:paraId="0D98C599">
      <w:pPr>
        <w:pStyle w:val="27"/>
        <w:numPr>
          <w:ilvl w:val="0"/>
          <w:numId w:val="0"/>
        </w:numPr>
        <w:snapToGrid w:val="0"/>
        <w:spacing w:after="0" w:line="240" w:lineRule="auto"/>
        <w:ind w:left="0" w:firstLine="560" w:firstLineChars="200"/>
        <w:rPr>
          <w:rFonts w:hint="eastAsia" w:ascii="华文中宋" w:hAnsi="华文中宋" w:eastAsia="华文中宋" w:cs="华文中宋"/>
          <w:color w:val="auto"/>
          <w:sz w:val="28"/>
          <w:szCs w:val="28"/>
          <w:highlight w:val="none"/>
        </w:rPr>
      </w:pPr>
    </w:p>
    <w:p w14:paraId="48D77883">
      <w:pPr>
        <w:pStyle w:val="27"/>
        <w:numPr>
          <w:ilvl w:val="0"/>
          <w:numId w:val="0"/>
        </w:numPr>
        <w:snapToGrid w:val="0"/>
        <w:spacing w:after="0" w:line="240" w:lineRule="auto"/>
        <w:ind w:left="0"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说明： </w:t>
      </w:r>
    </w:p>
    <w:p w14:paraId="20BB96E9">
      <w:pPr>
        <w:pStyle w:val="27"/>
        <w:numPr>
          <w:ilvl w:val="0"/>
          <w:numId w:val="0"/>
        </w:numPr>
        <w:snapToGrid w:val="0"/>
        <w:spacing w:after="0" w:line="240" w:lineRule="auto"/>
        <w:ind w:left="0"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1. 投标人如实填写表格，如不涉及可予以删除。 </w:t>
      </w:r>
    </w:p>
    <w:p w14:paraId="1BE6DBA2">
      <w:pPr>
        <w:pStyle w:val="27"/>
        <w:numPr>
          <w:ilvl w:val="0"/>
          <w:numId w:val="0"/>
        </w:numPr>
        <w:snapToGrid w:val="0"/>
        <w:spacing w:after="0" w:line="240" w:lineRule="auto"/>
        <w:ind w:left="0" w:firstLine="48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4"/>
          <w:szCs w:val="24"/>
          <w:highlight w:val="none"/>
        </w:rPr>
        <w:t>2. 投标人投标产品包含创新产品或创新服务，填写此表后必须提供《山西省创新产品和服务推荐清单》的扫描件或截图</w:t>
      </w:r>
      <w:r>
        <w:rPr>
          <w:rFonts w:hint="eastAsia" w:ascii="华文中宋" w:hAnsi="华文中宋" w:eastAsia="华文中宋" w:cs="华文中宋"/>
          <w:color w:val="auto"/>
          <w:sz w:val="28"/>
          <w:szCs w:val="28"/>
          <w:highlight w:val="none"/>
        </w:rPr>
        <w:t>。</w:t>
      </w:r>
    </w:p>
    <w:p w14:paraId="056CD726">
      <w:pPr>
        <w:spacing w:line="240" w:lineRule="auto"/>
        <w:ind w:firstLine="3927" w:firstLineChars="1397"/>
        <w:rPr>
          <w:rFonts w:hint="eastAsia" w:ascii="华文中宋" w:hAnsi="华文中宋" w:eastAsia="华文中宋" w:cs="华文中宋"/>
          <w:b/>
          <w:color w:val="auto"/>
          <w:sz w:val="28"/>
          <w:szCs w:val="28"/>
          <w:highlight w:val="none"/>
        </w:rPr>
      </w:pPr>
    </w:p>
    <w:p w14:paraId="2453AC1D">
      <w:pPr>
        <w:spacing w:line="240" w:lineRule="auto"/>
        <w:ind w:firstLine="3927" w:firstLineChars="1397"/>
        <w:rPr>
          <w:rFonts w:hint="eastAsia" w:ascii="华文中宋" w:hAnsi="华文中宋" w:eastAsia="华文中宋" w:cs="华文中宋"/>
          <w:b/>
          <w:color w:val="auto"/>
          <w:sz w:val="28"/>
          <w:szCs w:val="28"/>
          <w:highlight w:val="none"/>
        </w:rPr>
      </w:pPr>
    </w:p>
    <w:p w14:paraId="3B81307D">
      <w:pPr>
        <w:spacing w:line="240" w:lineRule="auto"/>
        <w:ind w:firstLine="3204" w:firstLineChars="114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450C1D78">
      <w:pPr>
        <w:spacing w:line="240" w:lineRule="auto"/>
        <w:ind w:firstLine="3204" w:firstLineChars="114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4"/>
          <w:szCs w:val="24"/>
          <w:highlight w:val="none"/>
        </w:rPr>
        <w:t>日</w:t>
      </w:r>
    </w:p>
    <w:p w14:paraId="24F09A19">
      <w:pPr>
        <w:spacing w:line="240" w:lineRule="auto"/>
        <w:rPr>
          <w:rFonts w:hint="eastAsia" w:ascii="华文中宋" w:hAnsi="华文中宋" w:eastAsia="华文中宋" w:cs="华文中宋"/>
          <w:b/>
          <w:color w:val="auto"/>
          <w:sz w:val="28"/>
          <w:szCs w:val="28"/>
          <w:highlight w:val="none"/>
        </w:rPr>
      </w:pPr>
    </w:p>
    <w:p w14:paraId="7E3C14CC">
      <w:pPr>
        <w:tabs>
          <w:tab w:val="left" w:pos="1680"/>
        </w:tabs>
        <w:snapToGrid w:val="0"/>
        <w:spacing w:line="240" w:lineRule="auto"/>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br w:type="page"/>
      </w:r>
    </w:p>
    <w:p w14:paraId="25FF09E2">
      <w:pPr>
        <w:tabs>
          <w:tab w:val="left" w:pos="1680"/>
        </w:tabs>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5</w:t>
      </w:r>
    </w:p>
    <w:p w14:paraId="16D3A7BF">
      <w:pPr>
        <w:wordWrap w:val="0"/>
        <w:topLinePunct/>
        <w:spacing w:after="0" w:line="360" w:lineRule="auto"/>
        <w:ind w:firstLine="482" w:firstLineChars="200"/>
        <w:jc w:val="center"/>
        <w:outlineLvl w:val="2"/>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bidi="ar"/>
        </w:rPr>
        <w:t>本国产品标准的声明函（如有）</w:t>
      </w:r>
    </w:p>
    <w:p w14:paraId="5E457675">
      <w:pPr>
        <w:pStyle w:val="17"/>
        <w:shd w:val="clear" w:color="auto" w:fill="FFFFFF"/>
        <w:kinsoku w:val="0"/>
        <w:autoSpaceDE w:val="0"/>
        <w:autoSpaceDN w:val="0"/>
        <w:adjustRightInd w:val="0"/>
        <w:snapToGrid w:val="0"/>
        <w:spacing w:before="24" w:beforeAutospacing="0" w:after="24" w:afterAutospacing="0" w:line="480" w:lineRule="exact"/>
        <w:jc w:val="center"/>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关于符合本国产品标准的声明函</w:t>
      </w:r>
    </w:p>
    <w:p w14:paraId="0F653893">
      <w:pPr>
        <w:pStyle w:val="17"/>
        <w:shd w:val="clear" w:color="auto" w:fill="FFFFFF"/>
        <w:kinsoku w:val="0"/>
        <w:autoSpaceDE w:val="0"/>
        <w:autoSpaceDN w:val="0"/>
        <w:adjustRightInd w:val="0"/>
        <w:snapToGrid w:val="0"/>
        <w:spacing w:before="24" w:beforeAutospacing="0" w:after="24" w:afterAutospacing="0" w:line="400" w:lineRule="exact"/>
        <w:ind w:firstLine="420"/>
        <w:textAlignment w:val="baseline"/>
        <w:rPr>
          <w:rFonts w:hint="eastAsia" w:ascii="华文中宋" w:hAnsi="华文中宋" w:eastAsia="华文中宋" w:cs="华文中宋"/>
          <w:color w:val="auto"/>
          <w:sz w:val="21"/>
          <w:szCs w:val="21"/>
          <w:highlight w:val="none"/>
          <w:shd w:val="clear" w:color="auto" w:fill="FFFFFF"/>
        </w:rPr>
      </w:pPr>
    </w:p>
    <w:p w14:paraId="3DBE1EB1">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8CEFC57">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1.</w:t>
      </w:r>
      <w:r>
        <w:rPr>
          <w:rStyle w:val="23"/>
          <w:rFonts w:hint="eastAsia" w:ascii="华文中宋" w:hAnsi="华文中宋" w:eastAsia="华文中宋" w:cs="华文中宋"/>
          <w:color w:val="auto"/>
          <w:sz w:val="24"/>
          <w:szCs w:val="32"/>
          <w:highlight w:val="none"/>
          <w:shd w:val="clear" w:color="auto" w:fill="FFFFFF"/>
        </w:rPr>
        <w:t>（产品名称1）1</w:t>
      </w:r>
      <w:r>
        <w:rPr>
          <w:rFonts w:hint="eastAsia" w:ascii="华文中宋" w:hAnsi="华文中宋" w:eastAsia="华文中宋" w:cs="华文中宋"/>
          <w:color w:val="auto"/>
          <w:sz w:val="24"/>
          <w:szCs w:val="24"/>
          <w:highlight w:val="none"/>
          <w:shd w:val="clear" w:color="auto" w:fill="FFFFFF"/>
        </w:rPr>
        <w:t>，生产厂为</w:t>
      </w:r>
      <w:r>
        <w:rPr>
          <w:rStyle w:val="23"/>
          <w:rFonts w:hint="eastAsia" w:ascii="华文中宋" w:hAnsi="华文中宋" w:eastAsia="华文中宋" w:cs="华文中宋"/>
          <w:color w:val="auto"/>
          <w:sz w:val="24"/>
          <w:szCs w:val="32"/>
          <w:highlight w:val="none"/>
          <w:shd w:val="clear" w:color="auto" w:fill="FFFFFF"/>
        </w:rPr>
        <w:t>（厂名）2</w:t>
      </w:r>
      <w:r>
        <w:rPr>
          <w:rFonts w:hint="eastAsia" w:ascii="华文中宋" w:hAnsi="华文中宋" w:eastAsia="华文中宋" w:cs="华文中宋"/>
          <w:color w:val="auto"/>
          <w:sz w:val="24"/>
          <w:szCs w:val="24"/>
          <w:highlight w:val="none"/>
          <w:shd w:val="clear" w:color="auto" w:fill="FFFFFF"/>
        </w:rPr>
        <w:t>，厂址为</w:t>
      </w:r>
      <w:r>
        <w:rPr>
          <w:rStyle w:val="23"/>
          <w:rFonts w:hint="eastAsia" w:ascii="华文中宋" w:hAnsi="华文中宋" w:eastAsia="华文中宋" w:cs="华文中宋"/>
          <w:color w:val="auto"/>
          <w:sz w:val="24"/>
          <w:szCs w:val="32"/>
          <w:highlight w:val="none"/>
          <w:shd w:val="clear" w:color="auto" w:fill="FFFFFF"/>
        </w:rPr>
        <w:t>（生产厂址）</w:t>
      </w:r>
      <w:r>
        <w:rPr>
          <w:rFonts w:hint="eastAsia" w:ascii="华文中宋" w:hAnsi="华文中宋" w:eastAsia="华文中宋" w:cs="华文中宋"/>
          <w:color w:val="auto"/>
          <w:sz w:val="24"/>
          <w:szCs w:val="24"/>
          <w:highlight w:val="none"/>
          <w:shd w:val="clear" w:color="auto" w:fill="FFFFFF"/>
        </w:rPr>
        <w:t>。</w:t>
      </w:r>
      <w:r>
        <w:rPr>
          <w:rStyle w:val="23"/>
          <w:rFonts w:hint="eastAsia" w:ascii="华文中宋" w:hAnsi="华文中宋" w:eastAsia="华文中宋" w:cs="华文中宋"/>
          <w:color w:val="auto"/>
          <w:sz w:val="24"/>
          <w:szCs w:val="32"/>
          <w:highlight w:val="non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的中国境内生产的组件成本占比≥</w:t>
      </w:r>
      <w:r>
        <w:rPr>
          <w:rStyle w:val="23"/>
          <w:rFonts w:hint="eastAsia" w:ascii="华文中宋" w:hAnsi="华文中宋" w:eastAsia="华文中宋" w:cs="华文中宋"/>
          <w:color w:val="auto"/>
          <w:sz w:val="24"/>
          <w:szCs w:val="32"/>
          <w:highlight w:val="none"/>
          <w:shd w:val="clear" w:color="auto" w:fill="FFFFFF"/>
        </w:rPr>
        <w:t>（规定比例）3</w:t>
      </w:r>
      <w:r>
        <w:rPr>
          <w:rFonts w:hint="eastAsia" w:ascii="华文中宋" w:hAnsi="华文中宋" w:eastAsia="华文中宋" w:cs="华文中宋"/>
          <w:color w:val="auto"/>
          <w:sz w:val="24"/>
          <w:szCs w:val="24"/>
          <w:highlight w:val="none"/>
          <w:shd w:val="clear" w:color="auto" w:fill="FFFFFF"/>
        </w:rPr>
        <w:t>。</w:t>
      </w:r>
      <w:r>
        <w:rPr>
          <w:rStyle w:val="23"/>
          <w:rFonts w:hint="eastAsia" w:ascii="华文中宋" w:hAnsi="华文中宋" w:eastAsia="华文中宋" w:cs="华文中宋"/>
          <w:color w:val="auto"/>
          <w:sz w:val="24"/>
          <w:szCs w:val="32"/>
          <w:highlight w:val="non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w:t>
      </w:r>
      <w:r>
        <w:rPr>
          <w:rStyle w:val="23"/>
          <w:rFonts w:hint="eastAsia" w:ascii="华文中宋" w:hAnsi="华文中宋" w:eastAsia="华文中宋" w:cs="华文中宋"/>
          <w:color w:val="auto"/>
          <w:sz w:val="24"/>
          <w:szCs w:val="32"/>
          <w:highlight w:val="none"/>
          <w:shd w:val="clear" w:color="auto" w:fill="FFFFFF"/>
        </w:rPr>
        <w:t>（关键组件）4</w:t>
      </w:r>
      <w:r>
        <w:rPr>
          <w:rFonts w:hint="eastAsia" w:ascii="华文中宋" w:hAnsi="华文中宋" w:eastAsia="华文中宋" w:cs="华文中宋"/>
          <w:color w:val="auto"/>
          <w:sz w:val="24"/>
          <w:szCs w:val="24"/>
          <w:highlight w:val="none"/>
          <w:shd w:val="clear" w:color="auto" w:fill="FFFFFF"/>
        </w:rPr>
        <w:t>在中国境内生产。</w:t>
      </w:r>
      <w:r>
        <w:rPr>
          <w:rStyle w:val="23"/>
          <w:rFonts w:hint="eastAsia" w:ascii="华文中宋" w:hAnsi="华文中宋" w:eastAsia="华文中宋" w:cs="华文中宋"/>
          <w:color w:val="auto"/>
          <w:sz w:val="24"/>
          <w:szCs w:val="32"/>
          <w:highlight w:val="non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w:t>
      </w:r>
      <w:r>
        <w:rPr>
          <w:rStyle w:val="23"/>
          <w:rFonts w:hint="eastAsia" w:ascii="华文中宋" w:hAnsi="华文中宋" w:eastAsia="华文中宋" w:cs="华文中宋"/>
          <w:color w:val="auto"/>
          <w:sz w:val="24"/>
          <w:szCs w:val="32"/>
          <w:highlight w:val="none"/>
          <w:shd w:val="clear" w:color="auto" w:fill="FFFFFF"/>
        </w:rPr>
        <w:t>（关键工序）5</w:t>
      </w:r>
      <w:r>
        <w:rPr>
          <w:rFonts w:hint="eastAsia" w:ascii="华文中宋" w:hAnsi="华文中宋" w:eastAsia="华文中宋" w:cs="华文中宋"/>
          <w:color w:val="auto"/>
          <w:sz w:val="24"/>
          <w:szCs w:val="24"/>
          <w:highlight w:val="none"/>
          <w:shd w:val="clear" w:color="auto" w:fill="FFFFFF"/>
        </w:rPr>
        <w:t>在中国境内完成。</w:t>
      </w:r>
    </w:p>
    <w:p w14:paraId="041698B5">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2.</w:t>
      </w:r>
      <w:r>
        <w:rPr>
          <w:rStyle w:val="23"/>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，生产厂为</w:t>
      </w:r>
      <w:r>
        <w:rPr>
          <w:rStyle w:val="23"/>
          <w:rFonts w:hint="eastAsia" w:ascii="华文中宋" w:hAnsi="华文中宋" w:eastAsia="华文中宋" w:cs="华文中宋"/>
          <w:color w:val="auto"/>
          <w:sz w:val="24"/>
          <w:szCs w:val="32"/>
          <w:highlight w:val="none"/>
          <w:shd w:val="clear" w:color="auto" w:fill="FFFFFF"/>
        </w:rPr>
        <w:t>（厂名）</w:t>
      </w:r>
      <w:r>
        <w:rPr>
          <w:rFonts w:hint="eastAsia" w:ascii="华文中宋" w:hAnsi="华文中宋" w:eastAsia="华文中宋" w:cs="华文中宋"/>
          <w:color w:val="auto"/>
          <w:sz w:val="24"/>
          <w:szCs w:val="24"/>
          <w:highlight w:val="none"/>
          <w:shd w:val="clear" w:color="auto" w:fill="FFFFFF"/>
        </w:rPr>
        <w:t>，厂址为</w:t>
      </w:r>
      <w:r>
        <w:rPr>
          <w:rStyle w:val="23"/>
          <w:rFonts w:hint="eastAsia" w:ascii="华文中宋" w:hAnsi="华文中宋" w:eastAsia="华文中宋" w:cs="华文中宋"/>
          <w:color w:val="auto"/>
          <w:sz w:val="24"/>
          <w:szCs w:val="32"/>
          <w:highlight w:val="none"/>
          <w:shd w:val="clear" w:color="auto" w:fill="FFFFFF"/>
        </w:rPr>
        <w:t>（生产厂址）</w:t>
      </w:r>
      <w:r>
        <w:rPr>
          <w:rFonts w:hint="eastAsia" w:ascii="华文中宋" w:hAnsi="华文中宋" w:eastAsia="华文中宋" w:cs="华文中宋"/>
          <w:color w:val="auto"/>
          <w:sz w:val="24"/>
          <w:szCs w:val="24"/>
          <w:highlight w:val="none"/>
          <w:shd w:val="clear" w:color="auto" w:fill="FFFFFF"/>
        </w:rPr>
        <w:t>。</w:t>
      </w:r>
      <w:r>
        <w:rPr>
          <w:rStyle w:val="23"/>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的中国境内生产的组件成本占比≥</w:t>
      </w:r>
      <w:r>
        <w:rPr>
          <w:rStyle w:val="23"/>
          <w:rFonts w:hint="eastAsia" w:ascii="华文中宋" w:hAnsi="华文中宋" w:eastAsia="华文中宋" w:cs="华文中宋"/>
          <w:color w:val="auto"/>
          <w:sz w:val="24"/>
          <w:szCs w:val="32"/>
          <w:highlight w:val="none"/>
          <w:shd w:val="clear" w:color="auto" w:fill="FFFFFF"/>
        </w:rPr>
        <w:t>（规定比例）</w:t>
      </w:r>
      <w:r>
        <w:rPr>
          <w:rFonts w:hint="eastAsia" w:ascii="华文中宋" w:hAnsi="华文中宋" w:eastAsia="华文中宋" w:cs="华文中宋"/>
          <w:color w:val="auto"/>
          <w:sz w:val="24"/>
          <w:szCs w:val="24"/>
          <w:highlight w:val="none"/>
          <w:shd w:val="clear" w:color="auto" w:fill="FFFFFF"/>
        </w:rPr>
        <w:t>。</w:t>
      </w:r>
      <w:r>
        <w:rPr>
          <w:rStyle w:val="23"/>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w:t>
      </w:r>
      <w:r>
        <w:rPr>
          <w:rStyle w:val="23"/>
          <w:rFonts w:hint="eastAsia" w:ascii="华文中宋" w:hAnsi="华文中宋" w:eastAsia="华文中宋" w:cs="华文中宋"/>
          <w:color w:val="auto"/>
          <w:sz w:val="24"/>
          <w:szCs w:val="32"/>
          <w:highlight w:val="none"/>
          <w:shd w:val="clear" w:color="auto" w:fill="FFFFFF"/>
        </w:rPr>
        <w:t>（关键组件）</w:t>
      </w:r>
      <w:r>
        <w:rPr>
          <w:rFonts w:hint="eastAsia" w:ascii="华文中宋" w:hAnsi="华文中宋" w:eastAsia="华文中宋" w:cs="华文中宋"/>
          <w:color w:val="auto"/>
          <w:sz w:val="24"/>
          <w:szCs w:val="24"/>
          <w:highlight w:val="none"/>
          <w:shd w:val="clear" w:color="auto" w:fill="FFFFFF"/>
        </w:rPr>
        <w:t>在中国境内生产。</w:t>
      </w:r>
      <w:r>
        <w:rPr>
          <w:rStyle w:val="23"/>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w:t>
      </w:r>
      <w:r>
        <w:rPr>
          <w:rStyle w:val="23"/>
          <w:rFonts w:hint="eastAsia" w:ascii="华文中宋" w:hAnsi="华文中宋" w:eastAsia="华文中宋" w:cs="华文中宋"/>
          <w:color w:val="auto"/>
          <w:sz w:val="24"/>
          <w:szCs w:val="32"/>
          <w:highlight w:val="none"/>
          <w:shd w:val="clear" w:color="auto" w:fill="FFFFFF"/>
        </w:rPr>
        <w:t>（关键工序）</w:t>
      </w:r>
      <w:r>
        <w:rPr>
          <w:rFonts w:hint="eastAsia" w:ascii="华文中宋" w:hAnsi="华文中宋" w:eastAsia="华文中宋" w:cs="华文中宋"/>
          <w:color w:val="auto"/>
          <w:sz w:val="24"/>
          <w:szCs w:val="24"/>
          <w:highlight w:val="none"/>
          <w:shd w:val="clear" w:color="auto" w:fill="FFFFFF"/>
        </w:rPr>
        <w:t>在中国境内完成。</w:t>
      </w:r>
    </w:p>
    <w:p w14:paraId="000B5C49">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w:t>
      </w:r>
    </w:p>
    <w:p w14:paraId="708A9EDE">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本公司（单位）对上述声明内容的真实性负责。如有虚假，愿承担相应法律责任。</w:t>
      </w:r>
    </w:p>
    <w:p w14:paraId="1D69450D">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 </w:t>
      </w:r>
    </w:p>
    <w:p w14:paraId="3EF8B166">
      <w:pPr>
        <w:pStyle w:val="17"/>
        <w:shd w:val="clear" w:color="auto" w:fill="FFFFFF"/>
        <w:kinsoku w:val="0"/>
        <w:autoSpaceDE w:val="0"/>
        <w:autoSpaceDN w:val="0"/>
        <w:adjustRightInd w:val="0"/>
        <w:snapToGrid w:val="0"/>
        <w:spacing w:before="24" w:beforeAutospacing="0" w:after="24" w:afterAutospacing="0" w:line="420" w:lineRule="exact"/>
        <w:ind w:firstLine="420"/>
        <w:jc w:val="right"/>
        <w:textAlignment w:val="baseline"/>
        <w:rPr>
          <w:rFonts w:hint="eastAsia" w:ascii="华文中宋" w:hAnsi="华文中宋" w:eastAsia="华文中宋" w:cs="华文中宋"/>
          <w:color w:val="auto"/>
          <w:sz w:val="24"/>
          <w:szCs w:val="24"/>
          <w:highlight w:val="none"/>
          <w:u w:val="single"/>
          <w:shd w:val="clear" w:color="auto" w:fill="FFFFFF"/>
        </w:rPr>
      </w:pPr>
      <w:r>
        <w:rPr>
          <w:rFonts w:hint="eastAsia" w:ascii="华文中宋" w:hAnsi="华文中宋" w:eastAsia="华文中宋" w:cs="华文中宋"/>
          <w:color w:val="auto"/>
          <w:sz w:val="24"/>
          <w:szCs w:val="24"/>
          <w:highlight w:val="none"/>
          <w:shd w:val="clear" w:color="auto" w:fill="FFFFFF"/>
        </w:rPr>
        <w:t>公司（单位）名称（盖章）：</w:t>
      </w:r>
      <w:r>
        <w:rPr>
          <w:rFonts w:hint="eastAsia" w:ascii="华文中宋" w:hAnsi="华文中宋" w:eastAsia="华文中宋" w:cs="华文中宋"/>
          <w:color w:val="auto"/>
          <w:sz w:val="24"/>
          <w:szCs w:val="24"/>
          <w:highlight w:val="none"/>
          <w:u w:val="single"/>
          <w:shd w:val="clear" w:color="auto" w:fill="FFFFFF"/>
        </w:rPr>
        <w:t>　        </w:t>
      </w:r>
    </w:p>
    <w:p w14:paraId="49534758">
      <w:pPr>
        <w:pStyle w:val="17"/>
        <w:shd w:val="clear" w:color="auto" w:fill="FFFFFF"/>
        <w:kinsoku w:val="0"/>
        <w:autoSpaceDE w:val="0"/>
        <w:autoSpaceDN w:val="0"/>
        <w:adjustRightInd w:val="0"/>
        <w:snapToGrid w:val="0"/>
        <w:spacing w:before="24" w:beforeAutospacing="0" w:after="24" w:afterAutospacing="0" w:line="420" w:lineRule="exact"/>
        <w:ind w:firstLine="420"/>
        <w:jc w:val="right"/>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日期：</w:t>
      </w:r>
      <w:r>
        <w:rPr>
          <w:rFonts w:hint="eastAsia" w:ascii="华文中宋" w:hAnsi="华文中宋" w:eastAsia="华文中宋" w:cs="华文中宋"/>
          <w:color w:val="auto"/>
          <w:sz w:val="24"/>
          <w:szCs w:val="24"/>
          <w:highlight w:val="none"/>
          <w:u w:val="single"/>
          <w:shd w:val="clear" w:color="auto" w:fill="FFFFFF"/>
        </w:rPr>
        <w:t>　     </w:t>
      </w:r>
      <w:r>
        <w:rPr>
          <w:rFonts w:hint="eastAsia" w:ascii="华文中宋" w:hAnsi="华文中宋" w:eastAsia="华文中宋" w:cs="华文中宋"/>
          <w:color w:val="auto"/>
          <w:sz w:val="24"/>
          <w:szCs w:val="24"/>
          <w:highlight w:val="none"/>
          <w:shd w:val="clear" w:color="auto" w:fill="FFFFFF"/>
        </w:rPr>
        <w:t>年</w:t>
      </w:r>
      <w:r>
        <w:rPr>
          <w:rFonts w:hint="eastAsia" w:ascii="华文中宋" w:hAnsi="华文中宋" w:eastAsia="华文中宋" w:cs="华文中宋"/>
          <w:color w:val="auto"/>
          <w:sz w:val="24"/>
          <w:szCs w:val="24"/>
          <w:highlight w:val="none"/>
          <w:u w:val="single"/>
          <w:shd w:val="clear" w:color="auto" w:fill="FFFFFF"/>
        </w:rPr>
        <w:t>　  </w:t>
      </w:r>
      <w:r>
        <w:rPr>
          <w:rFonts w:hint="eastAsia" w:ascii="华文中宋" w:hAnsi="华文中宋" w:eastAsia="华文中宋" w:cs="华文中宋"/>
          <w:color w:val="auto"/>
          <w:sz w:val="24"/>
          <w:szCs w:val="24"/>
          <w:highlight w:val="none"/>
          <w:shd w:val="clear" w:color="auto" w:fill="FFFFFF"/>
        </w:rPr>
        <w:t>月</w:t>
      </w:r>
      <w:r>
        <w:rPr>
          <w:rFonts w:hint="eastAsia" w:ascii="华文中宋" w:hAnsi="华文中宋" w:eastAsia="华文中宋" w:cs="华文中宋"/>
          <w:color w:val="auto"/>
          <w:sz w:val="24"/>
          <w:szCs w:val="24"/>
          <w:highlight w:val="none"/>
          <w:u w:val="single"/>
          <w:shd w:val="clear" w:color="auto" w:fill="FFFFFF"/>
        </w:rPr>
        <w:t>　  </w:t>
      </w:r>
      <w:r>
        <w:rPr>
          <w:rFonts w:hint="eastAsia" w:ascii="华文中宋" w:hAnsi="华文中宋" w:eastAsia="华文中宋" w:cs="华文中宋"/>
          <w:color w:val="auto"/>
          <w:sz w:val="24"/>
          <w:szCs w:val="24"/>
          <w:highlight w:val="none"/>
          <w:shd w:val="clear" w:color="auto" w:fill="FFFFFF"/>
        </w:rPr>
        <w:t>日         </w:t>
      </w:r>
    </w:p>
    <w:p w14:paraId="1A58F0AD">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p>
    <w:p w14:paraId="4C4E05BB">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1.产品如有型号，请在“产品名称”栏一并填写。</w:t>
      </w:r>
    </w:p>
    <w:p w14:paraId="7030A212">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2.生产厂名与厂址应与生产厂营业执照载明的相关信息保持一致。</w:t>
      </w:r>
    </w:p>
    <w:p w14:paraId="36EAE127">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3.该产品的中国境内生产的组件成本占比相关要求实施前，“规定比例”栏可不填，下同。</w:t>
      </w:r>
    </w:p>
    <w:p w14:paraId="61CF418F">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4.该产品的关键组件要求实施前，“关键组件”栏可不填，下同。</w:t>
      </w:r>
    </w:p>
    <w:p w14:paraId="1644272B">
      <w:pPr>
        <w:pStyle w:val="17"/>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5.该产品的关键工序要求实施前，“关键工序”栏可不填，下同。</w:t>
      </w:r>
    </w:p>
    <w:p w14:paraId="42ABC2BF">
      <w:pPr>
        <w:pStyle w:val="17"/>
        <w:shd w:val="clear" w:color="auto" w:fill="FFFFFF"/>
        <w:kinsoku w:val="0"/>
        <w:autoSpaceDE w:val="0"/>
        <w:autoSpaceDN w:val="0"/>
        <w:adjustRightInd w:val="0"/>
        <w:snapToGrid w:val="0"/>
        <w:spacing w:before="24" w:beforeAutospacing="0" w:after="24" w:afterAutospacing="0" w:line="420" w:lineRule="exact"/>
        <w:ind w:firstLine="480" w:firstLineChars="20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6、风险提示：随中标、成交结果同时公告中标供应商提供的《声明函》或有关证明文件。投标人提供虚假《声明函》、虚假证明文件谋取中标、成交的，依照《中华人民共和国政府采购法》等法律法规规定追究相应责任。</w:t>
      </w:r>
    </w:p>
    <w:p w14:paraId="0EBE2C5A">
      <w:pPr>
        <w:pStyle w:val="17"/>
        <w:shd w:val="clear" w:color="auto" w:fill="FFFFFF"/>
        <w:kinsoku w:val="0"/>
        <w:autoSpaceDE w:val="0"/>
        <w:autoSpaceDN w:val="0"/>
        <w:adjustRightInd w:val="0"/>
        <w:snapToGrid w:val="0"/>
        <w:spacing w:before="24" w:beforeAutospacing="0" w:after="24" w:afterAutospacing="0"/>
        <w:ind w:firstLine="422"/>
        <w:jc w:val="center"/>
        <w:textAlignment w:val="baseline"/>
        <w:rPr>
          <w:rFonts w:hint="eastAsia" w:ascii="华文中宋" w:hAnsi="华文中宋" w:eastAsia="华文中宋" w:cs="华文中宋"/>
          <w:b/>
          <w:color w:val="auto"/>
          <w:sz w:val="24"/>
          <w:szCs w:val="24"/>
          <w:highlight w:val="none"/>
          <w:shd w:val="clear" w:color="auto" w:fill="FFFFFF"/>
        </w:rPr>
      </w:pPr>
      <w:r>
        <w:rPr>
          <w:rFonts w:hint="eastAsia" w:ascii="华文中宋" w:hAnsi="华文中宋" w:eastAsia="华文中宋" w:cs="华文中宋"/>
          <w:b/>
          <w:color w:val="auto"/>
          <w:sz w:val="21"/>
          <w:szCs w:val="21"/>
          <w:highlight w:val="none"/>
          <w:lang w:bidi="ar"/>
        </w:rPr>
        <w:br w:type="page"/>
      </w:r>
    </w:p>
    <w:p w14:paraId="4AEA1537">
      <w:pPr>
        <w:tabs>
          <w:tab w:val="left" w:pos="1680"/>
        </w:tabs>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6</w:t>
      </w:r>
    </w:p>
    <w:p w14:paraId="44525FD0">
      <w:pPr>
        <w:pStyle w:val="17"/>
        <w:shd w:val="clear" w:color="auto" w:fill="FFFFFF"/>
        <w:kinsoku w:val="0"/>
        <w:autoSpaceDE w:val="0"/>
        <w:autoSpaceDN w:val="0"/>
        <w:adjustRightInd w:val="0"/>
        <w:snapToGrid w:val="0"/>
        <w:spacing w:before="24" w:beforeAutospacing="0" w:after="24" w:afterAutospacing="0"/>
        <w:ind w:firstLine="482"/>
        <w:jc w:val="center"/>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符合本国产品标准的成本占比承诺函（如有）</w:t>
      </w:r>
    </w:p>
    <w:p w14:paraId="11CBA93D">
      <w:pPr>
        <w:spacing w:after="0" w:line="360" w:lineRule="auto"/>
        <w:jc w:val="center"/>
        <w:rPr>
          <w:rFonts w:hint="eastAsia" w:ascii="华文中宋" w:hAnsi="华文中宋" w:eastAsia="华文中宋" w:cs="华文中宋"/>
          <w:color w:val="auto"/>
          <w:sz w:val="24"/>
          <w:szCs w:val="24"/>
          <w:highlight w:val="none"/>
          <w:shd w:val="clear" w:color="auto" w:fill="FFFFFF"/>
        </w:rPr>
      </w:pPr>
    </w:p>
    <w:p w14:paraId="64BA49E4">
      <w:pPr>
        <w:spacing w:after="0"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lang w:bidi="ar"/>
        </w:rPr>
        <w:t>关于符合本国产品标准的成本占比承诺函</w:t>
      </w:r>
    </w:p>
    <w:p w14:paraId="45516517">
      <w:pPr>
        <w:spacing w:after="0" w:line="360" w:lineRule="auto"/>
        <w:jc w:val="center"/>
        <w:rPr>
          <w:rFonts w:hint="eastAsia" w:ascii="华文中宋" w:hAnsi="华文中宋" w:eastAsia="华文中宋" w:cs="华文中宋"/>
          <w:color w:val="auto"/>
          <w:sz w:val="24"/>
          <w:szCs w:val="24"/>
          <w:highlight w:val="none"/>
        </w:rPr>
      </w:pPr>
    </w:p>
    <w:tbl>
      <w:tblPr>
        <w:tblStyle w:val="19"/>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6"/>
        <w:gridCol w:w="1844"/>
      </w:tblGrid>
      <w:tr w14:paraId="4C78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BC2BC">
            <w:pPr>
              <w:spacing w:after="0" w:line="360" w:lineRule="auto"/>
              <w:jc w:val="center"/>
              <w:rPr>
                <w:rFonts w:hint="eastAsia" w:ascii="华文中宋" w:hAnsi="华文中宋" w:eastAsia="华文中宋" w:cs="华文中宋"/>
                <w:b/>
                <w:color w:val="auto"/>
                <w:sz w:val="21"/>
                <w:szCs w:val="21"/>
                <w:highlight w:val="none"/>
                <w:shd w:val="clear" w:color="auto" w:fill="FFFFFF"/>
              </w:rPr>
            </w:pPr>
            <w:r>
              <w:rPr>
                <w:rFonts w:hint="eastAsia" w:ascii="华文中宋" w:hAnsi="华文中宋" w:eastAsia="华文中宋" w:cs="华文中宋"/>
                <w:b/>
                <w:color w:val="auto"/>
                <w:sz w:val="21"/>
                <w:szCs w:val="21"/>
                <w:highlight w:val="none"/>
                <w:shd w:val="clear" w:color="auto" w:fill="FFFFFF"/>
                <w:lang w:bidi="ar"/>
              </w:rPr>
              <w:t>项目</w:t>
            </w:r>
          </w:p>
        </w:tc>
        <w:tc>
          <w:tcPr>
            <w:tcW w:w="20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FCB2E">
            <w:pPr>
              <w:spacing w:after="0" w:line="360" w:lineRule="auto"/>
              <w:jc w:val="center"/>
              <w:rPr>
                <w:rFonts w:hint="eastAsia" w:ascii="华文中宋" w:hAnsi="华文中宋" w:eastAsia="华文中宋" w:cs="华文中宋"/>
                <w:b/>
                <w:color w:val="auto"/>
                <w:sz w:val="21"/>
                <w:szCs w:val="21"/>
                <w:highlight w:val="none"/>
                <w:shd w:val="clear" w:color="auto" w:fill="FFFFFF"/>
              </w:rPr>
            </w:pPr>
            <w:r>
              <w:rPr>
                <w:rFonts w:hint="eastAsia" w:ascii="华文中宋" w:hAnsi="华文中宋" w:eastAsia="华文中宋" w:cs="华文中宋"/>
                <w:b/>
                <w:color w:val="auto"/>
                <w:sz w:val="21"/>
                <w:szCs w:val="21"/>
                <w:highlight w:val="none"/>
                <w:shd w:val="clear" w:color="auto" w:fill="FFFFFF"/>
                <w:lang w:bidi="ar"/>
              </w:rPr>
              <w:t>填写内容</w:t>
            </w:r>
          </w:p>
        </w:tc>
      </w:tr>
      <w:tr w14:paraId="4BE2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ED15F">
            <w:pPr>
              <w:spacing w:after="0" w:line="360" w:lineRule="auto"/>
              <w:jc w:val="center"/>
              <w:rPr>
                <w:rFonts w:hint="eastAsia" w:ascii="华文中宋" w:hAnsi="华文中宋" w:eastAsia="华文中宋" w:cs="华文中宋"/>
                <w:color w:val="auto"/>
                <w:sz w:val="21"/>
                <w:szCs w:val="21"/>
                <w:highlight w:val="none"/>
                <w:shd w:val="clear" w:color="auto" w:fill="FFFFFF"/>
              </w:rPr>
            </w:pPr>
          </w:p>
          <w:p w14:paraId="3B518A6A">
            <w:pPr>
              <w:spacing w:after="0" w:line="360" w:lineRule="auto"/>
              <w:jc w:val="center"/>
              <w:rPr>
                <w:rFonts w:hint="eastAsia" w:ascii="华文中宋" w:hAnsi="华文中宋" w:eastAsia="华文中宋" w:cs="华文中宋"/>
                <w:color w:val="auto"/>
                <w:spacing w:val="4"/>
                <w:sz w:val="21"/>
                <w:szCs w:val="21"/>
                <w:highlight w:val="none"/>
                <w:bdr w:val="single" w:color="auto" w:sz="2" w:space="0"/>
                <w:shd w:val="clear" w:color="auto" w:fill="FFFFFF"/>
              </w:rPr>
            </w:pPr>
            <w:r>
              <w:rPr>
                <w:rFonts w:hint="eastAsia" w:ascii="华文中宋" w:hAnsi="华文中宋" w:eastAsia="华文中宋" w:cs="华文中宋"/>
                <w:color w:val="auto"/>
                <w:spacing w:val="4"/>
                <w:sz w:val="21"/>
                <w:szCs w:val="21"/>
                <w:highlight w:val="none"/>
                <w:bdr w:val="single" w:color="auto" w:sz="2" w:space="0"/>
                <w:shd w:val="clear" w:color="auto" w:fill="FFFFFF"/>
                <w:lang w:bidi="ar"/>
              </w:rPr>
              <w:drawing>
                <wp:inline distT="0" distB="0" distL="114300" distR="114300">
                  <wp:extent cx="3657600" cy="593090"/>
                  <wp:effectExtent l="0" t="0" r="0" b="0"/>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17"/>
                          <a:stretch>
                            <a:fillRect/>
                          </a:stretch>
                        </pic:blipFill>
                        <pic:spPr>
                          <a:xfrm>
                            <a:off x="0" y="0"/>
                            <a:ext cx="3657600" cy="593090"/>
                          </a:xfrm>
                          <a:prstGeom prst="rect">
                            <a:avLst/>
                          </a:prstGeom>
                          <a:noFill/>
                          <a:ln>
                            <a:noFill/>
                          </a:ln>
                        </pic:spPr>
                      </pic:pic>
                    </a:graphicData>
                  </a:graphic>
                </wp:inline>
              </w:drawing>
            </w:r>
          </w:p>
          <w:p w14:paraId="4EE0DE0C">
            <w:pPr>
              <w:spacing w:after="0" w:line="360" w:lineRule="auto"/>
              <w:jc w:val="center"/>
              <w:rPr>
                <w:rFonts w:hint="eastAsia" w:ascii="华文中宋" w:hAnsi="华文中宋" w:eastAsia="华文中宋" w:cs="华文中宋"/>
                <w:color w:val="auto"/>
                <w:spacing w:val="4"/>
                <w:sz w:val="21"/>
                <w:szCs w:val="21"/>
                <w:highlight w:val="none"/>
                <w:bdr w:val="single" w:color="auto" w:sz="2" w:space="0"/>
                <w:shd w:val="clear" w:color="auto" w:fill="FFFFFF"/>
              </w:rPr>
            </w:pPr>
          </w:p>
          <w:p w14:paraId="30042751">
            <w:pPr>
              <w:spacing w:after="0" w:line="360" w:lineRule="auto"/>
              <w:jc w:val="center"/>
              <w:rPr>
                <w:rFonts w:hint="eastAsia" w:ascii="华文中宋" w:hAnsi="华文中宋" w:eastAsia="华文中宋" w:cs="华文中宋"/>
                <w:color w:val="auto"/>
                <w:sz w:val="21"/>
                <w:szCs w:val="21"/>
                <w:highlight w:val="none"/>
                <w:shd w:val="clear" w:color="auto" w:fill="FFFFFF"/>
              </w:rPr>
            </w:pPr>
          </w:p>
        </w:tc>
        <w:tc>
          <w:tcPr>
            <w:tcW w:w="20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1BD49">
            <w:pPr>
              <w:spacing w:after="0" w:line="360" w:lineRule="auto"/>
              <w:jc w:val="center"/>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u w:val="single"/>
                <w:shd w:val="clear" w:color="auto" w:fill="FFFFFF"/>
                <w:lang w:bidi="ar"/>
              </w:rPr>
              <w:t xml:space="preserve">       </w:t>
            </w:r>
            <w:r>
              <w:rPr>
                <w:rFonts w:hint="eastAsia" w:ascii="华文中宋" w:hAnsi="华文中宋" w:eastAsia="华文中宋" w:cs="华文中宋"/>
                <w:color w:val="auto"/>
                <w:sz w:val="21"/>
                <w:szCs w:val="21"/>
                <w:highlight w:val="none"/>
                <w:shd w:val="clear" w:color="auto" w:fill="FFFFFF"/>
                <w:lang w:bidi="ar"/>
              </w:rPr>
              <w:t>%</w:t>
            </w:r>
          </w:p>
        </w:tc>
      </w:tr>
    </w:tbl>
    <w:p w14:paraId="5A1DD64A">
      <w:pPr>
        <w:wordWrap w:val="0"/>
        <w:topLinePunct/>
        <w:spacing w:after="0" w:line="360" w:lineRule="auto"/>
        <w:ind w:firstLine="420" w:firstLineChars="200"/>
        <w:jc w:val="left"/>
        <w:rPr>
          <w:rFonts w:hint="eastAsia" w:ascii="华文中宋" w:hAnsi="华文中宋" w:eastAsia="华文中宋" w:cs="华文中宋"/>
          <w:color w:val="auto"/>
          <w:sz w:val="21"/>
          <w:szCs w:val="21"/>
          <w:highlight w:val="none"/>
          <w:shd w:val="clear" w:color="auto" w:fill="FFFFFF"/>
          <w:lang w:bidi="ar"/>
        </w:rPr>
      </w:pPr>
    </w:p>
    <w:p w14:paraId="5461F44E">
      <w:pPr>
        <w:wordWrap w:val="0"/>
        <w:topLinePunct/>
        <w:spacing w:after="0" w:line="360" w:lineRule="auto"/>
        <w:ind w:firstLine="420" w:firstLineChars="200"/>
        <w:jc w:val="left"/>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lang w:bidi="ar"/>
        </w:rPr>
        <w:t>本公司（单位）填写、盖章与签署，即视为对表格内容真实、准确、完整的正式承诺。如存在任何虚假、误导性陈述或重大遗漏，本公司（单位）愿承担由此产生的一切法律后果及责任。</w:t>
      </w:r>
    </w:p>
    <w:p w14:paraId="684CB3BC">
      <w:pPr>
        <w:wordWrap w:val="0"/>
        <w:topLinePunct/>
        <w:spacing w:after="0" w:line="360" w:lineRule="auto"/>
        <w:ind w:firstLine="4200" w:firstLineChars="200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bidi="ar"/>
        </w:rPr>
        <w:t>供应商名称：</w:t>
      </w:r>
      <w:r>
        <w:rPr>
          <w:rFonts w:hint="eastAsia" w:ascii="华文中宋" w:hAnsi="华文中宋" w:eastAsia="华文中宋" w:cs="华文中宋"/>
          <w:color w:val="auto"/>
          <w:sz w:val="21"/>
          <w:szCs w:val="21"/>
          <w:highlight w:val="none"/>
          <w:u w:val="single"/>
          <w:lang w:bidi="ar"/>
        </w:rPr>
        <w:t xml:space="preserve">            （公章）</w:t>
      </w:r>
    </w:p>
    <w:p w14:paraId="157450A3">
      <w:pPr>
        <w:wordWrap w:val="0"/>
        <w:topLinePunct/>
        <w:spacing w:after="0" w:line="360" w:lineRule="auto"/>
        <w:ind w:firstLine="4200" w:firstLineChars="2000"/>
        <w:rPr>
          <w:rFonts w:hint="eastAsia" w:ascii="华文中宋" w:hAnsi="华文中宋" w:eastAsia="华文中宋" w:cs="华文中宋"/>
          <w:color w:val="auto"/>
          <w:kern w:val="0"/>
          <w:sz w:val="21"/>
          <w:szCs w:val="21"/>
          <w:highlight w:val="none"/>
          <w:lang w:bidi="ar"/>
        </w:rPr>
      </w:pPr>
      <w:r>
        <w:rPr>
          <w:rFonts w:hint="eastAsia" w:ascii="华文中宋" w:hAnsi="华文中宋" w:eastAsia="华文中宋" w:cs="华文中宋"/>
          <w:color w:val="auto"/>
          <w:sz w:val="21"/>
          <w:szCs w:val="21"/>
          <w:highlight w:val="none"/>
          <w:lang w:bidi="ar"/>
        </w:rPr>
        <w:t>日期：</w:t>
      </w:r>
      <w:r>
        <w:rPr>
          <w:rFonts w:hint="eastAsia" w:ascii="华文中宋" w:hAnsi="华文中宋" w:eastAsia="华文中宋" w:cs="华文中宋"/>
          <w:color w:val="auto"/>
          <w:sz w:val="21"/>
          <w:szCs w:val="21"/>
          <w:highlight w:val="none"/>
          <w:u w:val="single"/>
          <w:lang w:bidi="ar"/>
        </w:rPr>
        <w:t xml:space="preserve">    </w:t>
      </w:r>
      <w:r>
        <w:rPr>
          <w:rFonts w:hint="eastAsia" w:ascii="华文中宋" w:hAnsi="华文中宋" w:eastAsia="华文中宋" w:cs="华文中宋"/>
          <w:color w:val="auto"/>
          <w:sz w:val="21"/>
          <w:szCs w:val="21"/>
          <w:highlight w:val="none"/>
          <w:lang w:bidi="ar"/>
        </w:rPr>
        <w:t>年</w:t>
      </w:r>
      <w:r>
        <w:rPr>
          <w:rFonts w:hint="eastAsia" w:ascii="华文中宋" w:hAnsi="华文中宋" w:eastAsia="华文中宋" w:cs="华文中宋"/>
          <w:color w:val="auto"/>
          <w:sz w:val="21"/>
          <w:szCs w:val="21"/>
          <w:highlight w:val="none"/>
          <w:u w:val="single"/>
          <w:lang w:bidi="ar"/>
        </w:rPr>
        <w:t xml:space="preserve">    </w:t>
      </w:r>
      <w:r>
        <w:rPr>
          <w:rFonts w:hint="eastAsia" w:ascii="华文中宋" w:hAnsi="华文中宋" w:eastAsia="华文中宋" w:cs="华文中宋"/>
          <w:color w:val="auto"/>
          <w:sz w:val="21"/>
          <w:szCs w:val="21"/>
          <w:highlight w:val="none"/>
          <w:lang w:bidi="ar"/>
        </w:rPr>
        <w:t>月</w:t>
      </w:r>
      <w:r>
        <w:rPr>
          <w:rFonts w:hint="eastAsia" w:ascii="华文中宋" w:hAnsi="华文中宋" w:eastAsia="华文中宋" w:cs="华文中宋"/>
          <w:color w:val="auto"/>
          <w:sz w:val="21"/>
          <w:szCs w:val="21"/>
          <w:highlight w:val="none"/>
          <w:u w:val="single"/>
          <w:lang w:bidi="ar"/>
        </w:rPr>
        <w:t xml:space="preserve">　  </w:t>
      </w:r>
      <w:r>
        <w:rPr>
          <w:rFonts w:hint="eastAsia" w:ascii="华文中宋" w:hAnsi="华文中宋" w:eastAsia="华文中宋" w:cs="华文中宋"/>
          <w:color w:val="auto"/>
          <w:sz w:val="21"/>
          <w:szCs w:val="21"/>
          <w:highlight w:val="none"/>
          <w:lang w:bidi="ar"/>
        </w:rPr>
        <w:t>日</w:t>
      </w:r>
      <w:r>
        <w:rPr>
          <w:rFonts w:hint="eastAsia" w:ascii="华文中宋" w:hAnsi="华文中宋" w:eastAsia="华文中宋" w:cs="华文中宋"/>
          <w:color w:val="auto"/>
          <w:kern w:val="0"/>
          <w:sz w:val="21"/>
          <w:szCs w:val="21"/>
          <w:highlight w:val="none"/>
          <w:shd w:val="clear" w:color="auto" w:fill="FFFFFF"/>
          <w:lang w:bidi="ar"/>
        </w:rPr>
        <w:t>         </w:t>
      </w:r>
    </w:p>
    <w:p w14:paraId="1935E060">
      <w:pPr>
        <w:wordWrap w:val="0"/>
        <w:topLinePunct/>
        <w:spacing w:after="0" w:line="360" w:lineRule="auto"/>
        <w:ind w:firstLine="420" w:firstLineChars="200"/>
        <w:jc w:val="left"/>
        <w:rPr>
          <w:rFonts w:hint="eastAsia" w:ascii="华文中宋" w:hAnsi="华文中宋" w:eastAsia="华文中宋" w:cs="华文中宋"/>
          <w:color w:val="auto"/>
          <w:sz w:val="21"/>
          <w:szCs w:val="21"/>
          <w:highlight w:val="none"/>
          <w:shd w:val="clear" w:color="auto" w:fill="FFFFFF"/>
        </w:rPr>
      </w:pPr>
    </w:p>
    <w:p w14:paraId="29E62E22">
      <w:pPr>
        <w:wordWrap w:val="0"/>
        <w:topLinePunct/>
        <w:spacing w:after="0" w:line="440" w:lineRule="exact"/>
        <w:ind w:firstLine="420" w:firstLineChars="200"/>
        <w:jc w:val="left"/>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lang w:bidi="ar"/>
        </w:rPr>
        <w:t>注：</w:t>
      </w:r>
    </w:p>
    <w:p w14:paraId="6E58D510">
      <w:pPr>
        <w:wordWrap w:val="0"/>
        <w:topLinePunct/>
        <w:adjustRightInd w:val="0"/>
        <w:snapToGrid w:val="0"/>
        <w:spacing w:after="0" w:line="440" w:lineRule="exact"/>
        <w:ind w:firstLine="420" w:firstLineChars="200"/>
        <w:jc w:val="left"/>
        <w:textAlignment w:val="baseline"/>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lang w:bidi="ar"/>
        </w:rPr>
        <w:t>1、单一产品采购不填写此函，多品目采购包如供应商所有产品均为本国产品且填写《关于符合本国产品标准的声明函》可不填写此函。</w:t>
      </w:r>
    </w:p>
    <w:p w14:paraId="284EBCED">
      <w:pPr>
        <w:pStyle w:val="17"/>
        <w:widowControl w:val="0"/>
        <w:shd w:val="clear" w:color="auto" w:fill="FFFFFF"/>
        <w:wordWrap w:val="0"/>
        <w:topLinePunct/>
        <w:adjustRightInd w:val="0"/>
        <w:snapToGrid w:val="0"/>
        <w:spacing w:before="0" w:beforeAutospacing="0" w:after="0" w:afterAutospacing="0" w:line="440" w:lineRule="exact"/>
        <w:ind w:firstLine="420"/>
        <w:textAlignment w:val="baseline"/>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rPr>
        <w:t>2、根据《国务院办公厅关于在政府采购中实施本国产品标准及相关政策的通知》（国办发〔2025〕34号）规定，当采购项目或采购包中含有多种产品，供应商对其提供的符合本国产品标准的产品成本之和占其提供的全部产品成本之和比例是否达到80%作出承诺，该比例达到80%以上，依法对其全部产品总报价给予20%的价格扣除，未达到80%，不享受价格评审优惠。</w:t>
      </w:r>
    </w:p>
    <w:p w14:paraId="63D052A4">
      <w:pPr>
        <w:spacing w:line="240" w:lineRule="auto"/>
        <w:rPr>
          <w:rFonts w:hint="eastAsia" w:ascii="华文中宋" w:hAnsi="华文中宋" w:eastAsia="华文中宋" w:cs="华文中宋"/>
          <w:b/>
          <w:color w:val="auto"/>
          <w:sz w:val="24"/>
          <w:szCs w:val="24"/>
          <w:highlight w:val="none"/>
        </w:rPr>
      </w:pPr>
    </w:p>
    <w:p w14:paraId="74AF12C2">
      <w:pPr>
        <w:spacing w:line="240" w:lineRule="auto"/>
        <w:rPr>
          <w:rFonts w:hint="eastAsia" w:ascii="华文中宋" w:hAnsi="华文中宋" w:eastAsia="华文中宋" w:cs="华文中宋"/>
          <w:b/>
          <w:color w:val="auto"/>
          <w:sz w:val="24"/>
          <w:szCs w:val="24"/>
          <w:highlight w:val="none"/>
        </w:rPr>
      </w:pPr>
    </w:p>
    <w:p w14:paraId="5EE02EA5">
      <w:pPr>
        <w:spacing w:line="240" w:lineRule="auto"/>
        <w:rPr>
          <w:rFonts w:hint="eastAsia" w:ascii="华文中宋" w:hAnsi="华文中宋" w:eastAsia="华文中宋" w:cs="华文中宋"/>
          <w:b/>
          <w:color w:val="auto"/>
          <w:sz w:val="24"/>
          <w:szCs w:val="24"/>
          <w:highlight w:val="none"/>
        </w:rPr>
      </w:pPr>
    </w:p>
    <w:p w14:paraId="7E4D53AC">
      <w:pPr>
        <w:spacing w:line="240" w:lineRule="auto"/>
        <w:ind w:left="0" w:leftChars="0" w:firstLine="0" w:firstLineChars="0"/>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7</w:t>
      </w:r>
    </w:p>
    <w:p w14:paraId="58E4C7F7">
      <w:pPr>
        <w:tabs>
          <w:tab w:val="left" w:pos="1680"/>
        </w:tabs>
        <w:snapToGrid w:val="0"/>
        <w:spacing w:line="240" w:lineRule="auto"/>
        <w:jc w:val="center"/>
        <w:rPr>
          <w:rFonts w:hint="eastAsia" w:ascii="华文中宋" w:hAnsi="华文中宋" w:eastAsia="华文中宋" w:cs="华文中宋"/>
          <w:b/>
          <w:snapToGrid w:val="0"/>
          <w:color w:val="auto"/>
          <w:sz w:val="32"/>
          <w:szCs w:val="32"/>
          <w:highlight w:val="none"/>
        </w:rPr>
      </w:pPr>
      <w:r>
        <w:rPr>
          <w:rFonts w:hint="eastAsia" w:ascii="华文中宋" w:hAnsi="华文中宋" w:eastAsia="华文中宋" w:cs="华文中宋"/>
          <w:b/>
          <w:snapToGrid w:val="0"/>
          <w:color w:val="auto"/>
          <w:sz w:val="32"/>
          <w:szCs w:val="32"/>
          <w:highlight w:val="none"/>
        </w:rPr>
        <w:t>节能产品、环境标志产品情况一览表</w:t>
      </w:r>
    </w:p>
    <w:p w14:paraId="65448F2C">
      <w:pPr>
        <w:tabs>
          <w:tab w:val="left" w:pos="1680"/>
        </w:tabs>
        <w:snapToGrid w:val="0"/>
        <w:spacing w:line="240" w:lineRule="auto"/>
        <w:rPr>
          <w:rFonts w:hint="eastAsia" w:ascii="华文中宋" w:hAnsi="华文中宋" w:eastAsia="华文中宋" w:cs="华文中宋"/>
          <w:b/>
          <w:snapToGrid w:val="0"/>
          <w:color w:val="auto"/>
          <w:sz w:val="28"/>
          <w:szCs w:val="28"/>
          <w:highlight w:val="none"/>
        </w:rPr>
      </w:pPr>
      <w:r>
        <w:rPr>
          <w:rFonts w:hint="eastAsia" w:ascii="华文中宋" w:hAnsi="华文中宋" w:eastAsia="华文中宋" w:cs="华文中宋"/>
          <w:b/>
          <w:snapToGrid w:val="0"/>
          <w:color w:val="auto"/>
          <w:sz w:val="28"/>
          <w:szCs w:val="28"/>
          <w:highlight w:val="none"/>
        </w:rPr>
        <w:t>节能产品明细表</w:t>
      </w:r>
    </w:p>
    <w:tbl>
      <w:tblPr>
        <w:tblStyle w:val="19"/>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10"/>
        <w:gridCol w:w="1339"/>
        <w:gridCol w:w="726"/>
        <w:gridCol w:w="1552"/>
        <w:gridCol w:w="1689"/>
        <w:gridCol w:w="1967"/>
      </w:tblGrid>
      <w:tr w14:paraId="7F00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206D36">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序号</w:t>
            </w: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0F2703">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产品名称</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719CE5">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生产厂家</w:t>
            </w: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2C66F7">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品牌</w:t>
            </w: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EC1A68">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型号或规格</w:t>
            </w: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54EDA">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节字标志</w:t>
            </w:r>
          </w:p>
          <w:p w14:paraId="23453CE8">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认证证书号</w:t>
            </w: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6B74B">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认证证书</w:t>
            </w:r>
          </w:p>
          <w:p w14:paraId="57C2A0E7">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有效截止日期</w:t>
            </w:r>
          </w:p>
        </w:tc>
      </w:tr>
      <w:tr w14:paraId="04D2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top"/>
          </w:tcPr>
          <w:p w14:paraId="3C3476F6">
            <w:pPr>
              <w:snapToGrid w:val="0"/>
              <w:spacing w:line="240" w:lineRule="auto"/>
              <w:rPr>
                <w:rFonts w:hint="eastAsia" w:ascii="华文中宋" w:hAnsi="华文中宋" w:eastAsia="华文中宋" w:cs="华文中宋"/>
                <w:snapToGrid w:val="0"/>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3AFAB179">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6BD18DDF">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0213A194">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31F56ECA">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46B03678">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7FF4E955">
            <w:pPr>
              <w:snapToGrid w:val="0"/>
              <w:spacing w:line="240" w:lineRule="auto"/>
              <w:rPr>
                <w:rFonts w:hint="eastAsia" w:ascii="华文中宋" w:hAnsi="华文中宋" w:eastAsia="华文中宋" w:cs="华文中宋"/>
                <w:snapToGrid w:val="0"/>
                <w:color w:val="auto"/>
                <w:sz w:val="24"/>
                <w:szCs w:val="24"/>
                <w:highlight w:val="none"/>
              </w:rPr>
            </w:pPr>
          </w:p>
        </w:tc>
      </w:tr>
      <w:tr w14:paraId="5C70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top"/>
          </w:tcPr>
          <w:p w14:paraId="35AB3E61">
            <w:pPr>
              <w:snapToGrid w:val="0"/>
              <w:spacing w:line="240" w:lineRule="auto"/>
              <w:rPr>
                <w:rFonts w:hint="eastAsia" w:ascii="华文中宋" w:hAnsi="华文中宋" w:eastAsia="华文中宋" w:cs="华文中宋"/>
                <w:snapToGrid w:val="0"/>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4A75B310">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43CCC640">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CDE2807">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681E2F46">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58C36D69">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7F21C80D">
            <w:pPr>
              <w:snapToGrid w:val="0"/>
              <w:spacing w:line="240" w:lineRule="auto"/>
              <w:rPr>
                <w:rFonts w:hint="eastAsia" w:ascii="华文中宋" w:hAnsi="华文中宋" w:eastAsia="华文中宋" w:cs="华文中宋"/>
                <w:snapToGrid w:val="0"/>
                <w:color w:val="auto"/>
                <w:sz w:val="24"/>
                <w:szCs w:val="24"/>
                <w:highlight w:val="none"/>
              </w:rPr>
            </w:pPr>
          </w:p>
        </w:tc>
      </w:tr>
      <w:tr w14:paraId="26F1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top"/>
          </w:tcPr>
          <w:p w14:paraId="09F93605">
            <w:pPr>
              <w:snapToGrid w:val="0"/>
              <w:spacing w:line="240" w:lineRule="auto"/>
              <w:rPr>
                <w:rFonts w:hint="eastAsia" w:ascii="华文中宋" w:hAnsi="华文中宋" w:eastAsia="华文中宋" w:cs="华文中宋"/>
                <w:snapToGrid w:val="0"/>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74137918">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02E6237D">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17973547">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180CC30E">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461B70E7">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50562332">
            <w:pPr>
              <w:snapToGrid w:val="0"/>
              <w:spacing w:line="240" w:lineRule="auto"/>
              <w:rPr>
                <w:rFonts w:hint="eastAsia" w:ascii="华文中宋" w:hAnsi="华文中宋" w:eastAsia="华文中宋" w:cs="华文中宋"/>
                <w:snapToGrid w:val="0"/>
                <w:color w:val="auto"/>
                <w:sz w:val="24"/>
                <w:szCs w:val="24"/>
                <w:highlight w:val="none"/>
              </w:rPr>
            </w:pPr>
          </w:p>
        </w:tc>
      </w:tr>
      <w:tr w14:paraId="2478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8A545B">
            <w:pPr>
              <w:snapToGrid w:val="0"/>
              <w:spacing w:line="240" w:lineRule="auto"/>
              <w:rPr>
                <w:rFonts w:hint="eastAsia" w:ascii="华文中宋" w:hAnsi="华文中宋" w:eastAsia="华文中宋" w:cs="华文中宋"/>
                <w:snapToGrid w:val="0"/>
                <w:color w:val="auto"/>
                <w:sz w:val="24"/>
                <w:szCs w:val="24"/>
                <w:highlight w:val="none"/>
              </w:rPr>
            </w:pPr>
            <w:r>
              <w:rPr>
                <w:rFonts w:hint="eastAsia" w:ascii="华文中宋" w:hAnsi="华文中宋" w:eastAsia="华文中宋" w:cs="华文中宋"/>
                <w:snapToGrid w:val="0"/>
                <w:color w:val="auto"/>
                <w:sz w:val="24"/>
                <w:szCs w:val="24"/>
                <w:highlight w:val="none"/>
              </w:rPr>
              <w:t>……</w:t>
            </w: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6171BD8C">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57E5C82B">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2E16B571">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576E0A9E">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6CFEEC70">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69A1D3C3">
            <w:pPr>
              <w:snapToGrid w:val="0"/>
              <w:spacing w:line="240" w:lineRule="auto"/>
              <w:rPr>
                <w:rFonts w:hint="eastAsia" w:ascii="华文中宋" w:hAnsi="华文中宋" w:eastAsia="华文中宋" w:cs="华文中宋"/>
                <w:snapToGrid w:val="0"/>
                <w:color w:val="auto"/>
                <w:sz w:val="24"/>
                <w:szCs w:val="24"/>
                <w:highlight w:val="none"/>
              </w:rPr>
            </w:pPr>
          </w:p>
        </w:tc>
      </w:tr>
    </w:tbl>
    <w:p w14:paraId="7CC2C045">
      <w:pPr>
        <w:tabs>
          <w:tab w:val="left" w:pos="1680"/>
        </w:tabs>
        <w:snapToGrid w:val="0"/>
        <w:spacing w:line="240" w:lineRule="auto"/>
        <w:rPr>
          <w:rFonts w:hint="eastAsia" w:ascii="华文中宋" w:hAnsi="华文中宋" w:eastAsia="华文中宋" w:cs="华文中宋"/>
          <w:b/>
          <w:snapToGrid w:val="0"/>
          <w:color w:val="auto"/>
          <w:sz w:val="28"/>
          <w:szCs w:val="28"/>
          <w:highlight w:val="none"/>
        </w:rPr>
      </w:pPr>
    </w:p>
    <w:p w14:paraId="66DB89CA">
      <w:pPr>
        <w:tabs>
          <w:tab w:val="left" w:pos="1680"/>
        </w:tabs>
        <w:snapToGrid w:val="0"/>
        <w:spacing w:line="240" w:lineRule="auto"/>
        <w:rPr>
          <w:rFonts w:hint="eastAsia" w:ascii="华文中宋" w:hAnsi="华文中宋" w:eastAsia="华文中宋" w:cs="华文中宋"/>
          <w:b/>
          <w:snapToGrid w:val="0"/>
          <w:color w:val="auto"/>
          <w:sz w:val="28"/>
          <w:szCs w:val="28"/>
          <w:highlight w:val="none"/>
        </w:rPr>
      </w:pPr>
      <w:r>
        <w:rPr>
          <w:rFonts w:hint="eastAsia" w:ascii="华文中宋" w:hAnsi="华文中宋" w:eastAsia="华文中宋" w:cs="华文中宋"/>
          <w:b/>
          <w:snapToGrid w:val="0"/>
          <w:color w:val="auto"/>
          <w:sz w:val="28"/>
          <w:szCs w:val="28"/>
          <w:highlight w:val="none"/>
        </w:rPr>
        <w:t>环境标志产品明细表</w:t>
      </w:r>
    </w:p>
    <w:tbl>
      <w:tblPr>
        <w:tblStyle w:val="19"/>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30"/>
        <w:gridCol w:w="1267"/>
        <w:gridCol w:w="726"/>
        <w:gridCol w:w="1552"/>
        <w:gridCol w:w="1778"/>
        <w:gridCol w:w="1883"/>
      </w:tblGrid>
      <w:tr w14:paraId="7CB6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03137">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序号</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726B80">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产品名称</w:t>
            </w: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99A53">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生产厂家</w:t>
            </w: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B9063">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品牌</w:t>
            </w: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2DBFE6">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型号或规格</w:t>
            </w: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2F2AF">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中国环境标志认证证书编号</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B7C607">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认证证书</w:t>
            </w:r>
          </w:p>
          <w:p w14:paraId="2A4726FF">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有效截止日期</w:t>
            </w:r>
          </w:p>
        </w:tc>
      </w:tr>
      <w:tr w14:paraId="4385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top"/>
          </w:tcPr>
          <w:p w14:paraId="03ED2DB3">
            <w:pPr>
              <w:snapToGrid w:val="0"/>
              <w:spacing w:line="240" w:lineRule="auto"/>
              <w:rPr>
                <w:rFonts w:hint="eastAsia" w:ascii="华文中宋" w:hAnsi="华文中宋" w:eastAsia="华文中宋" w:cs="华文中宋"/>
                <w:snapToGrid w:val="0"/>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4DDBD425">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5F56DF2B">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0D069F39">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B13E0D9">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5AE1966C">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13D17985">
            <w:pPr>
              <w:snapToGrid w:val="0"/>
              <w:spacing w:line="240" w:lineRule="auto"/>
              <w:rPr>
                <w:rFonts w:hint="eastAsia" w:ascii="华文中宋" w:hAnsi="华文中宋" w:eastAsia="华文中宋" w:cs="华文中宋"/>
                <w:snapToGrid w:val="0"/>
                <w:color w:val="auto"/>
                <w:sz w:val="24"/>
                <w:szCs w:val="24"/>
                <w:highlight w:val="none"/>
              </w:rPr>
            </w:pPr>
          </w:p>
        </w:tc>
      </w:tr>
      <w:tr w14:paraId="0623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top"/>
          </w:tcPr>
          <w:p w14:paraId="5C336D95">
            <w:pPr>
              <w:snapToGrid w:val="0"/>
              <w:spacing w:line="240" w:lineRule="auto"/>
              <w:rPr>
                <w:rFonts w:hint="eastAsia" w:ascii="华文中宋" w:hAnsi="华文中宋" w:eastAsia="华文中宋" w:cs="华文中宋"/>
                <w:snapToGrid w:val="0"/>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0251C3FF">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0B8E1012">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D712093">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598D80FB">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356C7718">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66C39B0C">
            <w:pPr>
              <w:snapToGrid w:val="0"/>
              <w:spacing w:line="240" w:lineRule="auto"/>
              <w:rPr>
                <w:rFonts w:hint="eastAsia" w:ascii="华文中宋" w:hAnsi="华文中宋" w:eastAsia="华文中宋" w:cs="华文中宋"/>
                <w:snapToGrid w:val="0"/>
                <w:color w:val="auto"/>
                <w:sz w:val="24"/>
                <w:szCs w:val="24"/>
                <w:highlight w:val="none"/>
              </w:rPr>
            </w:pPr>
          </w:p>
        </w:tc>
      </w:tr>
      <w:tr w14:paraId="12D4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top"/>
          </w:tcPr>
          <w:p w14:paraId="1D229DB9">
            <w:pPr>
              <w:snapToGrid w:val="0"/>
              <w:spacing w:line="240" w:lineRule="auto"/>
              <w:rPr>
                <w:rFonts w:hint="eastAsia" w:ascii="华文中宋" w:hAnsi="华文中宋" w:eastAsia="华文中宋" w:cs="华文中宋"/>
                <w:snapToGrid w:val="0"/>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3079DC07">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44376BB6">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73C6F00C">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6BC7D3A2">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5C6DD987">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1D914BEF">
            <w:pPr>
              <w:snapToGrid w:val="0"/>
              <w:spacing w:line="240" w:lineRule="auto"/>
              <w:rPr>
                <w:rFonts w:hint="eastAsia" w:ascii="华文中宋" w:hAnsi="华文中宋" w:eastAsia="华文中宋" w:cs="华文中宋"/>
                <w:snapToGrid w:val="0"/>
                <w:color w:val="auto"/>
                <w:sz w:val="24"/>
                <w:szCs w:val="24"/>
                <w:highlight w:val="none"/>
              </w:rPr>
            </w:pPr>
          </w:p>
        </w:tc>
      </w:tr>
      <w:tr w14:paraId="68DC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D1BF85">
            <w:pPr>
              <w:snapToGrid w:val="0"/>
              <w:spacing w:line="240" w:lineRule="auto"/>
              <w:rPr>
                <w:rFonts w:hint="eastAsia" w:ascii="华文中宋" w:hAnsi="华文中宋" w:eastAsia="华文中宋" w:cs="华文中宋"/>
                <w:snapToGrid w:val="0"/>
                <w:color w:val="auto"/>
                <w:sz w:val="24"/>
                <w:szCs w:val="24"/>
                <w:highlight w:val="none"/>
              </w:rPr>
            </w:pPr>
            <w:r>
              <w:rPr>
                <w:rFonts w:hint="eastAsia" w:ascii="华文中宋" w:hAnsi="华文中宋" w:eastAsia="华文中宋" w:cs="华文中宋"/>
                <w:snapToGrid w:val="0"/>
                <w:color w:val="auto"/>
                <w:sz w:val="24"/>
                <w:szCs w:val="24"/>
                <w:highlight w:val="none"/>
              </w:rPr>
              <w:t>……</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1A7C5CB2">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6B4DCDA0">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42867BB">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01062050">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5B20CE06">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25248FE4">
            <w:pPr>
              <w:snapToGrid w:val="0"/>
              <w:spacing w:line="240" w:lineRule="auto"/>
              <w:rPr>
                <w:rFonts w:hint="eastAsia" w:ascii="华文中宋" w:hAnsi="华文中宋" w:eastAsia="华文中宋" w:cs="华文中宋"/>
                <w:snapToGrid w:val="0"/>
                <w:color w:val="auto"/>
                <w:sz w:val="24"/>
                <w:szCs w:val="24"/>
                <w:highlight w:val="none"/>
              </w:rPr>
            </w:pPr>
          </w:p>
        </w:tc>
      </w:tr>
    </w:tbl>
    <w:p w14:paraId="2EE8B31E">
      <w:pPr>
        <w:spacing w:after="0" w:line="240" w:lineRule="auto"/>
        <w:ind w:firstLine="480" w:firstLineChars="200"/>
        <w:rPr>
          <w:rFonts w:hint="eastAsia" w:ascii="华文中宋" w:hAnsi="华文中宋" w:eastAsia="华文中宋" w:cs="华文中宋"/>
          <w:color w:val="auto"/>
          <w:sz w:val="24"/>
          <w:szCs w:val="24"/>
          <w:highlight w:val="none"/>
          <w:lang w:val="zh-CN"/>
        </w:rPr>
      </w:pPr>
      <w:r>
        <w:rPr>
          <w:rFonts w:hint="eastAsia" w:ascii="华文中宋" w:hAnsi="华文中宋" w:eastAsia="华文中宋" w:cs="华文中宋"/>
          <w:color w:val="auto"/>
          <w:sz w:val="24"/>
          <w:szCs w:val="24"/>
          <w:highlight w:val="none"/>
        </w:rPr>
        <w:t>注：1．投标人应提供</w:t>
      </w:r>
      <w:r>
        <w:rPr>
          <w:rFonts w:hint="eastAsia" w:ascii="华文中宋" w:hAnsi="华文中宋" w:eastAsia="华文中宋" w:cs="华文中宋"/>
          <w:color w:val="auto"/>
          <w:sz w:val="24"/>
          <w:szCs w:val="24"/>
          <w:highlight w:val="none"/>
          <w:lang w:val="zh-CN"/>
        </w:rPr>
        <w:t>投标产品</w:t>
      </w:r>
      <w:r>
        <w:rPr>
          <w:rFonts w:hint="eastAsia" w:ascii="华文中宋" w:hAnsi="华文中宋" w:eastAsia="华文中宋" w:cs="华文中宋"/>
          <w:color w:val="auto"/>
          <w:sz w:val="24"/>
          <w:szCs w:val="24"/>
          <w:highlight w:val="none"/>
        </w:rPr>
        <w:t>国家确定的认证机构出具的、处于有效期之内的节能产品、环境标志产品认证证书。如提供的投标产品已列入</w:t>
      </w:r>
      <w:r>
        <w:rPr>
          <w:rFonts w:hint="eastAsia" w:ascii="华文中宋" w:hAnsi="华文中宋" w:eastAsia="华文中宋" w:cs="华文中宋"/>
          <w:color w:val="auto"/>
          <w:sz w:val="24"/>
          <w:szCs w:val="24"/>
          <w:highlight w:val="none"/>
          <w:lang w:val="zh-CN"/>
        </w:rPr>
        <w:t>最新公布的《</w:t>
      </w:r>
      <w:r>
        <w:rPr>
          <w:rFonts w:hint="eastAsia" w:ascii="华文中宋" w:hAnsi="华文中宋" w:eastAsia="华文中宋" w:cs="华文中宋"/>
          <w:color w:val="auto"/>
          <w:sz w:val="24"/>
          <w:szCs w:val="24"/>
          <w:highlight w:val="none"/>
        </w:rPr>
        <w:t>节能产品政府采购品目清单</w:t>
      </w:r>
      <w:r>
        <w:rPr>
          <w:rFonts w:hint="eastAsia" w:ascii="华文中宋" w:hAnsi="华文中宋" w:eastAsia="华文中宋" w:cs="华文中宋"/>
          <w:color w:val="auto"/>
          <w:sz w:val="24"/>
          <w:szCs w:val="24"/>
          <w:highlight w:val="none"/>
          <w:lang w:val="zh-CN"/>
        </w:rPr>
        <w:t>》或《环境标志产品政府采购品目清单》，而</w:t>
      </w:r>
      <w:r>
        <w:rPr>
          <w:rFonts w:hint="eastAsia" w:ascii="华文中宋" w:hAnsi="华文中宋" w:eastAsia="华文中宋" w:cs="华文中宋"/>
          <w:color w:val="auto"/>
          <w:sz w:val="24"/>
          <w:szCs w:val="24"/>
          <w:highlight w:val="none"/>
        </w:rPr>
        <w:t>因投标人在其投标文件中未提供</w:t>
      </w:r>
      <w:r>
        <w:rPr>
          <w:rFonts w:hint="eastAsia" w:ascii="华文中宋" w:hAnsi="华文中宋" w:eastAsia="华文中宋" w:cs="华文中宋"/>
          <w:color w:val="auto"/>
          <w:sz w:val="24"/>
          <w:szCs w:val="24"/>
          <w:highlight w:val="none"/>
          <w:lang w:val="zh-CN"/>
        </w:rPr>
        <w:t>认证证书或提供不全的，并对评标委员会评审造成的影响，由投标人自行承担其后果。</w:t>
      </w:r>
    </w:p>
    <w:p w14:paraId="6D5CC91E">
      <w:pPr>
        <w:spacing w:after="0" w:line="24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2．此表如填写不下，可另附页。</w:t>
      </w:r>
    </w:p>
    <w:p w14:paraId="4D5901F5">
      <w:pPr>
        <w:spacing w:after="0" w:line="240" w:lineRule="auto"/>
        <w:ind w:firstLine="480" w:firstLineChars="200"/>
        <w:rPr>
          <w:rFonts w:hint="eastAsia" w:ascii="华文中宋" w:hAnsi="华文中宋" w:eastAsia="华文中宋" w:cs="华文中宋"/>
          <w:color w:val="auto"/>
          <w:sz w:val="24"/>
          <w:szCs w:val="24"/>
          <w:highlight w:val="none"/>
          <w:lang w:val="zh-CN"/>
        </w:rPr>
      </w:pPr>
      <w:r>
        <w:rPr>
          <w:rFonts w:hint="eastAsia" w:ascii="华文中宋" w:hAnsi="华文中宋" w:eastAsia="华文中宋" w:cs="华文中宋"/>
          <w:color w:val="auto"/>
          <w:sz w:val="24"/>
          <w:szCs w:val="24"/>
          <w:highlight w:val="none"/>
        </w:rPr>
        <w:t>3．投标货物均不属于</w:t>
      </w:r>
      <w:r>
        <w:rPr>
          <w:rFonts w:hint="eastAsia" w:ascii="华文中宋" w:hAnsi="华文中宋" w:eastAsia="华文中宋" w:cs="华文中宋"/>
          <w:color w:val="auto"/>
          <w:sz w:val="24"/>
          <w:szCs w:val="24"/>
          <w:highlight w:val="none"/>
          <w:lang w:val="zh-CN"/>
        </w:rPr>
        <w:t>最新公布的《节能产品政府采购品目清单》或《环境标志产品政府采购品目清单》范围内产品的，此表可删除。</w:t>
      </w:r>
    </w:p>
    <w:p w14:paraId="47E1F1C4">
      <w:pPr>
        <w:spacing w:line="240" w:lineRule="auto"/>
        <w:rPr>
          <w:rFonts w:hint="eastAsia" w:ascii="华文中宋" w:hAnsi="华文中宋" w:eastAsia="华文中宋" w:cs="华文中宋"/>
          <w:b/>
          <w:color w:val="auto"/>
          <w:sz w:val="24"/>
          <w:szCs w:val="24"/>
          <w:highlight w:val="none"/>
        </w:rPr>
      </w:pPr>
    </w:p>
    <w:p w14:paraId="400E1782">
      <w:pPr>
        <w:spacing w:line="240" w:lineRule="auto"/>
        <w:ind w:left="0" w:leftChars="0" w:firstLine="0" w:firstLineChars="0"/>
        <w:rPr>
          <w:rFonts w:hint="eastAsia" w:ascii="华文中宋" w:hAnsi="华文中宋" w:eastAsia="华文中宋" w:cs="华文中宋"/>
          <w:b/>
          <w:color w:val="auto"/>
          <w:sz w:val="24"/>
          <w:szCs w:val="24"/>
          <w:highlight w:val="none"/>
        </w:rPr>
      </w:pPr>
    </w:p>
    <w:p w14:paraId="64EB4884">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p>
    <w:p w14:paraId="04BDA689">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8</w:t>
      </w:r>
    </w:p>
    <w:p w14:paraId="2960454E">
      <w:pPr>
        <w:adjustRightInd w:val="0"/>
        <w:snapToGrid w:val="0"/>
        <w:spacing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正版软件承诺</w:t>
      </w:r>
    </w:p>
    <w:p w14:paraId="585229E7">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p>
    <w:p w14:paraId="2332B0A8">
      <w:pPr>
        <w:tabs>
          <w:tab w:val="left" w:pos="7950"/>
        </w:tabs>
        <w:adjustRightInd w:val="0"/>
        <w:snapToGrid w:val="0"/>
        <w:spacing w:after="0" w:line="360" w:lineRule="auto"/>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本投标人现参与</w:t>
      </w:r>
      <w:r>
        <w:rPr>
          <w:rFonts w:hint="eastAsia" w:ascii="华文中宋" w:hAnsi="华文中宋" w:eastAsia="华文中宋" w:cs="华文中宋"/>
          <w:color w:val="auto"/>
          <w:sz w:val="28"/>
          <w:szCs w:val="28"/>
          <w:highlight w:val="none"/>
          <w:u w:val="single"/>
        </w:rPr>
        <w:t>（项目名称、项目编号）</w:t>
      </w:r>
      <w:r>
        <w:rPr>
          <w:rFonts w:hint="eastAsia" w:ascii="华文中宋" w:hAnsi="华文中宋" w:eastAsia="华文中宋" w:cs="华文中宋"/>
          <w:color w:val="auto"/>
          <w:sz w:val="28"/>
          <w:szCs w:val="28"/>
          <w:highlight w:val="none"/>
        </w:rPr>
        <w:t>的采购活动，本公司承诺投报的计算机产品预装正版操作系统，投报的硬件产品内的预装软件为正版软件。</w:t>
      </w:r>
    </w:p>
    <w:p w14:paraId="6B143EC4">
      <w:pPr>
        <w:tabs>
          <w:tab w:val="left" w:pos="7950"/>
        </w:tabs>
        <w:adjustRightInd w:val="0"/>
        <w:snapToGrid w:val="0"/>
        <w:spacing w:after="0" w:line="360" w:lineRule="auto"/>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如上述声明不真实，愿意按照政府采购有关法律法规的规定接受处罚。</w:t>
      </w:r>
    </w:p>
    <w:p w14:paraId="10598B9B">
      <w:pPr>
        <w:tabs>
          <w:tab w:val="left" w:pos="7950"/>
        </w:tabs>
        <w:adjustRightInd w:val="0"/>
        <w:snapToGrid w:val="0"/>
        <w:spacing w:after="0" w:line="360" w:lineRule="auto"/>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特此声明</w:t>
      </w:r>
    </w:p>
    <w:p w14:paraId="4194E5B5">
      <w:pPr>
        <w:adjustRightInd w:val="0"/>
        <w:snapToGrid w:val="0"/>
        <w:spacing w:line="540" w:lineRule="exact"/>
        <w:ind w:firstLine="4427" w:firstLineChars="2100"/>
        <w:rPr>
          <w:rFonts w:hint="eastAsia" w:ascii="华文中宋" w:hAnsi="华文中宋" w:eastAsia="华文中宋" w:cs="华文中宋"/>
          <w:b/>
          <w:color w:val="auto"/>
          <w:sz w:val="21"/>
          <w:szCs w:val="21"/>
          <w:highlight w:val="none"/>
        </w:rPr>
      </w:pPr>
    </w:p>
    <w:p w14:paraId="2F248397">
      <w:pPr>
        <w:adjustRightInd w:val="0"/>
        <w:snapToGrid w:val="0"/>
        <w:spacing w:line="288" w:lineRule="auto"/>
        <w:ind w:firstLine="4427" w:firstLineChars="2100"/>
        <w:rPr>
          <w:rFonts w:hint="eastAsia" w:ascii="华文中宋" w:hAnsi="华文中宋" w:eastAsia="华文中宋" w:cs="华文中宋"/>
          <w:b/>
          <w:color w:val="auto"/>
          <w:sz w:val="21"/>
          <w:szCs w:val="21"/>
          <w:highlight w:val="none"/>
        </w:rPr>
      </w:pPr>
    </w:p>
    <w:p w14:paraId="718EF29E">
      <w:pPr>
        <w:adjustRightInd w:val="0"/>
        <w:snapToGrid w:val="0"/>
        <w:spacing w:after="0" w:line="288" w:lineRule="auto"/>
        <w:ind w:firstLine="3592" w:firstLineChars="127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16651E07">
      <w:pPr>
        <w:adjustRightInd w:val="0"/>
        <w:snapToGrid w:val="0"/>
        <w:spacing w:after="0" w:line="288" w:lineRule="auto"/>
        <w:ind w:firstLine="3592" w:firstLineChars="1278"/>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p>
    <w:p w14:paraId="54A04C1E">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p>
    <w:p w14:paraId="0340E346">
      <w:pPr>
        <w:tabs>
          <w:tab w:val="left" w:pos="7950"/>
        </w:tabs>
        <w:adjustRightInd w:val="0"/>
        <w:snapToGrid w:val="0"/>
        <w:spacing w:line="540" w:lineRule="exact"/>
        <w:ind w:firstLine="560" w:firstLineChars="200"/>
        <w:jc w:val="left"/>
        <w:rPr>
          <w:rFonts w:hint="eastAsia" w:ascii="华文中宋" w:hAnsi="华文中宋" w:eastAsia="华文中宋" w:cs="华文中宋"/>
          <w:color w:val="auto"/>
          <w:sz w:val="28"/>
          <w:szCs w:val="28"/>
          <w:highlight w:val="none"/>
        </w:rPr>
      </w:pPr>
    </w:p>
    <w:p w14:paraId="18D22266">
      <w:pPr>
        <w:adjustRightInd w:val="0"/>
        <w:snapToGrid w:val="0"/>
        <w:spacing w:line="540" w:lineRule="exact"/>
        <w:ind w:firstLine="948" w:firstLineChars="395"/>
        <w:rPr>
          <w:rFonts w:hint="eastAsia" w:ascii="华文中宋" w:hAnsi="华文中宋" w:eastAsia="华文中宋" w:cs="华文中宋"/>
          <w:color w:val="auto"/>
          <w:sz w:val="24"/>
          <w:szCs w:val="24"/>
          <w:highlight w:val="none"/>
        </w:rPr>
      </w:pPr>
    </w:p>
    <w:p w14:paraId="29947DB4">
      <w:pPr>
        <w:adjustRightInd/>
        <w:snapToGrid/>
        <w:spacing w:line="240" w:lineRule="auto"/>
        <w:outlineLvl w:val="9"/>
        <w:rPr>
          <w:rFonts w:hint="eastAsia"/>
          <w:color w:val="auto"/>
          <w:highlight w:val="none"/>
        </w:rPr>
      </w:pPr>
      <w:r>
        <w:rPr>
          <w:rFonts w:hint="eastAsia"/>
          <w:color w:val="auto"/>
          <w:highlight w:val="none"/>
        </w:rPr>
        <w:br w:type="page"/>
      </w:r>
    </w:p>
    <w:p w14:paraId="7B4235C5">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9</w:t>
      </w:r>
    </w:p>
    <w:p w14:paraId="649A6FF0">
      <w:pPr>
        <w:adjustRightInd w:val="0"/>
        <w:snapToGrid w:val="0"/>
        <w:spacing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商品包装和快递包装承诺</w:t>
      </w:r>
    </w:p>
    <w:p w14:paraId="745286FA">
      <w:pPr>
        <w:pStyle w:val="7"/>
        <w:snapToGrid w:val="0"/>
        <w:spacing w:line="540" w:lineRule="exact"/>
        <w:rPr>
          <w:rFonts w:hint="eastAsia" w:ascii="华文中宋" w:hAnsi="华文中宋" w:eastAsia="华文中宋" w:cs="华文中宋"/>
          <w:color w:val="auto"/>
          <w:sz w:val="24"/>
          <w:szCs w:val="20"/>
          <w:highlight w:val="none"/>
        </w:rPr>
      </w:pPr>
    </w:p>
    <w:p w14:paraId="39B97975">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本投标人现参与</w:t>
      </w:r>
      <w:r>
        <w:rPr>
          <w:rFonts w:hint="eastAsia" w:ascii="华文中宋" w:hAnsi="华文中宋" w:eastAsia="华文中宋" w:cs="华文中宋"/>
          <w:color w:val="auto"/>
          <w:sz w:val="28"/>
          <w:szCs w:val="28"/>
          <w:highlight w:val="none"/>
          <w:u w:val="single"/>
        </w:rPr>
        <w:t xml:space="preserve">           </w:t>
      </w:r>
      <w:r>
        <w:rPr>
          <w:rFonts w:hint="eastAsia" w:ascii="华文中宋" w:hAnsi="华文中宋" w:eastAsia="华文中宋" w:cs="华文中宋"/>
          <w:color w:val="auto"/>
          <w:sz w:val="28"/>
          <w:szCs w:val="28"/>
          <w:highlight w:val="none"/>
        </w:rPr>
        <w:t xml:space="preserve">（项目名称、项目编号）的采购活动，本公司承诺所供商品包装符合《商品包装政府采购需求标准（试行）》，快递包装符合《快递包装政府采购需求标准（试行）》。 </w:t>
      </w:r>
    </w:p>
    <w:p w14:paraId="35FD1634">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如上述声明不真实，愿意按照政府采购有关法律法规的规定接受处罚。 </w:t>
      </w:r>
    </w:p>
    <w:p w14:paraId="0D8A7A15">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 </w:t>
      </w:r>
    </w:p>
    <w:p w14:paraId="16C44F30">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bookmarkStart w:id="99" w:name="OLE_LINK18"/>
      <w:r>
        <w:rPr>
          <w:rFonts w:hint="eastAsia" w:ascii="华文中宋" w:hAnsi="华文中宋" w:eastAsia="华文中宋" w:cs="华文中宋"/>
          <w:color w:val="auto"/>
          <w:sz w:val="28"/>
          <w:szCs w:val="28"/>
          <w:highlight w:val="none"/>
        </w:rPr>
        <w:t>特此声明</w:t>
      </w:r>
    </w:p>
    <w:p w14:paraId="1B989ED4">
      <w:pPr>
        <w:adjustRightInd w:val="0"/>
        <w:snapToGrid w:val="0"/>
        <w:spacing w:line="540" w:lineRule="exact"/>
        <w:ind w:firstLine="4427" w:firstLineChars="2100"/>
        <w:rPr>
          <w:rFonts w:hint="eastAsia" w:ascii="华文中宋" w:hAnsi="华文中宋" w:eastAsia="华文中宋" w:cs="华文中宋"/>
          <w:b/>
          <w:color w:val="auto"/>
          <w:sz w:val="21"/>
          <w:szCs w:val="21"/>
          <w:highlight w:val="none"/>
        </w:rPr>
      </w:pPr>
    </w:p>
    <w:p w14:paraId="6F5BDFED">
      <w:pPr>
        <w:adjustRightInd w:val="0"/>
        <w:snapToGrid w:val="0"/>
        <w:spacing w:line="540" w:lineRule="exact"/>
        <w:ind w:firstLine="4427" w:firstLineChars="2100"/>
        <w:rPr>
          <w:rFonts w:hint="eastAsia" w:ascii="华文中宋" w:hAnsi="华文中宋" w:eastAsia="华文中宋" w:cs="华文中宋"/>
          <w:b/>
          <w:color w:val="auto"/>
          <w:sz w:val="21"/>
          <w:szCs w:val="21"/>
          <w:highlight w:val="none"/>
        </w:rPr>
      </w:pPr>
    </w:p>
    <w:p w14:paraId="0164E1C4">
      <w:pPr>
        <w:adjustRightInd w:val="0"/>
        <w:snapToGrid w:val="0"/>
        <w:spacing w:after="0" w:line="540" w:lineRule="exact"/>
        <w:ind w:firstLine="3592" w:firstLineChars="127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7CF10C78">
      <w:pPr>
        <w:adjustRightInd w:val="0"/>
        <w:snapToGrid w:val="0"/>
        <w:spacing w:after="0" w:line="540" w:lineRule="exact"/>
        <w:ind w:firstLine="3592" w:firstLineChars="1278"/>
        <w:rPr>
          <w:rFonts w:hint="eastAsia" w:ascii="华文中宋" w:hAnsi="华文中宋" w:eastAsia="华文中宋" w:cs="华文中宋"/>
          <w:b/>
          <w:color w:val="auto"/>
          <w:sz w:val="24"/>
          <w:szCs w:val="24"/>
          <w:highlight w:val="none"/>
        </w:rPr>
        <w:sectPr>
          <w:footerReference r:id="rId11" w:type="default"/>
          <w:pgSz w:w="11906" w:h="16838"/>
          <w:pgMar w:top="2155" w:right="1418" w:bottom="2041" w:left="1531" w:header="851" w:footer="992" w:gutter="0"/>
          <w:lnNumType w:countBy="0" w:distance="360"/>
          <w:pgNumType w:fmt="decimal"/>
          <w:cols w:space="720" w:num="1"/>
          <w:docGrid w:linePitch="312" w:charSpace="0"/>
        </w:sect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bookmarkEnd w:id="99"/>
    </w:p>
    <w:p w14:paraId="59A8AB36">
      <w:pPr>
        <w:spacing w:line="240" w:lineRule="auto"/>
        <w:rPr>
          <w:rFonts w:hint="eastAsia" w:ascii="华文中宋" w:hAnsi="华文中宋" w:eastAsia="华文中宋" w:cs="华文中宋"/>
          <w:b/>
          <w:color w:val="auto"/>
          <w:sz w:val="24"/>
          <w:szCs w:val="24"/>
          <w:highlight w:val="none"/>
        </w:rPr>
      </w:pPr>
    </w:p>
    <w:p w14:paraId="6E6E8D38">
      <w:pPr>
        <w:spacing w:line="240" w:lineRule="auto"/>
        <w:rPr>
          <w:rFonts w:hint="eastAsia" w:ascii="华文中宋" w:hAnsi="华文中宋" w:eastAsia="华文中宋" w:cs="华文中宋"/>
          <w:b/>
          <w:color w:val="auto"/>
          <w:sz w:val="24"/>
          <w:szCs w:val="24"/>
          <w:highlight w:val="none"/>
        </w:rPr>
      </w:pPr>
    </w:p>
    <w:p w14:paraId="6B76E57C">
      <w:pPr>
        <w:spacing w:line="240"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10</w:t>
      </w:r>
    </w:p>
    <w:p w14:paraId="6356888F">
      <w:pPr>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投标人认为需补充的其它资料或说明</w:t>
      </w:r>
    </w:p>
    <w:p w14:paraId="5BFAC271">
      <w:pPr>
        <w:spacing w:line="240" w:lineRule="auto"/>
        <w:rPr>
          <w:rFonts w:hint="eastAsia" w:ascii="华文中宋" w:hAnsi="华文中宋" w:eastAsia="华文中宋" w:cs="华文中宋"/>
          <w:b/>
          <w:color w:val="auto"/>
          <w:sz w:val="24"/>
          <w:szCs w:val="24"/>
          <w:highlight w:val="none"/>
        </w:rPr>
      </w:pPr>
    </w:p>
    <w:p w14:paraId="5F25E790">
      <w:pPr>
        <w:rPr>
          <w:rFonts w:hint="eastAsia" w:ascii="华文中宋" w:hAnsi="华文中宋" w:eastAsia="华文中宋" w:cs="华文中宋"/>
          <w:color w:val="auto"/>
          <w:highlight w:val="none"/>
        </w:rPr>
      </w:pPr>
    </w:p>
    <w:sectPr>
      <w:headerReference r:id="rId12" w:type="default"/>
      <w:footerReference r:id="rId13" w:type="default"/>
      <w:pgSz w:w="11906" w:h="16838"/>
      <w:pgMar w:top="1134" w:right="1361" w:bottom="1021" w:left="1531" w:header="851" w:footer="992" w:gutter="0"/>
      <w:pgNumType w:fmt="decimal"/>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E072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EF24">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970EF24">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71B7">
    <w:pPr>
      <w:pStyle w:val="12"/>
      <w:ind w:right="360"/>
      <w:rPr>
        <w:rFonts w:hint="default"/>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881E7">
                          <w:pPr>
                            <w:pStyle w:val="12"/>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2F881E7">
                    <w:pPr>
                      <w:pStyle w:val="12"/>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D18A">
    <w:pPr>
      <w:pStyle w:val="12"/>
      <w:ind w:right="360"/>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331A7">
                          <w:pPr>
                            <w:pStyle w:val="12"/>
                          </w:pPr>
                          <w:r>
                            <w:fldChar w:fldCharType="begin"/>
                          </w:r>
                          <w:r>
                            <w:instrText xml:space="preserve"> PAGE  \* MERGEFORMAT </w:instrText>
                          </w:r>
                          <w:r>
                            <w:fldChar w:fldCharType="separate"/>
                          </w:r>
                          <w:r>
                            <w:t>271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B0331A7">
                    <w:pPr>
                      <w:pStyle w:val="12"/>
                    </w:pPr>
                    <w:r>
                      <w:fldChar w:fldCharType="begin"/>
                    </w:r>
                    <w:r>
                      <w:instrText xml:space="preserve"> PAGE  \* MERGEFORMAT </w:instrText>
                    </w:r>
                    <w:r>
                      <w:fldChar w:fldCharType="separate"/>
                    </w:r>
                    <w:r>
                      <w:t>271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EF67">
    <w:pPr>
      <w:pStyle w:val="12"/>
      <w:ind w:right="360"/>
      <w:rPr>
        <w:rFonts w:hint="default"/>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D9E6A">
                          <w:pPr>
                            <w:pStyle w:val="12"/>
                          </w:pPr>
                          <w:r>
                            <w:fldChar w:fldCharType="begin"/>
                          </w:r>
                          <w:r>
                            <w:instrText xml:space="preserve"> PAGE  \* MERGEFORMAT </w:instrText>
                          </w:r>
                          <w:r>
                            <w:fldChar w:fldCharType="separate"/>
                          </w:r>
                          <w:r>
                            <w:t>276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69D9E6A">
                    <w:pPr>
                      <w:pStyle w:val="12"/>
                    </w:pPr>
                    <w:r>
                      <w:fldChar w:fldCharType="begin"/>
                    </w:r>
                    <w:r>
                      <w:instrText xml:space="preserve"> PAGE  \* MERGEFORMAT </w:instrText>
                    </w:r>
                    <w:r>
                      <w:fldChar w:fldCharType="separate"/>
                    </w:r>
                    <w:r>
                      <w:t>276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F75F">
    <w:pPr>
      <w:pStyle w:val="12"/>
      <w:ind w:right="360"/>
      <w:rPr>
        <w:rFonts w:hint="default"/>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2B49E">
                          <w:pPr>
                            <w:pStyle w:val="12"/>
                          </w:pPr>
                          <w:r>
                            <w:fldChar w:fldCharType="begin"/>
                          </w:r>
                          <w:r>
                            <w:instrText xml:space="preserve"> PAGE  \* MERGEFORMAT </w:instrText>
                          </w:r>
                          <w:r>
                            <w:fldChar w:fldCharType="separate"/>
                          </w:r>
                          <w:r>
                            <w:t>277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282B49E">
                    <w:pPr>
                      <w:pStyle w:val="12"/>
                    </w:pPr>
                    <w:r>
                      <w:fldChar w:fldCharType="begin"/>
                    </w:r>
                    <w:r>
                      <w:instrText xml:space="preserve"> PAGE  \* MERGEFORMAT </w:instrText>
                    </w:r>
                    <w:r>
                      <w:fldChar w:fldCharType="separate"/>
                    </w:r>
                    <w:r>
                      <w:t>277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1765">
    <w:pPr>
      <w:pStyle w:val="12"/>
      <w:ind w:right="360"/>
      <w:rPr>
        <w:rFonts w:hint="default"/>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231FE">
                          <w:pPr>
                            <w:pStyle w:val="12"/>
                          </w:pPr>
                          <w:r>
                            <w:fldChar w:fldCharType="begin"/>
                          </w:r>
                          <w:r>
                            <w:instrText xml:space="preserve"> PAGE  \* MERGEFORMAT </w:instrText>
                          </w:r>
                          <w:r>
                            <w:fldChar w:fldCharType="separate"/>
                          </w:r>
                          <w:r>
                            <w:t>282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86231FE">
                    <w:pPr>
                      <w:pStyle w:val="12"/>
                    </w:pPr>
                    <w:r>
                      <w:fldChar w:fldCharType="begin"/>
                    </w:r>
                    <w:r>
                      <w:instrText xml:space="preserve"> PAGE  \* MERGEFORMAT </w:instrText>
                    </w:r>
                    <w:r>
                      <w:fldChar w:fldCharType="separate"/>
                    </w:r>
                    <w:r>
                      <w:t>282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37227">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8C97E">
                          <w:pPr>
                            <w:pStyle w:val="12"/>
                          </w:pPr>
                          <w:r>
                            <w:fldChar w:fldCharType="begin"/>
                          </w:r>
                          <w:r>
                            <w:instrText xml:space="preserve"> PAGE  \* MERGEFORMAT </w:instrText>
                          </w:r>
                          <w:r>
                            <w:fldChar w:fldCharType="separate"/>
                          </w:r>
                          <w:r>
                            <w:t>291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A8C97E">
                    <w:pPr>
                      <w:pStyle w:val="12"/>
                    </w:pPr>
                    <w:r>
                      <w:fldChar w:fldCharType="begin"/>
                    </w:r>
                    <w:r>
                      <w:instrText xml:space="preserve"> PAGE  \* MERGEFORMAT </w:instrText>
                    </w:r>
                    <w:r>
                      <w:fldChar w:fldCharType="separate"/>
                    </w:r>
                    <w:r>
                      <w:t>291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A0D78">
    <w:pPr>
      <w:pStyle w:val="13"/>
    </w:pPr>
    <w:r>
      <w:rPr>
        <w:rFonts w:hint="eastAsia" w:ascii="隶书" w:hAnsi="华文中宋" w:eastAsia="隶书" w:cs="仿宋"/>
        <w:sz w:val="21"/>
        <w:szCs w:val="21"/>
        <w:lang w:eastAsia="zh-CN"/>
      </w:rPr>
      <w:t>石楼县政务服务中心</w:t>
    </w:r>
    <w:r>
      <w:rPr>
        <w:rFonts w:hint="eastAsia" w:ascii="隶书" w:hAnsi="华文中宋" w:eastAsia="隶书" w:cs="仿宋"/>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6FBBA">
    <w:pPr>
      <w:pStyle w:val="13"/>
    </w:pPr>
    <w:r>
      <w:rPr>
        <w:rFonts w:hint="eastAsia" w:ascii="隶书" w:hAnsi="华文中宋" w:eastAsia="隶书" w:cs="仿宋"/>
        <w:sz w:val="21"/>
        <w:szCs w:val="21"/>
        <w:lang w:eastAsia="zh-CN"/>
      </w:rPr>
      <w:t>石楼县政务服务中心</w:t>
    </w:r>
    <w:r>
      <w:rPr>
        <w:rFonts w:hint="eastAsia" w:ascii="隶书" w:hAnsi="华文中宋" w:eastAsia="隶书" w:cs="仿宋"/>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42000"/>
    <w:multiLevelType w:val="singleLevel"/>
    <w:tmpl w:val="81C42000"/>
    <w:lvl w:ilvl="0" w:tentative="0">
      <w:start w:val="1"/>
      <w:numFmt w:val="decimal"/>
      <w:lvlText w:val="%1."/>
      <w:lvlJc w:val="left"/>
      <w:pPr>
        <w:tabs>
          <w:tab w:val="left" w:pos="312"/>
        </w:tabs>
      </w:pPr>
    </w:lvl>
  </w:abstractNum>
  <w:abstractNum w:abstractNumId="1">
    <w:nsid w:val="99614BCE"/>
    <w:multiLevelType w:val="singleLevel"/>
    <w:tmpl w:val="99614BCE"/>
    <w:lvl w:ilvl="0" w:tentative="0">
      <w:start w:val="2"/>
      <w:numFmt w:val="decimal"/>
      <w:lvlText w:val="%1."/>
      <w:lvlJc w:val="left"/>
      <w:pPr>
        <w:tabs>
          <w:tab w:val="left" w:pos="312"/>
        </w:tabs>
      </w:pPr>
    </w:lvl>
  </w:abstractNum>
  <w:abstractNum w:abstractNumId="2">
    <w:nsid w:val="CFE70E11"/>
    <w:multiLevelType w:val="singleLevel"/>
    <w:tmpl w:val="CFE70E11"/>
    <w:lvl w:ilvl="0" w:tentative="0">
      <w:start w:val="1"/>
      <w:numFmt w:val="decimal"/>
      <w:suff w:val="nothing"/>
      <w:lvlText w:val="%1、"/>
      <w:lvlJc w:val="left"/>
    </w:lvl>
  </w:abstractNum>
  <w:abstractNum w:abstractNumId="3">
    <w:nsid w:val="E23A8402"/>
    <w:multiLevelType w:val="singleLevel"/>
    <w:tmpl w:val="E23A8402"/>
    <w:lvl w:ilvl="0" w:tentative="0">
      <w:start w:val="4"/>
      <w:numFmt w:val="chineseCounting"/>
      <w:suff w:val="space"/>
      <w:lvlText w:val="第%1部分"/>
      <w:lvlJc w:val="left"/>
      <w:rPr>
        <w:rFonts w:hint="eastAsia"/>
      </w:rPr>
    </w:lvl>
  </w:abstractNum>
  <w:abstractNum w:abstractNumId="4">
    <w:nsid w:val="E2C20DE0"/>
    <w:multiLevelType w:val="singleLevel"/>
    <w:tmpl w:val="E2C20DE0"/>
    <w:lvl w:ilvl="0" w:tentative="0">
      <w:start w:val="1"/>
      <w:numFmt w:val="decimal"/>
      <w:lvlText w:val="%1."/>
      <w:lvlJc w:val="left"/>
      <w:pPr>
        <w:tabs>
          <w:tab w:val="left" w:pos="312"/>
        </w:tabs>
      </w:pPr>
    </w:lvl>
  </w:abstractNum>
  <w:abstractNum w:abstractNumId="5">
    <w:nsid w:val="0F4AF597"/>
    <w:multiLevelType w:val="singleLevel"/>
    <w:tmpl w:val="0F4AF597"/>
    <w:lvl w:ilvl="0" w:tentative="0">
      <w:start w:val="1"/>
      <w:numFmt w:val="decimal"/>
      <w:lvlText w:val="%1."/>
      <w:lvlJc w:val="left"/>
      <w:pPr>
        <w:tabs>
          <w:tab w:val="left" w:pos="312"/>
        </w:tabs>
      </w:pPr>
    </w:lvl>
  </w:abstractNum>
  <w:abstractNum w:abstractNumId="6">
    <w:nsid w:val="26CBC85B"/>
    <w:multiLevelType w:val="singleLevel"/>
    <w:tmpl w:val="26CBC85B"/>
    <w:lvl w:ilvl="0" w:tentative="0">
      <w:start w:val="3"/>
      <w:numFmt w:val="chineseCounting"/>
      <w:suff w:val="nothing"/>
      <w:lvlText w:val="（%1）"/>
      <w:lvlJc w:val="left"/>
      <w:rPr>
        <w:rFonts w:hint="eastAsia"/>
      </w:rPr>
    </w:lvl>
  </w:abstractNum>
  <w:abstractNum w:abstractNumId="7">
    <w:nsid w:val="2F6089CF"/>
    <w:multiLevelType w:val="singleLevel"/>
    <w:tmpl w:val="2F6089CF"/>
    <w:lvl w:ilvl="0" w:tentative="0">
      <w:start w:val="11"/>
      <w:numFmt w:val="decimal"/>
      <w:lvlText w:val="%1."/>
      <w:lvlJc w:val="left"/>
      <w:pPr>
        <w:tabs>
          <w:tab w:val="left" w:pos="312"/>
        </w:tabs>
      </w:pPr>
    </w:lvl>
  </w:abstractNum>
  <w:abstractNum w:abstractNumId="8">
    <w:nsid w:val="32795414"/>
    <w:multiLevelType w:val="singleLevel"/>
    <w:tmpl w:val="32795414"/>
    <w:lvl w:ilvl="0" w:tentative="0">
      <w:start w:val="1"/>
      <w:numFmt w:val="decimal"/>
      <w:suff w:val="nothing"/>
      <w:lvlText w:val="%1．"/>
      <w:lvlJc w:val="left"/>
    </w:lvl>
  </w:abstractNum>
  <w:abstractNum w:abstractNumId="9">
    <w:nsid w:val="431C58EF"/>
    <w:multiLevelType w:val="singleLevel"/>
    <w:tmpl w:val="431C58EF"/>
    <w:lvl w:ilvl="0" w:tentative="0">
      <w:start w:val="4"/>
      <w:numFmt w:val="decimal"/>
      <w:lvlText w:val="%1."/>
      <w:lvlJc w:val="left"/>
      <w:pPr>
        <w:tabs>
          <w:tab w:val="left" w:pos="312"/>
        </w:tabs>
      </w:pPr>
    </w:lvl>
  </w:abstractNum>
  <w:abstractNum w:abstractNumId="10">
    <w:nsid w:val="4C9C6D57"/>
    <w:multiLevelType w:val="singleLevel"/>
    <w:tmpl w:val="4C9C6D57"/>
    <w:lvl w:ilvl="0" w:tentative="0">
      <w:start w:val="2"/>
      <w:numFmt w:val="chineseCounting"/>
      <w:suff w:val="nothing"/>
      <w:lvlText w:val="%1、"/>
      <w:lvlJc w:val="left"/>
      <w:rPr>
        <w:rFonts w:hint="eastAsia"/>
      </w:rPr>
    </w:lvl>
  </w:abstractNum>
  <w:abstractNum w:abstractNumId="11">
    <w:nsid w:val="5AD2BA9D"/>
    <w:multiLevelType w:val="singleLevel"/>
    <w:tmpl w:val="5AD2BA9D"/>
    <w:lvl w:ilvl="0" w:tentative="0">
      <w:start w:val="7"/>
      <w:numFmt w:val="decimal"/>
      <w:lvlText w:val="%1."/>
      <w:lvlJc w:val="left"/>
      <w:pPr>
        <w:tabs>
          <w:tab w:val="left" w:pos="312"/>
        </w:tabs>
      </w:pPr>
    </w:lvl>
  </w:abstractNum>
  <w:abstractNum w:abstractNumId="12">
    <w:nsid w:val="5FA36DA8"/>
    <w:multiLevelType w:val="singleLevel"/>
    <w:tmpl w:val="5FA36DA8"/>
    <w:lvl w:ilvl="0" w:tentative="0">
      <w:start w:val="1"/>
      <w:numFmt w:val="decimal"/>
      <w:suff w:val="nothing"/>
      <w:lvlText w:val="%1．"/>
      <w:lvlJc w:val="left"/>
    </w:lvl>
  </w:abstractNum>
  <w:abstractNum w:abstractNumId="13">
    <w:nsid w:val="6E16CDF5"/>
    <w:multiLevelType w:val="singleLevel"/>
    <w:tmpl w:val="6E16CDF5"/>
    <w:lvl w:ilvl="0" w:tentative="0">
      <w:start w:val="1"/>
      <w:numFmt w:val="decimal"/>
      <w:lvlText w:val="%1."/>
      <w:lvlJc w:val="left"/>
      <w:pPr>
        <w:tabs>
          <w:tab w:val="left" w:pos="312"/>
        </w:tabs>
      </w:pPr>
    </w:lvl>
  </w:abstractNum>
  <w:num w:numId="1">
    <w:abstractNumId w:val="9"/>
  </w:num>
  <w:num w:numId="2">
    <w:abstractNumId w:val="7"/>
  </w:num>
  <w:num w:numId="3">
    <w:abstractNumId w:val="3"/>
  </w:num>
  <w:num w:numId="4">
    <w:abstractNumId w:val="10"/>
  </w:num>
  <w:num w:numId="5">
    <w:abstractNumId w:val="11"/>
  </w:num>
  <w:num w:numId="6">
    <w:abstractNumId w:val="6"/>
  </w:num>
  <w:num w:numId="7">
    <w:abstractNumId w:val="1"/>
  </w:num>
  <w:num w:numId="8">
    <w:abstractNumId w:val="2"/>
  </w:num>
  <w:num w:numId="9">
    <w:abstractNumId w:val="13"/>
  </w:num>
  <w:num w:numId="10">
    <w:abstractNumId w:val="0"/>
  </w:num>
  <w:num w:numId="11">
    <w:abstractNumId w:val="12"/>
  </w:num>
  <w:num w:numId="12">
    <w:abstractNumId w:val="4"/>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B4333"/>
    <w:rsid w:val="01A84E49"/>
    <w:rsid w:val="02127951"/>
    <w:rsid w:val="02D432A2"/>
    <w:rsid w:val="032F004B"/>
    <w:rsid w:val="0341476A"/>
    <w:rsid w:val="03970454"/>
    <w:rsid w:val="046723D5"/>
    <w:rsid w:val="0544664D"/>
    <w:rsid w:val="05461B09"/>
    <w:rsid w:val="05946FA8"/>
    <w:rsid w:val="06CC603E"/>
    <w:rsid w:val="06DF5865"/>
    <w:rsid w:val="076F3599"/>
    <w:rsid w:val="0AFC491C"/>
    <w:rsid w:val="0B5032F3"/>
    <w:rsid w:val="0C3628D7"/>
    <w:rsid w:val="0CAD1BEE"/>
    <w:rsid w:val="0D0B60CC"/>
    <w:rsid w:val="0D20694D"/>
    <w:rsid w:val="0EE93AF7"/>
    <w:rsid w:val="10326A2E"/>
    <w:rsid w:val="10337554"/>
    <w:rsid w:val="10480E2B"/>
    <w:rsid w:val="105A13FD"/>
    <w:rsid w:val="1175579C"/>
    <w:rsid w:val="12DC2069"/>
    <w:rsid w:val="12E62F5A"/>
    <w:rsid w:val="13123935"/>
    <w:rsid w:val="14795AC0"/>
    <w:rsid w:val="14ED3D4F"/>
    <w:rsid w:val="174F507E"/>
    <w:rsid w:val="18C9062F"/>
    <w:rsid w:val="18CF1255"/>
    <w:rsid w:val="19940C3D"/>
    <w:rsid w:val="1A8B4333"/>
    <w:rsid w:val="1A976308"/>
    <w:rsid w:val="1ABC4AE0"/>
    <w:rsid w:val="1B636B19"/>
    <w:rsid w:val="1BF82537"/>
    <w:rsid w:val="1C9C1681"/>
    <w:rsid w:val="1D6F6BA3"/>
    <w:rsid w:val="1D733ADE"/>
    <w:rsid w:val="1DB055A4"/>
    <w:rsid w:val="1E312EFF"/>
    <w:rsid w:val="1E516822"/>
    <w:rsid w:val="1F2FAF99"/>
    <w:rsid w:val="1FF24910"/>
    <w:rsid w:val="21BF6311"/>
    <w:rsid w:val="22403F6C"/>
    <w:rsid w:val="24777FAB"/>
    <w:rsid w:val="25357970"/>
    <w:rsid w:val="25A97C7F"/>
    <w:rsid w:val="25D36F91"/>
    <w:rsid w:val="26727AFC"/>
    <w:rsid w:val="269C5E71"/>
    <w:rsid w:val="28BF5E58"/>
    <w:rsid w:val="28F75170"/>
    <w:rsid w:val="290B782A"/>
    <w:rsid w:val="29F23811"/>
    <w:rsid w:val="2A884ED8"/>
    <w:rsid w:val="2BF57C61"/>
    <w:rsid w:val="2CAE6D69"/>
    <w:rsid w:val="2D5939DE"/>
    <w:rsid w:val="2D8D7A26"/>
    <w:rsid w:val="2E9372BE"/>
    <w:rsid w:val="314C75BB"/>
    <w:rsid w:val="32E4388C"/>
    <w:rsid w:val="33C6593C"/>
    <w:rsid w:val="34142C4F"/>
    <w:rsid w:val="34650F0C"/>
    <w:rsid w:val="35226043"/>
    <w:rsid w:val="35A00EE9"/>
    <w:rsid w:val="37461371"/>
    <w:rsid w:val="37B620F4"/>
    <w:rsid w:val="37D01583"/>
    <w:rsid w:val="39A06CCA"/>
    <w:rsid w:val="3A7C154E"/>
    <w:rsid w:val="3AB94550"/>
    <w:rsid w:val="3AE12C3A"/>
    <w:rsid w:val="3B4C338E"/>
    <w:rsid w:val="3FAF6C3E"/>
    <w:rsid w:val="3FE56130"/>
    <w:rsid w:val="42041029"/>
    <w:rsid w:val="44BD69EB"/>
    <w:rsid w:val="45D60579"/>
    <w:rsid w:val="47DB45F6"/>
    <w:rsid w:val="4989073C"/>
    <w:rsid w:val="4B59057D"/>
    <w:rsid w:val="4B645E12"/>
    <w:rsid w:val="4B9A7FC6"/>
    <w:rsid w:val="4D7544C6"/>
    <w:rsid w:val="4E10402F"/>
    <w:rsid w:val="4E6E44A4"/>
    <w:rsid w:val="4F293793"/>
    <w:rsid w:val="4F601ECF"/>
    <w:rsid w:val="50C41230"/>
    <w:rsid w:val="50D378C7"/>
    <w:rsid w:val="516F457D"/>
    <w:rsid w:val="55C4407D"/>
    <w:rsid w:val="568A68E6"/>
    <w:rsid w:val="56927CD7"/>
    <w:rsid w:val="57CB1AF2"/>
    <w:rsid w:val="59D02E8F"/>
    <w:rsid w:val="5A7B0168"/>
    <w:rsid w:val="5AC07789"/>
    <w:rsid w:val="5B5B69C0"/>
    <w:rsid w:val="5B8B1199"/>
    <w:rsid w:val="5C286A9A"/>
    <w:rsid w:val="5D753EAF"/>
    <w:rsid w:val="5D83228E"/>
    <w:rsid w:val="5DBA1E7B"/>
    <w:rsid w:val="5E3331ED"/>
    <w:rsid w:val="5EA81093"/>
    <w:rsid w:val="5F1F0576"/>
    <w:rsid w:val="5FE86BBA"/>
    <w:rsid w:val="618E553F"/>
    <w:rsid w:val="620852F1"/>
    <w:rsid w:val="62192519"/>
    <w:rsid w:val="63C208AC"/>
    <w:rsid w:val="646D34E5"/>
    <w:rsid w:val="65205DF8"/>
    <w:rsid w:val="65A672FB"/>
    <w:rsid w:val="66AF1FC2"/>
    <w:rsid w:val="67B61B13"/>
    <w:rsid w:val="689520A9"/>
    <w:rsid w:val="690B3981"/>
    <w:rsid w:val="69501C65"/>
    <w:rsid w:val="69D70C96"/>
    <w:rsid w:val="6A4F4CE2"/>
    <w:rsid w:val="6AA21AC2"/>
    <w:rsid w:val="6ACF28A3"/>
    <w:rsid w:val="6AF63CB2"/>
    <w:rsid w:val="6B4E7240"/>
    <w:rsid w:val="6B89592E"/>
    <w:rsid w:val="6C813A3E"/>
    <w:rsid w:val="6CED9AE1"/>
    <w:rsid w:val="6DAD0C93"/>
    <w:rsid w:val="6EBE2492"/>
    <w:rsid w:val="6EC66EF8"/>
    <w:rsid w:val="6FD41877"/>
    <w:rsid w:val="711A6D17"/>
    <w:rsid w:val="73776E29"/>
    <w:rsid w:val="73F07558"/>
    <w:rsid w:val="74FA1C6B"/>
    <w:rsid w:val="75041948"/>
    <w:rsid w:val="75093403"/>
    <w:rsid w:val="75CC7FCA"/>
    <w:rsid w:val="75F66805"/>
    <w:rsid w:val="773D3837"/>
    <w:rsid w:val="776808B4"/>
    <w:rsid w:val="776B2153"/>
    <w:rsid w:val="781BF878"/>
    <w:rsid w:val="79C03DC2"/>
    <w:rsid w:val="7A513882"/>
    <w:rsid w:val="7AF72273"/>
    <w:rsid w:val="7B036C80"/>
    <w:rsid w:val="7BD553F9"/>
    <w:rsid w:val="7D3B3642"/>
    <w:rsid w:val="7F7F044C"/>
    <w:rsid w:val="7FD63D4B"/>
    <w:rsid w:val="7FFD689A"/>
    <w:rsid w:val="EBB05D8D"/>
    <w:rsid w:val="F7EED9C0"/>
    <w:rsid w:val="F7FECFDC"/>
    <w:rsid w:val="F9BFA127"/>
    <w:rsid w:val="FF375C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0" w:firstLineChars="200"/>
      <w:jc w:val="both"/>
    </w:pPr>
    <w:rPr>
      <w:rFonts w:ascii="宋体" w:hAnsi="宋体" w:eastAsia="华文中宋" w:cstheme="minorBidi"/>
      <w:kern w:val="2"/>
      <w:sz w:val="24"/>
      <w:szCs w:val="24"/>
      <w:lang w:val="en-US" w:eastAsia="zh-CN" w:bidi="ar-SA"/>
    </w:rPr>
  </w:style>
  <w:style w:type="paragraph" w:styleId="2">
    <w:name w:val="heading 1"/>
    <w:next w:val="1"/>
    <w:qFormat/>
    <w:uiPriority w:val="9"/>
    <w:pPr>
      <w:keepNext/>
      <w:keepLines/>
      <w:numPr>
        <w:ilvl w:val="0"/>
        <w:numId w:val="0"/>
      </w:numPr>
      <w:pBdr>
        <w:top w:val="none" w:color="auto" w:sz="0" w:space="1"/>
        <w:left w:val="none" w:color="auto" w:sz="0" w:space="4"/>
        <w:bottom w:val="none" w:color="auto" w:sz="0" w:space="1"/>
        <w:right w:val="none" w:color="auto" w:sz="0" w:space="4"/>
      </w:pBdr>
      <w:tabs>
        <w:tab w:val="left" w:pos="0"/>
      </w:tabs>
      <w:adjustRightInd w:val="0"/>
      <w:snapToGrid w:val="0"/>
      <w:spacing w:before="50" w:beforeLines="50" w:line="360" w:lineRule="auto"/>
      <w:ind w:left="0" w:firstLine="0"/>
      <w:jc w:val="center"/>
      <w:outlineLvl w:val="0"/>
    </w:pPr>
    <w:rPr>
      <w:rFonts w:ascii="宋体" w:hAnsi="宋体" w:eastAsia="华文中宋" w:cstheme="minorBidi"/>
      <w:b/>
      <w:bCs/>
      <w:kern w:val="44"/>
      <w:sz w:val="30"/>
      <w:szCs w:val="28"/>
      <w:lang w:val="en-US" w:eastAsia="zh-CN" w:bidi="ar-SA"/>
    </w:rPr>
  </w:style>
  <w:style w:type="paragraph" w:styleId="3">
    <w:name w:val="heading 2"/>
    <w:basedOn w:val="2"/>
    <w:next w:val="1"/>
    <w:link w:val="37"/>
    <w:unhideWhenUsed/>
    <w:qFormat/>
    <w:uiPriority w:val="9"/>
    <w:pPr>
      <w:numPr>
        <w:ilvl w:val="1"/>
        <w:numId w:val="0"/>
      </w:numPr>
      <w:jc w:val="left"/>
      <w:outlineLvl w:val="1"/>
    </w:pPr>
    <w:rPr>
      <w:sz w:val="28"/>
    </w:rPr>
  </w:style>
  <w:style w:type="paragraph" w:styleId="4">
    <w:name w:val="heading 3"/>
    <w:basedOn w:val="3"/>
    <w:next w:val="1"/>
    <w:unhideWhenUsed/>
    <w:qFormat/>
    <w:uiPriority w:val="9"/>
    <w:pPr>
      <w:numPr>
        <w:ilvl w:val="2"/>
        <w:numId w:val="0"/>
      </w:numPr>
      <w:spacing w:line="360" w:lineRule="auto"/>
      <w:ind w:firstLine="480" w:firstLineChars="200"/>
      <w:jc w:val="left"/>
      <w:outlineLvl w:val="2"/>
    </w:pPr>
    <w:rPr>
      <w:sz w:val="24"/>
      <w:szCs w:val="24"/>
    </w:rPr>
  </w:style>
  <w:style w:type="paragraph" w:styleId="5">
    <w:name w:val="heading 4"/>
    <w:basedOn w:val="4"/>
    <w:next w:val="1"/>
    <w:unhideWhenUsed/>
    <w:qFormat/>
    <w:uiPriority w:val="9"/>
    <w:pPr>
      <w:numPr>
        <w:ilvl w:val="3"/>
      </w:numPr>
      <w:ind w:firstLine="0"/>
      <w:outlineLvl w:val="3"/>
    </w:pPr>
  </w:style>
  <w:style w:type="paragraph" w:styleId="6">
    <w:name w:val="heading 5"/>
    <w:basedOn w:val="5"/>
    <w:next w:val="1"/>
    <w:unhideWhenUsed/>
    <w:qFormat/>
    <w:uiPriority w:val="9"/>
    <w:pPr>
      <w:numPr>
        <w:ilvl w:val="4"/>
      </w:numPr>
      <w:outlineLvl w:val="4"/>
    </w:p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annotation text"/>
    <w:basedOn w:val="1"/>
    <w:qFormat/>
    <w:uiPriority w:val="0"/>
    <w:pPr>
      <w:spacing w:before="50" w:after="50"/>
      <w:ind w:firstLine="0" w:firstLineChars="0"/>
      <w:jc w:val="left"/>
    </w:pPr>
  </w:style>
  <w:style w:type="paragraph" w:styleId="9">
    <w:name w:val="Body Text"/>
    <w:basedOn w:val="1"/>
    <w:qFormat/>
    <w:uiPriority w:val="0"/>
    <w:pPr>
      <w:spacing w:after="50" w:afterLines="50"/>
    </w:pPr>
    <w:rPr>
      <w:rFonts w:ascii="宋体" w:hAnsi="宋体" w:eastAsia="宋体"/>
      <w:kern w:val="2"/>
      <w:sz w:val="24"/>
      <w:szCs w:val="24"/>
    </w:rPr>
  </w:style>
  <w:style w:type="paragraph" w:styleId="10">
    <w:name w:val="Body Text Indent"/>
    <w:basedOn w:val="1"/>
    <w:qFormat/>
    <w:uiPriority w:val="0"/>
    <w:pPr>
      <w:spacing w:after="120"/>
      <w:ind w:left="420" w:leftChars="200"/>
    </w:pPr>
    <w:rPr>
      <w:rFonts w:ascii="宋体" w:hAnsi="宋体" w:eastAsia="宋体"/>
      <w:kern w:val="2"/>
      <w:sz w:val="24"/>
      <w:szCs w:val="24"/>
    </w:rPr>
  </w:style>
  <w:style w:type="paragraph" w:styleId="11">
    <w:name w:val="Plain Text"/>
    <w:basedOn w:val="1"/>
    <w:qFormat/>
    <w:uiPriority w:val="0"/>
    <w:rPr>
      <w:rFonts w:ascii="宋体" w:hAnsi="宋体" w:eastAsia="宋体" w:cs="Courier New"/>
      <w:kern w:val="2"/>
      <w:sz w:val="24"/>
      <w:szCs w:val="24"/>
    </w:rPr>
  </w:style>
  <w:style w:type="paragraph" w:styleId="12">
    <w:name w:val="footer"/>
    <w:basedOn w:val="1"/>
    <w:qFormat/>
    <w:uiPriority w:val="0"/>
    <w:pPr>
      <w:tabs>
        <w:tab w:val="center" w:pos="4153"/>
        <w:tab w:val="right" w:pos="8306"/>
      </w:tabs>
      <w:ind w:firstLine="0" w:firstLineChars="0"/>
      <w:jc w:val="center"/>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szCs w:val="18"/>
    </w:rPr>
  </w:style>
  <w:style w:type="paragraph" w:styleId="14">
    <w:name w:val="toc 1"/>
    <w:basedOn w:val="1"/>
    <w:next w:val="1"/>
    <w:qFormat/>
    <w:uiPriority w:val="0"/>
    <w:pPr>
      <w:spacing w:before="50" w:after="50"/>
      <w:ind w:firstLine="0" w:firstLineChars="0"/>
    </w:pPr>
  </w:style>
  <w:style w:type="paragraph" w:styleId="15">
    <w:name w:val="toc 2"/>
    <w:basedOn w:val="1"/>
    <w:next w:val="1"/>
    <w:qFormat/>
    <w:uiPriority w:val="0"/>
    <w:pPr>
      <w:spacing w:before="50" w:after="50"/>
      <w:ind w:left="420" w:leftChars="200" w:firstLine="0" w:firstLineChars="0"/>
    </w:pPr>
  </w:style>
  <w:style w:type="paragraph" w:styleId="16">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default" w:ascii="宋体" w:hAnsi="宋体"/>
      <w:kern w:val="0"/>
      <w:sz w:val="24"/>
      <w:szCs w:val="24"/>
    </w:rPr>
  </w:style>
  <w:style w:type="paragraph" w:styleId="17">
    <w:name w:val="Normal (Web)"/>
    <w:basedOn w:val="1"/>
    <w:qFormat/>
    <w:uiPriority w:val="0"/>
    <w:rPr>
      <w:rFonts w:cs="Times New Roman"/>
    </w:rPr>
  </w:style>
  <w:style w:type="paragraph" w:styleId="18">
    <w:name w:val="Body Text First Indent 2"/>
    <w:basedOn w:val="10"/>
    <w:qFormat/>
    <w:uiPriority w:val="0"/>
    <w:pPr>
      <w:ind w:firstLine="420"/>
    </w:pPr>
    <w:rPr>
      <w:rFonts w:ascii="宋体" w:hAnsi="宋体" w:eastAsia="宋体"/>
      <w:kern w:val="2"/>
      <w:sz w:val="24"/>
      <w:szCs w:val="24"/>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rFonts w:ascii="宋体" w:hAnsi="宋体" w:eastAsia="宋体" w:cs="Times New Roman"/>
      <w:b/>
      <w:bCs/>
      <w:color w:val="auto"/>
      <w:sz w:val="24"/>
      <w:szCs w:val="28"/>
      <w:u w:val="words" w:color="333333"/>
    </w:rPr>
  </w:style>
  <w:style w:type="character" w:styleId="23">
    <w:name w:val="Emphasis"/>
    <w:basedOn w:val="21"/>
    <w:unhideWhenUsed/>
    <w:qFormat/>
    <w:uiPriority w:val="0"/>
    <w:rPr>
      <w:rFonts w:hint="default"/>
      <w:sz w:val="24"/>
      <w:szCs w:val="24"/>
    </w:rPr>
  </w:style>
  <w:style w:type="character" w:styleId="24">
    <w:name w:val="Hyperlink"/>
    <w:basedOn w:val="21"/>
    <w:qFormat/>
    <w:uiPriority w:val="0"/>
    <w:rPr>
      <w:rFonts w:ascii="宋体" w:hAnsi="宋体" w:eastAsia="宋体"/>
      <w:color w:val="0000FF"/>
      <w:sz w:val="24"/>
      <w:szCs w:val="24"/>
      <w:u w:val="single"/>
    </w:rPr>
  </w:style>
  <w:style w:type="paragraph" w:customStyle="1" w:styleId="25">
    <w:name w:val="样式 标题 1 + 四号 居中 段前: 12 磅 段后: 12 磅 行距: 单倍行距"/>
    <w:basedOn w:val="2"/>
    <w:qFormat/>
    <w:uiPriority w:val="99"/>
    <w:pPr>
      <w:spacing w:before="240" w:after="240" w:line="240" w:lineRule="auto"/>
      <w:jc w:val="center"/>
    </w:pPr>
    <w:rPr>
      <w:rFonts w:cs="宋体"/>
      <w:sz w:val="28"/>
      <w:szCs w:val="20"/>
    </w:rPr>
  </w:style>
  <w:style w:type="paragraph" w:customStyle="1" w:styleId="26">
    <w:name w:val="样式 标题 4 + 段前: 5 磅 段后: 5 磅 行距: 单倍行距"/>
    <w:basedOn w:val="5"/>
    <w:qFormat/>
    <w:uiPriority w:val="99"/>
    <w:pPr>
      <w:numPr>
        <w:ilvl w:val="0"/>
        <w:numId w:val="0"/>
      </w:numPr>
      <w:tabs>
        <w:tab w:val="left" w:pos="2880"/>
        <w:tab w:val="clear" w:pos="0"/>
      </w:tabs>
      <w:spacing w:before="100" w:after="100" w:line="240" w:lineRule="auto"/>
      <w:ind w:left="2880" w:hanging="720"/>
    </w:pPr>
    <w:rPr>
      <w:rFonts w:cs="宋体"/>
      <w:szCs w:val="20"/>
    </w:rPr>
  </w:style>
  <w:style w:type="paragraph" w:customStyle="1" w:styleId="27">
    <w:name w:val="样式1"/>
    <w:basedOn w:val="1"/>
    <w:qFormat/>
    <w:uiPriority w:val="0"/>
    <w:pPr>
      <w:adjustRightInd w:val="0"/>
      <w:textAlignment w:val="baseline"/>
    </w:pPr>
    <w:rPr>
      <w:rFonts w:ascii="宋体" w:hAnsi="宋体"/>
      <w:kern w:val="0"/>
      <w:szCs w:val="21"/>
    </w:rPr>
  </w:style>
  <w:style w:type="paragraph" w:customStyle="1" w:styleId="28">
    <w:name w:val="样式 标题 3h3H3sect1.2.3 + 五号 段前: 6 磅 段后: 6 磅 行距: 单倍行距"/>
    <w:basedOn w:val="4"/>
    <w:qFormat/>
    <w:uiPriority w:val="99"/>
    <w:pPr>
      <w:spacing w:before="120" w:after="120" w:line="240" w:lineRule="auto"/>
      <w:ind w:left="0"/>
    </w:pPr>
    <w:rPr>
      <w:sz w:val="21"/>
      <w:szCs w:val="20"/>
    </w:rPr>
  </w:style>
  <w:style w:type="character" w:customStyle="1" w:styleId="29">
    <w:name w:val="font11"/>
    <w:basedOn w:val="21"/>
    <w:qFormat/>
    <w:uiPriority w:val="0"/>
    <w:rPr>
      <w:rFonts w:hint="eastAsia" w:ascii="宋体" w:hAnsi="宋体" w:eastAsia="宋体" w:cs="宋体"/>
      <w:color w:val="000000"/>
      <w:sz w:val="20"/>
      <w:szCs w:val="20"/>
      <w:u w:val="none"/>
    </w:rPr>
  </w:style>
  <w:style w:type="character" w:customStyle="1" w:styleId="30">
    <w:name w:val="font51"/>
    <w:basedOn w:val="21"/>
    <w:qFormat/>
    <w:uiPriority w:val="0"/>
    <w:rPr>
      <w:rFonts w:hint="eastAsia" w:ascii="宋体" w:hAnsi="宋体" w:eastAsia="宋体" w:cs="宋体"/>
      <w:color w:val="000000"/>
      <w:sz w:val="20"/>
      <w:szCs w:val="20"/>
      <w:u w:val="none"/>
    </w:rPr>
  </w:style>
  <w:style w:type="character" w:customStyle="1" w:styleId="31">
    <w:name w:val="font141"/>
    <w:basedOn w:val="21"/>
    <w:qFormat/>
    <w:uiPriority w:val="0"/>
    <w:rPr>
      <w:rFonts w:ascii="Arial" w:hAnsi="Arial" w:cs="Arial"/>
      <w:color w:val="000000"/>
      <w:sz w:val="20"/>
      <w:szCs w:val="20"/>
      <w:u w:val="none"/>
    </w:rPr>
  </w:style>
  <w:style w:type="character" w:customStyle="1" w:styleId="32">
    <w:name w:val="font112"/>
    <w:basedOn w:val="21"/>
    <w:qFormat/>
    <w:uiPriority w:val="0"/>
    <w:rPr>
      <w:rFonts w:ascii="宋体" w:hAnsi="宋体" w:eastAsia="宋体" w:cs="宋体"/>
      <w:color w:val="000000"/>
      <w:sz w:val="20"/>
      <w:szCs w:val="20"/>
      <w:u w:val="none"/>
    </w:rPr>
  </w:style>
  <w:style w:type="character" w:customStyle="1" w:styleId="33">
    <w:name w:val="font151"/>
    <w:basedOn w:val="21"/>
    <w:qFormat/>
    <w:uiPriority w:val="0"/>
    <w:rPr>
      <w:rFonts w:ascii="宋体" w:hAnsi="宋体" w:eastAsia="宋体" w:cs="宋体"/>
      <w:b/>
      <w:bCs/>
      <w:color w:val="000000"/>
      <w:sz w:val="20"/>
      <w:szCs w:val="20"/>
      <w:u w:val="none"/>
    </w:rPr>
  </w:style>
  <w:style w:type="character" w:customStyle="1" w:styleId="34">
    <w:name w:val="font21"/>
    <w:basedOn w:val="21"/>
    <w:qFormat/>
    <w:uiPriority w:val="0"/>
    <w:rPr>
      <w:rFonts w:hint="eastAsia" w:ascii="宋体" w:hAnsi="宋体" w:eastAsia="宋体" w:cs="宋体"/>
      <w:color w:val="000000"/>
      <w:sz w:val="20"/>
      <w:szCs w:val="20"/>
      <w:u w:val="none"/>
    </w:rPr>
  </w:style>
  <w:style w:type="paragraph" w:styleId="35">
    <w:name w:val="List Paragraph"/>
    <w:basedOn w:val="1"/>
    <w:next w:val="1"/>
    <w:qFormat/>
    <w:uiPriority w:val="99"/>
    <w:pPr>
      <w:ind w:firstLine="420" w:firstLineChars="200"/>
    </w:pPr>
    <w:rPr>
      <w:rFonts w:ascii="Calibri" w:hAnsi="Calibri"/>
      <w:szCs w:val="22"/>
    </w:rPr>
  </w:style>
  <w:style w:type="paragraph" w:customStyle="1" w:styleId="36">
    <w:name w:val="p0"/>
    <w:basedOn w:val="1"/>
    <w:qFormat/>
    <w:uiPriority w:val="0"/>
    <w:pPr>
      <w:widowControl/>
      <w:spacing w:line="856" w:lineRule="atLeast"/>
    </w:pPr>
    <w:rPr>
      <w:color w:val="000000"/>
      <w:kern w:val="0"/>
      <w:szCs w:val="21"/>
    </w:rPr>
  </w:style>
  <w:style w:type="character" w:customStyle="1" w:styleId="37">
    <w:name w:val="标题 2 Char"/>
    <w:link w:val="3"/>
    <w:qFormat/>
    <w:uiPriority w:val="0"/>
    <w:rPr>
      <w:sz w:val="28"/>
    </w:rPr>
  </w:style>
  <w:style w:type="paragraph" w:customStyle="1" w:styleId="38">
    <w:name w:val="Char Char Char"/>
    <w:basedOn w:val="1"/>
    <w:unhideWhenUsed/>
    <w:qFormat/>
    <w:uiPriority w:val="0"/>
    <w:rPr>
      <w:rFonts w:hint="default" w:ascii="Tahoma" w:hAnsi="Tahoma"/>
      <w:sz w:val="24"/>
      <w:szCs w:val="20"/>
    </w:rPr>
  </w:style>
  <w:style w:type="paragraph" w:customStyle="1" w:styleId="39">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298</Pages>
  <Words>22913</Words>
  <Characters>23937</Characters>
  <Lines>0</Lines>
  <Paragraphs>0</Paragraphs>
  <TotalTime>1273</TotalTime>
  <ScaleCrop>false</ScaleCrop>
  <LinksUpToDate>false</LinksUpToDate>
  <CharactersWithSpaces>24155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2026-02-13T07:25:00Z</dcterms:created>
  <dc:creator>亿联视频会议-赵国华</dc:creator>
  <cp:lastModifiedBy>王小建</cp:lastModifiedBy>
  <dcterms:modified xsi:type="dcterms:W3CDTF">2026-04-22T07:11:47Z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4666ED687A004A828EA9AE52A689765A_13</vt:lpwstr>
  </property>
  <property fmtid="{D5CDD505-2E9C-101B-9397-08002B2CF9AE}" pid="4" name="KSOTemplateDocerSaveRecord">
    <vt:lpwstr>eyJoZGlkIjoiMDMzMzJlMzM3NmNhMjQxY2Q3NTgzNWNiOTRkMDhhMTIiLCJ1c2VySWQiOiIyNTE0NjgzNTYifQ==</vt:lpwstr>
  </property>
</Properties>
</file>