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00E9">
      <w:pPr>
        <w:pageBreakBefore w:val="0"/>
        <w:autoSpaceDE w:val="0"/>
        <w:autoSpaceDN w:val="0"/>
        <w:bidi w:val="0"/>
        <w:adjustRightInd w:val="0"/>
        <w:spacing w:line="360" w:lineRule="auto"/>
        <w:jc w:val="right"/>
        <w:rPr>
          <w:rFonts w:hint="default" w:ascii="仿宋" w:hAnsi="仿宋" w:eastAsia="仿宋" w:cs="仿宋"/>
          <w:b/>
          <w:color w:val="auto"/>
          <w:sz w:val="24"/>
          <w:szCs w:val="24"/>
          <w:lang w:val="en-US" w:eastAsia="zh-CN"/>
        </w:rPr>
      </w:pPr>
      <w:r>
        <w:rPr>
          <w:rFonts w:hint="eastAsia" w:ascii="仿宋" w:hAnsi="仿宋" w:eastAsia="仿宋" w:cs="仿宋"/>
          <w:b/>
          <w:color w:val="auto"/>
          <w:kern w:val="0"/>
          <w:sz w:val="24"/>
          <w:szCs w:val="24"/>
          <w:highlight w:val="none"/>
          <w:lang w:val="en-US" w:eastAsia="zh-CN" w:bidi="ar"/>
        </w:rPr>
        <w:t xml:space="preserve"> </w:t>
      </w:r>
      <w:r>
        <w:rPr>
          <w:rFonts w:hint="eastAsia" w:ascii="仿宋" w:hAnsi="仿宋" w:eastAsia="仿宋" w:cs="仿宋"/>
          <w:b/>
          <w:color w:val="auto"/>
          <w:sz w:val="24"/>
          <w:szCs w:val="24"/>
        </w:rPr>
        <w:t>项目编码：</w:t>
      </w:r>
      <w:r>
        <w:rPr>
          <w:rFonts w:hint="eastAsia" w:ascii="仿宋" w:hAnsi="仿宋" w:eastAsia="仿宋" w:cs="仿宋"/>
          <w:b/>
          <w:color w:val="auto"/>
          <w:sz w:val="24"/>
          <w:szCs w:val="24"/>
          <w:lang w:val="en-US" w:eastAsia="zh-CN"/>
        </w:rPr>
        <w:t>XJJB-2026-035</w:t>
      </w:r>
    </w:p>
    <w:p w14:paraId="37166A1A">
      <w:pPr>
        <w:pageBreakBefore w:val="0"/>
        <w:autoSpaceDE w:val="0"/>
        <w:autoSpaceDN w:val="0"/>
        <w:bidi w:val="0"/>
        <w:adjustRightInd w:val="0"/>
        <w:spacing w:line="360" w:lineRule="auto"/>
        <w:jc w:val="center"/>
        <w:rPr>
          <w:rFonts w:hint="eastAsia" w:ascii="仿宋" w:hAnsi="仿宋" w:eastAsia="仿宋" w:cs="仿宋"/>
          <w:b/>
          <w:color w:val="auto"/>
          <w:sz w:val="24"/>
          <w:szCs w:val="24"/>
        </w:rPr>
      </w:pPr>
    </w:p>
    <w:p w14:paraId="73919CBB">
      <w:pPr>
        <w:pStyle w:val="35"/>
        <w:pageBreakBefore w:val="0"/>
        <w:bidi w:val="0"/>
        <w:spacing w:line="360" w:lineRule="auto"/>
        <w:rPr>
          <w:rFonts w:hint="eastAsia" w:ascii="仿宋" w:hAnsi="仿宋" w:eastAsia="仿宋" w:cs="仿宋"/>
          <w:sz w:val="24"/>
          <w:szCs w:val="24"/>
        </w:rPr>
      </w:pPr>
    </w:p>
    <w:p w14:paraId="33843DB4">
      <w:pPr>
        <w:pStyle w:val="35"/>
        <w:pageBreakBefore w:val="0"/>
        <w:bidi w:val="0"/>
        <w:spacing w:line="360" w:lineRule="auto"/>
        <w:ind w:left="0" w:leftChars="0" w:firstLine="0" w:firstLineChars="0"/>
        <w:jc w:val="center"/>
        <w:rPr>
          <w:rFonts w:hint="eastAsia" w:ascii="仿宋" w:hAnsi="仿宋" w:eastAsia="仿宋" w:cs="仿宋"/>
          <w:b/>
          <w:color w:val="auto"/>
          <w:sz w:val="24"/>
          <w:szCs w:val="24"/>
          <w:lang w:val="en-US"/>
        </w:rPr>
      </w:pPr>
      <w:r>
        <w:rPr>
          <w:rFonts w:hint="eastAsia" w:ascii="仿宋" w:hAnsi="仿宋" w:eastAsia="仿宋" w:cs="宋体"/>
          <w:b/>
          <w:sz w:val="44"/>
          <w:szCs w:val="44"/>
          <w:lang w:eastAsia="zh-CN"/>
        </w:rPr>
        <w:t>2026年伊犁州友谊医院直线加速器和模拟CT维保服务项目</w:t>
      </w:r>
    </w:p>
    <w:p w14:paraId="38427C6F">
      <w:pPr>
        <w:pStyle w:val="35"/>
        <w:pageBreakBefore w:val="0"/>
        <w:bidi w:val="0"/>
        <w:spacing w:line="360" w:lineRule="auto"/>
        <w:ind w:left="0" w:leftChars="0" w:firstLine="0" w:firstLineChars="0"/>
        <w:rPr>
          <w:rFonts w:hint="eastAsia" w:ascii="仿宋" w:hAnsi="仿宋" w:eastAsia="仿宋" w:cs="仿宋"/>
          <w:b/>
          <w:color w:val="auto"/>
          <w:sz w:val="24"/>
          <w:szCs w:val="24"/>
          <w:lang w:val="en-US"/>
        </w:rPr>
      </w:pPr>
    </w:p>
    <w:p w14:paraId="24E0F3C0">
      <w:pPr>
        <w:pStyle w:val="35"/>
        <w:pageBreakBefore w:val="0"/>
        <w:bidi w:val="0"/>
        <w:spacing w:line="360" w:lineRule="auto"/>
        <w:ind w:left="0" w:leftChars="0" w:firstLine="0" w:firstLineChars="0"/>
        <w:rPr>
          <w:rFonts w:hint="eastAsia" w:ascii="仿宋" w:hAnsi="仿宋" w:eastAsia="仿宋" w:cs="仿宋"/>
          <w:b/>
          <w:color w:val="auto"/>
          <w:sz w:val="24"/>
          <w:szCs w:val="24"/>
          <w:lang w:val="en-US"/>
        </w:rPr>
      </w:pPr>
    </w:p>
    <w:p w14:paraId="6B7C2C3D">
      <w:pPr>
        <w:pStyle w:val="35"/>
        <w:pageBreakBefore w:val="0"/>
        <w:bidi w:val="0"/>
        <w:spacing w:line="360" w:lineRule="auto"/>
        <w:ind w:left="0" w:leftChars="0" w:firstLine="0" w:firstLineChars="0"/>
        <w:rPr>
          <w:rFonts w:hint="eastAsia" w:ascii="仿宋" w:hAnsi="仿宋" w:eastAsia="仿宋" w:cs="仿宋"/>
          <w:b/>
          <w:color w:val="auto"/>
          <w:sz w:val="24"/>
          <w:szCs w:val="24"/>
          <w:lang w:val="en-US"/>
        </w:rPr>
      </w:pPr>
    </w:p>
    <w:p w14:paraId="686043F0">
      <w:pPr>
        <w:pStyle w:val="35"/>
        <w:pageBreakBefore w:val="0"/>
        <w:bidi w:val="0"/>
        <w:spacing w:line="360" w:lineRule="auto"/>
        <w:ind w:left="0" w:leftChars="0" w:firstLine="0" w:firstLineChars="0"/>
        <w:rPr>
          <w:rFonts w:hint="eastAsia" w:ascii="仿宋" w:hAnsi="仿宋" w:eastAsia="仿宋" w:cs="仿宋"/>
          <w:b/>
          <w:color w:val="auto"/>
          <w:sz w:val="24"/>
          <w:szCs w:val="24"/>
          <w:lang w:val="en-US"/>
        </w:rPr>
      </w:pPr>
    </w:p>
    <w:p w14:paraId="054F8807">
      <w:pPr>
        <w:autoSpaceDE w:val="0"/>
        <w:autoSpaceDN w:val="0"/>
        <w:adjustRightInd w:val="0"/>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 xml:space="preserve"> 招 标 文 件</w:t>
      </w:r>
    </w:p>
    <w:p w14:paraId="1721406B">
      <w:pPr>
        <w:pageBreakBefore w:val="0"/>
        <w:autoSpaceDE w:val="0"/>
        <w:autoSpaceDN w:val="0"/>
        <w:bidi w:val="0"/>
        <w:adjustRightInd w:val="0"/>
        <w:spacing w:line="360" w:lineRule="auto"/>
        <w:jc w:val="center"/>
        <w:rPr>
          <w:rFonts w:hint="eastAsia" w:ascii="仿宋" w:hAnsi="仿宋" w:eastAsia="仿宋" w:cs="仿宋"/>
          <w:b/>
          <w:color w:val="auto"/>
          <w:sz w:val="24"/>
          <w:szCs w:val="24"/>
        </w:rPr>
      </w:pPr>
    </w:p>
    <w:p w14:paraId="5FE9D629">
      <w:pPr>
        <w:pStyle w:val="35"/>
        <w:pageBreakBefore w:val="0"/>
        <w:bidi w:val="0"/>
        <w:spacing w:line="360" w:lineRule="auto"/>
        <w:ind w:left="0" w:leftChars="0" w:firstLine="0" w:firstLineChars="0"/>
        <w:rPr>
          <w:rFonts w:hint="eastAsia" w:ascii="仿宋" w:hAnsi="仿宋" w:eastAsia="仿宋" w:cs="仿宋"/>
          <w:b/>
          <w:color w:val="auto"/>
          <w:sz w:val="24"/>
          <w:szCs w:val="24"/>
        </w:rPr>
      </w:pPr>
    </w:p>
    <w:p w14:paraId="797FD1AA">
      <w:pPr>
        <w:pStyle w:val="35"/>
        <w:pageBreakBefore w:val="0"/>
        <w:bidi w:val="0"/>
        <w:spacing w:line="360" w:lineRule="auto"/>
        <w:ind w:left="0" w:leftChars="0" w:firstLine="0" w:firstLineChars="0"/>
        <w:rPr>
          <w:rFonts w:hint="eastAsia" w:ascii="仿宋" w:hAnsi="仿宋" w:eastAsia="仿宋" w:cs="仿宋"/>
          <w:b/>
          <w:color w:val="auto"/>
          <w:sz w:val="24"/>
          <w:szCs w:val="24"/>
        </w:rPr>
      </w:pPr>
    </w:p>
    <w:p w14:paraId="7A959F9B">
      <w:pPr>
        <w:pageBreakBefore w:val="0"/>
        <w:autoSpaceDN w:val="0"/>
        <w:bidi w:val="0"/>
        <w:spacing w:before="100" w:beforeAutospacing="1" w:after="100" w:afterAutospacing="1" w:line="360" w:lineRule="auto"/>
        <w:rPr>
          <w:rFonts w:hint="eastAsia" w:ascii="仿宋" w:hAnsi="仿宋" w:eastAsia="仿宋" w:cs="仿宋"/>
          <w:b/>
          <w:sz w:val="24"/>
          <w:szCs w:val="24"/>
        </w:rPr>
      </w:pPr>
    </w:p>
    <w:p w14:paraId="202B068A">
      <w:pPr>
        <w:pageBreakBefore w:val="0"/>
        <w:autoSpaceDN w:val="0"/>
        <w:bidi w:val="0"/>
        <w:spacing w:before="100" w:beforeAutospacing="1" w:after="100" w:afterAutospacing="1"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eastAsia="zh-CN"/>
        </w:rPr>
        <w:t>伊犁哈萨克自治州友谊医院</w:t>
      </w:r>
      <w:r>
        <w:rPr>
          <w:rFonts w:hint="eastAsia" w:ascii="仿宋" w:hAnsi="仿宋" w:eastAsia="仿宋" w:cs="仿宋"/>
          <w:b/>
          <w:sz w:val="32"/>
          <w:szCs w:val="32"/>
          <w:u w:val="single"/>
        </w:rPr>
        <w:t xml:space="preserve">        </w:t>
      </w:r>
      <w:r>
        <w:rPr>
          <w:rFonts w:hint="eastAsia" w:ascii="仿宋" w:hAnsi="仿宋" w:eastAsia="仿宋" w:cs="仿宋"/>
          <w:b/>
          <w:sz w:val="32"/>
          <w:szCs w:val="32"/>
        </w:rPr>
        <w:t>（盖章）</w:t>
      </w:r>
    </w:p>
    <w:p w14:paraId="43E8475C">
      <w:pPr>
        <w:pageBreakBefore w:val="0"/>
        <w:autoSpaceDN w:val="0"/>
        <w:bidi w:val="0"/>
        <w:spacing w:before="100" w:beforeAutospacing="1" w:after="100" w:afterAutospacing="1" w:line="360" w:lineRule="auto"/>
        <w:ind w:firstLine="643" w:firstLineChars="200"/>
        <w:jc w:val="center"/>
        <w:rPr>
          <w:rFonts w:hint="eastAsia" w:ascii="仿宋" w:hAnsi="仿宋" w:eastAsia="仿宋" w:cs="仿宋"/>
          <w:b/>
          <w:sz w:val="32"/>
          <w:szCs w:val="32"/>
        </w:rPr>
      </w:pPr>
    </w:p>
    <w:p w14:paraId="1D48B5D2">
      <w:pPr>
        <w:pageBreakBefore w:val="0"/>
        <w:autoSpaceDN w:val="0"/>
        <w:bidi w:val="0"/>
        <w:spacing w:before="100" w:beforeAutospacing="1" w:after="100" w:afterAutospacing="1" w:line="360" w:lineRule="auto"/>
        <w:ind w:firstLine="643" w:firstLineChars="200"/>
        <w:jc w:val="both"/>
        <w:rPr>
          <w:rFonts w:hint="eastAsia" w:ascii="仿宋" w:hAnsi="仿宋" w:eastAsia="仿宋" w:cs="仿宋"/>
          <w:b/>
          <w:sz w:val="32"/>
          <w:szCs w:val="32"/>
          <w:u w:val="thick"/>
        </w:rPr>
      </w:pPr>
      <w:r>
        <w:rPr>
          <w:rFonts w:hint="eastAsia" w:ascii="仿宋" w:hAnsi="仿宋" w:eastAsia="仿宋" w:cs="仿宋"/>
          <w:b/>
          <w:sz w:val="32"/>
          <w:szCs w:val="32"/>
        </w:rPr>
        <w:t>采购代理机构:</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新疆金斌工程项目管理有限公司</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w:t>
      </w:r>
      <w:r>
        <w:rPr>
          <w:rFonts w:hint="eastAsia" w:ascii="仿宋" w:hAnsi="仿宋" w:eastAsia="仿宋" w:cs="仿宋"/>
          <w:b/>
          <w:sz w:val="32"/>
          <w:szCs w:val="32"/>
        </w:rPr>
        <w:t>盖章）</w:t>
      </w:r>
    </w:p>
    <w:p w14:paraId="1160D49F">
      <w:pPr>
        <w:pStyle w:val="6"/>
        <w:pageBreakBefore w:val="0"/>
        <w:bidi w:val="0"/>
        <w:spacing w:line="360" w:lineRule="auto"/>
        <w:rPr>
          <w:rFonts w:hint="eastAsia" w:ascii="仿宋" w:hAnsi="仿宋" w:eastAsia="仿宋" w:cs="仿宋"/>
          <w:sz w:val="24"/>
          <w:szCs w:val="24"/>
        </w:rPr>
      </w:pPr>
    </w:p>
    <w:p w14:paraId="185ABFD5">
      <w:pPr>
        <w:pStyle w:val="17"/>
        <w:pageBreakBefore w:val="0"/>
        <w:bidi w:val="0"/>
        <w:spacing w:line="360" w:lineRule="auto"/>
        <w:jc w:val="center"/>
        <w:rPr>
          <w:rFonts w:hint="default" w:ascii="仿宋" w:hAnsi="仿宋" w:eastAsia="仿宋" w:cs="仿宋"/>
          <w:bCs/>
          <w:sz w:val="36"/>
          <w:szCs w:val="36"/>
          <w:lang w:val="en-US"/>
        </w:rPr>
        <w:sectPr>
          <w:headerReference r:id="rId3" w:type="default"/>
          <w:footerReference r:id="rId4" w:type="default"/>
          <w:type w:val="continuous"/>
          <w:pgSz w:w="11905" w:h="16838"/>
          <w:pgMar w:top="1531" w:right="1531" w:bottom="1531" w:left="1531" w:header="1134" w:footer="1134" w:gutter="0"/>
          <w:pgNumType w:fmt="decimal" w:start="1"/>
          <w:cols w:space="0" w:num="1"/>
          <w:rtlGutter w:val="0"/>
          <w:docGrid w:linePitch="46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eastAsia="zh-CN"/>
        </w:rPr>
        <w:t>年</w:t>
      </w:r>
      <w:r>
        <w:rPr>
          <w:rFonts w:hint="eastAsia" w:ascii="仿宋" w:hAnsi="仿宋" w:eastAsia="仿宋" w:cs="仿宋"/>
          <w:b/>
          <w:sz w:val="36"/>
          <w:szCs w:val="36"/>
          <w:lang w:val="en-US" w:eastAsia="zh-CN"/>
        </w:rPr>
        <w:t>03月</w:t>
      </w:r>
    </w:p>
    <w:p w14:paraId="6AF63137">
      <w:pPr>
        <w:pStyle w:val="61"/>
        <w:pageBreakBefore w:val="0"/>
        <w:kinsoku/>
        <w:wordWrap/>
        <w:overflowPunct/>
        <w:topLinePunct w:val="0"/>
        <w:autoSpaceDE/>
        <w:autoSpaceDN/>
        <w:bidi w:val="0"/>
        <w:adjustRightInd w:val="0"/>
        <w:snapToGrid w:val="0"/>
        <w:spacing w:line="41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Cs w:val="44"/>
          <w:lang w:val="zh-CN"/>
        </w:rPr>
        <w:t>目  录</w:t>
      </w:r>
    </w:p>
    <w:p w14:paraId="410D5601">
      <w:pPr>
        <w:keepNext w:val="0"/>
        <w:keepLines w:val="0"/>
        <w:pageBreakBefore w:val="0"/>
        <w:widowControl w:val="0"/>
        <w:kinsoku/>
        <w:wordWrap/>
        <w:overflowPunct/>
        <w:topLinePunct w:val="0"/>
        <w:autoSpaceDE/>
        <w:autoSpaceDN/>
        <w:bidi w:val="0"/>
        <w:snapToGrid/>
        <w:spacing w:line="410" w:lineRule="exact"/>
        <w:ind w:right="17"/>
        <w:jc w:val="left"/>
        <w:rPr>
          <w:rFonts w:hint="eastAsia" w:ascii="仿宋" w:hAnsi="仿宋" w:eastAsia="仿宋" w:cs="仿宋"/>
          <w:color w:val="auto"/>
          <w:sz w:val="28"/>
          <w:szCs w:val="28"/>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_Toc20454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第一章  </w:t>
      </w:r>
      <w:r>
        <w:rPr>
          <w:rFonts w:hint="eastAsia" w:ascii="仿宋" w:hAnsi="仿宋" w:eastAsia="仿宋" w:cs="仿宋"/>
          <w:color w:val="auto"/>
          <w:kern w:val="2"/>
          <w:sz w:val="28"/>
          <w:szCs w:val="28"/>
          <w:highlight w:val="none"/>
          <w:lang w:val="zh-CN" w:eastAsia="zh-CN" w:bidi="ar-SA"/>
        </w:rPr>
        <w:t>2026年伊犁州友谊医院直线加速器和模拟CT维保服务项目</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p>
    <w:p w14:paraId="275F5161">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_Toc22786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投标须知前附表</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highlight w:val="none"/>
        </w:rPr>
        <w:fldChar w:fldCharType="end"/>
      </w:r>
    </w:p>
    <w:p w14:paraId="7A7C9D34">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_Toc3096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44"/>
          <w:sz w:val="28"/>
          <w:szCs w:val="28"/>
          <w:highlight w:val="none"/>
        </w:rPr>
        <w:t>第三章　投标人须知</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0F4C0E3A">
      <w:pPr>
        <w:pStyle w:val="24"/>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_Toc26890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一、说明</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09BCB59D">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_Toc2890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1. </w:t>
      </w:r>
      <w:r>
        <w:rPr>
          <w:rFonts w:hint="eastAsia" w:ascii="仿宋" w:hAnsi="仿宋" w:eastAsia="仿宋" w:cs="仿宋"/>
          <w:bCs/>
          <w:color w:val="auto"/>
          <w:kern w:val="44"/>
          <w:sz w:val="28"/>
          <w:szCs w:val="28"/>
          <w:highlight w:val="none"/>
        </w:rPr>
        <w:t>说明：本</w:t>
      </w:r>
      <w:r>
        <w:rPr>
          <w:rFonts w:hint="eastAsia" w:ascii="仿宋" w:hAnsi="仿宋" w:eastAsia="仿宋" w:cs="仿宋"/>
          <w:bCs/>
          <w:color w:val="auto"/>
          <w:kern w:val="44"/>
          <w:sz w:val="28"/>
          <w:szCs w:val="28"/>
          <w:highlight w:val="none"/>
          <w:lang w:eastAsia="zh-CN"/>
        </w:rPr>
        <w:t>招标文件</w:t>
      </w:r>
      <w:r>
        <w:rPr>
          <w:rFonts w:hint="eastAsia" w:ascii="仿宋" w:hAnsi="仿宋" w:eastAsia="仿宋" w:cs="仿宋"/>
          <w:bCs/>
          <w:color w:val="auto"/>
          <w:kern w:val="44"/>
          <w:sz w:val="28"/>
          <w:szCs w:val="28"/>
          <w:highlight w:val="none"/>
        </w:rPr>
        <w:t>使用的词语有如下定义</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19D447C0">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_Toc26165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 </w:t>
      </w:r>
      <w:r>
        <w:rPr>
          <w:rFonts w:hint="eastAsia" w:ascii="仿宋" w:hAnsi="仿宋" w:eastAsia="仿宋" w:cs="仿宋"/>
          <w:bCs/>
          <w:color w:val="auto"/>
          <w:kern w:val="44"/>
          <w:sz w:val="28"/>
          <w:szCs w:val="28"/>
          <w:highlight w:val="none"/>
        </w:rPr>
        <w:t>合格的投标人</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374DFDCE">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rPr>
        <w:t xml:space="preserve">3. </w:t>
      </w:r>
      <w:r>
        <w:rPr>
          <w:rFonts w:hint="eastAsia" w:ascii="仿宋" w:hAnsi="仿宋" w:eastAsia="仿宋" w:cs="仿宋"/>
          <w:bCs/>
          <w:color w:val="auto"/>
          <w:sz w:val="28"/>
          <w:szCs w:val="28"/>
          <w:highlight w:val="none"/>
        </w:rPr>
        <w:t>投标费用</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52DC0025">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_Toc22355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rPr>
        <w:t xml:space="preserve">4. </w:t>
      </w:r>
      <w:r>
        <w:rPr>
          <w:rFonts w:hint="eastAsia" w:ascii="仿宋" w:hAnsi="仿宋" w:eastAsia="仿宋" w:cs="仿宋"/>
          <w:bCs w:val="0"/>
          <w:color w:val="auto"/>
          <w:sz w:val="28"/>
          <w:szCs w:val="28"/>
          <w:highlight w:val="none"/>
        </w:rPr>
        <w:t>现场考察或者召开开标前答疑会</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518C26BA">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_Toc2323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5. </w:t>
      </w:r>
      <w:r>
        <w:rPr>
          <w:rFonts w:hint="eastAsia" w:ascii="仿宋" w:hAnsi="仿宋" w:eastAsia="仿宋" w:cs="仿宋"/>
          <w:bCs/>
          <w:color w:val="auto"/>
          <w:kern w:val="44"/>
          <w:sz w:val="28"/>
          <w:szCs w:val="28"/>
          <w:highlight w:val="none"/>
        </w:rPr>
        <w:t>开标的资质要求、时间及地点</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27FDE1C6">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_Toc6954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6. </w:t>
      </w:r>
      <w:r>
        <w:rPr>
          <w:rFonts w:hint="eastAsia" w:ascii="仿宋" w:hAnsi="仿宋" w:eastAsia="仿宋" w:cs="仿宋"/>
          <w:bCs/>
          <w:color w:val="auto"/>
          <w:kern w:val="44"/>
          <w:sz w:val="28"/>
          <w:szCs w:val="28"/>
          <w:highlight w:val="none"/>
        </w:rPr>
        <w:t>纪律与保密事项</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14567FAE">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_Toc18189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7. </w:t>
      </w:r>
      <w:r>
        <w:rPr>
          <w:rFonts w:hint="eastAsia" w:ascii="仿宋" w:hAnsi="仿宋" w:eastAsia="仿宋" w:cs="仿宋"/>
          <w:bCs/>
          <w:color w:val="auto"/>
          <w:kern w:val="44"/>
          <w:sz w:val="28"/>
          <w:szCs w:val="28"/>
          <w:highlight w:val="none"/>
        </w:rPr>
        <w:t>保证</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1BF51190">
      <w:pPr>
        <w:pStyle w:val="24"/>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_Toc21599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二、</w:t>
      </w:r>
      <w:r>
        <w:rPr>
          <w:rFonts w:hint="eastAsia" w:ascii="仿宋" w:hAnsi="仿宋" w:eastAsia="仿宋" w:cs="仿宋"/>
          <w:bCs/>
          <w:smallCaps w:val="0"/>
          <w:color w:val="auto"/>
          <w:kern w:val="44"/>
          <w:sz w:val="28"/>
          <w:szCs w:val="28"/>
          <w:highlight w:val="none"/>
          <w:lang w:val="en-US" w:eastAsia="zh-CN" w:bidi="ar-SA"/>
        </w:rPr>
        <w:t>招标文件</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5C257605">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_Toc4904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8. </w:t>
      </w:r>
      <w:r>
        <w:rPr>
          <w:rFonts w:hint="eastAsia" w:ascii="仿宋" w:hAnsi="仿宋" w:eastAsia="仿宋" w:cs="仿宋"/>
          <w:bCs/>
          <w:color w:val="auto"/>
          <w:kern w:val="44"/>
          <w:sz w:val="28"/>
          <w:szCs w:val="28"/>
          <w:highlight w:val="none"/>
        </w:rPr>
        <w:t>招标文件的编制依据与构成</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47938D39">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_Toc5501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9. </w:t>
      </w:r>
      <w:r>
        <w:rPr>
          <w:rFonts w:hint="eastAsia" w:ascii="仿宋" w:hAnsi="仿宋" w:eastAsia="仿宋" w:cs="仿宋"/>
          <w:color w:val="auto"/>
          <w:kern w:val="44"/>
          <w:sz w:val="28"/>
          <w:szCs w:val="28"/>
          <w:highlight w:val="none"/>
        </w:rPr>
        <w:t>招标文件的澄清或修改</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6D4BEB85">
      <w:pPr>
        <w:pStyle w:val="24"/>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_Toc14750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三、投标文件的编制</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706DD73D">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_Toc22093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rPr>
        <w:t xml:space="preserve">10. </w:t>
      </w:r>
      <w:r>
        <w:rPr>
          <w:rFonts w:hint="eastAsia" w:ascii="仿宋" w:hAnsi="仿宋" w:eastAsia="仿宋" w:cs="仿宋"/>
          <w:bCs/>
          <w:color w:val="auto"/>
          <w:sz w:val="28"/>
          <w:szCs w:val="28"/>
          <w:highlight w:val="none"/>
        </w:rPr>
        <w:t>投标的语言</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32EB4895">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_Toc1469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11. </w:t>
      </w:r>
      <w:r>
        <w:rPr>
          <w:rFonts w:hint="eastAsia" w:ascii="仿宋" w:hAnsi="仿宋" w:eastAsia="仿宋" w:cs="仿宋"/>
          <w:bCs/>
          <w:color w:val="auto"/>
          <w:kern w:val="44"/>
          <w:sz w:val="28"/>
          <w:szCs w:val="28"/>
          <w:highlight w:val="none"/>
        </w:rPr>
        <w:t>投标文件的构成</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54AE59EE">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_Toc17632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12. </w:t>
      </w:r>
      <w:r>
        <w:rPr>
          <w:rFonts w:hint="eastAsia" w:ascii="仿宋" w:hAnsi="仿宋" w:eastAsia="仿宋" w:cs="仿宋"/>
          <w:bCs/>
          <w:color w:val="auto"/>
          <w:kern w:val="44"/>
          <w:sz w:val="28"/>
          <w:szCs w:val="28"/>
          <w:highlight w:val="none"/>
        </w:rPr>
        <w:t>投标文件电子文档</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14:paraId="3F2BEB9F">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_Toc17740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13. </w:t>
      </w:r>
      <w:r>
        <w:rPr>
          <w:rFonts w:hint="eastAsia" w:ascii="仿宋" w:hAnsi="仿宋" w:eastAsia="仿宋" w:cs="仿宋"/>
          <w:bCs/>
          <w:color w:val="auto"/>
          <w:kern w:val="44"/>
          <w:sz w:val="28"/>
          <w:szCs w:val="28"/>
          <w:highlight w:val="none"/>
        </w:rPr>
        <w:t>投标文件的编写</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5CCDE852">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_Toc22522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14. </w:t>
      </w:r>
      <w:r>
        <w:rPr>
          <w:rFonts w:hint="eastAsia" w:ascii="仿宋" w:hAnsi="仿宋" w:eastAsia="仿宋" w:cs="仿宋"/>
          <w:bCs/>
          <w:color w:val="auto"/>
          <w:kern w:val="44"/>
          <w:sz w:val="28"/>
          <w:szCs w:val="28"/>
          <w:highlight w:val="none"/>
        </w:rPr>
        <w:t>投标报价</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7CBE2502">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_Toc15306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15. </w:t>
      </w:r>
      <w:r>
        <w:rPr>
          <w:rFonts w:hint="eastAsia" w:ascii="仿宋" w:hAnsi="仿宋" w:eastAsia="仿宋" w:cs="仿宋"/>
          <w:bCs/>
          <w:color w:val="auto"/>
          <w:kern w:val="44"/>
          <w:sz w:val="28"/>
          <w:szCs w:val="28"/>
          <w:highlight w:val="none"/>
        </w:rPr>
        <w:t>投标保证金</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14:paraId="2E70A0C3">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_Toc30142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16. </w:t>
      </w:r>
      <w:r>
        <w:rPr>
          <w:rFonts w:hint="eastAsia" w:ascii="仿宋" w:hAnsi="仿宋" w:eastAsia="仿宋" w:cs="仿宋"/>
          <w:bCs/>
          <w:color w:val="auto"/>
          <w:kern w:val="44"/>
          <w:sz w:val="28"/>
          <w:szCs w:val="28"/>
          <w:highlight w:val="none"/>
        </w:rPr>
        <w:t>投标有效期</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697D245A">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_Toc11497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17. </w:t>
      </w:r>
      <w:r>
        <w:rPr>
          <w:rFonts w:hint="eastAsia" w:ascii="仿宋" w:hAnsi="仿宋" w:eastAsia="仿宋" w:cs="仿宋"/>
          <w:bCs/>
          <w:color w:val="auto"/>
          <w:kern w:val="44"/>
          <w:sz w:val="28"/>
          <w:szCs w:val="28"/>
          <w:highlight w:val="none"/>
        </w:rPr>
        <w:t>投标文件的式样和签署、密封</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38CB3B4B">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ind w:firstLine="840" w:firstLineChars="3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_Toc22727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smallCaps/>
          <w:color w:val="auto"/>
          <w:kern w:val="2"/>
          <w:sz w:val="28"/>
          <w:szCs w:val="28"/>
          <w:highlight w:val="none"/>
          <w:lang w:val="en-US" w:eastAsia="zh-CN" w:bidi="ar-SA"/>
        </w:rPr>
        <w:t>四、投标文件的递交</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2181B92D">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_Toc8124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44"/>
          <w:sz w:val="28"/>
          <w:szCs w:val="28"/>
        </w:rPr>
        <w:t xml:space="preserve">18. </w:t>
      </w:r>
      <w:r>
        <w:rPr>
          <w:rFonts w:hint="eastAsia" w:ascii="仿宋" w:hAnsi="仿宋" w:eastAsia="仿宋" w:cs="仿宋"/>
          <w:color w:val="auto"/>
          <w:kern w:val="44"/>
          <w:sz w:val="28"/>
          <w:szCs w:val="28"/>
          <w:highlight w:val="none"/>
        </w:rPr>
        <w:t>投标文件递交</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7C802437">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_Toc28446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44"/>
          <w:sz w:val="28"/>
          <w:szCs w:val="28"/>
        </w:rPr>
        <w:t xml:space="preserve">19. </w:t>
      </w:r>
      <w:r>
        <w:rPr>
          <w:rFonts w:hint="eastAsia" w:ascii="仿宋" w:hAnsi="仿宋" w:eastAsia="仿宋" w:cs="仿宋"/>
          <w:color w:val="auto"/>
          <w:kern w:val="44"/>
          <w:sz w:val="28"/>
          <w:szCs w:val="28"/>
          <w:highlight w:val="none"/>
        </w:rPr>
        <w:t>投标截止时间</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185B9023">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_Toc18539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44"/>
          <w:sz w:val="28"/>
          <w:szCs w:val="28"/>
        </w:rPr>
        <w:t xml:space="preserve">19.1 </w:t>
      </w:r>
      <w:r>
        <w:rPr>
          <w:rFonts w:hint="eastAsia" w:ascii="仿宋" w:hAnsi="仿宋" w:eastAsia="仿宋" w:cs="仿宋"/>
          <w:color w:val="auto"/>
          <w:kern w:val="44"/>
          <w:sz w:val="28"/>
          <w:szCs w:val="28"/>
          <w:highlight w:val="none"/>
        </w:rPr>
        <w:t>本次招标的投标截止时间见第二章《投标须知前附表》的规定。</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4877E0DC">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_Toc2461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20. </w:t>
      </w:r>
      <w:r>
        <w:rPr>
          <w:rFonts w:hint="eastAsia" w:ascii="仿宋" w:hAnsi="仿宋" w:eastAsia="仿宋" w:cs="仿宋"/>
          <w:color w:val="auto"/>
          <w:kern w:val="44"/>
          <w:sz w:val="28"/>
          <w:szCs w:val="28"/>
          <w:highlight w:val="none"/>
        </w:rPr>
        <w:t>迟交的投标文件</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61ED8ED5">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_Toc13418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44"/>
          <w:sz w:val="28"/>
          <w:szCs w:val="28"/>
        </w:rPr>
        <w:t xml:space="preserve">20.1 </w:t>
      </w:r>
      <w:r>
        <w:rPr>
          <w:rFonts w:hint="eastAsia" w:ascii="仿宋" w:hAnsi="仿宋" w:eastAsia="仿宋" w:cs="仿宋"/>
          <w:color w:val="auto"/>
          <w:kern w:val="44"/>
          <w:sz w:val="28"/>
          <w:szCs w:val="28"/>
          <w:highlight w:val="none"/>
        </w:rPr>
        <w:t>采购代理机构将拒绝并原封退回在其规定的投标截止时刻后收到的任何投标文件（包括相关的原件资料）。</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1F8444D4">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_Toc10185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21. </w:t>
      </w:r>
      <w:r>
        <w:rPr>
          <w:rFonts w:hint="eastAsia" w:ascii="仿宋" w:hAnsi="仿宋" w:eastAsia="仿宋" w:cs="仿宋"/>
          <w:bCs/>
          <w:color w:val="auto"/>
          <w:kern w:val="44"/>
          <w:sz w:val="28"/>
          <w:szCs w:val="28"/>
          <w:highlight w:val="none"/>
        </w:rPr>
        <w:t>投标文件的修改和撤回、撤销</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75A1EACF">
      <w:pPr>
        <w:pStyle w:val="24"/>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_Toc30087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五、开标与评标</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26BF8A7D">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_Toc19246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22. </w:t>
      </w:r>
      <w:r>
        <w:rPr>
          <w:rFonts w:hint="eastAsia" w:ascii="仿宋" w:hAnsi="仿宋" w:eastAsia="仿宋" w:cs="仿宋"/>
          <w:bCs/>
          <w:color w:val="auto"/>
          <w:kern w:val="44"/>
          <w:sz w:val="28"/>
          <w:szCs w:val="28"/>
          <w:highlight w:val="none"/>
        </w:rPr>
        <w:t>开标</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0DA5ADCA">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_Toc10826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23. </w:t>
      </w:r>
      <w:r>
        <w:rPr>
          <w:rFonts w:hint="eastAsia" w:ascii="仿宋" w:hAnsi="仿宋" w:eastAsia="仿宋" w:cs="仿宋"/>
          <w:color w:val="auto"/>
          <w:kern w:val="44"/>
          <w:sz w:val="28"/>
          <w:szCs w:val="28"/>
          <w:highlight w:val="none"/>
        </w:rPr>
        <w:t>公开招标失败后的处理</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679E0A98">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_Toc22191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24. </w:t>
      </w:r>
      <w:r>
        <w:rPr>
          <w:rFonts w:hint="eastAsia" w:ascii="仿宋" w:hAnsi="仿宋" w:eastAsia="仿宋" w:cs="仿宋"/>
          <w:bCs/>
          <w:color w:val="auto"/>
          <w:kern w:val="44"/>
          <w:sz w:val="28"/>
          <w:szCs w:val="28"/>
          <w:highlight w:val="none"/>
        </w:rPr>
        <w:t>评标小组</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12764C20">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_Toc30337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25. </w:t>
      </w:r>
      <w:r>
        <w:rPr>
          <w:rFonts w:hint="eastAsia" w:ascii="仿宋" w:hAnsi="仿宋" w:eastAsia="仿宋" w:cs="仿宋"/>
          <w:color w:val="auto"/>
          <w:kern w:val="44"/>
          <w:sz w:val="28"/>
          <w:szCs w:val="28"/>
          <w:highlight w:val="none"/>
        </w:rPr>
        <w:t>评标原则及评标方法</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1379431A">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_Toc24957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26. </w:t>
      </w:r>
      <w:r>
        <w:rPr>
          <w:rFonts w:hint="eastAsia" w:ascii="仿宋" w:hAnsi="仿宋" w:eastAsia="仿宋" w:cs="仿宋"/>
          <w:color w:val="auto"/>
          <w:kern w:val="44"/>
          <w:sz w:val="28"/>
          <w:szCs w:val="28"/>
          <w:highlight w:val="none"/>
        </w:rPr>
        <w:t>初步评审</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0858F0C8">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_Toc21733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27. </w:t>
      </w:r>
      <w:r>
        <w:rPr>
          <w:rFonts w:hint="eastAsia" w:ascii="仿宋" w:hAnsi="仿宋" w:eastAsia="仿宋" w:cs="仿宋"/>
          <w:bCs/>
          <w:color w:val="auto"/>
          <w:kern w:val="44"/>
          <w:sz w:val="28"/>
          <w:szCs w:val="28"/>
          <w:highlight w:val="none"/>
        </w:rPr>
        <w:t>详细评审</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14:paraId="2631F84D">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_Toc25223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28. </w:t>
      </w:r>
      <w:r>
        <w:rPr>
          <w:rFonts w:hint="eastAsia" w:ascii="仿宋" w:hAnsi="仿宋" w:eastAsia="仿宋" w:cs="仿宋"/>
          <w:color w:val="auto"/>
          <w:kern w:val="44"/>
          <w:sz w:val="28"/>
          <w:szCs w:val="28"/>
          <w:highlight w:val="none"/>
        </w:rPr>
        <w:t>投标文件的修正和澄清</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795A3316">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_Toc13122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29. </w:t>
      </w:r>
      <w:r>
        <w:rPr>
          <w:rFonts w:hint="eastAsia" w:ascii="仿宋" w:hAnsi="仿宋" w:eastAsia="仿宋" w:cs="仿宋"/>
          <w:bCs/>
          <w:color w:val="auto"/>
          <w:kern w:val="44"/>
          <w:sz w:val="28"/>
          <w:szCs w:val="28"/>
          <w:highlight w:val="none"/>
        </w:rPr>
        <w:t>评标总得分统计及推荐</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1834DED5">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30. </w:t>
      </w:r>
      <w:r>
        <w:rPr>
          <w:rFonts w:hint="eastAsia" w:ascii="仿宋" w:hAnsi="仿宋" w:eastAsia="仿宋" w:cs="仿宋"/>
          <w:color w:val="auto"/>
          <w:kern w:val="44"/>
          <w:sz w:val="28"/>
          <w:szCs w:val="28"/>
          <w:highlight w:val="none"/>
        </w:rPr>
        <w:t>定标</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573E5CB1">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_Toc5256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31. </w:t>
      </w:r>
      <w:r>
        <w:rPr>
          <w:rFonts w:hint="eastAsia" w:ascii="仿宋" w:hAnsi="仿宋" w:eastAsia="仿宋" w:cs="仿宋"/>
          <w:bCs/>
          <w:color w:val="auto"/>
          <w:kern w:val="44"/>
          <w:sz w:val="28"/>
          <w:szCs w:val="28"/>
          <w:highlight w:val="none"/>
        </w:rPr>
        <w:t>特别说明</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6A6365DD">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_Toc29878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32. </w:t>
      </w:r>
      <w:r>
        <w:rPr>
          <w:rFonts w:hint="eastAsia" w:ascii="仿宋" w:hAnsi="仿宋" w:eastAsia="仿宋" w:cs="仿宋"/>
          <w:bCs/>
          <w:color w:val="auto"/>
          <w:kern w:val="44"/>
          <w:sz w:val="28"/>
          <w:szCs w:val="28"/>
          <w:highlight w:val="none"/>
        </w:rPr>
        <w:t>与采购代理机构和采购人的接触</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4BF98C5E">
      <w:pPr>
        <w:pStyle w:val="24"/>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_Toc4267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六、质疑与投诉</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10E1B8FC">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_Toc5828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33. </w:t>
      </w:r>
      <w:r>
        <w:rPr>
          <w:rFonts w:hint="eastAsia" w:ascii="仿宋" w:hAnsi="仿宋" w:eastAsia="仿宋" w:cs="仿宋"/>
          <w:bCs/>
          <w:color w:val="auto"/>
          <w:kern w:val="44"/>
          <w:sz w:val="28"/>
          <w:szCs w:val="28"/>
          <w:highlight w:val="none"/>
        </w:rPr>
        <w:t>询问</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6D7681A8">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_Toc2109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34. </w:t>
      </w:r>
      <w:r>
        <w:rPr>
          <w:rFonts w:hint="eastAsia" w:ascii="仿宋" w:hAnsi="仿宋" w:eastAsia="仿宋" w:cs="仿宋"/>
          <w:bCs/>
          <w:color w:val="auto"/>
          <w:kern w:val="44"/>
          <w:sz w:val="28"/>
          <w:szCs w:val="28"/>
          <w:highlight w:val="none"/>
        </w:rPr>
        <w:t>质疑</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6DC154DE">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_Toc13170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35. </w:t>
      </w:r>
      <w:r>
        <w:rPr>
          <w:rFonts w:hint="eastAsia" w:ascii="仿宋" w:hAnsi="仿宋" w:eastAsia="仿宋" w:cs="仿宋"/>
          <w:bCs/>
          <w:color w:val="auto"/>
          <w:kern w:val="44"/>
          <w:sz w:val="28"/>
          <w:szCs w:val="28"/>
          <w:highlight w:val="none"/>
        </w:rPr>
        <w:t>投诉</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71AC19F4">
      <w:pPr>
        <w:pStyle w:val="24"/>
        <w:keepNext w:val="0"/>
        <w:keepLines w:val="0"/>
        <w:pageBreakBefore w:val="0"/>
        <w:widowControl w:val="0"/>
        <w:tabs>
          <w:tab w:val="right" w:leader="dot" w:pos="8306"/>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_Toc21033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七、授予合同</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66309DA3">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_Toc30579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36. </w:t>
      </w:r>
      <w:r>
        <w:rPr>
          <w:rFonts w:hint="eastAsia" w:ascii="仿宋" w:hAnsi="仿宋" w:eastAsia="仿宋" w:cs="仿宋"/>
          <w:bCs/>
          <w:color w:val="auto"/>
          <w:kern w:val="44"/>
          <w:sz w:val="28"/>
          <w:szCs w:val="28"/>
          <w:highlight w:val="none"/>
        </w:rPr>
        <w:t>确定中标人</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14:paraId="6655CA7D">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_Toc7161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37. </w:t>
      </w:r>
      <w:r>
        <w:rPr>
          <w:rFonts w:hint="eastAsia" w:ascii="仿宋" w:hAnsi="仿宋" w:eastAsia="仿宋" w:cs="仿宋"/>
          <w:bCs/>
          <w:color w:val="auto"/>
          <w:kern w:val="44"/>
          <w:sz w:val="28"/>
          <w:szCs w:val="28"/>
          <w:highlight w:val="none"/>
        </w:rPr>
        <w:t>接受和拒绝任何或所有投标的权力</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14:paraId="4CE6E304">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_Toc26407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38. </w:t>
      </w:r>
      <w:r>
        <w:rPr>
          <w:rFonts w:hint="eastAsia" w:ascii="仿宋" w:hAnsi="仿宋" w:eastAsia="仿宋" w:cs="仿宋"/>
          <w:bCs/>
          <w:color w:val="auto"/>
          <w:kern w:val="44"/>
          <w:sz w:val="28"/>
          <w:szCs w:val="28"/>
          <w:highlight w:val="none"/>
          <w:lang w:val="en-US" w:eastAsia="zh-CN"/>
        </w:rPr>
        <w:t>成交</w:t>
      </w:r>
      <w:r>
        <w:rPr>
          <w:rFonts w:hint="eastAsia" w:ascii="仿宋" w:hAnsi="仿宋" w:eastAsia="仿宋" w:cs="仿宋"/>
          <w:bCs/>
          <w:color w:val="auto"/>
          <w:kern w:val="44"/>
          <w:sz w:val="28"/>
          <w:szCs w:val="28"/>
          <w:highlight w:val="none"/>
        </w:rPr>
        <w:t>通知书</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14:paraId="2060EA1A">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_Toc14729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39. </w:t>
      </w:r>
      <w:r>
        <w:rPr>
          <w:rFonts w:hint="eastAsia" w:ascii="仿宋" w:hAnsi="仿宋" w:eastAsia="仿宋" w:cs="仿宋"/>
          <w:bCs/>
          <w:color w:val="auto"/>
          <w:kern w:val="44"/>
          <w:sz w:val="28"/>
          <w:szCs w:val="28"/>
          <w:highlight w:val="none"/>
        </w:rPr>
        <w:t>合同的订立</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14:paraId="5115C764">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_Toc19474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40. </w:t>
      </w:r>
      <w:r>
        <w:rPr>
          <w:rFonts w:hint="eastAsia" w:ascii="仿宋" w:hAnsi="仿宋" w:eastAsia="仿宋" w:cs="仿宋"/>
          <w:bCs/>
          <w:color w:val="auto"/>
          <w:kern w:val="44"/>
          <w:sz w:val="28"/>
          <w:szCs w:val="28"/>
          <w:highlight w:val="none"/>
        </w:rPr>
        <w:t>合同的履行</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14:paraId="1F70DEBE">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_Toc18199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41. </w:t>
      </w:r>
      <w:r>
        <w:rPr>
          <w:rFonts w:hint="eastAsia" w:ascii="仿宋" w:hAnsi="仿宋" w:eastAsia="仿宋" w:cs="仿宋"/>
          <w:bCs/>
          <w:color w:val="auto"/>
          <w:kern w:val="44"/>
          <w:sz w:val="28"/>
          <w:szCs w:val="28"/>
          <w:highlight w:val="none"/>
        </w:rPr>
        <w:t>采购代理服务费</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14:paraId="1D88BB0B">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_Toc3865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42. </w:t>
      </w:r>
      <w:r>
        <w:rPr>
          <w:rFonts w:hint="eastAsia" w:ascii="仿宋" w:hAnsi="仿宋" w:eastAsia="仿宋" w:cs="仿宋"/>
          <w:bCs/>
          <w:color w:val="auto"/>
          <w:kern w:val="44"/>
          <w:sz w:val="28"/>
          <w:szCs w:val="28"/>
          <w:highlight w:val="none"/>
        </w:rPr>
        <w:t>适用法律</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14:paraId="026CC46B">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_Toc22798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rPr>
        <w:t xml:space="preserve">43. </w:t>
      </w:r>
      <w:r>
        <w:rPr>
          <w:rFonts w:hint="eastAsia" w:ascii="仿宋" w:hAnsi="仿宋" w:eastAsia="仿宋" w:cs="仿宋"/>
          <w:bCs/>
          <w:color w:val="auto"/>
          <w:kern w:val="44"/>
          <w:sz w:val="28"/>
          <w:szCs w:val="28"/>
          <w:highlight w:val="none"/>
        </w:rPr>
        <w:t>政府采购政策</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3F42D7A7">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_Toc28078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rPr>
        <w:t>第四章 合同格式</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70DC4796">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_Toc3845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val="en-US" w:eastAsia="zh-CN"/>
        </w:rPr>
        <w:t>采购项目清单及参数要求</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0</w:t>
      </w:r>
    </w:p>
    <w:p w14:paraId="33F490D8">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_Toc10572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投标文件部分格式</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14:paraId="2EC1819C">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_Toc24440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附表1 </w:t>
      </w:r>
      <w:r>
        <w:rPr>
          <w:rFonts w:hint="eastAsia" w:ascii="仿宋" w:hAnsi="仿宋" w:eastAsia="仿宋" w:cs="仿宋"/>
          <w:color w:val="auto"/>
          <w:sz w:val="28"/>
          <w:szCs w:val="28"/>
          <w:highlight w:val="none"/>
          <w:lang w:val="en-US" w:eastAsia="zh-CN"/>
        </w:rPr>
        <w:t xml:space="preserve">   资格审查</w:t>
      </w:r>
      <w:r>
        <w:rPr>
          <w:rFonts w:hint="eastAsia" w:ascii="仿宋" w:hAnsi="仿宋" w:eastAsia="仿宋" w:cs="仿宋"/>
          <w:color w:val="auto"/>
          <w:sz w:val="28"/>
          <w:szCs w:val="28"/>
          <w:highlight w:val="none"/>
        </w:rPr>
        <w:t>标准表</w:t>
      </w:r>
      <w:r>
        <w:rPr>
          <w:rFonts w:hint="eastAsia" w:ascii="仿宋" w:hAnsi="仿宋" w:eastAsia="仿宋" w:cs="仿宋"/>
          <w:color w:val="auto"/>
          <w:sz w:val="28"/>
          <w:szCs w:val="28"/>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99</w:t>
      </w:r>
    </w:p>
    <w:p w14:paraId="0B88178A">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_Toc9700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附表2    </w:t>
      </w:r>
      <w:r>
        <w:rPr>
          <w:rFonts w:hint="eastAsia" w:ascii="仿宋" w:hAnsi="仿宋" w:eastAsia="仿宋" w:cs="仿宋"/>
          <w:bCs w:val="0"/>
          <w:color w:val="auto"/>
          <w:sz w:val="28"/>
          <w:szCs w:val="28"/>
          <w:highlight w:val="none"/>
          <w:lang w:val="en-US" w:eastAsia="zh-CN"/>
        </w:rPr>
        <w:t>符合性审查标准表</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01</w:t>
      </w:r>
    </w:p>
    <w:p w14:paraId="513711F8">
      <w:pPr>
        <w:pStyle w:val="22"/>
        <w:keepNext w:val="0"/>
        <w:keepLines w:val="0"/>
        <w:pageBreakBefore w:val="0"/>
        <w:widowControl w:val="0"/>
        <w:tabs>
          <w:tab w:val="right" w:leader="dot" w:pos="8306"/>
          <w:tab w:val="clear" w:pos="9628"/>
        </w:tabs>
        <w:kinsoku/>
        <w:wordWrap/>
        <w:overflowPunct/>
        <w:topLinePunct w:val="0"/>
        <w:autoSpaceDE/>
        <w:autoSpaceDN/>
        <w:bidi w:val="0"/>
        <w:snapToGrid/>
        <w:spacing w:line="410" w:lineRule="exact"/>
        <w:rPr>
          <w:rFonts w:hint="default"/>
          <w:color w:val="auto"/>
          <w:lang w:val="en-US"/>
        </w:rPr>
        <w:sectPr>
          <w:headerReference r:id="rId5" w:type="default"/>
          <w:footerReference r:id="rId6" w:type="default"/>
          <w:type w:val="continuous"/>
          <w:pgSz w:w="11905" w:h="16838"/>
          <w:pgMar w:top="1531" w:right="1531" w:bottom="1531" w:left="1531" w:header="850" w:footer="850" w:gutter="0"/>
          <w:pgNumType w:fmt="decimal" w:start="1"/>
          <w:cols w:space="0" w:num="1"/>
          <w:rtlGutter w:val="0"/>
          <w:docGrid w:linePitch="462" w:charSpace="0"/>
        </w:sect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_Toc9700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附表</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w:t>
      </w:r>
      <w:r>
        <w:rPr>
          <w:rFonts w:hint="eastAsia" w:ascii="仿宋" w:hAnsi="仿宋" w:eastAsia="仿宋" w:cs="仿宋"/>
          <w:bCs w:val="0"/>
          <w:color w:val="auto"/>
          <w:sz w:val="28"/>
          <w:szCs w:val="28"/>
          <w:highlight w:val="none"/>
        </w:rPr>
        <w:t>评 分 细 则</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03</w:t>
      </w:r>
      <w:bookmarkStart w:id="332" w:name="_GoBack"/>
      <w:bookmarkEnd w:id="332"/>
    </w:p>
    <w:p w14:paraId="05D7A5A9">
      <w:pPr>
        <w:pageBreakBefore w:val="0"/>
        <w:kinsoku/>
        <w:wordWrap/>
        <w:overflowPunct/>
        <w:topLinePunct w:val="0"/>
        <w:autoSpaceDE/>
        <w:autoSpaceDN/>
        <w:bidi w:val="0"/>
        <w:spacing w:line="410" w:lineRule="exact"/>
        <w:rPr>
          <w:rFonts w:hint="eastAsia" w:ascii="仿宋" w:hAnsi="仿宋" w:eastAsia="仿宋" w:cs="仿宋"/>
          <w:color w:val="auto"/>
          <w:sz w:val="24"/>
          <w:szCs w:val="24"/>
        </w:rPr>
      </w:pPr>
    </w:p>
    <w:p w14:paraId="2B5AC499">
      <w:pPr>
        <w:pStyle w:val="23"/>
        <w:keepNext w:val="0"/>
        <w:keepLines w:val="0"/>
        <w:pageBreakBefore w:val="0"/>
        <w:kinsoku/>
        <w:wordWrap/>
        <w:overflowPunct/>
        <w:topLinePunct w:val="0"/>
        <w:autoSpaceDE/>
        <w:autoSpaceDN/>
        <w:bidi w:val="0"/>
        <w:adjustRightInd/>
        <w:spacing w:line="360" w:lineRule="auto"/>
        <w:jc w:val="center"/>
        <w:textAlignment w:val="auto"/>
        <w:rPr>
          <w:rFonts w:hint="eastAsia" w:ascii="方正小标宋_GBK" w:hAnsi="方正小标宋_GBK" w:eastAsia="方正小标宋_GBK" w:cs="方正小标宋_GBK"/>
          <w:b w:val="0"/>
          <w:bCs w:val="0"/>
          <w:color w:val="auto"/>
          <w:kern w:val="2"/>
          <w:sz w:val="32"/>
          <w:szCs w:val="32"/>
          <w:lang w:val="en-US" w:eastAsia="zh-CN" w:bidi="ar-SA"/>
        </w:rPr>
      </w:pPr>
      <w:r>
        <w:rPr>
          <w:rFonts w:hint="eastAsia" w:ascii="仿宋" w:hAnsi="仿宋" w:eastAsia="仿宋" w:cs="仿宋"/>
          <w:color w:val="auto"/>
          <w:sz w:val="24"/>
          <w:szCs w:val="24"/>
          <w:highlight w:val="none"/>
        </w:rPr>
        <w:fldChar w:fldCharType="end"/>
      </w:r>
      <w:bookmarkStart w:id="0" w:name="_Toc20454"/>
      <w:r>
        <w:rPr>
          <w:rFonts w:hint="eastAsia" w:ascii="方正小标宋_GBK" w:hAnsi="方正小标宋_GBK" w:eastAsia="方正小标宋_GBK" w:cs="方正小标宋_GBK"/>
          <w:b w:val="0"/>
          <w:bCs w:val="0"/>
          <w:color w:val="auto"/>
          <w:kern w:val="2"/>
          <w:sz w:val="32"/>
          <w:szCs w:val="32"/>
          <w:lang w:val="en-US" w:eastAsia="zh-CN" w:bidi="ar-SA"/>
        </w:rPr>
        <w:t>第一章   招标公告</w:t>
      </w:r>
    </w:p>
    <w:bookmarkEnd w:id="0"/>
    <w:tbl>
      <w:tblPr>
        <w:tblStyle w:val="30"/>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2B73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242" w:type="dxa"/>
          </w:tcPr>
          <w:p w14:paraId="7228304C">
            <w:pPr>
              <w:pStyle w:val="27"/>
              <w:shd w:val="clear" w:color="auto" w:fill="FFFFFF"/>
              <w:spacing w:before="0" w:beforeAutospacing="0" w:after="0" w:afterAutospacing="0" w:line="336" w:lineRule="auto"/>
              <w:rPr>
                <w:rFonts w:hint="eastAsia" w:ascii="仿宋_GB2312" w:hAnsi="仿宋_GB2312" w:eastAsia="仿宋_GB2312" w:cs="仿宋_GB2312"/>
                <w:i w:val="0"/>
                <w:iCs w:val="0"/>
                <w:caps w:val="0"/>
                <w:color w:val="auto"/>
                <w:spacing w:val="0"/>
                <w:sz w:val="32"/>
                <w:szCs w:val="32"/>
                <w:shd w:val="clear" w:fill="FFFFFF"/>
                <w:lang w:val="en-US" w:eastAsia="zh-CN"/>
              </w:rPr>
            </w:pPr>
            <w:bookmarkStart w:id="1" w:name="_Toc22786"/>
            <w:r>
              <w:rPr>
                <w:rFonts w:hint="eastAsia" w:ascii="仿宋_GB2312" w:hAnsi="仿宋_GB2312" w:eastAsia="仿宋_GB2312" w:cs="仿宋_GB2312"/>
                <w:i w:val="0"/>
                <w:iCs w:val="0"/>
                <w:caps w:val="0"/>
                <w:color w:val="auto"/>
                <w:spacing w:val="0"/>
                <w:sz w:val="32"/>
                <w:szCs w:val="32"/>
                <w:shd w:val="clear" w:fill="FFFFFF"/>
                <w:lang w:val="en-US" w:eastAsia="zh-CN"/>
              </w:rPr>
              <w:t>项目概况</w:t>
            </w:r>
          </w:p>
          <w:p w14:paraId="5E37CC48">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shd w:val="clear" w:fill="FFFFFF"/>
                <w:lang w:val="en-US" w:eastAsia="zh-CN"/>
              </w:rPr>
              <w:t>2026年伊犁州友谊医院直线加速器和模拟CT维保服务项目的潜在投标人应在政采云平台线上获取招标文件</w:t>
            </w:r>
            <w:r>
              <w:rPr>
                <w:rFonts w:hint="eastAsia" w:ascii="仿宋_GB2312" w:hAnsi="仿宋_GB2312" w:eastAsia="仿宋_GB2312" w:cs="仿宋_GB2312"/>
                <w:i w:val="0"/>
                <w:iCs w:val="0"/>
                <w:caps w:val="0"/>
                <w:color w:val="auto"/>
                <w:spacing w:val="0"/>
                <w:sz w:val="32"/>
                <w:szCs w:val="32"/>
                <w:shd w:val="clear" w:fill="FFFFFF"/>
                <w:lang w:val="en-US" w:eastAsia="zh-CN"/>
              </w:rPr>
              <w:t>，并于2026年04月17日</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11:00（北京时间）前递交投标文件。</w:t>
            </w:r>
          </w:p>
        </w:tc>
      </w:tr>
    </w:tbl>
    <w:p w14:paraId="52825E8B">
      <w:pPr>
        <w:pStyle w:val="27"/>
        <w:shd w:val="clear" w:color="auto" w:fill="FFFFFF"/>
        <w:spacing w:before="0" w:beforeAutospacing="0" w:after="0" w:afterAutospacing="0" w:line="336" w:lineRule="auto"/>
        <w:jc w:val="both"/>
        <w:rPr>
          <w:rStyle w:val="33"/>
          <w:rFonts w:hint="eastAsia" w:ascii="仿宋_GB2312" w:hAnsi="仿宋_GB2312" w:eastAsia="仿宋_GB2312" w:cs="仿宋_GB2312"/>
          <w:color w:val="auto"/>
          <w:sz w:val="32"/>
          <w:szCs w:val="32"/>
          <w:highlight w:val="none"/>
          <w:shd w:val="clear" w:color="auto" w:fill="FFFFFF"/>
        </w:rPr>
      </w:pPr>
      <w:r>
        <w:rPr>
          <w:rStyle w:val="33"/>
          <w:rFonts w:hint="eastAsia" w:ascii="仿宋_GB2312" w:hAnsi="仿宋_GB2312" w:eastAsia="仿宋_GB2312" w:cs="仿宋_GB2312"/>
          <w:color w:val="auto"/>
          <w:sz w:val="32"/>
          <w:szCs w:val="32"/>
          <w:highlight w:val="none"/>
          <w:shd w:val="clear" w:color="auto" w:fill="FFFFFF"/>
          <w:lang w:val="en-US" w:eastAsia="zh-CN"/>
        </w:rPr>
        <w:t>一、</w:t>
      </w:r>
      <w:r>
        <w:rPr>
          <w:rStyle w:val="33"/>
          <w:rFonts w:hint="eastAsia" w:ascii="仿宋_GB2312" w:hAnsi="仿宋_GB2312" w:eastAsia="仿宋_GB2312" w:cs="仿宋_GB2312"/>
          <w:color w:val="auto"/>
          <w:sz w:val="32"/>
          <w:szCs w:val="32"/>
          <w:highlight w:val="none"/>
          <w:shd w:val="clear" w:color="auto" w:fill="FFFFFF"/>
        </w:rPr>
        <w:t>项目基本情况</w:t>
      </w:r>
    </w:p>
    <w:p w14:paraId="29AD37FF">
      <w:pPr>
        <w:pStyle w:val="27"/>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项目编号：XJJB-2026-035</w:t>
      </w:r>
    </w:p>
    <w:p w14:paraId="0DF00FEF">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项目名称：2026年伊犁州友谊医院直线加速器和模拟CT维保服务项目</w:t>
      </w:r>
    </w:p>
    <w:p w14:paraId="3249E313">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采购方式：公开招标</w:t>
      </w:r>
    </w:p>
    <w:p w14:paraId="1C86BB81">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预算金额</w:t>
      </w:r>
      <w:r>
        <w:rPr>
          <w:rFonts w:hint="eastAsia" w:ascii="仿宋_GB2312" w:hAnsi="仿宋_GB2312" w:eastAsia="仿宋_GB2312" w:cs="仿宋_GB2312"/>
          <w:i w:val="0"/>
          <w:iCs w:val="0"/>
          <w:caps w:val="0"/>
          <w:color w:val="auto"/>
          <w:spacing w:val="0"/>
          <w:sz w:val="32"/>
          <w:szCs w:val="32"/>
          <w:shd w:val="clear" w:fill="FFFFFF"/>
          <w:lang w:val="en-US" w:eastAsia="zh-CN"/>
        </w:rPr>
        <w:t>（元）：1830000</w:t>
      </w:r>
    </w:p>
    <w:p w14:paraId="75973C33">
      <w:pPr>
        <w:pStyle w:val="27"/>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最高限价（元）：1830000</w:t>
      </w:r>
    </w:p>
    <w:p w14:paraId="5D28DA25">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采购需求：</w:t>
      </w:r>
    </w:p>
    <w:p w14:paraId="2E8EF87C">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p>
    <w:p w14:paraId="3CFA8C6F">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标项一</w:t>
      </w:r>
    </w:p>
    <w:p w14:paraId="207B0B7F">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标项名称：2026年伊犁州友谊医院直线加速器和模拟CT维保服务项目</w:t>
      </w:r>
    </w:p>
    <w:p w14:paraId="3A97D7A5">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数量：1</w:t>
      </w:r>
    </w:p>
    <w:p w14:paraId="75EE707E">
      <w:pPr>
        <w:pStyle w:val="27"/>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预算金额（元）：1830000</w:t>
      </w:r>
    </w:p>
    <w:p w14:paraId="574D8ED1">
      <w:pPr>
        <w:pStyle w:val="27"/>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单位：项</w:t>
      </w:r>
    </w:p>
    <w:p w14:paraId="7BB6C17D">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简要规格描述：</w:t>
      </w:r>
      <w:r>
        <w:rPr>
          <w:rFonts w:hint="eastAsia" w:ascii="仿宋" w:hAnsi="仿宋" w:eastAsia="仿宋" w:cs="仿宋"/>
          <w:color w:val="auto"/>
          <w:kern w:val="2"/>
          <w:sz w:val="32"/>
          <w:szCs w:val="32"/>
          <w:lang w:val="en-US" w:eastAsia="zh-CN" w:bidi="ar-SA"/>
        </w:rPr>
        <w:t>1、瓦里安（CX）直线加速器一台，包含加速器整机技术保，不包含配件；含第三方非瓦里安产品（CCTV监视系统、对讲系统、激光灯、稳压器、空气压缩机、专用显示器、门联锁）的技术保修，不包含配件。2、西门子SOMATOM Confidence一台，包含整机技术保，不包含配件。</w:t>
      </w:r>
    </w:p>
    <w:p w14:paraId="201B25B4">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备注：</w:t>
      </w:r>
    </w:p>
    <w:p w14:paraId="7E01B56B">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合同履约期限：3年</w:t>
      </w:r>
    </w:p>
    <w:p w14:paraId="3BAC712A">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iCs w:val="0"/>
          <w:caps w:val="0"/>
          <w:color w:val="auto"/>
          <w:spacing w:val="0"/>
          <w:sz w:val="32"/>
          <w:szCs w:val="32"/>
          <w:shd w:val="clear" w:fill="FFFFFF"/>
          <w:lang w:val="en-US" w:eastAsia="zh-CN"/>
        </w:rPr>
        <w:t>本项目（否）接受联合体投标。</w:t>
      </w:r>
      <w:r>
        <w:rPr>
          <w:rFonts w:hint="eastAsia" w:ascii="仿宋_GB2312" w:hAnsi="仿宋_GB2312" w:eastAsia="仿宋_GB2312" w:cs="仿宋_GB2312"/>
          <w:color w:val="auto"/>
          <w:kern w:val="2"/>
          <w:sz w:val="32"/>
          <w:szCs w:val="32"/>
          <w:lang w:val="en-US" w:eastAsia="zh-CN" w:bidi="ar-SA"/>
        </w:rPr>
        <w:t>  </w:t>
      </w:r>
    </w:p>
    <w:p w14:paraId="1CCDE76E">
      <w:pPr>
        <w:pStyle w:val="27"/>
        <w:shd w:val="clear" w:color="auto" w:fill="FFFFFF"/>
        <w:spacing w:before="0" w:beforeAutospacing="0" w:after="0" w:afterAutospacing="0" w:line="336" w:lineRule="auto"/>
        <w:jc w:val="both"/>
        <w:rPr>
          <w:rStyle w:val="33"/>
          <w:rFonts w:hint="eastAsia" w:ascii="仿宋_GB2312" w:hAnsi="仿宋_GB2312" w:eastAsia="仿宋_GB2312" w:cs="仿宋_GB2312"/>
          <w:color w:val="auto"/>
          <w:sz w:val="32"/>
          <w:szCs w:val="32"/>
          <w:highlight w:val="none"/>
          <w:shd w:val="clear" w:color="auto" w:fill="FFFFFF"/>
          <w:lang w:val="en-US" w:eastAsia="zh-CN"/>
        </w:rPr>
      </w:pPr>
      <w:r>
        <w:rPr>
          <w:rStyle w:val="33"/>
          <w:rFonts w:hint="eastAsia" w:ascii="仿宋_GB2312" w:hAnsi="仿宋_GB2312" w:eastAsia="仿宋_GB2312" w:cs="仿宋_GB2312"/>
          <w:color w:val="auto"/>
          <w:sz w:val="32"/>
          <w:szCs w:val="32"/>
          <w:highlight w:val="none"/>
          <w:shd w:val="clear" w:color="auto" w:fill="FFFFFF"/>
          <w:lang w:val="en-US" w:eastAsia="zh-CN"/>
        </w:rPr>
        <w:t>二、申请人的资格要求：</w:t>
      </w:r>
    </w:p>
    <w:p w14:paraId="2FD2B51B">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1.满足《中华人民共和国政府采购法》第二十二条规定；</w:t>
      </w:r>
    </w:p>
    <w:p w14:paraId="770E31B9">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2.需落实政府采购</w:t>
      </w:r>
      <w:r>
        <w:rPr>
          <w:rFonts w:hint="eastAsia" w:ascii="仿宋_GB2312" w:hAnsi="仿宋_GB2312" w:eastAsia="仿宋_GB2312" w:cs="仿宋_GB2312"/>
          <w:i w:val="0"/>
          <w:iCs w:val="0"/>
          <w:caps w:val="0"/>
          <w:color w:val="auto"/>
          <w:spacing w:val="0"/>
          <w:sz w:val="32"/>
          <w:szCs w:val="32"/>
          <w:shd w:val="clear" w:fill="FFFFFF"/>
          <w:lang w:val="en-US" w:eastAsia="zh-CN"/>
        </w:rPr>
        <w:t>政策：专门面向小微企业。</w:t>
      </w:r>
    </w:p>
    <w:p w14:paraId="2B699C77">
      <w:pPr>
        <w:pStyle w:val="27"/>
        <w:shd w:val="clear" w:color="auto" w:fill="FFFFFF"/>
        <w:spacing w:before="0" w:beforeAutospacing="0" w:after="0" w:afterAutospacing="0" w:line="336" w:lineRule="auto"/>
        <w:ind w:firstLine="420" w:firstLineChars="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3.本项目的特定资格要求：无</w:t>
      </w:r>
    </w:p>
    <w:p w14:paraId="5ED1DCE4">
      <w:pPr>
        <w:pStyle w:val="27"/>
        <w:shd w:val="clear" w:color="auto" w:fill="FFFFFF"/>
        <w:spacing w:before="0" w:beforeAutospacing="0" w:after="0" w:afterAutospacing="0" w:line="336" w:lineRule="auto"/>
        <w:jc w:val="both"/>
        <w:rPr>
          <w:rStyle w:val="33"/>
          <w:rFonts w:hint="eastAsia" w:ascii="仿宋_GB2312" w:hAnsi="仿宋_GB2312" w:eastAsia="仿宋_GB2312" w:cs="仿宋_GB2312"/>
          <w:color w:val="auto"/>
          <w:sz w:val="32"/>
          <w:szCs w:val="32"/>
          <w:highlight w:val="none"/>
          <w:shd w:val="clear" w:color="auto" w:fill="FFFFFF"/>
          <w:lang w:val="en-US" w:eastAsia="zh-CN"/>
        </w:rPr>
      </w:pPr>
      <w:r>
        <w:rPr>
          <w:rStyle w:val="33"/>
          <w:rFonts w:hint="eastAsia" w:ascii="仿宋_GB2312" w:hAnsi="仿宋_GB2312" w:eastAsia="仿宋_GB2312" w:cs="仿宋_GB2312"/>
          <w:color w:val="auto"/>
          <w:sz w:val="32"/>
          <w:szCs w:val="32"/>
          <w:highlight w:val="none"/>
          <w:shd w:val="clear" w:color="auto" w:fill="FFFFFF"/>
          <w:lang w:val="en-US" w:eastAsia="zh-CN"/>
        </w:rPr>
        <w:t>三、获取招标文件</w:t>
      </w:r>
    </w:p>
    <w:p w14:paraId="572BA2D5">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时间：2026年03月27日至 2026年04月03日</w:t>
      </w:r>
      <w:r>
        <w:rPr>
          <w:rFonts w:hint="eastAsia" w:ascii="仿宋_GB2312" w:hAnsi="仿宋_GB2312" w:eastAsia="仿宋_GB2312" w:cs="仿宋_GB2312"/>
          <w:i w:val="0"/>
          <w:iCs w:val="0"/>
          <w:caps w:val="0"/>
          <w:color w:val="auto"/>
          <w:spacing w:val="0"/>
          <w:sz w:val="32"/>
          <w:szCs w:val="32"/>
          <w:shd w:val="clear" w:fill="FFFFFF"/>
          <w:lang w:val="en-US" w:eastAsia="zh-CN"/>
        </w:rPr>
        <w:t>，每天上午10:00至14:00，下午15:30至19:30（法定节假日除外）</w:t>
      </w:r>
    </w:p>
    <w:p w14:paraId="319F32FA">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地点：政采云平台线上获取</w:t>
      </w:r>
    </w:p>
    <w:p w14:paraId="324B2366">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方式：供应商登录政采云平台https://www.zcygov.cn/在线申请获取采购文件（进入“项目采购”应用，在获取采购文件菜单中选择项目，申请获取采购文件）</w:t>
      </w:r>
    </w:p>
    <w:p w14:paraId="4D6767DA">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售价（元）：0</w:t>
      </w:r>
    </w:p>
    <w:p w14:paraId="3F1CE58B">
      <w:pPr>
        <w:pStyle w:val="27"/>
        <w:shd w:val="clear" w:color="auto" w:fill="FFFFFF"/>
        <w:spacing w:before="0" w:beforeAutospacing="0" w:after="0" w:afterAutospacing="0" w:line="336" w:lineRule="auto"/>
        <w:jc w:val="both"/>
        <w:rPr>
          <w:rStyle w:val="33"/>
          <w:rFonts w:hint="eastAsia" w:ascii="仿宋_GB2312" w:hAnsi="仿宋_GB2312" w:eastAsia="仿宋_GB2312" w:cs="仿宋_GB2312"/>
          <w:color w:val="auto"/>
          <w:sz w:val="32"/>
          <w:szCs w:val="32"/>
          <w:highlight w:val="none"/>
          <w:shd w:val="clear" w:color="auto" w:fill="FFFFFF"/>
          <w:lang w:val="en-US" w:eastAsia="zh-CN"/>
        </w:rPr>
      </w:pPr>
      <w:r>
        <w:rPr>
          <w:rStyle w:val="33"/>
          <w:rFonts w:hint="eastAsia" w:ascii="仿宋_GB2312" w:hAnsi="仿宋_GB2312" w:eastAsia="仿宋_GB2312" w:cs="仿宋_GB2312"/>
          <w:color w:val="auto"/>
          <w:sz w:val="32"/>
          <w:szCs w:val="32"/>
          <w:highlight w:val="none"/>
          <w:shd w:val="clear" w:color="auto" w:fill="FFFFFF"/>
          <w:lang w:val="en-US" w:eastAsia="zh-CN"/>
        </w:rPr>
        <w:t>四、提交投标文件截止时间、开标时间和地点</w:t>
      </w:r>
    </w:p>
    <w:p w14:paraId="16C2904D">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提交投标文件截止时</w:t>
      </w:r>
      <w:r>
        <w:rPr>
          <w:rFonts w:hint="eastAsia" w:ascii="仿宋_GB2312" w:hAnsi="仿宋_GB2312" w:eastAsia="仿宋_GB2312" w:cs="仿宋_GB2312"/>
          <w:i w:val="0"/>
          <w:iCs w:val="0"/>
          <w:caps w:val="0"/>
          <w:color w:val="auto"/>
          <w:spacing w:val="0"/>
          <w:sz w:val="32"/>
          <w:szCs w:val="32"/>
          <w:shd w:val="clear" w:fill="FFFFFF"/>
          <w:lang w:val="en-US" w:eastAsia="zh-CN"/>
        </w:rPr>
        <w:t>间：2026年04月17日</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11:00（北京时间）</w:t>
      </w:r>
    </w:p>
    <w:p w14:paraId="5493DA40">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投标地点：请登录政采云投标客户端投标</w:t>
      </w:r>
    </w:p>
    <w:p w14:paraId="3C786033">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开标时间：2026年04月17日</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11:00</w:t>
      </w:r>
    </w:p>
    <w:p w14:paraId="46991207">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开标地点：政采云平台（http://www.ccgp-xinjiang.gov.cn/home.html） </w:t>
      </w:r>
    </w:p>
    <w:p w14:paraId="0750B9A8">
      <w:pPr>
        <w:pStyle w:val="27"/>
        <w:shd w:val="clear" w:color="auto" w:fill="FFFFFF"/>
        <w:spacing w:before="0" w:beforeAutospacing="0" w:after="0" w:afterAutospacing="0" w:line="336" w:lineRule="auto"/>
        <w:jc w:val="both"/>
        <w:rPr>
          <w:rStyle w:val="33"/>
          <w:rFonts w:hint="eastAsia" w:ascii="仿宋_GB2312" w:hAnsi="仿宋_GB2312" w:eastAsia="仿宋_GB2312" w:cs="仿宋_GB2312"/>
          <w:color w:val="auto"/>
          <w:sz w:val="32"/>
          <w:szCs w:val="32"/>
          <w:highlight w:val="none"/>
          <w:shd w:val="clear" w:color="auto" w:fill="FFFFFF"/>
          <w:lang w:val="en-US" w:eastAsia="zh-CN"/>
        </w:rPr>
      </w:pPr>
      <w:r>
        <w:rPr>
          <w:rStyle w:val="33"/>
          <w:rFonts w:hint="eastAsia" w:ascii="仿宋_GB2312" w:hAnsi="仿宋_GB2312" w:eastAsia="仿宋_GB2312" w:cs="仿宋_GB2312"/>
          <w:color w:val="auto"/>
          <w:sz w:val="32"/>
          <w:szCs w:val="32"/>
          <w:highlight w:val="none"/>
          <w:shd w:val="clear" w:color="auto" w:fill="FFFFFF"/>
          <w:lang w:val="en-US" w:eastAsia="zh-CN"/>
        </w:rPr>
        <w:t>五、公告期限 </w:t>
      </w:r>
    </w:p>
    <w:p w14:paraId="203D774F">
      <w:pPr>
        <w:pStyle w:val="27"/>
        <w:keepNext w:val="0"/>
        <w:keepLines w:val="0"/>
        <w:pageBreakBefore w:val="0"/>
        <w:shd w:val="clear" w:color="auto" w:fill="FFFFFF"/>
        <w:kinsoku/>
        <w:overflowPunct/>
        <w:topLinePunct w:val="0"/>
        <w:autoSpaceDE/>
        <w:autoSpaceDN/>
        <w:bidi w:val="0"/>
        <w:adjustRightInd/>
        <w:spacing w:before="0" w:beforeAutospacing="0" w:after="0" w:afterAutospacing="0" w:line="460" w:lineRule="exact"/>
        <w:ind w:left="315" w:leftChars="15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自本公告发布之日起5个工作日。</w:t>
      </w:r>
    </w:p>
    <w:p w14:paraId="376BDDBE">
      <w:pPr>
        <w:pStyle w:val="27"/>
        <w:shd w:val="clear" w:color="auto" w:fill="FFFFFF"/>
        <w:spacing w:before="0" w:beforeAutospacing="0" w:after="0" w:afterAutospacing="0" w:line="336" w:lineRule="auto"/>
        <w:jc w:val="both"/>
        <w:rPr>
          <w:rStyle w:val="33"/>
          <w:rFonts w:hint="eastAsia" w:ascii="仿宋_GB2312" w:hAnsi="仿宋_GB2312" w:eastAsia="仿宋_GB2312" w:cs="仿宋_GB2312"/>
          <w:color w:val="auto"/>
          <w:sz w:val="32"/>
          <w:szCs w:val="32"/>
          <w:highlight w:val="none"/>
          <w:shd w:val="clear" w:color="auto" w:fill="FFFFFF"/>
          <w:lang w:val="en-US" w:eastAsia="zh-CN"/>
        </w:rPr>
      </w:pPr>
      <w:r>
        <w:rPr>
          <w:rStyle w:val="33"/>
          <w:rFonts w:hint="eastAsia" w:ascii="仿宋_GB2312" w:hAnsi="仿宋_GB2312" w:eastAsia="仿宋_GB2312" w:cs="仿宋_GB2312"/>
          <w:color w:val="auto"/>
          <w:sz w:val="32"/>
          <w:szCs w:val="32"/>
          <w:highlight w:val="none"/>
          <w:shd w:val="clear" w:color="auto" w:fill="FFFFFF"/>
          <w:lang w:val="en-US" w:eastAsia="zh-CN"/>
        </w:rPr>
        <w:t>六、其他补充事宜 </w:t>
      </w:r>
    </w:p>
    <w:p w14:paraId="1272882F">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40221379">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ab/>
      </w:r>
      <w:r>
        <w:rPr>
          <w:rFonts w:hint="eastAsia" w:ascii="仿宋_GB2312" w:hAnsi="仿宋_GB2312" w:eastAsia="仿宋_GB2312" w:cs="仿宋_GB2312"/>
          <w:i w:val="0"/>
          <w:iCs w:val="0"/>
          <w:caps w:val="0"/>
          <w:spacing w:val="0"/>
          <w:sz w:val="32"/>
          <w:szCs w:val="32"/>
          <w:shd w:val="clear" w:fill="FFFFFF"/>
          <w:lang w:val="en-US" w:eastAsia="zh-CN"/>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37EADB89">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ab/>
      </w:r>
      <w:r>
        <w:rPr>
          <w:rFonts w:hint="eastAsia" w:ascii="仿宋_GB2312" w:hAnsi="仿宋_GB2312" w:eastAsia="仿宋_GB2312" w:cs="仿宋_GB2312"/>
          <w:i w:val="0"/>
          <w:iCs w:val="0"/>
          <w:caps w:val="0"/>
          <w:spacing w:val="0"/>
          <w:sz w:val="32"/>
          <w:szCs w:val="32"/>
          <w:shd w:val="clear" w:fill="FFFFFF"/>
          <w:lang w:val="en-US" w:eastAsia="zh-CN"/>
        </w:rPr>
        <w:t>3、供应商应当在投标截止时间前，将“电子招投标供应商客户端”生成的“电子加密投标文件”上传电子交易平台。</w:t>
      </w:r>
    </w:p>
    <w:p w14:paraId="62B13194">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ab/>
      </w:r>
      <w:r>
        <w:rPr>
          <w:rFonts w:hint="eastAsia" w:ascii="仿宋_GB2312" w:hAnsi="仿宋_GB2312" w:eastAsia="仿宋_GB2312" w:cs="仿宋_GB2312"/>
          <w:i w:val="0"/>
          <w:iCs w:val="0"/>
          <w:caps w:val="0"/>
          <w:spacing w:val="0"/>
          <w:sz w:val="32"/>
          <w:szCs w:val="32"/>
          <w:shd w:val="clear" w:fill="FFFFFF"/>
          <w:lang w:val="en-US" w:eastAsia="zh-CN"/>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0EEABD1D">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b/>
          <w:bCs/>
          <w:i w:val="0"/>
          <w:iCs w:val="0"/>
          <w:caps w:val="0"/>
          <w:spacing w:val="0"/>
          <w:sz w:val="32"/>
          <w:szCs w:val="32"/>
          <w:shd w:val="clear" w:fill="FFFFFF"/>
          <w:lang w:val="zh-CN" w:eastAsia="zh-CN"/>
        </w:rPr>
      </w:pPr>
      <w:r>
        <w:rPr>
          <w:rFonts w:hint="eastAsia" w:ascii="仿宋_GB2312" w:hAnsi="仿宋_GB2312" w:eastAsia="仿宋_GB2312" w:cs="仿宋_GB2312"/>
          <w:b/>
          <w:bCs/>
          <w:i w:val="0"/>
          <w:iCs w:val="0"/>
          <w:caps w:val="0"/>
          <w:spacing w:val="0"/>
          <w:sz w:val="32"/>
          <w:szCs w:val="32"/>
          <w:shd w:val="clear" w:fill="FFFFFF"/>
          <w:lang w:val="zh-CN" w:eastAsia="zh-CN"/>
        </w:rPr>
        <w:t>特别提示：</w:t>
      </w:r>
    </w:p>
    <w:p w14:paraId="58425700">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b/>
          <w:bCs/>
          <w:i w:val="0"/>
          <w:iCs w:val="0"/>
          <w:caps w:val="0"/>
          <w:spacing w:val="0"/>
          <w:sz w:val="32"/>
          <w:szCs w:val="32"/>
          <w:shd w:val="clear" w:fill="FFFFFF"/>
          <w:lang w:val="zh-CN" w:eastAsia="zh-CN"/>
        </w:rPr>
      </w:pPr>
      <w:r>
        <w:rPr>
          <w:rFonts w:hint="eastAsia" w:ascii="仿宋_GB2312" w:hAnsi="仿宋_GB2312" w:eastAsia="仿宋_GB2312" w:cs="仿宋_GB2312"/>
          <w:b/>
          <w:bCs/>
          <w:i w:val="0"/>
          <w:iCs w:val="0"/>
          <w:caps w:val="0"/>
          <w:spacing w:val="0"/>
          <w:sz w:val="32"/>
          <w:szCs w:val="32"/>
          <w:shd w:val="clear" w:fill="FFFFFF"/>
          <w:lang w:val="zh-CN"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6FF8A00B">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b/>
          <w:bCs/>
          <w:i w:val="0"/>
          <w:iCs w:val="0"/>
          <w:caps w:val="0"/>
          <w:spacing w:val="0"/>
          <w:sz w:val="32"/>
          <w:szCs w:val="32"/>
          <w:shd w:val="clear" w:fill="FFFFFF"/>
          <w:lang w:val="zh-CN" w:eastAsia="zh-CN"/>
        </w:rPr>
      </w:pPr>
      <w:r>
        <w:rPr>
          <w:rFonts w:hint="eastAsia" w:ascii="仿宋_GB2312" w:hAnsi="仿宋_GB2312" w:eastAsia="仿宋_GB2312" w:cs="仿宋_GB2312"/>
          <w:b/>
          <w:bCs/>
          <w:i w:val="0"/>
          <w:iCs w:val="0"/>
          <w:caps w:val="0"/>
          <w:spacing w:val="0"/>
          <w:sz w:val="32"/>
          <w:szCs w:val="32"/>
          <w:shd w:val="clear" w:fill="FFFFFF"/>
          <w:lang w:val="zh-CN"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DCA20C7">
      <w:pPr>
        <w:pStyle w:val="27"/>
        <w:shd w:val="clear" w:color="auto" w:fill="FFFFFF"/>
        <w:spacing w:before="0" w:beforeAutospacing="0" w:after="0" w:afterAutospacing="0" w:line="336" w:lineRule="auto"/>
        <w:ind w:firstLine="420" w:firstLineChars="0"/>
        <w:rPr>
          <w:rFonts w:hint="eastAsia" w:ascii="仿宋_GB2312" w:hAnsi="仿宋_GB2312" w:eastAsia="仿宋_GB2312" w:cs="仿宋_GB2312"/>
          <w:b/>
          <w:bCs/>
          <w:i w:val="0"/>
          <w:iCs w:val="0"/>
          <w:caps w:val="0"/>
          <w:spacing w:val="0"/>
          <w:sz w:val="32"/>
          <w:szCs w:val="32"/>
          <w:shd w:val="clear" w:fill="FFFFFF"/>
          <w:lang w:val="zh-CN" w:eastAsia="zh-CN"/>
        </w:rPr>
      </w:pPr>
      <w:r>
        <w:rPr>
          <w:rFonts w:hint="eastAsia" w:ascii="仿宋_GB2312" w:hAnsi="仿宋_GB2312" w:eastAsia="仿宋_GB2312" w:cs="仿宋_GB2312"/>
          <w:b/>
          <w:bCs/>
          <w:i w:val="0"/>
          <w:iCs w:val="0"/>
          <w:caps w:val="0"/>
          <w:spacing w:val="0"/>
          <w:sz w:val="32"/>
          <w:szCs w:val="32"/>
          <w:shd w:val="clear" w:fill="FFFFFF"/>
          <w:lang w:val="zh-CN"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57CE912">
      <w:pPr>
        <w:pStyle w:val="27"/>
        <w:shd w:val="clear" w:color="auto" w:fill="FFFFFF"/>
        <w:spacing w:before="0" w:beforeAutospacing="0" w:after="0" w:afterAutospacing="0" w:line="336" w:lineRule="auto"/>
        <w:jc w:val="both"/>
        <w:rPr>
          <w:rStyle w:val="33"/>
          <w:rFonts w:hint="eastAsia" w:ascii="仿宋_GB2312" w:hAnsi="仿宋_GB2312" w:eastAsia="仿宋_GB2312" w:cs="仿宋_GB2312"/>
          <w:color w:val="auto"/>
          <w:sz w:val="32"/>
          <w:szCs w:val="32"/>
          <w:highlight w:val="none"/>
          <w:shd w:val="clear" w:color="auto" w:fill="FFFFFF"/>
          <w:lang w:val="en-US" w:eastAsia="zh-CN"/>
        </w:rPr>
      </w:pPr>
      <w:r>
        <w:rPr>
          <w:rStyle w:val="33"/>
          <w:rFonts w:hint="eastAsia" w:ascii="仿宋_GB2312" w:hAnsi="仿宋_GB2312" w:eastAsia="仿宋_GB2312" w:cs="仿宋_GB2312"/>
          <w:color w:val="auto"/>
          <w:sz w:val="32"/>
          <w:szCs w:val="32"/>
          <w:highlight w:val="none"/>
          <w:shd w:val="clear" w:color="auto" w:fill="FFFFFF"/>
          <w:lang w:val="en-US" w:eastAsia="zh-CN"/>
        </w:rPr>
        <w:t>七、凡对本次招标提出询问，请按以下方式联系</w:t>
      </w:r>
    </w:p>
    <w:p w14:paraId="4B102961">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1.采购人信息</w:t>
      </w:r>
    </w:p>
    <w:p w14:paraId="7BC75483">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名 称：</w:t>
      </w:r>
      <w:r>
        <w:rPr>
          <w:rFonts w:hint="eastAsia" w:ascii="仿宋_GB2312" w:hAnsi="仿宋_GB2312" w:eastAsia="仿宋_GB2312" w:cs="仿宋_GB2312"/>
          <w:color w:val="000000" w:themeColor="text1"/>
          <w:sz w:val="32"/>
          <w:szCs w:val="32"/>
          <w:highlight w:val="none"/>
          <w:shd w:val="clear" w:color="auto" w:fill="FFFFFF"/>
          <w:lang w:val="zh-CN" w:eastAsia="zh-CN"/>
          <w14:textFill>
            <w14:solidFill>
              <w14:schemeClr w14:val="tx1"/>
            </w14:solidFill>
          </w14:textFill>
        </w:rPr>
        <w:t>伊犁哈萨克自治州友谊医院</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w:t>
      </w:r>
    </w:p>
    <w:p w14:paraId="5D150976">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地址：</w:t>
      </w:r>
      <w:r>
        <w:rPr>
          <w:rFonts w:hint="eastAsia" w:ascii="仿宋_GB2312" w:hAnsi="仿宋_GB2312" w:eastAsia="仿宋_GB2312" w:cs="仿宋_GB2312"/>
          <w:color w:val="000000" w:themeColor="text1"/>
          <w:sz w:val="32"/>
          <w:szCs w:val="32"/>
          <w:highlight w:val="none"/>
          <w:shd w:val="clear" w:color="auto" w:fill="FFFFFF"/>
          <w:lang w:val="zh-CN" w:eastAsia="zh-CN"/>
          <w14:textFill>
            <w14:solidFill>
              <w14:schemeClr w14:val="tx1"/>
            </w14:solidFill>
          </w14:textFill>
        </w:rPr>
        <w:t>伊宁市斯大林街92号、重庆路58号　　　</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w:t>
      </w:r>
    </w:p>
    <w:p w14:paraId="4B408076">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联系方式：</w:t>
      </w:r>
      <w:r>
        <w:rPr>
          <w:rFonts w:hint="eastAsia" w:ascii="仿宋_GB2312" w:hAnsi="仿宋_GB2312" w:eastAsia="仿宋_GB2312" w:cs="仿宋_GB2312"/>
          <w:color w:val="000000" w:themeColor="text1"/>
          <w:sz w:val="32"/>
          <w:szCs w:val="32"/>
          <w:highlight w:val="none"/>
          <w:shd w:val="clear" w:color="auto" w:fill="FFFFFF"/>
          <w:lang w:val="zh-CN" w:eastAsia="zh-CN"/>
          <w14:textFill>
            <w14:solidFill>
              <w14:schemeClr w14:val="tx1"/>
            </w14:solidFill>
          </w14:textFill>
        </w:rPr>
        <w:t>0999-8096866　</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　　　　　　　　 </w:t>
      </w:r>
      <w:bookmarkStart w:id="2" w:name="_Toc28359009"/>
      <w:bookmarkStart w:id="3" w:name="_Toc28359086"/>
    </w:p>
    <w:p w14:paraId="3EB778DE">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2.采购代理机构信息</w:t>
      </w:r>
      <w:bookmarkEnd w:id="2"/>
      <w:bookmarkEnd w:id="3"/>
    </w:p>
    <w:p w14:paraId="13D0E929">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名 称：新疆金斌工程项目管理有限公司　　　　　　　　　　　　</w:t>
      </w:r>
    </w:p>
    <w:p w14:paraId="0AA52509">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地　址：伊宁市福安国际1号商业楼413室　　　　　　　　　　　　</w:t>
      </w:r>
    </w:p>
    <w:p w14:paraId="1FF8B372">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联系方式：</w:t>
      </w:r>
      <w:bookmarkStart w:id="4" w:name="_Toc28359087"/>
      <w:bookmarkStart w:id="5" w:name="_Toc28359010"/>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13201118511　　　　　　　　　　　　</w:t>
      </w:r>
    </w:p>
    <w:p w14:paraId="16D1CD12">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3.项目联系方式</w:t>
      </w:r>
      <w:bookmarkEnd w:id="4"/>
      <w:bookmarkEnd w:id="5"/>
    </w:p>
    <w:p w14:paraId="3A38413B">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项目联系人：黄新新</w:t>
      </w:r>
    </w:p>
    <w:p w14:paraId="4E7244DE">
      <w:pPr>
        <w:pStyle w:val="27"/>
        <w:shd w:val="clear" w:color="auto" w:fill="FFFFFF"/>
        <w:spacing w:before="0" w:beforeAutospacing="0" w:after="0" w:afterAutospacing="0" w:line="336" w:lineRule="auto"/>
        <w:ind w:left="479" w:leftChars="228" w:firstLine="0" w:firstLineChars="0"/>
        <w:jc w:val="both"/>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电　话：13201118511　</w:t>
      </w:r>
    </w:p>
    <w:p w14:paraId="1EDBA7B4">
      <w:pPr>
        <w:pStyle w:val="28"/>
        <w:pageBreakBefore w:val="0"/>
        <w:bidi w:val="0"/>
        <w:spacing w:line="360" w:lineRule="auto"/>
        <w:jc w:val="center"/>
        <w:rPr>
          <w:rFonts w:hint="eastAsia" w:ascii="仿宋" w:hAnsi="仿宋" w:eastAsia="仿宋" w:cs="仿宋"/>
          <w:b/>
          <w:snapToGrid w:val="0"/>
          <w:color w:val="auto"/>
          <w:kern w:val="2"/>
          <w:sz w:val="44"/>
          <w:szCs w:val="44"/>
          <w:highlight w:val="none"/>
          <w:lang w:val="en-US" w:eastAsia="zh-CN" w:bidi="ar-SA"/>
        </w:rPr>
      </w:pPr>
    </w:p>
    <w:p w14:paraId="09603E40">
      <w:pPr>
        <w:rPr>
          <w:rFonts w:hint="eastAsia" w:ascii="仿宋" w:hAnsi="仿宋" w:eastAsia="仿宋" w:cs="仿宋"/>
          <w:b/>
          <w:snapToGrid w:val="0"/>
          <w:color w:val="auto"/>
          <w:kern w:val="2"/>
          <w:sz w:val="44"/>
          <w:szCs w:val="44"/>
          <w:highlight w:val="none"/>
          <w:lang w:val="en-US" w:eastAsia="zh-CN" w:bidi="ar-SA"/>
        </w:rPr>
      </w:pPr>
    </w:p>
    <w:p w14:paraId="5ACCF562">
      <w:pPr>
        <w:rPr>
          <w:rFonts w:hint="eastAsia" w:ascii="仿宋" w:hAnsi="仿宋" w:eastAsia="仿宋" w:cs="仿宋"/>
          <w:b/>
          <w:snapToGrid w:val="0"/>
          <w:color w:val="auto"/>
          <w:kern w:val="2"/>
          <w:sz w:val="44"/>
          <w:szCs w:val="44"/>
          <w:highlight w:val="none"/>
          <w:lang w:val="en-US" w:eastAsia="zh-CN" w:bidi="ar-SA"/>
        </w:rPr>
      </w:pPr>
    </w:p>
    <w:p w14:paraId="73472FF1">
      <w:pPr>
        <w:rPr>
          <w:rFonts w:hint="eastAsia" w:ascii="仿宋" w:hAnsi="仿宋" w:eastAsia="仿宋" w:cs="仿宋"/>
          <w:b/>
          <w:snapToGrid w:val="0"/>
          <w:color w:val="auto"/>
          <w:kern w:val="2"/>
          <w:sz w:val="44"/>
          <w:szCs w:val="44"/>
          <w:highlight w:val="none"/>
          <w:lang w:val="en-US" w:eastAsia="zh-CN" w:bidi="ar-SA"/>
        </w:rPr>
      </w:pPr>
    </w:p>
    <w:p w14:paraId="1B7156CC">
      <w:pPr>
        <w:rPr>
          <w:rFonts w:hint="eastAsia" w:ascii="仿宋" w:hAnsi="仿宋" w:eastAsia="仿宋" w:cs="仿宋"/>
          <w:b/>
          <w:snapToGrid w:val="0"/>
          <w:color w:val="auto"/>
          <w:kern w:val="2"/>
          <w:sz w:val="44"/>
          <w:szCs w:val="44"/>
          <w:highlight w:val="none"/>
          <w:lang w:val="en-US" w:eastAsia="zh-CN" w:bidi="ar-SA"/>
        </w:rPr>
      </w:pPr>
    </w:p>
    <w:p w14:paraId="797CFEA9">
      <w:pPr>
        <w:rPr>
          <w:rFonts w:hint="eastAsia" w:ascii="仿宋" w:hAnsi="仿宋" w:eastAsia="仿宋" w:cs="仿宋"/>
          <w:b/>
          <w:snapToGrid w:val="0"/>
          <w:color w:val="auto"/>
          <w:kern w:val="2"/>
          <w:sz w:val="44"/>
          <w:szCs w:val="44"/>
          <w:highlight w:val="none"/>
          <w:lang w:val="en-US" w:eastAsia="zh-CN" w:bidi="ar-SA"/>
        </w:rPr>
      </w:pPr>
    </w:p>
    <w:p w14:paraId="0CBD88AA">
      <w:pPr>
        <w:rPr>
          <w:rFonts w:hint="eastAsia" w:ascii="仿宋" w:hAnsi="仿宋" w:eastAsia="仿宋" w:cs="仿宋"/>
          <w:b/>
          <w:snapToGrid w:val="0"/>
          <w:color w:val="auto"/>
          <w:kern w:val="2"/>
          <w:sz w:val="44"/>
          <w:szCs w:val="44"/>
          <w:highlight w:val="none"/>
          <w:lang w:val="en-US" w:eastAsia="zh-CN" w:bidi="ar-SA"/>
        </w:rPr>
      </w:pPr>
    </w:p>
    <w:p w14:paraId="174CA3E8">
      <w:pPr>
        <w:pStyle w:val="28"/>
        <w:pageBreakBefore w:val="0"/>
        <w:bidi w:val="0"/>
        <w:spacing w:line="360" w:lineRule="auto"/>
        <w:jc w:val="center"/>
        <w:rPr>
          <w:rFonts w:hint="eastAsia" w:ascii="方正小标宋_GBK" w:hAnsi="方正小标宋_GBK" w:eastAsia="方正小标宋_GBK" w:cs="方正小标宋_GBK"/>
          <w:b w:val="0"/>
          <w:bCs w:val="0"/>
          <w:snapToGrid/>
          <w:kern w:val="2"/>
          <w:sz w:val="32"/>
          <w:szCs w:val="32"/>
          <w:lang w:val="en-US" w:eastAsia="zh-CN" w:bidi="ar-SA"/>
        </w:rPr>
      </w:pPr>
      <w:r>
        <w:rPr>
          <w:rFonts w:hint="eastAsia" w:ascii="方正小标宋_GBK" w:hAnsi="方正小标宋_GBK" w:eastAsia="方正小标宋_GBK" w:cs="方正小标宋_GBK"/>
          <w:b w:val="0"/>
          <w:bCs w:val="0"/>
          <w:snapToGrid/>
          <w:kern w:val="2"/>
          <w:sz w:val="32"/>
          <w:szCs w:val="32"/>
          <w:lang w:val="en-US" w:eastAsia="zh-CN" w:bidi="ar-SA"/>
        </w:rPr>
        <w:t xml:space="preserve">第二章 </w:t>
      </w:r>
      <w:bookmarkStart w:id="6" w:name="_Toc5345_WPSOffice_Level1"/>
      <w:r>
        <w:rPr>
          <w:rFonts w:hint="eastAsia" w:ascii="方正小标宋_GBK" w:hAnsi="方正小标宋_GBK" w:eastAsia="方正小标宋_GBK" w:cs="方正小标宋_GBK"/>
          <w:b w:val="0"/>
          <w:bCs w:val="0"/>
          <w:snapToGrid/>
          <w:kern w:val="2"/>
          <w:sz w:val="32"/>
          <w:szCs w:val="32"/>
          <w:lang w:val="en-US" w:eastAsia="zh-CN" w:bidi="ar-SA"/>
        </w:rPr>
        <w:t>投标须知前附表</w:t>
      </w:r>
      <w:bookmarkEnd w:id="1"/>
      <w:bookmarkEnd w:id="6"/>
    </w:p>
    <w:tbl>
      <w:tblPr>
        <w:tblStyle w:val="30"/>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937"/>
        <w:gridCol w:w="1281"/>
        <w:gridCol w:w="2183"/>
        <w:gridCol w:w="1889"/>
        <w:gridCol w:w="2497"/>
      </w:tblGrid>
      <w:tr w14:paraId="044DA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Align w:val="center"/>
          </w:tcPr>
          <w:p w14:paraId="59FC75BB">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序号</w:t>
            </w:r>
          </w:p>
        </w:tc>
        <w:tc>
          <w:tcPr>
            <w:tcW w:w="1937" w:type="dxa"/>
            <w:vAlign w:val="center"/>
          </w:tcPr>
          <w:p w14:paraId="0F161E75">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条款名称</w:t>
            </w:r>
          </w:p>
        </w:tc>
        <w:tc>
          <w:tcPr>
            <w:tcW w:w="7850" w:type="dxa"/>
            <w:gridSpan w:val="4"/>
            <w:tcBorders>
              <w:bottom w:val="single" w:color="auto" w:sz="4" w:space="0"/>
            </w:tcBorders>
            <w:vAlign w:val="center"/>
          </w:tcPr>
          <w:p w14:paraId="2A4BF9B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内容</w:t>
            </w:r>
          </w:p>
        </w:tc>
      </w:tr>
      <w:tr w14:paraId="4A32C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746" w:type="dxa"/>
            <w:vMerge w:val="restart"/>
            <w:vAlign w:val="center"/>
          </w:tcPr>
          <w:p w14:paraId="014E58D6">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w:t>
            </w:r>
          </w:p>
        </w:tc>
        <w:tc>
          <w:tcPr>
            <w:tcW w:w="1937" w:type="dxa"/>
            <w:vMerge w:val="restart"/>
            <w:vAlign w:val="center"/>
          </w:tcPr>
          <w:p w14:paraId="0EA4992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项目名称</w:t>
            </w:r>
          </w:p>
        </w:tc>
        <w:tc>
          <w:tcPr>
            <w:tcW w:w="1281" w:type="dxa"/>
            <w:tcBorders>
              <w:top w:val="single" w:color="auto" w:sz="4" w:space="0"/>
              <w:bottom w:val="single" w:color="auto" w:sz="4" w:space="0"/>
              <w:right w:val="single" w:color="auto" w:sz="4" w:space="0"/>
            </w:tcBorders>
            <w:vAlign w:val="center"/>
          </w:tcPr>
          <w:p w14:paraId="20FD9A2C">
            <w:pPr>
              <w:keepNext w:val="0"/>
              <w:keepLines w:val="0"/>
              <w:pageBreakBefore w:val="0"/>
              <w:kinsoku/>
              <w:topLinePunct w:val="0"/>
              <w:autoSpaceDE w:val="0"/>
              <w:autoSpaceDN w:val="0"/>
              <w:bidi w:val="0"/>
              <w:adjustRightInd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名称</w:t>
            </w:r>
          </w:p>
        </w:tc>
        <w:tc>
          <w:tcPr>
            <w:tcW w:w="6569" w:type="dxa"/>
            <w:gridSpan w:val="3"/>
            <w:tcBorders>
              <w:top w:val="single" w:color="auto" w:sz="4" w:space="0"/>
              <w:left w:val="single" w:color="auto" w:sz="4" w:space="0"/>
              <w:bottom w:val="single" w:color="auto" w:sz="4" w:space="0"/>
            </w:tcBorders>
            <w:vAlign w:val="center"/>
          </w:tcPr>
          <w:p w14:paraId="04158A3C">
            <w:pPr>
              <w:keepNext w:val="0"/>
              <w:keepLines w:val="0"/>
              <w:pageBreakBefore w:val="0"/>
              <w:kinsoku/>
              <w:topLinePunct w:val="0"/>
              <w:autoSpaceDE w:val="0"/>
              <w:autoSpaceDN w:val="0"/>
              <w:bidi w:val="0"/>
              <w:adjustRightInd w:val="0"/>
              <w:spacing w:line="500" w:lineRule="exact"/>
              <w:jc w:val="left"/>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lang w:eastAsia="zh-CN"/>
              </w:rPr>
              <w:t>2026年伊犁州友谊医院直线加速器和模拟CT维保服务项目</w:t>
            </w:r>
          </w:p>
        </w:tc>
      </w:tr>
      <w:tr w14:paraId="621AD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vAlign w:val="center"/>
          </w:tcPr>
          <w:p w14:paraId="484372C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6341D870">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right w:val="single" w:color="auto" w:sz="4" w:space="0"/>
            </w:tcBorders>
            <w:vAlign w:val="center"/>
          </w:tcPr>
          <w:p w14:paraId="4D13E6D9">
            <w:pPr>
              <w:keepNext w:val="0"/>
              <w:keepLines w:val="0"/>
              <w:pageBreakBefore w:val="0"/>
              <w:kinsoku/>
              <w:topLinePunct w:val="0"/>
              <w:autoSpaceDE w:val="0"/>
              <w:autoSpaceDN w:val="0"/>
              <w:bidi w:val="0"/>
              <w:adjustRightInd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编号</w:t>
            </w:r>
          </w:p>
        </w:tc>
        <w:tc>
          <w:tcPr>
            <w:tcW w:w="6569" w:type="dxa"/>
            <w:gridSpan w:val="3"/>
            <w:tcBorders>
              <w:top w:val="single" w:color="auto" w:sz="4" w:space="0"/>
              <w:left w:val="single" w:color="auto" w:sz="4" w:space="0"/>
            </w:tcBorders>
            <w:vAlign w:val="center"/>
          </w:tcPr>
          <w:p w14:paraId="3B1BCB4E">
            <w:pPr>
              <w:pageBreakBefore w:val="0"/>
              <w:autoSpaceDE w:val="0"/>
              <w:autoSpaceDN w:val="0"/>
              <w:bidi w:val="0"/>
              <w:adjustRightInd w:val="0"/>
              <w:spacing w:line="360" w:lineRule="auto"/>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XJJB-2026-035</w:t>
            </w:r>
          </w:p>
        </w:tc>
      </w:tr>
      <w:tr w14:paraId="00656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46" w:type="dxa"/>
            <w:vMerge w:val="restart"/>
            <w:vAlign w:val="center"/>
          </w:tcPr>
          <w:p w14:paraId="4632466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2</w:t>
            </w:r>
          </w:p>
        </w:tc>
        <w:tc>
          <w:tcPr>
            <w:tcW w:w="1937" w:type="dxa"/>
            <w:vMerge w:val="restart"/>
            <w:vAlign w:val="center"/>
          </w:tcPr>
          <w:p w14:paraId="544ED86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采购人</w:t>
            </w:r>
          </w:p>
        </w:tc>
        <w:tc>
          <w:tcPr>
            <w:tcW w:w="1281" w:type="dxa"/>
            <w:tcBorders>
              <w:bottom w:val="single" w:color="auto" w:sz="4" w:space="0"/>
              <w:right w:val="single" w:color="auto" w:sz="4" w:space="0"/>
            </w:tcBorders>
            <w:vAlign w:val="center"/>
          </w:tcPr>
          <w:p w14:paraId="30F6D6A2">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名称</w:t>
            </w:r>
          </w:p>
        </w:tc>
        <w:tc>
          <w:tcPr>
            <w:tcW w:w="6569" w:type="dxa"/>
            <w:gridSpan w:val="3"/>
            <w:tcBorders>
              <w:left w:val="single" w:color="auto" w:sz="4" w:space="0"/>
              <w:bottom w:val="single" w:color="auto" w:sz="4" w:space="0"/>
            </w:tcBorders>
            <w:vAlign w:val="center"/>
          </w:tcPr>
          <w:p w14:paraId="49C73532">
            <w:pPr>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zh-CN"/>
              </w:rPr>
              <w:t>伊犁哈萨克自治州友谊医院</w:t>
            </w:r>
          </w:p>
        </w:tc>
      </w:tr>
      <w:tr w14:paraId="31712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Merge w:val="continue"/>
            <w:vAlign w:val="center"/>
          </w:tcPr>
          <w:p w14:paraId="4FEF6AF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43731B5B">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bottom w:val="single" w:color="auto" w:sz="4" w:space="0"/>
              <w:right w:val="single" w:color="auto" w:sz="4" w:space="0"/>
            </w:tcBorders>
            <w:vAlign w:val="center"/>
          </w:tcPr>
          <w:p w14:paraId="11C1E3D9">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联系人</w:t>
            </w:r>
          </w:p>
        </w:tc>
        <w:tc>
          <w:tcPr>
            <w:tcW w:w="2183" w:type="dxa"/>
            <w:tcBorders>
              <w:top w:val="single" w:color="auto" w:sz="4" w:space="0"/>
              <w:left w:val="single" w:color="auto" w:sz="4" w:space="0"/>
              <w:bottom w:val="single" w:color="auto" w:sz="4" w:space="0"/>
              <w:right w:val="single" w:color="auto" w:sz="4" w:space="0"/>
            </w:tcBorders>
            <w:vAlign w:val="center"/>
          </w:tcPr>
          <w:p w14:paraId="66D60EBB">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松哈尔</w:t>
            </w:r>
          </w:p>
        </w:tc>
        <w:tc>
          <w:tcPr>
            <w:tcW w:w="1889" w:type="dxa"/>
            <w:tcBorders>
              <w:top w:val="single" w:color="auto" w:sz="4" w:space="0"/>
              <w:left w:val="single" w:color="auto" w:sz="4" w:space="0"/>
              <w:bottom w:val="single" w:color="auto" w:sz="4" w:space="0"/>
              <w:right w:val="single" w:color="auto" w:sz="4" w:space="0"/>
            </w:tcBorders>
            <w:vAlign w:val="center"/>
          </w:tcPr>
          <w:p w14:paraId="5C0BC9E2">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联系电话</w:t>
            </w:r>
          </w:p>
        </w:tc>
        <w:tc>
          <w:tcPr>
            <w:tcW w:w="2497" w:type="dxa"/>
            <w:tcBorders>
              <w:top w:val="single" w:color="auto" w:sz="4" w:space="0"/>
              <w:left w:val="single" w:color="auto" w:sz="4" w:space="0"/>
              <w:bottom w:val="single" w:color="auto" w:sz="4" w:space="0"/>
            </w:tcBorders>
            <w:vAlign w:val="center"/>
          </w:tcPr>
          <w:p w14:paraId="5DDB337C">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0999-8096866</w:t>
            </w:r>
          </w:p>
        </w:tc>
      </w:tr>
      <w:tr w14:paraId="1E936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6" w:type="dxa"/>
            <w:vMerge w:val="continue"/>
            <w:vAlign w:val="center"/>
          </w:tcPr>
          <w:p w14:paraId="595E269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6DD7593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right w:val="single" w:color="auto" w:sz="4" w:space="0"/>
            </w:tcBorders>
            <w:vAlign w:val="center"/>
          </w:tcPr>
          <w:p w14:paraId="52D69C1E">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地址</w:t>
            </w:r>
          </w:p>
        </w:tc>
        <w:tc>
          <w:tcPr>
            <w:tcW w:w="6569" w:type="dxa"/>
            <w:gridSpan w:val="3"/>
            <w:tcBorders>
              <w:top w:val="single" w:color="auto" w:sz="4" w:space="0"/>
              <w:left w:val="single" w:color="auto" w:sz="4" w:space="0"/>
            </w:tcBorders>
            <w:vAlign w:val="center"/>
          </w:tcPr>
          <w:p w14:paraId="7E74B886">
            <w:pPr>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u w:val="none"/>
                <w:lang w:val="zh-CN" w:eastAsia="zh-CN"/>
              </w:rPr>
              <w:t>伊宁市斯大林街92号、重庆路58号　</w:t>
            </w:r>
          </w:p>
        </w:tc>
      </w:tr>
      <w:tr w14:paraId="6FF4F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restart"/>
            <w:vAlign w:val="center"/>
          </w:tcPr>
          <w:p w14:paraId="6FB2BF3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3</w:t>
            </w:r>
          </w:p>
        </w:tc>
        <w:tc>
          <w:tcPr>
            <w:tcW w:w="1937" w:type="dxa"/>
            <w:vMerge w:val="restart"/>
            <w:vAlign w:val="center"/>
          </w:tcPr>
          <w:p w14:paraId="477F16CF">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采购代理</w:t>
            </w:r>
          </w:p>
          <w:p w14:paraId="63AA7A0D">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机构</w:t>
            </w:r>
          </w:p>
        </w:tc>
        <w:tc>
          <w:tcPr>
            <w:tcW w:w="1281" w:type="dxa"/>
            <w:tcBorders>
              <w:bottom w:val="single" w:color="auto" w:sz="4" w:space="0"/>
              <w:right w:val="single" w:color="auto" w:sz="4" w:space="0"/>
            </w:tcBorders>
            <w:vAlign w:val="center"/>
          </w:tcPr>
          <w:p w14:paraId="46488B60">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名称</w:t>
            </w:r>
          </w:p>
        </w:tc>
        <w:tc>
          <w:tcPr>
            <w:tcW w:w="6569" w:type="dxa"/>
            <w:gridSpan w:val="3"/>
            <w:tcBorders>
              <w:left w:val="single" w:color="auto" w:sz="4" w:space="0"/>
              <w:bottom w:val="single" w:color="auto" w:sz="4" w:space="0"/>
            </w:tcBorders>
            <w:vAlign w:val="center"/>
          </w:tcPr>
          <w:p w14:paraId="75CF8DFB">
            <w:pPr>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u w:val="none"/>
                <w:lang w:val="zh-CN" w:eastAsia="zh-CN"/>
              </w:rPr>
              <w:t>新疆金斌工程项目管理有限公司</w:t>
            </w:r>
          </w:p>
        </w:tc>
      </w:tr>
      <w:tr w14:paraId="06F7A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vAlign w:val="center"/>
          </w:tcPr>
          <w:p w14:paraId="489B24E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3539E319">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bottom w:val="single" w:color="auto" w:sz="4" w:space="0"/>
              <w:right w:val="single" w:color="auto" w:sz="4" w:space="0"/>
            </w:tcBorders>
            <w:vAlign w:val="center"/>
          </w:tcPr>
          <w:p w14:paraId="10937956">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联系人</w:t>
            </w:r>
          </w:p>
        </w:tc>
        <w:tc>
          <w:tcPr>
            <w:tcW w:w="2183" w:type="dxa"/>
            <w:tcBorders>
              <w:top w:val="single" w:color="auto" w:sz="4" w:space="0"/>
              <w:left w:val="single" w:color="auto" w:sz="4" w:space="0"/>
              <w:bottom w:val="single" w:color="auto" w:sz="4" w:space="0"/>
              <w:right w:val="single" w:color="auto" w:sz="4" w:space="0"/>
            </w:tcBorders>
            <w:vAlign w:val="center"/>
          </w:tcPr>
          <w:p w14:paraId="145A9D30">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黄新新</w:t>
            </w:r>
          </w:p>
        </w:tc>
        <w:tc>
          <w:tcPr>
            <w:tcW w:w="1889" w:type="dxa"/>
            <w:tcBorders>
              <w:top w:val="single" w:color="auto" w:sz="4" w:space="0"/>
              <w:left w:val="single" w:color="auto" w:sz="4" w:space="0"/>
              <w:bottom w:val="single" w:color="auto" w:sz="4" w:space="0"/>
              <w:right w:val="single" w:color="auto" w:sz="4" w:space="0"/>
            </w:tcBorders>
            <w:vAlign w:val="center"/>
          </w:tcPr>
          <w:p w14:paraId="204C39DA">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tc>
        <w:tc>
          <w:tcPr>
            <w:tcW w:w="2497" w:type="dxa"/>
            <w:tcBorders>
              <w:top w:val="single" w:color="auto" w:sz="4" w:space="0"/>
              <w:left w:val="single" w:color="auto" w:sz="4" w:space="0"/>
              <w:bottom w:val="single" w:color="auto" w:sz="4" w:space="0"/>
            </w:tcBorders>
            <w:vAlign w:val="center"/>
          </w:tcPr>
          <w:p w14:paraId="4EC1A654">
            <w:pPr>
              <w:keepNext w:val="0"/>
              <w:keepLines w:val="0"/>
              <w:pageBreakBefore w:val="0"/>
              <w:kinsoku/>
              <w:topLinePunct w:val="0"/>
              <w:bidi w:val="0"/>
              <w:spacing w:line="500"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13201118511</w:t>
            </w:r>
          </w:p>
        </w:tc>
      </w:tr>
      <w:tr w14:paraId="5FCF9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46" w:type="dxa"/>
            <w:vMerge w:val="continue"/>
            <w:vAlign w:val="center"/>
          </w:tcPr>
          <w:p w14:paraId="3C8DEF60">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15C39C8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281" w:type="dxa"/>
            <w:tcBorders>
              <w:top w:val="single" w:color="auto" w:sz="4" w:space="0"/>
              <w:right w:val="single" w:color="auto" w:sz="4" w:space="0"/>
            </w:tcBorders>
            <w:vAlign w:val="center"/>
          </w:tcPr>
          <w:p w14:paraId="2C61C688">
            <w:pPr>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地址</w:t>
            </w:r>
          </w:p>
        </w:tc>
        <w:tc>
          <w:tcPr>
            <w:tcW w:w="6569" w:type="dxa"/>
            <w:gridSpan w:val="3"/>
            <w:tcBorders>
              <w:top w:val="single" w:color="auto" w:sz="4" w:space="0"/>
              <w:left w:val="single" w:color="auto" w:sz="4" w:space="0"/>
            </w:tcBorders>
            <w:vAlign w:val="center"/>
          </w:tcPr>
          <w:p w14:paraId="242141EC">
            <w:pPr>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u w:val="none"/>
                <w:lang w:val="en-US" w:eastAsia="zh-CN"/>
              </w:rPr>
              <w:t>伊宁市福安国际1号商业楼413室</w:t>
            </w:r>
          </w:p>
        </w:tc>
      </w:tr>
      <w:tr w14:paraId="4C095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Align w:val="center"/>
          </w:tcPr>
          <w:p w14:paraId="1BC523F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4</w:t>
            </w:r>
          </w:p>
        </w:tc>
        <w:tc>
          <w:tcPr>
            <w:tcW w:w="1937" w:type="dxa"/>
            <w:vAlign w:val="center"/>
          </w:tcPr>
          <w:p w14:paraId="3937FDCC">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采购内容</w:t>
            </w:r>
          </w:p>
        </w:tc>
        <w:tc>
          <w:tcPr>
            <w:tcW w:w="7850" w:type="dxa"/>
            <w:gridSpan w:val="4"/>
            <w:vAlign w:val="center"/>
          </w:tcPr>
          <w:p w14:paraId="2F0CE214">
            <w:pPr>
              <w:pStyle w:val="27"/>
              <w:shd w:val="clear" w:color="auto" w:fill="FFFFFF"/>
              <w:spacing w:before="0" w:beforeAutospacing="0" w:after="0" w:afterAutospacing="0" w:line="336" w:lineRule="auto"/>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瓦里安（CX）直线加速器一台，包含加速器整机技术保，不包含配件；含第三方非瓦里安产品（CCTV监视系统、对讲系统、激光灯、稳压器、空气压缩机、专用显示器、门联锁）的技术保修，不包含配件。2、西门子SOMATOM Confidence一台，包含整机技术保，不包含配件。</w:t>
            </w:r>
          </w:p>
        </w:tc>
      </w:tr>
      <w:tr w14:paraId="55214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vAlign w:val="center"/>
          </w:tcPr>
          <w:p w14:paraId="7922B03F">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5</w:t>
            </w:r>
          </w:p>
        </w:tc>
        <w:tc>
          <w:tcPr>
            <w:tcW w:w="1937" w:type="dxa"/>
            <w:vMerge w:val="restart"/>
            <w:vAlign w:val="center"/>
          </w:tcPr>
          <w:p w14:paraId="3C1F33B2">
            <w:pPr>
              <w:keepNext w:val="0"/>
              <w:keepLines w:val="0"/>
              <w:pageBreakBefore w:val="0"/>
              <w:widowControl/>
              <w:kinsoku/>
              <w:topLinePunct w:val="0"/>
              <w:bidi w:val="0"/>
              <w:adjustRightInd w:val="0"/>
              <w:snapToGrid w:val="0"/>
              <w:spacing w:before="100" w:beforeAutospacing="1" w:after="100" w:afterAutospacing="1"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采购预算</w:t>
            </w:r>
          </w:p>
          <w:p w14:paraId="287BE62D">
            <w:pPr>
              <w:keepNext w:val="0"/>
              <w:keepLines w:val="0"/>
              <w:pageBreakBefore w:val="0"/>
              <w:widowControl/>
              <w:kinsoku/>
              <w:topLinePunct w:val="0"/>
              <w:bidi w:val="0"/>
              <w:adjustRightInd w:val="0"/>
              <w:snapToGrid w:val="0"/>
              <w:spacing w:before="100" w:beforeAutospacing="1" w:after="100" w:afterAutospacing="1"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金额</w:t>
            </w:r>
          </w:p>
        </w:tc>
        <w:tc>
          <w:tcPr>
            <w:tcW w:w="7850" w:type="dxa"/>
            <w:gridSpan w:val="4"/>
            <w:tcBorders>
              <w:bottom w:val="single" w:color="auto" w:sz="4" w:space="0"/>
            </w:tcBorders>
            <w:vAlign w:val="center"/>
          </w:tcPr>
          <w:p w14:paraId="77CBD7EB">
            <w:pPr>
              <w:pStyle w:val="27"/>
              <w:shd w:val="clear" w:color="auto" w:fill="FFFFFF"/>
              <w:spacing w:before="0" w:beforeAutospacing="0" w:after="0" w:afterAutospacing="0" w:line="336" w:lineRule="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小写（元）：1830000.00   大写：壹佰捌拾叁万元整</w:t>
            </w:r>
          </w:p>
        </w:tc>
      </w:tr>
      <w:tr w14:paraId="35B5D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vAlign w:val="center"/>
          </w:tcPr>
          <w:p w14:paraId="33EA1CEC">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6FD51EBF">
            <w:pPr>
              <w:keepNext w:val="0"/>
              <w:keepLines w:val="0"/>
              <w:pageBreakBefore w:val="0"/>
              <w:widowControl/>
              <w:kinsoku/>
              <w:topLinePunct w:val="0"/>
              <w:bidi w:val="0"/>
              <w:adjustRightInd w:val="0"/>
              <w:snapToGrid w:val="0"/>
              <w:spacing w:before="100" w:beforeAutospacing="1" w:after="100" w:afterAutospacing="1"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top w:val="single" w:color="auto" w:sz="4" w:space="0"/>
            </w:tcBorders>
            <w:vAlign w:val="center"/>
          </w:tcPr>
          <w:p w14:paraId="0DD17925">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i w:val="0"/>
                <w:iCs w:val="0"/>
                <w:caps w:val="0"/>
                <w:spacing w:val="0"/>
                <w:sz w:val="32"/>
                <w:szCs w:val="32"/>
                <w:shd w:val="clear" w:fill="FFFFFF"/>
                <w:lang w:val="zh-TW" w:eastAsia="zh-CN"/>
              </w:rPr>
            </w:pPr>
            <w:r>
              <w:rPr>
                <w:rFonts w:hint="eastAsia" w:ascii="仿宋_GB2312" w:hAnsi="仿宋_GB2312" w:eastAsia="仿宋_GB2312" w:cs="仿宋_GB2312"/>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zh-TW" w:eastAsia="zh-CN"/>
              </w:rPr>
              <w:t>各投标人的投标总报价不得高于采购预算</w:t>
            </w:r>
            <w:r>
              <w:rPr>
                <w:rFonts w:hint="eastAsia" w:ascii="仿宋_GB2312" w:hAnsi="仿宋_GB2312" w:eastAsia="仿宋_GB2312" w:cs="仿宋_GB2312"/>
                <w:i w:val="0"/>
                <w:iCs w:val="0"/>
                <w:caps w:val="0"/>
                <w:spacing w:val="0"/>
                <w:sz w:val="32"/>
                <w:szCs w:val="32"/>
                <w:shd w:val="clear" w:fill="FFFFFF"/>
                <w:lang w:val="en-US" w:eastAsia="zh-CN"/>
              </w:rPr>
              <w:t>总金额</w:t>
            </w:r>
            <w:r>
              <w:rPr>
                <w:rFonts w:hint="eastAsia" w:ascii="仿宋_GB2312" w:hAnsi="仿宋_GB2312" w:eastAsia="仿宋_GB2312" w:cs="仿宋_GB2312"/>
                <w:i w:val="0"/>
                <w:iCs w:val="0"/>
                <w:caps w:val="0"/>
                <w:spacing w:val="0"/>
                <w:sz w:val="32"/>
                <w:szCs w:val="32"/>
                <w:shd w:val="clear" w:fill="FFFFFF"/>
                <w:lang w:val="zh-TW" w:eastAsia="zh-CN"/>
              </w:rPr>
              <w:t>，否则将否决其投标。</w:t>
            </w:r>
          </w:p>
          <w:p w14:paraId="393BED48">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i w:val="0"/>
                <w:iCs w:val="0"/>
                <w:caps w:val="0"/>
                <w:spacing w:val="0"/>
                <w:sz w:val="32"/>
                <w:szCs w:val="32"/>
                <w:shd w:val="clear" w:fill="FFFFFF"/>
                <w:lang w:val="zh-TW" w:eastAsia="zh-CN"/>
              </w:rPr>
            </w:pPr>
            <w:r>
              <w:rPr>
                <w:rFonts w:hint="eastAsia" w:ascii="仿宋_GB2312" w:hAnsi="仿宋_GB2312" w:eastAsia="仿宋_GB2312" w:cs="仿宋_GB2312"/>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zh-TW" w:eastAsia="zh-CN"/>
              </w:rPr>
              <w:t xml:space="preserve">投标报价为“招标范围”内的总报价。 </w:t>
            </w:r>
          </w:p>
          <w:p w14:paraId="5AE80AEF">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shd w:val="clear" w:fill="FFFFFF"/>
                <w:lang w:val="en-US" w:eastAsia="zh-CN"/>
              </w:rPr>
              <w:t>3、</w:t>
            </w:r>
            <w:r>
              <w:rPr>
                <w:rFonts w:hint="eastAsia" w:ascii="仿宋_GB2312" w:hAnsi="仿宋_GB2312" w:eastAsia="仿宋_GB2312" w:cs="仿宋_GB2312"/>
                <w:i w:val="0"/>
                <w:iCs w:val="0"/>
                <w:caps w:val="0"/>
                <w:spacing w:val="0"/>
                <w:sz w:val="32"/>
                <w:szCs w:val="32"/>
                <w:shd w:val="clear" w:fill="FFFFFF"/>
                <w:lang w:val="zh-TW" w:eastAsia="zh-CN"/>
              </w:rPr>
              <w:t>投标人的报价应为所确定的招标范围内的全部工作内容的价格体现，所有费用，且在合同执行过程中，不因任何因素予以调整。</w:t>
            </w:r>
          </w:p>
        </w:tc>
      </w:tr>
      <w:tr w14:paraId="659C8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19634BB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6</w:t>
            </w:r>
          </w:p>
        </w:tc>
        <w:tc>
          <w:tcPr>
            <w:tcW w:w="1937" w:type="dxa"/>
            <w:vAlign w:val="center"/>
          </w:tcPr>
          <w:p w14:paraId="4592C34E">
            <w:pPr>
              <w:keepNext w:val="0"/>
              <w:keepLines w:val="0"/>
              <w:pageBreakBefore w:val="0"/>
              <w:kinsoku/>
              <w:topLinePunct w:val="0"/>
              <w:autoSpaceDE w:val="0"/>
              <w:autoSpaceDN w:val="0"/>
              <w:bidi w:val="0"/>
              <w:adjustRightInd w:val="0"/>
              <w:snapToGrid w:val="0"/>
              <w:spacing w:line="500" w:lineRule="exact"/>
              <w:jc w:val="center"/>
              <w:rPr>
                <w:rFonts w:hint="default" w:ascii="仿宋_GB2312" w:hAnsi="仿宋_GB2312" w:eastAsia="仿宋_GB2312" w:cs="仿宋_GB2312"/>
                <w:b/>
                <w:color w:val="auto"/>
                <w:kern w:val="0"/>
                <w:sz w:val="32"/>
                <w:szCs w:val="32"/>
                <w:highlight w:val="none"/>
                <w:shd w:val="clear" w:color="auto" w:fill="FFFFFF"/>
                <w:lang w:val="en-US" w:eastAsia="zh-CN"/>
              </w:rPr>
            </w:pPr>
            <w:r>
              <w:rPr>
                <w:rFonts w:hint="eastAsia" w:ascii="仿宋_GB2312" w:hAnsi="仿宋_GB2312" w:eastAsia="仿宋_GB2312" w:cs="仿宋_GB2312"/>
                <w:b/>
                <w:color w:val="auto"/>
                <w:kern w:val="0"/>
                <w:sz w:val="32"/>
                <w:szCs w:val="32"/>
                <w:highlight w:val="none"/>
                <w:shd w:val="clear" w:color="auto" w:fill="FFFFFF"/>
                <w:lang w:val="en-US" w:eastAsia="zh-CN"/>
              </w:rPr>
              <w:t>服务要求</w:t>
            </w:r>
          </w:p>
        </w:tc>
        <w:tc>
          <w:tcPr>
            <w:tcW w:w="7850" w:type="dxa"/>
            <w:gridSpan w:val="4"/>
            <w:vAlign w:val="center"/>
          </w:tcPr>
          <w:p w14:paraId="3CCC9FF7">
            <w:pPr>
              <w:keepNext w:val="0"/>
              <w:keepLines w:val="0"/>
              <w:pageBreakBefore w:val="0"/>
              <w:kinsoku/>
              <w:wordWrap/>
              <w:overflowPunct/>
              <w:topLinePunct w:val="0"/>
              <w:autoSpaceDE/>
              <w:autoSpaceDN/>
              <w:bidi w:val="0"/>
              <w:adjustRightInd/>
              <w:snapToGrid/>
              <w:spacing w:line="500" w:lineRule="exact"/>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服务期间，技术维修保证设备95%的开机率（按365日计算，年停机时间不能超过15天）。开机率低于95%的，超出一天保修顺延十天。不包含因我院自行采购配件原因导致的停机时间。保养机器，更换核心备件后，绝对剂量，对称性，平坦度都不能超过正负3%，要达国标，满足临床科室使用。</w:t>
            </w:r>
          </w:p>
        </w:tc>
      </w:tr>
      <w:tr w14:paraId="20855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0EC5CE3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7</w:t>
            </w:r>
          </w:p>
        </w:tc>
        <w:tc>
          <w:tcPr>
            <w:tcW w:w="1937" w:type="dxa"/>
            <w:vAlign w:val="center"/>
          </w:tcPr>
          <w:p w14:paraId="7C6ABFF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采购方式</w:t>
            </w:r>
          </w:p>
        </w:tc>
        <w:tc>
          <w:tcPr>
            <w:tcW w:w="7850" w:type="dxa"/>
            <w:gridSpan w:val="4"/>
            <w:vAlign w:val="center"/>
          </w:tcPr>
          <w:p w14:paraId="187D712C">
            <w:pPr>
              <w:keepNext w:val="0"/>
              <w:keepLines w:val="0"/>
              <w:pageBreakBefore w:val="0"/>
              <w:tabs>
                <w:tab w:val="left" w:pos="4980"/>
                <w:tab w:val="right" w:pos="9000"/>
              </w:tabs>
              <w:kinsoku/>
              <w:topLinePunct w:val="0"/>
              <w:bidi w:val="0"/>
              <w:spacing w:line="500" w:lineRule="exact"/>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公开招标</w:t>
            </w:r>
          </w:p>
        </w:tc>
      </w:tr>
      <w:tr w14:paraId="7AFBD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6BF8726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8</w:t>
            </w:r>
          </w:p>
        </w:tc>
        <w:tc>
          <w:tcPr>
            <w:tcW w:w="1937" w:type="dxa"/>
            <w:vAlign w:val="center"/>
          </w:tcPr>
          <w:p w14:paraId="2E906B45">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服务期</w:t>
            </w:r>
          </w:p>
        </w:tc>
        <w:tc>
          <w:tcPr>
            <w:tcW w:w="7850" w:type="dxa"/>
            <w:gridSpan w:val="4"/>
            <w:vAlign w:val="center"/>
          </w:tcPr>
          <w:p w14:paraId="7A9996FB">
            <w:pPr>
              <w:pStyle w:val="27"/>
              <w:keepNext w:val="0"/>
              <w:keepLines w:val="0"/>
              <w:pageBreakBefore w:val="0"/>
              <w:kinsoku/>
              <w:topLinePunct w:val="0"/>
              <w:bidi w:val="0"/>
              <w:spacing w:before="0" w:beforeAutospacing="0" w:after="0" w:afterAutospacing="0" w:line="500" w:lineRule="exact"/>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val="en-US" w:eastAsia="zh-CN"/>
              </w:rPr>
              <w:t>3年</w:t>
            </w:r>
          </w:p>
        </w:tc>
      </w:tr>
      <w:tr w14:paraId="5FBB7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521E7D63">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9</w:t>
            </w:r>
          </w:p>
        </w:tc>
        <w:tc>
          <w:tcPr>
            <w:tcW w:w="1937" w:type="dxa"/>
            <w:vAlign w:val="center"/>
          </w:tcPr>
          <w:p w14:paraId="6B92501D">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val="en-US" w:eastAsia="zh-CN"/>
              </w:rPr>
              <w:t>服务</w:t>
            </w:r>
            <w:r>
              <w:rPr>
                <w:rFonts w:hint="eastAsia" w:ascii="仿宋_GB2312" w:hAnsi="仿宋_GB2312" w:eastAsia="仿宋_GB2312" w:cs="仿宋_GB2312"/>
                <w:b/>
                <w:color w:val="auto"/>
                <w:kern w:val="0"/>
                <w:sz w:val="32"/>
                <w:szCs w:val="32"/>
                <w:highlight w:val="none"/>
              </w:rPr>
              <w:t>地点</w:t>
            </w:r>
          </w:p>
        </w:tc>
        <w:tc>
          <w:tcPr>
            <w:tcW w:w="7850" w:type="dxa"/>
            <w:gridSpan w:val="4"/>
            <w:vAlign w:val="center"/>
          </w:tcPr>
          <w:p w14:paraId="636DEBC1">
            <w:pPr>
              <w:pStyle w:val="27"/>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按甲方需求</w:t>
            </w:r>
          </w:p>
        </w:tc>
      </w:tr>
      <w:tr w14:paraId="3F923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746" w:type="dxa"/>
            <w:vAlign w:val="center"/>
          </w:tcPr>
          <w:p w14:paraId="0D325D5D">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10</w:t>
            </w:r>
          </w:p>
        </w:tc>
        <w:tc>
          <w:tcPr>
            <w:tcW w:w="1937" w:type="dxa"/>
            <w:vAlign w:val="center"/>
          </w:tcPr>
          <w:p w14:paraId="6EF1627C">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付款方式</w:t>
            </w:r>
          </w:p>
        </w:tc>
        <w:tc>
          <w:tcPr>
            <w:tcW w:w="7850" w:type="dxa"/>
            <w:gridSpan w:val="4"/>
            <w:vAlign w:val="center"/>
          </w:tcPr>
          <w:p w14:paraId="7D3ADD33">
            <w:pPr>
              <w:pStyle w:val="27"/>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每半年支付合同总金额的六分之一，具体以合同签订为准。</w:t>
            </w:r>
          </w:p>
        </w:tc>
      </w:tr>
      <w:tr w14:paraId="145C9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46" w:type="dxa"/>
            <w:vAlign w:val="center"/>
          </w:tcPr>
          <w:p w14:paraId="48823653">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11</w:t>
            </w:r>
          </w:p>
        </w:tc>
        <w:tc>
          <w:tcPr>
            <w:tcW w:w="1937" w:type="dxa"/>
            <w:vAlign w:val="center"/>
          </w:tcPr>
          <w:p w14:paraId="6F642F9A">
            <w:pPr>
              <w:keepNext w:val="0"/>
              <w:keepLines w:val="0"/>
              <w:pageBreakBefore w:val="0"/>
              <w:kinsoku/>
              <w:topLinePunct w:val="0"/>
              <w:autoSpaceDE w:val="0"/>
              <w:autoSpaceDN w:val="0"/>
              <w:bidi w:val="0"/>
              <w:adjustRightInd w:val="0"/>
              <w:snapToGrid w:val="0"/>
              <w:spacing w:line="500" w:lineRule="exact"/>
              <w:jc w:val="center"/>
              <w:rPr>
                <w:rFonts w:hint="default" w:ascii="仿宋_GB2312" w:hAnsi="仿宋_GB2312" w:eastAsia="仿宋_GB2312" w:cs="仿宋_GB2312"/>
                <w:b/>
                <w:color w:val="auto"/>
                <w:kern w:val="0"/>
                <w:sz w:val="32"/>
                <w:szCs w:val="32"/>
                <w:highlight w:val="none"/>
                <w:lang w:val="en-US"/>
              </w:rPr>
            </w:pPr>
            <w:r>
              <w:rPr>
                <w:rFonts w:hint="eastAsia" w:ascii="仿宋_GB2312" w:hAnsi="仿宋_GB2312" w:eastAsia="仿宋_GB2312" w:cs="仿宋_GB2312"/>
                <w:b/>
                <w:bCs w:val="0"/>
                <w:color w:val="auto"/>
                <w:kern w:val="0"/>
                <w:sz w:val="32"/>
                <w:szCs w:val="32"/>
                <w:highlight w:val="none"/>
                <w:lang w:val="en-US" w:eastAsia="zh-CN"/>
              </w:rPr>
              <w:t>质保期</w:t>
            </w:r>
          </w:p>
        </w:tc>
        <w:tc>
          <w:tcPr>
            <w:tcW w:w="7850" w:type="dxa"/>
            <w:gridSpan w:val="4"/>
            <w:vAlign w:val="center"/>
          </w:tcPr>
          <w:p w14:paraId="7C8A01B8">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服务期间，对于投标人有偿更换的备件，要达到至少六个月的质保期。</w:t>
            </w:r>
          </w:p>
        </w:tc>
      </w:tr>
      <w:tr w14:paraId="0576F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Align w:val="center"/>
          </w:tcPr>
          <w:p w14:paraId="47EDEC9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12</w:t>
            </w:r>
          </w:p>
        </w:tc>
        <w:tc>
          <w:tcPr>
            <w:tcW w:w="1937" w:type="dxa"/>
            <w:vAlign w:val="center"/>
          </w:tcPr>
          <w:p w14:paraId="08C94C5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履约保证金</w:t>
            </w:r>
          </w:p>
        </w:tc>
        <w:tc>
          <w:tcPr>
            <w:tcW w:w="7850" w:type="dxa"/>
            <w:gridSpan w:val="4"/>
            <w:vAlign w:val="center"/>
          </w:tcPr>
          <w:p w14:paraId="4C1D8687">
            <w:pPr>
              <w:pStyle w:val="27"/>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zh-CN" w:eastAsia="zh-CN"/>
              </w:rPr>
              <w:t>履约保证金的金额：</w:t>
            </w:r>
            <w:r>
              <w:rPr>
                <w:rFonts w:hint="eastAsia" w:ascii="仿宋_GB2312" w:hAnsi="仿宋_GB2312" w:eastAsia="仿宋_GB2312" w:cs="仿宋_GB2312"/>
                <w:color w:val="auto"/>
                <w:sz w:val="32"/>
                <w:szCs w:val="32"/>
                <w:highlight w:val="none"/>
                <w:shd w:val="clear" w:color="auto" w:fill="FFFFFF"/>
                <w:lang w:val="en-US" w:eastAsia="zh-CN"/>
              </w:rPr>
              <w:t>/</w:t>
            </w:r>
          </w:p>
          <w:p w14:paraId="007A5113">
            <w:pPr>
              <w:pStyle w:val="27"/>
              <w:keepNext w:val="0"/>
              <w:keepLines w:val="0"/>
              <w:pageBreakBefore w:val="0"/>
              <w:kinsoku/>
              <w:topLinePunct w:val="0"/>
              <w:bidi w:val="0"/>
              <w:spacing w:before="0" w:beforeAutospacing="0" w:after="0" w:afterAutospacing="0" w:line="500" w:lineRule="exact"/>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zh-CN" w:eastAsia="zh-CN"/>
              </w:rPr>
              <w:t>履约保证金的形式：</w:t>
            </w:r>
            <w:r>
              <w:rPr>
                <w:rFonts w:hint="eastAsia" w:ascii="仿宋_GB2312" w:hAnsi="仿宋_GB2312" w:eastAsia="仿宋_GB2312" w:cs="仿宋_GB2312"/>
                <w:color w:val="auto"/>
                <w:sz w:val="32"/>
                <w:szCs w:val="32"/>
                <w:highlight w:val="none"/>
                <w:shd w:val="clear" w:color="auto" w:fill="FFFFFF"/>
                <w:lang w:val="en-US" w:eastAsia="zh-CN"/>
              </w:rPr>
              <w:t>/</w:t>
            </w:r>
          </w:p>
          <w:p w14:paraId="4C349C5E">
            <w:pPr>
              <w:pStyle w:val="27"/>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履约保证金的退还：/</w:t>
            </w:r>
          </w:p>
        </w:tc>
      </w:tr>
      <w:tr w14:paraId="0E80F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46" w:type="dxa"/>
            <w:vAlign w:val="center"/>
          </w:tcPr>
          <w:p w14:paraId="01B736D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3</w:t>
            </w:r>
          </w:p>
        </w:tc>
        <w:tc>
          <w:tcPr>
            <w:tcW w:w="1937" w:type="dxa"/>
            <w:vAlign w:val="center"/>
          </w:tcPr>
          <w:p w14:paraId="4AAF73F9">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投标人</w:t>
            </w:r>
            <w:r>
              <w:rPr>
                <w:rFonts w:hint="eastAsia" w:ascii="仿宋_GB2312" w:hAnsi="仿宋_GB2312" w:eastAsia="仿宋_GB2312" w:cs="仿宋_GB2312"/>
                <w:b/>
                <w:color w:val="auto"/>
                <w:kern w:val="0"/>
                <w:sz w:val="32"/>
                <w:szCs w:val="32"/>
                <w:highlight w:val="none"/>
              </w:rPr>
              <w:t>资格</w:t>
            </w:r>
          </w:p>
        </w:tc>
        <w:tc>
          <w:tcPr>
            <w:tcW w:w="7850" w:type="dxa"/>
            <w:gridSpan w:val="4"/>
            <w:vAlign w:val="center"/>
          </w:tcPr>
          <w:p w14:paraId="07627D48">
            <w:pPr>
              <w:pStyle w:val="27"/>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1.满足《中华人民共和国政府采购法》第二十二条规定；</w:t>
            </w:r>
          </w:p>
          <w:p w14:paraId="77778BED">
            <w:pPr>
              <w:pStyle w:val="27"/>
              <w:keepNext w:val="0"/>
              <w:keepLines w:val="0"/>
              <w:pageBreakBefore w:val="0"/>
              <w:kinsoku/>
              <w:topLinePunct w:val="0"/>
              <w:bidi w:val="0"/>
              <w:spacing w:before="0" w:beforeAutospacing="0" w:after="0" w:afterAutospacing="0" w:line="500" w:lineRule="exac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2.需落实政府采购政策：专门面向小微企业。</w:t>
            </w:r>
          </w:p>
          <w:p w14:paraId="4E15D7C0">
            <w:pPr>
              <w:pStyle w:val="27"/>
              <w:keepNext w:val="0"/>
              <w:keepLines w:val="0"/>
              <w:pageBreakBefore w:val="0"/>
              <w:kinsoku/>
              <w:topLinePunct w:val="0"/>
              <w:bidi w:val="0"/>
              <w:spacing w:before="0" w:beforeAutospacing="0" w:after="0" w:afterAutospacing="0" w:line="500" w:lineRule="exact"/>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shd w:val="clear" w:color="auto" w:fill="FFFFFF"/>
                <w:lang w:val="en-US" w:eastAsia="zh-CN"/>
              </w:rPr>
              <w:t>3.本项目的特定资格要求：无</w:t>
            </w:r>
          </w:p>
        </w:tc>
      </w:tr>
      <w:tr w14:paraId="17F7D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10" w:hRule="atLeast"/>
        </w:trPr>
        <w:tc>
          <w:tcPr>
            <w:tcW w:w="746" w:type="dxa"/>
            <w:vMerge w:val="restart"/>
            <w:vAlign w:val="center"/>
          </w:tcPr>
          <w:p w14:paraId="0CB39E6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4</w:t>
            </w:r>
          </w:p>
        </w:tc>
        <w:tc>
          <w:tcPr>
            <w:tcW w:w="1937" w:type="dxa"/>
            <w:vMerge w:val="restart"/>
            <w:vAlign w:val="center"/>
          </w:tcPr>
          <w:p w14:paraId="70315DA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缴纳投标</w:t>
            </w:r>
          </w:p>
          <w:p w14:paraId="3126980A">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保证金</w:t>
            </w:r>
          </w:p>
        </w:tc>
        <w:tc>
          <w:tcPr>
            <w:tcW w:w="7850" w:type="dxa"/>
            <w:gridSpan w:val="4"/>
            <w:tcBorders>
              <w:bottom w:val="single" w:color="auto" w:sz="4" w:space="0"/>
            </w:tcBorders>
            <w:vAlign w:val="center"/>
          </w:tcPr>
          <w:p w14:paraId="35F0017B">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投标保证金的缴纳形式：</w:t>
            </w:r>
            <w:r>
              <w:rPr>
                <w:rFonts w:hint="eastAsia" w:ascii="仿宋_GB2312" w:hAnsi="仿宋_GB2312" w:eastAsia="仿宋_GB2312" w:cs="仿宋_GB2312"/>
                <w:color w:val="auto"/>
                <w:sz w:val="32"/>
                <w:szCs w:val="32"/>
                <w:highlight w:val="none"/>
                <w:lang w:eastAsia="zh-CN"/>
              </w:rPr>
              <w:t>投标人必须以支票、汇票、本票或者金融机构、担保机构出具的保函等非现金形式提交（不得为个人账户）</w:t>
            </w:r>
            <w:r>
              <w:rPr>
                <w:rFonts w:hint="eastAsia" w:ascii="仿宋_GB2312" w:hAnsi="仿宋_GB2312" w:eastAsia="仿宋_GB2312" w:cs="仿宋_GB2312"/>
                <w:color w:val="auto"/>
                <w:sz w:val="32"/>
                <w:szCs w:val="32"/>
                <w:highlight w:val="none"/>
              </w:rPr>
              <w:t>。投标保证金必须以</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名义缴纳。</w:t>
            </w:r>
          </w:p>
          <w:p w14:paraId="42ECBB62">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投标保证金的金额：</w:t>
            </w:r>
            <w:r>
              <w:rPr>
                <w:rFonts w:hint="eastAsia" w:ascii="仿宋_GB2312" w:hAnsi="仿宋_GB2312" w:eastAsia="仿宋_GB2312" w:cs="仿宋_GB2312"/>
                <w:b/>
                <w:color w:val="auto"/>
                <w:sz w:val="32"/>
                <w:szCs w:val="32"/>
                <w:highlight w:val="none"/>
                <w:u w:val="single"/>
                <w:lang w:val="en-US" w:eastAsia="zh-CN"/>
              </w:rPr>
              <w:t>20000</w:t>
            </w:r>
            <w:r>
              <w:rPr>
                <w:rFonts w:hint="eastAsia" w:ascii="仿宋_GB2312" w:hAnsi="仿宋_GB2312" w:eastAsia="仿宋_GB2312" w:cs="仿宋_GB2312"/>
                <w:b/>
                <w:color w:val="auto"/>
                <w:sz w:val="32"/>
                <w:szCs w:val="32"/>
                <w:highlight w:val="none"/>
                <w:u w:val="single"/>
              </w:rPr>
              <w:t>.00</w:t>
            </w:r>
            <w:r>
              <w:rPr>
                <w:rFonts w:hint="eastAsia" w:ascii="仿宋_GB2312" w:hAnsi="仿宋_GB2312" w:eastAsia="仿宋_GB2312" w:cs="仿宋_GB2312"/>
                <w:color w:val="auto"/>
                <w:sz w:val="32"/>
                <w:szCs w:val="32"/>
                <w:highlight w:val="none"/>
              </w:rPr>
              <w:t>元人民币</w:t>
            </w:r>
            <w:r>
              <w:rPr>
                <w:rFonts w:hint="eastAsia" w:ascii="仿宋_GB2312" w:hAnsi="仿宋_GB2312" w:eastAsia="仿宋_GB2312" w:cs="仿宋_GB2312"/>
                <w:color w:val="auto"/>
                <w:sz w:val="32"/>
                <w:szCs w:val="32"/>
                <w:highlight w:val="none"/>
                <w:lang w:val="en-US" w:eastAsia="zh-CN"/>
              </w:rPr>
              <w:t xml:space="preserve"> </w:t>
            </w:r>
          </w:p>
        </w:tc>
      </w:tr>
      <w:tr w14:paraId="61AAD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vMerge w:val="continue"/>
            <w:vAlign w:val="center"/>
          </w:tcPr>
          <w:p w14:paraId="21304FB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vAlign w:val="center"/>
          </w:tcPr>
          <w:p w14:paraId="4FA1737D">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top w:val="single" w:color="auto" w:sz="4" w:space="0"/>
            </w:tcBorders>
            <w:vAlign w:val="center"/>
          </w:tcPr>
          <w:p w14:paraId="1B275909">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缴纳方式：以支票、汇票、本票或者金融机构、担保机构出具的保函等非现金形式提交。</w:t>
            </w:r>
          </w:p>
          <w:p w14:paraId="3F7C25A2">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账户名称：新疆金斌工程项目管理有限公司</w:t>
            </w:r>
          </w:p>
          <w:p w14:paraId="266A0153">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开户行：交通银行伊犁州分行营业部</w:t>
            </w:r>
          </w:p>
          <w:p w14:paraId="55A3BABC">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账号：6556 5510 1013 0000 76094</w:t>
            </w:r>
          </w:p>
          <w:p w14:paraId="12E32246">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行号：3018 9800 1011 </w:t>
            </w:r>
          </w:p>
          <w:p w14:paraId="6ADB6A26">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3D5A356E">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友情提示：1、新疆政府采购电子保函操作流程：登录新疆政府采购网,进入“政采贷/电子保函”模块，即可在线完成电子保函的申请。若有任何问题，可以联系政采云金融服务专属客服，电话：400-903-9583。</w:t>
            </w:r>
          </w:p>
          <w:p w14:paraId="56966AD6">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2、潜在供应商可以自主选择以上任一种递交方式提交投标保证金。</w:t>
            </w:r>
          </w:p>
          <w:p w14:paraId="610F0EE2">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3、银行法定节假日不办理公对公账户电汇业务，请提前办理。投标保证金是否在规定截止时间前到户的风险由投标单位承担，投标保证金在银行的划转需要一定时间，望投标单位尽早缴纳！</w:t>
            </w:r>
          </w:p>
          <w:p w14:paraId="3BC1D04C">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4、若投标人未按照上述规定缴纳投标保证金,响应性文件将被拒绝评审。</w:t>
            </w:r>
          </w:p>
        </w:tc>
      </w:tr>
      <w:tr w14:paraId="38B6E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46" w:type="dxa"/>
            <w:vAlign w:val="center"/>
          </w:tcPr>
          <w:p w14:paraId="051CFBB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5</w:t>
            </w:r>
          </w:p>
        </w:tc>
        <w:tc>
          <w:tcPr>
            <w:tcW w:w="1937" w:type="dxa"/>
            <w:vAlign w:val="center"/>
          </w:tcPr>
          <w:p w14:paraId="44E2500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投标保证金</w:t>
            </w:r>
          </w:p>
          <w:p w14:paraId="727DEBEB">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退付</w:t>
            </w:r>
          </w:p>
        </w:tc>
        <w:tc>
          <w:tcPr>
            <w:tcW w:w="7850" w:type="dxa"/>
            <w:gridSpan w:val="4"/>
            <w:tcBorders>
              <w:top w:val="single" w:color="auto" w:sz="4" w:space="0"/>
            </w:tcBorders>
            <w:vAlign w:val="center"/>
          </w:tcPr>
          <w:p w14:paraId="7D8C9543">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1.未中标</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在中标（成交）通知书发出后5个工作日退还；</w:t>
            </w:r>
          </w:p>
          <w:p w14:paraId="716F0484">
            <w:pPr>
              <w:keepNext w:val="0"/>
              <w:keepLines w:val="0"/>
              <w:pageBreakBefore w:val="0"/>
              <w:kinsoku/>
              <w:topLinePunct w:val="0"/>
              <w:bidi w:val="0"/>
              <w:snapToGrid w:val="0"/>
              <w:spacing w:line="5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2.中标</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在合同签订后5个工作日退还</w:t>
            </w:r>
            <w:r>
              <w:rPr>
                <w:rFonts w:hint="eastAsia" w:ascii="仿宋_GB2312" w:hAnsi="仿宋_GB2312" w:eastAsia="仿宋_GB2312" w:cs="仿宋_GB2312"/>
                <w:color w:val="auto"/>
                <w:sz w:val="32"/>
                <w:szCs w:val="32"/>
                <w:highlight w:val="none"/>
                <w:lang w:eastAsia="zh-CN"/>
              </w:rPr>
              <w:t>；</w:t>
            </w:r>
          </w:p>
          <w:p w14:paraId="2CD32F27">
            <w:pPr>
              <w:keepNext w:val="0"/>
              <w:keepLines w:val="0"/>
              <w:pageBreakBefore w:val="0"/>
              <w:kinsoku/>
              <w:topLinePunct w:val="0"/>
              <w:bidi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3.投标人</w:t>
            </w:r>
            <w:r>
              <w:rPr>
                <w:rFonts w:hint="eastAsia" w:ascii="仿宋_GB2312" w:hAnsi="仿宋_GB2312" w:eastAsia="仿宋_GB2312" w:cs="仿宋_GB2312"/>
                <w:sz w:val="32"/>
                <w:szCs w:val="32"/>
              </w:rPr>
              <w:t>须向</w:t>
            </w: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提供投标保证金退款收据1份，邮寄至</w:t>
            </w:r>
            <w:r>
              <w:rPr>
                <w:rFonts w:hint="eastAsia" w:ascii="仿宋_GB2312" w:hAnsi="仿宋_GB2312" w:eastAsia="仿宋_GB2312" w:cs="仿宋_GB2312"/>
                <w:color w:val="000000"/>
                <w:kern w:val="2"/>
                <w:sz w:val="32"/>
                <w:szCs w:val="32"/>
                <w:lang w:val="en-US" w:eastAsia="zh-CN" w:bidi="ar-SA"/>
              </w:rPr>
              <w:t>伊宁市福安国际1号商业楼413室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黄新新</w:t>
            </w:r>
            <w:r>
              <w:rPr>
                <w:rFonts w:hint="eastAsia" w:ascii="仿宋_GB2312" w:hAnsi="仿宋_GB2312" w:eastAsia="仿宋_GB2312" w:cs="仿宋_GB2312"/>
                <w:sz w:val="32"/>
                <w:szCs w:val="32"/>
              </w:rPr>
              <w:t>（收），联系电话：</w:t>
            </w:r>
            <w:r>
              <w:rPr>
                <w:rFonts w:hint="eastAsia" w:ascii="仿宋_GB2312" w:hAnsi="仿宋_GB2312" w:eastAsia="仿宋_GB2312" w:cs="仿宋_GB2312"/>
                <w:sz w:val="32"/>
                <w:szCs w:val="32"/>
                <w:lang w:val="en-US" w:eastAsia="zh-CN"/>
              </w:rPr>
              <w:t>13201118511</w:t>
            </w:r>
            <w:r>
              <w:rPr>
                <w:rFonts w:hint="eastAsia" w:ascii="仿宋_GB2312" w:hAnsi="仿宋_GB2312" w:eastAsia="仿宋_GB2312" w:cs="仿宋_GB2312"/>
                <w:sz w:val="32"/>
                <w:szCs w:val="32"/>
              </w:rPr>
              <w:t>。</w:t>
            </w:r>
          </w:p>
          <w:p w14:paraId="1BBD92F4">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收据格式要求：(正规横线条收据)</w:t>
            </w:r>
          </w:p>
          <w:p w14:paraId="342B7B95">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付款方：</w:t>
            </w:r>
            <w:r>
              <w:rPr>
                <w:rFonts w:hint="eastAsia" w:ascii="仿宋_GB2312" w:hAnsi="仿宋_GB2312" w:eastAsia="仿宋_GB2312" w:cs="仿宋_GB2312"/>
                <w:sz w:val="32"/>
                <w:szCs w:val="32"/>
                <w:lang w:eastAsia="zh-CN"/>
              </w:rPr>
              <w:t>新疆金斌工程项目管理有限公司</w:t>
            </w:r>
          </w:p>
          <w:p w14:paraId="12703349">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付款方式：转账</w:t>
            </w:r>
          </w:p>
          <w:p w14:paraId="1877AA85">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日期：填写收据当日即可</w:t>
            </w:r>
          </w:p>
          <w:p w14:paraId="5D027EBD">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事由：退××××××××××××项目投标保证金</w:t>
            </w:r>
          </w:p>
          <w:p w14:paraId="085FF3A8">
            <w:pPr>
              <w:keepNext w:val="0"/>
              <w:keepLines w:val="0"/>
              <w:pageBreakBefore w:val="0"/>
              <w:kinsoku/>
              <w:wordWrap/>
              <w:overflowPunct/>
              <w:topLinePunct w:val="0"/>
              <w:autoSpaceDE/>
              <w:autoSpaceDN/>
              <w:bidi w:val="0"/>
              <w:spacing w:line="500" w:lineRule="exact"/>
              <w:ind w:right="105" w:rightChars="5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sz w:val="32"/>
                <w:szCs w:val="32"/>
              </w:rPr>
              <w:t>要求字迹清晰，工整，不能涂改。</w:t>
            </w:r>
          </w:p>
        </w:tc>
      </w:tr>
      <w:tr w14:paraId="72BEA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Align w:val="center"/>
          </w:tcPr>
          <w:p w14:paraId="7307AF47">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6</w:t>
            </w:r>
          </w:p>
        </w:tc>
        <w:tc>
          <w:tcPr>
            <w:tcW w:w="1937" w:type="dxa"/>
            <w:vAlign w:val="center"/>
          </w:tcPr>
          <w:p w14:paraId="0D95C730">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投标有</w:t>
            </w:r>
          </w:p>
          <w:p w14:paraId="3227610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效期</w:t>
            </w:r>
          </w:p>
        </w:tc>
        <w:tc>
          <w:tcPr>
            <w:tcW w:w="7850" w:type="dxa"/>
            <w:gridSpan w:val="4"/>
            <w:vAlign w:val="center"/>
          </w:tcPr>
          <w:p w14:paraId="5958AFF1">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90日历日（自投标截止时间起开始计算）</w:t>
            </w:r>
          </w:p>
        </w:tc>
      </w:tr>
      <w:tr w14:paraId="15F19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Align w:val="center"/>
          </w:tcPr>
          <w:p w14:paraId="299B35EF">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7</w:t>
            </w:r>
          </w:p>
        </w:tc>
        <w:tc>
          <w:tcPr>
            <w:tcW w:w="1937" w:type="dxa"/>
            <w:vAlign w:val="center"/>
          </w:tcPr>
          <w:p w14:paraId="590EFBA9">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评标办法</w:t>
            </w:r>
          </w:p>
        </w:tc>
        <w:tc>
          <w:tcPr>
            <w:tcW w:w="7850" w:type="dxa"/>
            <w:gridSpan w:val="4"/>
            <w:vAlign w:val="center"/>
          </w:tcPr>
          <w:p w14:paraId="78362553">
            <w:pPr>
              <w:keepNext w:val="0"/>
              <w:keepLines w:val="0"/>
              <w:pageBreakBefore w:val="0"/>
              <w:kinsoku/>
              <w:topLinePunct w:val="0"/>
              <w:autoSpaceDE w:val="0"/>
              <w:autoSpaceDN w:val="0"/>
              <w:bidi w:val="0"/>
              <w:adjustRightInd w:val="0"/>
              <w:snapToGrid w:val="0"/>
              <w:spacing w:line="500" w:lineRule="exac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综合评分法</w:t>
            </w:r>
          </w:p>
        </w:tc>
      </w:tr>
      <w:tr w14:paraId="6FD5A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746" w:type="dxa"/>
            <w:vAlign w:val="center"/>
          </w:tcPr>
          <w:p w14:paraId="2AE1B856">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8</w:t>
            </w:r>
          </w:p>
        </w:tc>
        <w:tc>
          <w:tcPr>
            <w:tcW w:w="1937" w:type="dxa"/>
            <w:vAlign w:val="center"/>
          </w:tcPr>
          <w:p w14:paraId="11144D0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val="en-US" w:eastAsia="zh-CN"/>
              </w:rPr>
              <w:t>响应</w:t>
            </w:r>
            <w:r>
              <w:rPr>
                <w:rFonts w:hint="eastAsia" w:ascii="仿宋_GB2312" w:hAnsi="仿宋_GB2312" w:eastAsia="仿宋_GB2312" w:cs="仿宋_GB2312"/>
                <w:b/>
                <w:color w:val="auto"/>
                <w:kern w:val="0"/>
                <w:sz w:val="32"/>
                <w:szCs w:val="32"/>
                <w:highlight w:val="none"/>
              </w:rPr>
              <w:t>文件份数</w:t>
            </w:r>
          </w:p>
        </w:tc>
        <w:tc>
          <w:tcPr>
            <w:tcW w:w="7850" w:type="dxa"/>
            <w:gridSpan w:val="4"/>
            <w:vAlign w:val="center"/>
          </w:tcPr>
          <w:p w14:paraId="12542FE9">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sz w:val="32"/>
                <w:szCs w:val="32"/>
              </w:rPr>
              <w:t>加密的电子投标文件壹份(.jmbs格式)在</w:t>
            </w:r>
            <w:r>
              <w:rPr>
                <w:rFonts w:hint="eastAsia" w:ascii="仿宋_GB2312" w:hAnsi="仿宋_GB2312" w:eastAsia="仿宋_GB2312" w:cs="仿宋_GB2312"/>
                <w:bCs/>
                <w:sz w:val="32"/>
                <w:szCs w:val="32"/>
                <w:lang w:val="en-US" w:eastAsia="zh-CN"/>
              </w:rPr>
              <w:t>新疆政府</w:t>
            </w:r>
            <w:r>
              <w:rPr>
                <w:rFonts w:hint="eastAsia" w:ascii="仿宋_GB2312" w:hAnsi="仿宋_GB2312" w:eastAsia="仿宋_GB2312" w:cs="仿宋_GB2312"/>
                <w:bCs/>
                <w:sz w:val="32"/>
                <w:szCs w:val="32"/>
              </w:rPr>
              <w:t>采购网指定位置上传</w:t>
            </w:r>
            <w:r>
              <w:rPr>
                <w:rFonts w:hint="eastAsia" w:ascii="仿宋_GB2312" w:hAnsi="仿宋_GB2312" w:eastAsia="仿宋_GB2312" w:cs="仿宋_GB2312"/>
                <w:bCs/>
                <w:sz w:val="32"/>
                <w:szCs w:val="32"/>
                <w:lang w:eastAsia="zh-CN"/>
              </w:rPr>
              <w:t>。</w:t>
            </w:r>
          </w:p>
        </w:tc>
      </w:tr>
      <w:tr w14:paraId="186C3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46" w:type="dxa"/>
            <w:vAlign w:val="center"/>
          </w:tcPr>
          <w:p w14:paraId="3C9D9AE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rPr>
              <w:t>1</w:t>
            </w:r>
            <w:r>
              <w:rPr>
                <w:rFonts w:hint="eastAsia" w:ascii="仿宋_GB2312" w:hAnsi="仿宋_GB2312" w:eastAsia="仿宋_GB2312" w:cs="仿宋_GB2312"/>
                <w:b/>
                <w:color w:val="auto"/>
                <w:kern w:val="0"/>
                <w:sz w:val="32"/>
                <w:szCs w:val="32"/>
                <w:highlight w:val="none"/>
                <w:lang w:val="en-US" w:eastAsia="zh-CN"/>
              </w:rPr>
              <w:t>9</w:t>
            </w:r>
          </w:p>
        </w:tc>
        <w:tc>
          <w:tcPr>
            <w:tcW w:w="1937" w:type="dxa"/>
            <w:vAlign w:val="center"/>
          </w:tcPr>
          <w:p w14:paraId="7B217CC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0"/>
                <w:sz w:val="32"/>
                <w:szCs w:val="32"/>
                <w:highlight w:val="none"/>
              </w:rPr>
              <w:t>政府采购政策</w:t>
            </w:r>
          </w:p>
        </w:tc>
        <w:tc>
          <w:tcPr>
            <w:tcW w:w="7850" w:type="dxa"/>
            <w:gridSpan w:val="4"/>
            <w:vAlign w:val="center"/>
          </w:tcPr>
          <w:p w14:paraId="6BEEEB48">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执行促进中小型（监狱、残疾人福利）企业发展相关政策（</w:t>
            </w:r>
            <w:r>
              <w:rPr>
                <w:rFonts w:hint="eastAsia" w:ascii="仿宋_GB2312" w:hAnsi="仿宋_GB2312" w:eastAsia="仿宋_GB2312" w:cs="仿宋_GB2312"/>
                <w:sz w:val="32"/>
                <w:szCs w:val="32"/>
              </w:rPr>
              <w:sym w:font="Wingdings" w:char="F0FE"/>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sym w:font="Wingdings" w:char="F06F"/>
            </w:r>
            <w:r>
              <w:rPr>
                <w:rFonts w:hint="eastAsia" w:ascii="仿宋_GB2312" w:hAnsi="仿宋_GB2312" w:eastAsia="仿宋_GB2312" w:cs="仿宋_GB2312"/>
                <w:sz w:val="32"/>
                <w:szCs w:val="32"/>
              </w:rPr>
              <w:t>否）</w:t>
            </w:r>
            <w:r>
              <w:rPr>
                <w:rFonts w:hint="eastAsia" w:ascii="仿宋_GB2312" w:hAnsi="仿宋_GB2312" w:eastAsia="仿宋_GB2312" w:cs="仿宋_GB2312"/>
                <w:sz w:val="32"/>
                <w:szCs w:val="32"/>
                <w:lang w:eastAsia="zh-CN"/>
              </w:rPr>
              <w:t>，投标价格给予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%的折扣；</w:t>
            </w:r>
          </w:p>
          <w:p w14:paraId="6A58DFC6">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2、《国务院办公厅关于建立政府强制采购节能产品制度的通知》（国办发〔2007〕51号）；</w:t>
            </w:r>
          </w:p>
          <w:p w14:paraId="61AABD90">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3、《财政部、国家环保总局关于环境标志产品政府采购实施的意见》（财库[2006]90号）。</w:t>
            </w:r>
          </w:p>
          <w:p w14:paraId="1EF560FA">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sz w:val="32"/>
                <w:szCs w:val="32"/>
                <w:lang w:val="en-US" w:eastAsia="zh-CN"/>
              </w:rPr>
              <w:t>4、采购标的对应的中小微企业划分标准所属行业为：</w:t>
            </w:r>
            <w:r>
              <w:rPr>
                <w:rFonts w:hint="eastAsia" w:ascii="仿宋_GB2312" w:hAnsi="仿宋_GB2312" w:eastAsia="仿宋_GB2312" w:cs="仿宋_GB2312"/>
                <w:b/>
                <w:bCs/>
                <w:color w:val="auto"/>
                <w:sz w:val="32"/>
                <w:szCs w:val="32"/>
                <w:highlight w:val="none"/>
                <w:lang w:val="en-US" w:eastAsia="zh-CN"/>
              </w:rPr>
              <w:t>其他未列明行业</w:t>
            </w:r>
          </w:p>
          <w:p w14:paraId="6CC0AA64">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其他未列明行业。从业人员300人以下的为中小微型企业。其中，从业人员100人及以上的为中型企业；从业人员10人及以上的为小型企业；从业人员10人以下的为微型企业。</w:t>
            </w:r>
            <w:r>
              <w:rPr>
                <w:rStyle w:val="33"/>
                <w:rFonts w:hint="eastAsia" w:ascii="仿宋_GB2312" w:hAnsi="仿宋_GB2312" w:eastAsia="仿宋_GB2312" w:cs="仿宋_GB2312"/>
                <w:b w:val="0"/>
                <w:bCs w:val="0"/>
                <w:color w:val="auto"/>
                <w:sz w:val="32"/>
                <w:szCs w:val="32"/>
                <w:highlight w:val="none"/>
              </w:rPr>
              <w:t>　　</w:t>
            </w:r>
          </w:p>
        </w:tc>
      </w:tr>
      <w:tr w14:paraId="7D0FB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Align w:val="center"/>
          </w:tcPr>
          <w:p w14:paraId="0F78A376">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20</w:t>
            </w:r>
          </w:p>
        </w:tc>
        <w:tc>
          <w:tcPr>
            <w:tcW w:w="1937" w:type="dxa"/>
            <w:vAlign w:val="center"/>
          </w:tcPr>
          <w:p w14:paraId="06DD5D3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评标小组</w:t>
            </w:r>
          </w:p>
          <w:p w14:paraId="410ED81B">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组成</w:t>
            </w:r>
          </w:p>
        </w:tc>
        <w:tc>
          <w:tcPr>
            <w:tcW w:w="7850" w:type="dxa"/>
            <w:gridSpan w:val="4"/>
            <w:vAlign w:val="center"/>
          </w:tcPr>
          <w:p w14:paraId="298493F6">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小组成员由</w:t>
            </w:r>
            <w:r>
              <w:rPr>
                <w:rFonts w:hint="eastAsia" w:ascii="仿宋_GB2312" w:hAnsi="仿宋_GB2312" w:eastAsia="仿宋_GB2312" w:cs="仿宋_GB2312"/>
                <w:b/>
                <w:color w:val="auto"/>
                <w:kern w:val="0"/>
                <w:sz w:val="32"/>
                <w:szCs w:val="32"/>
                <w:highlight w:val="none"/>
                <w:u w:val="single"/>
              </w:rPr>
              <w:t xml:space="preserve"> 5  </w:t>
            </w:r>
            <w:r>
              <w:rPr>
                <w:rFonts w:hint="eastAsia" w:ascii="仿宋_GB2312" w:hAnsi="仿宋_GB2312" w:eastAsia="仿宋_GB2312" w:cs="仿宋_GB2312"/>
                <w:color w:val="auto"/>
                <w:kern w:val="0"/>
                <w:sz w:val="32"/>
                <w:szCs w:val="32"/>
                <w:highlight w:val="none"/>
              </w:rPr>
              <w:t>人组成，其中采购方代表</w:t>
            </w:r>
            <w:r>
              <w:rPr>
                <w:rFonts w:hint="eastAsia" w:ascii="仿宋_GB2312" w:hAnsi="仿宋_GB2312" w:eastAsia="仿宋_GB2312" w:cs="仿宋_GB2312"/>
                <w:b/>
                <w:color w:val="auto"/>
                <w:kern w:val="0"/>
                <w:sz w:val="32"/>
                <w:szCs w:val="32"/>
                <w:highlight w:val="none"/>
                <w:u w:val="single"/>
              </w:rPr>
              <w:t xml:space="preserve">  1 </w:t>
            </w:r>
            <w:r>
              <w:rPr>
                <w:rFonts w:hint="eastAsia" w:ascii="仿宋_GB2312" w:hAnsi="仿宋_GB2312" w:eastAsia="仿宋_GB2312" w:cs="仿宋_GB2312"/>
                <w:color w:val="auto"/>
                <w:kern w:val="0"/>
                <w:sz w:val="32"/>
                <w:szCs w:val="32"/>
                <w:highlight w:val="none"/>
              </w:rPr>
              <w:t>人，从</w:t>
            </w:r>
            <w:r>
              <w:rPr>
                <w:rFonts w:hint="eastAsia" w:ascii="仿宋_GB2312" w:hAnsi="仿宋_GB2312" w:eastAsia="仿宋_GB2312" w:cs="仿宋_GB2312"/>
                <w:color w:val="auto"/>
                <w:kern w:val="0"/>
                <w:sz w:val="32"/>
                <w:szCs w:val="32"/>
                <w:highlight w:val="none"/>
                <w:lang w:eastAsia="zh-CN"/>
              </w:rPr>
              <w:t>新疆政采云</w:t>
            </w:r>
            <w:r>
              <w:rPr>
                <w:rFonts w:hint="eastAsia" w:ascii="仿宋_GB2312" w:hAnsi="仿宋_GB2312" w:eastAsia="仿宋_GB2312" w:cs="仿宋_GB2312"/>
                <w:color w:val="auto"/>
                <w:kern w:val="0"/>
                <w:sz w:val="32"/>
                <w:szCs w:val="32"/>
                <w:highlight w:val="none"/>
              </w:rPr>
              <w:t>专家库中随机抽取的方式确定</w:t>
            </w:r>
            <w:r>
              <w:rPr>
                <w:rFonts w:hint="eastAsia" w:ascii="仿宋_GB2312" w:hAnsi="仿宋_GB2312" w:eastAsia="仿宋_GB2312" w:cs="仿宋_GB2312"/>
                <w:b/>
                <w:color w:val="auto"/>
                <w:kern w:val="0"/>
                <w:sz w:val="32"/>
                <w:szCs w:val="32"/>
                <w:highlight w:val="none"/>
                <w:u w:val="single"/>
              </w:rPr>
              <w:t xml:space="preserve">  4  </w:t>
            </w:r>
            <w:r>
              <w:rPr>
                <w:rFonts w:hint="eastAsia" w:ascii="仿宋_GB2312" w:hAnsi="仿宋_GB2312" w:eastAsia="仿宋_GB2312" w:cs="仿宋_GB2312"/>
                <w:color w:val="auto"/>
                <w:kern w:val="0"/>
                <w:sz w:val="32"/>
                <w:szCs w:val="32"/>
                <w:highlight w:val="none"/>
              </w:rPr>
              <w:t>人</w:t>
            </w:r>
          </w:p>
        </w:tc>
      </w:tr>
      <w:tr w14:paraId="2EAAE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vAlign w:val="center"/>
          </w:tcPr>
          <w:p w14:paraId="4451AD9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1</w:t>
            </w:r>
          </w:p>
        </w:tc>
        <w:tc>
          <w:tcPr>
            <w:tcW w:w="1937" w:type="dxa"/>
            <w:vMerge w:val="restart"/>
            <w:tcBorders>
              <w:right w:val="single" w:color="auto" w:sz="4" w:space="0"/>
            </w:tcBorders>
            <w:vAlign w:val="center"/>
          </w:tcPr>
          <w:p w14:paraId="1AB80EB5">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投标截止（开标）时间及地点</w:t>
            </w:r>
          </w:p>
        </w:tc>
        <w:tc>
          <w:tcPr>
            <w:tcW w:w="7850" w:type="dxa"/>
            <w:gridSpan w:val="4"/>
            <w:tcBorders>
              <w:left w:val="single" w:color="auto" w:sz="4" w:space="0"/>
              <w:bottom w:val="single" w:color="auto" w:sz="4" w:space="0"/>
            </w:tcBorders>
            <w:vAlign w:val="center"/>
          </w:tcPr>
          <w:p w14:paraId="2E4B0FC8">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rPr>
              <w:t>投标截止（开标）时间：</w:t>
            </w:r>
            <w:r>
              <w:rPr>
                <w:rFonts w:hint="eastAsia" w:ascii="仿宋_GB2312" w:hAnsi="仿宋_GB2312" w:eastAsia="仿宋_GB2312" w:cs="仿宋_GB2312"/>
                <w:b w:val="0"/>
                <w:bCs/>
                <w:color w:val="auto"/>
                <w:kern w:val="0"/>
                <w:sz w:val="32"/>
                <w:szCs w:val="32"/>
                <w:highlight w:val="none"/>
                <w:u w:val="none"/>
                <w:lang w:val="en-US" w:eastAsia="zh-CN"/>
              </w:rPr>
              <w:t>2026</w:t>
            </w:r>
            <w:r>
              <w:rPr>
                <w:rFonts w:hint="eastAsia" w:ascii="仿宋_GB2312" w:hAnsi="仿宋_GB2312" w:eastAsia="仿宋_GB2312" w:cs="仿宋_GB2312"/>
                <w:b w:val="0"/>
                <w:bCs/>
                <w:color w:val="auto"/>
                <w:kern w:val="0"/>
                <w:sz w:val="32"/>
                <w:szCs w:val="32"/>
                <w:highlight w:val="none"/>
                <w:u w:val="none"/>
              </w:rPr>
              <w:t>年</w:t>
            </w:r>
            <w:r>
              <w:rPr>
                <w:rFonts w:hint="eastAsia" w:ascii="仿宋_GB2312" w:hAnsi="仿宋_GB2312" w:eastAsia="仿宋_GB2312" w:cs="仿宋_GB2312"/>
                <w:b w:val="0"/>
                <w:bCs/>
                <w:color w:val="auto"/>
                <w:kern w:val="0"/>
                <w:sz w:val="32"/>
                <w:szCs w:val="32"/>
                <w:highlight w:val="none"/>
                <w:u w:val="none"/>
                <w:lang w:val="en-US" w:eastAsia="zh-CN"/>
              </w:rPr>
              <w:t>04</w:t>
            </w:r>
            <w:r>
              <w:rPr>
                <w:rFonts w:hint="eastAsia" w:ascii="仿宋_GB2312" w:hAnsi="仿宋_GB2312" w:eastAsia="仿宋_GB2312" w:cs="仿宋_GB2312"/>
                <w:b w:val="0"/>
                <w:bCs/>
                <w:color w:val="auto"/>
                <w:kern w:val="0"/>
                <w:sz w:val="32"/>
                <w:szCs w:val="32"/>
                <w:highlight w:val="none"/>
                <w:u w:val="none"/>
              </w:rPr>
              <w:t>月</w:t>
            </w:r>
            <w:r>
              <w:rPr>
                <w:rFonts w:hint="eastAsia" w:ascii="仿宋_GB2312" w:hAnsi="仿宋_GB2312" w:eastAsia="仿宋_GB2312" w:cs="仿宋_GB2312"/>
                <w:b w:val="0"/>
                <w:bCs/>
                <w:color w:val="auto"/>
                <w:kern w:val="0"/>
                <w:sz w:val="32"/>
                <w:szCs w:val="32"/>
                <w:highlight w:val="none"/>
                <w:u w:val="none"/>
                <w:lang w:val="en-US" w:eastAsia="zh-CN"/>
              </w:rPr>
              <w:t>17</w:t>
            </w:r>
            <w:r>
              <w:rPr>
                <w:rFonts w:hint="eastAsia" w:ascii="仿宋_GB2312" w:hAnsi="仿宋_GB2312" w:eastAsia="仿宋_GB2312" w:cs="仿宋_GB2312"/>
                <w:b w:val="0"/>
                <w:bCs/>
                <w:color w:val="auto"/>
                <w:kern w:val="0"/>
                <w:sz w:val="32"/>
                <w:szCs w:val="32"/>
                <w:highlight w:val="none"/>
                <w:u w:val="none"/>
              </w:rPr>
              <w:t>日</w:t>
            </w:r>
            <w:r>
              <w:rPr>
                <w:rFonts w:hint="eastAsia" w:ascii="仿宋_GB2312" w:hAnsi="仿宋_GB2312" w:eastAsia="仿宋_GB2312" w:cs="仿宋_GB2312"/>
                <w:b w:val="0"/>
                <w:bCs/>
                <w:color w:val="auto"/>
                <w:kern w:val="0"/>
                <w:sz w:val="32"/>
                <w:szCs w:val="32"/>
                <w:highlight w:val="none"/>
                <w:u w:val="none"/>
                <w:lang w:val="en-US" w:eastAsia="zh-CN"/>
              </w:rPr>
              <w:t>11:00</w:t>
            </w:r>
          </w:p>
        </w:tc>
      </w:tr>
      <w:tr w14:paraId="5AED4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continue"/>
            <w:vAlign w:val="center"/>
          </w:tcPr>
          <w:p w14:paraId="0F5CE59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tcBorders>
              <w:right w:val="single" w:color="auto" w:sz="4" w:space="0"/>
            </w:tcBorders>
            <w:vAlign w:val="center"/>
          </w:tcPr>
          <w:p w14:paraId="648B8A5E">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top w:val="single" w:color="auto" w:sz="4" w:space="0"/>
              <w:left w:val="single" w:color="auto" w:sz="4" w:space="0"/>
            </w:tcBorders>
            <w:vAlign w:val="center"/>
          </w:tcPr>
          <w:p w14:paraId="0052DFBC">
            <w:pPr>
              <w:keepNext w:val="0"/>
              <w:keepLines w:val="0"/>
              <w:pageBreakBefore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地点:</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sz w:val="32"/>
                <w:szCs w:val="32"/>
              </w:rPr>
              <w:t>请登录政采云投标客户端，在截止时间前将加密的电子响应文件（.jmbs）上传到新疆政府采购网对应的位置（逾期上传或者未上传指定地点的响应文件，采购人不予受理）</w:t>
            </w:r>
          </w:p>
        </w:tc>
      </w:tr>
      <w:tr w14:paraId="6CE56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46" w:type="dxa"/>
            <w:vAlign w:val="center"/>
          </w:tcPr>
          <w:p w14:paraId="25534A71">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2</w:t>
            </w:r>
          </w:p>
        </w:tc>
        <w:tc>
          <w:tcPr>
            <w:tcW w:w="1937" w:type="dxa"/>
            <w:tcBorders>
              <w:right w:val="single" w:color="auto" w:sz="4" w:space="0"/>
            </w:tcBorders>
            <w:vAlign w:val="center"/>
          </w:tcPr>
          <w:p w14:paraId="5208F6E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成交原则</w:t>
            </w:r>
          </w:p>
        </w:tc>
        <w:tc>
          <w:tcPr>
            <w:tcW w:w="7850" w:type="dxa"/>
            <w:gridSpan w:val="4"/>
            <w:tcBorders>
              <w:left w:val="single" w:color="auto" w:sz="4" w:space="0"/>
            </w:tcBorders>
            <w:vAlign w:val="center"/>
          </w:tcPr>
          <w:p w14:paraId="00361891">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最大程度满足</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文件规定的各项综合评价标准即综合得分最高为成交候选投标人。</w:t>
            </w:r>
          </w:p>
        </w:tc>
      </w:tr>
      <w:tr w14:paraId="4A7C7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restart"/>
            <w:vAlign w:val="center"/>
          </w:tcPr>
          <w:p w14:paraId="35E51C4A">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3</w:t>
            </w:r>
          </w:p>
        </w:tc>
        <w:tc>
          <w:tcPr>
            <w:tcW w:w="1937" w:type="dxa"/>
            <w:vMerge w:val="restart"/>
            <w:tcBorders>
              <w:right w:val="single" w:color="auto" w:sz="4" w:space="0"/>
            </w:tcBorders>
            <w:vAlign w:val="center"/>
          </w:tcPr>
          <w:p w14:paraId="55C57B25">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公告及成交公示发布媒介</w:t>
            </w:r>
          </w:p>
        </w:tc>
        <w:tc>
          <w:tcPr>
            <w:tcW w:w="7850" w:type="dxa"/>
            <w:gridSpan w:val="4"/>
            <w:tcBorders>
              <w:left w:val="single" w:color="auto" w:sz="4" w:space="0"/>
              <w:bottom w:val="single" w:color="auto" w:sz="4" w:space="0"/>
            </w:tcBorders>
            <w:vAlign w:val="center"/>
          </w:tcPr>
          <w:p w14:paraId="72A7DA51">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新疆政府采购网http://www.ccgp-xinjiang.gov.cn/</w:t>
            </w:r>
          </w:p>
          <w:p w14:paraId="32004CDC">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lang w:val="en-US" w:eastAsia="zh-CN"/>
              </w:rPr>
              <w:t>伊犁州公共资源交易平台</w:t>
            </w:r>
            <w:r>
              <w:rPr>
                <w:rFonts w:hint="eastAsia" w:ascii="仿宋_GB2312" w:hAnsi="仿宋_GB2312" w:eastAsia="仿宋_GB2312" w:cs="仿宋_GB2312"/>
                <w:b/>
                <w:color w:val="auto"/>
                <w:kern w:val="0"/>
                <w:sz w:val="32"/>
                <w:szCs w:val="32"/>
                <w:highlight w:val="none"/>
              </w:rPr>
              <w:t>http://ggzy.xjyl.gov.cn/</w:t>
            </w:r>
          </w:p>
        </w:tc>
      </w:tr>
      <w:tr w14:paraId="705B2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continue"/>
            <w:vAlign w:val="center"/>
          </w:tcPr>
          <w:p w14:paraId="36C32C6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1937" w:type="dxa"/>
            <w:vMerge w:val="continue"/>
            <w:tcBorders>
              <w:right w:val="single" w:color="auto" w:sz="4" w:space="0"/>
            </w:tcBorders>
            <w:vAlign w:val="center"/>
          </w:tcPr>
          <w:p w14:paraId="241D044C">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rPr>
            </w:pPr>
          </w:p>
        </w:tc>
        <w:tc>
          <w:tcPr>
            <w:tcW w:w="7850" w:type="dxa"/>
            <w:gridSpan w:val="4"/>
            <w:tcBorders>
              <w:top w:val="single" w:color="auto" w:sz="4" w:space="0"/>
              <w:left w:val="single" w:color="auto" w:sz="4" w:space="0"/>
            </w:tcBorders>
            <w:vAlign w:val="center"/>
          </w:tcPr>
          <w:p w14:paraId="282291C9">
            <w:pPr>
              <w:keepNext w:val="0"/>
              <w:keepLines w:val="0"/>
              <w:pageBreakBefore w:val="0"/>
              <w:kinsoku/>
              <w:topLinePunct w:val="0"/>
              <w:autoSpaceDE w:val="0"/>
              <w:autoSpaceDN w:val="0"/>
              <w:bidi w:val="0"/>
              <w:adjustRightInd w:val="0"/>
              <w:snapToGrid w:val="0"/>
              <w:spacing w:line="50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公示期不少于1工作日，公示期内无异议将向第一中标候选人发出成交通知书。</w:t>
            </w:r>
          </w:p>
        </w:tc>
      </w:tr>
      <w:tr w14:paraId="080F7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46" w:type="dxa"/>
            <w:vAlign w:val="center"/>
          </w:tcPr>
          <w:p w14:paraId="6BBE21EC">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4</w:t>
            </w:r>
          </w:p>
        </w:tc>
        <w:tc>
          <w:tcPr>
            <w:tcW w:w="1937" w:type="dxa"/>
            <w:vAlign w:val="center"/>
          </w:tcPr>
          <w:p w14:paraId="48B60FFC">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中标</w:t>
            </w:r>
          </w:p>
          <w:p w14:paraId="437C3096">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通知书</w:t>
            </w:r>
          </w:p>
        </w:tc>
        <w:tc>
          <w:tcPr>
            <w:tcW w:w="7850" w:type="dxa"/>
            <w:gridSpan w:val="4"/>
            <w:vAlign w:val="center"/>
          </w:tcPr>
          <w:p w14:paraId="549515ED">
            <w:pPr>
              <w:keepNext w:val="0"/>
              <w:keepLines w:val="0"/>
              <w:pageBreakBefore w:val="0"/>
              <w:widowControl/>
              <w:kinsoku/>
              <w:topLinePunct w:val="0"/>
              <w:bidi w:val="0"/>
              <w:spacing w:line="500" w:lineRule="exact"/>
              <w:ind w:left="50" w:leftChars="-45" w:hanging="144" w:hangingChars="4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中标公示</w:t>
            </w:r>
            <w:r>
              <w:rPr>
                <w:rFonts w:hint="eastAsia" w:ascii="仿宋_GB2312" w:hAnsi="仿宋_GB2312" w:eastAsia="仿宋_GB2312" w:cs="仿宋_GB2312"/>
                <w:b/>
                <w:color w:val="auto"/>
                <w:sz w:val="32"/>
                <w:szCs w:val="32"/>
                <w:highlight w:val="none"/>
              </w:rPr>
              <w:t>1</w:t>
            </w:r>
            <w:r>
              <w:rPr>
                <w:rFonts w:hint="eastAsia" w:ascii="仿宋_GB2312" w:hAnsi="仿宋_GB2312" w:eastAsia="仿宋_GB2312" w:cs="仿宋_GB2312"/>
                <w:color w:val="auto"/>
                <w:sz w:val="32"/>
                <w:szCs w:val="32"/>
                <w:highlight w:val="none"/>
              </w:rPr>
              <w:t>工作日无异议后发放</w:t>
            </w:r>
          </w:p>
        </w:tc>
      </w:tr>
      <w:tr w14:paraId="52C97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vAlign w:val="center"/>
          </w:tcPr>
          <w:p w14:paraId="53C3A674">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5</w:t>
            </w:r>
          </w:p>
        </w:tc>
        <w:tc>
          <w:tcPr>
            <w:tcW w:w="1937" w:type="dxa"/>
            <w:vAlign w:val="center"/>
          </w:tcPr>
          <w:p w14:paraId="6E2366D6">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合同签订</w:t>
            </w:r>
            <w:r>
              <w:rPr>
                <w:rFonts w:hint="eastAsia" w:ascii="仿宋_GB2312" w:hAnsi="仿宋_GB2312" w:eastAsia="仿宋_GB2312" w:cs="仿宋_GB2312"/>
                <w:b/>
                <w:color w:val="auto"/>
                <w:sz w:val="32"/>
                <w:szCs w:val="32"/>
                <w:highlight w:val="none"/>
                <w:lang w:val="en-US" w:eastAsia="zh-CN"/>
              </w:rPr>
              <w:t>有效期</w:t>
            </w:r>
          </w:p>
        </w:tc>
        <w:tc>
          <w:tcPr>
            <w:tcW w:w="7850" w:type="dxa"/>
            <w:gridSpan w:val="4"/>
            <w:vAlign w:val="center"/>
          </w:tcPr>
          <w:p w14:paraId="75987983">
            <w:pPr>
              <w:keepNext w:val="0"/>
              <w:keepLines w:val="0"/>
              <w:pageBreakBefore w:val="0"/>
              <w:widowControl/>
              <w:kinsoku/>
              <w:topLinePunct w:val="0"/>
              <w:bidi w:val="0"/>
              <w:spacing w:line="500" w:lineRule="exact"/>
              <w:ind w:left="50" w:leftChars="-45" w:hanging="144" w:hangingChars="4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通知书发出之日起30日内与采购人签订采购合同。</w:t>
            </w:r>
          </w:p>
          <w:p w14:paraId="34AC4101">
            <w:pPr>
              <w:keepNext w:val="0"/>
              <w:keepLines w:val="0"/>
              <w:pageBreakBefore w:val="0"/>
              <w:widowControl/>
              <w:kinsoku/>
              <w:topLinePunct w:val="0"/>
              <w:bidi w:val="0"/>
              <w:spacing w:line="500" w:lineRule="exact"/>
              <w:ind w:left="50" w:leftChars="-45" w:hanging="144" w:hangingChars="4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中标人在法定期限内无正当理由拒签合同的，按违约处理。同时，采购代理机构和采购人可依据评标排序重新确定中标人，并协调双方签订采购合同，或重新组织采购活动，并上报卫健委做不良信用处理。 </w:t>
            </w:r>
          </w:p>
        </w:tc>
      </w:tr>
      <w:tr w14:paraId="37137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Align w:val="center"/>
          </w:tcPr>
          <w:p w14:paraId="407CAB03">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6</w:t>
            </w:r>
          </w:p>
        </w:tc>
        <w:tc>
          <w:tcPr>
            <w:tcW w:w="1937" w:type="dxa"/>
            <w:vAlign w:val="center"/>
          </w:tcPr>
          <w:p w14:paraId="7385C5B3">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代理服务费</w:t>
            </w:r>
          </w:p>
        </w:tc>
        <w:tc>
          <w:tcPr>
            <w:tcW w:w="7850" w:type="dxa"/>
            <w:gridSpan w:val="4"/>
            <w:vAlign w:val="center"/>
          </w:tcPr>
          <w:p w14:paraId="288CAA14">
            <w:pPr>
              <w:keepNext w:val="0"/>
              <w:keepLines w:val="0"/>
              <w:pageBreakBefore w:val="0"/>
              <w:kinsoku/>
              <w:topLinePunct w:val="0"/>
              <w:bidi w:val="0"/>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招标代理服务费：中标人应按本招标文件的规定，在《</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通知书》核发时至核发后 3 天内，向采购代理机构支付中标服务费。其计算标准和方法按照下列表格差额定率累进法计算后下浮30%。代理服务费约为</w:t>
            </w:r>
            <w:r>
              <w:rPr>
                <w:rFonts w:hint="eastAsia" w:ascii="仿宋_GB2312" w:hAnsi="仿宋_GB2312" w:eastAsia="仿宋_GB2312" w:cs="仿宋_GB2312"/>
                <w:sz w:val="32"/>
                <w:szCs w:val="32"/>
                <w:lang w:val="en-US" w:eastAsia="zh-CN"/>
              </w:rPr>
              <w:t>15148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最终中标服务费金额按中标金额为基数计取。</w:t>
            </w:r>
          </w:p>
          <w:tbl>
            <w:tblPr>
              <w:tblStyle w:val="31"/>
              <w:tblW w:w="7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9"/>
              <w:gridCol w:w="3350"/>
            </w:tblGrid>
            <w:tr w14:paraId="2E41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209" w:type="dxa"/>
                </w:tcPr>
                <w:p w14:paraId="6341E87B">
                  <w:pPr>
                    <w:keepNext w:val="0"/>
                    <w:keepLines w:val="0"/>
                    <w:pageBreakBefore w:val="0"/>
                    <w:widowControl w:val="0"/>
                    <w:kinsoku/>
                    <w:overflowPunct/>
                    <w:topLinePunct w:val="0"/>
                    <w:bidi w:val="0"/>
                    <w:spacing w:before="24" w:line="560" w:lineRule="exact"/>
                    <w:ind w:firstLine="2240" w:firstLineChars="7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8890</wp:posOffset>
                            </wp:positionV>
                            <wp:extent cx="2683510" cy="725805"/>
                            <wp:effectExtent l="1270" t="4445" r="1270" b="12700"/>
                            <wp:wrapNone/>
                            <wp:docPr id="2" name="直接连接符 2"/>
                            <wp:cNvGraphicFramePr/>
                            <a:graphic xmlns:a="http://schemas.openxmlformats.org/drawingml/2006/main">
                              <a:graphicData uri="http://schemas.microsoft.com/office/word/2010/wordprocessingShape">
                                <wps:wsp>
                                  <wps:cNvCnPr/>
                                  <wps:spPr>
                                    <a:xfrm>
                                      <a:off x="1472565" y="7124065"/>
                                      <a:ext cx="2683510" cy="725805"/>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5.5pt;margin-top:0.7pt;height:57.15pt;width:211.3pt;z-index:251662336;mso-width-relative:page;mso-height-relative:page;" filled="f" stroked="t" coordsize="21600,21600" o:gfxdata="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E5&#10;hFbXAAAACQEAAA8AAAAAAAAAAQAgAAAAIgAAAGRycy9kb3ducmV2LnhtbFBLAQIUABQAAAAIAIdO&#10;4kBzGZEk6wEAALYDAAAOAAAAAAAAAAEAIAAAACY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kern w:val="2"/>
                      <w:sz w:val="32"/>
                      <w:szCs w:val="32"/>
                      <w:lang w:val="en-US" w:eastAsia="zh-CN" w:bidi="ar-SA"/>
                    </w:rPr>
                    <w:t>费用类别</w:t>
                  </w:r>
                </w:p>
                <w:p w14:paraId="3B6AB1AD">
                  <w:pPr>
                    <w:keepNext w:val="0"/>
                    <w:keepLines w:val="0"/>
                    <w:pageBreakBefore w:val="0"/>
                    <w:widowControl w:val="0"/>
                    <w:kinsoku/>
                    <w:overflowPunct/>
                    <w:topLinePunct w:val="0"/>
                    <w:bidi w:val="0"/>
                    <w:spacing w:before="24" w:line="560"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中标金额万元（人民币）</w:t>
                  </w:r>
                </w:p>
              </w:tc>
              <w:tc>
                <w:tcPr>
                  <w:tcW w:w="3350" w:type="dxa"/>
                  <w:vAlign w:val="center"/>
                </w:tcPr>
                <w:p w14:paraId="59CA07CD">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服务招标费率</w:t>
                  </w:r>
                </w:p>
              </w:tc>
            </w:tr>
            <w:tr w14:paraId="5FC3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09" w:type="dxa"/>
                </w:tcPr>
                <w:p w14:paraId="642B9BDF">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 以下部分</w:t>
                  </w:r>
                </w:p>
              </w:tc>
              <w:tc>
                <w:tcPr>
                  <w:tcW w:w="3350" w:type="dxa"/>
                </w:tcPr>
                <w:p w14:paraId="0A9816C5">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w:t>
                  </w:r>
                </w:p>
              </w:tc>
            </w:tr>
            <w:tr w14:paraId="35B5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09" w:type="dxa"/>
                </w:tcPr>
                <w:p w14:paraId="59616C47">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100-500 部分</w:t>
                  </w:r>
                </w:p>
              </w:tc>
              <w:tc>
                <w:tcPr>
                  <w:tcW w:w="3350" w:type="dxa"/>
                </w:tcPr>
                <w:p w14:paraId="1B8C222D">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0.8%</w:t>
                  </w:r>
                </w:p>
              </w:tc>
            </w:tr>
            <w:tr w14:paraId="2C35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4209" w:type="dxa"/>
                </w:tcPr>
                <w:p w14:paraId="6413FADF">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500-1000部分</w:t>
                  </w:r>
                </w:p>
              </w:tc>
              <w:tc>
                <w:tcPr>
                  <w:tcW w:w="3350" w:type="dxa"/>
                </w:tcPr>
                <w:p w14:paraId="018E640D">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0.45%</w:t>
                  </w:r>
                </w:p>
              </w:tc>
            </w:tr>
            <w:tr w14:paraId="20B2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09" w:type="dxa"/>
                </w:tcPr>
                <w:p w14:paraId="01EAE647">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1000-5000 部分</w:t>
                  </w:r>
                </w:p>
              </w:tc>
              <w:tc>
                <w:tcPr>
                  <w:tcW w:w="3350" w:type="dxa"/>
                </w:tcPr>
                <w:p w14:paraId="6B2498B5">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0.25%</w:t>
                  </w:r>
                </w:p>
              </w:tc>
            </w:tr>
            <w:tr w14:paraId="4C7E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09" w:type="dxa"/>
                </w:tcPr>
                <w:p w14:paraId="367CE2BB">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5000-10000 部分</w:t>
                  </w:r>
                </w:p>
              </w:tc>
              <w:tc>
                <w:tcPr>
                  <w:tcW w:w="3350" w:type="dxa"/>
                </w:tcPr>
                <w:p w14:paraId="3B88832E">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0.1%</w:t>
                  </w:r>
                </w:p>
              </w:tc>
            </w:tr>
            <w:tr w14:paraId="1CBD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09" w:type="dxa"/>
                  <w:vAlign w:val="top"/>
                </w:tcPr>
                <w:p w14:paraId="59EB287A">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10000-100000 部分</w:t>
                  </w:r>
                </w:p>
              </w:tc>
              <w:tc>
                <w:tcPr>
                  <w:tcW w:w="3350" w:type="dxa"/>
                  <w:vAlign w:val="top"/>
                </w:tcPr>
                <w:p w14:paraId="7EEC5B4E">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0.05%</w:t>
                  </w:r>
                </w:p>
              </w:tc>
            </w:tr>
            <w:tr w14:paraId="555D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209" w:type="dxa"/>
                  <w:vAlign w:val="top"/>
                </w:tcPr>
                <w:p w14:paraId="0C19ECFD">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1000000以上</w:t>
                  </w:r>
                </w:p>
              </w:tc>
              <w:tc>
                <w:tcPr>
                  <w:tcW w:w="3350" w:type="dxa"/>
                  <w:vAlign w:val="top"/>
                </w:tcPr>
                <w:p w14:paraId="185041AF">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0.01%</w:t>
                  </w:r>
                </w:p>
              </w:tc>
            </w:tr>
          </w:tbl>
          <w:p w14:paraId="59AED1A8">
            <w:pPr>
              <w:keepNext w:val="0"/>
              <w:keepLines w:val="0"/>
              <w:pageBreakBefore w:val="0"/>
              <w:kinsoku/>
              <w:topLinePunct w:val="0"/>
              <w:bidi w:val="0"/>
              <w:spacing w:before="24"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支付形式：对公转账</w:t>
            </w:r>
          </w:p>
          <w:p w14:paraId="796D7F00">
            <w:pPr>
              <w:keepNext w:val="0"/>
              <w:keepLines w:val="0"/>
              <w:pageBreakBefore w:val="0"/>
              <w:numPr>
                <w:ilvl w:val="0"/>
                <w:numId w:val="0"/>
              </w:numPr>
              <w:kinsoku/>
              <w:topLinePunct w:val="0"/>
              <w:bidi w:val="0"/>
              <w:spacing w:line="500" w:lineRule="exact"/>
              <w:ind w:left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pacing w:val="8"/>
                <w:sz w:val="32"/>
                <w:szCs w:val="32"/>
              </w:rPr>
              <w:t>支付时间：领取</w:t>
            </w:r>
            <w:r>
              <w:rPr>
                <w:rFonts w:hint="eastAsia" w:ascii="仿宋_GB2312" w:hAnsi="仿宋_GB2312" w:eastAsia="仿宋_GB2312" w:cs="仿宋_GB2312"/>
                <w:spacing w:val="8"/>
                <w:sz w:val="32"/>
                <w:szCs w:val="32"/>
                <w:lang w:val="en-US" w:eastAsia="zh-CN"/>
              </w:rPr>
              <w:t>成交</w:t>
            </w:r>
            <w:r>
              <w:rPr>
                <w:rFonts w:hint="eastAsia" w:ascii="仿宋_GB2312" w:hAnsi="仿宋_GB2312" w:eastAsia="仿宋_GB2312" w:cs="仿宋_GB2312"/>
                <w:spacing w:val="8"/>
                <w:sz w:val="32"/>
                <w:szCs w:val="32"/>
              </w:rPr>
              <w:t>通知书时由中标方一次性支付</w:t>
            </w:r>
          </w:p>
        </w:tc>
      </w:tr>
      <w:tr w14:paraId="60DBB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vAlign w:val="center"/>
          </w:tcPr>
          <w:p w14:paraId="04E07238">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lang w:val="en-US" w:eastAsia="zh-CN"/>
              </w:rPr>
              <w:t>27</w:t>
            </w:r>
          </w:p>
        </w:tc>
        <w:tc>
          <w:tcPr>
            <w:tcW w:w="1937" w:type="dxa"/>
            <w:vAlign w:val="center"/>
          </w:tcPr>
          <w:p w14:paraId="22DC3E91">
            <w:pPr>
              <w:pStyle w:val="17"/>
              <w:keepNext w:val="0"/>
              <w:keepLines w:val="0"/>
              <w:pageBreakBefore w:val="0"/>
              <w:kinsoku/>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2"/>
                <w:sz w:val="32"/>
                <w:szCs w:val="32"/>
                <w:highlight w:val="none"/>
                <w:lang w:val="en-US" w:eastAsia="zh-CN" w:bidi="ar-SA"/>
              </w:rPr>
              <w:t>招标文件的澄清或修改</w:t>
            </w:r>
          </w:p>
        </w:tc>
        <w:tc>
          <w:tcPr>
            <w:tcW w:w="7850" w:type="dxa"/>
            <w:gridSpan w:val="4"/>
            <w:vAlign w:val="center"/>
          </w:tcPr>
          <w:p w14:paraId="0945F2DE">
            <w:pPr>
              <w:pStyle w:val="17"/>
              <w:keepNext w:val="0"/>
              <w:keepLines w:val="0"/>
              <w:pageBreakBefore w:val="0"/>
              <w:kinsoku/>
              <w:topLinePunct w:val="0"/>
              <w:bidi w:val="0"/>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应当在知道或应当知道（即收到采购文件之日或者采购文件公告期限届满之日）其权益受到损害之日起</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个工作日内书面提出。</w:t>
            </w:r>
          </w:p>
        </w:tc>
      </w:tr>
      <w:tr w14:paraId="56B43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46" w:type="dxa"/>
            <w:vAlign w:val="center"/>
          </w:tcPr>
          <w:p w14:paraId="30D32CC2">
            <w:pPr>
              <w:keepNext w:val="0"/>
              <w:keepLines w:val="0"/>
              <w:pageBreakBefore w:val="0"/>
              <w:kinsoku/>
              <w:topLinePunct w:val="0"/>
              <w:autoSpaceDE w:val="0"/>
              <w:autoSpaceDN w:val="0"/>
              <w:bidi w:val="0"/>
              <w:adjustRightInd w:val="0"/>
              <w:snapToGrid w:val="0"/>
              <w:spacing w:line="500" w:lineRule="exact"/>
              <w:jc w:val="center"/>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8</w:t>
            </w:r>
          </w:p>
        </w:tc>
        <w:tc>
          <w:tcPr>
            <w:tcW w:w="1937" w:type="dxa"/>
            <w:vAlign w:val="center"/>
          </w:tcPr>
          <w:p w14:paraId="40B9887C">
            <w:pPr>
              <w:keepNext w:val="0"/>
              <w:keepLines w:val="0"/>
              <w:pageBreakBefore w:val="0"/>
              <w:kinsoku/>
              <w:overflowPunct w:val="0"/>
              <w:topLinePunct w:val="0"/>
              <w:bidi w:val="0"/>
              <w:spacing w:line="5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文件解释权</w:t>
            </w:r>
          </w:p>
        </w:tc>
        <w:tc>
          <w:tcPr>
            <w:tcW w:w="7850" w:type="dxa"/>
            <w:gridSpan w:val="4"/>
            <w:vAlign w:val="center"/>
          </w:tcPr>
          <w:p w14:paraId="5681333A">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的解释权归</w:t>
            </w:r>
            <w:r>
              <w:rPr>
                <w:rFonts w:hint="eastAsia" w:ascii="仿宋_GB2312" w:hAnsi="仿宋_GB2312" w:eastAsia="仿宋_GB2312" w:cs="仿宋_GB2312"/>
                <w:b/>
                <w:bCs/>
                <w:color w:val="000000"/>
                <w:sz w:val="32"/>
                <w:szCs w:val="32"/>
                <w:lang w:val="zh-CN"/>
              </w:rPr>
              <w:t>伊犁哈萨克自治州友谊医院</w:t>
            </w:r>
          </w:p>
        </w:tc>
      </w:tr>
      <w:tr w14:paraId="69DEC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vAlign w:val="center"/>
          </w:tcPr>
          <w:p w14:paraId="0C2075C6">
            <w:pPr>
              <w:keepNext w:val="0"/>
              <w:keepLines w:val="0"/>
              <w:pageBreakBefore w:val="0"/>
              <w:kinsoku/>
              <w:wordWrap/>
              <w:topLinePunct w:val="0"/>
              <w:autoSpaceDE w:val="0"/>
              <w:autoSpaceDN w:val="0"/>
              <w:bidi w:val="0"/>
              <w:adjustRightInd w:val="0"/>
              <w:snapToGrid w:val="0"/>
              <w:spacing w:line="460" w:lineRule="exact"/>
              <w:jc w:val="center"/>
              <w:textAlignment w:val="auto"/>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2</w:t>
            </w:r>
            <w:r>
              <w:rPr>
                <w:rFonts w:hint="eastAsia" w:ascii="仿宋_GB2312" w:hAnsi="仿宋_GB2312" w:eastAsia="仿宋_GB2312" w:cs="仿宋_GB2312"/>
                <w:b/>
                <w:color w:val="auto"/>
                <w:kern w:val="0"/>
                <w:sz w:val="32"/>
                <w:szCs w:val="32"/>
                <w:highlight w:val="none"/>
                <w:lang w:val="en-US" w:eastAsia="zh-CN"/>
              </w:rPr>
              <w:t>9</w:t>
            </w:r>
          </w:p>
        </w:tc>
        <w:tc>
          <w:tcPr>
            <w:tcW w:w="1937" w:type="dxa"/>
            <w:vAlign w:val="center"/>
          </w:tcPr>
          <w:p w14:paraId="02FA3B61">
            <w:pPr>
              <w:keepNext w:val="0"/>
              <w:keepLines w:val="0"/>
              <w:pageBreakBefore w:val="0"/>
              <w:kinsoku/>
              <w:wordWrap/>
              <w:overflowPunct w:val="0"/>
              <w:topLinePunct w:val="0"/>
              <w:bidi w:val="0"/>
              <w:spacing w:line="460" w:lineRule="exact"/>
              <w:jc w:val="center"/>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补充说明</w:t>
            </w:r>
          </w:p>
        </w:tc>
        <w:tc>
          <w:tcPr>
            <w:tcW w:w="7850" w:type="dxa"/>
            <w:gridSpan w:val="4"/>
            <w:vAlign w:val="center"/>
          </w:tcPr>
          <w:p w14:paraId="4D198821">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本项目采用电子招标投标：</w:t>
            </w:r>
            <w:r>
              <w:rPr>
                <w:rFonts w:hint="eastAsia" w:ascii="仿宋_GB2312" w:hAnsi="仿宋_GB2312" w:eastAsia="仿宋_GB2312" w:cs="仿宋_GB2312"/>
                <w:sz w:val="32"/>
                <w:szCs w:val="32"/>
                <w:lang w:val="en-US" w:eastAsia="zh-CN"/>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3E1C3109">
            <w:pPr>
              <w:keepNext w:val="0"/>
              <w:keepLines w:val="0"/>
              <w:pageBreakBefore w:val="0"/>
              <w:numPr>
                <w:ilvl w:val="0"/>
                <w:numId w:val="2"/>
              </w:numPr>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供应商报价CA签字确认：报价文件开启后将开启签字时段，供应商须在30分钟内用CA证书对报价进行签字确认。</w:t>
            </w:r>
          </w:p>
          <w:p w14:paraId="785096E1">
            <w:pPr>
              <w:keepNext w:val="0"/>
              <w:keepLines w:val="0"/>
              <w:pageBreakBefore w:val="0"/>
              <w:numPr>
                <w:ilvl w:val="0"/>
                <w:numId w:val="0"/>
              </w:numPr>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备注：</w:t>
            </w:r>
            <w:r>
              <w:rPr>
                <w:rFonts w:hint="eastAsia" w:ascii="仿宋_GB2312" w:hAnsi="仿宋_GB2312" w:eastAsia="仿宋_GB2312" w:cs="仿宋_GB2312"/>
                <w:sz w:val="32"/>
                <w:szCs w:val="32"/>
              </w:rPr>
              <w:t>1、本次采购采用电子交易方式，电子交易平台为“</w:t>
            </w:r>
            <w:r>
              <w:rPr>
                <w:rFonts w:hint="eastAsia" w:ascii="仿宋_GB2312" w:hAnsi="仿宋_GB2312" w:eastAsia="仿宋_GB2312" w:cs="仿宋_GB2312"/>
                <w:color w:val="000000"/>
                <w:kern w:val="2"/>
                <w:sz w:val="32"/>
                <w:szCs w:val="32"/>
                <w:lang w:val="en-US" w:eastAsia="zh-CN" w:bidi="ar-SA"/>
              </w:rPr>
              <w:t>政府采购云平台（www.zcygov.cn）</w:t>
            </w:r>
            <w:r>
              <w:rPr>
                <w:rFonts w:hint="eastAsia" w:ascii="仿宋_GB2312" w:hAnsi="仿宋_GB2312" w:eastAsia="仿宋_GB2312" w:cs="仿宋_GB2312"/>
                <w:sz w:val="32"/>
                <w:szCs w:val="32"/>
              </w:rPr>
              <w:t>”。供应商参与本项目电子交易活动前，应注册成为</w:t>
            </w:r>
            <w:r>
              <w:rPr>
                <w:rFonts w:hint="eastAsia" w:ascii="仿宋_GB2312" w:hAnsi="仿宋_GB2312" w:eastAsia="仿宋_GB2312" w:cs="仿宋_GB2312"/>
                <w:color w:val="000000"/>
                <w:kern w:val="2"/>
                <w:sz w:val="32"/>
                <w:szCs w:val="32"/>
                <w:lang w:val="en-US" w:eastAsia="zh-CN" w:bidi="ar-SA"/>
              </w:rPr>
              <w:t>政府采购云平台供应商</w:t>
            </w:r>
            <w:r>
              <w:rPr>
                <w:rFonts w:hint="eastAsia" w:ascii="仿宋_GB2312" w:hAnsi="仿宋_GB2312" w:eastAsia="仿宋_GB2312" w:cs="仿宋_GB2312"/>
                <w:sz w:val="32"/>
                <w:szCs w:val="32"/>
              </w:rPr>
              <w:t>。编制电子投标文件前还需申领CA证书并绑定帐号。供应商应充分考虑完成平台注册、申领CA证书等所需的时间。因未注册入库、未办理CA数字证书等原因造成无法投标或投标失败等后果由供应商自行承担。</w:t>
            </w:r>
          </w:p>
          <w:p w14:paraId="06C9691C">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分钟，如因供应商自身原因导致无法正常解密，后果由供应商自行承担。</w:t>
            </w:r>
          </w:p>
          <w:p w14:paraId="4DD50C7F">
            <w:pPr>
              <w:pStyle w:val="2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lang w:val="en-US" w:eastAsia="zh-CN" w:bidi="ar-SA"/>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ascii="仿宋_GB2312" w:hAnsi="仿宋_GB2312" w:eastAsia="仿宋_GB2312" w:cs="仿宋_GB2312"/>
                <w:color w:val="000000"/>
                <w:kern w:val="2"/>
                <w:sz w:val="32"/>
                <w:szCs w:val="32"/>
                <w:lang w:val="en-US" w:eastAsia="zh-CN" w:bidi="ar-SA"/>
              </w:rPr>
              <w:t>95763</w:t>
            </w:r>
            <w:r>
              <w:rPr>
                <w:rFonts w:hint="eastAsia" w:ascii="仿宋_GB2312" w:hAnsi="仿宋_GB2312" w:eastAsia="仿宋_GB2312" w:cs="仿宋_GB2312"/>
                <w:kern w:val="2"/>
                <w:sz w:val="32"/>
                <w:szCs w:val="32"/>
                <w:lang w:val="en-US" w:eastAsia="zh-CN" w:bidi="ar-SA"/>
              </w:rPr>
              <w:t>（工作时间：工作日08:00~20：00）   。</w:t>
            </w:r>
          </w:p>
          <w:p w14:paraId="61D8C624">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、按评标办法提供材料。</w:t>
            </w:r>
          </w:p>
          <w:p w14:paraId="4C168D00">
            <w:pPr>
              <w:keepNext w:val="0"/>
              <w:keepLines w:val="0"/>
              <w:pageBreakBefore w:val="0"/>
              <w:widowControl/>
              <w:kinsoku/>
              <w:wordWrap/>
              <w:topLinePunct w:val="0"/>
              <w:bidi w:val="0"/>
              <w:spacing w:line="4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须知前附表与正文描述不一致时，以须知前附表中为主。</w:t>
            </w:r>
          </w:p>
        </w:tc>
      </w:tr>
      <w:tr w14:paraId="33B0F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vAlign w:val="center"/>
          </w:tcPr>
          <w:p w14:paraId="0E7A0737">
            <w:pPr>
              <w:autoSpaceDE w:val="0"/>
              <w:autoSpaceDN w:val="0"/>
              <w:adjustRightInd w:val="0"/>
              <w:snapToGrid w:val="0"/>
              <w:spacing w:line="460" w:lineRule="exact"/>
              <w:jc w:val="center"/>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kern w:val="0"/>
                <w:sz w:val="32"/>
                <w:szCs w:val="32"/>
                <w:lang w:val="en-US" w:eastAsia="zh-CN"/>
              </w:rPr>
              <w:t>30</w:t>
            </w:r>
          </w:p>
        </w:tc>
        <w:tc>
          <w:tcPr>
            <w:tcW w:w="1937" w:type="dxa"/>
            <w:vAlign w:val="center"/>
          </w:tcPr>
          <w:p w14:paraId="251F7267">
            <w:pPr>
              <w:overflowPunct w:val="0"/>
              <w:spacing w:line="460" w:lineRule="exact"/>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sz w:val="32"/>
                <w:szCs w:val="32"/>
                <w:lang w:val="en-US" w:eastAsia="zh-CN"/>
              </w:rPr>
              <w:t>其他</w:t>
            </w:r>
            <w:r>
              <w:rPr>
                <w:rFonts w:hint="eastAsia" w:ascii="仿宋_GB2312" w:hAnsi="仿宋_GB2312" w:eastAsia="仿宋_GB2312" w:cs="仿宋_GB2312"/>
                <w:b/>
                <w:sz w:val="32"/>
                <w:szCs w:val="32"/>
              </w:rPr>
              <w:t>说明</w:t>
            </w:r>
          </w:p>
        </w:tc>
        <w:tc>
          <w:tcPr>
            <w:tcW w:w="7850" w:type="dxa"/>
            <w:gridSpan w:val="4"/>
            <w:vAlign w:val="center"/>
          </w:tcPr>
          <w:p w14:paraId="3C42D5CE">
            <w:pPr>
              <w:widowControl/>
              <w:spacing w:line="4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87号令第三十一条第一款：采用最低评标价法的采购项目，提供相同品牌产品的不同投标人参加同一合同项下投标的，以其中通过资格审查、符合性审查且报价最低的参加投标；报价相同的，由采购人或采购人委托评标委员会按照招标文件规定的方式确定一个参加评标的投标人，招标文件未规定的采取随机抽取方式确定，其他投标无效。</w:t>
            </w:r>
          </w:p>
          <w:p w14:paraId="2F9C181D">
            <w:pPr>
              <w:widowControl/>
              <w:spacing w:line="4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87号令第三十一条第二款：使用综合评分法的采购项目，提供相同品牌产品且通过资格审查、符合性审查的不同投标人参加同一合同项下投标的，按一家投标人计算，评审得分最高的同品牌投标人获得中标人推荐资格；评审得分相同的，由采购人或采购人委托评标委员会，按照招标文件规定的方式确定一个投标人获得中标人推荐资格。招标文件未规定的采取随机抽取方式确定，其他同品牌投标人不作为中标候选人。</w:t>
            </w:r>
          </w:p>
          <w:p w14:paraId="7AEBFDF9">
            <w:pPr>
              <w:keepNext w:val="0"/>
              <w:keepLines w:val="0"/>
              <w:pageBreakBefore w:val="0"/>
              <w:widowControl/>
              <w:kinsoku/>
              <w:wordWrap/>
              <w:topLinePunct w:val="0"/>
              <w:bidi w:val="0"/>
              <w:spacing w:line="4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财政部87号令三十一条第三款：非单一产品采购项目，采购人应当根据采购项目技术构成、产品价格比重等因素，合理确定关键产品，并在招标文件中载明。多家投标人提供的关键产品品牌相同的，按前两款规定处理。</w:t>
            </w:r>
          </w:p>
        </w:tc>
      </w:tr>
      <w:tr w14:paraId="29EC3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vAlign w:val="center"/>
          </w:tcPr>
          <w:p w14:paraId="42951F14">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特别说明：</w:t>
            </w:r>
          </w:p>
          <w:p w14:paraId="2D20403C">
            <w:pPr>
              <w:keepNext w:val="0"/>
              <w:keepLines w:val="0"/>
              <w:pageBreakBefore w:val="0"/>
              <w:kinsoku/>
              <w:wordWrap/>
              <w:overflowPunct/>
              <w:topLinePunct w:val="0"/>
              <w:autoSpaceDE/>
              <w:autoSpaceDN/>
              <w:bidi w:val="0"/>
              <w:spacing w:line="460" w:lineRule="exact"/>
              <w:ind w:right="105" w:right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46F70183">
            <w:pPr>
              <w:keepNext w:val="0"/>
              <w:keepLines w:val="0"/>
              <w:pageBreakBefore w:val="0"/>
              <w:widowControl/>
              <w:kinsoku/>
              <w:wordWrap/>
              <w:topLinePunct w:val="0"/>
              <w:bidi w:val="0"/>
              <w:spacing w:line="4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招标</w:t>
            </w:r>
            <w:r>
              <w:rPr>
                <w:rFonts w:hint="eastAsia" w:ascii="仿宋_GB2312" w:hAnsi="仿宋_GB2312" w:eastAsia="仿宋_GB2312" w:cs="仿宋_GB2312"/>
                <w:b/>
                <w:sz w:val="32"/>
                <w:szCs w:val="32"/>
              </w:rPr>
              <w:t>文件中部分加“</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”、加粗、加下划线、废标、无效标、投标被拒绝字样的条款，为招标的实质性要求和条件，着重提醒各投标人注意，并认真查看</w:t>
            </w:r>
            <w:r>
              <w:rPr>
                <w:rFonts w:hint="eastAsia" w:ascii="仿宋_GB2312" w:hAnsi="仿宋_GB2312" w:eastAsia="仿宋_GB2312" w:cs="仿宋_GB2312"/>
                <w:b/>
                <w:sz w:val="32"/>
                <w:szCs w:val="32"/>
                <w:lang w:val="en-US" w:eastAsia="zh-CN"/>
              </w:rPr>
              <w:t>招标</w:t>
            </w:r>
            <w:r>
              <w:rPr>
                <w:rFonts w:hint="eastAsia" w:ascii="仿宋_GB2312" w:hAnsi="仿宋_GB2312" w:eastAsia="仿宋_GB2312" w:cs="仿宋_GB2312"/>
                <w:b/>
                <w:sz w:val="32"/>
                <w:szCs w:val="32"/>
              </w:rPr>
              <w:t>文件中的每一个条款及要求，因误读</w:t>
            </w:r>
            <w:r>
              <w:rPr>
                <w:rFonts w:hint="eastAsia" w:ascii="仿宋_GB2312" w:hAnsi="仿宋_GB2312" w:eastAsia="仿宋_GB2312" w:cs="仿宋_GB2312"/>
                <w:b/>
                <w:sz w:val="32"/>
                <w:szCs w:val="32"/>
                <w:lang w:val="en-US" w:eastAsia="zh-CN"/>
              </w:rPr>
              <w:t>招标</w:t>
            </w:r>
            <w:r>
              <w:rPr>
                <w:rFonts w:hint="eastAsia" w:ascii="仿宋_GB2312" w:hAnsi="仿宋_GB2312" w:eastAsia="仿宋_GB2312" w:cs="仿宋_GB2312"/>
                <w:b/>
                <w:sz w:val="32"/>
                <w:szCs w:val="32"/>
              </w:rPr>
              <w:t>文件而造成的后果，招标人及代理机构概不负责</w:t>
            </w:r>
            <w:r>
              <w:rPr>
                <w:rFonts w:hint="eastAsia" w:ascii="仿宋_GB2312" w:hAnsi="仿宋_GB2312" w:eastAsia="仿宋_GB2312" w:cs="仿宋_GB2312"/>
                <w:b/>
                <w:sz w:val="32"/>
                <w:szCs w:val="32"/>
                <w:lang w:eastAsia="zh-CN"/>
              </w:rPr>
              <w:t>！</w:t>
            </w:r>
          </w:p>
        </w:tc>
      </w:tr>
    </w:tbl>
    <w:p w14:paraId="533B45F2">
      <w:pPr>
        <w:rPr>
          <w:rFonts w:hint="eastAsia" w:ascii="方正小标宋_GBK" w:hAnsi="方正小标宋_GBK" w:eastAsia="方正小标宋_GBK" w:cs="方正小标宋_GBK"/>
          <w:b w:val="0"/>
          <w:bCs w:val="0"/>
          <w:snapToGrid/>
          <w:kern w:val="2"/>
          <w:sz w:val="32"/>
          <w:szCs w:val="32"/>
          <w:lang w:val="en-US" w:eastAsia="zh-CN" w:bidi="ar-SA"/>
        </w:rPr>
      </w:pPr>
      <w:bookmarkStart w:id="7" w:name="_Toc3096"/>
    </w:p>
    <w:p w14:paraId="2E48D4BF">
      <w:pPr>
        <w:pStyle w:val="28"/>
        <w:pageBreakBefore w:val="0"/>
        <w:bidi w:val="0"/>
        <w:spacing w:line="360" w:lineRule="auto"/>
        <w:jc w:val="center"/>
        <w:rPr>
          <w:rFonts w:hint="eastAsia" w:ascii="方正小标宋_GBK" w:hAnsi="方正小标宋_GBK" w:eastAsia="方正小标宋_GBK" w:cs="方正小标宋_GBK"/>
          <w:b w:val="0"/>
          <w:bCs w:val="0"/>
          <w:snapToGrid/>
          <w:kern w:val="2"/>
          <w:sz w:val="32"/>
          <w:szCs w:val="32"/>
          <w:lang w:val="en-US" w:eastAsia="zh-CN" w:bidi="ar-SA"/>
        </w:rPr>
      </w:pPr>
    </w:p>
    <w:p w14:paraId="1A693854">
      <w:pPr>
        <w:pStyle w:val="28"/>
        <w:pageBreakBefore w:val="0"/>
        <w:bidi w:val="0"/>
        <w:spacing w:line="360" w:lineRule="auto"/>
        <w:jc w:val="center"/>
        <w:rPr>
          <w:rFonts w:hint="eastAsia" w:ascii="方正小标宋_GBK" w:hAnsi="方正小标宋_GBK" w:eastAsia="方正小标宋_GBK" w:cs="方正小标宋_GBK"/>
          <w:b w:val="0"/>
          <w:bCs w:val="0"/>
          <w:snapToGrid/>
          <w:kern w:val="2"/>
          <w:sz w:val="32"/>
          <w:szCs w:val="32"/>
          <w:lang w:val="en-US" w:eastAsia="zh-CN" w:bidi="ar-SA"/>
        </w:rPr>
      </w:pPr>
      <w:r>
        <w:rPr>
          <w:rFonts w:hint="eastAsia" w:ascii="方正小标宋_GBK" w:hAnsi="方正小标宋_GBK" w:eastAsia="方正小标宋_GBK" w:cs="方正小标宋_GBK"/>
          <w:b w:val="0"/>
          <w:bCs w:val="0"/>
          <w:snapToGrid/>
          <w:kern w:val="2"/>
          <w:sz w:val="32"/>
          <w:szCs w:val="32"/>
          <w:lang w:val="en-US" w:eastAsia="zh-CN" w:bidi="ar-SA"/>
        </w:rPr>
        <w:t>第三章　投标人须知</w:t>
      </w:r>
      <w:bookmarkEnd w:id="7"/>
    </w:p>
    <w:p w14:paraId="2453F6D1">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8" w:name="_Toc26890"/>
      <w:bookmarkStart w:id="9" w:name="_Toc18475"/>
      <w:bookmarkStart w:id="10" w:name="_Toc737"/>
      <w:r>
        <w:rPr>
          <w:rFonts w:hint="eastAsia" w:ascii="Times New Roman" w:hAnsi="Times New Roman" w:eastAsia="黑体" w:cs="Times New Roman"/>
          <w:b w:val="0"/>
          <w:bCs w:val="0"/>
          <w:kern w:val="2"/>
          <w:sz w:val="32"/>
          <w:szCs w:val="32"/>
          <w:lang w:val="zh-CN" w:eastAsia="zh-CN" w:bidi="ar-SA"/>
        </w:rPr>
        <w:t>一、说明</w:t>
      </w:r>
      <w:bookmarkEnd w:id="8"/>
      <w:bookmarkEnd w:id="9"/>
      <w:bookmarkEnd w:id="10"/>
    </w:p>
    <w:p w14:paraId="7966DEB8">
      <w:pPr>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 xml:space="preserve">   </w:t>
      </w:r>
      <w:bookmarkStart w:id="11" w:name="_Toc28947"/>
      <w:bookmarkStart w:id="12" w:name="_Toc2890"/>
      <w:bookmarkStart w:id="13" w:name="_Toc32718"/>
      <w:bookmarkStart w:id="14" w:name="_Toc11143"/>
      <w:bookmarkStart w:id="15" w:name="_Toc19092"/>
      <w:r>
        <w:rPr>
          <w:rFonts w:hint="eastAsia" w:ascii="仿宋_GB2312" w:hAnsi="仿宋_GB2312" w:eastAsia="仿宋_GB2312" w:cs="仿宋_GB2312"/>
          <w:b/>
          <w:bCs/>
          <w:color w:val="auto"/>
          <w:kern w:val="44"/>
          <w:sz w:val="32"/>
          <w:szCs w:val="32"/>
          <w:highlight w:val="none"/>
        </w:rPr>
        <w:t>说明：本</w:t>
      </w:r>
      <w:r>
        <w:rPr>
          <w:rFonts w:hint="eastAsia" w:ascii="仿宋_GB2312" w:hAnsi="仿宋_GB2312" w:eastAsia="仿宋_GB2312" w:cs="仿宋_GB2312"/>
          <w:b/>
          <w:bCs/>
          <w:color w:val="auto"/>
          <w:kern w:val="44"/>
          <w:sz w:val="32"/>
          <w:szCs w:val="32"/>
          <w:highlight w:val="none"/>
          <w:lang w:eastAsia="zh-CN"/>
        </w:rPr>
        <w:t>招标文件</w:t>
      </w:r>
      <w:r>
        <w:rPr>
          <w:rFonts w:hint="eastAsia" w:ascii="仿宋_GB2312" w:hAnsi="仿宋_GB2312" w:eastAsia="仿宋_GB2312" w:cs="仿宋_GB2312"/>
          <w:b/>
          <w:bCs/>
          <w:color w:val="auto"/>
          <w:kern w:val="44"/>
          <w:sz w:val="32"/>
          <w:szCs w:val="32"/>
          <w:highlight w:val="none"/>
        </w:rPr>
        <w:t>使用的词语有如下定义</w:t>
      </w:r>
      <w:bookmarkEnd w:id="11"/>
      <w:bookmarkEnd w:id="12"/>
      <w:bookmarkEnd w:id="13"/>
      <w:bookmarkEnd w:id="14"/>
      <w:bookmarkEnd w:id="15"/>
    </w:p>
    <w:p w14:paraId="0FDBEDF9">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u w:val="single"/>
          <w:lang w:val="zh-CN"/>
        </w:rPr>
      </w:pPr>
      <w:r>
        <w:rPr>
          <w:rFonts w:hint="eastAsia" w:ascii="仿宋_GB2312" w:hAnsi="仿宋_GB2312" w:eastAsia="仿宋_GB2312" w:cs="仿宋_GB2312"/>
          <w:color w:val="auto"/>
          <w:sz w:val="32"/>
          <w:szCs w:val="32"/>
          <w:highlight w:val="none"/>
          <w:lang w:val="zh-CN"/>
        </w:rPr>
        <w:t>“采购人”系指依法进行政府采购的国家机关、事业单位、团体组织。系指：</w:t>
      </w:r>
      <w:r>
        <w:rPr>
          <w:rFonts w:hint="eastAsia" w:ascii="仿宋_GB2312" w:hAnsi="仿宋_GB2312" w:eastAsia="仿宋_GB2312" w:cs="仿宋_GB2312"/>
          <w:color w:val="auto"/>
          <w:sz w:val="32"/>
          <w:szCs w:val="32"/>
          <w:highlight w:val="none"/>
          <w:u w:val="single"/>
          <w:lang w:val="zh-CN"/>
        </w:rPr>
        <w:t xml:space="preserve"> 伊犁哈萨克自治州友谊医院 。</w:t>
      </w:r>
    </w:p>
    <w:p w14:paraId="5641F9C6">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 xml:space="preserve">“采购代理机构”系指： </w:t>
      </w:r>
      <w:r>
        <w:rPr>
          <w:rFonts w:hint="eastAsia" w:ascii="仿宋_GB2312" w:hAnsi="仿宋_GB2312" w:eastAsia="仿宋_GB2312" w:cs="仿宋_GB2312"/>
          <w:color w:val="auto"/>
          <w:sz w:val="32"/>
          <w:szCs w:val="32"/>
          <w:highlight w:val="none"/>
          <w:u w:val="single"/>
          <w:lang w:val="zh-CN"/>
        </w:rPr>
        <w:t>新疆金斌工程项目管理有限公司</w:t>
      </w:r>
      <w:r>
        <w:rPr>
          <w:rFonts w:hint="eastAsia" w:ascii="仿宋_GB2312" w:hAnsi="仿宋_GB2312" w:eastAsia="仿宋_GB2312" w:cs="仿宋_GB2312"/>
          <w:color w:val="auto"/>
          <w:sz w:val="32"/>
          <w:szCs w:val="32"/>
          <w:highlight w:val="none"/>
          <w:lang w:val="zh-CN"/>
        </w:rPr>
        <w:t>。</w:t>
      </w:r>
    </w:p>
    <w:p w14:paraId="1ACC357F">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“投标人”系指响应采购、参加投标竞争的当事人。</w:t>
      </w:r>
    </w:p>
    <w:p w14:paraId="106D6F18">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“成交人”系指由评标小组评审推荐，经法定程序确定获得本项目中标资格的投标人。</w:t>
      </w:r>
    </w:p>
    <w:p w14:paraId="1388D7CA">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“评标小组” 系指依法组建，负责本次采购的评标工作机构。</w:t>
      </w:r>
    </w:p>
    <w:p w14:paraId="2DC85B18">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“甲方”系指在合同条款中指明的采购人。</w:t>
      </w:r>
    </w:p>
    <w:p w14:paraId="27C47DDB">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“乙方”系指在合同条款中指明的本合同项下提供</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lang w:val="zh-CN"/>
        </w:rPr>
        <w:t>的公司或实体。</w:t>
      </w:r>
    </w:p>
    <w:p w14:paraId="7E4BE6FD">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“招标文件”系指由采购代理机构发出的本招标文件，包括全部章节和附件。</w:t>
      </w:r>
    </w:p>
    <w:p w14:paraId="1CF17027">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“投标文件”系指投标人根据本招标文件向采购代理机构提交的全部文件。</w:t>
      </w:r>
    </w:p>
    <w:p w14:paraId="2A9679D1">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“书面函件” 系指手写、打字或印刷的函件，包括电传、电报和传真。</w:t>
      </w:r>
    </w:p>
    <w:p w14:paraId="089C2A52">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“合同” 系指由本次采购所产生的合同或合约文件。</w:t>
      </w:r>
    </w:p>
    <w:p w14:paraId="1ABE098E">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“日期”系指公历日。</w:t>
      </w:r>
    </w:p>
    <w:p w14:paraId="7A593A1F">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“时间”系指北京时间。</w:t>
      </w:r>
    </w:p>
    <w:p w14:paraId="65ED7F0F">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“货物”系指投标人须向采购人提供的符合招标文件要求的货。</w:t>
      </w:r>
    </w:p>
    <w:p w14:paraId="25F5FFF6">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“服务”系指投标人须向采购人提供的符合招标文件要求的服务。</w:t>
      </w:r>
    </w:p>
    <w:p w14:paraId="713C849D">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“实质性响应”系指符合招标文件的所有要求、条款、条件和规定，且没有不利于项目实施质量效果和服务保障的重大偏离或保留。</w:t>
      </w:r>
    </w:p>
    <w:p w14:paraId="3CD10E6E">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“重大偏离或保留”系指影响到招标文件规定的范围、质量和性能或限制了采购人的权力和投标人义务的规定，而纠正这些偏离将影响到其它投标人的公平竞争地位。</w:t>
      </w:r>
    </w:p>
    <w:p w14:paraId="03A3B4FA">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盖章：一般情况指盖投标人的法定</w:t>
      </w:r>
      <w:r>
        <w:rPr>
          <w:rFonts w:hint="eastAsia" w:ascii="仿宋_GB2312" w:hAnsi="仿宋_GB2312" w:eastAsia="仿宋_GB2312"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lang w:val="zh-CN"/>
        </w:rPr>
        <w:t>公章，除招标文件特别说明外，使用财务专用章、合同章、投标专用章等非公章的盖章，均作无效盖章处理。</w:t>
      </w:r>
    </w:p>
    <w:p w14:paraId="7F6F2E52">
      <w:pPr>
        <w:pageBreakBefore w:val="0"/>
        <w:numPr>
          <w:ilvl w:val="0"/>
          <w:numId w:val="4"/>
        </w:numPr>
        <w:kinsoku/>
        <w:overflowPunct/>
        <w:topLinePunct w:val="0"/>
        <w:autoSpaceDE w:val="0"/>
        <w:autoSpaceDN w:val="0"/>
        <w:bidi w:val="0"/>
        <w:adjustRightInd w:val="0"/>
        <w:snapToGrid w:val="0"/>
        <w:spacing w:line="500" w:lineRule="exact"/>
        <w:ind w:left="794" w:hanging="794"/>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签署：一般情况指亲笔签字或使用盖</w:t>
      </w:r>
      <w:r>
        <w:rPr>
          <w:rFonts w:hint="eastAsia" w:ascii="仿宋_GB2312" w:hAnsi="仿宋_GB2312" w:eastAsia="仿宋_GB2312"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lang w:val="zh-CN"/>
        </w:rPr>
        <w:t>私章方式，除招标文件特别说明外，其他方式均作无效签署处理。</w:t>
      </w:r>
    </w:p>
    <w:p w14:paraId="6374050F">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6" w:name="_Toc55778675"/>
      <w:r>
        <w:rPr>
          <w:rFonts w:hint="eastAsia" w:ascii="仿宋_GB2312" w:hAnsi="仿宋_GB2312" w:eastAsia="仿宋_GB2312" w:cs="仿宋_GB2312"/>
          <w:b/>
          <w:bCs/>
          <w:color w:val="auto"/>
          <w:kern w:val="44"/>
          <w:sz w:val="32"/>
          <w:szCs w:val="32"/>
          <w:highlight w:val="none"/>
        </w:rPr>
        <w:t xml:space="preserve">    </w:t>
      </w:r>
      <w:bookmarkStart w:id="17" w:name="_Toc19223"/>
      <w:bookmarkStart w:id="18" w:name="_Toc2235"/>
      <w:bookmarkStart w:id="19" w:name="_Toc30404"/>
      <w:bookmarkStart w:id="20" w:name="_Toc26165"/>
      <w:bookmarkStart w:id="21" w:name="_Toc10541"/>
      <w:r>
        <w:rPr>
          <w:rFonts w:hint="eastAsia" w:ascii="仿宋_GB2312" w:hAnsi="仿宋_GB2312" w:eastAsia="仿宋_GB2312" w:cs="仿宋_GB2312"/>
          <w:b/>
          <w:bCs/>
          <w:color w:val="auto"/>
          <w:kern w:val="44"/>
          <w:sz w:val="32"/>
          <w:szCs w:val="32"/>
          <w:highlight w:val="none"/>
        </w:rPr>
        <w:t>合格的投标人</w:t>
      </w:r>
      <w:bookmarkEnd w:id="16"/>
      <w:bookmarkEnd w:id="17"/>
      <w:bookmarkEnd w:id="18"/>
      <w:bookmarkEnd w:id="19"/>
      <w:bookmarkEnd w:id="20"/>
      <w:bookmarkEnd w:id="21"/>
    </w:p>
    <w:p w14:paraId="66F5818E">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除非另有规定，凡是在中华人民共和国境内注册且为人民币流通区域内的供货人均可投标。</w:t>
      </w:r>
    </w:p>
    <w:p w14:paraId="04BC77CE">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投标人符合《中华人民共和国政府采购法》第22条和《中华人民共和国政府采购法实施条例》第17条规定的条件。</w:t>
      </w:r>
    </w:p>
    <w:p w14:paraId="39C768ED">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54DCD13">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与采购人存在利害关系可能影响公正性的法人或其他组织或自然人不得参加投标。</w:t>
      </w:r>
    </w:p>
    <w:p w14:paraId="4003885D">
      <w:pPr>
        <w:pageBreakBefore w:val="0"/>
        <w:numPr>
          <w:ilvl w:val="1"/>
          <w:numId w:val="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招标文件要求的其他条件。</w:t>
      </w:r>
    </w:p>
    <w:p w14:paraId="5DBBE9FD">
      <w:pPr>
        <w:pStyle w:val="4"/>
        <w:pageBreakBefore w:val="0"/>
        <w:numPr>
          <w:ilvl w:val="0"/>
          <w:numId w:val="3"/>
        </w:numPr>
        <w:tabs>
          <w:tab w:val="left" w:pos="900"/>
          <w:tab w:val="clear" w:pos="425"/>
        </w:tabs>
        <w:kinsoku/>
        <w:overflowPunct/>
        <w:topLinePunct w:val="0"/>
        <w:bidi w:val="0"/>
        <w:spacing w:before="0" w:after="0" w:line="500" w:lineRule="exact"/>
        <w:ind w:left="924" w:hanging="924"/>
        <w:textAlignment w:val="auto"/>
        <w:rPr>
          <w:rStyle w:val="56"/>
          <w:rFonts w:hint="eastAsia" w:ascii="仿宋_GB2312" w:hAnsi="仿宋_GB2312" w:eastAsia="仿宋_GB2312" w:cs="仿宋_GB2312"/>
          <w:bCs/>
          <w:color w:val="auto"/>
          <w:sz w:val="32"/>
          <w:szCs w:val="32"/>
          <w:highlight w:val="none"/>
        </w:rPr>
      </w:pPr>
      <w:bookmarkStart w:id="22" w:name="_Toc15216"/>
      <w:bookmarkStart w:id="23" w:name="_Toc20782"/>
      <w:bookmarkStart w:id="24" w:name="_Toc2653"/>
      <w:bookmarkStart w:id="25" w:name="_Toc28554"/>
      <w:bookmarkStart w:id="26" w:name="_Toc2463"/>
      <w:bookmarkStart w:id="27" w:name="_Toc55778677"/>
      <w:bookmarkStart w:id="28" w:name="_Toc25107"/>
      <w:r>
        <w:rPr>
          <w:rStyle w:val="56"/>
          <w:rFonts w:hint="eastAsia" w:ascii="仿宋_GB2312" w:hAnsi="仿宋_GB2312" w:eastAsia="仿宋_GB2312" w:cs="仿宋_GB2312"/>
          <w:bCs/>
          <w:color w:val="auto"/>
          <w:sz w:val="32"/>
          <w:szCs w:val="32"/>
          <w:highlight w:val="none"/>
        </w:rPr>
        <w:t>投标费用</w:t>
      </w:r>
      <w:bookmarkEnd w:id="22"/>
      <w:bookmarkEnd w:id="23"/>
      <w:bookmarkEnd w:id="24"/>
      <w:bookmarkEnd w:id="25"/>
      <w:bookmarkEnd w:id="26"/>
      <w:bookmarkEnd w:id="27"/>
      <w:bookmarkEnd w:id="28"/>
    </w:p>
    <w:p w14:paraId="03AD5E0B">
      <w:pPr>
        <w:pStyle w:val="59"/>
        <w:pageBreakBefore w:val="0"/>
        <w:numPr>
          <w:ilvl w:val="0"/>
          <w:numId w:val="6"/>
        </w:numPr>
        <w:kinsoku/>
        <w:overflowPunct/>
        <w:topLinePunct w:val="0"/>
        <w:bidi w:val="0"/>
        <w:spacing w:line="500" w:lineRule="exact"/>
        <w:ind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投标人应承担所有与准备和参加投标有关的费用。不论投标的结果如何，采购代理机构和采购人均无义务和责任承担这些费用。</w:t>
      </w:r>
    </w:p>
    <w:p w14:paraId="664F93C3">
      <w:pPr>
        <w:pStyle w:val="4"/>
        <w:pageBreakBefore w:val="0"/>
        <w:numPr>
          <w:ilvl w:val="0"/>
          <w:numId w:val="3"/>
        </w:numPr>
        <w:tabs>
          <w:tab w:val="left" w:pos="900"/>
          <w:tab w:val="clear" w:pos="425"/>
        </w:tabs>
        <w:kinsoku/>
        <w:overflowPunct/>
        <w:topLinePunct w:val="0"/>
        <w:bidi w:val="0"/>
        <w:spacing w:before="0" w:after="0" w:line="500" w:lineRule="exact"/>
        <w:ind w:left="924" w:hanging="924"/>
        <w:textAlignment w:val="auto"/>
        <w:rPr>
          <w:rFonts w:hint="eastAsia" w:ascii="仿宋_GB2312" w:hAnsi="仿宋_GB2312" w:eastAsia="仿宋_GB2312" w:cs="仿宋_GB2312"/>
          <w:color w:val="auto"/>
          <w:sz w:val="32"/>
          <w:szCs w:val="32"/>
          <w:highlight w:val="none"/>
        </w:rPr>
      </w:pPr>
      <w:bookmarkStart w:id="29" w:name="_Toc14265"/>
      <w:bookmarkStart w:id="30" w:name="_Toc2722"/>
      <w:bookmarkStart w:id="31" w:name="_Toc9407"/>
      <w:bookmarkStart w:id="32" w:name="_Toc19746"/>
      <w:bookmarkStart w:id="33" w:name="_Toc22355"/>
      <w:bookmarkStart w:id="34" w:name="_Toc55778678"/>
      <w:r>
        <w:rPr>
          <w:rStyle w:val="56"/>
          <w:rFonts w:hint="eastAsia" w:ascii="仿宋_GB2312" w:hAnsi="仿宋_GB2312" w:eastAsia="仿宋_GB2312" w:cs="仿宋_GB2312"/>
          <w:bCs w:val="0"/>
          <w:color w:val="auto"/>
          <w:sz w:val="32"/>
          <w:szCs w:val="32"/>
          <w:highlight w:val="none"/>
        </w:rPr>
        <w:t>现场考察或者召开开标前答疑会</w:t>
      </w:r>
      <w:bookmarkEnd w:id="29"/>
      <w:bookmarkEnd w:id="30"/>
      <w:bookmarkEnd w:id="31"/>
      <w:bookmarkEnd w:id="32"/>
      <w:bookmarkEnd w:id="33"/>
      <w:bookmarkEnd w:id="34"/>
    </w:p>
    <w:p w14:paraId="612CCCAC">
      <w:pPr>
        <w:pageBreakBefore w:val="0"/>
        <w:numPr>
          <w:ilvl w:val="1"/>
          <w:numId w:val="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35" w:name="_Ref179620557"/>
      <w:r>
        <w:rPr>
          <w:rFonts w:hint="eastAsia" w:ascii="仿宋_GB2312" w:hAnsi="仿宋_GB2312" w:eastAsia="仿宋_GB2312" w:cs="仿宋_GB2312"/>
          <w:color w:val="auto"/>
          <w:sz w:val="32"/>
          <w:szCs w:val="32"/>
          <w:highlight w:val="none"/>
        </w:rPr>
        <w:t>除非另有规定，不举行项目现场考察或者召开开标前答疑会，如举行现场考察或者召开开标前答疑会的，则按以下规定</w:t>
      </w:r>
      <w:bookmarkEnd w:id="35"/>
      <w:r>
        <w:rPr>
          <w:rFonts w:hint="eastAsia" w:ascii="仿宋_GB2312" w:hAnsi="仿宋_GB2312" w:eastAsia="仿宋_GB2312" w:cs="仿宋_GB2312"/>
          <w:color w:val="auto"/>
          <w:sz w:val="32"/>
          <w:szCs w:val="32"/>
          <w:highlight w:val="none"/>
        </w:rPr>
        <w:t>：</w:t>
      </w:r>
    </w:p>
    <w:p w14:paraId="68A2AC0A">
      <w:pPr>
        <w:pageBreakBefore w:val="0"/>
        <w:numPr>
          <w:ilvl w:val="0"/>
          <w:numId w:val="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1B6D8944">
      <w:pPr>
        <w:pageBreakBefore w:val="0"/>
        <w:numPr>
          <w:ilvl w:val="0"/>
          <w:numId w:val="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对本项目提出的疑问，可在现场考察或者召开开标前答疑会召开日前至少一个工作日将问题清单以书面形式（加盖公章）提交至采购代理机构。</w:t>
      </w:r>
    </w:p>
    <w:p w14:paraId="0392A94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36" w:name="_Toc55778679"/>
      <w:r>
        <w:rPr>
          <w:rFonts w:hint="eastAsia" w:ascii="仿宋_GB2312" w:hAnsi="仿宋_GB2312" w:eastAsia="仿宋_GB2312" w:cs="仿宋_GB2312"/>
          <w:b/>
          <w:bCs/>
          <w:color w:val="auto"/>
          <w:kern w:val="44"/>
          <w:sz w:val="32"/>
          <w:szCs w:val="32"/>
          <w:highlight w:val="none"/>
        </w:rPr>
        <w:t xml:space="preserve">    </w:t>
      </w:r>
      <w:bookmarkStart w:id="37" w:name="_Toc2323"/>
      <w:bookmarkStart w:id="38" w:name="_Toc15619"/>
      <w:bookmarkStart w:id="39" w:name="_Toc16839"/>
      <w:bookmarkStart w:id="40" w:name="_Toc27748"/>
      <w:bookmarkStart w:id="41" w:name="_Toc10763"/>
      <w:r>
        <w:rPr>
          <w:rFonts w:hint="eastAsia" w:ascii="仿宋_GB2312" w:hAnsi="仿宋_GB2312" w:eastAsia="仿宋_GB2312" w:cs="仿宋_GB2312"/>
          <w:b/>
          <w:bCs/>
          <w:color w:val="auto"/>
          <w:kern w:val="44"/>
          <w:sz w:val="32"/>
          <w:szCs w:val="32"/>
          <w:highlight w:val="none"/>
        </w:rPr>
        <w:t>开标的资质要求、时间及地点</w:t>
      </w:r>
      <w:bookmarkEnd w:id="36"/>
      <w:bookmarkEnd w:id="37"/>
      <w:bookmarkEnd w:id="38"/>
      <w:bookmarkEnd w:id="39"/>
      <w:bookmarkEnd w:id="40"/>
      <w:bookmarkEnd w:id="41"/>
    </w:p>
    <w:p w14:paraId="00218EA6">
      <w:pPr>
        <w:pageBreakBefore w:val="0"/>
        <w:numPr>
          <w:ilvl w:val="1"/>
          <w:numId w:val="3"/>
        </w:numPr>
        <w:tabs>
          <w:tab w:val="left" w:pos="907"/>
          <w:tab w:val="clear" w:pos="992"/>
        </w:tabs>
        <w:kinsoku/>
        <w:overflowPunct/>
        <w:topLinePunct w:val="0"/>
        <w:bidi w:val="0"/>
        <w:spacing w:line="500" w:lineRule="exact"/>
        <w:ind w:left="992" w:leftChars="0" w:hanging="567"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本项目开标的时间、地点已在第二章《投标须知前附表》列清。</w:t>
      </w:r>
    </w:p>
    <w:p w14:paraId="45B1739C">
      <w:pPr>
        <w:pageBreakBefore w:val="0"/>
        <w:numPr>
          <w:ilvl w:val="1"/>
          <w:numId w:val="3"/>
        </w:numPr>
        <w:tabs>
          <w:tab w:val="left" w:pos="907"/>
          <w:tab w:val="clear" w:pos="992"/>
        </w:tabs>
        <w:kinsoku/>
        <w:overflowPunct/>
        <w:topLinePunct w:val="0"/>
        <w:bidi w:val="0"/>
        <w:spacing w:line="500" w:lineRule="exact"/>
        <w:ind w:left="992" w:leftChars="0" w:hanging="567"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19F0B35C">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42" w:name="_Toc55778680"/>
      <w:r>
        <w:rPr>
          <w:rFonts w:hint="eastAsia" w:ascii="仿宋_GB2312" w:hAnsi="仿宋_GB2312" w:eastAsia="仿宋_GB2312" w:cs="仿宋_GB2312"/>
          <w:b/>
          <w:bCs/>
          <w:color w:val="auto"/>
          <w:kern w:val="44"/>
          <w:sz w:val="32"/>
          <w:szCs w:val="32"/>
          <w:highlight w:val="none"/>
        </w:rPr>
        <w:t xml:space="preserve">   </w:t>
      </w:r>
      <w:bookmarkStart w:id="43" w:name="_Toc6954"/>
      <w:bookmarkStart w:id="44" w:name="_Toc12859"/>
      <w:bookmarkStart w:id="45" w:name="_Toc23617"/>
      <w:bookmarkStart w:id="46" w:name="_Toc2052"/>
      <w:bookmarkStart w:id="47" w:name="_Toc18733"/>
      <w:r>
        <w:rPr>
          <w:rFonts w:hint="eastAsia" w:ascii="仿宋_GB2312" w:hAnsi="仿宋_GB2312" w:eastAsia="仿宋_GB2312" w:cs="仿宋_GB2312"/>
          <w:b/>
          <w:bCs/>
          <w:color w:val="auto"/>
          <w:kern w:val="44"/>
          <w:sz w:val="32"/>
          <w:szCs w:val="32"/>
          <w:highlight w:val="none"/>
        </w:rPr>
        <w:t>纪律与保密事项</w:t>
      </w:r>
      <w:bookmarkEnd w:id="42"/>
      <w:bookmarkEnd w:id="43"/>
      <w:bookmarkEnd w:id="44"/>
      <w:bookmarkEnd w:id="45"/>
      <w:bookmarkEnd w:id="46"/>
      <w:bookmarkEnd w:id="47"/>
    </w:p>
    <w:p w14:paraId="491F8D63">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凡参与招标工作的有关人员均应自觉接受有关主管部门的监督，不得向他人透露已获得招标文件的潜在投标人的名称、数量以及可能影响公平竞争的有关招标投标的其他情况。</w:t>
      </w:r>
    </w:p>
    <w:p w14:paraId="1ED3F322">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开标后，直至向中标的投标人发出《</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通知书》时止，凡与审查、澄清、评价和比较投标的有关资料以及授标意见等，均不得向投标人及与评标无关的其他人透露。</w:t>
      </w:r>
    </w:p>
    <w:p w14:paraId="2EAACB91">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除投标人被要求对投标文件进行澄清外，从开标至签订合同期间，投标人不得就与其投标文件有关的事项主动与评标小组、采购代理机构以及采购人联系。</w:t>
      </w:r>
    </w:p>
    <w:p w14:paraId="3AE35526">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从开标至签订合同期间，投标人试图在投标文件审查、澄清、比较和评价时对评标小组和招标机构施加任何影响或对采购人的比较及授予合同的决定进行影响，都可能导致其投标文件被拒绝。</w:t>
      </w:r>
    </w:p>
    <w:p w14:paraId="64F04141">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投标人不得串通作弊，以不正当的手段妨碍、排挤其他投标人，扰乱招标市场，破坏公平竞争原则。</w:t>
      </w:r>
    </w:p>
    <w:p w14:paraId="72BE423D">
      <w:pPr>
        <w:pageBreakBefore w:val="0"/>
        <w:numPr>
          <w:ilvl w:val="1"/>
          <w:numId w:val="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获得本招标文件者，应对文件进行保密，不得用作本次投标以外的任何用途。若有要求，开标后，投标人应归还招标文件中的保密的文件和资料。</w:t>
      </w:r>
    </w:p>
    <w:p w14:paraId="407E29DC">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48" w:name="_Toc55778681"/>
      <w:r>
        <w:rPr>
          <w:rFonts w:hint="eastAsia" w:ascii="仿宋_GB2312" w:hAnsi="仿宋_GB2312" w:eastAsia="仿宋_GB2312" w:cs="仿宋_GB2312"/>
          <w:b/>
          <w:bCs/>
          <w:color w:val="auto"/>
          <w:kern w:val="44"/>
          <w:sz w:val="32"/>
          <w:szCs w:val="32"/>
          <w:highlight w:val="none"/>
        </w:rPr>
        <w:t xml:space="preserve">    </w:t>
      </w:r>
      <w:bookmarkStart w:id="49" w:name="_Toc18189"/>
      <w:bookmarkStart w:id="50" w:name="_Toc17472"/>
      <w:bookmarkStart w:id="51" w:name="_Toc20462"/>
      <w:bookmarkStart w:id="52" w:name="_Toc20913"/>
      <w:bookmarkStart w:id="53" w:name="_Toc5873"/>
      <w:r>
        <w:rPr>
          <w:rFonts w:hint="eastAsia" w:ascii="仿宋_GB2312" w:hAnsi="仿宋_GB2312" w:eastAsia="仿宋_GB2312" w:cs="仿宋_GB2312"/>
          <w:b/>
          <w:bCs/>
          <w:color w:val="auto"/>
          <w:kern w:val="44"/>
          <w:sz w:val="32"/>
          <w:szCs w:val="32"/>
          <w:highlight w:val="none"/>
        </w:rPr>
        <w:t>保证</w:t>
      </w:r>
      <w:bookmarkEnd w:id="48"/>
      <w:bookmarkEnd w:id="49"/>
      <w:bookmarkEnd w:id="50"/>
      <w:bookmarkEnd w:id="51"/>
      <w:bookmarkEnd w:id="52"/>
      <w:bookmarkEnd w:id="53"/>
    </w:p>
    <w:p w14:paraId="0CC71671">
      <w:pPr>
        <w:pageBreakBefore w:val="0"/>
        <w:numPr>
          <w:ilvl w:val="1"/>
          <w:numId w:val="1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投标人必须保证所提交给采购代理机构、采购人的资料和数据是真实的，并承担相应的法律责任。</w:t>
      </w:r>
    </w:p>
    <w:p w14:paraId="438A043A">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54" w:name="_Toc30778"/>
      <w:bookmarkStart w:id="55" w:name="_Toc55778682"/>
      <w:bookmarkStart w:id="56" w:name="_Toc21599"/>
      <w:r>
        <w:rPr>
          <w:rFonts w:hint="eastAsia" w:ascii="Times New Roman" w:hAnsi="Times New Roman" w:eastAsia="黑体" w:cs="Times New Roman"/>
          <w:b w:val="0"/>
          <w:bCs w:val="0"/>
          <w:kern w:val="2"/>
          <w:sz w:val="32"/>
          <w:szCs w:val="32"/>
          <w:lang w:val="zh-CN" w:eastAsia="zh-CN" w:bidi="ar-SA"/>
        </w:rPr>
        <w:t>二、招标文件</w:t>
      </w:r>
      <w:bookmarkEnd w:id="54"/>
      <w:bookmarkEnd w:id="55"/>
      <w:bookmarkEnd w:id="56"/>
    </w:p>
    <w:p w14:paraId="25D02A9F">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57" w:name="_Toc25851"/>
      <w:bookmarkStart w:id="58" w:name="_Toc55778683"/>
      <w:r>
        <w:rPr>
          <w:rFonts w:hint="eastAsia" w:ascii="仿宋_GB2312" w:hAnsi="仿宋_GB2312" w:eastAsia="仿宋_GB2312" w:cs="仿宋_GB2312"/>
          <w:b/>
          <w:bCs/>
          <w:color w:val="auto"/>
          <w:kern w:val="44"/>
          <w:sz w:val="32"/>
          <w:szCs w:val="32"/>
          <w:highlight w:val="none"/>
        </w:rPr>
        <w:t xml:space="preserve">   </w:t>
      </w:r>
      <w:bookmarkStart w:id="59" w:name="_Toc4904"/>
      <w:bookmarkStart w:id="60" w:name="_Toc6970"/>
      <w:bookmarkStart w:id="61" w:name="_Toc6842"/>
      <w:bookmarkStart w:id="62" w:name="_Toc5513"/>
      <w:bookmarkStart w:id="63" w:name="_Toc7611"/>
      <w:r>
        <w:rPr>
          <w:rFonts w:hint="eastAsia" w:ascii="仿宋_GB2312" w:hAnsi="仿宋_GB2312" w:eastAsia="仿宋_GB2312" w:cs="仿宋_GB2312"/>
          <w:b/>
          <w:bCs/>
          <w:color w:val="auto"/>
          <w:kern w:val="44"/>
          <w:sz w:val="32"/>
          <w:szCs w:val="32"/>
          <w:highlight w:val="none"/>
        </w:rPr>
        <w:t>招标文件的编制依据与构成</w:t>
      </w:r>
      <w:bookmarkEnd w:id="57"/>
      <w:bookmarkEnd w:id="58"/>
      <w:bookmarkEnd w:id="59"/>
      <w:bookmarkEnd w:id="60"/>
      <w:bookmarkEnd w:id="61"/>
      <w:bookmarkEnd w:id="62"/>
      <w:bookmarkEnd w:id="63"/>
    </w:p>
    <w:p w14:paraId="17EBCC62">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8.1   本招标文件的编制依据是《中华人民共和国政府采购法》、《中华人民共和国政府采购法实施条例》、《政府采购货物和服务招标投标管理办法》及其配套的法规、规章、政策等。</w:t>
      </w:r>
    </w:p>
    <w:p w14:paraId="4F61DA0F">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8.2   招标文件以中文文字编写。招标文件共六章。招标文件由下列文件以及在招标过程中发出的澄清、修改和补充文件组成，内容如下：</w:t>
      </w:r>
    </w:p>
    <w:p w14:paraId="3DEBFA84">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第一章 </w:t>
      </w:r>
      <w:r>
        <w:rPr>
          <w:rFonts w:hint="eastAsia" w:ascii="仿宋_GB2312" w:hAnsi="仿宋_GB2312" w:eastAsia="仿宋_GB2312" w:cs="仿宋_GB2312"/>
          <w:color w:val="auto"/>
          <w:sz w:val="32"/>
          <w:szCs w:val="32"/>
          <w:highlight w:val="none"/>
          <w:lang w:val="en-US" w:eastAsia="zh-CN"/>
        </w:rPr>
        <w:t>招标</w:t>
      </w:r>
      <w:r>
        <w:rPr>
          <w:rFonts w:hint="eastAsia" w:ascii="仿宋_GB2312" w:hAnsi="仿宋_GB2312" w:eastAsia="仿宋_GB2312" w:cs="仿宋_GB2312"/>
          <w:color w:val="auto"/>
          <w:sz w:val="32"/>
          <w:szCs w:val="32"/>
          <w:highlight w:val="none"/>
        </w:rPr>
        <w:t>公告</w:t>
      </w:r>
    </w:p>
    <w:p w14:paraId="65DAB99C">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第二章 投标须知前附表</w:t>
      </w:r>
    </w:p>
    <w:p w14:paraId="1C00766F">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第三章 投标人须知</w:t>
      </w:r>
    </w:p>
    <w:p w14:paraId="7FBB8E6B">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第四章 合同格式</w:t>
      </w:r>
    </w:p>
    <w:p w14:paraId="70C70888">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 xml:space="preserve">第五章 </w:t>
      </w:r>
      <w:r>
        <w:rPr>
          <w:rFonts w:hint="eastAsia" w:ascii="仿宋_GB2312" w:hAnsi="仿宋_GB2312" w:eastAsia="仿宋_GB2312" w:cs="仿宋_GB2312"/>
          <w:color w:val="auto"/>
          <w:sz w:val="32"/>
          <w:szCs w:val="32"/>
          <w:highlight w:val="none"/>
          <w:lang w:val="en-US" w:eastAsia="zh-CN"/>
        </w:rPr>
        <w:t>采购项目清单及参数要求</w:t>
      </w:r>
    </w:p>
    <w:p w14:paraId="38A368F2">
      <w:pPr>
        <w:pageBreakBefore w:val="0"/>
        <w:kinsoku/>
        <w:overflowPunct/>
        <w:topLinePunct w:val="0"/>
        <w:bidi w:val="0"/>
        <w:spacing w:line="500" w:lineRule="exact"/>
        <w:ind w:firstLine="960" w:firstLine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第六章 投标文件格式</w:t>
      </w:r>
    </w:p>
    <w:p w14:paraId="498F3F26">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w:t>
      </w:r>
      <w:r>
        <w:rPr>
          <w:rFonts w:hint="eastAsia" w:ascii="仿宋_GB2312" w:hAnsi="仿宋_GB2312" w:eastAsia="仿宋_GB2312" w:cs="仿宋_GB2312"/>
          <w:color w:val="auto"/>
          <w:sz w:val="32"/>
          <w:szCs w:val="32"/>
          <w:highlight w:val="none"/>
          <w:lang w:val="en-US" w:eastAsia="zh-CN"/>
        </w:rPr>
        <w:t>新疆</w:t>
      </w:r>
      <w:r>
        <w:rPr>
          <w:rFonts w:hint="eastAsia" w:ascii="仿宋_GB2312" w:hAnsi="仿宋_GB2312" w:eastAsia="仿宋_GB2312" w:cs="仿宋_GB2312"/>
          <w:color w:val="auto"/>
          <w:sz w:val="32"/>
          <w:szCs w:val="32"/>
          <w:highlight w:val="none"/>
        </w:rPr>
        <w:t>政采云平台查看答疑文件或澄清文件。投标人应及时注意</w:t>
      </w:r>
      <w:r>
        <w:rPr>
          <w:rFonts w:hint="eastAsia" w:ascii="仿宋_GB2312" w:hAnsi="仿宋_GB2312" w:eastAsia="仿宋_GB2312" w:cs="仿宋_GB2312"/>
          <w:color w:val="auto"/>
          <w:sz w:val="32"/>
          <w:szCs w:val="32"/>
          <w:highlight w:val="none"/>
          <w:lang w:val="en-US" w:eastAsia="zh-CN"/>
        </w:rPr>
        <w:t>新疆</w:t>
      </w:r>
      <w:r>
        <w:rPr>
          <w:rFonts w:hint="eastAsia" w:ascii="仿宋_GB2312" w:hAnsi="仿宋_GB2312" w:eastAsia="仿宋_GB2312" w:cs="仿宋_GB2312"/>
          <w:color w:val="auto"/>
          <w:sz w:val="32"/>
          <w:szCs w:val="32"/>
          <w:highlight w:val="none"/>
        </w:rPr>
        <w:t>政采云发布的澄清或修改通知并下载，因投标人原因未及时获知澄清、修改或补充内容而导致的任何后果将由投标人自行承担。</w:t>
      </w:r>
    </w:p>
    <w:p w14:paraId="00949A8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sz w:val="32"/>
          <w:szCs w:val="32"/>
        </w:rPr>
      </w:pPr>
      <w:bookmarkStart w:id="64" w:name="_Toc55778684"/>
      <w:r>
        <w:rPr>
          <w:rFonts w:hint="eastAsia" w:ascii="仿宋_GB2312" w:hAnsi="仿宋_GB2312" w:eastAsia="仿宋_GB2312" w:cs="仿宋_GB2312"/>
          <w:b/>
          <w:color w:val="auto"/>
          <w:kern w:val="44"/>
          <w:sz w:val="32"/>
          <w:szCs w:val="32"/>
          <w:highlight w:val="none"/>
        </w:rPr>
        <w:t xml:space="preserve">   </w:t>
      </w:r>
      <w:bookmarkStart w:id="65" w:name="_Toc24522"/>
      <w:bookmarkStart w:id="66" w:name="_Toc22484"/>
      <w:bookmarkStart w:id="67" w:name="_Toc28706"/>
      <w:bookmarkStart w:id="68" w:name="_Toc5501"/>
      <w:bookmarkStart w:id="69" w:name="_Toc18515"/>
      <w:r>
        <w:rPr>
          <w:rFonts w:hint="eastAsia" w:ascii="仿宋_GB2312" w:hAnsi="仿宋_GB2312" w:eastAsia="仿宋_GB2312" w:cs="仿宋_GB2312"/>
          <w:b/>
          <w:color w:val="auto"/>
          <w:kern w:val="44"/>
          <w:sz w:val="32"/>
          <w:szCs w:val="32"/>
          <w:highlight w:val="none"/>
        </w:rPr>
        <w:t>招标文件的澄清或修改</w:t>
      </w:r>
      <w:bookmarkEnd w:id="64"/>
      <w:bookmarkEnd w:id="65"/>
      <w:bookmarkEnd w:id="66"/>
      <w:bookmarkEnd w:id="67"/>
      <w:bookmarkEnd w:id="68"/>
      <w:bookmarkEnd w:id="69"/>
    </w:p>
    <w:p w14:paraId="71D2F655">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.1　投标人应仔细阅读和检查招标文件的全部内容。投标人若对招标文件有任何疑问，应按照招标文件第二章“投标人须知前附表”第2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项规定向采购代理机构提出。提出后，请投标人及时通过</w:t>
      </w:r>
      <w:r>
        <w:rPr>
          <w:rFonts w:hint="eastAsia" w:ascii="仿宋_GB2312" w:hAnsi="仿宋_GB2312" w:eastAsia="仿宋_GB2312" w:cs="仿宋_GB2312"/>
          <w:color w:val="auto"/>
          <w:sz w:val="32"/>
          <w:szCs w:val="32"/>
          <w:highlight w:val="none"/>
          <w:lang w:val="en-US" w:eastAsia="zh-CN"/>
        </w:rPr>
        <w:t>新疆</w:t>
      </w:r>
      <w:r>
        <w:rPr>
          <w:rFonts w:hint="eastAsia" w:ascii="仿宋_GB2312" w:hAnsi="仿宋_GB2312" w:eastAsia="仿宋_GB2312" w:cs="仿宋_GB2312"/>
          <w:color w:val="auto"/>
          <w:sz w:val="32"/>
          <w:szCs w:val="32"/>
          <w:highlight w:val="none"/>
        </w:rPr>
        <w:t>政采云平台查看答疑文件或澄清文件。必要时，采购代理机构将组织相关专家召开答疑会，如召开，答疑会安排另行通知。并在</w:t>
      </w:r>
      <w:r>
        <w:rPr>
          <w:rFonts w:hint="eastAsia" w:ascii="仿宋_GB2312" w:hAnsi="仿宋_GB2312" w:eastAsia="仿宋_GB2312" w:cs="仿宋_GB2312"/>
          <w:color w:val="auto"/>
          <w:sz w:val="32"/>
          <w:szCs w:val="32"/>
          <w:highlight w:val="none"/>
          <w:lang w:val="en-US" w:eastAsia="zh-CN"/>
        </w:rPr>
        <w:t>新疆</w:t>
      </w:r>
      <w:r>
        <w:rPr>
          <w:rFonts w:hint="eastAsia" w:ascii="仿宋_GB2312" w:hAnsi="仿宋_GB2312" w:eastAsia="仿宋_GB2312" w:cs="仿宋_GB2312"/>
          <w:color w:val="auto"/>
          <w:sz w:val="32"/>
          <w:szCs w:val="32"/>
          <w:highlight w:val="none"/>
        </w:rPr>
        <w:t>政采云平台发布更正公告。</w:t>
      </w:r>
      <w:r>
        <w:rPr>
          <w:rFonts w:hint="eastAsia" w:ascii="仿宋_GB2312" w:hAnsi="仿宋_GB2312" w:eastAsia="仿宋_GB2312" w:cs="仿宋_GB2312"/>
          <w:color w:val="auto"/>
          <w:sz w:val="32"/>
          <w:szCs w:val="32"/>
          <w:highlight w:val="none"/>
          <w:lang w:val="en-US" w:eastAsia="zh-CN"/>
        </w:rPr>
        <w:t>投标人在规定的时间内未对招标文件提出疑问或要求澄清的，采购代理机构将视其为同意，对在“答疑接受时间”后就招标文件内容提出的疑问及澄清要求将不予受理。</w:t>
      </w:r>
    </w:p>
    <w:p w14:paraId="2D20E888">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9.2　如果澄清或者修改时间距本章投标人须知前附表规定的投标截止时间不足15日，将相应顺延提交投标文件的截止时间，澄清或者修改时间具体见投标人须知前附表。</w:t>
      </w:r>
    </w:p>
    <w:p w14:paraId="4ED9B44A">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9.3　澄清或者修改内容为招标文件的组成部分，对所有领取了招标文件的潜在投标人均具有约束力。</w:t>
      </w:r>
    </w:p>
    <w:p w14:paraId="03BED3F4">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9.4  投标人应注意及时新疆政采云发布的澄清或修改通知并下载，因投标人原因未及时获知澄清、修改或补充内容而导致的任何后果将由投标人自行承担。</w:t>
      </w:r>
    </w:p>
    <w:p w14:paraId="6907AA15">
      <w:pPr>
        <w:pageBreakBefore w:val="0"/>
        <w:tabs>
          <w:tab w:val="left" w:pos="907"/>
        </w:tabs>
        <w:kinsoku/>
        <w:overflowPunct/>
        <w:topLinePunct w:val="0"/>
        <w:bidi w:val="0"/>
        <w:spacing w:line="500" w:lineRule="exact"/>
        <w:ind w:left="720" w:hanging="960" w:hangingChars="300"/>
        <w:textAlignment w:val="auto"/>
        <w:rPr>
          <w:rFonts w:hint="eastAsia" w:ascii="仿宋_GB2312" w:hAnsi="仿宋_GB2312" w:eastAsia="仿宋_GB2312" w:cs="仿宋_GB2312"/>
          <w:color w:val="auto"/>
          <w:sz w:val="32"/>
          <w:szCs w:val="32"/>
          <w:highlight w:val="none"/>
        </w:rPr>
      </w:pPr>
    </w:p>
    <w:p w14:paraId="48456CDD">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70" w:name="_Toc55778685"/>
      <w:bookmarkStart w:id="71" w:name="_Toc14750"/>
      <w:r>
        <w:rPr>
          <w:rFonts w:hint="eastAsia" w:ascii="Times New Roman" w:hAnsi="Times New Roman" w:eastAsia="黑体" w:cs="Times New Roman"/>
          <w:b w:val="0"/>
          <w:bCs w:val="0"/>
          <w:kern w:val="2"/>
          <w:sz w:val="32"/>
          <w:szCs w:val="32"/>
          <w:lang w:val="zh-CN" w:eastAsia="zh-CN" w:bidi="ar-SA"/>
        </w:rPr>
        <w:t>三、投标文件的编制</w:t>
      </w:r>
      <w:bookmarkEnd w:id="70"/>
      <w:bookmarkEnd w:id="71"/>
    </w:p>
    <w:p w14:paraId="4E58007E">
      <w:pPr>
        <w:pStyle w:val="4"/>
        <w:pageBreakBefore w:val="0"/>
        <w:numPr>
          <w:ilvl w:val="0"/>
          <w:numId w:val="3"/>
        </w:numPr>
        <w:tabs>
          <w:tab w:val="left" w:pos="900"/>
          <w:tab w:val="clear" w:pos="425"/>
        </w:tabs>
        <w:kinsoku/>
        <w:overflowPunct/>
        <w:topLinePunct w:val="0"/>
        <w:bidi w:val="0"/>
        <w:spacing w:before="0" w:after="0" w:line="500" w:lineRule="exact"/>
        <w:ind w:left="924" w:hanging="924"/>
        <w:textAlignment w:val="auto"/>
        <w:rPr>
          <w:rStyle w:val="56"/>
          <w:rFonts w:hint="eastAsia" w:ascii="仿宋_GB2312" w:hAnsi="仿宋_GB2312" w:eastAsia="仿宋_GB2312" w:cs="仿宋_GB2312"/>
          <w:bCs/>
          <w:color w:val="auto"/>
          <w:sz w:val="32"/>
          <w:szCs w:val="32"/>
          <w:highlight w:val="none"/>
        </w:rPr>
      </w:pPr>
      <w:bookmarkStart w:id="72" w:name="_Toc4795"/>
      <w:bookmarkStart w:id="73" w:name="_Toc25330"/>
      <w:bookmarkStart w:id="74" w:name="_Toc887"/>
      <w:bookmarkStart w:id="75" w:name="_Toc55778686"/>
      <w:bookmarkStart w:id="76" w:name="_Toc22093"/>
      <w:bookmarkStart w:id="77" w:name="_Toc19464"/>
      <w:r>
        <w:rPr>
          <w:rStyle w:val="56"/>
          <w:rFonts w:hint="eastAsia" w:ascii="仿宋_GB2312" w:hAnsi="仿宋_GB2312" w:eastAsia="仿宋_GB2312" w:cs="仿宋_GB2312"/>
          <w:bCs/>
          <w:color w:val="auto"/>
          <w:sz w:val="32"/>
          <w:szCs w:val="32"/>
          <w:highlight w:val="none"/>
        </w:rPr>
        <w:t>投标的语言</w:t>
      </w:r>
      <w:bookmarkEnd w:id="72"/>
      <w:bookmarkEnd w:id="73"/>
      <w:bookmarkEnd w:id="74"/>
      <w:bookmarkEnd w:id="75"/>
      <w:bookmarkEnd w:id="76"/>
      <w:bookmarkEnd w:id="77"/>
    </w:p>
    <w:p w14:paraId="6BC9D8A3">
      <w:pPr>
        <w:pageBreakBefore w:val="0"/>
        <w:numPr>
          <w:ilvl w:val="1"/>
          <w:numId w:val="1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78" w:name="_Ref179620571"/>
      <w:r>
        <w:rPr>
          <w:rFonts w:hint="eastAsia" w:ascii="仿宋_GB2312" w:hAnsi="仿宋_GB2312" w:eastAsia="仿宋_GB2312" w:cs="仿宋_GB2312"/>
          <w:color w:val="auto"/>
          <w:sz w:val="32"/>
          <w:szCs w:val="32"/>
          <w:highlight w:val="none"/>
        </w:rPr>
        <w:t>投标人提交的投标文件以及投标人与采购代理机构和采购人就有关投标的所有来往函电均应使用</w:t>
      </w:r>
      <w:r>
        <w:rPr>
          <w:rFonts w:hint="eastAsia" w:ascii="仿宋_GB2312" w:hAnsi="仿宋_GB2312" w:eastAsia="仿宋_GB2312" w:cs="仿宋_GB2312"/>
          <w:bCs/>
          <w:color w:val="auto"/>
          <w:sz w:val="32"/>
          <w:szCs w:val="32"/>
          <w:highlight w:val="none"/>
        </w:rPr>
        <w:t>中文书写。投标人提交的支持文件或印刷的资料可以用另一种语言，但相应内容应附有中文翻译本</w:t>
      </w:r>
      <w:r>
        <w:rPr>
          <w:rFonts w:hint="eastAsia" w:ascii="仿宋_GB2312" w:hAnsi="仿宋_GB2312" w:eastAsia="仿宋_GB2312" w:cs="仿宋_GB2312"/>
          <w:color w:val="auto"/>
          <w:sz w:val="32"/>
          <w:szCs w:val="32"/>
          <w:highlight w:val="none"/>
        </w:rPr>
        <w:t>，在解释投标文件时以翻译本为准。</w:t>
      </w:r>
      <w:bookmarkEnd w:id="78"/>
    </w:p>
    <w:p w14:paraId="08147BE8">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79" w:name="_Toc55778688"/>
      <w:bookmarkStart w:id="80" w:name="_Toc15173"/>
      <w:r>
        <w:rPr>
          <w:rFonts w:hint="eastAsia" w:ascii="仿宋_GB2312" w:hAnsi="仿宋_GB2312" w:eastAsia="仿宋_GB2312" w:cs="仿宋_GB2312"/>
          <w:b/>
          <w:bCs/>
          <w:color w:val="auto"/>
          <w:kern w:val="44"/>
          <w:sz w:val="32"/>
          <w:szCs w:val="32"/>
          <w:highlight w:val="none"/>
        </w:rPr>
        <w:t xml:space="preserve">    </w:t>
      </w:r>
      <w:bookmarkStart w:id="81" w:name="_Toc21704"/>
      <w:bookmarkStart w:id="82" w:name="_Toc23086"/>
      <w:bookmarkStart w:id="83" w:name="_Toc2079"/>
      <w:bookmarkStart w:id="84" w:name="_Toc1469"/>
      <w:r>
        <w:rPr>
          <w:rFonts w:hint="eastAsia" w:ascii="仿宋_GB2312" w:hAnsi="仿宋_GB2312" w:eastAsia="仿宋_GB2312" w:cs="仿宋_GB2312"/>
          <w:b/>
          <w:bCs/>
          <w:color w:val="auto"/>
          <w:kern w:val="44"/>
          <w:sz w:val="32"/>
          <w:szCs w:val="32"/>
          <w:highlight w:val="none"/>
        </w:rPr>
        <w:t>投标文件的构成</w:t>
      </w:r>
      <w:bookmarkEnd w:id="79"/>
      <w:bookmarkEnd w:id="80"/>
      <w:bookmarkEnd w:id="81"/>
      <w:bookmarkEnd w:id="82"/>
      <w:bookmarkEnd w:id="83"/>
      <w:bookmarkEnd w:id="84"/>
    </w:p>
    <w:p w14:paraId="4C460F29">
      <w:pPr>
        <w:pStyle w:val="63"/>
        <w:keepNext w:val="0"/>
        <w:keepLines w:val="0"/>
        <w:pageBreakBefore w:val="0"/>
        <w:widowControl w:val="0"/>
        <w:kinsoku/>
        <w:wordWrap/>
        <w:overflowPunct/>
        <w:topLinePunct w:val="0"/>
        <w:bidi w:val="0"/>
        <w:spacing w:line="500" w:lineRule="exact"/>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bookmarkStart w:id="85" w:name="_Toc30134"/>
      <w:bookmarkStart w:id="86" w:name="_Toc55778689"/>
      <w:r>
        <w:rPr>
          <w:rFonts w:hint="eastAsia" w:ascii="仿宋_GB2312" w:hAnsi="仿宋_GB2312" w:eastAsia="仿宋_GB2312" w:cs="仿宋_GB2312"/>
          <w:color w:val="auto"/>
          <w:kern w:val="2"/>
          <w:sz w:val="32"/>
          <w:szCs w:val="32"/>
          <w:highlight w:val="none"/>
          <w:lang w:val="en-US" w:eastAsia="zh-CN" w:bidi="ar-SA"/>
        </w:rPr>
        <w:t>（1）投标承诺书</w:t>
      </w:r>
    </w:p>
    <w:p w14:paraId="53FAAB9E">
      <w:pPr>
        <w:pStyle w:val="63"/>
        <w:keepNext w:val="0"/>
        <w:keepLines w:val="0"/>
        <w:pageBreakBefore w:val="0"/>
        <w:widowControl w:val="0"/>
        <w:kinsoku/>
        <w:wordWrap/>
        <w:overflowPunct/>
        <w:topLinePunct w:val="0"/>
        <w:bidi w:val="0"/>
        <w:spacing w:line="500" w:lineRule="exact"/>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（2）报价一览表</w:t>
      </w:r>
    </w:p>
    <w:p w14:paraId="4AFC06D6">
      <w:pPr>
        <w:pStyle w:val="63"/>
        <w:keepNext w:val="0"/>
        <w:keepLines w:val="0"/>
        <w:pageBreakBefore w:val="0"/>
        <w:widowControl w:val="0"/>
        <w:kinsoku/>
        <w:wordWrap/>
        <w:overflowPunct/>
        <w:topLinePunct w:val="0"/>
        <w:bidi w:val="0"/>
        <w:spacing w:line="500" w:lineRule="exact"/>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报价一览明细表</w:t>
      </w:r>
    </w:p>
    <w:p w14:paraId="2A2B88D4">
      <w:pPr>
        <w:pStyle w:val="63"/>
        <w:keepNext w:val="0"/>
        <w:keepLines w:val="0"/>
        <w:pageBreakBefore w:val="0"/>
        <w:widowControl w:val="0"/>
        <w:kinsoku/>
        <w:wordWrap/>
        <w:overflowPunct/>
        <w:topLinePunct w:val="0"/>
        <w:bidi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）法定代表人身份证明</w:t>
      </w:r>
    </w:p>
    <w:p w14:paraId="6BB78FE8">
      <w:pPr>
        <w:pStyle w:val="63"/>
        <w:keepNext w:val="0"/>
        <w:keepLines w:val="0"/>
        <w:pageBreakBefore w:val="0"/>
        <w:widowControl w:val="0"/>
        <w:kinsoku/>
        <w:wordWrap/>
        <w:overflowPunct/>
        <w:topLinePunct w:val="0"/>
        <w:bidi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）法定代表人授权委托书</w:t>
      </w:r>
    </w:p>
    <w:p w14:paraId="7407A5AB">
      <w:pPr>
        <w:pStyle w:val="63"/>
        <w:keepNext w:val="0"/>
        <w:keepLines w:val="0"/>
        <w:pageBreakBefore w:val="0"/>
        <w:widowControl w:val="0"/>
        <w:kinsoku/>
        <w:wordWrap/>
        <w:overflowPunct/>
        <w:topLinePunct w:val="0"/>
        <w:bidi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）投标保证金打款凭证或投标保函</w:t>
      </w:r>
    </w:p>
    <w:p w14:paraId="58E486E2">
      <w:pPr>
        <w:pStyle w:val="63"/>
        <w:keepNext w:val="0"/>
        <w:keepLines w:val="0"/>
        <w:pageBreakBefore w:val="0"/>
        <w:widowControl w:val="0"/>
        <w:kinsoku/>
        <w:wordWrap/>
        <w:overflowPunct/>
        <w:topLinePunct w:val="0"/>
        <w:bidi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7</w:t>
      </w:r>
      <w:r>
        <w:rPr>
          <w:rFonts w:hint="eastAsia" w:ascii="仿宋_GB2312" w:hAnsi="仿宋_GB2312" w:eastAsia="仿宋_GB2312" w:cs="仿宋_GB2312"/>
          <w:color w:val="auto"/>
          <w:kern w:val="2"/>
          <w:sz w:val="32"/>
          <w:szCs w:val="32"/>
          <w:highlight w:val="none"/>
          <w:lang w:val="en-US" w:eastAsia="zh-CN" w:bidi="ar-SA"/>
        </w:rPr>
        <w:t>）技术条件响应/偏离表</w:t>
      </w:r>
    </w:p>
    <w:p w14:paraId="68103DA2">
      <w:pPr>
        <w:pStyle w:val="23"/>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（8）商务条件响应/偏离表</w:t>
      </w:r>
    </w:p>
    <w:p w14:paraId="11B08BB6">
      <w:pPr>
        <w:pStyle w:val="23"/>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（9）相应的资格证明文件以及商务因素、技术因素、服务因素所需证明资料（包括不限于企业简介、企业相关证件等）（格式自拟）</w:t>
      </w:r>
    </w:p>
    <w:p w14:paraId="6F934BE7">
      <w:pPr>
        <w:pStyle w:val="23"/>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（10）投标人近三年（2023年04月01日至今）类似项目业绩（附类似项目业绩中标通知书或合同）</w:t>
      </w:r>
    </w:p>
    <w:p w14:paraId="36EE5ECB">
      <w:pPr>
        <w:pStyle w:val="23"/>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（11）技术部分包括但不限于以下内容：维保服务方案、备品质量情况、应急处理预案等内容（格式自拟）</w:t>
      </w:r>
    </w:p>
    <w:p w14:paraId="313E2F6D">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）投标人基本情况说明</w:t>
      </w:r>
    </w:p>
    <w:p w14:paraId="14A77837">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）项目人员配置情况表</w:t>
      </w:r>
    </w:p>
    <w:p w14:paraId="55425CDB">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）投标企业关联企业情况说明</w:t>
      </w:r>
    </w:p>
    <w:p w14:paraId="6AE88978">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）不参与围标串标承诺书</w:t>
      </w:r>
    </w:p>
    <w:p w14:paraId="12CD5D73">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）投标人认为需要提供的其他材料说明</w:t>
      </w:r>
    </w:p>
    <w:p w14:paraId="4EC22954">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附件1、在经营活动中没有重大违法记录的书面声明</w:t>
      </w:r>
    </w:p>
    <w:p w14:paraId="760BFF84">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附件2、中小企业声明函（如有）</w:t>
      </w:r>
    </w:p>
    <w:p w14:paraId="5864DC6E">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附件3、残疾人福利性单位声明函（如有）</w:t>
      </w:r>
    </w:p>
    <w:p w14:paraId="605567C8">
      <w:pPr>
        <w:pStyle w:val="63"/>
        <w:keepNext w:val="0"/>
        <w:keepLines w:val="0"/>
        <w:pageBreakBefore w:val="0"/>
        <w:widowControl w:val="0"/>
        <w:kinsoku/>
        <w:wordWrap/>
        <w:overflowPunct/>
        <w:topLinePunct w:val="0"/>
        <w:autoSpaceDE w:val="0"/>
        <w:autoSpaceDN w:val="0"/>
        <w:bidi w:val="0"/>
        <w:adjustRightInd w:val="0"/>
        <w:spacing w:line="500" w:lineRule="exact"/>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附件4、省级以上监狱管理局、戒毒管理局（含新疆生产建设兵团）出具的属于监狱企业证明文件（格式自拟）（如有）</w:t>
      </w:r>
    </w:p>
    <w:p w14:paraId="5F230E97">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 xml:space="preserve">    </w:t>
      </w:r>
      <w:bookmarkStart w:id="87" w:name="_Toc24925"/>
      <w:bookmarkStart w:id="88" w:name="_Toc17632"/>
      <w:bookmarkStart w:id="89" w:name="_Toc24782"/>
      <w:bookmarkStart w:id="90" w:name="_Toc23426"/>
      <w:r>
        <w:rPr>
          <w:rFonts w:hint="eastAsia" w:ascii="仿宋_GB2312" w:hAnsi="仿宋_GB2312" w:eastAsia="仿宋_GB2312" w:cs="仿宋_GB2312"/>
          <w:b/>
          <w:bCs/>
          <w:color w:val="auto"/>
          <w:kern w:val="44"/>
          <w:sz w:val="32"/>
          <w:szCs w:val="32"/>
          <w:highlight w:val="none"/>
        </w:rPr>
        <w:t>投标文件电子文档</w:t>
      </w:r>
      <w:bookmarkEnd w:id="85"/>
      <w:bookmarkEnd w:id="86"/>
      <w:bookmarkEnd w:id="87"/>
      <w:bookmarkEnd w:id="88"/>
      <w:bookmarkEnd w:id="89"/>
      <w:bookmarkEnd w:id="90"/>
    </w:p>
    <w:p w14:paraId="063EAAD3">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投标文件应采用电子形式</w:t>
      </w:r>
      <w:r>
        <w:rPr>
          <w:rFonts w:hint="eastAsia" w:ascii="仿宋_GB2312" w:hAnsi="仿宋_GB2312" w:eastAsia="仿宋_GB2312" w:cs="仿宋_GB2312"/>
          <w:color w:val="000000"/>
          <w:sz w:val="32"/>
          <w:szCs w:val="32"/>
        </w:rPr>
        <w:t>。</w:t>
      </w:r>
      <w:bookmarkStart w:id="91" w:name="_Toc22266"/>
      <w:bookmarkStart w:id="92" w:name="_Toc55778690"/>
    </w:p>
    <w:p w14:paraId="2F619793">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电子投标文件制作时，应按照统一的“投标文件制作工具”和招标文件中明确的投标文件目录和投标技术规格、参数及相关要求格式进行编制，保证目录清晰、内容完整。</w:t>
      </w:r>
    </w:p>
    <w:p w14:paraId="4B1201CA">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投标人因自身原因导致电子投标文件无法导入电子评标系统的，该投标文件视为无效文件。 </w:t>
      </w:r>
    </w:p>
    <w:p w14:paraId="3DD5A5CD">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电子投标文件具有法律效力,与其他形式的投标文件在内容和格式上等同，若投标文件与招标文件要求不一致，其内容影响成交结果时，责任由投标人自行承担。 </w:t>
      </w:r>
    </w:p>
    <w:p w14:paraId="2D832FCA">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2577BC1E">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投标人应完整地填写招标文件中提供的《</w:t>
      </w:r>
      <w:r>
        <w:rPr>
          <w:rFonts w:hint="eastAsia" w:ascii="仿宋_GB2312" w:hAnsi="仿宋_GB2312" w:eastAsia="仿宋_GB2312" w:cs="仿宋_GB2312"/>
          <w:kern w:val="0"/>
          <w:sz w:val="32"/>
          <w:szCs w:val="32"/>
          <w:lang w:val="en-US" w:eastAsia="zh-CN"/>
        </w:rPr>
        <w:t>投标承诺书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报价</w:t>
      </w:r>
      <w:r>
        <w:rPr>
          <w:rFonts w:hint="eastAsia" w:ascii="仿宋_GB2312" w:hAnsi="仿宋_GB2312" w:eastAsia="仿宋_GB2312" w:cs="仿宋_GB2312"/>
          <w:kern w:val="0"/>
          <w:sz w:val="32"/>
          <w:szCs w:val="32"/>
        </w:rPr>
        <w:t xml:space="preserve">一览表》等招标文件中规定的所有内容。 </w:t>
      </w:r>
    </w:p>
    <w:p w14:paraId="590F8818">
      <w:pPr>
        <w:pageBreakBefore w:val="0"/>
        <w:numPr>
          <w:ilvl w:val="1"/>
          <w:numId w:val="12"/>
        </w:numPr>
        <w:kinsoku/>
        <w:overflowPunct/>
        <w:topLinePunct w:val="0"/>
        <w:bidi w:val="0"/>
        <w:spacing w:line="5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投标人必须保证投标人文件所提供的全部资料真实可靠，并接受采购单位对其中任何资料进一步核实的要求。 </w:t>
      </w:r>
    </w:p>
    <w:p w14:paraId="48511915">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 xml:space="preserve">    </w:t>
      </w:r>
      <w:bookmarkStart w:id="93" w:name="_Toc17740"/>
      <w:bookmarkStart w:id="94" w:name="_Toc30931"/>
      <w:bookmarkStart w:id="95" w:name="_Toc17013"/>
      <w:bookmarkStart w:id="96" w:name="_Toc16689"/>
      <w:r>
        <w:rPr>
          <w:rFonts w:hint="eastAsia" w:ascii="仿宋_GB2312" w:hAnsi="仿宋_GB2312" w:eastAsia="仿宋_GB2312" w:cs="仿宋_GB2312"/>
          <w:b/>
          <w:bCs/>
          <w:color w:val="auto"/>
          <w:kern w:val="44"/>
          <w:sz w:val="32"/>
          <w:szCs w:val="32"/>
          <w:highlight w:val="none"/>
        </w:rPr>
        <w:t>投标文件的编写</w:t>
      </w:r>
      <w:bookmarkEnd w:id="91"/>
      <w:bookmarkEnd w:id="92"/>
      <w:bookmarkEnd w:id="93"/>
      <w:bookmarkEnd w:id="94"/>
      <w:bookmarkEnd w:id="95"/>
      <w:bookmarkEnd w:id="96"/>
    </w:p>
    <w:p w14:paraId="3566211B">
      <w:pPr>
        <w:pageBreakBefore w:val="0"/>
        <w:numPr>
          <w:ilvl w:val="1"/>
          <w:numId w:val="1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投标人应按招标文件的规定，及附件要求的内容和格式完整地填写和提供资料，并保证所提供的全部资料的真实性。</w:t>
      </w:r>
    </w:p>
    <w:p w14:paraId="3B57A5A8">
      <w:pPr>
        <w:pageBreakBefore w:val="0"/>
        <w:numPr>
          <w:ilvl w:val="1"/>
          <w:numId w:val="1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投标人应当按照招标文件要求编制投标文件，并根据自已的商务能力、技术水平等对招标文件提出的要求和条件作出真实的响应。</w:t>
      </w:r>
    </w:p>
    <w:p w14:paraId="733E819C">
      <w:pPr>
        <w:pageBreakBefore w:val="0"/>
        <w:numPr>
          <w:ilvl w:val="1"/>
          <w:numId w:val="1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本项目只允许投标人提供一个投标方案，否则，其投标将被拒绝。</w:t>
      </w:r>
    </w:p>
    <w:p w14:paraId="65B840DB">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97" w:name="_Toc55778691"/>
      <w:bookmarkStart w:id="98" w:name="_Toc11544"/>
      <w:r>
        <w:rPr>
          <w:rFonts w:hint="eastAsia" w:ascii="仿宋_GB2312" w:hAnsi="仿宋_GB2312" w:eastAsia="仿宋_GB2312" w:cs="仿宋_GB2312"/>
          <w:b/>
          <w:bCs/>
          <w:color w:val="auto"/>
          <w:kern w:val="44"/>
          <w:sz w:val="32"/>
          <w:szCs w:val="32"/>
          <w:highlight w:val="none"/>
        </w:rPr>
        <w:t xml:space="preserve">    </w:t>
      </w:r>
      <w:bookmarkStart w:id="99" w:name="_Toc22522"/>
      <w:bookmarkStart w:id="100" w:name="_Toc15231"/>
      <w:bookmarkStart w:id="101" w:name="_Toc22427"/>
      <w:bookmarkStart w:id="102" w:name="_Toc3854"/>
      <w:r>
        <w:rPr>
          <w:rFonts w:hint="eastAsia" w:ascii="仿宋_GB2312" w:hAnsi="仿宋_GB2312" w:eastAsia="仿宋_GB2312" w:cs="仿宋_GB2312"/>
          <w:b/>
          <w:bCs/>
          <w:color w:val="auto"/>
          <w:kern w:val="44"/>
          <w:sz w:val="32"/>
          <w:szCs w:val="32"/>
          <w:highlight w:val="none"/>
        </w:rPr>
        <w:t>投标报价</w:t>
      </w:r>
      <w:bookmarkEnd w:id="97"/>
      <w:bookmarkEnd w:id="98"/>
      <w:bookmarkEnd w:id="99"/>
      <w:bookmarkEnd w:id="100"/>
      <w:bookmarkEnd w:id="101"/>
      <w:bookmarkEnd w:id="102"/>
    </w:p>
    <w:p w14:paraId="490C8F15">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投标人的投标报价应符合《中华人民共和国价格法》的有关规定。</w:t>
      </w:r>
    </w:p>
    <w:p w14:paraId="4ABB115D">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03" w:name="_Ref179619251"/>
      <w:r>
        <w:rPr>
          <w:rFonts w:hint="eastAsia" w:ascii="仿宋_GB2312" w:hAnsi="仿宋_GB2312" w:eastAsia="仿宋_GB2312" w:cs="仿宋_GB2312"/>
          <w:color w:val="auto"/>
          <w:sz w:val="32"/>
          <w:szCs w:val="32"/>
          <w:highlight w:val="none"/>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如适用）的要求报出总价和分项价格。投标总价中不得包含招标文件要求以外的内容，否则，在评标时不予核减。投标总价中也不得缺漏招标文件所要求的内容，否则，被视为包含在投标报价中。</w:t>
      </w:r>
    </w:p>
    <w:p w14:paraId="312A09FE">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投标明细报价表内容应包含：</w:t>
      </w:r>
    </w:p>
    <w:p w14:paraId="410A96F4">
      <w:pPr>
        <w:pageBreakBefore w:val="0"/>
        <w:numPr>
          <w:ilvl w:val="2"/>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按招标文件的要求全部</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rPr>
        <w:t>内容所需的所有费用；</w:t>
      </w:r>
    </w:p>
    <w:p w14:paraId="09E00C64">
      <w:pPr>
        <w:pageBreakBefore w:val="0"/>
        <w:numPr>
          <w:ilvl w:val="2"/>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对于报价免费的内容须标明“免费”；</w:t>
      </w:r>
    </w:p>
    <w:p w14:paraId="043FC5CA">
      <w:pPr>
        <w:pageBreakBefore w:val="0"/>
        <w:numPr>
          <w:ilvl w:val="2"/>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投标报价均应包含所有的税费；</w:t>
      </w:r>
    </w:p>
    <w:p w14:paraId="1CB334F8">
      <w:pPr>
        <w:pageBreakBefore w:val="0"/>
        <w:numPr>
          <w:ilvl w:val="2"/>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其他一切隐含及不可预见的费用。</w:t>
      </w:r>
    </w:p>
    <w:p w14:paraId="14A949ED">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b/>
          <w:bCs/>
          <w:color w:val="auto"/>
          <w:sz w:val="32"/>
          <w:szCs w:val="32"/>
          <w:highlight w:val="none"/>
        </w:rPr>
        <w:t>招标文件</w:t>
      </w:r>
      <w:r>
        <w:rPr>
          <w:rFonts w:hint="eastAsia" w:ascii="仿宋_GB2312" w:hAnsi="仿宋_GB2312" w:eastAsia="仿宋_GB2312" w:cs="仿宋_GB2312"/>
          <w:color w:val="auto"/>
          <w:sz w:val="32"/>
          <w:szCs w:val="32"/>
          <w:highlight w:val="none"/>
        </w:rPr>
        <w:t>另有规定，投标人所报的投标价在合同执行过程中是固定不变的，不得以任何理由予以变更。任何包含价格调整要求的投标被认为是非实质性响应投标而予以拒绝。</w:t>
      </w:r>
    </w:p>
    <w:p w14:paraId="2A0EADB5">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投标文件中的总价金额与单价计算出的结果不一致的，以单价金额为准修正总价，但单价金额小数点有明显错误的除外。</w:t>
      </w:r>
    </w:p>
    <w:bookmarkEnd w:id="103"/>
    <w:p w14:paraId="21245E0B">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04" w:name="_Ref179620595"/>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b/>
          <w:bCs/>
          <w:color w:val="auto"/>
          <w:sz w:val="32"/>
          <w:szCs w:val="32"/>
          <w:highlight w:val="none"/>
        </w:rPr>
        <w:t>招标文件</w:t>
      </w:r>
      <w:r>
        <w:rPr>
          <w:rFonts w:hint="eastAsia" w:ascii="仿宋_GB2312" w:hAnsi="仿宋_GB2312" w:eastAsia="仿宋_GB2312" w:cs="仿宋_GB2312"/>
          <w:color w:val="auto"/>
          <w:sz w:val="32"/>
          <w:szCs w:val="32"/>
          <w:highlight w:val="none"/>
        </w:rPr>
        <w:t>允许有备选方案外，本次招标不接受选择性报价，否则将被视为无效投标。</w:t>
      </w:r>
      <w:bookmarkEnd w:id="104"/>
    </w:p>
    <w:p w14:paraId="6668EAEB">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b/>
          <w:bCs/>
          <w:color w:val="auto"/>
          <w:sz w:val="32"/>
          <w:szCs w:val="32"/>
          <w:highlight w:val="none"/>
        </w:rPr>
        <w:t>招标文件</w:t>
      </w:r>
      <w:r>
        <w:rPr>
          <w:rFonts w:hint="eastAsia" w:ascii="仿宋_GB2312" w:hAnsi="仿宋_GB2312" w:eastAsia="仿宋_GB2312" w:cs="仿宋_GB2312"/>
          <w:color w:val="auto"/>
          <w:sz w:val="32"/>
          <w:szCs w:val="32"/>
          <w:highlight w:val="none"/>
        </w:rPr>
        <w:t xml:space="preserve">另有规定外，本次招标不接受具有附加条件的报价，否则将被视为无效投标。 </w:t>
      </w:r>
    </w:p>
    <w:p w14:paraId="02D7AA6F">
      <w:pPr>
        <w:pageBreakBefore w:val="0"/>
        <w:numPr>
          <w:ilvl w:val="1"/>
          <w:numId w:val="1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投标人应以人民币为单位进行报价。</w:t>
      </w:r>
    </w:p>
    <w:p w14:paraId="51FE4E13">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05" w:name="_Toc24908"/>
      <w:bookmarkStart w:id="106" w:name="_Toc55778694"/>
      <w:r>
        <w:rPr>
          <w:rFonts w:hint="eastAsia" w:ascii="仿宋_GB2312" w:hAnsi="仿宋_GB2312" w:eastAsia="仿宋_GB2312" w:cs="仿宋_GB2312"/>
          <w:b/>
          <w:bCs/>
          <w:color w:val="auto"/>
          <w:kern w:val="44"/>
          <w:sz w:val="32"/>
          <w:szCs w:val="32"/>
          <w:highlight w:val="none"/>
        </w:rPr>
        <w:t xml:space="preserve">    </w:t>
      </w:r>
      <w:bookmarkStart w:id="107" w:name="_Toc22983"/>
      <w:bookmarkStart w:id="108" w:name="_Toc15306"/>
      <w:bookmarkStart w:id="109" w:name="_Toc10724"/>
      <w:bookmarkStart w:id="110" w:name="_Toc14790"/>
      <w:r>
        <w:rPr>
          <w:rFonts w:hint="eastAsia" w:ascii="仿宋_GB2312" w:hAnsi="仿宋_GB2312" w:eastAsia="仿宋_GB2312" w:cs="仿宋_GB2312"/>
          <w:b/>
          <w:bCs/>
          <w:color w:val="auto"/>
          <w:kern w:val="44"/>
          <w:sz w:val="32"/>
          <w:szCs w:val="32"/>
          <w:highlight w:val="none"/>
        </w:rPr>
        <w:t>投标保证金</w:t>
      </w:r>
      <w:bookmarkEnd w:id="105"/>
      <w:bookmarkEnd w:id="106"/>
      <w:bookmarkEnd w:id="107"/>
      <w:bookmarkEnd w:id="108"/>
      <w:bookmarkEnd w:id="109"/>
      <w:bookmarkEnd w:id="110"/>
    </w:p>
    <w:p w14:paraId="34B55D5A">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11" w:name="_Ref179619405"/>
      <w:r>
        <w:rPr>
          <w:rFonts w:hint="eastAsia" w:ascii="仿宋_GB2312" w:hAnsi="仿宋_GB2312" w:eastAsia="仿宋_GB2312" w:cs="仿宋_GB2312"/>
          <w:color w:val="auto"/>
          <w:sz w:val="32"/>
          <w:szCs w:val="32"/>
          <w:highlight w:val="none"/>
        </w:rPr>
        <w:t>投标人必须按招标文件的规定缴纳投标保证金，并作为其投标文件的组成部分。</w:t>
      </w:r>
      <w:bookmarkEnd w:id="111"/>
    </w:p>
    <w:p w14:paraId="1B36937F">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投标保证金是为了保护采购代理机构和采购人免遭因投标人的行为而蒙受损失。采购代理机构和采购人在因投标人的行为受到损害时可根据本须知的规定没收投标人的投标保证金。</w:t>
      </w:r>
    </w:p>
    <w:p w14:paraId="5AC3A537">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投标保证金必须以投标人名义汇出，采用银行转账形式提交，同时满足下列规定：</w:t>
      </w:r>
    </w:p>
    <w:p w14:paraId="758B13F4">
      <w:pPr>
        <w:pageBreakBefore w:val="0"/>
        <w:kinsoku/>
        <w:overflowPunct/>
        <w:topLinePunct w:val="0"/>
        <w:bidi w:val="0"/>
        <w:spacing w:line="500" w:lineRule="exact"/>
        <w:ind w:left="840" w:leftChars="4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为保证本采购工作的顺利进行，各投标人应向采购人缴纳不少于</w:t>
      </w:r>
      <w:r>
        <w:rPr>
          <w:rFonts w:hint="eastAsia" w:ascii="仿宋_GB2312" w:hAnsi="仿宋_GB2312" w:eastAsia="仿宋_GB2312" w:cs="仿宋_GB2312"/>
          <w:b/>
          <w:bCs/>
          <w:color w:val="auto"/>
          <w:sz w:val="32"/>
          <w:szCs w:val="32"/>
          <w:highlight w:val="none"/>
        </w:rPr>
        <w:t>第二章《投标须知前附表》</w:t>
      </w:r>
      <w:r>
        <w:rPr>
          <w:rFonts w:hint="eastAsia" w:ascii="仿宋_GB2312" w:hAnsi="仿宋_GB2312" w:eastAsia="仿宋_GB2312" w:cs="仿宋_GB2312"/>
          <w:b/>
          <w:color w:val="auto"/>
          <w:sz w:val="32"/>
          <w:szCs w:val="32"/>
          <w:highlight w:val="none"/>
        </w:rPr>
        <w:t>规定数额的保证金，保证金金额及缴纳方式详见</w:t>
      </w:r>
      <w:r>
        <w:rPr>
          <w:rFonts w:hint="eastAsia" w:ascii="仿宋_GB2312" w:hAnsi="仿宋_GB2312" w:eastAsia="仿宋_GB2312" w:cs="仿宋_GB2312"/>
          <w:b/>
          <w:bCs/>
          <w:color w:val="auto"/>
          <w:sz w:val="32"/>
          <w:szCs w:val="32"/>
          <w:highlight w:val="none"/>
        </w:rPr>
        <w:t>第二章《投标须知前附表》</w:t>
      </w:r>
      <w:r>
        <w:rPr>
          <w:rFonts w:hint="eastAsia" w:ascii="仿宋_GB2312" w:hAnsi="仿宋_GB2312" w:eastAsia="仿宋_GB2312" w:cs="仿宋_GB2312"/>
          <w:b/>
          <w:color w:val="auto"/>
          <w:sz w:val="32"/>
          <w:szCs w:val="32"/>
          <w:highlight w:val="none"/>
        </w:rPr>
        <w:t>序号13（缴纳投标保证金）</w:t>
      </w:r>
    </w:p>
    <w:p w14:paraId="4A560348">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凡没有按照招标文件要求提交有效的投标保证金的投标，将视为非响应性投标予以拒绝。</w:t>
      </w:r>
    </w:p>
    <w:p w14:paraId="32EDD651">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凡投标人在投标截止时间前撤回已提交的投标文件的，自收到投标人书面撤回通知之日起5个工作日内，退还已收取的投标保证金，但因投标人自身原因导致无法及时退还的除外。</w:t>
      </w:r>
    </w:p>
    <w:p w14:paraId="2C4646C2">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通知书发出之日起5个工作日内退还未中标人的投标保证金，但因投标人自身原因导致无法及时退还的除外。</w:t>
      </w:r>
    </w:p>
    <w:p w14:paraId="5CD0AEF0">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中标人的投标保证金的退还必须同时满足以下要求（但因中标人自身原因导致无法及时退还的除外）：</w:t>
      </w:r>
    </w:p>
    <w:p w14:paraId="1103DC71">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中标人按</w:t>
      </w:r>
      <w:bookmarkStart w:id="112" w:name="_Hlt507937599"/>
      <w:bookmarkEnd w:id="112"/>
      <w:r>
        <w:rPr>
          <w:rFonts w:hint="eastAsia" w:ascii="仿宋_GB2312" w:hAnsi="仿宋_GB2312" w:eastAsia="仿宋_GB2312" w:cs="仿宋_GB2312"/>
          <w:color w:val="auto"/>
          <w:sz w:val="32"/>
          <w:szCs w:val="32"/>
          <w:highlight w:val="none"/>
        </w:rPr>
        <w:t>《投标人须知前附表》规定签订合同的，自合同上传自</w:t>
      </w:r>
      <w:r>
        <w:rPr>
          <w:rFonts w:hint="eastAsia" w:ascii="仿宋_GB2312" w:hAnsi="仿宋_GB2312" w:eastAsia="仿宋_GB2312" w:cs="仿宋_GB2312"/>
          <w:b/>
          <w:color w:val="auto"/>
          <w:sz w:val="32"/>
          <w:szCs w:val="32"/>
          <w:highlight w:val="none"/>
          <w:u w:val="single"/>
        </w:rPr>
        <w:t>新疆政府采购网http://www.ccgp-xinjiang.gov.cn</w:t>
      </w:r>
      <w:r>
        <w:rPr>
          <w:rFonts w:hint="eastAsia" w:ascii="仿宋_GB2312" w:hAnsi="仿宋_GB2312" w:eastAsia="仿宋_GB2312" w:cs="仿宋_GB2312"/>
          <w:color w:val="auto"/>
          <w:sz w:val="32"/>
          <w:szCs w:val="32"/>
          <w:highlight w:val="none"/>
        </w:rPr>
        <w:t>起5个工作日内退还</w:t>
      </w:r>
    </w:p>
    <w:p w14:paraId="38E43B0E">
      <w:pPr>
        <w:pageBreakBefore w:val="0"/>
        <w:numPr>
          <w:ilvl w:val="1"/>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13" w:name="_Ref179619371"/>
      <w:r>
        <w:rPr>
          <w:rFonts w:hint="eastAsia" w:ascii="仿宋_GB2312" w:hAnsi="仿宋_GB2312" w:eastAsia="仿宋_GB2312" w:cs="仿宋_GB2312"/>
          <w:color w:val="auto"/>
          <w:sz w:val="32"/>
          <w:szCs w:val="32"/>
          <w:highlight w:val="none"/>
        </w:rPr>
        <w:t>下列任何情况发生时，投标保证金将被没收：</w:t>
      </w:r>
      <w:bookmarkEnd w:id="113"/>
    </w:p>
    <w:p w14:paraId="22285D48">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投标人在招标文件中规定的投标有效期内撤销其投标文件；</w:t>
      </w:r>
    </w:p>
    <w:p w14:paraId="3FF2F6AA">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中标后无正当理由放弃中标或中标人拒绝与采购人签订合同；</w:t>
      </w:r>
    </w:p>
    <w:p w14:paraId="772D899E">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中标人在规定期限内未能根据本须知规定签订合同；</w:t>
      </w:r>
    </w:p>
    <w:p w14:paraId="0775C92D">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依法取消中标资格；</w:t>
      </w:r>
    </w:p>
    <w:p w14:paraId="3E62F153">
      <w:pPr>
        <w:pageBreakBefore w:val="0"/>
        <w:numPr>
          <w:ilvl w:val="2"/>
          <w:numId w:val="1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法律法规规定的其它情况；</w:t>
      </w:r>
    </w:p>
    <w:p w14:paraId="1CAAF7E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14" w:name="_Toc10359"/>
      <w:bookmarkStart w:id="115" w:name="_Toc55778695"/>
      <w:r>
        <w:rPr>
          <w:rFonts w:hint="eastAsia" w:ascii="仿宋_GB2312" w:hAnsi="仿宋_GB2312" w:eastAsia="仿宋_GB2312" w:cs="仿宋_GB2312"/>
          <w:b/>
          <w:bCs/>
          <w:color w:val="auto"/>
          <w:kern w:val="44"/>
          <w:sz w:val="32"/>
          <w:szCs w:val="32"/>
          <w:highlight w:val="none"/>
        </w:rPr>
        <w:t xml:space="preserve">    </w:t>
      </w:r>
      <w:bookmarkStart w:id="116" w:name="_Toc1720"/>
      <w:bookmarkStart w:id="117" w:name="_Toc2453"/>
      <w:bookmarkStart w:id="118" w:name="_Toc32410"/>
      <w:bookmarkStart w:id="119" w:name="_Toc30142"/>
      <w:r>
        <w:rPr>
          <w:rFonts w:hint="eastAsia" w:ascii="仿宋_GB2312" w:hAnsi="仿宋_GB2312" w:eastAsia="仿宋_GB2312" w:cs="仿宋_GB2312"/>
          <w:b/>
          <w:bCs/>
          <w:color w:val="auto"/>
          <w:kern w:val="44"/>
          <w:sz w:val="32"/>
          <w:szCs w:val="32"/>
          <w:highlight w:val="none"/>
        </w:rPr>
        <w:t>投标有效期</w:t>
      </w:r>
      <w:bookmarkEnd w:id="114"/>
      <w:bookmarkEnd w:id="115"/>
      <w:bookmarkEnd w:id="116"/>
      <w:bookmarkEnd w:id="117"/>
      <w:bookmarkEnd w:id="118"/>
      <w:bookmarkEnd w:id="119"/>
    </w:p>
    <w:p w14:paraId="18857441">
      <w:pPr>
        <w:pageBreakBefore w:val="0"/>
        <w:numPr>
          <w:ilvl w:val="1"/>
          <w:numId w:val="1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20" w:name="_Ref179620893"/>
      <w:r>
        <w:rPr>
          <w:rFonts w:hint="eastAsia" w:ascii="仿宋_GB2312" w:hAnsi="仿宋_GB2312" w:eastAsia="仿宋_GB2312" w:cs="仿宋_GB2312"/>
          <w:b/>
          <w:bCs/>
          <w:color w:val="auto"/>
          <w:sz w:val="32"/>
          <w:szCs w:val="32"/>
          <w:highlight w:val="none"/>
        </w:rPr>
        <w:t>投标文件应在投标截止日后90日历天内保持有效。</w:t>
      </w:r>
    </w:p>
    <w:p w14:paraId="7949E993">
      <w:pPr>
        <w:pageBreakBefore w:val="0"/>
        <w:numPr>
          <w:ilvl w:val="1"/>
          <w:numId w:val="1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中标人投标有效期则顺延至项目完成验收之日，在此有效期内未经采购人同意，投标文件的一切内容和补充承诺均为持续有效且不予改变。</w:t>
      </w:r>
      <w:bookmarkEnd w:id="120"/>
    </w:p>
    <w:p w14:paraId="32EA3BBB">
      <w:pPr>
        <w:pageBreakBefore w:val="0"/>
        <w:numPr>
          <w:ilvl w:val="1"/>
          <w:numId w:val="1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投标有效期从提交投标文件的截止之日起算</w:t>
      </w:r>
      <w:r>
        <w:rPr>
          <w:rFonts w:hint="eastAsia" w:ascii="仿宋_GB2312" w:hAnsi="仿宋_GB2312" w:eastAsia="仿宋_GB2312" w:cs="仿宋_GB2312"/>
          <w:color w:val="auto"/>
          <w:sz w:val="32"/>
          <w:szCs w:val="32"/>
          <w:highlight w:val="none"/>
        </w:rPr>
        <w:t>。投标文件中承诺的投标有效期应当不少于招标文件中载明的投标有效期。投标有效期不足的投标将被视为非实质性响应，视为无效投标。</w:t>
      </w:r>
    </w:p>
    <w:p w14:paraId="60BCCFF8">
      <w:pPr>
        <w:pageBreakBefore w:val="0"/>
        <w:numPr>
          <w:ilvl w:val="1"/>
          <w:numId w:val="1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1A73F8C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21" w:name="_Toc55778696"/>
      <w:r>
        <w:rPr>
          <w:rFonts w:hint="eastAsia" w:ascii="仿宋_GB2312" w:hAnsi="仿宋_GB2312" w:eastAsia="仿宋_GB2312" w:cs="仿宋_GB2312"/>
          <w:b/>
          <w:bCs/>
          <w:color w:val="auto"/>
          <w:kern w:val="44"/>
          <w:sz w:val="32"/>
          <w:szCs w:val="32"/>
          <w:highlight w:val="none"/>
        </w:rPr>
        <w:t xml:space="preserve">    </w:t>
      </w:r>
      <w:bookmarkStart w:id="122" w:name="_Toc8626"/>
      <w:bookmarkStart w:id="123" w:name="_Toc32144"/>
      <w:bookmarkStart w:id="124" w:name="_Toc11497"/>
      <w:bookmarkStart w:id="125" w:name="_Toc30820"/>
      <w:r>
        <w:rPr>
          <w:rFonts w:hint="eastAsia" w:ascii="仿宋_GB2312" w:hAnsi="仿宋_GB2312" w:eastAsia="仿宋_GB2312" w:cs="仿宋_GB2312"/>
          <w:b/>
          <w:bCs/>
          <w:color w:val="auto"/>
          <w:kern w:val="44"/>
          <w:sz w:val="32"/>
          <w:szCs w:val="32"/>
          <w:highlight w:val="none"/>
        </w:rPr>
        <w:t>投标文件的式样和签署、密封</w:t>
      </w:r>
      <w:bookmarkEnd w:id="121"/>
      <w:bookmarkEnd w:id="122"/>
      <w:bookmarkEnd w:id="123"/>
      <w:bookmarkEnd w:id="124"/>
      <w:bookmarkEnd w:id="125"/>
    </w:p>
    <w:p w14:paraId="05B49F76">
      <w:pPr>
        <w:pageBreakBefore w:val="0"/>
        <w:numPr>
          <w:ilvl w:val="1"/>
          <w:numId w:val="17"/>
        </w:numPr>
        <w:kinsoku/>
        <w:overflowPunct/>
        <w:topLinePunct w:val="0"/>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投标人应根据投标人须知前附表规定提交投标文件</w:t>
      </w:r>
    </w:p>
    <w:p w14:paraId="45757FDB">
      <w:pPr>
        <w:pageBreakBefore w:val="0"/>
        <w:numPr>
          <w:ilvl w:val="1"/>
          <w:numId w:val="17"/>
        </w:numPr>
        <w:kinsoku/>
        <w:overflowPunct/>
        <w:topLinePunct w:val="0"/>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投标人应根据投标人须知前附表规定提交投标文件。</w:t>
      </w: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401C0A37">
      <w:pPr>
        <w:pageBreakBefore w:val="0"/>
        <w:numPr>
          <w:ilvl w:val="1"/>
          <w:numId w:val="17"/>
        </w:numPr>
        <w:kinsoku/>
        <w:overflowPunct/>
        <w:topLinePunct w:val="0"/>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电子投标文件的内容通过数字证书进行加密并签章。未按要求加密和数字证书认证的投标文件，电子评标系统将无法接受,采购单位不予受理。</w:t>
      </w:r>
    </w:p>
    <w:p w14:paraId="4C876D04">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126" w:name="_Toc22727"/>
      <w:r>
        <w:rPr>
          <w:rFonts w:hint="eastAsia" w:ascii="Times New Roman" w:hAnsi="Times New Roman" w:eastAsia="黑体" w:cs="Times New Roman"/>
          <w:b w:val="0"/>
          <w:bCs w:val="0"/>
          <w:kern w:val="2"/>
          <w:sz w:val="32"/>
          <w:szCs w:val="32"/>
          <w:lang w:val="zh-CN" w:eastAsia="zh-CN" w:bidi="ar-SA"/>
        </w:rPr>
        <w:t>四、投标文件的递交</w:t>
      </w:r>
      <w:bookmarkEnd w:id="126"/>
    </w:p>
    <w:p w14:paraId="1F4F7FD1">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color w:val="auto"/>
          <w:kern w:val="44"/>
          <w:sz w:val="32"/>
          <w:szCs w:val="32"/>
          <w:highlight w:val="none"/>
        </w:rPr>
      </w:pPr>
      <w:bookmarkStart w:id="127" w:name="_Toc55778697"/>
      <w:r>
        <w:rPr>
          <w:rFonts w:hint="eastAsia" w:ascii="仿宋_GB2312" w:hAnsi="仿宋_GB2312" w:eastAsia="仿宋_GB2312" w:cs="仿宋_GB2312"/>
          <w:b/>
          <w:color w:val="auto"/>
          <w:kern w:val="44"/>
          <w:sz w:val="32"/>
          <w:szCs w:val="32"/>
          <w:highlight w:val="none"/>
        </w:rPr>
        <w:t xml:space="preserve">    </w:t>
      </w:r>
      <w:bookmarkStart w:id="128" w:name="_Toc5633"/>
      <w:bookmarkStart w:id="129" w:name="_Toc2542"/>
      <w:bookmarkStart w:id="130" w:name="_Toc8124"/>
      <w:bookmarkStart w:id="131" w:name="_Toc24917"/>
      <w:r>
        <w:rPr>
          <w:rFonts w:hint="eastAsia" w:ascii="仿宋_GB2312" w:hAnsi="仿宋_GB2312" w:eastAsia="仿宋_GB2312" w:cs="仿宋_GB2312"/>
          <w:b/>
          <w:color w:val="auto"/>
          <w:kern w:val="44"/>
          <w:sz w:val="32"/>
          <w:szCs w:val="32"/>
          <w:highlight w:val="none"/>
        </w:rPr>
        <w:t>投标文件递交</w:t>
      </w:r>
      <w:bookmarkEnd w:id="127"/>
      <w:bookmarkEnd w:id="128"/>
      <w:bookmarkEnd w:id="129"/>
      <w:bookmarkEnd w:id="130"/>
      <w:bookmarkEnd w:id="131"/>
    </w:p>
    <w:p w14:paraId="5E7E2E6D">
      <w:pPr>
        <w:pageBreakBefore w:val="0"/>
        <w:numPr>
          <w:ilvl w:val="1"/>
          <w:numId w:val="1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本项目采用不见面开标、投标人需要递交电子响应文件，加密的电子响应文件，在投标截止时间前通过政采云平台上传到指定位置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无需递交纸质文件。</w:t>
      </w:r>
    </w:p>
    <w:p w14:paraId="75CD284B">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color w:val="auto"/>
          <w:kern w:val="44"/>
          <w:sz w:val="32"/>
          <w:szCs w:val="32"/>
          <w:highlight w:val="none"/>
        </w:rPr>
      </w:pPr>
      <w:bookmarkStart w:id="132" w:name="_Toc55778698"/>
      <w:bookmarkStart w:id="133" w:name="_Toc20929"/>
      <w:r>
        <w:rPr>
          <w:rFonts w:hint="eastAsia" w:ascii="仿宋_GB2312" w:hAnsi="仿宋_GB2312" w:eastAsia="仿宋_GB2312" w:cs="仿宋_GB2312"/>
          <w:b/>
          <w:color w:val="auto"/>
          <w:kern w:val="44"/>
          <w:sz w:val="32"/>
          <w:szCs w:val="32"/>
          <w:highlight w:val="none"/>
        </w:rPr>
        <w:t xml:space="preserve">    </w:t>
      </w:r>
      <w:bookmarkStart w:id="134" w:name="_Toc20702"/>
      <w:bookmarkStart w:id="135" w:name="_Toc28446"/>
      <w:bookmarkStart w:id="136" w:name="_Toc4909"/>
      <w:bookmarkStart w:id="137" w:name="_Toc12495"/>
      <w:r>
        <w:rPr>
          <w:rFonts w:hint="eastAsia" w:ascii="仿宋_GB2312" w:hAnsi="仿宋_GB2312" w:eastAsia="仿宋_GB2312" w:cs="仿宋_GB2312"/>
          <w:b/>
          <w:color w:val="auto"/>
          <w:kern w:val="44"/>
          <w:sz w:val="32"/>
          <w:szCs w:val="32"/>
          <w:highlight w:val="none"/>
        </w:rPr>
        <w:t>投标截止时间</w:t>
      </w:r>
      <w:bookmarkEnd w:id="132"/>
      <w:bookmarkEnd w:id="134"/>
      <w:bookmarkEnd w:id="135"/>
      <w:bookmarkEnd w:id="136"/>
      <w:bookmarkEnd w:id="137"/>
    </w:p>
    <w:p w14:paraId="6D26ECA6">
      <w:pPr>
        <w:keepNext/>
        <w:keepLines/>
        <w:pageBreakBefore w:val="0"/>
        <w:numPr>
          <w:ilvl w:val="0"/>
          <w:numId w:val="19"/>
        </w:numPr>
        <w:tabs>
          <w:tab w:val="left" w:pos="900"/>
          <w:tab w:val="clear" w:pos="907"/>
        </w:tabs>
        <w:kinsoku/>
        <w:overflowPunct/>
        <w:topLinePunct w:val="0"/>
        <w:bidi w:val="0"/>
        <w:spacing w:line="500" w:lineRule="exact"/>
        <w:textAlignment w:val="auto"/>
        <w:outlineLvl w:val="0"/>
        <w:rPr>
          <w:rFonts w:hint="eastAsia" w:ascii="仿宋_GB2312" w:hAnsi="仿宋_GB2312" w:eastAsia="仿宋_GB2312" w:cs="仿宋_GB2312"/>
          <w:color w:val="auto"/>
          <w:kern w:val="44"/>
          <w:sz w:val="32"/>
          <w:szCs w:val="32"/>
          <w:highlight w:val="none"/>
        </w:rPr>
      </w:pPr>
      <w:bookmarkStart w:id="138" w:name="_Toc10314"/>
      <w:bookmarkStart w:id="139" w:name="_Toc30090"/>
      <w:bookmarkStart w:id="140" w:name="_Toc5154"/>
      <w:bookmarkStart w:id="141" w:name="_Toc55778699"/>
      <w:bookmarkStart w:id="142" w:name="_Toc18539"/>
      <w:r>
        <w:rPr>
          <w:rFonts w:hint="eastAsia" w:ascii="仿宋_GB2312" w:hAnsi="仿宋_GB2312" w:eastAsia="仿宋_GB2312" w:cs="仿宋_GB2312"/>
          <w:color w:val="auto"/>
          <w:kern w:val="44"/>
          <w:sz w:val="32"/>
          <w:szCs w:val="32"/>
          <w:highlight w:val="none"/>
        </w:rPr>
        <w:t>本次招标的投标截止时间见第二章《投标须知前附表》的规定。</w:t>
      </w:r>
      <w:bookmarkEnd w:id="138"/>
      <w:bookmarkEnd w:id="139"/>
      <w:bookmarkEnd w:id="140"/>
      <w:bookmarkEnd w:id="141"/>
      <w:bookmarkEnd w:id="142"/>
    </w:p>
    <w:p w14:paraId="7F561CC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43" w:name="_Toc55778700"/>
      <w:r>
        <w:rPr>
          <w:rFonts w:hint="eastAsia" w:ascii="仿宋_GB2312" w:hAnsi="仿宋_GB2312" w:eastAsia="仿宋_GB2312" w:cs="仿宋_GB2312"/>
          <w:b/>
          <w:color w:val="auto"/>
          <w:kern w:val="44"/>
          <w:sz w:val="32"/>
          <w:szCs w:val="32"/>
          <w:highlight w:val="none"/>
        </w:rPr>
        <w:t xml:space="preserve">    </w:t>
      </w:r>
      <w:bookmarkStart w:id="144" w:name="_Toc9155"/>
      <w:bookmarkStart w:id="145" w:name="_Toc1876"/>
      <w:bookmarkStart w:id="146" w:name="_Toc2461"/>
      <w:bookmarkStart w:id="147" w:name="_Toc28929"/>
      <w:r>
        <w:rPr>
          <w:rFonts w:hint="eastAsia" w:ascii="仿宋_GB2312" w:hAnsi="仿宋_GB2312" w:eastAsia="仿宋_GB2312" w:cs="仿宋_GB2312"/>
          <w:b/>
          <w:color w:val="auto"/>
          <w:kern w:val="44"/>
          <w:sz w:val="32"/>
          <w:szCs w:val="32"/>
          <w:highlight w:val="none"/>
        </w:rPr>
        <w:t>迟交的投标文件</w:t>
      </w:r>
      <w:bookmarkEnd w:id="143"/>
      <w:bookmarkEnd w:id="144"/>
      <w:bookmarkEnd w:id="145"/>
      <w:bookmarkEnd w:id="146"/>
      <w:bookmarkEnd w:id="147"/>
    </w:p>
    <w:p w14:paraId="548105D6">
      <w:pPr>
        <w:keepNext/>
        <w:keepLines/>
        <w:pageBreakBefore w:val="0"/>
        <w:numPr>
          <w:ilvl w:val="0"/>
          <w:numId w:val="20"/>
        </w:numPr>
        <w:tabs>
          <w:tab w:val="left" w:pos="900"/>
          <w:tab w:val="clear" w:pos="907"/>
        </w:tabs>
        <w:kinsoku/>
        <w:overflowPunct/>
        <w:topLinePunct w:val="0"/>
        <w:bidi w:val="0"/>
        <w:spacing w:line="500" w:lineRule="exact"/>
        <w:textAlignment w:val="auto"/>
        <w:outlineLvl w:val="0"/>
        <w:rPr>
          <w:rFonts w:hint="eastAsia" w:ascii="仿宋_GB2312" w:hAnsi="仿宋_GB2312" w:eastAsia="仿宋_GB2312" w:cs="仿宋_GB2312"/>
          <w:color w:val="auto"/>
          <w:kern w:val="44"/>
          <w:sz w:val="32"/>
          <w:szCs w:val="32"/>
          <w:highlight w:val="none"/>
        </w:rPr>
      </w:pPr>
      <w:bookmarkStart w:id="148" w:name="_Toc94"/>
      <w:bookmarkStart w:id="149" w:name="_Toc13418"/>
      <w:bookmarkStart w:id="150" w:name="_Toc24301"/>
      <w:bookmarkStart w:id="151" w:name="_Toc7900"/>
      <w:bookmarkStart w:id="152" w:name="_Toc55778701"/>
      <w:r>
        <w:rPr>
          <w:rFonts w:hint="eastAsia" w:ascii="仿宋_GB2312" w:hAnsi="仿宋_GB2312" w:eastAsia="仿宋_GB2312" w:cs="仿宋_GB2312"/>
          <w:color w:val="auto"/>
          <w:kern w:val="44"/>
          <w:sz w:val="32"/>
          <w:szCs w:val="32"/>
          <w:highlight w:val="none"/>
        </w:rPr>
        <w:t>采购代理机构将拒绝并原封退回在其规定的投标截止时刻后收到的任何投标文件。</w:t>
      </w:r>
      <w:bookmarkEnd w:id="148"/>
      <w:bookmarkEnd w:id="149"/>
      <w:bookmarkEnd w:id="150"/>
      <w:bookmarkEnd w:id="151"/>
      <w:bookmarkEnd w:id="152"/>
    </w:p>
    <w:p w14:paraId="6F50B913">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53" w:name="_Toc55778702"/>
      <w:r>
        <w:rPr>
          <w:rFonts w:hint="eastAsia" w:ascii="仿宋_GB2312" w:hAnsi="仿宋_GB2312" w:eastAsia="仿宋_GB2312" w:cs="仿宋_GB2312"/>
          <w:b/>
          <w:bCs/>
          <w:color w:val="auto"/>
          <w:kern w:val="44"/>
          <w:sz w:val="32"/>
          <w:szCs w:val="32"/>
          <w:highlight w:val="none"/>
        </w:rPr>
        <w:t xml:space="preserve">    </w:t>
      </w:r>
      <w:bookmarkStart w:id="154" w:name="_Toc21101"/>
      <w:bookmarkStart w:id="155" w:name="_Toc27265"/>
      <w:bookmarkStart w:id="156" w:name="_Toc19255"/>
      <w:bookmarkStart w:id="157" w:name="_Toc10185"/>
      <w:r>
        <w:rPr>
          <w:rFonts w:hint="eastAsia" w:ascii="仿宋_GB2312" w:hAnsi="仿宋_GB2312" w:eastAsia="仿宋_GB2312" w:cs="仿宋_GB2312"/>
          <w:b/>
          <w:bCs/>
          <w:color w:val="auto"/>
          <w:kern w:val="44"/>
          <w:sz w:val="32"/>
          <w:szCs w:val="32"/>
          <w:highlight w:val="none"/>
        </w:rPr>
        <w:t>投</w:t>
      </w:r>
      <w:bookmarkEnd w:id="133"/>
      <w:r>
        <w:rPr>
          <w:rFonts w:hint="eastAsia" w:ascii="仿宋_GB2312" w:hAnsi="仿宋_GB2312" w:eastAsia="仿宋_GB2312" w:cs="仿宋_GB2312"/>
          <w:b/>
          <w:bCs/>
          <w:color w:val="auto"/>
          <w:kern w:val="44"/>
          <w:sz w:val="32"/>
          <w:szCs w:val="32"/>
          <w:highlight w:val="none"/>
        </w:rPr>
        <w:t>标文件的修改和撤回、撤销</w:t>
      </w:r>
      <w:bookmarkEnd w:id="153"/>
      <w:bookmarkEnd w:id="154"/>
      <w:bookmarkEnd w:id="155"/>
      <w:bookmarkEnd w:id="156"/>
      <w:bookmarkEnd w:id="157"/>
    </w:p>
    <w:p w14:paraId="5251CB27">
      <w:pPr>
        <w:pageBreakBefore w:val="0"/>
        <w:numPr>
          <w:ilvl w:val="1"/>
          <w:numId w:val="2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2EA1C86F">
      <w:pPr>
        <w:pageBreakBefore w:val="0"/>
        <w:numPr>
          <w:ilvl w:val="1"/>
          <w:numId w:val="2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除非招标文件另有规定或说明，投标人所提交的投标文件在评标结束后，无论中标与否都不退还。</w:t>
      </w:r>
    </w:p>
    <w:p w14:paraId="2264AD57">
      <w:pPr>
        <w:pageBreakBefore w:val="0"/>
        <w:numPr>
          <w:ilvl w:val="1"/>
          <w:numId w:val="2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投标截止后，投标人不得撤销其投标，否则其投标保证金将按照本须知规定被没收。</w:t>
      </w:r>
    </w:p>
    <w:p w14:paraId="6D8B83ED">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158" w:name="_Toc30087"/>
      <w:bookmarkStart w:id="159" w:name="_Toc14523"/>
      <w:bookmarkStart w:id="160" w:name="_Toc55778703"/>
      <w:r>
        <w:rPr>
          <w:rFonts w:hint="eastAsia" w:ascii="Times New Roman" w:hAnsi="Times New Roman" w:eastAsia="黑体" w:cs="Times New Roman"/>
          <w:b w:val="0"/>
          <w:bCs w:val="0"/>
          <w:kern w:val="2"/>
          <w:sz w:val="32"/>
          <w:szCs w:val="32"/>
          <w:lang w:val="zh-CN" w:eastAsia="zh-CN" w:bidi="ar-SA"/>
        </w:rPr>
        <w:t>五、开标与评标</w:t>
      </w:r>
      <w:bookmarkEnd w:id="158"/>
      <w:bookmarkEnd w:id="159"/>
      <w:bookmarkEnd w:id="160"/>
    </w:p>
    <w:p w14:paraId="3FE7673F">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61" w:name="_Toc55778704"/>
      <w:bookmarkStart w:id="162" w:name="_Toc21732"/>
      <w:r>
        <w:rPr>
          <w:rFonts w:hint="eastAsia" w:ascii="仿宋_GB2312" w:hAnsi="仿宋_GB2312" w:eastAsia="仿宋_GB2312" w:cs="仿宋_GB2312"/>
          <w:b/>
          <w:bCs/>
          <w:color w:val="auto"/>
          <w:kern w:val="44"/>
          <w:sz w:val="32"/>
          <w:szCs w:val="32"/>
          <w:highlight w:val="none"/>
        </w:rPr>
        <w:t xml:space="preserve">    </w:t>
      </w:r>
      <w:bookmarkStart w:id="163" w:name="_Toc930"/>
      <w:bookmarkStart w:id="164" w:name="_Toc4602"/>
      <w:bookmarkStart w:id="165" w:name="_Toc26238"/>
      <w:bookmarkStart w:id="166" w:name="_Toc19246"/>
      <w:r>
        <w:rPr>
          <w:rFonts w:hint="eastAsia" w:ascii="仿宋_GB2312" w:hAnsi="仿宋_GB2312" w:eastAsia="仿宋_GB2312" w:cs="仿宋_GB2312"/>
          <w:b/>
          <w:bCs/>
          <w:color w:val="auto"/>
          <w:kern w:val="44"/>
          <w:sz w:val="32"/>
          <w:szCs w:val="32"/>
          <w:highlight w:val="none"/>
        </w:rPr>
        <w:t>开标</w:t>
      </w:r>
      <w:bookmarkEnd w:id="161"/>
      <w:bookmarkEnd w:id="162"/>
      <w:bookmarkEnd w:id="163"/>
      <w:bookmarkEnd w:id="164"/>
      <w:bookmarkEnd w:id="165"/>
      <w:bookmarkEnd w:id="166"/>
    </w:p>
    <w:p w14:paraId="731367CE">
      <w:pPr>
        <w:pageBreakBefore w:val="0"/>
        <w:numPr>
          <w:ilvl w:val="0"/>
          <w:numId w:val="22"/>
        </w:numPr>
        <w:kinsoku/>
        <w:overflowPunct/>
        <w:topLinePunct w:val="0"/>
        <w:bidi w:val="0"/>
        <w:spacing w:line="500" w:lineRule="exact"/>
        <w:textAlignment w:val="auto"/>
        <w:rPr>
          <w:rFonts w:hint="eastAsia" w:ascii="仿宋_GB2312" w:hAnsi="仿宋_GB2312" w:eastAsia="仿宋_GB2312" w:cs="仿宋_GB2312"/>
          <w:vanish/>
          <w:color w:val="auto"/>
          <w:sz w:val="32"/>
          <w:szCs w:val="32"/>
          <w:highlight w:val="none"/>
        </w:rPr>
      </w:pPr>
    </w:p>
    <w:p w14:paraId="21C7B439">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采购人或采购代理机构在投标人须知前附表规定的开标时间和开标地点组织公开开标，邀请投标人参加。评标委员会成员不得参加开标活动。投标人不足3家的，不得开标。</w:t>
      </w:r>
    </w:p>
    <w:p w14:paraId="35C76CC6">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i w:val="0"/>
          <w:caps w:val="0"/>
          <w:color w:val="000000"/>
          <w:spacing w:val="0"/>
          <w:kern w:val="0"/>
          <w:sz w:val="32"/>
          <w:szCs w:val="32"/>
          <w:lang w:val="en-US" w:eastAsia="zh-CN" w:bidi="ar"/>
        </w:rPr>
        <w:t>投</w:t>
      </w:r>
      <w:r>
        <w:rPr>
          <w:rFonts w:hint="eastAsia" w:ascii="仿宋_GB2312" w:hAnsi="仿宋_GB2312" w:eastAsia="仿宋_GB2312" w:cs="仿宋_GB2312"/>
          <w:b w:val="0"/>
          <w:bCs/>
          <w:i w:val="0"/>
          <w:caps w:val="0"/>
          <w:color w:val="auto"/>
          <w:spacing w:val="0"/>
          <w:kern w:val="0"/>
          <w:sz w:val="32"/>
          <w:szCs w:val="32"/>
          <w:lang w:val="en-US" w:eastAsia="zh-CN" w:bidi="ar"/>
        </w:rPr>
        <w:t>标文件以电子形式递交至: 新疆政采云平台；投标人应于2026年04月17日11: 00</w:t>
      </w:r>
      <w:r>
        <w:rPr>
          <w:rFonts w:hint="eastAsia" w:ascii="仿宋_GB2312" w:hAnsi="仿宋_GB2312" w:eastAsia="仿宋_GB2312" w:cs="仿宋_GB2312"/>
          <w:b w:val="0"/>
          <w:bCs/>
          <w:i w:val="0"/>
          <w:caps w:val="0"/>
          <w:color w:val="auto"/>
          <w:spacing w:val="0"/>
          <w:kern w:val="0"/>
          <w:sz w:val="32"/>
          <w:szCs w:val="32"/>
          <w:lang w:val="en-US" w:eastAsia="zh-CN" w:bidi="ar"/>
        </w:rPr>
        <w:t>(北京时间) 之前将电子投标文件上传到“政采云”平台。开标时间后30分钟内供应商登录“政采云”平台，用“项目采购-开标评标”功能进行解密投标文件。若供应商在规定时间内未按时解密的，视为</w:t>
      </w:r>
      <w:r>
        <w:rPr>
          <w:rFonts w:hint="eastAsia" w:ascii="仿宋_GB2312" w:hAnsi="仿宋_GB2312" w:eastAsia="仿宋_GB2312" w:cs="仿宋_GB2312"/>
          <w:b w:val="0"/>
          <w:bCs/>
          <w:i w:val="0"/>
          <w:caps w:val="0"/>
          <w:color w:val="000000" w:themeColor="text1"/>
          <w:spacing w:val="0"/>
          <w:kern w:val="0"/>
          <w:sz w:val="32"/>
          <w:szCs w:val="32"/>
          <w:lang w:val="en-US" w:eastAsia="zh-CN" w:bidi="ar"/>
          <w14:textFill>
            <w14:solidFill>
              <w14:schemeClr w14:val="tx1"/>
            </w14:solidFill>
          </w14:textFill>
        </w:rPr>
        <w:t>无效投标。(</w:t>
      </w:r>
      <w:r>
        <w:rPr>
          <w:rFonts w:hint="eastAsia" w:ascii="仿宋_GB2312" w:hAnsi="仿宋_GB2312" w:eastAsia="仿宋_GB2312" w:cs="仿宋_GB2312"/>
          <w:b w:val="0"/>
          <w:bCs/>
          <w:i w:val="0"/>
          <w:caps w:val="0"/>
          <w:color w:val="000000"/>
          <w:spacing w:val="0"/>
          <w:kern w:val="0"/>
          <w:sz w:val="32"/>
          <w:szCs w:val="32"/>
          <w:lang w:val="en-US" w:eastAsia="zh-CN" w:bidi="ar"/>
        </w:rPr>
        <w:t>解密时间开始时政采云平台将以短信形式向供应商在政采云平台预留的手机号发送短信通知，请供应商及时关注。)</w:t>
      </w:r>
    </w:p>
    <w:p w14:paraId="283732B2">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解密成功后</w:t>
      </w:r>
      <w:r>
        <w:rPr>
          <w:rFonts w:hint="eastAsia" w:ascii="仿宋_GB2312" w:hAnsi="仿宋_GB2312" w:eastAsia="仿宋_GB2312" w:cs="仿宋_GB2312"/>
          <w:color w:val="auto"/>
          <w:sz w:val="32"/>
          <w:szCs w:val="32"/>
          <w:highlight w:val="none"/>
        </w:rPr>
        <w:t>由采购人或者采购代理机构工作人员</w:t>
      </w:r>
      <w:r>
        <w:rPr>
          <w:rFonts w:hint="eastAsia" w:ascii="仿宋_GB2312" w:hAnsi="仿宋_GB2312" w:eastAsia="仿宋_GB2312" w:cs="仿宋_GB2312"/>
          <w:color w:val="auto"/>
          <w:sz w:val="32"/>
          <w:szCs w:val="32"/>
          <w:highlight w:val="none"/>
          <w:lang w:val="en-US" w:eastAsia="zh-CN"/>
        </w:rPr>
        <w:t>唱电子标</w:t>
      </w:r>
      <w:r>
        <w:rPr>
          <w:rFonts w:hint="eastAsia" w:ascii="仿宋_GB2312" w:hAnsi="仿宋_GB2312" w:eastAsia="仿宋_GB2312" w:cs="仿宋_GB2312"/>
          <w:color w:val="auto"/>
          <w:sz w:val="32"/>
          <w:szCs w:val="32"/>
          <w:highlight w:val="none"/>
        </w:rPr>
        <w:t>，宣布投标人名称、投标价格和招标文件规定的需要宣布的其他内容。</w:t>
      </w:r>
    </w:p>
    <w:p w14:paraId="4ACE086C">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开标过程应当由采购人或者采购代理机构负责记录，由参加开标的各投标人代表和相关工作人员签字确认。</w:t>
      </w:r>
    </w:p>
    <w:p w14:paraId="6E3D81CC">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CBBC72D">
      <w:pPr>
        <w:pageBreakBefore w:val="0"/>
        <w:numPr>
          <w:ilvl w:val="1"/>
          <w:numId w:val="2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投标人未参加开标的，视同认可开标结果。</w:t>
      </w:r>
    </w:p>
    <w:p w14:paraId="4B138E81">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67" w:name="_Toc55778705"/>
      <w:bookmarkStart w:id="168" w:name="_Toc17344"/>
      <w:r>
        <w:rPr>
          <w:rFonts w:hint="eastAsia" w:ascii="仿宋_GB2312" w:hAnsi="仿宋_GB2312" w:eastAsia="仿宋_GB2312" w:cs="仿宋_GB2312"/>
          <w:b/>
          <w:color w:val="auto"/>
          <w:kern w:val="44"/>
          <w:sz w:val="32"/>
          <w:szCs w:val="32"/>
          <w:highlight w:val="none"/>
        </w:rPr>
        <w:t xml:space="preserve">    </w:t>
      </w:r>
      <w:bookmarkStart w:id="169" w:name="_Toc10826"/>
      <w:bookmarkStart w:id="170" w:name="_Toc11631"/>
      <w:bookmarkStart w:id="171" w:name="_Toc24182"/>
      <w:bookmarkStart w:id="172" w:name="_Toc1994"/>
      <w:r>
        <w:rPr>
          <w:rFonts w:hint="eastAsia" w:ascii="仿宋_GB2312" w:hAnsi="仿宋_GB2312" w:eastAsia="仿宋_GB2312" w:cs="仿宋_GB2312"/>
          <w:b/>
          <w:color w:val="auto"/>
          <w:kern w:val="44"/>
          <w:sz w:val="32"/>
          <w:szCs w:val="32"/>
          <w:highlight w:val="none"/>
        </w:rPr>
        <w:t>公开招标失败后的处理</w:t>
      </w:r>
      <w:bookmarkEnd w:id="167"/>
      <w:bookmarkEnd w:id="169"/>
      <w:bookmarkEnd w:id="170"/>
      <w:bookmarkEnd w:id="171"/>
      <w:bookmarkEnd w:id="172"/>
    </w:p>
    <w:p w14:paraId="52F307BF">
      <w:pPr>
        <w:pageBreakBefore w:val="0"/>
        <w:numPr>
          <w:ilvl w:val="1"/>
          <w:numId w:val="2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如果开标当天，投标截止后投标人不足3家或者通过资格审查或符合性审查的投标人不足3家的，除特殊情况外，本项目作废标处理。废标后，除采购任务取消情形外，按照以下方式处理：</w:t>
      </w:r>
    </w:p>
    <w:p w14:paraId="0F97EEF6">
      <w:pPr>
        <w:pageBreakBefore w:val="0"/>
        <w:numPr>
          <w:ilvl w:val="0"/>
          <w:numId w:val="2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招标文件存在不合理条款或者招标程序不符合规定的，采购人、采购代理机构改正后依法重新招标。</w:t>
      </w:r>
    </w:p>
    <w:p w14:paraId="3F100AE9">
      <w:pPr>
        <w:pageBreakBefore w:val="0"/>
        <w:numPr>
          <w:ilvl w:val="0"/>
          <w:numId w:val="2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招标文件没有不合理条款、招标程序符合规定，采购人需要采用其他采购方式采购的，经财政部门同意后可依法转换采购方式进行。</w:t>
      </w:r>
    </w:p>
    <w:p w14:paraId="244EC189">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73" w:name="_Toc55778706"/>
      <w:r>
        <w:rPr>
          <w:rFonts w:hint="eastAsia" w:ascii="仿宋_GB2312" w:hAnsi="仿宋_GB2312" w:eastAsia="仿宋_GB2312" w:cs="仿宋_GB2312"/>
          <w:b/>
          <w:bCs/>
          <w:color w:val="auto"/>
          <w:kern w:val="44"/>
          <w:sz w:val="32"/>
          <w:szCs w:val="32"/>
          <w:highlight w:val="none"/>
        </w:rPr>
        <w:t xml:space="preserve">    </w:t>
      </w:r>
      <w:bookmarkStart w:id="174" w:name="_Toc22191"/>
      <w:r>
        <w:rPr>
          <w:rFonts w:hint="eastAsia" w:ascii="仿宋_GB2312" w:hAnsi="仿宋_GB2312" w:eastAsia="仿宋_GB2312" w:cs="仿宋_GB2312"/>
          <w:b/>
          <w:bCs/>
          <w:color w:val="auto"/>
          <w:kern w:val="44"/>
          <w:sz w:val="32"/>
          <w:szCs w:val="32"/>
          <w:highlight w:val="none"/>
        </w:rPr>
        <w:t>评标小组</w:t>
      </w:r>
      <w:bookmarkEnd w:id="168"/>
      <w:bookmarkEnd w:id="173"/>
      <w:bookmarkEnd w:id="174"/>
    </w:p>
    <w:p w14:paraId="78C33969">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bookmarkStart w:id="175" w:name="_Ref179621079"/>
      <w:r>
        <w:rPr>
          <w:rFonts w:hint="eastAsia" w:ascii="仿宋_GB2312" w:hAnsi="仿宋_GB2312" w:eastAsia="仿宋_GB2312" w:cs="仿宋_GB2312"/>
          <w:color w:val="auto"/>
          <w:sz w:val="32"/>
          <w:szCs w:val="32"/>
          <w:highlight w:val="none"/>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_GB2312" w:hAnsi="仿宋_GB2312" w:eastAsia="仿宋_GB2312" w:cs="仿宋_GB2312"/>
          <w:b/>
          <w:bCs/>
          <w:color w:val="auto"/>
          <w:sz w:val="32"/>
          <w:szCs w:val="32"/>
          <w:highlight w:val="none"/>
          <w:u w:val="single"/>
          <w:lang w:eastAsia="zh-CN"/>
        </w:rPr>
        <w:t>新疆政采云平台</w:t>
      </w:r>
      <w:r>
        <w:rPr>
          <w:rFonts w:hint="eastAsia" w:ascii="仿宋_GB2312" w:hAnsi="仿宋_GB2312" w:eastAsia="仿宋_GB2312" w:cs="仿宋_GB2312"/>
          <w:color w:val="auto"/>
          <w:sz w:val="32"/>
          <w:szCs w:val="32"/>
          <w:highlight w:val="none"/>
        </w:rPr>
        <w:t>评审专家库中随机抽取产生。对技术复杂、专业性强的采购项目，通过随机方式难以确定合适评审专家的，经主管预算单位同意，采购人可以自行选定相应专业领域的评审专家。</w:t>
      </w:r>
    </w:p>
    <w:p w14:paraId="7FDC6F0E">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评标小组应当按照招标文件中规定的评标方法和标准，对符合性审查合格的投标文件进行商务和技术评估，综合比较与评价，提交评标报告并推荐中标候选人。</w:t>
      </w:r>
    </w:p>
    <w:p w14:paraId="3D588C33">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一并存档。</w:t>
      </w:r>
    </w:p>
    <w:p w14:paraId="76083B48">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评标小组成员名单在评标结果公告前严格保密。评审专家有下列情形之一的，受到邀请应主动提出回避，采购当事人也可以要求该评审专家回避：</w:t>
      </w:r>
    </w:p>
    <w:p w14:paraId="2AE28B8F">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参加采购活动前3年内与</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存在劳动关系；</w:t>
      </w:r>
    </w:p>
    <w:p w14:paraId="2C49224C">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参加采购活动前3年内担任</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的董事、监事；</w:t>
      </w:r>
    </w:p>
    <w:p w14:paraId="57B69A1D">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参加采购活动前3年内是</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的控股股东或者实际控制人；</w:t>
      </w:r>
    </w:p>
    <w:p w14:paraId="328D5174">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 xml:space="preserve">的法定代表人或者负责人有夫妻、直系血亲、三代以内旁系血          </w:t>
      </w:r>
    </w:p>
    <w:p w14:paraId="2DF58500">
      <w:pPr>
        <w:pageBreakBefore w:val="0"/>
        <w:kinsoku/>
        <w:overflowPunct/>
        <w:topLinePunct w:val="0"/>
        <w:bidi w:val="0"/>
        <w:spacing w:line="500" w:lineRule="exact"/>
        <w:ind w:left="425"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亲或者近姻亲关系；</w:t>
      </w:r>
    </w:p>
    <w:p w14:paraId="4FDF5FEE">
      <w:pPr>
        <w:pageBreakBefore w:val="0"/>
        <w:numPr>
          <w:ilvl w:val="0"/>
          <w:numId w:val="2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有其他可能影响政府采购活动公平、公正进行的关系。</w:t>
      </w:r>
    </w:p>
    <w:p w14:paraId="36BC4536">
      <w:pPr>
        <w:pageBreakBefore w:val="0"/>
        <w:numPr>
          <w:ilvl w:val="1"/>
          <w:numId w:val="2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评标小组将按综合评分法进行评审，即最大限度地满足招标文件实质性要求前提下，按照招标文件中规定的各项因素进行综合评审后，以评标总得分最高的投标人作为中标候选人。</w:t>
      </w:r>
      <w:bookmarkEnd w:id="175"/>
    </w:p>
    <w:p w14:paraId="13E2A8E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76" w:name="_Toc55778707"/>
      <w:r>
        <w:rPr>
          <w:rFonts w:hint="eastAsia" w:ascii="仿宋_GB2312" w:hAnsi="仿宋_GB2312" w:eastAsia="仿宋_GB2312" w:cs="仿宋_GB2312"/>
          <w:b/>
          <w:color w:val="auto"/>
          <w:kern w:val="44"/>
          <w:sz w:val="32"/>
          <w:szCs w:val="32"/>
          <w:highlight w:val="none"/>
        </w:rPr>
        <w:t xml:space="preserve">   </w:t>
      </w:r>
      <w:bookmarkStart w:id="177" w:name="_Toc28109"/>
      <w:bookmarkStart w:id="178" w:name="_Toc14456"/>
      <w:bookmarkStart w:id="179" w:name="_Toc26294"/>
      <w:bookmarkStart w:id="180" w:name="_Toc30337"/>
      <w:r>
        <w:rPr>
          <w:rFonts w:hint="eastAsia" w:ascii="仿宋_GB2312" w:hAnsi="仿宋_GB2312" w:eastAsia="仿宋_GB2312" w:cs="仿宋_GB2312"/>
          <w:b/>
          <w:color w:val="auto"/>
          <w:kern w:val="44"/>
          <w:sz w:val="32"/>
          <w:szCs w:val="32"/>
          <w:highlight w:val="none"/>
        </w:rPr>
        <w:t>评标原则及评标方法</w:t>
      </w:r>
      <w:bookmarkEnd w:id="176"/>
      <w:bookmarkEnd w:id="177"/>
      <w:bookmarkEnd w:id="178"/>
      <w:bookmarkEnd w:id="179"/>
      <w:bookmarkEnd w:id="180"/>
    </w:p>
    <w:p w14:paraId="1C4E3DA5">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评标基本原则：评标工作应依据《中华人民共和国政府采购法》、实施条例以及国家和地方政府有关政府采购的有关法规，遵循“公开、公平、公正、择优、信用”的原则进行。</w:t>
      </w:r>
    </w:p>
    <w:p w14:paraId="237BFEF1">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本项目以投标人递交的</w:t>
      </w:r>
      <w:r>
        <w:rPr>
          <w:rFonts w:hint="eastAsia" w:ascii="仿宋_GB2312" w:hAnsi="仿宋_GB2312" w:eastAsia="仿宋_GB2312"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rPr>
        <w:t>投标文件作为评审依据。</w:t>
      </w:r>
    </w:p>
    <w:p w14:paraId="761E1377">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评标步骤及定标规定：第一阶段：先进行投标人资格性审查。第二阶段：进行投标人符合性审查。第三阶段：对通过资格性审查、符合性审查的投标人按照评标办法进行详细评审（包括：技术商务评审）。</w:t>
      </w:r>
    </w:p>
    <w:p w14:paraId="0409311E">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评标办法：本次招标的评标方式为综合评分法，评审意见不一致时采用少数服从多数的评标方式，详细评审采用百分制综合评分法，分数按四舍五入原则计至小数点后两位</w:t>
      </w:r>
      <w:r>
        <w:rPr>
          <w:rFonts w:hint="eastAsia" w:ascii="仿宋_GB2312" w:hAnsi="仿宋_GB2312" w:eastAsia="仿宋_GB2312" w:cs="仿宋_GB2312"/>
          <w:color w:val="auto"/>
          <w:sz w:val="32"/>
          <w:szCs w:val="32"/>
          <w:highlight w:val="none"/>
        </w:rPr>
        <w:t>。</w:t>
      </w:r>
    </w:p>
    <w:p w14:paraId="161469CA">
      <w:pPr>
        <w:pageBreakBefore w:val="0"/>
        <w:numPr>
          <w:ilvl w:val="1"/>
          <w:numId w:val="2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_GB2312" w:hAnsi="仿宋_GB2312" w:eastAsia="仿宋_GB2312" w:cs="仿宋_GB2312"/>
          <w:color w:val="auto"/>
          <w:sz w:val="32"/>
          <w:szCs w:val="32"/>
          <w:highlight w:val="none"/>
        </w:rPr>
        <w:t>。</w:t>
      </w:r>
    </w:p>
    <w:p w14:paraId="5BB261D6">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81" w:name="_Toc55778708"/>
      <w:r>
        <w:rPr>
          <w:rFonts w:hint="eastAsia" w:ascii="仿宋_GB2312" w:hAnsi="仿宋_GB2312" w:eastAsia="仿宋_GB2312" w:cs="仿宋_GB2312"/>
          <w:b/>
          <w:color w:val="auto"/>
          <w:kern w:val="44"/>
          <w:sz w:val="32"/>
          <w:szCs w:val="32"/>
          <w:highlight w:val="none"/>
        </w:rPr>
        <w:t xml:space="preserve">    </w:t>
      </w:r>
      <w:bookmarkStart w:id="182" w:name="_Toc24957"/>
      <w:bookmarkStart w:id="183" w:name="_Toc24483"/>
      <w:bookmarkStart w:id="184" w:name="_Toc29632"/>
      <w:bookmarkStart w:id="185" w:name="_Toc3188"/>
      <w:r>
        <w:rPr>
          <w:rFonts w:hint="eastAsia" w:ascii="仿宋_GB2312" w:hAnsi="仿宋_GB2312" w:eastAsia="仿宋_GB2312" w:cs="仿宋_GB2312"/>
          <w:b/>
          <w:color w:val="auto"/>
          <w:kern w:val="44"/>
          <w:sz w:val="32"/>
          <w:szCs w:val="32"/>
          <w:highlight w:val="none"/>
        </w:rPr>
        <w:t>初步评审</w:t>
      </w:r>
      <w:bookmarkEnd w:id="181"/>
      <w:bookmarkEnd w:id="182"/>
      <w:bookmarkEnd w:id="183"/>
      <w:bookmarkEnd w:id="184"/>
      <w:bookmarkEnd w:id="185"/>
    </w:p>
    <w:p w14:paraId="6DEFA82C">
      <w:pPr>
        <w:pageBreakBefore w:val="0"/>
        <w:numPr>
          <w:ilvl w:val="1"/>
          <w:numId w:val="2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资格性审查：开标结束后，采购人依法对投标人的资格进行审查，资格性审查内容详见附</w:t>
      </w:r>
      <w:r>
        <w:rPr>
          <w:rFonts w:hint="eastAsia" w:ascii="仿宋_GB2312" w:hAnsi="仿宋_GB2312" w:eastAsia="仿宋_GB2312" w:cs="仿宋_GB2312"/>
          <w:color w:val="auto"/>
          <w:sz w:val="32"/>
          <w:szCs w:val="32"/>
          <w:highlight w:val="none"/>
          <w:lang w:val="en-US" w:eastAsia="zh-CN"/>
        </w:rPr>
        <w:t>表</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资格审查</w:t>
      </w:r>
      <w:r>
        <w:rPr>
          <w:rFonts w:hint="eastAsia" w:ascii="仿宋_GB2312" w:hAnsi="仿宋_GB2312" w:eastAsia="仿宋_GB2312" w:cs="仿宋_GB2312"/>
          <w:color w:val="auto"/>
          <w:sz w:val="32"/>
          <w:szCs w:val="32"/>
          <w:highlight w:val="none"/>
        </w:rPr>
        <w:t>标准表》。对初步被认定为资格性审查不合格的可实行告知投标当事人。未通过资格性审查的投标人，不进入符合性审查。若通过资格性审查的投标人不足3家的，不得进行下一阶段评标。</w:t>
      </w:r>
    </w:p>
    <w:p w14:paraId="695AC521">
      <w:pPr>
        <w:pageBreakBefore w:val="0"/>
        <w:numPr>
          <w:ilvl w:val="2"/>
          <w:numId w:val="2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投标人存在下列情况之一的，投标无效：</w:t>
      </w:r>
    </w:p>
    <w:p w14:paraId="34C67015">
      <w:pPr>
        <w:pageBreakBefore w:val="0"/>
        <w:kinsoku/>
        <w:overflowPunct/>
        <w:topLinePunct w:val="0"/>
        <w:bidi w:val="0"/>
        <w:spacing w:line="500"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不具备招标文件中规定的投标人资格要求的</w:t>
      </w:r>
    </w:p>
    <w:p w14:paraId="01AD8AD6">
      <w:pPr>
        <w:pageBreakBefore w:val="0"/>
        <w:numPr>
          <w:ilvl w:val="1"/>
          <w:numId w:val="2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符合性审查：详见附</w:t>
      </w:r>
      <w:r>
        <w:rPr>
          <w:rFonts w:hint="eastAsia" w:ascii="仿宋_GB2312" w:hAnsi="仿宋_GB2312" w:eastAsia="仿宋_GB2312" w:cs="仿宋_GB2312"/>
          <w:color w:val="auto"/>
          <w:sz w:val="32"/>
          <w:szCs w:val="32"/>
          <w:highlight w:val="none"/>
          <w:lang w:val="en-US" w:eastAsia="zh-CN"/>
        </w:rPr>
        <w:t>表2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符合性审查</w:t>
      </w:r>
      <w:r>
        <w:rPr>
          <w:rFonts w:hint="eastAsia" w:ascii="仿宋_GB2312" w:hAnsi="仿宋_GB2312" w:eastAsia="仿宋_GB2312" w:cs="仿宋_GB2312"/>
          <w:color w:val="auto"/>
          <w:sz w:val="32"/>
          <w:szCs w:val="32"/>
          <w:highlight w:val="none"/>
        </w:rPr>
        <w:t>标准表》，以确定其是否满足招标文件的实质性要求。评标小组对初步被认定为符合性审查不合格或无效投标者可实行告知投标当事人。未通过符合性审查的投标人，不进入技术、商务和价格评审。</w:t>
      </w:r>
    </w:p>
    <w:p w14:paraId="5B56E398">
      <w:pPr>
        <w:pageBreakBefore w:val="0"/>
        <w:numPr>
          <w:ilvl w:val="1"/>
          <w:numId w:val="2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评标小组决定投标文件的响应程度</w:t>
      </w:r>
      <w:r>
        <w:rPr>
          <w:rFonts w:hint="eastAsia" w:ascii="仿宋_GB2312" w:hAnsi="仿宋_GB2312" w:eastAsia="仿宋_GB2312" w:cs="仿宋_GB2312"/>
          <w:color w:val="auto"/>
          <w:sz w:val="32"/>
          <w:szCs w:val="32"/>
          <w:highlight w:val="none"/>
          <w:lang w:val="en-US" w:eastAsia="zh-CN"/>
        </w:rPr>
        <w:t>指</w:t>
      </w:r>
      <w:r>
        <w:rPr>
          <w:rFonts w:hint="eastAsia" w:ascii="仿宋_GB2312" w:hAnsi="仿宋_GB2312" w:eastAsia="仿宋_GB2312" w:cs="仿宋_GB2312"/>
          <w:color w:val="auto"/>
          <w:sz w:val="32"/>
          <w:szCs w:val="32"/>
          <w:highlight w:val="none"/>
        </w:rPr>
        <w:t>依据投标文件本身的真实无误的内容，而不依据外部的证据。但投标文件有不真实、不正确内容的除外。</w:t>
      </w:r>
    </w:p>
    <w:p w14:paraId="12D0830D">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86" w:name="_Toc55778709"/>
      <w:r>
        <w:rPr>
          <w:rFonts w:hint="eastAsia" w:ascii="仿宋_GB2312" w:hAnsi="仿宋_GB2312" w:eastAsia="仿宋_GB2312" w:cs="仿宋_GB2312"/>
          <w:b/>
          <w:bCs/>
          <w:color w:val="auto"/>
          <w:kern w:val="44"/>
          <w:sz w:val="32"/>
          <w:szCs w:val="32"/>
          <w:highlight w:val="none"/>
        </w:rPr>
        <w:t xml:space="preserve">    </w:t>
      </w:r>
      <w:bookmarkStart w:id="187" w:name="_Toc21733"/>
      <w:bookmarkStart w:id="188" w:name="_Toc24582"/>
      <w:bookmarkStart w:id="189" w:name="_Toc27075"/>
      <w:bookmarkStart w:id="190" w:name="_Toc23646"/>
      <w:r>
        <w:rPr>
          <w:rFonts w:hint="eastAsia" w:ascii="仿宋_GB2312" w:hAnsi="仿宋_GB2312" w:eastAsia="仿宋_GB2312" w:cs="仿宋_GB2312"/>
          <w:b/>
          <w:bCs/>
          <w:color w:val="auto"/>
          <w:kern w:val="44"/>
          <w:sz w:val="32"/>
          <w:szCs w:val="32"/>
          <w:highlight w:val="none"/>
        </w:rPr>
        <w:t>详细评审</w:t>
      </w:r>
      <w:bookmarkEnd w:id="186"/>
      <w:bookmarkEnd w:id="187"/>
      <w:bookmarkEnd w:id="188"/>
      <w:bookmarkEnd w:id="189"/>
      <w:bookmarkEnd w:id="190"/>
    </w:p>
    <w:p w14:paraId="7723D576">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经符合性审查合格的投标文件，评标委员会将根据招标文件确定的评标方法和标准，对其技术部分和商务部分作进一步的比较和评价。</w:t>
      </w:r>
    </w:p>
    <w:p w14:paraId="2BAF9682">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综合评分法，是指投标文件满足招标文件全部实质性要求，且按照评审因素的量化指标评审得分最高的投标人为中标候选人的评标方法，评标严格按照招标文件的要求和条件进行，详细评标标准见附</w:t>
      </w:r>
      <w:r>
        <w:rPr>
          <w:rFonts w:hint="eastAsia" w:ascii="仿宋_GB2312" w:hAnsi="仿宋_GB2312" w:eastAsia="仿宋_GB2312" w:cs="仿宋_GB2312"/>
          <w:color w:val="auto"/>
          <w:sz w:val="32"/>
          <w:szCs w:val="32"/>
          <w:highlight w:val="none"/>
          <w:lang w:val="en-US" w:eastAsia="zh-CN"/>
        </w:rPr>
        <w:t>表3</w:t>
      </w:r>
      <w:r>
        <w:rPr>
          <w:rFonts w:hint="eastAsia" w:ascii="仿宋_GB2312" w:hAnsi="仿宋_GB2312" w:eastAsia="仿宋_GB2312" w:cs="仿宋_GB2312"/>
          <w:color w:val="auto"/>
          <w:sz w:val="32"/>
          <w:szCs w:val="32"/>
          <w:highlight w:val="none"/>
        </w:rPr>
        <w:t>《评分细则》。</w:t>
      </w:r>
    </w:p>
    <w:p w14:paraId="3FF86C45">
      <w:pPr>
        <w:numPr>
          <w:ilvl w:val="1"/>
          <w:numId w:val="30"/>
        </w:numPr>
        <w:spacing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（一）本项目在政府采购评审中出现下列情形之一的，评审委员会应当启动异常低价投标（响应）审查程序：</w:t>
      </w:r>
    </w:p>
    <w:p w14:paraId="647F72EA">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1.投标（响应）报价低于全部通过符合性审查供应商投标（响应）报价平均值50%的，即投标（响应）报价&lt;全部通过符合性审查供应商投标（响应）报价平均值×50%；</w:t>
      </w:r>
    </w:p>
    <w:p w14:paraId="2FCC4A2E">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2.投标（响应）报价低于通过符合性审查的次低报价供应商投标（响应）报价50%的，即投标（响应）报价&lt;通过符合性审查的次低报价供应商投标（响应）报价×50%；</w:t>
      </w:r>
    </w:p>
    <w:p w14:paraId="22324944">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3.投标（响应）报价低于采购项目最高限价45%的，即投标（响应）报价&lt;采购项目最高限价×45%；</w:t>
      </w:r>
    </w:p>
    <w:p w14:paraId="7F3E9BE5">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4.评审委员会基于专业判断，认为供应商报价过低，有可能影响产品质量或者不能诚信履约的其他情形。</w:t>
      </w:r>
    </w:p>
    <w:p w14:paraId="51B9F1CC">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采购人可以结合具体项目实际情况，提高上述第1项至第3项中启动异常低价投标（响应）审查的数值标准，但是最高不得超过65%。</w:t>
      </w:r>
    </w:p>
    <w:p w14:paraId="4F1CA811">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相关法律法规对供应商报价有规定的，从其规定。</w:t>
      </w:r>
    </w:p>
    <w:p w14:paraId="0DA0602A">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206D8E">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457FD82">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D2BF1EB">
      <w:pPr>
        <w:pStyle w:val="16"/>
        <w:spacing w:line="500" w:lineRule="exact"/>
        <w:ind w:left="899" w:leftChars="428"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0F86B475">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投标文件报价出现前后不一致的，除招标文件另有规定外，按照下列规定修正：</w:t>
      </w:r>
    </w:p>
    <w:p w14:paraId="107DB831">
      <w:pPr>
        <w:pageBreakBefore w:val="0"/>
        <w:numPr>
          <w:ilvl w:val="2"/>
          <w:numId w:val="3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投标文件中报价一览表内容与投标文件中明细表内容不一致的，以报价一览表为准；</w:t>
      </w:r>
    </w:p>
    <w:p w14:paraId="617D2FB8">
      <w:pPr>
        <w:pageBreakBefore w:val="0"/>
        <w:numPr>
          <w:ilvl w:val="2"/>
          <w:numId w:val="3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大写金额和小写金额不一致的，以大写金额为准；</w:t>
      </w:r>
    </w:p>
    <w:p w14:paraId="4930AA3B">
      <w:pPr>
        <w:pageBreakBefore w:val="0"/>
        <w:numPr>
          <w:ilvl w:val="2"/>
          <w:numId w:val="3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单价金额小数点或百分比有明显错位的，以开标一览表的总价为准，并修改单价；</w:t>
      </w:r>
    </w:p>
    <w:p w14:paraId="59D146B5">
      <w:pPr>
        <w:pageBreakBefore w:val="0"/>
        <w:numPr>
          <w:ilvl w:val="2"/>
          <w:numId w:val="3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总价金额与按单价汇总金额不一致的，以单价金额计算结果为准。</w:t>
      </w:r>
    </w:p>
    <w:p w14:paraId="54B21A0F">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24E1ED55">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对数量的评审：以《采购内容》所示数量为准；《采购内容》未明示的，由评标小组以其专业知识判断，必要时参考投标人的澄清文件决定。</w:t>
      </w:r>
    </w:p>
    <w:p w14:paraId="23EB4ED8">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对小型或微型企业的扶持：</w:t>
      </w:r>
    </w:p>
    <w:p w14:paraId="4EC18486">
      <w:pPr>
        <w:pStyle w:val="16"/>
        <w:pageBreakBefore w:val="0"/>
        <w:kinsoku/>
        <w:overflowPunct/>
        <w:topLinePunct w:val="0"/>
        <w:bidi w:val="0"/>
        <w:spacing w:line="500" w:lineRule="exact"/>
        <w:ind w:left="899" w:leftChars="428"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w:t>
      </w:r>
      <w:r>
        <w:rPr>
          <w:rFonts w:hint="eastAsia" w:ascii="仿宋_GB2312" w:hAnsi="仿宋_GB2312" w:eastAsia="仿宋_GB2312" w:cs="仿宋_GB2312"/>
          <w:color w:val="auto"/>
          <w:sz w:val="32"/>
          <w:szCs w:val="32"/>
          <w:highlight w:val="none"/>
          <w:lang w:val="en-US" w:eastAsia="zh-CN"/>
        </w:rPr>
        <w:t>格式见附件2</w:t>
      </w:r>
      <w:r>
        <w:rPr>
          <w:rFonts w:hint="eastAsia" w:ascii="仿宋_GB2312" w:hAnsi="仿宋_GB2312" w:eastAsia="仿宋_GB2312" w:cs="仿宋_GB2312"/>
          <w:color w:val="auto"/>
          <w:sz w:val="32"/>
          <w:szCs w:val="32"/>
          <w:highlight w:val="none"/>
        </w:rPr>
        <w:t>，并明确企业类型，否则评审时不能享受相应的价格扣除。提供本企业制造的货物、承担的工程或者服务，或者提供其他小型或微型企业的制造的货物。</w:t>
      </w:r>
    </w:p>
    <w:p w14:paraId="5B2F719F">
      <w:pPr>
        <w:pStyle w:val="16"/>
        <w:pageBreakBefore w:val="0"/>
        <w:kinsoku/>
        <w:overflowPunct/>
        <w:topLinePunct w:val="0"/>
        <w:bidi w:val="0"/>
        <w:spacing w:line="500" w:lineRule="exact"/>
        <w:ind w:left="899" w:leftChars="428"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（2）投标人为小型、微型企业且投标产品含小型、微型企业产品时，其小型、微型企业产品的价格给予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%的扣除，即评标价=投标报价-小型、微型企业产品投标报价×</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p>
    <w:p w14:paraId="73628F9F">
      <w:pPr>
        <w:pStyle w:val="16"/>
        <w:pageBreakBefore w:val="0"/>
        <w:kinsoku/>
        <w:overflowPunct/>
        <w:topLinePunct w:val="0"/>
        <w:bidi w:val="0"/>
        <w:spacing w:line="500" w:lineRule="exact"/>
        <w:ind w:left="899" w:leftChars="428"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）根据财政部《政府采购促进中小企业发展管理办法》（财库[2020]46号文）规定，在货物类采购项目中，</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提供的货物既有中小企业制造货物，也有大型企业制造货物的，不享受中小企业扶持政策。</w:t>
      </w:r>
    </w:p>
    <w:p w14:paraId="1B98CAE0">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监狱企业产品价格扣除</w:t>
      </w:r>
    </w:p>
    <w:p w14:paraId="1446AA57">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1）监狱企业视同小型、微型企业，按上述</w:t>
      </w:r>
      <w:r>
        <w:rPr>
          <w:rFonts w:hint="eastAsia" w:ascii="仿宋_GB2312" w:hAnsi="仿宋_GB2312" w:eastAsia="仿宋_GB2312" w:cs="仿宋_GB2312"/>
          <w:b/>
          <w:bCs/>
          <w:color w:val="auto"/>
          <w:sz w:val="32"/>
          <w:szCs w:val="32"/>
          <w:highlight w:val="none"/>
        </w:rPr>
        <w:t>27.7条款</w:t>
      </w:r>
      <w:r>
        <w:rPr>
          <w:rFonts w:hint="eastAsia" w:ascii="仿宋_GB2312" w:hAnsi="仿宋_GB2312" w:eastAsia="仿宋_GB2312" w:cs="仿宋_GB2312"/>
          <w:color w:val="auto"/>
          <w:sz w:val="32"/>
          <w:szCs w:val="32"/>
          <w:highlight w:val="none"/>
        </w:rPr>
        <w:t>享受评审中价格扣除。</w:t>
      </w:r>
    </w:p>
    <w:p w14:paraId="7E59F7C3">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E53B5B">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3）监狱企业参加政府采购活动时，应当提供由省级以上监狱管理局、戒毒管理局（含新疆生产建设兵团）出具的属于监狱企业的证明文件，否则不予认可。</w:t>
      </w:r>
    </w:p>
    <w:p w14:paraId="60DBE691">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残疾人福利性单位产品价格扣除</w:t>
      </w:r>
    </w:p>
    <w:p w14:paraId="3F0EBC79">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1）残疾人福利性单位视同小型、微型企业，按上述</w:t>
      </w:r>
      <w:r>
        <w:rPr>
          <w:rFonts w:hint="eastAsia" w:ascii="仿宋_GB2312" w:hAnsi="仿宋_GB2312" w:eastAsia="仿宋_GB2312" w:cs="仿宋_GB2312"/>
          <w:b/>
          <w:bCs/>
          <w:color w:val="auto"/>
          <w:sz w:val="32"/>
          <w:szCs w:val="32"/>
          <w:highlight w:val="none"/>
        </w:rPr>
        <w:t>27.7条款</w:t>
      </w:r>
      <w:r>
        <w:rPr>
          <w:rFonts w:hint="eastAsia" w:ascii="仿宋_GB2312" w:hAnsi="仿宋_GB2312" w:eastAsia="仿宋_GB2312" w:cs="仿宋_GB2312"/>
          <w:color w:val="auto"/>
          <w:sz w:val="32"/>
          <w:szCs w:val="32"/>
          <w:highlight w:val="none"/>
        </w:rPr>
        <w:t>享受评审中价格扣除。</w:t>
      </w:r>
    </w:p>
    <w:p w14:paraId="608EED53">
      <w:pPr>
        <w:pageBreakBefore w:val="0"/>
        <w:kinsoku/>
        <w:overflowPunct/>
        <w:topLinePunct w:val="0"/>
        <w:bidi w:val="0"/>
        <w:spacing w:line="500" w:lineRule="exact"/>
        <w:ind w:left="90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w:t>
      </w:r>
      <w:r>
        <w:rPr>
          <w:rFonts w:hint="eastAsia" w:ascii="仿宋_GB2312" w:hAnsi="仿宋_GB2312" w:eastAsia="仿宋_GB2312" w:cs="仿宋_GB2312"/>
          <w:color w:val="auto"/>
          <w:sz w:val="32"/>
          <w:szCs w:val="32"/>
          <w:highlight w:val="none"/>
          <w:lang w:val="en-US" w:eastAsia="zh-CN"/>
        </w:rPr>
        <w:t>附件3</w:t>
      </w:r>
      <w:r>
        <w:rPr>
          <w:rFonts w:hint="eastAsia" w:ascii="仿宋_GB2312" w:hAnsi="仿宋_GB2312" w:eastAsia="仿宋_GB2312" w:cs="仿宋_GB2312"/>
          <w:color w:val="auto"/>
          <w:sz w:val="32"/>
          <w:szCs w:val="32"/>
          <w:highlight w:val="none"/>
        </w:rPr>
        <w:t>），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1752396B">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投标人同时为小型、微型企业、监狱企业、残疾人福利性单位任两种或以上情况的，评审中只享受一次价格扣除，不重复进行价格扣除。</w:t>
      </w:r>
    </w:p>
    <w:p w14:paraId="08E0B9BA">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34C8A362">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39E47232">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评标价的确定：按上述条款校核修正后的价格为评标价。</w:t>
      </w:r>
    </w:p>
    <w:p w14:paraId="33737A1A">
      <w:pPr>
        <w:pageBreakBefore w:val="0"/>
        <w:numPr>
          <w:ilvl w:val="1"/>
          <w:numId w:val="3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评标小组成员对需要共同认定的事项存在争议的，应当按照少数服从多数的原则作出结论。持不同意见的评标小组成员应当在评标报告上签署不同意见及理由，否则视为同意评标报告。</w:t>
      </w:r>
    </w:p>
    <w:p w14:paraId="370E8A78">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color w:val="000000"/>
          <w:sz w:val="32"/>
          <w:szCs w:val="32"/>
        </w:rPr>
      </w:pPr>
      <w:bookmarkStart w:id="191" w:name="_Toc55778710"/>
      <w:r>
        <w:rPr>
          <w:rFonts w:hint="eastAsia" w:ascii="仿宋_GB2312" w:hAnsi="仿宋_GB2312" w:eastAsia="仿宋_GB2312" w:cs="仿宋_GB2312"/>
          <w:b/>
          <w:color w:val="auto"/>
          <w:kern w:val="44"/>
          <w:sz w:val="32"/>
          <w:szCs w:val="32"/>
          <w:highlight w:val="none"/>
        </w:rPr>
        <w:t xml:space="preserve">    </w:t>
      </w:r>
      <w:bookmarkStart w:id="192" w:name="_Toc10625"/>
      <w:bookmarkStart w:id="193" w:name="_Toc31639"/>
      <w:bookmarkStart w:id="194" w:name="_Toc25223"/>
      <w:bookmarkStart w:id="195" w:name="_Toc31812"/>
      <w:r>
        <w:rPr>
          <w:rFonts w:hint="eastAsia" w:ascii="仿宋_GB2312" w:hAnsi="仿宋_GB2312" w:eastAsia="仿宋_GB2312" w:cs="仿宋_GB2312"/>
          <w:b/>
          <w:color w:val="auto"/>
          <w:kern w:val="44"/>
          <w:sz w:val="32"/>
          <w:szCs w:val="32"/>
          <w:highlight w:val="none"/>
        </w:rPr>
        <w:t>投标文件的修正和澄清</w:t>
      </w:r>
      <w:bookmarkEnd w:id="191"/>
      <w:bookmarkEnd w:id="192"/>
      <w:bookmarkEnd w:id="193"/>
      <w:bookmarkEnd w:id="194"/>
      <w:bookmarkEnd w:id="195"/>
      <w:r>
        <w:rPr>
          <w:rFonts w:hint="eastAsia" w:ascii="仿宋_GB2312" w:hAnsi="仿宋_GB2312" w:eastAsia="仿宋_GB2312" w:cs="仿宋_GB2312"/>
          <w:b/>
          <w:color w:val="auto"/>
          <w:kern w:val="44"/>
          <w:sz w:val="32"/>
          <w:szCs w:val="32"/>
          <w:highlight w:val="none"/>
          <w:lang w:eastAsia="zh-CN"/>
        </w:rPr>
        <w:t>、</w:t>
      </w:r>
    </w:p>
    <w:p w14:paraId="66C06291">
      <w:pPr>
        <w:pageBreakBefore w:val="0"/>
        <w:numPr>
          <w:ilvl w:val="1"/>
          <w:numId w:val="32"/>
        </w:numPr>
        <w:kinsoku/>
        <w:overflowPunct/>
        <w:topLinePunct w:val="0"/>
        <w:bidi w:val="0"/>
        <w:spacing w:line="5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6C404833">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196" w:name="_Toc55778711"/>
      <w:r>
        <w:rPr>
          <w:rFonts w:hint="eastAsia" w:ascii="仿宋_GB2312" w:hAnsi="仿宋_GB2312" w:eastAsia="仿宋_GB2312" w:cs="仿宋_GB2312"/>
          <w:b/>
          <w:bCs/>
          <w:color w:val="auto"/>
          <w:kern w:val="44"/>
          <w:sz w:val="32"/>
          <w:szCs w:val="32"/>
          <w:highlight w:val="none"/>
        </w:rPr>
        <w:t xml:space="preserve">    </w:t>
      </w:r>
      <w:bookmarkStart w:id="197" w:name="_Toc12810"/>
      <w:bookmarkStart w:id="198" w:name="_Toc30970"/>
      <w:bookmarkStart w:id="199" w:name="_Toc13122"/>
      <w:bookmarkStart w:id="200" w:name="_Toc14816"/>
      <w:r>
        <w:rPr>
          <w:rFonts w:hint="eastAsia" w:ascii="仿宋_GB2312" w:hAnsi="仿宋_GB2312" w:eastAsia="仿宋_GB2312" w:cs="仿宋_GB2312"/>
          <w:b/>
          <w:bCs/>
          <w:color w:val="auto"/>
          <w:kern w:val="44"/>
          <w:sz w:val="32"/>
          <w:szCs w:val="32"/>
          <w:highlight w:val="none"/>
        </w:rPr>
        <w:t>评标总得分统计及推荐</w:t>
      </w:r>
      <w:bookmarkEnd w:id="196"/>
      <w:bookmarkEnd w:id="197"/>
      <w:bookmarkEnd w:id="198"/>
      <w:bookmarkEnd w:id="199"/>
      <w:bookmarkEnd w:id="200"/>
    </w:p>
    <w:p w14:paraId="18C25500">
      <w:pPr>
        <w:pageBreakBefore w:val="0"/>
        <w:numPr>
          <w:ilvl w:val="1"/>
          <w:numId w:val="3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评标过程中，不得去掉报价中的最高报价和最低报价。</w:t>
      </w:r>
    </w:p>
    <w:p w14:paraId="04144127">
      <w:pPr>
        <w:pageBreakBefore w:val="0"/>
        <w:numPr>
          <w:ilvl w:val="1"/>
          <w:numId w:val="3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评标小组各成员独立对每个投标人的投标文件进行评价，并汇总每个投标人的得分（评标总得分分值按四舍五入原则精确到小数点后两位）。</w:t>
      </w:r>
    </w:p>
    <w:p w14:paraId="7693FD13">
      <w:pPr>
        <w:pageBreakBefore w:val="0"/>
        <w:numPr>
          <w:ilvl w:val="1"/>
          <w:numId w:val="3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推荐中标候选人：评标小组成员独立对每个投标人分别评出技术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2A176721">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01" w:name="_Toc55778712"/>
      <w:r>
        <w:rPr>
          <w:rFonts w:hint="eastAsia" w:ascii="仿宋_GB2312" w:hAnsi="仿宋_GB2312" w:eastAsia="仿宋_GB2312" w:cs="仿宋_GB2312"/>
          <w:b/>
          <w:color w:val="auto"/>
          <w:kern w:val="44"/>
          <w:sz w:val="32"/>
          <w:szCs w:val="32"/>
          <w:highlight w:val="none"/>
        </w:rPr>
        <w:t xml:space="preserve">    </w:t>
      </w:r>
      <w:bookmarkStart w:id="202" w:name="_Toc22167"/>
      <w:bookmarkStart w:id="203" w:name="_Toc10277"/>
      <w:bookmarkStart w:id="204" w:name="_Toc23908"/>
      <w:bookmarkStart w:id="205" w:name="_Toc160"/>
      <w:r>
        <w:rPr>
          <w:rFonts w:hint="eastAsia" w:ascii="仿宋_GB2312" w:hAnsi="仿宋_GB2312" w:eastAsia="仿宋_GB2312" w:cs="仿宋_GB2312"/>
          <w:b/>
          <w:color w:val="auto"/>
          <w:kern w:val="44"/>
          <w:sz w:val="32"/>
          <w:szCs w:val="32"/>
          <w:highlight w:val="none"/>
        </w:rPr>
        <w:t>定标</w:t>
      </w:r>
      <w:bookmarkEnd w:id="201"/>
      <w:bookmarkEnd w:id="202"/>
      <w:bookmarkEnd w:id="203"/>
      <w:bookmarkEnd w:id="204"/>
      <w:bookmarkEnd w:id="205"/>
    </w:p>
    <w:p w14:paraId="544D31F4">
      <w:pPr>
        <w:pageBreakBefore w:val="0"/>
        <w:numPr>
          <w:ilvl w:val="1"/>
          <w:numId w:val="3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6473A4CE">
      <w:pPr>
        <w:pageBreakBefore w:val="0"/>
        <w:numPr>
          <w:ilvl w:val="1"/>
          <w:numId w:val="3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中标人拒绝与采购人签订合同的，采购人可以按照评审报告推荐的中标候选人名单排序，确定下一候选人为中标人，也可以重新开展政府采购活动。</w:t>
      </w:r>
    </w:p>
    <w:p w14:paraId="53666357">
      <w:pPr>
        <w:pageBreakBefore w:val="0"/>
        <w:numPr>
          <w:ilvl w:val="1"/>
          <w:numId w:val="34"/>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中标人放弃中标或者中标资格被依法确认无效的，采购人可以按照排序从其他中标候选人中确定中标人或重新组织采购活动。</w:t>
      </w:r>
    </w:p>
    <w:p w14:paraId="58991EE8">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06" w:name="_Toc55778713"/>
      <w:r>
        <w:rPr>
          <w:rFonts w:hint="eastAsia" w:ascii="仿宋_GB2312" w:hAnsi="仿宋_GB2312" w:eastAsia="仿宋_GB2312" w:cs="仿宋_GB2312"/>
          <w:b/>
          <w:bCs/>
          <w:color w:val="auto"/>
          <w:kern w:val="44"/>
          <w:sz w:val="32"/>
          <w:szCs w:val="32"/>
          <w:highlight w:val="none"/>
        </w:rPr>
        <w:t xml:space="preserve">    </w:t>
      </w:r>
      <w:bookmarkStart w:id="207" w:name="_Toc31442"/>
      <w:bookmarkStart w:id="208" w:name="_Toc6845"/>
      <w:bookmarkStart w:id="209" w:name="_Toc14184"/>
      <w:bookmarkStart w:id="210" w:name="_Toc5256"/>
      <w:r>
        <w:rPr>
          <w:rFonts w:hint="eastAsia" w:ascii="仿宋_GB2312" w:hAnsi="仿宋_GB2312" w:eastAsia="仿宋_GB2312" w:cs="仿宋_GB2312"/>
          <w:b/>
          <w:bCs/>
          <w:color w:val="auto"/>
          <w:kern w:val="44"/>
          <w:sz w:val="32"/>
          <w:szCs w:val="32"/>
          <w:highlight w:val="none"/>
        </w:rPr>
        <w:t>特别说明</w:t>
      </w:r>
      <w:bookmarkEnd w:id="206"/>
      <w:bookmarkEnd w:id="207"/>
      <w:bookmarkEnd w:id="208"/>
      <w:bookmarkEnd w:id="209"/>
      <w:bookmarkEnd w:id="210"/>
    </w:p>
    <w:p w14:paraId="0BF6E06D">
      <w:pPr>
        <w:pageBreakBefore w:val="0"/>
        <w:numPr>
          <w:ilvl w:val="1"/>
          <w:numId w:val="3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有下列情形之一的，视为投标人串通投标，其投标无效：</w:t>
      </w:r>
    </w:p>
    <w:p w14:paraId="309A42D9">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不同投标人的投标文件由同一单位或者个人编制；</w:t>
      </w:r>
    </w:p>
    <w:p w14:paraId="329295EA">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不同投标人委托同一单位或者个人办理投标事宜；</w:t>
      </w:r>
    </w:p>
    <w:p w14:paraId="68E51533">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不同投标人的投标文件载明的项目管理成员或者联系人员为同一人；</w:t>
      </w:r>
    </w:p>
    <w:p w14:paraId="0F80FFD1">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不同投标人的投标文件异常一致或者投标报价呈规律性差异；</w:t>
      </w:r>
    </w:p>
    <w:p w14:paraId="6D8D72C9">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不同投标人的投标文件相互混装；</w:t>
      </w:r>
    </w:p>
    <w:p w14:paraId="246D8C36">
      <w:pPr>
        <w:pageBreakBefore w:val="0"/>
        <w:numPr>
          <w:ilvl w:val="2"/>
          <w:numId w:val="3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不同投标人的投标保证金从同一单位或者个人的账户转出。</w:t>
      </w:r>
    </w:p>
    <w:p w14:paraId="10A70795">
      <w:pPr>
        <w:pageBreakBefore w:val="0"/>
        <w:numPr>
          <w:ilvl w:val="1"/>
          <w:numId w:val="3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投标人存在下列情况之一的，投标无效:</w:t>
      </w:r>
    </w:p>
    <w:p w14:paraId="5071AC97">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未按照招标文件的规定提交投标保证金的；</w:t>
      </w:r>
    </w:p>
    <w:p w14:paraId="6AF078DA">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投标文件未按招标文件要求签署、盖章的；</w:t>
      </w:r>
    </w:p>
    <w:p w14:paraId="43B0B265">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不具备招标文件中规定的资格要求的；</w:t>
      </w:r>
    </w:p>
    <w:p w14:paraId="64B9C8CA">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报价超过招标文件中规定的预算金额或者最高限价的；</w:t>
      </w:r>
    </w:p>
    <w:p w14:paraId="1E1ECB5B">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投标文件含有采购人不能接受的附加条件的；</w:t>
      </w:r>
    </w:p>
    <w:p w14:paraId="4904A875">
      <w:pPr>
        <w:pageBreakBefore w:val="0"/>
        <w:numPr>
          <w:ilvl w:val="2"/>
          <w:numId w:val="3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法律、法规和招标文件规定的其他无效情形。</w:t>
      </w:r>
    </w:p>
    <w:p w14:paraId="096D8369">
      <w:pPr>
        <w:pageBreakBefore w:val="0"/>
        <w:numPr>
          <w:ilvl w:val="1"/>
          <w:numId w:val="35"/>
        </w:numPr>
        <w:kinsoku/>
        <w:overflowPunct/>
        <w:topLinePunct w:val="0"/>
        <w:bidi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在招标采购中，出现下列情形之一的，应予废标： </w:t>
      </w:r>
    </w:p>
    <w:p w14:paraId="0674FC32">
      <w:pPr>
        <w:pageBreakBefore w:val="0"/>
        <w:numPr>
          <w:ilvl w:val="2"/>
          <w:numId w:val="3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符合专业条件的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或者对招标文件作实质响应的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 xml:space="preserve">不足三家的； </w:t>
      </w:r>
    </w:p>
    <w:p w14:paraId="4D6BDF45">
      <w:pPr>
        <w:pageBreakBefore w:val="0"/>
        <w:numPr>
          <w:ilvl w:val="2"/>
          <w:numId w:val="3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出现影响采购公正的违法、违规行为的； </w:t>
      </w:r>
    </w:p>
    <w:p w14:paraId="092000AA">
      <w:pPr>
        <w:pageBreakBefore w:val="0"/>
        <w:numPr>
          <w:ilvl w:val="2"/>
          <w:numId w:val="3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投标人的报价均超过了采购预算，采购人不能支付的； </w:t>
      </w:r>
    </w:p>
    <w:p w14:paraId="6BC7FB98">
      <w:pPr>
        <w:pageBreakBefore w:val="0"/>
        <w:numPr>
          <w:ilvl w:val="2"/>
          <w:numId w:val="3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因重大变故，采购任务取消的。 </w:t>
      </w:r>
    </w:p>
    <w:p w14:paraId="66FFC425">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11" w:name="_Toc55778714"/>
      <w:r>
        <w:rPr>
          <w:rFonts w:hint="eastAsia" w:ascii="仿宋_GB2312" w:hAnsi="仿宋_GB2312" w:eastAsia="仿宋_GB2312" w:cs="仿宋_GB2312"/>
          <w:b/>
          <w:bCs/>
          <w:color w:val="auto"/>
          <w:kern w:val="44"/>
          <w:sz w:val="32"/>
          <w:szCs w:val="32"/>
          <w:highlight w:val="none"/>
        </w:rPr>
        <w:t xml:space="preserve">   </w:t>
      </w:r>
      <w:bookmarkStart w:id="212" w:name="_Toc29878"/>
      <w:bookmarkStart w:id="213" w:name="_Toc14583"/>
      <w:bookmarkStart w:id="214" w:name="_Toc30472"/>
      <w:bookmarkStart w:id="215" w:name="_Toc12971"/>
      <w:r>
        <w:rPr>
          <w:rFonts w:hint="eastAsia" w:ascii="仿宋_GB2312" w:hAnsi="仿宋_GB2312" w:eastAsia="仿宋_GB2312" w:cs="仿宋_GB2312"/>
          <w:b/>
          <w:bCs/>
          <w:color w:val="auto"/>
          <w:kern w:val="44"/>
          <w:sz w:val="32"/>
          <w:szCs w:val="32"/>
          <w:highlight w:val="none"/>
        </w:rPr>
        <w:t>与采购代理机构和采购人的接触</w:t>
      </w:r>
      <w:bookmarkEnd w:id="211"/>
      <w:bookmarkEnd w:id="212"/>
      <w:bookmarkEnd w:id="213"/>
      <w:bookmarkEnd w:id="214"/>
      <w:bookmarkEnd w:id="215"/>
    </w:p>
    <w:p w14:paraId="0A4FAE4D">
      <w:pPr>
        <w:pageBreakBefore w:val="0"/>
        <w:numPr>
          <w:ilvl w:val="1"/>
          <w:numId w:val="3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除本须知规定外，从开标之日起至授予合同期间，投标人不得就与其投标有关的事项与采购代理机构、采购人和评标小组接触。</w:t>
      </w:r>
    </w:p>
    <w:p w14:paraId="064B89AD">
      <w:pPr>
        <w:pageBreakBefore w:val="0"/>
        <w:numPr>
          <w:ilvl w:val="1"/>
          <w:numId w:val="3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投标人试图对采购代理机构、采购人和评标小组的评标或授予合同的决定进行影响，都可能导致其投标被拒绝。</w:t>
      </w:r>
    </w:p>
    <w:p w14:paraId="374BF0DE">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216" w:name="_Toc4267"/>
      <w:bookmarkStart w:id="217" w:name="_Toc55778715"/>
      <w:bookmarkStart w:id="218" w:name="_Toc8757"/>
      <w:r>
        <w:rPr>
          <w:rFonts w:hint="eastAsia" w:ascii="Times New Roman" w:hAnsi="Times New Roman" w:eastAsia="黑体" w:cs="Times New Roman"/>
          <w:b w:val="0"/>
          <w:bCs w:val="0"/>
          <w:kern w:val="2"/>
          <w:sz w:val="32"/>
          <w:szCs w:val="32"/>
          <w:lang w:val="zh-CN" w:eastAsia="zh-CN" w:bidi="ar-SA"/>
        </w:rPr>
        <w:t>六、质疑与投诉</w:t>
      </w:r>
      <w:bookmarkEnd w:id="216"/>
      <w:bookmarkEnd w:id="217"/>
      <w:bookmarkEnd w:id="218"/>
    </w:p>
    <w:p w14:paraId="2BF86F7B">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19" w:name="_Toc55778716"/>
      <w:bookmarkStart w:id="220" w:name="_Toc28035"/>
      <w:r>
        <w:rPr>
          <w:rFonts w:hint="eastAsia" w:ascii="仿宋_GB2312" w:hAnsi="仿宋_GB2312" w:eastAsia="仿宋_GB2312" w:cs="仿宋_GB2312"/>
          <w:b/>
          <w:bCs/>
          <w:color w:val="auto"/>
          <w:kern w:val="44"/>
          <w:sz w:val="32"/>
          <w:szCs w:val="32"/>
          <w:highlight w:val="none"/>
        </w:rPr>
        <w:t xml:space="preserve">    </w:t>
      </w:r>
      <w:bookmarkStart w:id="221" w:name="_Toc26722"/>
      <w:bookmarkStart w:id="222" w:name="_Toc6727"/>
      <w:bookmarkStart w:id="223" w:name="_Toc22749"/>
      <w:bookmarkStart w:id="224" w:name="_Toc5828"/>
      <w:r>
        <w:rPr>
          <w:rFonts w:hint="eastAsia" w:ascii="仿宋_GB2312" w:hAnsi="仿宋_GB2312" w:eastAsia="仿宋_GB2312" w:cs="仿宋_GB2312"/>
          <w:b/>
          <w:bCs/>
          <w:color w:val="auto"/>
          <w:kern w:val="44"/>
          <w:sz w:val="32"/>
          <w:szCs w:val="32"/>
          <w:highlight w:val="none"/>
        </w:rPr>
        <w:t>询问</w:t>
      </w:r>
      <w:bookmarkEnd w:id="219"/>
      <w:bookmarkEnd w:id="220"/>
      <w:bookmarkEnd w:id="221"/>
      <w:bookmarkEnd w:id="222"/>
      <w:bookmarkEnd w:id="223"/>
      <w:bookmarkEnd w:id="224"/>
    </w:p>
    <w:p w14:paraId="093B4949">
      <w:pPr>
        <w:pageBreakBefore w:val="0"/>
        <w:numPr>
          <w:ilvl w:val="1"/>
          <w:numId w:val="4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51AF6469">
      <w:pPr>
        <w:pageBreakBefore w:val="0"/>
        <w:numPr>
          <w:ilvl w:val="1"/>
          <w:numId w:val="4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如采用书面方式提出询问，投标人为自然人的，询问函应当由本人签字；</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为法人或者其他组织的，应当由法定代表人、主要负责人或授权代表签字或者盖章，并加盖公章。</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递交询问函时非法定代表人亲自办理的需提供法定代表人授权委托书（应载明授权代表的姓名或者名称、代理事项、具体权限、期限和相关事项）及授权代表身份证复印件。</w:t>
      </w:r>
    </w:p>
    <w:p w14:paraId="63FF492B">
      <w:pPr>
        <w:pageBreakBefore w:val="0"/>
        <w:numPr>
          <w:ilvl w:val="1"/>
          <w:numId w:val="4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招标采购单位在三个工作日内对投标人依法提出的询问作出答复。</w:t>
      </w:r>
    </w:p>
    <w:p w14:paraId="0AC25DDA">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25" w:name="_Toc55778717"/>
      <w:bookmarkStart w:id="226" w:name="_Toc922"/>
      <w:r>
        <w:rPr>
          <w:rFonts w:hint="eastAsia" w:ascii="仿宋_GB2312" w:hAnsi="仿宋_GB2312" w:eastAsia="仿宋_GB2312" w:cs="仿宋_GB2312"/>
          <w:b/>
          <w:bCs/>
          <w:color w:val="auto"/>
          <w:kern w:val="44"/>
          <w:sz w:val="32"/>
          <w:szCs w:val="32"/>
          <w:highlight w:val="none"/>
        </w:rPr>
        <w:t xml:space="preserve">    </w:t>
      </w:r>
      <w:bookmarkStart w:id="227" w:name="_Toc31010"/>
      <w:bookmarkStart w:id="228" w:name="_Toc9977"/>
      <w:bookmarkStart w:id="229" w:name="_Toc2109"/>
      <w:bookmarkStart w:id="230" w:name="_Toc16083"/>
      <w:r>
        <w:rPr>
          <w:rFonts w:hint="eastAsia" w:ascii="仿宋_GB2312" w:hAnsi="仿宋_GB2312" w:eastAsia="仿宋_GB2312" w:cs="仿宋_GB2312"/>
          <w:b/>
          <w:bCs/>
          <w:color w:val="auto"/>
          <w:kern w:val="44"/>
          <w:sz w:val="32"/>
          <w:szCs w:val="32"/>
          <w:highlight w:val="none"/>
        </w:rPr>
        <w:t>质疑</w:t>
      </w:r>
      <w:bookmarkEnd w:id="225"/>
      <w:bookmarkEnd w:id="226"/>
      <w:bookmarkEnd w:id="227"/>
      <w:bookmarkEnd w:id="228"/>
      <w:bookmarkEnd w:id="229"/>
      <w:bookmarkEnd w:id="230"/>
    </w:p>
    <w:p w14:paraId="2C6BAC21">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质疑期限</w:t>
      </w:r>
    </w:p>
    <w:p w14:paraId="23BB508E">
      <w:pPr>
        <w:pageBreakBefore w:val="0"/>
        <w:numPr>
          <w:ilvl w:val="2"/>
          <w:numId w:val="4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认为招标文件的内容损害其权益的，应在收到招标文件之日或者招标文件公告期届满之日起七个工作日内。（注：</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获取招标文件之日早于招标文件公告期限届满之日的，则以</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获取招标文件之日为质疑时效期间的起算日期；否则，以招标文件公告期限届满之日为质疑时效期间的起算日期）。</w:t>
      </w:r>
    </w:p>
    <w:p w14:paraId="49169EC1">
      <w:pPr>
        <w:pageBreakBefore w:val="0"/>
        <w:numPr>
          <w:ilvl w:val="2"/>
          <w:numId w:val="4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认为采购过程损害其权益的，应在各采购程序环节结束之日起七个工作日内。</w:t>
      </w:r>
    </w:p>
    <w:p w14:paraId="70218ABC">
      <w:pPr>
        <w:pageBreakBefore w:val="0"/>
        <w:numPr>
          <w:ilvl w:val="2"/>
          <w:numId w:val="4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认为中标或者成交结果损害其权益的，应在中标或者成交结果公告期限届满之日起七个工作日内。</w:t>
      </w:r>
    </w:p>
    <w:p w14:paraId="1A47790D">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提交的要求：</w:t>
      </w:r>
    </w:p>
    <w:p w14:paraId="5FB87999">
      <w:pPr>
        <w:pageBreakBefore w:val="0"/>
        <w:numPr>
          <w:ilvl w:val="2"/>
          <w:numId w:val="4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以书面形式（加盖投标人公章，投标人以电话、传真或电邮形式提交的质疑属于无效质疑）向招标采购单位提出质疑。</w:t>
      </w:r>
    </w:p>
    <w:p w14:paraId="633862CD">
      <w:pPr>
        <w:pageBreakBefore w:val="0"/>
        <w:numPr>
          <w:ilvl w:val="2"/>
          <w:numId w:val="4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质疑书内容：应包括具体的质疑项目的名称及编号、具体明确的质疑事项和与质疑事项相关的请求、事实依据、必要的法律依据、提出质疑的日期、投标人名称及地址、授权代表姓名及其联系电话、质疑时间</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785546C7">
      <w:pPr>
        <w:pageBreakBefore w:val="0"/>
        <w:numPr>
          <w:ilvl w:val="2"/>
          <w:numId w:val="4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投标人质疑应当有明确的请求和必要的证明材料，捏造事实、提供虚假材料或者以非法手段取得证明材料不能作为质疑的证明材料。</w:t>
      </w:r>
    </w:p>
    <w:p w14:paraId="6A4BCA1A">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质疑人进行质疑应当符合下列条件：</w:t>
      </w:r>
    </w:p>
    <w:p w14:paraId="1C7328A9">
      <w:pPr>
        <w:pageBreakBefore w:val="0"/>
        <w:numPr>
          <w:ilvl w:val="0"/>
          <w:numId w:val="44"/>
        </w:numPr>
        <w:tabs>
          <w:tab w:val="left" w:pos="1272"/>
        </w:tabs>
        <w:kinsoku/>
        <w:overflowPunct/>
        <w:topLinePunct w:val="0"/>
        <w:bidi w:val="0"/>
        <w:spacing w:line="500" w:lineRule="exact"/>
        <w:ind w:left="1272" w:hanging="4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质疑人是参与所质疑政府采购项目的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p>
    <w:p w14:paraId="0C3093BD">
      <w:pPr>
        <w:pageBreakBefore w:val="0"/>
        <w:numPr>
          <w:ilvl w:val="0"/>
          <w:numId w:val="44"/>
        </w:numPr>
        <w:tabs>
          <w:tab w:val="left" w:pos="1272"/>
        </w:tabs>
        <w:kinsoku/>
        <w:overflowPunct/>
        <w:topLinePunct w:val="0"/>
        <w:bidi w:val="0"/>
        <w:spacing w:line="500" w:lineRule="exact"/>
        <w:ind w:left="1272" w:hanging="4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在质疑有效期内提起质疑；</w:t>
      </w:r>
    </w:p>
    <w:p w14:paraId="74BF165F">
      <w:pPr>
        <w:pageBreakBefore w:val="0"/>
        <w:numPr>
          <w:ilvl w:val="0"/>
          <w:numId w:val="44"/>
        </w:numPr>
        <w:tabs>
          <w:tab w:val="left" w:pos="1272"/>
        </w:tabs>
        <w:kinsoku/>
        <w:overflowPunct/>
        <w:topLinePunct w:val="0"/>
        <w:bidi w:val="0"/>
        <w:spacing w:line="500" w:lineRule="exact"/>
        <w:ind w:left="1272" w:hanging="4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法律法规规定的其他条件。</w:t>
      </w:r>
    </w:p>
    <w:p w14:paraId="73B6DD87">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0E92F6B4">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对于捏造事实、滥用维权扰乱采购秩序的恶意质疑者或举证不全查无实据被驳回次数在一年内达三次以上，将纳入不良行为记录名单并承担相应的法律责任。</w:t>
      </w:r>
    </w:p>
    <w:p w14:paraId="007D673E">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质疑联系方式：</w:t>
      </w:r>
    </w:p>
    <w:p w14:paraId="2591B66B">
      <w:pPr>
        <w:pageBreakBefore w:val="0"/>
        <w:kinsoku/>
        <w:overflowPunct/>
        <w:topLinePunct w:val="0"/>
        <w:bidi w:val="0"/>
        <w:spacing w:line="500" w:lineRule="exact"/>
        <w:ind w:left="899" w:leftChars="428"/>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采购代理机构：</w:t>
      </w:r>
      <w:r>
        <w:rPr>
          <w:rFonts w:hint="eastAsia" w:ascii="仿宋_GB2312" w:hAnsi="仿宋_GB2312" w:eastAsia="仿宋_GB2312" w:cs="仿宋_GB2312"/>
          <w:color w:val="auto"/>
          <w:sz w:val="32"/>
          <w:szCs w:val="32"/>
          <w:highlight w:val="none"/>
          <w:lang w:eastAsia="zh-CN"/>
        </w:rPr>
        <w:t>新疆金斌工程项目管理有限公司</w:t>
      </w:r>
    </w:p>
    <w:p w14:paraId="7DCB598F">
      <w:pPr>
        <w:pageBreakBefore w:val="0"/>
        <w:kinsoku/>
        <w:overflowPunct/>
        <w:topLinePunct w:val="0"/>
        <w:bidi w:val="0"/>
        <w:spacing w:line="500" w:lineRule="exact"/>
        <w:ind w:firstLine="1280" w:firstLineChars="4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黄新新</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 xml:space="preserve">  电话：</w:t>
      </w:r>
      <w:r>
        <w:rPr>
          <w:rFonts w:hint="eastAsia" w:ascii="仿宋_GB2312" w:hAnsi="仿宋_GB2312" w:eastAsia="仿宋_GB2312" w:cs="仿宋_GB2312"/>
          <w:color w:val="auto"/>
          <w:sz w:val="32"/>
          <w:szCs w:val="32"/>
          <w:highlight w:val="none"/>
          <w:lang w:val="en-US" w:eastAsia="zh-CN"/>
        </w:rPr>
        <w:t>13201118511</w:t>
      </w:r>
    </w:p>
    <w:p w14:paraId="43EA50A1">
      <w:pPr>
        <w:pageBreakBefore w:val="0"/>
        <w:kinsoku/>
        <w:overflowPunct/>
        <w:topLinePunct w:val="0"/>
        <w:bidi w:val="0"/>
        <w:spacing w:line="500" w:lineRule="exact"/>
        <w:ind w:left="5118" w:leftChars="456" w:hanging="4160" w:hangingChars="1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邮编：</w:t>
      </w:r>
      <w:r>
        <w:rPr>
          <w:rFonts w:hint="eastAsia" w:ascii="仿宋_GB2312" w:hAnsi="仿宋_GB2312" w:eastAsia="仿宋_GB2312" w:cs="仿宋_GB2312"/>
          <w:color w:val="auto"/>
          <w:sz w:val="32"/>
          <w:szCs w:val="32"/>
          <w:highlight w:val="none"/>
          <w:lang w:val="en-US" w:eastAsia="zh-CN"/>
        </w:rPr>
        <w:t>835000</w:t>
      </w:r>
      <w:r>
        <w:rPr>
          <w:rFonts w:hint="eastAsia" w:ascii="仿宋_GB2312" w:hAnsi="仿宋_GB2312" w:eastAsia="仿宋_GB2312" w:cs="仿宋_GB2312"/>
          <w:color w:val="auto"/>
          <w:sz w:val="32"/>
          <w:szCs w:val="32"/>
          <w:highlight w:val="none"/>
        </w:rPr>
        <w:t xml:space="preserve">        地址：</w:t>
      </w:r>
      <w:r>
        <w:rPr>
          <w:rFonts w:hint="eastAsia" w:ascii="仿宋_GB2312" w:hAnsi="仿宋_GB2312" w:eastAsia="仿宋_GB2312" w:cs="仿宋_GB2312"/>
          <w:color w:val="000000"/>
          <w:sz w:val="32"/>
          <w:szCs w:val="32"/>
          <w:lang w:val="zh-CN"/>
        </w:rPr>
        <w:t>伊宁市开发区河北路福安国际1号商业楼413室</w:t>
      </w:r>
    </w:p>
    <w:p w14:paraId="303AF5A5">
      <w:pPr>
        <w:pageBreakBefore w:val="0"/>
        <w:numPr>
          <w:ilvl w:val="1"/>
          <w:numId w:val="4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质疑函格式 </w:t>
      </w:r>
    </w:p>
    <w:p w14:paraId="7BDB6EB9">
      <w:pPr>
        <w:pStyle w:val="6"/>
        <w:pageBreakBefore w:val="0"/>
        <w:kinsoku/>
        <w:overflowPunct/>
        <w:topLinePunct w:val="0"/>
        <w:bidi w:val="0"/>
        <w:spacing w:line="500" w:lineRule="exact"/>
        <w:textAlignment w:val="auto"/>
        <w:rPr>
          <w:rFonts w:hint="eastAsia" w:ascii="仿宋_GB2312" w:hAnsi="仿宋_GB2312" w:eastAsia="仿宋_GB2312" w:cs="仿宋_GB2312"/>
          <w:sz w:val="32"/>
          <w:szCs w:val="32"/>
        </w:rPr>
      </w:pPr>
    </w:p>
    <w:p w14:paraId="1DDB8DF4">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0"/>
          <w:sz w:val="32"/>
          <w:szCs w:val="32"/>
          <w:highlight w:val="none"/>
        </w:rPr>
        <w:t>质疑函范本</w:t>
      </w:r>
    </w:p>
    <w:p w14:paraId="5D4CE1BA">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一、质疑</w:t>
      </w:r>
      <w:r>
        <w:rPr>
          <w:rFonts w:hint="eastAsia" w:ascii="仿宋_GB2312" w:hAnsi="仿宋_GB2312" w:eastAsia="仿宋_GB2312" w:cs="仿宋_GB2312"/>
          <w:b/>
          <w:bCs/>
          <w:color w:val="auto"/>
          <w:sz w:val="32"/>
          <w:szCs w:val="32"/>
          <w:highlight w:val="none"/>
          <w:lang w:eastAsia="zh-CN"/>
        </w:rPr>
        <w:t>投标人</w:t>
      </w:r>
      <w:r>
        <w:rPr>
          <w:rFonts w:hint="eastAsia" w:ascii="仿宋_GB2312" w:hAnsi="仿宋_GB2312" w:eastAsia="仿宋_GB2312" w:cs="仿宋_GB2312"/>
          <w:b/>
          <w:bCs/>
          <w:color w:val="auto"/>
          <w:sz w:val="32"/>
          <w:szCs w:val="32"/>
          <w:highlight w:val="none"/>
        </w:rPr>
        <w:t>基本信息</w:t>
      </w:r>
    </w:p>
    <w:p w14:paraId="224D313A">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dotted"/>
        </w:rPr>
      </w:pPr>
      <w:r>
        <w:rPr>
          <w:rFonts w:hint="eastAsia" w:ascii="仿宋_GB2312" w:hAnsi="仿宋_GB2312" w:eastAsia="仿宋_GB2312" w:cs="仿宋_GB2312"/>
          <w:color w:val="auto"/>
          <w:sz w:val="32"/>
          <w:szCs w:val="32"/>
          <w:highlight w:val="none"/>
        </w:rPr>
        <w:t>质疑</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4EB435DB">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地址：                          邮编：                                                   </w:t>
      </w:r>
    </w:p>
    <w:p w14:paraId="6EF32026">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联系人：                      联系电话：                              </w:t>
      </w:r>
    </w:p>
    <w:p w14:paraId="59370D74">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授权代表：                                          </w:t>
      </w:r>
    </w:p>
    <w:p w14:paraId="4A0BA73D">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联系电话：                                            </w:t>
      </w:r>
    </w:p>
    <w:p w14:paraId="6C37EA2E">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地址：                         邮编：                                                </w:t>
      </w:r>
    </w:p>
    <w:p w14:paraId="2E452457">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二、质疑项目基本情况</w:t>
      </w:r>
    </w:p>
    <w:p w14:paraId="2079B4BD">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质疑项目的名称：                                      </w:t>
      </w:r>
    </w:p>
    <w:p w14:paraId="152A8A82">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质疑项目的编号：               包号：</w:t>
      </w:r>
      <w:r>
        <w:rPr>
          <w:rFonts w:hint="eastAsia" w:ascii="仿宋_GB2312" w:hAnsi="仿宋_GB2312" w:eastAsia="仿宋_GB2312" w:cs="仿宋_GB2312"/>
          <w:color w:val="auto"/>
          <w:sz w:val="32"/>
          <w:szCs w:val="32"/>
          <w:highlight w:val="none"/>
          <w:u w:val="single"/>
        </w:rPr>
        <w:t xml:space="preserve">                 </w:t>
      </w:r>
    </w:p>
    <w:p w14:paraId="581B43D0">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采购人名称：</w:t>
      </w:r>
      <w:r>
        <w:rPr>
          <w:rFonts w:hint="eastAsia" w:ascii="仿宋_GB2312" w:hAnsi="仿宋_GB2312" w:eastAsia="仿宋_GB2312" w:cs="仿宋_GB2312"/>
          <w:color w:val="auto"/>
          <w:sz w:val="32"/>
          <w:szCs w:val="32"/>
          <w:highlight w:val="none"/>
          <w:u w:val="single"/>
        </w:rPr>
        <w:t xml:space="preserve">                                         </w:t>
      </w:r>
    </w:p>
    <w:p w14:paraId="0684E7DE">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获取日期：</w:t>
      </w:r>
      <w:r>
        <w:rPr>
          <w:rFonts w:hint="eastAsia" w:ascii="仿宋_GB2312" w:hAnsi="仿宋_GB2312" w:eastAsia="仿宋_GB2312" w:cs="仿宋_GB2312"/>
          <w:color w:val="auto"/>
          <w:sz w:val="32"/>
          <w:szCs w:val="32"/>
          <w:highlight w:val="none"/>
          <w:u w:val="single"/>
        </w:rPr>
        <w:t xml:space="preserve">                                           </w:t>
      </w:r>
    </w:p>
    <w:p w14:paraId="67B227CB">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三、质疑事项具体内容</w:t>
      </w:r>
    </w:p>
    <w:p w14:paraId="7DE862CC">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质疑事项1：</w:t>
      </w:r>
      <w:r>
        <w:rPr>
          <w:rFonts w:hint="eastAsia" w:ascii="仿宋_GB2312" w:hAnsi="仿宋_GB2312" w:eastAsia="仿宋_GB2312" w:cs="仿宋_GB2312"/>
          <w:color w:val="auto"/>
          <w:sz w:val="32"/>
          <w:szCs w:val="32"/>
          <w:highlight w:val="none"/>
          <w:u w:val="single"/>
        </w:rPr>
        <w:t xml:space="preserve">                                         </w:t>
      </w:r>
    </w:p>
    <w:p w14:paraId="4BFD3232">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事实依据：</w:t>
      </w:r>
      <w:r>
        <w:rPr>
          <w:rFonts w:hint="eastAsia" w:ascii="仿宋_GB2312" w:hAnsi="仿宋_GB2312" w:eastAsia="仿宋_GB2312" w:cs="仿宋_GB2312"/>
          <w:color w:val="auto"/>
          <w:sz w:val="32"/>
          <w:szCs w:val="32"/>
          <w:highlight w:val="none"/>
          <w:u w:val="single"/>
        </w:rPr>
        <w:t xml:space="preserve">                                                                                               </w:t>
      </w:r>
    </w:p>
    <w:p w14:paraId="0A51899B">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法律依据：</w:t>
      </w:r>
      <w:r>
        <w:rPr>
          <w:rFonts w:hint="eastAsia" w:ascii="仿宋_GB2312" w:hAnsi="仿宋_GB2312" w:eastAsia="仿宋_GB2312" w:cs="仿宋_GB2312"/>
          <w:color w:val="auto"/>
          <w:sz w:val="32"/>
          <w:szCs w:val="32"/>
          <w:highlight w:val="none"/>
          <w:u w:val="single"/>
        </w:rPr>
        <w:t xml:space="preserve">                                                                                           </w:t>
      </w:r>
    </w:p>
    <w:p w14:paraId="15D5BDCA">
      <w:pPr>
        <w:pageBreakBefore w:val="0"/>
        <w:kinsoku/>
        <w:overflowPunct/>
        <w:topLinePunct w:val="0"/>
        <w:bidi w:val="0"/>
        <w:adjustRightInd w:val="0"/>
        <w:snapToGrid w:val="0"/>
        <w:spacing w:line="500" w:lineRule="exact"/>
        <w:textAlignment w:val="auto"/>
        <w:rPr>
          <w:rFonts w:hint="eastAsia" w:ascii="仿宋_GB2312" w:hAnsi="仿宋_GB2312" w:eastAsia="仿宋_GB2312" w:cs="仿宋_GB2312"/>
          <w:color w:val="auto"/>
          <w:sz w:val="32"/>
          <w:szCs w:val="32"/>
          <w:highlight w:val="none"/>
          <w:u w:val="dotted"/>
        </w:rPr>
      </w:pPr>
      <w:r>
        <w:rPr>
          <w:rFonts w:hint="eastAsia" w:ascii="仿宋_GB2312" w:hAnsi="仿宋_GB2312" w:eastAsia="仿宋_GB2312" w:cs="仿宋_GB2312"/>
          <w:color w:val="auto"/>
          <w:sz w:val="32"/>
          <w:szCs w:val="32"/>
          <w:highlight w:val="none"/>
        </w:rPr>
        <w:t>质疑事项2</w:t>
      </w:r>
    </w:p>
    <w:p w14:paraId="37788DB6">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 xml:space="preserve"> </w:t>
      </w:r>
    </w:p>
    <w:p w14:paraId="7D1D495C">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四、与质疑事项相关的质疑请求 </w:t>
      </w:r>
    </w:p>
    <w:p w14:paraId="55837F1C">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请求：</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 xml:space="preserve"> </w:t>
      </w:r>
    </w:p>
    <w:p w14:paraId="38DB8804">
      <w:pPr>
        <w:pageBreakBefore w:val="0"/>
        <w:widowControl/>
        <w:tabs>
          <w:tab w:val="left" w:pos="6300"/>
        </w:tabs>
        <w:kinsoku/>
        <w:overflowPunct/>
        <w:topLinePunct w:val="0"/>
        <w:bidi w:val="0"/>
        <w:snapToGrid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（盖章）：</w:t>
      </w:r>
    </w:p>
    <w:p w14:paraId="410C07CF">
      <w:pPr>
        <w:pageBreakBefore w:val="0"/>
        <w:widowControl/>
        <w:tabs>
          <w:tab w:val="left" w:pos="6300"/>
        </w:tabs>
        <w:kinsoku/>
        <w:overflowPunct/>
        <w:topLinePunct w:val="0"/>
        <w:bidi w:val="0"/>
        <w:snapToGrid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法定代表人（授权代表）：</w:t>
      </w:r>
    </w:p>
    <w:p w14:paraId="03502BA9">
      <w:pPr>
        <w:pageBreakBefore w:val="0"/>
        <w:tabs>
          <w:tab w:val="left" w:pos="6300"/>
        </w:tabs>
        <w:kinsoku/>
        <w:overflowPunct/>
        <w:topLinePunct w:val="0"/>
        <w:bidi w:val="0"/>
        <w:snapToGrid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地址/邮编：</w:t>
      </w:r>
    </w:p>
    <w:p w14:paraId="1F456407">
      <w:pPr>
        <w:pageBreakBefore w:val="0"/>
        <w:tabs>
          <w:tab w:val="left" w:pos="6300"/>
        </w:tabs>
        <w:kinsoku/>
        <w:overflowPunct/>
        <w:topLinePunct w:val="0"/>
        <w:bidi w:val="0"/>
        <w:snapToGrid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电话/传真：</w:t>
      </w:r>
    </w:p>
    <w:p w14:paraId="41EF8CE0">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r>
        <w:rPr>
          <w:rFonts w:hint="eastAsia" w:ascii="仿宋_GB2312" w:hAnsi="仿宋_GB2312" w:eastAsia="仿宋_GB2312" w:cs="仿宋_GB2312"/>
          <w:color w:val="auto"/>
          <w:kern w:val="0"/>
          <w:sz w:val="32"/>
          <w:szCs w:val="32"/>
          <w:highlight w:val="none"/>
        </w:rPr>
        <w:t xml:space="preserve"> </w:t>
      </w:r>
    </w:p>
    <w:p w14:paraId="5B447FF6">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rPr>
        <w:t>随附相关证明材料如下</w:t>
      </w:r>
      <w:r>
        <w:rPr>
          <w:rFonts w:hint="eastAsia" w:ascii="仿宋_GB2312" w:hAnsi="仿宋_GB2312" w:eastAsia="仿宋_GB2312" w:cs="仿宋_GB2312"/>
          <w:color w:val="auto"/>
          <w:kern w:val="0"/>
          <w:sz w:val="32"/>
          <w:szCs w:val="32"/>
          <w:highlight w:val="none"/>
        </w:rPr>
        <w:t xml:space="preserve">： </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7A57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2E2EBAEE">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序号</w:t>
            </w:r>
          </w:p>
        </w:tc>
        <w:tc>
          <w:tcPr>
            <w:tcW w:w="3105" w:type="dxa"/>
          </w:tcPr>
          <w:p w14:paraId="23CDE20E">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证明材料名称</w:t>
            </w:r>
          </w:p>
        </w:tc>
        <w:tc>
          <w:tcPr>
            <w:tcW w:w="2325" w:type="dxa"/>
          </w:tcPr>
          <w:p w14:paraId="7AFD8A60">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证明材料来源</w:t>
            </w:r>
          </w:p>
        </w:tc>
        <w:tc>
          <w:tcPr>
            <w:tcW w:w="1935" w:type="dxa"/>
          </w:tcPr>
          <w:p w14:paraId="61CCE6B7">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证明对象</w:t>
            </w:r>
          </w:p>
        </w:tc>
      </w:tr>
      <w:tr w14:paraId="7459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22901790">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1</w:t>
            </w:r>
          </w:p>
        </w:tc>
        <w:tc>
          <w:tcPr>
            <w:tcW w:w="3105" w:type="dxa"/>
          </w:tcPr>
          <w:p w14:paraId="05BE3E38">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2325" w:type="dxa"/>
          </w:tcPr>
          <w:p w14:paraId="0C96B4B5">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1935" w:type="dxa"/>
          </w:tcPr>
          <w:p w14:paraId="0207E627">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r>
      <w:tr w14:paraId="6110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5FB66003">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2</w:t>
            </w:r>
          </w:p>
        </w:tc>
        <w:tc>
          <w:tcPr>
            <w:tcW w:w="3105" w:type="dxa"/>
          </w:tcPr>
          <w:p w14:paraId="60895345">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2325" w:type="dxa"/>
          </w:tcPr>
          <w:p w14:paraId="560902E6">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1935" w:type="dxa"/>
          </w:tcPr>
          <w:p w14:paraId="5C8A02CC">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r>
      <w:tr w14:paraId="13A4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14:paraId="1E3084CB">
            <w:pPr>
              <w:pageBreakBefore w:val="0"/>
              <w:widowControl/>
              <w:kinsoku/>
              <w:overflowPunct/>
              <w:topLinePunct w:val="0"/>
              <w:bidi w:val="0"/>
              <w:spacing w:line="500" w:lineRule="exact"/>
              <w:jc w:val="center"/>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w:t>
            </w:r>
          </w:p>
        </w:tc>
        <w:tc>
          <w:tcPr>
            <w:tcW w:w="3105" w:type="dxa"/>
          </w:tcPr>
          <w:p w14:paraId="5E62FBF4">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2325" w:type="dxa"/>
          </w:tcPr>
          <w:p w14:paraId="57244304">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c>
          <w:tcPr>
            <w:tcW w:w="1935" w:type="dxa"/>
          </w:tcPr>
          <w:p w14:paraId="430B2071">
            <w:pPr>
              <w:pageBreakBefore w:val="0"/>
              <w:widowControl/>
              <w:kinsoku/>
              <w:overflowPunct/>
              <w:topLinePunct w:val="0"/>
              <w:bidi w:val="0"/>
              <w:spacing w:line="500" w:lineRule="exact"/>
              <w:jc w:val="left"/>
              <w:textAlignment w:val="auto"/>
              <w:rPr>
                <w:rFonts w:hint="eastAsia" w:ascii="仿宋_GB2312" w:hAnsi="仿宋_GB2312" w:eastAsia="仿宋_GB2312" w:cs="仿宋_GB2312"/>
                <w:b/>
                <w:color w:val="auto"/>
                <w:kern w:val="0"/>
                <w:sz w:val="32"/>
                <w:szCs w:val="32"/>
                <w:highlight w:val="none"/>
              </w:rPr>
            </w:pPr>
          </w:p>
        </w:tc>
      </w:tr>
    </w:tbl>
    <w:p w14:paraId="0458AE6E">
      <w:pPr>
        <w:pageBreakBefore w:val="0"/>
        <w:widowControl/>
        <w:kinsoku/>
        <w:overflowPunct/>
        <w:topLinePunct w:val="0"/>
        <w:bidi w:val="0"/>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rPr>
        <w:t xml:space="preserve">质疑函制作说明： </w:t>
      </w:r>
    </w:p>
    <w:p w14:paraId="41ED5F71">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 xml:space="preserve">提出质疑时，应提交质疑函和必要的证明材料。 </w:t>
      </w:r>
    </w:p>
    <w:p w14:paraId="08572AD0">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若委托代理人进行质疑的，质疑函应按要求列明“授权代表”的有关内容，并在附件中提交由质疑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 xml:space="preserve">签署的授权委托书。授权委托书应载明代理人的姓名或者名称、代理事项、具体权限、期限和相关事项。 </w:t>
      </w:r>
    </w:p>
    <w:p w14:paraId="0FAB8D20">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3.质疑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 xml:space="preserve">若对项目的某一分包进行质疑，质疑函中应列明具体分包号。 </w:t>
      </w:r>
    </w:p>
    <w:p w14:paraId="086A9D81">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4.质疑函的质疑事项应具体、明确，并有必要的事实依据和法律依据。 </w:t>
      </w:r>
    </w:p>
    <w:p w14:paraId="3769BDDE">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5.质疑函的质疑请求应与质疑事项相关。 </w:t>
      </w:r>
    </w:p>
    <w:p w14:paraId="15CF2D7D">
      <w:pPr>
        <w:pageBreakBefore w:val="0"/>
        <w:widowControl/>
        <w:kinsoku/>
        <w:overflowPunct/>
        <w:topLinePunct w:val="0"/>
        <w:bidi w:val="0"/>
        <w:spacing w:line="500" w:lineRule="exact"/>
        <w:ind w:firstLine="636" w:firstLineChars="199"/>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6.质疑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为自然人的，质疑函应由本人签字；质疑</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 xml:space="preserve">为法人或者其他组织的，质疑函应由法定代表人、主要负责人，或者其授权代表签字或者盖章，并加盖公章。 </w:t>
      </w:r>
    </w:p>
    <w:p w14:paraId="066C8772">
      <w:pPr>
        <w:pageBreakBefore w:val="0"/>
        <w:kinsoku/>
        <w:overflowPunct/>
        <w:topLinePunct w:val="0"/>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7. </w:t>
      </w: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应在提交的证明材料中对质疑点的内容作出相应的标识或以醒目的方式标明。</w:t>
      </w:r>
    </w:p>
    <w:p w14:paraId="6642939B">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31" w:name="_Toc11190"/>
      <w:bookmarkStart w:id="232" w:name="_Toc2395"/>
      <w:bookmarkStart w:id="233" w:name="_Toc13170"/>
      <w:bookmarkStart w:id="234" w:name="_Toc3059"/>
      <w:bookmarkStart w:id="235" w:name="_Toc55778718"/>
      <w:bookmarkStart w:id="236" w:name="_Toc7547"/>
      <w:r>
        <w:rPr>
          <w:rFonts w:hint="eastAsia" w:ascii="仿宋_GB2312" w:hAnsi="仿宋_GB2312" w:eastAsia="仿宋_GB2312" w:cs="仿宋_GB2312"/>
          <w:b/>
          <w:bCs/>
          <w:color w:val="auto"/>
          <w:kern w:val="44"/>
          <w:sz w:val="32"/>
          <w:szCs w:val="32"/>
          <w:highlight w:val="none"/>
        </w:rPr>
        <w:t>投诉</w:t>
      </w:r>
      <w:bookmarkEnd w:id="231"/>
      <w:bookmarkEnd w:id="232"/>
      <w:bookmarkEnd w:id="233"/>
      <w:bookmarkEnd w:id="234"/>
      <w:bookmarkEnd w:id="235"/>
      <w:bookmarkEnd w:id="236"/>
    </w:p>
    <w:p w14:paraId="360BF509">
      <w:pPr>
        <w:pageBreakBefore w:val="0"/>
        <w:numPr>
          <w:ilvl w:val="1"/>
          <w:numId w:val="4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投标投标人对采购代理机构和采购人的质疑答复不满意或在规定时间内未得到答复的，可以在答复期满后15个工作日内，向政府采购监督管理机构投诉。</w:t>
      </w:r>
    </w:p>
    <w:p w14:paraId="04DC73D9">
      <w:pPr>
        <w:pageBreakBefore w:val="0"/>
        <w:numPr>
          <w:ilvl w:val="1"/>
          <w:numId w:val="45"/>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政府采购监督管理机构联系方式：</w:t>
      </w:r>
    </w:p>
    <w:p w14:paraId="5D86138B">
      <w:pPr>
        <w:pageBreakBefore w:val="0"/>
        <w:kinsoku/>
        <w:overflowPunct/>
        <w:topLinePunct w:val="0"/>
        <w:bidi w:val="0"/>
        <w:spacing w:line="500" w:lineRule="exact"/>
        <w:ind w:left="899" w:leftChars="428"/>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政府采购监督管理机构名称：伊犁州财政局国库处</w:t>
      </w:r>
    </w:p>
    <w:p w14:paraId="4D8A48D6">
      <w:pPr>
        <w:pageBreakBefore w:val="0"/>
        <w:kinsoku/>
        <w:overflowPunct/>
        <w:topLinePunct w:val="0"/>
        <w:bidi w:val="0"/>
        <w:spacing w:line="500" w:lineRule="exact"/>
        <w:ind w:left="899" w:leftChars="428"/>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联系方式：0999-8075070</w:t>
      </w:r>
      <w:bookmarkStart w:id="237" w:name="_Toc11991"/>
      <w:bookmarkStart w:id="238" w:name="_Toc55778719"/>
    </w:p>
    <w:p w14:paraId="32419536">
      <w:pPr>
        <w:pStyle w:val="5"/>
        <w:keepNext/>
        <w:keepLines/>
        <w:pageBreakBefore w:val="0"/>
        <w:widowControl w:val="0"/>
        <w:numPr>
          <w:ilvl w:val="0"/>
          <w:numId w:val="0"/>
        </w:numPr>
        <w:kinsoku/>
        <w:wordWrap/>
        <w:overflowPunct/>
        <w:topLinePunct w:val="0"/>
        <w:autoSpaceDE/>
        <w:autoSpaceDN/>
        <w:bidi w:val="0"/>
        <w:adjustRightInd/>
        <w:snapToGrid/>
        <w:spacing w:before="60" w:after="60" w:line="700" w:lineRule="exact"/>
        <w:ind w:left="420" w:leftChars="0" w:hanging="420" w:firstLineChars="0"/>
        <w:jc w:val="center"/>
        <w:textAlignment w:val="auto"/>
        <w:rPr>
          <w:rFonts w:hint="eastAsia" w:ascii="Times New Roman" w:hAnsi="Times New Roman" w:eastAsia="黑体" w:cs="Times New Roman"/>
          <w:b w:val="0"/>
          <w:bCs w:val="0"/>
          <w:kern w:val="2"/>
          <w:sz w:val="32"/>
          <w:szCs w:val="32"/>
          <w:lang w:val="zh-CN" w:eastAsia="zh-CN" w:bidi="ar-SA"/>
        </w:rPr>
      </w:pPr>
      <w:bookmarkStart w:id="239" w:name="_Toc21033"/>
      <w:r>
        <w:rPr>
          <w:rFonts w:hint="eastAsia" w:ascii="Times New Roman" w:hAnsi="Times New Roman" w:eastAsia="黑体" w:cs="Times New Roman"/>
          <w:b w:val="0"/>
          <w:bCs w:val="0"/>
          <w:kern w:val="2"/>
          <w:sz w:val="32"/>
          <w:szCs w:val="32"/>
          <w:lang w:val="zh-CN" w:eastAsia="zh-CN" w:bidi="ar-SA"/>
        </w:rPr>
        <w:t>七、授予合同</w:t>
      </w:r>
      <w:bookmarkEnd w:id="237"/>
      <w:bookmarkEnd w:id="238"/>
      <w:bookmarkEnd w:id="239"/>
    </w:p>
    <w:p w14:paraId="73AFD36F">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40" w:name="_Toc17273"/>
      <w:bookmarkStart w:id="241" w:name="_Toc55778720"/>
      <w:r>
        <w:rPr>
          <w:rFonts w:hint="eastAsia" w:ascii="仿宋_GB2312" w:hAnsi="仿宋_GB2312" w:eastAsia="仿宋_GB2312" w:cs="仿宋_GB2312"/>
          <w:b/>
          <w:bCs/>
          <w:color w:val="auto"/>
          <w:kern w:val="44"/>
          <w:sz w:val="32"/>
          <w:szCs w:val="32"/>
          <w:highlight w:val="none"/>
        </w:rPr>
        <w:t xml:space="preserve">    </w:t>
      </w:r>
      <w:bookmarkStart w:id="242" w:name="_Toc30579"/>
      <w:bookmarkStart w:id="243" w:name="_Toc27860"/>
      <w:bookmarkStart w:id="244" w:name="_Toc28231"/>
      <w:bookmarkStart w:id="245" w:name="_Toc32369"/>
      <w:r>
        <w:rPr>
          <w:rFonts w:hint="eastAsia" w:ascii="仿宋_GB2312" w:hAnsi="仿宋_GB2312" w:eastAsia="仿宋_GB2312" w:cs="仿宋_GB2312"/>
          <w:b/>
          <w:bCs/>
          <w:color w:val="auto"/>
          <w:kern w:val="44"/>
          <w:sz w:val="32"/>
          <w:szCs w:val="32"/>
          <w:highlight w:val="none"/>
        </w:rPr>
        <w:t>确定中标</w:t>
      </w:r>
      <w:bookmarkEnd w:id="240"/>
      <w:r>
        <w:rPr>
          <w:rFonts w:hint="eastAsia" w:ascii="仿宋_GB2312" w:hAnsi="仿宋_GB2312" w:eastAsia="仿宋_GB2312" w:cs="仿宋_GB2312"/>
          <w:b/>
          <w:bCs/>
          <w:color w:val="auto"/>
          <w:kern w:val="44"/>
          <w:sz w:val="32"/>
          <w:szCs w:val="32"/>
          <w:highlight w:val="none"/>
        </w:rPr>
        <w:t>人</w:t>
      </w:r>
      <w:bookmarkEnd w:id="241"/>
      <w:bookmarkEnd w:id="242"/>
      <w:bookmarkEnd w:id="243"/>
      <w:bookmarkEnd w:id="244"/>
      <w:bookmarkEnd w:id="245"/>
    </w:p>
    <w:p w14:paraId="66F6DF73">
      <w:pPr>
        <w:pageBreakBefore w:val="0"/>
        <w:numPr>
          <w:ilvl w:val="1"/>
          <w:numId w:val="4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评标小组按照招标文件确定的评标方法、步骤、标准，对投标文件进行评审，提出书面评标报告，按照综合评分得分由高到低的顺序推荐</w:t>
      </w:r>
      <w:r>
        <w:rPr>
          <w:rFonts w:hint="eastAsia" w:ascii="仿宋_GB2312" w:hAnsi="仿宋_GB2312" w:eastAsia="仿宋_GB2312" w:cs="仿宋_GB2312"/>
          <w:color w:val="auto"/>
          <w:sz w:val="32"/>
          <w:szCs w:val="32"/>
          <w:highlight w:val="none"/>
          <w:lang w:val="en-US" w:eastAsia="zh-CN"/>
        </w:rPr>
        <w:t>一到三</w:t>
      </w:r>
      <w:r>
        <w:rPr>
          <w:rFonts w:hint="eastAsia" w:ascii="仿宋_GB2312" w:hAnsi="仿宋_GB2312" w:eastAsia="仿宋_GB2312" w:cs="仿宋_GB2312"/>
          <w:color w:val="auto"/>
          <w:sz w:val="32"/>
          <w:szCs w:val="32"/>
          <w:highlight w:val="none"/>
        </w:rPr>
        <w:t>名中标候选人名单。</w:t>
      </w:r>
    </w:p>
    <w:p w14:paraId="2237A036">
      <w:pPr>
        <w:pageBreakBefore w:val="0"/>
        <w:numPr>
          <w:ilvl w:val="1"/>
          <w:numId w:val="4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采购人在收到评标报告后的法定时间内，按照评标报告中推荐的中标候选人顺序确定中标人。</w:t>
      </w:r>
    </w:p>
    <w:p w14:paraId="22DB39E9">
      <w:pPr>
        <w:pageBreakBefore w:val="0"/>
        <w:numPr>
          <w:ilvl w:val="1"/>
          <w:numId w:val="46"/>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中标投标人放弃中标或者中标资格被依法确认无效的，采购人可以按照排序从其他中标候选投标人中确定中标投标人或重新组织招标活动。</w:t>
      </w:r>
    </w:p>
    <w:p w14:paraId="45C8267D">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46" w:name="_Ref179619923"/>
      <w:bookmarkStart w:id="247" w:name="_Toc14943"/>
      <w:bookmarkStart w:id="248" w:name="_Toc55778721"/>
      <w:r>
        <w:rPr>
          <w:rFonts w:hint="eastAsia" w:ascii="仿宋_GB2312" w:hAnsi="仿宋_GB2312" w:eastAsia="仿宋_GB2312" w:cs="仿宋_GB2312"/>
          <w:b/>
          <w:bCs/>
          <w:color w:val="auto"/>
          <w:kern w:val="44"/>
          <w:sz w:val="32"/>
          <w:szCs w:val="32"/>
          <w:highlight w:val="none"/>
        </w:rPr>
        <w:t xml:space="preserve">    </w:t>
      </w:r>
      <w:bookmarkStart w:id="249" w:name="_Toc7161"/>
      <w:bookmarkStart w:id="250" w:name="_Toc19166"/>
      <w:bookmarkStart w:id="251" w:name="_Toc17309"/>
      <w:bookmarkStart w:id="252" w:name="_Toc29372"/>
      <w:r>
        <w:rPr>
          <w:rFonts w:hint="eastAsia" w:ascii="仿宋_GB2312" w:hAnsi="仿宋_GB2312" w:eastAsia="仿宋_GB2312" w:cs="仿宋_GB2312"/>
          <w:b/>
          <w:bCs/>
          <w:color w:val="auto"/>
          <w:kern w:val="44"/>
          <w:sz w:val="32"/>
          <w:szCs w:val="32"/>
          <w:highlight w:val="none"/>
        </w:rPr>
        <w:t>接受和拒绝任何或所有投标的权力</w:t>
      </w:r>
      <w:bookmarkEnd w:id="246"/>
      <w:bookmarkEnd w:id="247"/>
      <w:bookmarkEnd w:id="248"/>
      <w:bookmarkEnd w:id="249"/>
      <w:bookmarkEnd w:id="250"/>
      <w:bookmarkEnd w:id="251"/>
      <w:bookmarkEnd w:id="252"/>
    </w:p>
    <w:p w14:paraId="2E873D69">
      <w:pPr>
        <w:pageBreakBefore w:val="0"/>
        <w:numPr>
          <w:ilvl w:val="1"/>
          <w:numId w:val="47"/>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358963E1">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53" w:name="_Toc19068"/>
      <w:bookmarkStart w:id="254" w:name="_Toc55778722"/>
      <w:r>
        <w:rPr>
          <w:rFonts w:hint="eastAsia" w:ascii="仿宋_GB2312" w:hAnsi="仿宋_GB2312" w:eastAsia="仿宋_GB2312" w:cs="仿宋_GB2312"/>
          <w:b/>
          <w:bCs/>
          <w:color w:val="auto"/>
          <w:kern w:val="44"/>
          <w:sz w:val="32"/>
          <w:szCs w:val="32"/>
          <w:highlight w:val="none"/>
        </w:rPr>
        <w:t xml:space="preserve">    </w:t>
      </w:r>
      <w:bookmarkStart w:id="255" w:name="_Toc444"/>
      <w:bookmarkStart w:id="256" w:name="_Toc9402"/>
      <w:bookmarkStart w:id="257" w:name="_Toc26407"/>
      <w:bookmarkStart w:id="258" w:name="_Toc8040"/>
      <w:r>
        <w:rPr>
          <w:rFonts w:hint="eastAsia" w:ascii="仿宋_GB2312" w:hAnsi="仿宋_GB2312" w:eastAsia="仿宋_GB2312" w:cs="仿宋_GB2312"/>
          <w:b/>
          <w:bCs/>
          <w:color w:val="auto"/>
          <w:kern w:val="44"/>
          <w:sz w:val="32"/>
          <w:szCs w:val="32"/>
          <w:highlight w:val="none"/>
          <w:lang w:val="en-US" w:eastAsia="zh-CN"/>
        </w:rPr>
        <w:t>成交</w:t>
      </w:r>
      <w:r>
        <w:rPr>
          <w:rFonts w:hint="eastAsia" w:ascii="仿宋_GB2312" w:hAnsi="仿宋_GB2312" w:eastAsia="仿宋_GB2312" w:cs="仿宋_GB2312"/>
          <w:b/>
          <w:bCs/>
          <w:color w:val="auto"/>
          <w:kern w:val="44"/>
          <w:sz w:val="32"/>
          <w:szCs w:val="32"/>
          <w:highlight w:val="none"/>
        </w:rPr>
        <w:t>通知书</w:t>
      </w:r>
      <w:bookmarkEnd w:id="253"/>
      <w:bookmarkEnd w:id="254"/>
      <w:bookmarkEnd w:id="255"/>
      <w:bookmarkEnd w:id="256"/>
      <w:bookmarkEnd w:id="257"/>
      <w:bookmarkEnd w:id="258"/>
    </w:p>
    <w:p w14:paraId="235C4D57">
      <w:pPr>
        <w:pageBreakBefore w:val="0"/>
        <w:numPr>
          <w:ilvl w:val="1"/>
          <w:numId w:val="4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中标人确定后，采购代理机构按本须知规定网站发布中标公告，并同时向中标人发出《</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w:t>
      </w:r>
    </w:p>
    <w:p w14:paraId="1B216604">
      <w:pPr>
        <w:pageBreakBefore w:val="0"/>
        <w:numPr>
          <w:ilvl w:val="1"/>
          <w:numId w:val="48"/>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通知书》是合同的一个组成部分。</w:t>
      </w:r>
    </w:p>
    <w:p w14:paraId="5D7BD6FE">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59" w:name="_Toc55778723"/>
      <w:bookmarkStart w:id="260" w:name="_Toc16935"/>
      <w:r>
        <w:rPr>
          <w:rFonts w:hint="eastAsia" w:ascii="仿宋_GB2312" w:hAnsi="仿宋_GB2312" w:eastAsia="仿宋_GB2312" w:cs="仿宋_GB2312"/>
          <w:b/>
          <w:bCs/>
          <w:color w:val="auto"/>
          <w:kern w:val="44"/>
          <w:sz w:val="32"/>
          <w:szCs w:val="32"/>
          <w:highlight w:val="none"/>
        </w:rPr>
        <w:t xml:space="preserve">    </w:t>
      </w:r>
      <w:bookmarkStart w:id="261" w:name="_Toc14729"/>
      <w:bookmarkStart w:id="262" w:name="_Toc7012"/>
      <w:bookmarkStart w:id="263" w:name="_Toc18897"/>
      <w:bookmarkStart w:id="264" w:name="_Toc22710"/>
      <w:r>
        <w:rPr>
          <w:rFonts w:hint="eastAsia" w:ascii="仿宋_GB2312" w:hAnsi="仿宋_GB2312" w:eastAsia="仿宋_GB2312" w:cs="仿宋_GB2312"/>
          <w:b/>
          <w:bCs/>
          <w:color w:val="auto"/>
          <w:kern w:val="44"/>
          <w:sz w:val="32"/>
          <w:szCs w:val="32"/>
          <w:highlight w:val="none"/>
        </w:rPr>
        <w:t>合同的订立</w:t>
      </w:r>
      <w:bookmarkEnd w:id="259"/>
      <w:bookmarkEnd w:id="260"/>
      <w:bookmarkEnd w:id="261"/>
      <w:bookmarkEnd w:id="262"/>
      <w:bookmarkEnd w:id="263"/>
      <w:bookmarkEnd w:id="264"/>
    </w:p>
    <w:p w14:paraId="63562F3E">
      <w:pPr>
        <w:pageBreakBefore w:val="0"/>
        <w:numPr>
          <w:ilvl w:val="1"/>
          <w:numId w:val="4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采购人与中标投标人自</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通知书发出之日起三十日内，按招标文件要求和中标投标人投标文件承诺签订政府采购合同，但不得超出招标文件和中标投标人投标文件的范围、也不得再行订立背离合同实质性内容的其他协议。</w:t>
      </w:r>
    </w:p>
    <w:p w14:paraId="77290BE7">
      <w:pPr>
        <w:pageBreakBefore w:val="0"/>
        <w:numPr>
          <w:ilvl w:val="1"/>
          <w:numId w:val="4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招标文件、中标人的投标文件及其澄清文件等，均为签订合同的依据。</w:t>
      </w:r>
    </w:p>
    <w:p w14:paraId="4D4D8FAD">
      <w:pPr>
        <w:pageBreakBefore w:val="0"/>
        <w:numPr>
          <w:ilvl w:val="1"/>
          <w:numId w:val="49"/>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34DFA3EE">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65" w:name="_Toc4044"/>
      <w:bookmarkStart w:id="266" w:name="_Toc55778724"/>
      <w:r>
        <w:rPr>
          <w:rFonts w:hint="eastAsia" w:ascii="仿宋_GB2312" w:hAnsi="仿宋_GB2312" w:eastAsia="仿宋_GB2312" w:cs="仿宋_GB2312"/>
          <w:b/>
          <w:bCs/>
          <w:color w:val="auto"/>
          <w:kern w:val="44"/>
          <w:sz w:val="32"/>
          <w:szCs w:val="32"/>
          <w:highlight w:val="none"/>
        </w:rPr>
        <w:t xml:space="preserve">   </w:t>
      </w:r>
      <w:bookmarkStart w:id="267" w:name="_Toc7064"/>
      <w:bookmarkStart w:id="268" w:name="_Toc1719"/>
      <w:bookmarkStart w:id="269" w:name="_Toc9738"/>
      <w:bookmarkStart w:id="270" w:name="_Toc19474"/>
      <w:r>
        <w:rPr>
          <w:rFonts w:hint="eastAsia" w:ascii="仿宋_GB2312" w:hAnsi="仿宋_GB2312" w:eastAsia="仿宋_GB2312" w:cs="仿宋_GB2312"/>
          <w:b/>
          <w:bCs/>
          <w:color w:val="auto"/>
          <w:kern w:val="44"/>
          <w:sz w:val="32"/>
          <w:szCs w:val="32"/>
          <w:highlight w:val="none"/>
        </w:rPr>
        <w:t>合同的履行</w:t>
      </w:r>
      <w:bookmarkEnd w:id="265"/>
      <w:bookmarkEnd w:id="266"/>
      <w:bookmarkEnd w:id="267"/>
      <w:bookmarkEnd w:id="268"/>
      <w:bookmarkEnd w:id="269"/>
      <w:bookmarkEnd w:id="270"/>
    </w:p>
    <w:p w14:paraId="26336A1B">
      <w:pPr>
        <w:pageBreakBefore w:val="0"/>
        <w:numPr>
          <w:ilvl w:val="1"/>
          <w:numId w:val="5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3160EF33">
      <w:pPr>
        <w:pageBreakBefore w:val="0"/>
        <w:numPr>
          <w:ilvl w:val="1"/>
          <w:numId w:val="50"/>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4D657454">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sz w:val="32"/>
          <w:szCs w:val="32"/>
        </w:rPr>
      </w:pPr>
      <w:bookmarkStart w:id="271" w:name="_Toc55778726"/>
      <w:r>
        <w:rPr>
          <w:rFonts w:hint="eastAsia" w:ascii="仿宋_GB2312" w:hAnsi="仿宋_GB2312" w:eastAsia="仿宋_GB2312" w:cs="仿宋_GB2312"/>
          <w:b/>
          <w:bCs/>
          <w:color w:val="auto"/>
          <w:kern w:val="44"/>
          <w:sz w:val="32"/>
          <w:szCs w:val="32"/>
          <w:highlight w:val="none"/>
        </w:rPr>
        <w:t xml:space="preserve">   </w:t>
      </w:r>
      <w:bookmarkStart w:id="272" w:name="_Toc18199"/>
      <w:bookmarkStart w:id="273" w:name="_Toc23462"/>
      <w:bookmarkStart w:id="274" w:name="_Toc28418"/>
      <w:bookmarkStart w:id="275" w:name="_Toc12016"/>
      <w:r>
        <w:rPr>
          <w:rFonts w:hint="eastAsia" w:ascii="仿宋_GB2312" w:hAnsi="仿宋_GB2312" w:eastAsia="仿宋_GB2312" w:cs="仿宋_GB2312"/>
          <w:b/>
          <w:bCs/>
          <w:color w:val="auto"/>
          <w:kern w:val="44"/>
          <w:sz w:val="32"/>
          <w:szCs w:val="32"/>
          <w:highlight w:val="none"/>
        </w:rPr>
        <w:t>采购代理服务费</w:t>
      </w:r>
      <w:bookmarkEnd w:id="271"/>
      <w:bookmarkEnd w:id="272"/>
      <w:bookmarkEnd w:id="273"/>
      <w:bookmarkEnd w:id="274"/>
      <w:bookmarkEnd w:id="275"/>
      <w:bookmarkStart w:id="276" w:name="_Toc18355"/>
      <w:bookmarkStart w:id="277" w:name="_Toc55778727"/>
    </w:p>
    <w:p w14:paraId="4865EABE">
      <w:pPr>
        <w:keepNext w:val="0"/>
        <w:keepLines w:val="0"/>
        <w:pageBreakBefore w:val="0"/>
        <w:kinsoku/>
        <w:topLinePunct w:val="0"/>
        <w:bidi w:val="0"/>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44"/>
          <w:sz w:val="32"/>
          <w:szCs w:val="32"/>
          <w:highlight w:val="none"/>
          <w:lang w:val="en-US" w:eastAsia="zh-CN"/>
        </w:rPr>
        <w:tab/>
      </w:r>
      <w:r>
        <w:rPr>
          <w:rFonts w:hint="eastAsia" w:ascii="仿宋_GB2312" w:hAnsi="仿宋_GB2312" w:eastAsia="仿宋_GB2312" w:cs="仿宋_GB2312"/>
          <w:sz w:val="32"/>
          <w:szCs w:val="32"/>
        </w:rPr>
        <w:t>招标代理服务费：中标人应按本招标文件的规定，在《</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通知书》核发时至核发后 3 天内，向采购代理机构支付中标服务费。其计算标准和方法按照下列表格差额定率累进法计算后下浮30%。其计算标准和方法按照下列表格差额定率累进法计算后下浮30%。代理服务费约为</w:t>
      </w:r>
      <w:r>
        <w:rPr>
          <w:rFonts w:hint="eastAsia" w:ascii="仿宋_GB2312" w:hAnsi="仿宋_GB2312" w:eastAsia="仿宋_GB2312" w:cs="仿宋_GB2312"/>
          <w:sz w:val="32"/>
          <w:szCs w:val="32"/>
          <w:lang w:val="en-US" w:eastAsia="zh-CN"/>
        </w:rPr>
        <w:t>15148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最终中标服务费金额按中标金额为基数计取。</w:t>
      </w:r>
    </w:p>
    <w:tbl>
      <w:tblPr>
        <w:tblStyle w:val="3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1"/>
        <w:gridCol w:w="4298"/>
      </w:tblGrid>
      <w:tr w14:paraId="7DD0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401" w:type="dxa"/>
          </w:tcPr>
          <w:p w14:paraId="60687607">
            <w:pPr>
              <w:keepNext w:val="0"/>
              <w:keepLines w:val="0"/>
              <w:pageBreakBefore w:val="0"/>
              <w:widowControl w:val="0"/>
              <w:kinsoku/>
              <w:overflowPunct/>
              <w:topLinePunct w:val="0"/>
              <w:bidi w:val="0"/>
              <w:spacing w:before="24" w:line="560" w:lineRule="exact"/>
              <w:ind w:firstLine="3840" w:firstLineChars="1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8890</wp:posOffset>
                      </wp:positionV>
                      <wp:extent cx="3442970" cy="729615"/>
                      <wp:effectExtent l="1270" t="4445" r="3810" b="8890"/>
                      <wp:wrapNone/>
                      <wp:docPr id="5" name="直接连接符 5"/>
                      <wp:cNvGraphicFramePr/>
                      <a:graphic xmlns:a="http://schemas.openxmlformats.org/drawingml/2006/main">
                        <a:graphicData uri="http://schemas.microsoft.com/office/word/2010/wordprocessingShape">
                          <wps:wsp>
                            <wps:cNvCnPr/>
                            <wps:spPr>
                              <a:xfrm>
                                <a:off x="1472565" y="7124065"/>
                                <a:ext cx="3442970" cy="729615"/>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5.5pt;margin-top:0.7pt;height:57.45pt;width:271.1pt;z-index:251663360;mso-width-relative:page;mso-height-relative:page;" filled="f" stroked="t" coordsize="21600,21600" o:gfxdata="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yj&#10;tGDXAAAACQEAAA8AAAAAAAAAAQAgAAAAIgAAAGRycy9kb3ducmV2LnhtbFBLAQIUABQAAAAIAIdO&#10;4kCQFxWz6wEAALYDAAAOAAAAAAAAAAEAIAAAACY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kern w:val="2"/>
                <w:sz w:val="32"/>
                <w:szCs w:val="32"/>
                <w:lang w:val="en-US" w:eastAsia="zh-CN" w:bidi="ar-SA"/>
              </w:rPr>
              <w:t>费用类别</w:t>
            </w:r>
          </w:p>
          <w:p w14:paraId="50E92BEE">
            <w:pPr>
              <w:keepNext w:val="0"/>
              <w:keepLines w:val="0"/>
              <w:pageBreakBefore w:val="0"/>
              <w:widowControl w:val="0"/>
              <w:kinsoku/>
              <w:overflowPunct/>
              <w:topLinePunct w:val="0"/>
              <w:bidi w:val="0"/>
              <w:spacing w:before="24" w:line="560"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中标金额万元（人民币）</w:t>
            </w:r>
          </w:p>
        </w:tc>
        <w:tc>
          <w:tcPr>
            <w:tcW w:w="4298" w:type="dxa"/>
            <w:vAlign w:val="center"/>
          </w:tcPr>
          <w:p w14:paraId="1C36A2A1">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服务招标费率</w:t>
            </w:r>
          </w:p>
        </w:tc>
      </w:tr>
      <w:tr w14:paraId="06B9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1" w:type="dxa"/>
          </w:tcPr>
          <w:p w14:paraId="7C692287">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 以下部分</w:t>
            </w:r>
          </w:p>
        </w:tc>
        <w:tc>
          <w:tcPr>
            <w:tcW w:w="4298" w:type="dxa"/>
          </w:tcPr>
          <w:p w14:paraId="65CB85EF">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w:t>
            </w:r>
          </w:p>
        </w:tc>
      </w:tr>
      <w:tr w14:paraId="4ABA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1" w:type="dxa"/>
          </w:tcPr>
          <w:p w14:paraId="35F85300">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100-500 部分</w:t>
            </w:r>
          </w:p>
        </w:tc>
        <w:tc>
          <w:tcPr>
            <w:tcW w:w="4298" w:type="dxa"/>
          </w:tcPr>
          <w:p w14:paraId="078F9E96">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0.8%</w:t>
            </w:r>
          </w:p>
        </w:tc>
      </w:tr>
      <w:tr w14:paraId="50E4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1" w:type="dxa"/>
          </w:tcPr>
          <w:p w14:paraId="6C16882F">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500-1000部分</w:t>
            </w:r>
          </w:p>
        </w:tc>
        <w:tc>
          <w:tcPr>
            <w:tcW w:w="4298" w:type="dxa"/>
          </w:tcPr>
          <w:p w14:paraId="253DB2A5">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0.45%</w:t>
            </w:r>
          </w:p>
        </w:tc>
      </w:tr>
      <w:tr w14:paraId="7B33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1" w:type="dxa"/>
          </w:tcPr>
          <w:p w14:paraId="4D187919">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1000-5000 部分</w:t>
            </w:r>
          </w:p>
        </w:tc>
        <w:tc>
          <w:tcPr>
            <w:tcW w:w="4298" w:type="dxa"/>
          </w:tcPr>
          <w:p w14:paraId="7B6831E3">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0.25%</w:t>
            </w:r>
          </w:p>
        </w:tc>
      </w:tr>
      <w:tr w14:paraId="63B3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01" w:type="dxa"/>
          </w:tcPr>
          <w:p w14:paraId="3AFCB310">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5000-10000 部分</w:t>
            </w:r>
          </w:p>
        </w:tc>
        <w:tc>
          <w:tcPr>
            <w:tcW w:w="4298" w:type="dxa"/>
          </w:tcPr>
          <w:p w14:paraId="2FE43CCD">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0.1%</w:t>
            </w:r>
          </w:p>
        </w:tc>
      </w:tr>
      <w:tr w14:paraId="3EDA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01" w:type="dxa"/>
            <w:vAlign w:val="top"/>
          </w:tcPr>
          <w:p w14:paraId="748B7211">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10000-100000 部分</w:t>
            </w:r>
          </w:p>
        </w:tc>
        <w:tc>
          <w:tcPr>
            <w:tcW w:w="4298" w:type="dxa"/>
            <w:vAlign w:val="top"/>
          </w:tcPr>
          <w:p w14:paraId="5B6DC2C0">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0.05%</w:t>
            </w:r>
          </w:p>
        </w:tc>
      </w:tr>
      <w:tr w14:paraId="566C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01" w:type="dxa"/>
            <w:vAlign w:val="top"/>
          </w:tcPr>
          <w:p w14:paraId="03A2E916">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1000000以上</w:t>
            </w:r>
          </w:p>
        </w:tc>
        <w:tc>
          <w:tcPr>
            <w:tcW w:w="4298" w:type="dxa"/>
            <w:vAlign w:val="top"/>
          </w:tcPr>
          <w:p w14:paraId="69E12171">
            <w:pPr>
              <w:keepNext w:val="0"/>
              <w:keepLines w:val="0"/>
              <w:pageBreakBefore w:val="0"/>
              <w:widowControl w:val="0"/>
              <w:kinsoku/>
              <w:overflowPunct/>
              <w:topLinePunct w:val="0"/>
              <w:bidi w:val="0"/>
              <w:spacing w:before="24" w:line="56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0.01%</w:t>
            </w:r>
          </w:p>
        </w:tc>
      </w:tr>
    </w:tbl>
    <w:p w14:paraId="0046C76A">
      <w:pPr>
        <w:pageBreakBefore w:val="0"/>
        <w:kinsoku/>
        <w:overflowPunct/>
        <w:topLinePunct w:val="0"/>
        <w:bidi w:val="0"/>
        <w:spacing w:before="24" w:line="500" w:lineRule="exact"/>
        <w:ind w:firstLine="42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支付形式：对公转账</w:t>
      </w:r>
    </w:p>
    <w:p w14:paraId="23E6ED95">
      <w:pPr>
        <w:pageBreakBefore w:val="0"/>
        <w:kinsoku/>
        <w:overflowPunct/>
        <w:topLinePunct w:val="0"/>
        <w:bidi w:val="0"/>
        <w:spacing w:before="24" w:line="500" w:lineRule="exact"/>
        <w:ind w:firstLine="420" w:firstLineChars="0"/>
        <w:jc w:val="left"/>
        <w:textAlignment w:val="auto"/>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spacing w:val="8"/>
          <w:sz w:val="32"/>
          <w:szCs w:val="32"/>
        </w:rPr>
        <w:t>支付时间：领取</w:t>
      </w:r>
      <w:r>
        <w:rPr>
          <w:rFonts w:hint="eastAsia" w:ascii="仿宋_GB2312" w:hAnsi="仿宋_GB2312" w:eastAsia="仿宋_GB2312" w:cs="仿宋_GB2312"/>
          <w:spacing w:val="8"/>
          <w:sz w:val="32"/>
          <w:szCs w:val="32"/>
          <w:lang w:val="en-US" w:eastAsia="zh-CN"/>
        </w:rPr>
        <w:t>成交</w:t>
      </w:r>
      <w:r>
        <w:rPr>
          <w:rFonts w:hint="eastAsia" w:ascii="仿宋_GB2312" w:hAnsi="仿宋_GB2312" w:eastAsia="仿宋_GB2312" w:cs="仿宋_GB2312"/>
          <w:spacing w:val="8"/>
          <w:sz w:val="32"/>
          <w:szCs w:val="32"/>
        </w:rPr>
        <w:t>通知书时由中标方一次性支付</w:t>
      </w:r>
      <w:r>
        <w:rPr>
          <w:rFonts w:hint="eastAsia" w:ascii="仿宋_GB2312" w:hAnsi="仿宋_GB2312" w:eastAsia="仿宋_GB2312" w:cs="仿宋_GB2312"/>
          <w:b/>
          <w:bCs/>
          <w:color w:val="auto"/>
          <w:kern w:val="44"/>
          <w:sz w:val="32"/>
          <w:szCs w:val="32"/>
          <w:highlight w:val="none"/>
        </w:rPr>
        <w:t xml:space="preserve">    </w:t>
      </w:r>
      <w:bookmarkStart w:id="278" w:name="_Toc8428"/>
      <w:bookmarkStart w:id="279" w:name="_Toc3865"/>
      <w:bookmarkStart w:id="280" w:name="_Toc29629"/>
      <w:bookmarkStart w:id="281" w:name="_Toc11945"/>
    </w:p>
    <w:p w14:paraId="3F77062D">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r>
        <w:rPr>
          <w:rFonts w:hint="eastAsia" w:ascii="仿宋_GB2312" w:hAnsi="仿宋_GB2312" w:eastAsia="仿宋_GB2312" w:cs="仿宋_GB2312"/>
          <w:b/>
          <w:bCs/>
          <w:color w:val="auto"/>
          <w:kern w:val="44"/>
          <w:sz w:val="32"/>
          <w:szCs w:val="32"/>
          <w:highlight w:val="none"/>
        </w:rPr>
        <w:t>适用法律</w:t>
      </w:r>
      <w:bookmarkEnd w:id="276"/>
      <w:bookmarkEnd w:id="277"/>
      <w:bookmarkEnd w:id="278"/>
      <w:bookmarkEnd w:id="279"/>
      <w:bookmarkEnd w:id="280"/>
      <w:bookmarkEnd w:id="281"/>
    </w:p>
    <w:p w14:paraId="26D8D8FB">
      <w:pPr>
        <w:pageBreakBefore w:val="0"/>
        <w:numPr>
          <w:ilvl w:val="1"/>
          <w:numId w:val="51"/>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采购人、采购代理机构及投标人的一切采购活动均适用《中华人民共和国政府采购法》、《中华人民共和国政府采购法实施条例》及其配套的法规、规章、政策。</w:t>
      </w:r>
    </w:p>
    <w:p w14:paraId="1222663C">
      <w:pPr>
        <w:keepNext/>
        <w:keepLines/>
        <w:pageBreakBefore w:val="0"/>
        <w:numPr>
          <w:ilvl w:val="0"/>
          <w:numId w:val="3"/>
        </w:numPr>
        <w:tabs>
          <w:tab w:val="left" w:pos="900"/>
        </w:tabs>
        <w:kinsoku/>
        <w:overflowPunct/>
        <w:topLinePunct w:val="0"/>
        <w:bidi w:val="0"/>
        <w:spacing w:line="500" w:lineRule="exact"/>
        <w:ind w:left="924" w:hanging="924"/>
        <w:textAlignment w:val="auto"/>
        <w:outlineLvl w:val="0"/>
        <w:rPr>
          <w:rFonts w:hint="eastAsia" w:ascii="仿宋_GB2312" w:hAnsi="仿宋_GB2312" w:eastAsia="仿宋_GB2312" w:cs="仿宋_GB2312"/>
          <w:b/>
          <w:bCs/>
          <w:color w:val="auto"/>
          <w:kern w:val="44"/>
          <w:sz w:val="32"/>
          <w:szCs w:val="32"/>
          <w:highlight w:val="none"/>
        </w:rPr>
      </w:pPr>
      <w:bookmarkStart w:id="282" w:name="_Toc24416"/>
      <w:bookmarkStart w:id="283" w:name="_Toc55778728"/>
      <w:r>
        <w:rPr>
          <w:rFonts w:hint="eastAsia" w:ascii="仿宋_GB2312" w:hAnsi="仿宋_GB2312" w:eastAsia="仿宋_GB2312" w:cs="仿宋_GB2312"/>
          <w:b/>
          <w:bCs/>
          <w:color w:val="auto"/>
          <w:kern w:val="44"/>
          <w:sz w:val="32"/>
          <w:szCs w:val="32"/>
          <w:highlight w:val="none"/>
        </w:rPr>
        <w:t xml:space="preserve">    </w:t>
      </w:r>
      <w:bookmarkStart w:id="284" w:name="_Toc22798"/>
      <w:bookmarkStart w:id="285" w:name="_Toc10876"/>
      <w:bookmarkStart w:id="286" w:name="_Toc22475"/>
      <w:bookmarkStart w:id="287" w:name="_Toc7754"/>
      <w:r>
        <w:rPr>
          <w:rFonts w:hint="eastAsia" w:ascii="仿宋_GB2312" w:hAnsi="仿宋_GB2312" w:eastAsia="仿宋_GB2312" w:cs="仿宋_GB2312"/>
          <w:b/>
          <w:bCs/>
          <w:color w:val="auto"/>
          <w:kern w:val="44"/>
          <w:sz w:val="32"/>
          <w:szCs w:val="32"/>
          <w:highlight w:val="none"/>
        </w:rPr>
        <w:t>政府采购政策</w:t>
      </w:r>
      <w:bookmarkEnd w:id="282"/>
      <w:bookmarkEnd w:id="283"/>
      <w:bookmarkEnd w:id="284"/>
      <w:bookmarkEnd w:id="285"/>
      <w:bookmarkEnd w:id="286"/>
      <w:bookmarkEnd w:id="287"/>
    </w:p>
    <w:p w14:paraId="7AF53E49">
      <w:pPr>
        <w:pageBreakBefore w:val="0"/>
        <w:numPr>
          <w:ilvl w:val="1"/>
          <w:numId w:val="52"/>
        </w:numPr>
        <w:kinsoku/>
        <w:wordWrap w:val="0"/>
        <w:overflowPunct/>
        <w:topLinePunct w:val="0"/>
        <w:bidi w:val="0"/>
        <w:spacing w:line="500" w:lineRule="exact"/>
        <w:ind w:left="1037" w:hanging="1382" w:hangingChars="43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1CEA95A8">
      <w:pPr>
        <w:pageBreakBefore w:val="0"/>
        <w:numPr>
          <w:ilvl w:val="1"/>
          <w:numId w:val="52"/>
        </w:numPr>
        <w:kinsoku/>
        <w:wordWrap w:val="0"/>
        <w:overflowPunct/>
        <w:topLinePunct w:val="0"/>
        <w:bidi w:val="0"/>
        <w:spacing w:line="500" w:lineRule="exact"/>
        <w:ind w:left="1037" w:hanging="1382" w:hangingChars="43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4593E17E">
      <w:pPr>
        <w:pageBreakBefore w:val="0"/>
        <w:numPr>
          <w:ilvl w:val="1"/>
          <w:numId w:val="5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根据《政府采购促进中小企业发展管理办法》（财库[2020]46号文）的规定，投标人投标时需注意：</w:t>
      </w:r>
    </w:p>
    <w:p w14:paraId="5B38ACF4">
      <w:pPr>
        <w:pageBreakBefore w:val="0"/>
        <w:numPr>
          <w:ilvl w:val="2"/>
          <w:numId w:val="5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7B1BB2A">
      <w:pPr>
        <w:pageBreakBefore w:val="0"/>
        <w:numPr>
          <w:ilvl w:val="2"/>
          <w:numId w:val="5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参加政府采购活动的中小企业投标时需提供《中小企业声明函》。否则不予认可。</w:t>
      </w:r>
    </w:p>
    <w:p w14:paraId="08F6A04B">
      <w:pPr>
        <w:pageBreakBefore w:val="0"/>
        <w:numPr>
          <w:ilvl w:val="2"/>
          <w:numId w:val="53"/>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政府采购货物时，若投标产品仅部分符合优惠评审要求，投标人应提供满足要求的货物的名称和分项报价（详见投标投标明细报价表），否则不予认可。</w:t>
      </w:r>
    </w:p>
    <w:p w14:paraId="2710B9A3">
      <w:pPr>
        <w:pageBreakBefore w:val="0"/>
        <w:numPr>
          <w:ilvl w:val="1"/>
          <w:numId w:val="5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监狱企业产品价格扣除</w:t>
      </w:r>
    </w:p>
    <w:p w14:paraId="37E6C8AD">
      <w:pPr>
        <w:pageBreakBefore w:val="0"/>
        <w:kinsoku/>
        <w:overflowPunct/>
        <w:topLinePunct w:val="0"/>
        <w:bidi w:val="0"/>
        <w:spacing w:line="500" w:lineRule="exact"/>
        <w:ind w:left="840" w:leftChars="4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根据财政部印发的《司法部关于政府采购支持监狱企业发展有关问题》的通知（财库</w:t>
      </w:r>
      <w:r>
        <w:rPr>
          <w:rFonts w:hint="eastAsia" w:ascii="仿宋_GB2312" w:hAnsi="仿宋_GB2312" w:eastAsia="仿宋_GB2312" w:cs="仿宋_GB2312"/>
          <w:color w:val="auto"/>
          <w:sz w:val="32"/>
          <w:szCs w:val="32"/>
          <w:highlight w:val="none"/>
        </w:rPr>
        <w:t>〔2014〕</w:t>
      </w:r>
      <w:r>
        <w:rPr>
          <w:rFonts w:hint="eastAsia" w:ascii="仿宋_GB2312" w:hAnsi="仿宋_GB2312" w:eastAsia="仿宋_GB2312" w:cs="仿宋_GB2312"/>
          <w:bCs/>
          <w:color w:val="auto"/>
          <w:sz w:val="32"/>
          <w:szCs w:val="32"/>
          <w:highlight w:val="none"/>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4A87B750">
      <w:pPr>
        <w:pageBreakBefore w:val="0"/>
        <w:numPr>
          <w:ilvl w:val="1"/>
          <w:numId w:val="52"/>
        </w:numPr>
        <w:kinsoku/>
        <w:overflowPunct/>
        <w:topLinePunct w:val="0"/>
        <w:bidi w:val="0"/>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残疾人福利性单位产品价格扣除</w:t>
      </w:r>
    </w:p>
    <w:p w14:paraId="02A8F858">
      <w:pPr>
        <w:pageBreakBefore w:val="0"/>
        <w:kinsoku/>
        <w:overflowPunct/>
        <w:topLinePunct w:val="0"/>
        <w:bidi w:val="0"/>
        <w:spacing w:line="500" w:lineRule="exact"/>
        <w:ind w:left="840" w:leftChars="4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bCs/>
          <w:color w:val="auto"/>
          <w:sz w:val="32"/>
          <w:szCs w:val="32"/>
          <w:highlight w:val="none"/>
        </w:rPr>
        <w:t>财政部印发的</w:t>
      </w:r>
      <w:r>
        <w:rPr>
          <w:rFonts w:hint="eastAsia" w:ascii="仿宋_GB2312" w:hAnsi="仿宋_GB2312" w:eastAsia="仿宋_GB2312" w:cs="仿宋_GB2312"/>
          <w:color w:val="auto"/>
          <w:sz w:val="32"/>
          <w:szCs w:val="32"/>
          <w:highlight w:val="none"/>
        </w:rPr>
        <w:t>《关于促进残疾人就业政府采购政策的通知》（财库〔2017〕141号）的规定，</w:t>
      </w:r>
      <w:r>
        <w:rPr>
          <w:rFonts w:hint="eastAsia" w:ascii="仿宋_GB2312" w:hAnsi="仿宋_GB2312" w:eastAsia="仿宋_GB2312" w:cs="仿宋_GB2312"/>
          <w:bCs/>
          <w:color w:val="auto"/>
          <w:sz w:val="32"/>
          <w:szCs w:val="32"/>
          <w:highlight w:val="none"/>
        </w:rPr>
        <w:t>残疾人福利性单位视同中小企业给予相当中小企业的价格扣除。残疾人福利性单位参加政府采购活动时，应当提供《残疾人福利性单位声明函》，否则视为非残疾人福利性单位。</w:t>
      </w:r>
    </w:p>
    <w:p w14:paraId="670C3804">
      <w:pPr>
        <w:pageBreakBefore w:val="0"/>
        <w:kinsoku/>
        <w:overflowPunct/>
        <w:topLinePunct w:val="0"/>
        <w:bidi w:val="0"/>
        <w:spacing w:line="500" w:lineRule="exact"/>
        <w:ind w:left="840" w:leftChars="4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注1：投标人若同时为中小企业、监狱企业、残疾人福利性单位或其中两种，均只能享受一次价格扣除。</w:t>
      </w:r>
    </w:p>
    <w:p w14:paraId="50CA57A8">
      <w:pPr>
        <w:pageBreakBefore w:val="0"/>
        <w:kinsoku/>
        <w:overflowPunct/>
        <w:topLinePunct w:val="0"/>
        <w:bidi w:val="0"/>
        <w:spacing w:line="500" w:lineRule="exact"/>
        <w:ind w:left="840" w:leftChars="4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注2：中小企业、残疾人福利性单位提供其他企业制造的货物的，则该货物的制造商也必须为上述企业，否则不能享受价格优惠。</w:t>
      </w:r>
    </w:p>
    <w:p w14:paraId="4B442BC1">
      <w:pPr>
        <w:pageBreakBefore w:val="0"/>
        <w:kinsoku/>
        <w:overflowPunct/>
        <w:topLinePunct w:val="0"/>
        <w:bidi w:val="0"/>
        <w:spacing w:line="500" w:lineRule="exact"/>
        <w:ind w:firstLine="1285"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注3：中小企业声明函注意事项：</w:t>
      </w:r>
    </w:p>
    <w:p w14:paraId="53B0D444">
      <w:pPr>
        <w:pageBreakBefore w:val="0"/>
        <w:kinsoku/>
        <w:overflowPunct/>
        <w:topLinePunct w:val="0"/>
        <w:bidi w:val="0"/>
        <w:spacing w:line="500" w:lineRule="exact"/>
        <w:ind w:left="950" w:leftChars="300" w:hanging="320" w:hangingChars="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（1）投标人在此声明函未填写“小型、微型”其中之一的，将视为非中小企业，不能享受价格扣除。</w:t>
      </w:r>
    </w:p>
    <w:p w14:paraId="2620DE6C">
      <w:pPr>
        <w:pageBreakBefore w:val="0"/>
        <w:kinsoku/>
        <w:overflowPunct/>
        <w:topLinePunct w:val="0"/>
        <w:bidi w:val="0"/>
        <w:spacing w:line="500" w:lineRule="exact"/>
        <w:ind w:left="630" w:leftChars="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14:paraId="73B8F8ED">
      <w:pPr>
        <w:pageBreakBefore w:val="0"/>
        <w:kinsoku/>
        <w:overflowPunct/>
        <w:topLinePunct w:val="0"/>
        <w:bidi w:val="0"/>
        <w:spacing w:line="500" w:lineRule="exact"/>
        <w:ind w:firstLine="640" w:firstLineChars="200"/>
        <w:textAlignment w:val="auto"/>
        <w:rPr>
          <w:rFonts w:hint="eastAsia" w:ascii="仿宋" w:hAnsi="仿宋" w:eastAsia="仿宋" w:cs="仿宋"/>
          <w:b/>
          <w:bCs/>
          <w:color w:val="auto"/>
          <w:kern w:val="44"/>
          <w:sz w:val="24"/>
          <w:szCs w:val="24"/>
          <w:highlight w:val="none"/>
        </w:rPr>
      </w:pPr>
      <w:r>
        <w:rPr>
          <w:rFonts w:hint="eastAsia" w:ascii="仿宋_GB2312" w:hAnsi="仿宋_GB2312" w:eastAsia="仿宋_GB2312" w:cs="仿宋_GB2312"/>
          <w:color w:val="auto"/>
          <w:sz w:val="32"/>
          <w:szCs w:val="32"/>
          <w:highlight w:val="none"/>
        </w:rPr>
        <w:t>（3）投标人提供自己制造的货物投标，则提供《中小企业声明函》。</w:t>
      </w:r>
      <w:bookmarkStart w:id="288" w:name="_Toc16833"/>
      <w:bookmarkStart w:id="289" w:name="_Toc55778730"/>
      <w:bookmarkStart w:id="290" w:name="_Toc28078"/>
    </w:p>
    <w:p w14:paraId="47924CEC">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p>
    <w:p w14:paraId="59C9419D">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p>
    <w:p w14:paraId="6EE141E5">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p>
    <w:p w14:paraId="07852657">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p>
    <w:p w14:paraId="44389723">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p>
    <w:p w14:paraId="6373A2E4">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第四章 合同格式</w:t>
      </w:r>
      <w:bookmarkEnd w:id="288"/>
      <w:bookmarkEnd w:id="289"/>
      <w:bookmarkEnd w:id="290"/>
    </w:p>
    <w:p w14:paraId="6AA98F30">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(此合同样本仅供参考,合同具体细则以成交双方协定为准)</w:t>
      </w:r>
    </w:p>
    <w:p w14:paraId="179CCAA8">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14:paraId="56787A12">
      <w:pPr>
        <w:keepNext w:val="0"/>
        <w:keepLines w:val="0"/>
        <w:pageBreakBefore w:val="0"/>
        <w:widowControl/>
        <w:suppressLineNumbers w:val="0"/>
        <w:kinsoku/>
        <w:overflowPunct/>
        <w:topLinePunct w:val="0"/>
        <w:bidi w:val="0"/>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合同编号： </w:t>
      </w:r>
    </w:p>
    <w:p w14:paraId="2DA971A8">
      <w:pPr>
        <w:pStyle w:val="16"/>
        <w:pageBreakBefore w:val="0"/>
        <w:kinsoku/>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highlight w:val="none"/>
          <w:lang w:val="en-US" w:eastAsia="zh-CN"/>
        </w:rPr>
      </w:pPr>
    </w:p>
    <w:p w14:paraId="32D3CF07">
      <w:pPr>
        <w:keepNext w:val="0"/>
        <w:keepLines w:val="0"/>
        <w:pageBreakBefore w:val="0"/>
        <w:widowControl/>
        <w:suppressLineNumbers w:val="0"/>
        <w:kinsoku/>
        <w:overflowPunct/>
        <w:topLinePunct w:val="0"/>
        <w:bidi w:val="0"/>
        <w:spacing w:line="560" w:lineRule="exact"/>
        <w:jc w:val="center"/>
        <w:rPr>
          <w:rFonts w:hint="eastAsia" w:ascii="仿宋_GB2312" w:hAnsi="仿宋_GB2312" w:eastAsia="仿宋_GB2312" w:cs="仿宋_GB2312"/>
          <w:b/>
          <w:bCs/>
          <w:color w:val="auto"/>
          <w:kern w:val="0"/>
          <w:sz w:val="32"/>
          <w:szCs w:val="32"/>
          <w:highlight w:val="none"/>
          <w:lang w:val="en-US" w:eastAsia="zh-CN" w:bidi="ar"/>
        </w:rPr>
      </w:pPr>
    </w:p>
    <w:p w14:paraId="57025B8C">
      <w:pPr>
        <w:pStyle w:val="16"/>
        <w:pageBreakBefore w:val="0"/>
        <w:kinsoku/>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highlight w:val="none"/>
          <w:lang w:val="en-US" w:eastAsia="zh-CN"/>
        </w:rPr>
      </w:pPr>
    </w:p>
    <w:p w14:paraId="12A78CBA">
      <w:pPr>
        <w:keepNext w:val="0"/>
        <w:keepLines w:val="0"/>
        <w:pageBreakBefore w:val="0"/>
        <w:widowControl/>
        <w:suppressLineNumbers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政府采购合同参考范本</w:t>
      </w:r>
    </w:p>
    <w:p w14:paraId="48E1F5C5">
      <w:pPr>
        <w:keepNext w:val="0"/>
        <w:keepLines w:val="0"/>
        <w:pageBreakBefore w:val="0"/>
        <w:widowControl/>
        <w:suppressLineNumbers w:val="0"/>
        <w:kinsoku/>
        <w:overflowPunct/>
        <w:topLinePunct w:val="0"/>
        <w:bidi w:val="0"/>
        <w:spacing w:line="560" w:lineRule="exact"/>
        <w:jc w:val="center"/>
        <w:rPr>
          <w:rFonts w:hint="eastAsia" w:ascii="仿宋_GB2312" w:hAnsi="仿宋_GB2312" w:eastAsia="仿宋_GB2312" w:cs="仿宋_GB2312"/>
          <w:b/>
          <w:bCs/>
          <w:color w:val="auto"/>
          <w:kern w:val="0"/>
          <w:sz w:val="32"/>
          <w:szCs w:val="32"/>
          <w:highlight w:val="none"/>
          <w:lang w:val="en-US" w:eastAsia="zh-CN" w:bidi="ar"/>
        </w:rPr>
      </w:pPr>
    </w:p>
    <w:p w14:paraId="7484FD58">
      <w:pPr>
        <w:keepNext w:val="0"/>
        <w:keepLines w:val="0"/>
        <w:pageBreakBefore w:val="0"/>
        <w:widowControl/>
        <w:suppressLineNumbers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（服务类）</w:t>
      </w:r>
    </w:p>
    <w:p w14:paraId="018BDB39">
      <w:pPr>
        <w:keepNext w:val="0"/>
        <w:keepLines w:val="0"/>
        <w:pageBreakBefore w:val="0"/>
        <w:widowControl/>
        <w:suppressLineNumbers w:val="0"/>
        <w:kinsoku/>
        <w:overflowPunct/>
        <w:topLinePunct w:val="0"/>
        <w:bidi w:val="0"/>
        <w:spacing w:line="560" w:lineRule="exact"/>
        <w:jc w:val="center"/>
        <w:rPr>
          <w:rFonts w:hint="eastAsia" w:ascii="仿宋_GB2312" w:hAnsi="仿宋_GB2312" w:eastAsia="仿宋_GB2312" w:cs="仿宋_GB2312"/>
          <w:b/>
          <w:bCs/>
          <w:color w:val="auto"/>
          <w:kern w:val="0"/>
          <w:sz w:val="32"/>
          <w:szCs w:val="32"/>
          <w:highlight w:val="none"/>
          <w:lang w:val="en-US" w:eastAsia="zh-CN" w:bidi="ar"/>
        </w:rPr>
      </w:pPr>
    </w:p>
    <w:p w14:paraId="733747AB">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53C5A0B2">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39CC4FE1">
      <w:pPr>
        <w:keepNext w:val="0"/>
        <w:keepLines w:val="0"/>
        <w:pageBreakBefore w:val="0"/>
        <w:widowControl w:val="0"/>
        <w:suppressLineNumbers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项目名称：</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7C31C414">
      <w:pPr>
        <w:keepNext w:val="0"/>
        <w:keepLines w:val="0"/>
        <w:pageBreakBefore w:val="0"/>
        <w:widowControl w:val="0"/>
        <w:suppressLineNumbers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甲方（采购人）：</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60D27DC0">
      <w:pPr>
        <w:keepNext w:val="0"/>
        <w:keepLines w:val="0"/>
        <w:pageBreakBefore w:val="0"/>
        <w:widowControl w:val="0"/>
        <w:suppressLineNumbers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乙方（供应商）：</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545E5E31">
      <w:pPr>
        <w:keepNext w:val="0"/>
        <w:keepLines w:val="0"/>
        <w:pageBreakBefore w:val="0"/>
        <w:widowControl w:val="0"/>
        <w:suppressLineNumbers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签订地址：</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51162D4D">
      <w:pPr>
        <w:keepNext w:val="0"/>
        <w:keepLines w:val="0"/>
        <w:pageBreakBefore w:val="0"/>
        <w:widowControl w:val="0"/>
        <w:suppressLineNumbers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签订日期：</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年</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月</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日</w:t>
      </w:r>
    </w:p>
    <w:p w14:paraId="73AE0D2A">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br w:type="page"/>
      </w:r>
      <w:bookmarkStart w:id="291" w:name="_Toc28610"/>
      <w:r>
        <w:rPr>
          <w:rFonts w:hint="eastAsia" w:ascii="方正小标宋_GBK" w:hAnsi="方正小标宋_GBK" w:eastAsia="方正小标宋_GBK" w:cs="方正小标宋_GBK"/>
          <w:sz w:val="32"/>
          <w:szCs w:val="32"/>
          <w:lang w:val="en-US" w:eastAsia="zh-CN"/>
        </w:rPr>
        <w:t>第一部分 合同书</w:t>
      </w:r>
      <w:bookmarkEnd w:id="291"/>
    </w:p>
    <w:p w14:paraId="4A59A85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年</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月</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日，</w:t>
      </w:r>
      <w:r>
        <w:rPr>
          <w:rFonts w:hint="eastAsia" w:ascii="仿宋_GB2312" w:hAnsi="仿宋_GB2312" w:eastAsia="仿宋_GB2312" w:cs="仿宋_GB2312"/>
          <w:color w:val="auto"/>
          <w:kern w:val="0"/>
          <w:sz w:val="32"/>
          <w:szCs w:val="32"/>
          <w:highlight w:val="none"/>
          <w:u w:val="single"/>
          <w:lang w:val="en-US" w:eastAsia="zh-CN" w:bidi="ar"/>
        </w:rPr>
        <w:t xml:space="preserve">          （采购人名称）</w:t>
      </w:r>
      <w:r>
        <w:rPr>
          <w:rFonts w:hint="eastAsia" w:ascii="仿宋_GB2312" w:hAnsi="仿宋_GB2312" w:eastAsia="仿宋_GB2312" w:cs="仿宋_GB2312"/>
          <w:color w:val="auto"/>
          <w:kern w:val="0"/>
          <w:sz w:val="32"/>
          <w:szCs w:val="32"/>
          <w:highlight w:val="none"/>
          <w:lang w:val="en-US" w:eastAsia="zh-CN" w:bidi="ar"/>
        </w:rPr>
        <w:t>以</w:t>
      </w:r>
      <w:r>
        <w:rPr>
          <w:rFonts w:hint="eastAsia" w:ascii="仿宋_GB2312" w:hAnsi="仿宋_GB2312" w:eastAsia="仿宋_GB2312" w:cs="仿宋_GB2312"/>
          <w:color w:val="auto"/>
          <w:kern w:val="0"/>
          <w:sz w:val="32"/>
          <w:szCs w:val="32"/>
          <w:highlight w:val="none"/>
          <w:u w:val="single"/>
          <w:lang w:val="en-US" w:eastAsia="zh-CN" w:bidi="ar"/>
        </w:rPr>
        <w:t xml:space="preserve">          （政府采购方式）</w:t>
      </w:r>
      <w:r>
        <w:rPr>
          <w:rFonts w:hint="eastAsia" w:ascii="仿宋_GB2312" w:hAnsi="仿宋_GB2312" w:eastAsia="仿宋_GB2312" w:cs="仿宋_GB2312"/>
          <w:color w:val="auto"/>
          <w:kern w:val="0"/>
          <w:sz w:val="32"/>
          <w:szCs w:val="32"/>
          <w:highlight w:val="none"/>
          <w:lang w:val="en-US" w:eastAsia="zh-CN" w:bidi="ar"/>
        </w:rPr>
        <w:t>对</w:t>
      </w:r>
      <w:r>
        <w:rPr>
          <w:rFonts w:hint="eastAsia" w:ascii="仿宋_GB2312" w:hAnsi="仿宋_GB2312" w:eastAsia="仿宋_GB2312" w:cs="仿宋_GB2312"/>
          <w:color w:val="auto"/>
          <w:kern w:val="0"/>
          <w:sz w:val="32"/>
          <w:szCs w:val="32"/>
          <w:highlight w:val="none"/>
          <w:u w:val="single"/>
          <w:lang w:val="en-US" w:eastAsia="zh-CN" w:bidi="ar"/>
        </w:rPr>
        <w:t xml:space="preserve">          （项目名称）</w:t>
      </w:r>
      <w:r>
        <w:rPr>
          <w:rFonts w:hint="eastAsia" w:ascii="仿宋_GB2312" w:hAnsi="仿宋_GB2312" w:eastAsia="仿宋_GB2312" w:cs="仿宋_GB2312"/>
          <w:color w:val="auto"/>
          <w:kern w:val="0"/>
          <w:sz w:val="32"/>
          <w:szCs w:val="32"/>
          <w:highlight w:val="none"/>
          <w:lang w:val="en-US" w:eastAsia="zh-CN" w:bidi="ar"/>
        </w:rPr>
        <w:t>项目进行了采购。经</w:t>
      </w:r>
      <w:r>
        <w:rPr>
          <w:rFonts w:hint="eastAsia" w:ascii="仿宋_GB2312" w:hAnsi="仿宋_GB2312" w:eastAsia="仿宋_GB2312" w:cs="仿宋_GB2312"/>
          <w:color w:val="auto"/>
          <w:kern w:val="0"/>
          <w:sz w:val="32"/>
          <w:szCs w:val="32"/>
          <w:highlight w:val="none"/>
          <w:u w:val="single"/>
          <w:lang w:val="en-US" w:eastAsia="zh-CN" w:bidi="ar"/>
        </w:rPr>
        <w:t xml:space="preserve">          （相关评定主体名称）</w:t>
      </w:r>
      <w:r>
        <w:rPr>
          <w:rFonts w:hint="eastAsia" w:ascii="仿宋_GB2312" w:hAnsi="仿宋_GB2312" w:eastAsia="仿宋_GB2312" w:cs="仿宋_GB2312"/>
          <w:color w:val="auto"/>
          <w:kern w:val="0"/>
          <w:sz w:val="32"/>
          <w:szCs w:val="32"/>
          <w:highlight w:val="none"/>
          <w:lang w:val="en-US" w:eastAsia="zh-CN" w:bidi="ar"/>
        </w:rPr>
        <w:t>评定，</w:t>
      </w:r>
      <w:r>
        <w:rPr>
          <w:rFonts w:hint="eastAsia" w:ascii="仿宋_GB2312" w:hAnsi="仿宋_GB2312" w:eastAsia="仿宋_GB2312" w:cs="仿宋_GB2312"/>
          <w:color w:val="auto"/>
          <w:kern w:val="0"/>
          <w:sz w:val="32"/>
          <w:szCs w:val="32"/>
          <w:highlight w:val="none"/>
          <w:u w:val="single"/>
          <w:lang w:val="en-US" w:eastAsia="zh-CN" w:bidi="ar"/>
        </w:rPr>
        <w:t xml:space="preserve">          （供应商名称）</w:t>
      </w:r>
      <w:r>
        <w:rPr>
          <w:rFonts w:hint="eastAsia" w:ascii="仿宋_GB2312" w:hAnsi="仿宋_GB2312" w:eastAsia="仿宋_GB2312" w:cs="仿宋_GB2312"/>
          <w:color w:val="auto"/>
          <w:kern w:val="0"/>
          <w:sz w:val="32"/>
          <w:szCs w:val="32"/>
          <w:highlight w:val="none"/>
          <w:lang w:val="en-US" w:eastAsia="zh-CN" w:bidi="ar"/>
        </w:rPr>
        <w:t xml:space="preserve">为该项目中标供应商。现于中标通知书发出之日起三十日内，按照采购 文件确定的事项签订本合同。 </w:t>
      </w:r>
    </w:p>
    <w:p w14:paraId="20C7CD0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根据《中华人民共和国民法典》、《中华人民共和国政府采购法》等相关法律法规之规定，按照平等、自愿、公平和诚实信用的原则，经</w:t>
      </w:r>
      <w:r>
        <w:rPr>
          <w:rFonts w:hint="eastAsia" w:ascii="仿宋_GB2312" w:hAnsi="仿宋_GB2312" w:eastAsia="仿宋_GB2312" w:cs="仿宋_GB2312"/>
          <w:color w:val="auto"/>
          <w:kern w:val="0"/>
          <w:sz w:val="32"/>
          <w:szCs w:val="32"/>
          <w:highlight w:val="none"/>
          <w:u w:val="single"/>
          <w:lang w:val="en-US" w:eastAsia="zh-CN" w:bidi="ar"/>
        </w:rPr>
        <w:t xml:space="preserve">          （采购人名称）</w:t>
      </w:r>
      <w:r>
        <w:rPr>
          <w:rFonts w:hint="eastAsia" w:ascii="仿宋_GB2312" w:hAnsi="仿宋_GB2312" w:eastAsia="仿宋_GB2312" w:cs="仿宋_GB2312"/>
          <w:color w:val="auto"/>
          <w:kern w:val="0"/>
          <w:sz w:val="32"/>
          <w:szCs w:val="32"/>
          <w:highlight w:val="none"/>
          <w:lang w:val="en-US" w:eastAsia="zh-CN" w:bidi="ar"/>
        </w:rPr>
        <w:t>(以下简称：甲方)和</w:t>
      </w:r>
      <w:r>
        <w:rPr>
          <w:rFonts w:hint="eastAsia" w:ascii="仿宋_GB2312" w:hAnsi="仿宋_GB2312" w:eastAsia="仿宋_GB2312" w:cs="仿宋_GB2312"/>
          <w:color w:val="auto"/>
          <w:kern w:val="0"/>
          <w:sz w:val="32"/>
          <w:szCs w:val="32"/>
          <w:highlight w:val="none"/>
          <w:u w:val="single"/>
          <w:lang w:val="en-US" w:eastAsia="zh-CN" w:bidi="ar"/>
        </w:rPr>
        <w:t xml:space="preserve">          （供应商名称）</w:t>
      </w:r>
      <w:r>
        <w:rPr>
          <w:rFonts w:hint="eastAsia" w:ascii="仿宋_GB2312" w:hAnsi="仿宋_GB2312" w:eastAsia="仿宋_GB2312" w:cs="仿宋_GB2312"/>
          <w:color w:val="auto"/>
          <w:kern w:val="0"/>
          <w:sz w:val="32"/>
          <w:szCs w:val="32"/>
          <w:highlight w:val="none"/>
          <w:lang w:val="en-US" w:eastAsia="zh-CN" w:bidi="ar"/>
        </w:rPr>
        <w:t xml:space="preserve"> (以下简称：乙方)协商一致，约定以下合同条款，以兹共同遵守、全面履行。 </w:t>
      </w:r>
    </w:p>
    <w:p w14:paraId="15888CD7">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1.1 合同组成部分 </w:t>
      </w:r>
    </w:p>
    <w:p w14:paraId="1D7B914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下列文件为本合同的组成部分，并构成一个整体，需综合解释、相互补充。如果下列文件内容出现不一致的情形，那么在保证按照采购文件确定的事项的前提下，组成本合同的多个文件的优先适用顺序如下： </w:t>
      </w:r>
    </w:p>
    <w:p w14:paraId="27F82BB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1.1.1 本合同及其补充合同、变更协议； </w:t>
      </w:r>
    </w:p>
    <w:p w14:paraId="1182D1D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1.1.2 中标通知书； </w:t>
      </w:r>
    </w:p>
    <w:p w14:paraId="3D6E1AA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1.1.3 投标文件（含澄清或者说明文件）； </w:t>
      </w:r>
    </w:p>
    <w:p w14:paraId="1EFE9C0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1.1.4 招标文件（含澄清或者修改文件）； </w:t>
      </w:r>
    </w:p>
    <w:p w14:paraId="517F9A5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1.1.5 其他相关采购文件。 </w:t>
      </w:r>
    </w:p>
    <w:p w14:paraId="4AA732B5">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1.2 标的 </w:t>
      </w:r>
    </w:p>
    <w:p w14:paraId="3AD3BE6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1.2.1 标的名称：</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7F3E8C7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1.2.2 标的数量：</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15EA0E8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1.2.3 标的质量：</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174BB9E1">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1.3 价款 </w:t>
      </w:r>
    </w:p>
    <w:p w14:paraId="5BA63B3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本合同总价为：¥</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元（大写：</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70FFB958">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分项价格： </w:t>
      </w:r>
    </w:p>
    <w:tbl>
      <w:tblPr>
        <w:tblStyle w:val="31"/>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3272"/>
        <w:gridCol w:w="3300"/>
      </w:tblGrid>
      <w:tr w14:paraId="38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vAlign w:val="center"/>
          </w:tcPr>
          <w:p w14:paraId="238A87CE">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r>
              <w:rPr>
                <w:rFonts w:hint="eastAsia" w:ascii="仿宋_GB2312" w:hAnsi="仿宋_GB2312" w:eastAsia="仿宋_GB2312" w:cs="仿宋_GB2312"/>
                <w:color w:val="auto"/>
                <w:kern w:val="0"/>
                <w:sz w:val="32"/>
                <w:szCs w:val="32"/>
                <w:highlight w:val="none"/>
                <w:lang w:val="en-US" w:eastAsia="zh-CN" w:bidi="ar"/>
              </w:rPr>
              <w:t>序号</w:t>
            </w:r>
          </w:p>
        </w:tc>
        <w:tc>
          <w:tcPr>
            <w:tcW w:w="3272" w:type="dxa"/>
            <w:vAlign w:val="center"/>
          </w:tcPr>
          <w:p w14:paraId="0E399479">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r>
              <w:rPr>
                <w:rFonts w:hint="eastAsia" w:ascii="仿宋_GB2312" w:hAnsi="仿宋_GB2312" w:eastAsia="仿宋_GB2312" w:cs="仿宋_GB2312"/>
                <w:color w:val="auto"/>
                <w:kern w:val="0"/>
                <w:sz w:val="32"/>
                <w:szCs w:val="32"/>
                <w:highlight w:val="none"/>
                <w:lang w:val="en-US" w:eastAsia="zh-CN" w:bidi="ar"/>
              </w:rPr>
              <w:t>分项名称</w:t>
            </w:r>
          </w:p>
        </w:tc>
        <w:tc>
          <w:tcPr>
            <w:tcW w:w="3300" w:type="dxa"/>
            <w:vAlign w:val="center"/>
          </w:tcPr>
          <w:p w14:paraId="6D0BE144">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r>
              <w:rPr>
                <w:rFonts w:hint="eastAsia" w:ascii="仿宋_GB2312" w:hAnsi="仿宋_GB2312" w:eastAsia="仿宋_GB2312" w:cs="仿宋_GB2312"/>
                <w:color w:val="auto"/>
                <w:kern w:val="0"/>
                <w:sz w:val="32"/>
                <w:szCs w:val="32"/>
                <w:highlight w:val="none"/>
                <w:lang w:val="en-US" w:eastAsia="zh-CN" w:bidi="ar"/>
              </w:rPr>
              <w:t>分项价格（元）</w:t>
            </w:r>
          </w:p>
        </w:tc>
      </w:tr>
      <w:tr w14:paraId="44D9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vAlign w:val="center"/>
          </w:tcPr>
          <w:p w14:paraId="7B47BD51">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p>
        </w:tc>
        <w:tc>
          <w:tcPr>
            <w:tcW w:w="3272" w:type="dxa"/>
            <w:vAlign w:val="center"/>
          </w:tcPr>
          <w:p w14:paraId="75B895BD">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p>
        </w:tc>
        <w:tc>
          <w:tcPr>
            <w:tcW w:w="3300" w:type="dxa"/>
            <w:vAlign w:val="center"/>
          </w:tcPr>
          <w:p w14:paraId="3273EE3A">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p>
        </w:tc>
      </w:tr>
      <w:tr w14:paraId="1F1D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vAlign w:val="center"/>
          </w:tcPr>
          <w:p w14:paraId="1E7E0EA8">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p>
        </w:tc>
        <w:tc>
          <w:tcPr>
            <w:tcW w:w="3272" w:type="dxa"/>
            <w:vAlign w:val="center"/>
          </w:tcPr>
          <w:p w14:paraId="143FF685">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p>
        </w:tc>
        <w:tc>
          <w:tcPr>
            <w:tcW w:w="3300" w:type="dxa"/>
            <w:vAlign w:val="center"/>
          </w:tcPr>
          <w:p w14:paraId="46593FAD">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p>
        </w:tc>
      </w:tr>
      <w:tr w14:paraId="0DC9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3" w:type="dxa"/>
            <w:gridSpan w:val="2"/>
            <w:vAlign w:val="center"/>
          </w:tcPr>
          <w:p w14:paraId="78DC4409">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r>
              <w:rPr>
                <w:rFonts w:hint="eastAsia" w:ascii="仿宋_GB2312" w:hAnsi="仿宋_GB2312" w:eastAsia="仿宋_GB2312" w:cs="仿宋_GB2312"/>
                <w:color w:val="auto"/>
                <w:kern w:val="0"/>
                <w:sz w:val="32"/>
                <w:szCs w:val="32"/>
                <w:highlight w:val="none"/>
                <w:lang w:val="en-US" w:eastAsia="zh-CN" w:bidi="ar"/>
              </w:rPr>
              <w:t>总价（元）</w:t>
            </w:r>
          </w:p>
        </w:tc>
        <w:tc>
          <w:tcPr>
            <w:tcW w:w="3300" w:type="dxa"/>
            <w:vAlign w:val="center"/>
          </w:tcPr>
          <w:p w14:paraId="7F5B3044">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
              </w:rPr>
            </w:pPr>
          </w:p>
        </w:tc>
      </w:tr>
    </w:tbl>
    <w:p w14:paraId="59204912">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1.4 付款方式和发票开具方式 </w:t>
      </w:r>
    </w:p>
    <w:p w14:paraId="7F42B2F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1.4.1 付款方式：</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2374298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1.4.2 发票开具方式：</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0A4C24D6">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1.5 履行期限、地点和方式 </w:t>
      </w:r>
    </w:p>
    <w:p w14:paraId="5BC4B0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1.5.1 履行期限：</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5FEB075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1.5.2 履行地点：</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162430E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1.5.3 履行方式：</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p>
    <w:p w14:paraId="304F5228">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1.6 违约责任 </w:t>
      </w:r>
    </w:p>
    <w:p w14:paraId="36CE1C7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1.6.1 除不可抗力外，如果乙方没有按照本合同约定的期限、地点和方式履行，那么甲方可要求乙方支付违约金，违约金按每迟延履行一日的应提供而未提供服务价格的</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%计算，最高限额为本合同总价的</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%；迟延履行的违约金计算数额达到前述最高限额之日起，甲方有权在要求乙方支付违约金的同时，书面通知乙方解除本合同； </w:t>
      </w:r>
    </w:p>
    <w:p w14:paraId="71CF5D0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1.6.2 除不可抗力外，如果甲方没有按照本合同约定的付款方式付款，那么乙方可要求甲方支付违约金，违约金按每迟延付款一日的应付而未付款的 %计算，最高限额为本合同总价的</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%；迟延付款的违约金计算数额达到前述最高限额之日起，乙方有权在要求甲方支付违约金的同时，书面通知甲方解除本合同； </w:t>
      </w:r>
    </w:p>
    <w:p w14:paraId="6B9F554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 </w:t>
      </w:r>
    </w:p>
    <w:p w14:paraId="3FCF2BC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67DDD6C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1AD739C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22602901">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1.7 合同争议的解决 </w:t>
      </w:r>
    </w:p>
    <w:p w14:paraId="3A68C8D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本合同履行过程中发生的任何争议，双方当事人均可通过和解或者调解解决；不愿和解、调解或者和解、调解不成的，可以选择下列第</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种方式解决： </w:t>
      </w:r>
    </w:p>
    <w:p w14:paraId="724B302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1.7.1 将争议提交</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仲裁委员会依申请仲裁时其现行有效的仲裁规则裁决； </w:t>
      </w:r>
    </w:p>
    <w:p w14:paraId="0A41C02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kern w:val="0"/>
          <w:sz w:val="32"/>
          <w:szCs w:val="32"/>
          <w:highlight w:val="none"/>
          <w:lang w:val="en-US" w:eastAsia="zh-CN" w:bidi="ar"/>
        </w:rPr>
        <w:t xml:space="preserve">1.7.2 </w:t>
      </w:r>
      <w:r>
        <w:rPr>
          <w:rFonts w:hint="eastAsia" w:ascii="仿宋_GB2312" w:hAnsi="仿宋_GB2312" w:eastAsia="仿宋_GB2312" w:cs="仿宋_GB2312"/>
          <w:color w:val="auto"/>
          <w:kern w:val="0"/>
          <w:sz w:val="32"/>
          <w:szCs w:val="32"/>
          <w:highlight w:val="none"/>
          <w:u w:val="single"/>
          <w:lang w:val="en-US" w:eastAsia="zh-CN" w:bidi="ar"/>
        </w:rPr>
        <w:t xml:space="preserve">向       （被告住所地、合同履行地、合同签订地、原告住所地、标的物所在地等与争议有实际联系的地点中选出的人民法院名称）    人民法院起诉。 </w:t>
      </w:r>
    </w:p>
    <w:p w14:paraId="08D7F723">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1.8 合同生效 </w:t>
      </w:r>
    </w:p>
    <w:p w14:paraId="0370834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本合同自双方当事人盖章或者签字时生效。</w:t>
      </w:r>
    </w:p>
    <w:p w14:paraId="5410ED3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p>
    <w:p w14:paraId="02FB524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
        </w:rPr>
        <w:t xml:space="preserve">甲    方：                          乙    方： </w:t>
      </w:r>
    </w:p>
    <w:p w14:paraId="647CD57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统一社会信用代码：                  统一社会信用代码或身份证号码： </w:t>
      </w:r>
    </w:p>
    <w:p w14:paraId="5BCDBE0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住    所：                          住    所： </w:t>
      </w:r>
    </w:p>
    <w:p w14:paraId="2BBA703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法定代表人或授权代表（签字）：      法定代表人授权代表（签字）： </w:t>
      </w:r>
    </w:p>
    <w:p w14:paraId="3D411DB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联 系 人：                            联 系 人： </w:t>
      </w:r>
    </w:p>
    <w:p w14:paraId="52A3DB1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约定送达地址：                      约定送达地址： </w:t>
      </w:r>
    </w:p>
    <w:p w14:paraId="0813882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邮政编码：                          邮政编码： </w:t>
      </w:r>
    </w:p>
    <w:p w14:paraId="3A10FA9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电    话:                           电    话: </w:t>
      </w:r>
    </w:p>
    <w:p w14:paraId="0965FF8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传    真:                           传    真: </w:t>
      </w:r>
    </w:p>
    <w:p w14:paraId="183B435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电子邮箱：                          电子邮箱： </w:t>
      </w:r>
    </w:p>
    <w:p w14:paraId="018EC5E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开户银行：                          开户银行： </w:t>
      </w:r>
    </w:p>
    <w:p w14:paraId="74E8910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开户名称：                          开户名称： </w:t>
      </w:r>
    </w:p>
    <w:p w14:paraId="11593E3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开户账号：                          开户账号： </w:t>
      </w:r>
    </w:p>
    <w:p w14:paraId="7BFAC861">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br w:type="page"/>
      </w:r>
      <w:bookmarkStart w:id="292" w:name="_Toc7009"/>
      <w:r>
        <w:rPr>
          <w:rFonts w:hint="eastAsia" w:ascii="方正小标宋_GBK" w:hAnsi="方正小标宋_GBK" w:eastAsia="方正小标宋_GBK" w:cs="方正小标宋_GBK"/>
          <w:sz w:val="32"/>
          <w:szCs w:val="32"/>
          <w:lang w:val="en-US" w:eastAsia="zh-CN"/>
        </w:rPr>
        <w:t>第二部分 合同一般条款</w:t>
      </w:r>
      <w:bookmarkEnd w:id="292"/>
    </w:p>
    <w:p w14:paraId="4D19A07E">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 定义 </w:t>
      </w:r>
    </w:p>
    <w:p w14:paraId="071D206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本合同中的下列词语应按以下内容进行解释： </w:t>
      </w:r>
    </w:p>
    <w:p w14:paraId="44CB95D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2.1.1 “合同”系指采购人和中标供应商签订的载明双方当事人所达成的协议，并包括所有的附件、附录和构成合同的其他文件。 </w:t>
      </w:r>
    </w:p>
    <w:p w14:paraId="63385B5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2.1.2 “合同价”系指根据合同约定，中标供应商在完全履行合同义务后，采购人应支付给中标供应商的价格。 </w:t>
      </w:r>
    </w:p>
    <w:p w14:paraId="6B4A548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2.1.3 “服务”系指中标供应商根据合同约定应向采购人履行的除货物和工程以外的其他政府采购对象，包括采购人自身需要的服务和向社会公众提供的公共服务。 </w:t>
      </w:r>
    </w:p>
    <w:p w14:paraId="582457B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2.1.4 “甲方”系指与中标供应商签署合同的采购人；采购人委托采购代理机构代表其与乙方签订合同的，采购人的授权委托书作为合同附件。 </w:t>
      </w:r>
    </w:p>
    <w:p w14:paraId="365E751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7899C86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2.1.6 “现场”系指合同约定提供服务的地点。 </w:t>
      </w:r>
    </w:p>
    <w:p w14:paraId="6B9259F4">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2.2 技术规范 </w:t>
      </w:r>
    </w:p>
    <w:p w14:paraId="0D7B5D0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 </w:t>
      </w:r>
    </w:p>
    <w:p w14:paraId="600FA3BA">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2.3 知识产权 </w:t>
      </w:r>
    </w:p>
    <w:p w14:paraId="4EFD4E3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2.3.1 乙方应保证其提供的服务不受任何第三方提出的侵犯其著作权、商标权、专利权等知识产权方面的起诉；如果任何第三方提出侵权指控，那么乙方须与该第三方交涉并承担由此发生的一切责任、费用和赔偿； </w:t>
      </w:r>
    </w:p>
    <w:p w14:paraId="392F8BD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2.3.2 合同涉及技术成果的归属和收益的分成办法的，详见</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 xml:space="preserve">。 </w:t>
      </w:r>
    </w:p>
    <w:p w14:paraId="3470762F">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2.4 履约检查和问题反馈 </w:t>
      </w:r>
    </w:p>
    <w:p w14:paraId="2F0332B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2.4.1 甲方有权在其认为必要时，对乙方是否能够按照合同约定提供服务进行履约检查，以确保乙方所提供的服务能够依约满足甲方之项目需求，但不得因履约检查妨碍乙方的正常工作，乙方应予积极配合； </w:t>
      </w:r>
    </w:p>
    <w:p w14:paraId="5857DA3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2.4.2 合同履行期间，甲方有权将履行过程中出现的问题反馈给乙方，双方当事人应以书面形式约定需要完善和改进的内容。 </w:t>
      </w:r>
    </w:p>
    <w:p w14:paraId="2540B3A8">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2.5 结算方式和付款条件 </w:t>
      </w:r>
    </w:p>
    <w:p w14:paraId="7EC013E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详见</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 xml:space="preserve">。 </w:t>
      </w:r>
    </w:p>
    <w:p w14:paraId="35AEE361">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2.6 技术资料和保密义务 </w:t>
      </w:r>
    </w:p>
    <w:p w14:paraId="5CE7F25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2.6.1 乙方有权依据合同约定和项目需要，向甲方了解有关情况，调阅有关资料等，甲方应予积极配合； </w:t>
      </w:r>
    </w:p>
    <w:p w14:paraId="5320EE9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2.6.2 乙方有义务妥善保管和保护由甲方提供的前款信息和资料等； </w:t>
      </w:r>
    </w:p>
    <w:p w14:paraId="1481265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3B589619">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2.7 质量保证 </w:t>
      </w:r>
    </w:p>
    <w:p w14:paraId="34B64CB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2.7.1 乙方应建立和完善履行合同的内部质量保证体系，并提供相关内部规章制度给甲方，以便甲方进行监督检查； </w:t>
      </w:r>
    </w:p>
    <w:p w14:paraId="09174FE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2.7.2 乙方应保证履行合同的人员数量和素质、软件和硬件设备的配置、场地、环境和设施等满足全面履行合同的要求，并应接受甲方的监督检查。 </w:t>
      </w:r>
    </w:p>
    <w:p w14:paraId="0A061E0C">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2.8 延迟履行 </w:t>
      </w:r>
    </w:p>
    <w:p w14:paraId="784E690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 </w:t>
      </w:r>
    </w:p>
    <w:p w14:paraId="6B82874D">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2.9 合同变更 </w:t>
      </w:r>
    </w:p>
    <w:p w14:paraId="617569F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2.9.1 双方当事人协商一致，可以签订书面补充合同的形式变更合同，但不得违背采购文件确定的事项，且如果系追加与合同标的相同的服务的，那么所有补充合同的采购金额不得超过原合同价的10%； </w:t>
      </w:r>
    </w:p>
    <w:p w14:paraId="6DEC96B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2.9.2 合同继续履行将损害国家利益和社会公共利益的，双方当事人应当以书面形式变更合同。有过错的一方应当承担赔偿责任，双方当事人都有过错的，各自承担相应的责任。 </w:t>
      </w:r>
    </w:p>
    <w:p w14:paraId="470537E6">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2.10 合同转让和分包 </w:t>
      </w:r>
    </w:p>
    <w:p w14:paraId="486ACDB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60CCCC6F">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2.11 不可抗力 </w:t>
      </w:r>
    </w:p>
    <w:p w14:paraId="43216B9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2.11.1 如果任何一方遭遇法律规定的不可抗力，致使合同履行受阻时，履行合同的期限应予延长，延长的期限应相当于不可抗力所影响的时间； </w:t>
      </w:r>
    </w:p>
    <w:p w14:paraId="19C5D10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2.11.2 因不可抗力致使不能实现合同目的的，当事人可以解除合同； </w:t>
      </w:r>
    </w:p>
    <w:p w14:paraId="762EA3A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2.11.3 因不可抗力致使合同有变更必要的，双方当事人应在</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 xml:space="preserve">约定时间内以书面形式变更合同； </w:t>
      </w:r>
    </w:p>
    <w:p w14:paraId="62FD33A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2.11.4 受不可抗力影响的一方在不可抗力发生后，应在</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约定时间内以书面形式通知对方当事人，并在</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 xml:space="preserve">约定时间内，将有关部门出具的证明文件送达对方当事人。 </w:t>
      </w:r>
    </w:p>
    <w:p w14:paraId="35093299">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2.12 税费 </w:t>
      </w:r>
    </w:p>
    <w:p w14:paraId="68C6DDD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与合同有关的一切税费，均按照中华人民共和国法律的相关规定缴纳。 </w:t>
      </w:r>
    </w:p>
    <w:p w14:paraId="2035CE2F">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2.13 乙方破产 </w:t>
      </w:r>
    </w:p>
    <w:p w14:paraId="1EFA480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202E9DB7">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2.14 合同中止、终止 </w:t>
      </w:r>
    </w:p>
    <w:p w14:paraId="7E2F8D0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2.14.1 双方当事人不得擅自中止或者终止合同； </w:t>
      </w:r>
    </w:p>
    <w:p w14:paraId="1B95285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2.14.2 合同继续履行将损害国家利益和社会公共利益的，双方当事人应当中止或者终止合同。有过错的一方应当承担赔偿责任，双方当事人都有过错的，各自承担相应的责任。 </w:t>
      </w:r>
    </w:p>
    <w:p w14:paraId="1E4FA201">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2.15 检验和验收 </w:t>
      </w:r>
    </w:p>
    <w:p w14:paraId="568247F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2.15.1 乙方按照</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的约定，定期提交服务报告，甲方按照</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 xml:space="preserve">的约定进行定期验收； </w:t>
      </w:r>
    </w:p>
    <w:p w14:paraId="4E53219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 </w:t>
      </w:r>
    </w:p>
    <w:p w14:paraId="24CE4CD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2.15.3 检验和验收标准、程序等具体内容以及前述验收书的效力详见</w:t>
      </w:r>
      <w:r>
        <w:rPr>
          <w:rFonts w:hint="eastAsia" w:ascii="仿宋_GB2312" w:hAnsi="仿宋_GB2312" w:eastAsia="仿宋_GB2312" w:cs="仿宋_GB2312"/>
          <w:b/>
          <w:bCs/>
          <w:color w:val="auto"/>
          <w:kern w:val="0"/>
          <w:sz w:val="32"/>
          <w:szCs w:val="32"/>
          <w:highlight w:val="none"/>
          <w:lang w:val="en-US" w:eastAsia="zh-CN" w:bidi="ar"/>
        </w:rPr>
        <w:t>合同专用条款</w:t>
      </w:r>
      <w:r>
        <w:rPr>
          <w:rFonts w:hint="eastAsia" w:ascii="仿宋_GB2312" w:hAnsi="仿宋_GB2312" w:eastAsia="仿宋_GB2312" w:cs="仿宋_GB2312"/>
          <w:color w:val="auto"/>
          <w:kern w:val="0"/>
          <w:sz w:val="32"/>
          <w:szCs w:val="32"/>
          <w:highlight w:val="none"/>
          <w:lang w:val="en-US" w:eastAsia="zh-CN" w:bidi="ar"/>
        </w:rPr>
        <w:t xml:space="preserve">。 </w:t>
      </w:r>
    </w:p>
    <w:p w14:paraId="69D498CF">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2.16 通知和送达 </w:t>
      </w:r>
    </w:p>
    <w:p w14:paraId="450B6AA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2.16.1 任何一方因履行合同而以合同第一部分尾部所列明的</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发出的所有通知、文件、材料，均视为已向对方当事人送达；任何一方变更上述送达方式或者地址的，应于</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个工作日内书面通知对方当事人，在对方当事人收到有关变更通知之前，变更前的约定送达方式或者地址仍视为有效。 </w:t>
      </w:r>
    </w:p>
    <w:p w14:paraId="681E6F3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2.16.2 以当面交付方式送达的，交付之时视为送达；以电子邮件方式送达的，发出电子邮件之时视为送达；以传真方式送达的，发出传真之时视为送达；以邮寄方式送达的，邮件挂号寄出或者交邮之日之次日视为送达。 </w:t>
      </w:r>
    </w:p>
    <w:p w14:paraId="4633A18E">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2.17 合同使用的文字和适用的法律 </w:t>
      </w:r>
    </w:p>
    <w:p w14:paraId="33724BB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2.17.1 合同使用汉语书就、变更和解释； </w:t>
      </w:r>
    </w:p>
    <w:p w14:paraId="223277B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2.17.2 合同适用中华人民共和国法律。 </w:t>
      </w:r>
    </w:p>
    <w:p w14:paraId="54F5218A">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2.18 履约保证金 </w:t>
      </w:r>
    </w:p>
    <w:p w14:paraId="36F2100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2.18.1 采购文件要求乙方提交履约保证金的，乙方应按</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 xml:space="preserve">约定的方式，以支票、汇票、本票或者金融机构、担保机构出具的保函等非现金形式，提交不超过合同价10%的履约保证金； </w:t>
      </w:r>
    </w:p>
    <w:p w14:paraId="1B41DFE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2.18.2 履约保证金在</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约定期间内不予退还或者应完全有效，前述约定期间届满之日起</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个工作日内，甲方应将履约保证金退还乙方； </w:t>
      </w:r>
    </w:p>
    <w:p w14:paraId="2A0B653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2.18.3 如果乙方不履行合同，履约保证金不予退还；如果乙方未能按合同约定全面履行义务，那么甲方有权从履约保证金中取得补偿或赔偿，同时不影响甲方要求乙方承担合同约定的超过履约保证金的违约责任的权利。 </w:t>
      </w:r>
    </w:p>
    <w:p w14:paraId="6DBCC91B">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 xml:space="preserve">2.19 合同份数 </w:t>
      </w:r>
    </w:p>
    <w:p w14:paraId="4DCA6C4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合同份数按</w:t>
      </w:r>
      <w:r>
        <w:rPr>
          <w:rFonts w:hint="eastAsia" w:ascii="仿宋_GB2312" w:hAnsi="仿宋_GB2312" w:eastAsia="仿宋_GB2312" w:cs="仿宋_GB2312"/>
          <w:color w:val="auto"/>
          <w:kern w:val="0"/>
          <w:sz w:val="32"/>
          <w:szCs w:val="32"/>
          <w:highlight w:val="none"/>
          <w:u w:val="single"/>
          <w:lang w:val="en-US" w:eastAsia="zh-CN" w:bidi="ar"/>
        </w:rPr>
        <w:t xml:space="preserve"> </w:t>
      </w:r>
      <w:r>
        <w:rPr>
          <w:rFonts w:hint="eastAsia" w:ascii="仿宋_GB2312" w:hAnsi="仿宋_GB2312" w:eastAsia="仿宋_GB2312" w:cs="仿宋_GB2312"/>
          <w:b/>
          <w:bCs/>
          <w:color w:val="auto"/>
          <w:kern w:val="0"/>
          <w:sz w:val="32"/>
          <w:szCs w:val="32"/>
          <w:highlight w:val="none"/>
          <w:u w:val="single"/>
          <w:lang w:val="en-US" w:eastAsia="zh-CN" w:bidi="ar"/>
        </w:rPr>
        <w:t xml:space="preserve">合同专用条款 </w:t>
      </w:r>
      <w:r>
        <w:rPr>
          <w:rFonts w:hint="eastAsia" w:ascii="仿宋_GB2312" w:hAnsi="仿宋_GB2312" w:eastAsia="仿宋_GB2312" w:cs="仿宋_GB2312"/>
          <w:color w:val="auto"/>
          <w:kern w:val="0"/>
          <w:sz w:val="32"/>
          <w:szCs w:val="32"/>
          <w:highlight w:val="none"/>
          <w:lang w:val="en-US" w:eastAsia="zh-CN" w:bidi="ar"/>
        </w:rPr>
        <w:t xml:space="preserve">规定，每份均具有同等法律效力。 </w:t>
      </w:r>
    </w:p>
    <w:p w14:paraId="74CD3342">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 </w:t>
      </w:r>
    </w:p>
    <w:p w14:paraId="03B033E8">
      <w:pPr>
        <w:pStyle w:val="16"/>
        <w:rPr>
          <w:rFonts w:hint="eastAsia" w:ascii="仿宋_GB2312" w:hAnsi="仿宋_GB2312" w:eastAsia="仿宋_GB2312" w:cs="仿宋_GB2312"/>
          <w:color w:val="auto"/>
          <w:kern w:val="0"/>
          <w:sz w:val="32"/>
          <w:szCs w:val="32"/>
          <w:highlight w:val="none"/>
          <w:lang w:val="en-US" w:eastAsia="zh-CN" w:bidi="ar"/>
        </w:rPr>
      </w:pPr>
    </w:p>
    <w:p w14:paraId="03B5E97A">
      <w:pPr>
        <w:pStyle w:val="16"/>
        <w:ind w:left="0" w:leftChars="0" w:firstLine="0" w:firstLineChars="0"/>
        <w:rPr>
          <w:rFonts w:hint="eastAsia" w:ascii="仿宋_GB2312" w:hAnsi="仿宋_GB2312" w:eastAsia="仿宋_GB2312" w:cs="仿宋_GB2312"/>
          <w:color w:val="auto"/>
          <w:kern w:val="0"/>
          <w:sz w:val="32"/>
          <w:szCs w:val="32"/>
          <w:highlight w:val="none"/>
          <w:lang w:val="en-US" w:eastAsia="zh-CN" w:bidi="ar"/>
        </w:rPr>
      </w:pPr>
    </w:p>
    <w:p w14:paraId="2A2B9D02">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32"/>
          <w:szCs w:val="32"/>
          <w:lang w:val="en-US" w:eastAsia="zh-CN"/>
        </w:rPr>
      </w:pPr>
      <w:bookmarkStart w:id="293" w:name="_Toc21395"/>
      <w:r>
        <w:rPr>
          <w:rFonts w:hint="eastAsia" w:ascii="方正小标宋_GBK" w:hAnsi="方正小标宋_GBK" w:eastAsia="方正小标宋_GBK" w:cs="方正小标宋_GBK"/>
          <w:sz w:val="32"/>
          <w:szCs w:val="32"/>
          <w:lang w:val="en-US" w:eastAsia="zh-CN"/>
        </w:rPr>
        <w:t>第三部分 合同专用条款</w:t>
      </w:r>
      <w:bookmarkEnd w:id="293"/>
    </w:p>
    <w:p w14:paraId="48DE72D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kern w:val="0"/>
          <w:sz w:val="32"/>
          <w:szCs w:val="32"/>
          <w:highlight w:val="none"/>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5842"/>
      </w:tblGrid>
      <w:tr w14:paraId="5DE3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0AB5E67C">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条款号</w:t>
            </w:r>
          </w:p>
        </w:tc>
        <w:tc>
          <w:tcPr>
            <w:tcW w:w="5842" w:type="dxa"/>
            <w:vAlign w:val="center"/>
          </w:tcPr>
          <w:p w14:paraId="680E1B3A">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约定内容</w:t>
            </w:r>
          </w:p>
        </w:tc>
      </w:tr>
      <w:tr w14:paraId="6481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4807FE3F">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38CF61BF">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56E2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48369AE1">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1B7F225D">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463D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1794BA7E">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75465562">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1F4A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6190F818">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206E6124">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4699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3C2841F5">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532F340D">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0F07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3ECC4BFC">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2ABDE6ED">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782D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7AACA9DD">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11171A60">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30B6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0326DA5C">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4F154C5B">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3A8D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7D4B29B7">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41D5EC16">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r w14:paraId="202C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78" w:type="dxa"/>
            <w:vAlign w:val="center"/>
          </w:tcPr>
          <w:p w14:paraId="60854CFB">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c>
          <w:tcPr>
            <w:tcW w:w="5842" w:type="dxa"/>
            <w:vAlign w:val="center"/>
          </w:tcPr>
          <w:p w14:paraId="5EB09EA8">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rPr>
            </w:pPr>
          </w:p>
        </w:tc>
      </w:tr>
    </w:tbl>
    <w:p w14:paraId="2425E7F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14:paraId="3FBD1587">
      <w:pPr>
        <w:pStyle w:val="23"/>
        <w:keepNext w:val="0"/>
        <w:keepLines w:val="0"/>
        <w:pageBreakBefore w:val="0"/>
        <w:kinsoku/>
        <w:wordWrap/>
        <w:overflowPunct/>
        <w:topLinePunct w:val="0"/>
        <w:bidi w:val="0"/>
        <w:spacing w:line="560" w:lineRule="exact"/>
        <w:ind w:firstLine="321" w:firstLineChars="1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未尽事宜，在签订合同时具体约定。</w:t>
      </w:r>
    </w:p>
    <w:p w14:paraId="1D34C082">
      <w:pPr>
        <w:pStyle w:val="23"/>
        <w:pageBreakBefore w:val="0"/>
        <w:bidi w:val="0"/>
        <w:spacing w:line="360" w:lineRule="auto"/>
        <w:rPr>
          <w:rFonts w:hint="eastAsia" w:ascii="仿宋" w:hAnsi="仿宋" w:eastAsia="仿宋" w:cs="仿宋"/>
          <w:b/>
          <w:bCs/>
          <w:color w:val="auto"/>
          <w:sz w:val="24"/>
          <w:szCs w:val="24"/>
          <w:highlight w:val="none"/>
        </w:rPr>
      </w:pPr>
    </w:p>
    <w:p w14:paraId="596DB5D7">
      <w:pPr>
        <w:pStyle w:val="23"/>
        <w:pageBreakBefore w:val="0"/>
        <w:bidi w:val="0"/>
        <w:spacing w:line="360" w:lineRule="auto"/>
        <w:rPr>
          <w:rFonts w:hint="eastAsia" w:ascii="仿宋" w:hAnsi="仿宋" w:eastAsia="仿宋" w:cs="仿宋"/>
          <w:b/>
          <w:bCs/>
          <w:color w:val="auto"/>
          <w:sz w:val="24"/>
          <w:szCs w:val="24"/>
          <w:highlight w:val="none"/>
        </w:rPr>
      </w:pPr>
    </w:p>
    <w:p w14:paraId="4A12757C">
      <w:pPr>
        <w:pStyle w:val="23"/>
        <w:pageBreakBefore w:val="0"/>
        <w:bidi w:val="0"/>
        <w:spacing w:line="360" w:lineRule="auto"/>
        <w:rPr>
          <w:rFonts w:hint="eastAsia" w:ascii="仿宋" w:hAnsi="仿宋" w:eastAsia="仿宋" w:cs="仿宋"/>
          <w:b/>
          <w:bCs/>
          <w:color w:val="auto"/>
          <w:sz w:val="24"/>
          <w:szCs w:val="24"/>
          <w:highlight w:val="none"/>
        </w:rPr>
      </w:pPr>
    </w:p>
    <w:p w14:paraId="72AA9536">
      <w:pPr>
        <w:pStyle w:val="23"/>
        <w:pageBreakBefore w:val="0"/>
        <w:bidi w:val="0"/>
        <w:spacing w:line="360" w:lineRule="auto"/>
        <w:rPr>
          <w:rFonts w:hint="eastAsia" w:ascii="仿宋" w:hAnsi="仿宋" w:eastAsia="仿宋" w:cs="仿宋"/>
          <w:b/>
          <w:bCs/>
          <w:color w:val="auto"/>
          <w:sz w:val="24"/>
          <w:szCs w:val="24"/>
          <w:highlight w:val="none"/>
        </w:rPr>
      </w:pPr>
    </w:p>
    <w:p w14:paraId="1395C200">
      <w:pPr>
        <w:pStyle w:val="23"/>
        <w:pageBreakBefore w:val="0"/>
        <w:bidi w:val="0"/>
        <w:spacing w:line="360" w:lineRule="auto"/>
        <w:rPr>
          <w:rFonts w:hint="eastAsia" w:ascii="仿宋" w:hAnsi="仿宋" w:eastAsia="仿宋" w:cs="仿宋"/>
          <w:b/>
          <w:bCs/>
          <w:color w:val="auto"/>
          <w:sz w:val="24"/>
          <w:szCs w:val="24"/>
          <w:highlight w:val="none"/>
        </w:rPr>
      </w:pPr>
    </w:p>
    <w:p w14:paraId="5B1E3166">
      <w:pPr>
        <w:pStyle w:val="23"/>
        <w:pageBreakBefore w:val="0"/>
        <w:bidi w:val="0"/>
        <w:spacing w:line="360" w:lineRule="auto"/>
        <w:rPr>
          <w:rFonts w:hint="eastAsia" w:ascii="仿宋" w:hAnsi="仿宋" w:eastAsia="仿宋" w:cs="仿宋"/>
          <w:b/>
          <w:bCs/>
          <w:color w:val="auto"/>
          <w:sz w:val="24"/>
          <w:szCs w:val="24"/>
          <w:highlight w:val="none"/>
        </w:rPr>
      </w:pPr>
    </w:p>
    <w:p w14:paraId="6885C2BC">
      <w:pPr>
        <w:pStyle w:val="23"/>
        <w:pageBreakBefore w:val="0"/>
        <w:bidi w:val="0"/>
        <w:spacing w:line="360" w:lineRule="auto"/>
        <w:rPr>
          <w:rFonts w:hint="eastAsia" w:ascii="仿宋" w:hAnsi="仿宋" w:eastAsia="仿宋" w:cs="仿宋"/>
          <w:b/>
          <w:bCs/>
          <w:color w:val="auto"/>
          <w:sz w:val="24"/>
          <w:szCs w:val="24"/>
          <w:highlight w:val="none"/>
        </w:rPr>
      </w:pPr>
    </w:p>
    <w:p w14:paraId="582DCB5D">
      <w:pPr>
        <w:keepNext w:val="0"/>
        <w:keepLines w:val="0"/>
        <w:pageBreakBefore w:val="0"/>
        <w:widowControl w:val="0"/>
        <w:numPr>
          <w:ilvl w:val="0"/>
          <w:numId w:val="54"/>
        </w:numPr>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采购项目清单及参数要求</w:t>
      </w:r>
    </w:p>
    <w:p w14:paraId="36E39D60">
      <w:pPr>
        <w:pStyle w:val="6"/>
        <w:numPr>
          <w:ilvl w:val="0"/>
          <w:numId w:val="0"/>
        </w:numPr>
        <w:ind w:right="0" w:rightChars="0"/>
        <w:rPr>
          <w:rFonts w:hint="eastAsia"/>
          <w:lang w:val="en-US" w:eastAsia="zh-CN"/>
        </w:rPr>
      </w:pPr>
    </w:p>
    <w:p w14:paraId="34D5A3D7">
      <w:pPr>
        <w:numPr>
          <w:ilvl w:val="0"/>
          <w:numId w:val="55"/>
        </w:numPr>
        <w:spacing w:line="480" w:lineRule="auto"/>
        <w:rPr>
          <w:rFonts w:hint="eastAsia" w:ascii="仿宋" w:hAnsi="仿宋" w:eastAsia="仿宋" w:cs="仿宋"/>
          <w:b/>
          <w:sz w:val="32"/>
          <w:szCs w:val="32"/>
        </w:rPr>
      </w:pPr>
      <w:bookmarkStart w:id="294" w:name="_Toc10572"/>
      <w:r>
        <w:rPr>
          <w:rFonts w:hint="eastAsia" w:ascii="仿宋" w:hAnsi="仿宋" w:eastAsia="仿宋" w:cs="仿宋"/>
          <w:b/>
          <w:sz w:val="32"/>
          <w:szCs w:val="32"/>
        </w:rPr>
        <w:t>技术、服务要求：</w:t>
      </w:r>
    </w:p>
    <w:p w14:paraId="179126E3">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bookmarkStart w:id="295" w:name="OLE_LINK2"/>
      <w:r>
        <w:rPr>
          <w:rFonts w:hint="eastAsia" w:ascii="仿宋_GB2312" w:hAnsi="仿宋_GB2312" w:eastAsia="仿宋_GB2312" w:cs="仿宋_GB2312"/>
          <w:b w:val="0"/>
          <w:color w:val="auto"/>
          <w:kern w:val="2"/>
          <w:sz w:val="32"/>
          <w:szCs w:val="32"/>
          <w:lang w:val="en-US" w:eastAsia="zh-CN" w:bidi="ar-SA"/>
        </w:rPr>
        <w:t>★1、保修服务内容（</w:t>
      </w:r>
      <w:r>
        <w:rPr>
          <w:rFonts w:hint="default" w:ascii="仿宋_GB2312" w:hAnsi="仿宋_GB2312" w:eastAsia="仿宋_GB2312" w:cs="仿宋_GB2312"/>
          <w:b w:val="0"/>
          <w:color w:val="auto"/>
          <w:kern w:val="2"/>
          <w:sz w:val="32"/>
          <w:szCs w:val="32"/>
          <w:lang w:val="en-US" w:eastAsia="zh-CN" w:bidi="ar-SA"/>
        </w:rPr>
        <w:t>投标人须提供承诺函</w:t>
      </w:r>
      <w:r>
        <w:rPr>
          <w:rFonts w:hint="eastAsia" w:ascii="仿宋_GB2312" w:hAnsi="仿宋_GB2312" w:eastAsia="仿宋_GB2312" w:cs="仿宋_GB2312"/>
          <w:b w:val="0"/>
          <w:color w:val="auto"/>
          <w:kern w:val="2"/>
          <w:sz w:val="32"/>
          <w:szCs w:val="32"/>
          <w:lang w:val="en-US" w:eastAsia="zh-CN" w:bidi="ar-SA"/>
        </w:rPr>
        <w:t>，格式自拟）：</w:t>
      </w:r>
    </w:p>
    <w:p w14:paraId="21C301D9">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 xml:space="preserve">1.1瓦里安（CX）直线加速器一台，包含加速器整机技术保，不包含配件；含第三方非瓦里安产品（CCTV监视系统、对讲系统、激光灯、稳压器、空气压缩机、专用显示器、门联锁）的技术保，不包含配件。 </w:t>
      </w:r>
    </w:p>
    <w:p w14:paraId="46FFF58C">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1.2</w:t>
      </w:r>
      <w:bookmarkStart w:id="296" w:name="OLE_LINK3"/>
      <w:r>
        <w:rPr>
          <w:rFonts w:hint="eastAsia" w:ascii="仿宋_GB2312" w:hAnsi="仿宋_GB2312" w:eastAsia="仿宋_GB2312" w:cs="仿宋_GB2312"/>
          <w:b w:val="0"/>
          <w:color w:val="auto"/>
          <w:kern w:val="2"/>
          <w:sz w:val="32"/>
          <w:szCs w:val="32"/>
          <w:lang w:val="en-US" w:eastAsia="zh-CN" w:bidi="ar-SA"/>
        </w:rPr>
        <w:t>西门子SOMATOM Confidence</w:t>
      </w:r>
      <w:bookmarkEnd w:id="296"/>
      <w:r>
        <w:rPr>
          <w:rFonts w:hint="eastAsia" w:ascii="仿宋_GB2312" w:hAnsi="仿宋_GB2312" w:eastAsia="仿宋_GB2312" w:cs="仿宋_GB2312"/>
          <w:b w:val="0"/>
          <w:color w:val="auto"/>
          <w:kern w:val="2"/>
          <w:sz w:val="32"/>
          <w:szCs w:val="32"/>
          <w:lang w:val="en-US" w:eastAsia="zh-CN" w:bidi="ar-SA"/>
        </w:rPr>
        <w:t>一台，包含整机技术保，不包含配件。</w:t>
      </w:r>
      <w:bookmarkEnd w:id="295"/>
    </w:p>
    <w:p w14:paraId="34C37D1E">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工程技术人员要求：配备具有加速器专业维修资质的工程师1名，具有CT专业维修资质的工程师1名。拟派工程师具备瓦里安直线加速器、西门子CT维修服务经验，出具工程师维修培训证书，需提供同类项目的故障响应记录或维修业绩。</w:t>
      </w:r>
    </w:p>
    <w:p w14:paraId="1A4086E3">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▲3、直线加速器和CT专业维修资质的工程师具有行业内10年以上维修经验，提供相关</w:t>
      </w:r>
      <w:bookmarkStart w:id="297" w:name="OLE_LINK1"/>
      <w:r>
        <w:rPr>
          <w:rFonts w:hint="eastAsia" w:ascii="仿宋_GB2312" w:hAnsi="仿宋_GB2312" w:eastAsia="仿宋_GB2312" w:cs="仿宋_GB2312"/>
          <w:b w:val="0"/>
          <w:color w:val="auto"/>
          <w:kern w:val="2"/>
          <w:sz w:val="32"/>
          <w:szCs w:val="32"/>
          <w:lang w:val="en-US" w:eastAsia="zh-CN" w:bidi="ar-SA"/>
        </w:rPr>
        <w:t>证明佐证</w:t>
      </w:r>
      <w:bookmarkEnd w:id="297"/>
      <w:r>
        <w:rPr>
          <w:rFonts w:hint="eastAsia" w:ascii="仿宋_GB2312" w:hAnsi="仿宋_GB2312" w:eastAsia="仿宋_GB2312" w:cs="仿宋_GB2312"/>
          <w:b w:val="0"/>
          <w:color w:val="auto"/>
          <w:kern w:val="2"/>
          <w:sz w:val="32"/>
          <w:szCs w:val="32"/>
          <w:lang w:val="en-US" w:eastAsia="zh-CN" w:bidi="ar-SA"/>
        </w:rPr>
        <w:t>材料。</w:t>
      </w:r>
    </w:p>
    <w:p w14:paraId="0CE30FD1">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4、工具及备品备件要求：须提供专业工具清单、备品备件清单并提供相关证明佐证材料。</w:t>
      </w:r>
    </w:p>
    <w:p w14:paraId="5A02CB04">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▲5.为了保障设备稳定运行，供应商还需提供近五年内国内维修瓦里安直线加速器设备的维修协议5份，以证明其具备维修该设备的能力。（提供相关证明佐证材料）</w:t>
      </w:r>
    </w:p>
    <w:p w14:paraId="078AE750">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▲6、备件库要求：供应商在国内有≥1个零备件库（提供备件库照片等证明材料）。</w:t>
      </w:r>
    </w:p>
    <w:p w14:paraId="4A83FE83">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▲7、直线加速器维修工程师持有《核技术利用辐射安全与防护考核成绩报告单》,并且该报告单在有效期内。</w:t>
      </w:r>
      <w:r>
        <w:rPr>
          <w:rFonts w:hint="default" w:ascii="仿宋_GB2312" w:hAnsi="仿宋_GB2312" w:eastAsia="仿宋_GB2312" w:cs="仿宋_GB2312"/>
          <w:b w:val="0"/>
          <w:color w:val="auto"/>
          <w:kern w:val="2"/>
          <w:sz w:val="32"/>
          <w:szCs w:val="32"/>
          <w:lang w:val="en-US" w:eastAsia="zh-CN" w:bidi="ar-SA"/>
        </w:rPr>
        <w:t>（投标人须提供</w:t>
      </w:r>
      <w:r>
        <w:rPr>
          <w:rFonts w:hint="eastAsia" w:ascii="仿宋_GB2312" w:hAnsi="仿宋_GB2312" w:eastAsia="仿宋_GB2312" w:cs="仿宋_GB2312"/>
          <w:b w:val="0"/>
          <w:color w:val="auto"/>
          <w:kern w:val="2"/>
          <w:sz w:val="32"/>
          <w:szCs w:val="32"/>
          <w:lang w:val="en-US" w:eastAsia="zh-CN" w:bidi="ar-SA"/>
        </w:rPr>
        <w:t>相关证明材料</w:t>
      </w:r>
      <w:r>
        <w:rPr>
          <w:rFonts w:hint="default" w:ascii="仿宋_GB2312" w:hAnsi="仿宋_GB2312" w:eastAsia="仿宋_GB2312" w:cs="仿宋_GB2312"/>
          <w:b w:val="0"/>
          <w:color w:val="auto"/>
          <w:kern w:val="2"/>
          <w:sz w:val="32"/>
          <w:szCs w:val="32"/>
          <w:lang w:val="en-US" w:eastAsia="zh-CN" w:bidi="ar-SA"/>
        </w:rPr>
        <w:t>）</w:t>
      </w:r>
    </w:p>
    <w:p w14:paraId="4FE753B4">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8、响应及时性要求:提供保修服务期内保修电话，在保修服务期内提供24小时技术电话支持（24小时×365天）。接到用户报修通知响应时间:1小时内通过电话或者远程协助的方式。需提供本地化服务，通过电话或者远程协助的方式不能解决的，需在8小时内派工程师到现场实施维修(节假日照常服务)。</w:t>
      </w:r>
      <w:r>
        <w:rPr>
          <w:rFonts w:hint="default" w:ascii="仿宋_GB2312" w:hAnsi="仿宋_GB2312" w:eastAsia="仿宋_GB2312" w:cs="仿宋_GB2312"/>
          <w:b w:val="0"/>
          <w:color w:val="auto"/>
          <w:kern w:val="2"/>
          <w:sz w:val="32"/>
          <w:szCs w:val="32"/>
          <w:lang w:val="en-US" w:eastAsia="zh-CN" w:bidi="ar-SA"/>
        </w:rPr>
        <w:t>（投标人须提供承诺函</w:t>
      </w:r>
      <w:r>
        <w:rPr>
          <w:rFonts w:hint="eastAsia" w:ascii="仿宋_GB2312" w:hAnsi="仿宋_GB2312" w:eastAsia="仿宋_GB2312" w:cs="仿宋_GB2312"/>
          <w:b w:val="0"/>
          <w:color w:val="auto"/>
          <w:kern w:val="2"/>
          <w:sz w:val="32"/>
          <w:szCs w:val="32"/>
          <w:lang w:val="en-US" w:eastAsia="zh-CN" w:bidi="ar-SA"/>
        </w:rPr>
        <w:t>，格式自拟</w:t>
      </w:r>
      <w:r>
        <w:rPr>
          <w:rFonts w:hint="default" w:ascii="仿宋_GB2312" w:hAnsi="仿宋_GB2312" w:eastAsia="仿宋_GB2312" w:cs="仿宋_GB2312"/>
          <w:b w:val="0"/>
          <w:color w:val="auto"/>
          <w:kern w:val="2"/>
          <w:sz w:val="32"/>
          <w:szCs w:val="32"/>
          <w:lang w:val="en-US" w:eastAsia="zh-CN" w:bidi="ar-SA"/>
        </w:rPr>
        <w:t>）</w:t>
      </w:r>
    </w:p>
    <w:p w14:paraId="3FF6429C">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9、</w:t>
      </w:r>
      <w:r>
        <w:rPr>
          <w:rFonts w:hint="default" w:ascii="仿宋_GB2312" w:hAnsi="仿宋_GB2312" w:eastAsia="仿宋_GB2312" w:cs="仿宋_GB2312"/>
          <w:b w:val="0"/>
          <w:color w:val="auto"/>
          <w:kern w:val="2"/>
          <w:sz w:val="32"/>
          <w:szCs w:val="32"/>
          <w:lang w:val="en-US" w:eastAsia="zh-CN" w:bidi="ar-SA"/>
        </w:rPr>
        <w:t>投标人需在中标后建立本地化服务团队。（投标人须提供承诺函）</w:t>
      </w:r>
    </w:p>
    <w:p w14:paraId="2AD95BC9">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10、如接到用户报修通知1小时内不响应的，视为违约1次扣款1万元，3次解除合同；如接到用户报修通知需提供本地化服务，8小时内不能派工程师到现场实施维修的，视为违约1次扣款2万元，2次解除合同。</w:t>
      </w:r>
    </w:p>
    <w:p w14:paraId="73F24E16">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11、在保修服务期内，对直线加速器每年提供2次精细维护保养服务(校正多叶光栅电源电压;检查大丝杆间隙;清洁所有叶片，检查丝杆;参数检测，更换不合格配件;检查电机碳刷是否需要更换;检查铅门运动;更换内循环水，更换过滤芯;清洗压力阀，检查温控，并做FLOW测试。根据PMP-HE-CTOOL-H测量并校正电压值,清扫灰尘和重要文件备份。以上需要更换的配件由甲方提供），按照厂家标准规定的保养，并出具保养报告。提供设备的安全检查、运行状态检查等，每季度进行1次预防性维护保养服务，并出具保养报告。</w:t>
      </w:r>
    </w:p>
    <w:p w14:paraId="0D42FF32">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12、在保修服务期内，对CT设备每年提供四次预防性保养（包含：设备状态检查、安全检查、设备润滑、设备清洁、备件更换、软件维护、图像质量检查、系统备份及免费更换过滤网）。</w:t>
      </w:r>
    </w:p>
    <w:p w14:paraId="33A7D3B8">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▲13、投标人应具备提供常用零配件的能力。并保证常用配件在48小时内到货。</w:t>
      </w:r>
      <w:r>
        <w:rPr>
          <w:rFonts w:hint="default" w:ascii="仿宋_GB2312" w:hAnsi="仿宋_GB2312" w:eastAsia="仿宋_GB2312" w:cs="仿宋_GB2312"/>
          <w:b w:val="0"/>
          <w:color w:val="auto"/>
          <w:kern w:val="2"/>
          <w:sz w:val="32"/>
          <w:szCs w:val="32"/>
          <w:lang w:val="en-US" w:eastAsia="zh-CN" w:bidi="ar-SA"/>
        </w:rPr>
        <w:t>（投标人须提供承诺函</w:t>
      </w:r>
      <w:r>
        <w:rPr>
          <w:rFonts w:hint="eastAsia" w:ascii="仿宋_GB2312" w:hAnsi="仿宋_GB2312" w:eastAsia="仿宋_GB2312" w:cs="仿宋_GB2312"/>
          <w:b w:val="0"/>
          <w:color w:val="auto"/>
          <w:kern w:val="2"/>
          <w:sz w:val="32"/>
          <w:szCs w:val="32"/>
          <w:lang w:val="en-US" w:eastAsia="zh-CN" w:bidi="ar-SA"/>
        </w:rPr>
        <w:t>，格式自拟</w:t>
      </w:r>
      <w:r>
        <w:rPr>
          <w:rFonts w:hint="default" w:ascii="仿宋_GB2312" w:hAnsi="仿宋_GB2312" w:eastAsia="仿宋_GB2312" w:cs="仿宋_GB2312"/>
          <w:b w:val="0"/>
          <w:color w:val="auto"/>
          <w:kern w:val="2"/>
          <w:sz w:val="32"/>
          <w:szCs w:val="32"/>
          <w:lang w:val="en-US" w:eastAsia="zh-CN" w:bidi="ar-SA"/>
        </w:rPr>
        <w:t>）</w:t>
      </w:r>
    </w:p>
    <w:p w14:paraId="73B0A462">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14、服务期间，对于投标人有偿更换的备件，要达到至少六个月的质保期。</w:t>
      </w:r>
      <w:r>
        <w:rPr>
          <w:rFonts w:hint="default" w:ascii="仿宋_GB2312" w:hAnsi="仿宋_GB2312" w:eastAsia="仿宋_GB2312" w:cs="仿宋_GB2312"/>
          <w:b w:val="0"/>
          <w:color w:val="auto"/>
          <w:kern w:val="2"/>
          <w:sz w:val="32"/>
          <w:szCs w:val="32"/>
          <w:lang w:val="en-US" w:eastAsia="zh-CN" w:bidi="ar-SA"/>
        </w:rPr>
        <w:t>（投标人须提供承诺函</w:t>
      </w:r>
      <w:r>
        <w:rPr>
          <w:rFonts w:hint="eastAsia" w:ascii="仿宋_GB2312" w:hAnsi="仿宋_GB2312" w:eastAsia="仿宋_GB2312" w:cs="仿宋_GB2312"/>
          <w:b w:val="0"/>
          <w:color w:val="auto"/>
          <w:kern w:val="2"/>
          <w:sz w:val="32"/>
          <w:szCs w:val="32"/>
          <w:lang w:val="en-US" w:eastAsia="zh-CN" w:bidi="ar-SA"/>
        </w:rPr>
        <w:t>，格式自拟</w:t>
      </w:r>
      <w:r>
        <w:rPr>
          <w:rFonts w:hint="default" w:ascii="仿宋_GB2312" w:hAnsi="仿宋_GB2312" w:eastAsia="仿宋_GB2312" w:cs="仿宋_GB2312"/>
          <w:b w:val="0"/>
          <w:color w:val="auto"/>
          <w:kern w:val="2"/>
          <w:sz w:val="32"/>
          <w:szCs w:val="32"/>
          <w:lang w:val="en-US" w:eastAsia="zh-CN" w:bidi="ar-SA"/>
        </w:rPr>
        <w:t>）</w:t>
      </w:r>
    </w:p>
    <w:p w14:paraId="1C3C4CC7">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15、服务期间，技术维修保证设备95%的开机率（按365日计算，年停机时间不能超过15天）。开机率低于95%的，超出一天保修顺延十天。不包含因我院自行采购配件原因导致的停机时间。保养机器，更换核心备件后，绝对剂量，对称性，平坦度都不能超过正负3%，要达国标，满足临床科室使用。</w:t>
      </w:r>
      <w:r>
        <w:rPr>
          <w:rFonts w:hint="default" w:ascii="仿宋_GB2312" w:hAnsi="仿宋_GB2312" w:eastAsia="仿宋_GB2312" w:cs="仿宋_GB2312"/>
          <w:b w:val="0"/>
          <w:color w:val="auto"/>
          <w:kern w:val="2"/>
          <w:sz w:val="32"/>
          <w:szCs w:val="32"/>
          <w:lang w:val="en-US" w:eastAsia="zh-CN" w:bidi="ar-SA"/>
        </w:rPr>
        <w:t>（投标人须提供承诺函</w:t>
      </w:r>
      <w:r>
        <w:rPr>
          <w:rFonts w:hint="eastAsia" w:ascii="仿宋_GB2312" w:hAnsi="仿宋_GB2312" w:eastAsia="仿宋_GB2312" w:cs="仿宋_GB2312"/>
          <w:b w:val="0"/>
          <w:color w:val="auto"/>
          <w:kern w:val="2"/>
          <w:sz w:val="32"/>
          <w:szCs w:val="32"/>
          <w:lang w:val="en-US" w:eastAsia="zh-CN" w:bidi="ar-SA"/>
        </w:rPr>
        <w:t>，格式自拟</w:t>
      </w:r>
      <w:r>
        <w:rPr>
          <w:rFonts w:hint="default" w:ascii="仿宋_GB2312" w:hAnsi="仿宋_GB2312" w:eastAsia="仿宋_GB2312" w:cs="仿宋_GB2312"/>
          <w:b w:val="0"/>
          <w:color w:val="auto"/>
          <w:kern w:val="2"/>
          <w:sz w:val="32"/>
          <w:szCs w:val="32"/>
          <w:lang w:val="en-US" w:eastAsia="zh-CN" w:bidi="ar-SA"/>
        </w:rPr>
        <w:t>）</w:t>
      </w:r>
    </w:p>
    <w:p w14:paraId="3264E785">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▲16、人工服务：合同期内包含不限次数的人工叫修工时服务。包括所有人工服务费、保养服务费以及差旅费用。</w:t>
      </w:r>
      <w:r>
        <w:rPr>
          <w:rFonts w:hint="default" w:ascii="仿宋_GB2312" w:hAnsi="仿宋_GB2312" w:eastAsia="仿宋_GB2312" w:cs="仿宋_GB2312"/>
          <w:b w:val="0"/>
          <w:color w:val="auto"/>
          <w:kern w:val="2"/>
          <w:sz w:val="32"/>
          <w:szCs w:val="32"/>
          <w:lang w:val="en-US" w:eastAsia="zh-CN" w:bidi="ar-SA"/>
        </w:rPr>
        <w:t>（投标人须提供承诺函</w:t>
      </w:r>
      <w:r>
        <w:rPr>
          <w:rFonts w:hint="eastAsia" w:ascii="仿宋_GB2312" w:hAnsi="仿宋_GB2312" w:eastAsia="仿宋_GB2312" w:cs="仿宋_GB2312"/>
          <w:b w:val="0"/>
          <w:color w:val="auto"/>
          <w:kern w:val="2"/>
          <w:sz w:val="32"/>
          <w:szCs w:val="32"/>
          <w:lang w:val="en-US" w:eastAsia="zh-CN" w:bidi="ar-SA"/>
        </w:rPr>
        <w:t>，格式自拟</w:t>
      </w:r>
      <w:r>
        <w:rPr>
          <w:rFonts w:hint="default" w:ascii="仿宋_GB2312" w:hAnsi="仿宋_GB2312" w:eastAsia="仿宋_GB2312" w:cs="仿宋_GB2312"/>
          <w:b w:val="0"/>
          <w:color w:val="auto"/>
          <w:kern w:val="2"/>
          <w:sz w:val="32"/>
          <w:szCs w:val="32"/>
          <w:lang w:val="en-US" w:eastAsia="zh-CN" w:bidi="ar-SA"/>
        </w:rPr>
        <w:t>）</w:t>
      </w:r>
    </w:p>
    <w:p w14:paraId="19F3D7AC">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17、</w:t>
      </w:r>
      <w:r>
        <w:rPr>
          <w:rFonts w:hint="default" w:ascii="仿宋_GB2312" w:hAnsi="仿宋_GB2312" w:eastAsia="仿宋_GB2312" w:cs="仿宋_GB2312"/>
          <w:b w:val="0"/>
          <w:color w:val="auto"/>
          <w:kern w:val="2"/>
          <w:sz w:val="32"/>
          <w:szCs w:val="32"/>
          <w:lang w:val="en-US" w:eastAsia="zh-CN" w:bidi="ar-SA"/>
        </w:rPr>
        <w:t>每年维保结束后30日内提供上一年度维修报告手册。（投标人须提供承诺函</w:t>
      </w:r>
      <w:r>
        <w:rPr>
          <w:rFonts w:hint="eastAsia" w:ascii="仿宋_GB2312" w:hAnsi="仿宋_GB2312" w:eastAsia="仿宋_GB2312" w:cs="仿宋_GB2312"/>
          <w:b w:val="0"/>
          <w:color w:val="auto"/>
          <w:kern w:val="2"/>
          <w:sz w:val="32"/>
          <w:szCs w:val="32"/>
          <w:lang w:val="en-US" w:eastAsia="zh-CN" w:bidi="ar-SA"/>
        </w:rPr>
        <w:t>，格式自拟</w:t>
      </w:r>
      <w:r>
        <w:rPr>
          <w:rFonts w:hint="default" w:ascii="仿宋_GB2312" w:hAnsi="仿宋_GB2312" w:eastAsia="仿宋_GB2312" w:cs="仿宋_GB2312"/>
          <w:b w:val="0"/>
          <w:color w:val="auto"/>
          <w:kern w:val="2"/>
          <w:sz w:val="32"/>
          <w:szCs w:val="32"/>
          <w:lang w:val="en-US" w:eastAsia="zh-CN" w:bidi="ar-SA"/>
        </w:rPr>
        <w:t>）</w:t>
      </w:r>
    </w:p>
    <w:p w14:paraId="73D0297B">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18、为院方医技人员提供设备操作与日常保养培训。</w:t>
      </w:r>
      <w:r>
        <w:rPr>
          <w:rFonts w:hint="default" w:ascii="仿宋_GB2312" w:hAnsi="仿宋_GB2312" w:eastAsia="仿宋_GB2312" w:cs="仿宋_GB2312"/>
          <w:b w:val="0"/>
          <w:color w:val="auto"/>
          <w:kern w:val="2"/>
          <w:sz w:val="32"/>
          <w:szCs w:val="32"/>
          <w:lang w:val="en-US" w:eastAsia="zh-CN" w:bidi="ar-SA"/>
        </w:rPr>
        <w:t>（投标人须提供承诺函</w:t>
      </w:r>
      <w:r>
        <w:rPr>
          <w:rFonts w:hint="eastAsia" w:ascii="仿宋_GB2312" w:hAnsi="仿宋_GB2312" w:eastAsia="仿宋_GB2312" w:cs="仿宋_GB2312"/>
          <w:b w:val="0"/>
          <w:color w:val="auto"/>
          <w:kern w:val="2"/>
          <w:sz w:val="32"/>
          <w:szCs w:val="32"/>
          <w:lang w:val="en-US" w:eastAsia="zh-CN" w:bidi="ar-SA"/>
        </w:rPr>
        <w:t>，格式自拟</w:t>
      </w:r>
      <w:r>
        <w:rPr>
          <w:rFonts w:hint="default" w:ascii="仿宋_GB2312" w:hAnsi="仿宋_GB2312" w:eastAsia="仿宋_GB2312" w:cs="仿宋_GB2312"/>
          <w:b w:val="0"/>
          <w:color w:val="auto"/>
          <w:kern w:val="2"/>
          <w:sz w:val="32"/>
          <w:szCs w:val="32"/>
          <w:lang w:val="en-US" w:eastAsia="zh-CN" w:bidi="ar-SA"/>
        </w:rPr>
        <w:t>）</w:t>
      </w:r>
    </w:p>
    <w:p w14:paraId="1355FF25">
      <w:pPr>
        <w:wordWrap/>
        <w:spacing w:line="360" w:lineRule="auto"/>
        <w:ind w:firstLine="640" w:firstLineChars="200"/>
        <w:jc w:val="lef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★19、提供一批匹配瓦里安（CX）直线加速器的配件（详见配件清单），要求全新带防伪密封条。中标供应商自合同签订后15个日历日交货。</w:t>
      </w:r>
      <w:r>
        <w:rPr>
          <w:rFonts w:hint="default" w:ascii="仿宋_GB2312" w:hAnsi="仿宋_GB2312" w:eastAsia="仿宋_GB2312" w:cs="仿宋_GB2312"/>
          <w:b w:val="0"/>
          <w:color w:val="auto"/>
          <w:kern w:val="2"/>
          <w:sz w:val="32"/>
          <w:szCs w:val="32"/>
          <w:lang w:val="en-US" w:eastAsia="zh-CN" w:bidi="ar-SA"/>
        </w:rPr>
        <w:t>（投标人须提供承诺函</w:t>
      </w:r>
      <w:r>
        <w:rPr>
          <w:rFonts w:hint="eastAsia" w:ascii="仿宋_GB2312" w:hAnsi="仿宋_GB2312" w:eastAsia="仿宋_GB2312" w:cs="仿宋_GB2312"/>
          <w:b w:val="0"/>
          <w:color w:val="auto"/>
          <w:kern w:val="2"/>
          <w:sz w:val="32"/>
          <w:szCs w:val="32"/>
          <w:lang w:val="en-US" w:eastAsia="zh-CN" w:bidi="ar-SA"/>
        </w:rPr>
        <w:t>，格式自拟</w:t>
      </w: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 xml:space="preserve"> </w:t>
      </w:r>
    </w:p>
    <w:p w14:paraId="764945EA">
      <w:pPr>
        <w:wordWrap/>
        <w:spacing w:line="360" w:lineRule="auto"/>
        <w:ind w:firstLine="640" w:firstLineChars="200"/>
        <w:jc w:val="left"/>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直线加速器配件清单：</w:t>
      </w:r>
    </w:p>
    <w:tbl>
      <w:tblPr>
        <w:tblStyle w:val="3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236"/>
        <w:gridCol w:w="2574"/>
      </w:tblGrid>
      <w:tr w14:paraId="2DE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28" w:type="dxa"/>
            <w:vAlign w:val="center"/>
          </w:tcPr>
          <w:p w14:paraId="6BE9E98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5236" w:type="dxa"/>
            <w:vAlign w:val="center"/>
          </w:tcPr>
          <w:p w14:paraId="7A75289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配件名称</w:t>
            </w:r>
          </w:p>
        </w:tc>
        <w:tc>
          <w:tcPr>
            <w:tcW w:w="2574" w:type="dxa"/>
            <w:vAlign w:val="center"/>
          </w:tcPr>
          <w:p w14:paraId="2060218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数量（个）</w:t>
            </w:r>
          </w:p>
        </w:tc>
      </w:tr>
      <w:tr w14:paraId="1016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20B1689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236" w:type="dxa"/>
            <w:vAlign w:val="center"/>
          </w:tcPr>
          <w:p w14:paraId="7817626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多</w:t>
            </w:r>
            <w:r>
              <w:rPr>
                <w:rFonts w:hint="eastAsia" w:ascii="仿宋" w:hAnsi="仿宋" w:eastAsia="仿宋" w:cs="仿宋"/>
                <w:kern w:val="2"/>
                <w:sz w:val="32"/>
                <w:szCs w:val="32"/>
                <w:lang w:val="en-US" w:eastAsia="zh-CN" w:bidi="ar-SA"/>
              </w:rPr>
              <w:t>叶</w:t>
            </w:r>
            <w:r>
              <w:rPr>
                <w:rFonts w:hint="eastAsia" w:ascii="仿宋" w:hAnsi="仿宋" w:eastAsia="仿宋" w:cs="仿宋"/>
                <w:sz w:val="32"/>
                <w:szCs w:val="32"/>
                <w:vertAlign w:val="baseline"/>
                <w:lang w:val="en-US" w:eastAsia="zh-CN"/>
              </w:rPr>
              <w:t>光栅通讯板</w:t>
            </w:r>
          </w:p>
        </w:tc>
        <w:tc>
          <w:tcPr>
            <w:tcW w:w="2574" w:type="dxa"/>
            <w:vAlign w:val="center"/>
          </w:tcPr>
          <w:p w14:paraId="120F791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09F6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03F982A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236" w:type="dxa"/>
            <w:vAlign w:val="center"/>
          </w:tcPr>
          <w:p w14:paraId="20211CE3">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电位器</w:t>
            </w:r>
          </w:p>
        </w:tc>
        <w:tc>
          <w:tcPr>
            <w:tcW w:w="2574" w:type="dxa"/>
            <w:vAlign w:val="center"/>
          </w:tcPr>
          <w:p w14:paraId="1296137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r>
      <w:tr w14:paraId="4781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45CD11E3">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236" w:type="dxa"/>
            <w:vAlign w:val="center"/>
          </w:tcPr>
          <w:p w14:paraId="1271A2ED">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rPr>
              <w:t>二次反馈板</w:t>
            </w:r>
          </w:p>
        </w:tc>
        <w:tc>
          <w:tcPr>
            <w:tcW w:w="2574" w:type="dxa"/>
            <w:vAlign w:val="center"/>
          </w:tcPr>
          <w:p w14:paraId="4976465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3E1C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13DC57C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236" w:type="dxa"/>
            <w:vAlign w:val="center"/>
          </w:tcPr>
          <w:p w14:paraId="2D9EAC44">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主电子管</w:t>
            </w:r>
          </w:p>
        </w:tc>
        <w:tc>
          <w:tcPr>
            <w:tcW w:w="2574" w:type="dxa"/>
            <w:vAlign w:val="center"/>
          </w:tcPr>
          <w:p w14:paraId="1E58833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2A8C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6A66DD13">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236" w:type="dxa"/>
            <w:vAlign w:val="center"/>
          </w:tcPr>
          <w:p w14:paraId="12C7FF4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丝杆</w:t>
            </w:r>
          </w:p>
        </w:tc>
        <w:tc>
          <w:tcPr>
            <w:tcW w:w="2574" w:type="dxa"/>
            <w:vAlign w:val="center"/>
          </w:tcPr>
          <w:p w14:paraId="0C7F4D2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r>
      <w:tr w14:paraId="065D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12C0C1F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236" w:type="dxa"/>
            <w:vAlign w:val="center"/>
          </w:tcPr>
          <w:p w14:paraId="5C43BF23">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多</w:t>
            </w:r>
            <w:r>
              <w:rPr>
                <w:rFonts w:hint="eastAsia" w:ascii="仿宋" w:hAnsi="仿宋" w:eastAsia="仿宋" w:cs="仿宋"/>
                <w:kern w:val="2"/>
                <w:sz w:val="32"/>
                <w:szCs w:val="32"/>
                <w:lang w:val="en-US" w:eastAsia="zh-CN" w:bidi="ar-SA"/>
              </w:rPr>
              <w:t>叶</w:t>
            </w:r>
            <w:r>
              <w:rPr>
                <w:rFonts w:hint="eastAsia" w:ascii="仿宋" w:hAnsi="仿宋" w:eastAsia="仿宋" w:cs="仿宋"/>
                <w:sz w:val="32"/>
                <w:szCs w:val="32"/>
                <w:vertAlign w:val="baseline"/>
                <w:lang w:val="en-US" w:eastAsia="zh-CN"/>
              </w:rPr>
              <w:t>光栅电机</w:t>
            </w:r>
          </w:p>
        </w:tc>
        <w:tc>
          <w:tcPr>
            <w:tcW w:w="2574" w:type="dxa"/>
            <w:vAlign w:val="center"/>
          </w:tcPr>
          <w:p w14:paraId="28264FB6">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33</w:t>
            </w:r>
          </w:p>
        </w:tc>
      </w:tr>
      <w:tr w14:paraId="75E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25C7201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236" w:type="dxa"/>
            <w:vAlign w:val="center"/>
          </w:tcPr>
          <w:p w14:paraId="5021E7C4">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滤芯</w:t>
            </w:r>
          </w:p>
        </w:tc>
        <w:tc>
          <w:tcPr>
            <w:tcW w:w="2574" w:type="dxa"/>
            <w:vAlign w:val="center"/>
          </w:tcPr>
          <w:p w14:paraId="5DAC298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2229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7A9CA26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236" w:type="dxa"/>
            <w:vAlign w:val="center"/>
          </w:tcPr>
          <w:p w14:paraId="3DAFDC0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电子枪微波控制板</w:t>
            </w:r>
          </w:p>
        </w:tc>
        <w:tc>
          <w:tcPr>
            <w:tcW w:w="2574" w:type="dxa"/>
            <w:vAlign w:val="center"/>
          </w:tcPr>
          <w:p w14:paraId="35561AB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4AE0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0614526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236" w:type="dxa"/>
            <w:vAlign w:val="center"/>
          </w:tcPr>
          <w:p w14:paraId="6087EBA3">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电缆 W15</w:t>
            </w:r>
          </w:p>
        </w:tc>
        <w:tc>
          <w:tcPr>
            <w:tcW w:w="2574" w:type="dxa"/>
            <w:vAlign w:val="center"/>
          </w:tcPr>
          <w:p w14:paraId="539BD2F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50AC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28" w:type="dxa"/>
            <w:vAlign w:val="center"/>
          </w:tcPr>
          <w:p w14:paraId="490305D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236" w:type="dxa"/>
            <w:vAlign w:val="center"/>
          </w:tcPr>
          <w:p w14:paraId="3978FAF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电子枪直流低压电源</w:t>
            </w:r>
          </w:p>
        </w:tc>
        <w:tc>
          <w:tcPr>
            <w:tcW w:w="2574" w:type="dxa"/>
            <w:vAlign w:val="center"/>
          </w:tcPr>
          <w:p w14:paraId="214CC6E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4E66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6783D93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236" w:type="dxa"/>
            <w:vAlign w:val="center"/>
          </w:tcPr>
          <w:p w14:paraId="5155D1B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电路板TIMER</w:t>
            </w:r>
          </w:p>
        </w:tc>
        <w:tc>
          <w:tcPr>
            <w:tcW w:w="2574" w:type="dxa"/>
            <w:vAlign w:val="center"/>
          </w:tcPr>
          <w:p w14:paraId="0179571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2ACA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02C59C80">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236" w:type="dxa"/>
            <w:vAlign w:val="center"/>
          </w:tcPr>
          <w:p w14:paraId="015A4B8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多</w:t>
            </w:r>
            <w:r>
              <w:rPr>
                <w:rFonts w:hint="eastAsia" w:ascii="仿宋" w:hAnsi="仿宋" w:eastAsia="仿宋" w:cs="仿宋"/>
                <w:kern w:val="2"/>
                <w:sz w:val="32"/>
                <w:szCs w:val="32"/>
                <w:lang w:val="en-US" w:eastAsia="zh-CN" w:bidi="ar-SA"/>
              </w:rPr>
              <w:t>叶</w:t>
            </w:r>
            <w:r>
              <w:rPr>
                <w:rFonts w:hint="eastAsia" w:ascii="仿宋" w:hAnsi="仿宋" w:eastAsia="仿宋" w:cs="仿宋"/>
                <w:sz w:val="32"/>
                <w:szCs w:val="32"/>
                <w:vertAlign w:val="baseline"/>
                <w:lang w:val="en-US" w:eastAsia="zh-CN"/>
              </w:rPr>
              <w:t>光栅大马达</w:t>
            </w:r>
          </w:p>
        </w:tc>
        <w:tc>
          <w:tcPr>
            <w:tcW w:w="2574" w:type="dxa"/>
            <w:vAlign w:val="center"/>
          </w:tcPr>
          <w:p w14:paraId="1F39D3D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r>
      <w:tr w14:paraId="715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5A39C3B6">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236" w:type="dxa"/>
            <w:vAlign w:val="center"/>
          </w:tcPr>
          <w:p w14:paraId="2F433750">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多</w:t>
            </w:r>
            <w:r>
              <w:rPr>
                <w:rFonts w:hint="eastAsia" w:ascii="仿宋" w:hAnsi="仿宋" w:eastAsia="仿宋" w:cs="仿宋"/>
                <w:kern w:val="2"/>
                <w:sz w:val="32"/>
                <w:szCs w:val="32"/>
                <w:lang w:val="en-US" w:eastAsia="zh-CN" w:bidi="ar-SA"/>
              </w:rPr>
              <w:t>叶</w:t>
            </w:r>
            <w:r>
              <w:rPr>
                <w:rFonts w:hint="eastAsia" w:ascii="仿宋" w:hAnsi="仿宋" w:eastAsia="仿宋" w:cs="仿宋"/>
                <w:sz w:val="32"/>
                <w:szCs w:val="32"/>
                <w:vertAlign w:val="baseline"/>
                <w:lang w:val="en-US" w:eastAsia="zh-CN"/>
              </w:rPr>
              <w:t>光栅直流电源</w:t>
            </w:r>
          </w:p>
        </w:tc>
        <w:tc>
          <w:tcPr>
            <w:tcW w:w="2574" w:type="dxa"/>
            <w:vAlign w:val="center"/>
          </w:tcPr>
          <w:p w14:paraId="4466E15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7331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43094BD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5236" w:type="dxa"/>
            <w:vAlign w:val="center"/>
          </w:tcPr>
          <w:p w14:paraId="4AD78BB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扁平轴承</w:t>
            </w:r>
          </w:p>
        </w:tc>
        <w:tc>
          <w:tcPr>
            <w:tcW w:w="2574" w:type="dxa"/>
            <w:vAlign w:val="center"/>
          </w:tcPr>
          <w:p w14:paraId="4E9ECB3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r>
      <w:tr w14:paraId="1361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28" w:type="dxa"/>
            <w:vAlign w:val="center"/>
          </w:tcPr>
          <w:p w14:paraId="406940E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w:t>
            </w:r>
          </w:p>
        </w:tc>
        <w:tc>
          <w:tcPr>
            <w:tcW w:w="5236" w:type="dxa"/>
            <w:vAlign w:val="center"/>
          </w:tcPr>
          <w:p w14:paraId="06B459F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电子枪直流低压电源</w:t>
            </w:r>
          </w:p>
        </w:tc>
        <w:tc>
          <w:tcPr>
            <w:tcW w:w="2574" w:type="dxa"/>
            <w:vAlign w:val="center"/>
          </w:tcPr>
          <w:p w14:paraId="746053AD">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64DA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133B1E6D">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w:t>
            </w:r>
          </w:p>
        </w:tc>
        <w:tc>
          <w:tcPr>
            <w:tcW w:w="5236" w:type="dxa"/>
            <w:vAlign w:val="center"/>
          </w:tcPr>
          <w:p w14:paraId="493F9906">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电子枪控制板</w:t>
            </w:r>
          </w:p>
        </w:tc>
        <w:tc>
          <w:tcPr>
            <w:tcW w:w="2574" w:type="dxa"/>
            <w:vAlign w:val="center"/>
          </w:tcPr>
          <w:p w14:paraId="2288A08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4154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62B87EB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w:t>
            </w:r>
          </w:p>
        </w:tc>
        <w:tc>
          <w:tcPr>
            <w:tcW w:w="5236" w:type="dxa"/>
            <w:vAlign w:val="center"/>
          </w:tcPr>
          <w:p w14:paraId="7E99498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镜子</w:t>
            </w:r>
          </w:p>
        </w:tc>
        <w:tc>
          <w:tcPr>
            <w:tcW w:w="2574" w:type="dxa"/>
            <w:vAlign w:val="center"/>
          </w:tcPr>
          <w:p w14:paraId="104F2B5C">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775B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54A41950">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w:t>
            </w:r>
          </w:p>
        </w:tc>
        <w:tc>
          <w:tcPr>
            <w:tcW w:w="5236" w:type="dxa"/>
            <w:vAlign w:val="center"/>
          </w:tcPr>
          <w:p w14:paraId="0D96180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灯丝电源板</w:t>
            </w:r>
          </w:p>
        </w:tc>
        <w:tc>
          <w:tcPr>
            <w:tcW w:w="2574" w:type="dxa"/>
            <w:vAlign w:val="center"/>
          </w:tcPr>
          <w:p w14:paraId="29D8307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5B24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0AC78F1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w:t>
            </w:r>
          </w:p>
        </w:tc>
        <w:tc>
          <w:tcPr>
            <w:tcW w:w="5236" w:type="dxa"/>
            <w:vAlign w:val="center"/>
          </w:tcPr>
          <w:p w14:paraId="07D3660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栅极控制板</w:t>
            </w:r>
          </w:p>
        </w:tc>
        <w:tc>
          <w:tcPr>
            <w:tcW w:w="2574" w:type="dxa"/>
            <w:vAlign w:val="center"/>
          </w:tcPr>
          <w:p w14:paraId="48CB575C">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5B39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0ACEEAB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c>
          <w:tcPr>
            <w:tcW w:w="5236" w:type="dxa"/>
            <w:vAlign w:val="center"/>
          </w:tcPr>
          <w:p w14:paraId="67DF579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电子枪高压背板</w:t>
            </w:r>
          </w:p>
        </w:tc>
        <w:tc>
          <w:tcPr>
            <w:tcW w:w="2574" w:type="dxa"/>
            <w:vAlign w:val="center"/>
          </w:tcPr>
          <w:p w14:paraId="2C480DD3">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32D2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64BE6B3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21</w:t>
            </w:r>
          </w:p>
        </w:tc>
        <w:tc>
          <w:tcPr>
            <w:tcW w:w="5236" w:type="dxa"/>
            <w:vAlign w:val="center"/>
          </w:tcPr>
          <w:p w14:paraId="6039CAD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电子枪低压背板</w:t>
            </w:r>
          </w:p>
        </w:tc>
        <w:tc>
          <w:tcPr>
            <w:tcW w:w="2574" w:type="dxa"/>
            <w:vAlign w:val="center"/>
          </w:tcPr>
          <w:p w14:paraId="01E264F0">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5549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7F026C8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w:t>
            </w:r>
          </w:p>
        </w:tc>
        <w:tc>
          <w:tcPr>
            <w:tcW w:w="5236" w:type="dxa"/>
            <w:vAlign w:val="center"/>
          </w:tcPr>
          <w:p w14:paraId="02B3468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风扇</w:t>
            </w:r>
          </w:p>
        </w:tc>
        <w:tc>
          <w:tcPr>
            <w:tcW w:w="2574" w:type="dxa"/>
            <w:vAlign w:val="center"/>
          </w:tcPr>
          <w:p w14:paraId="5B04BAB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17C0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4F6FAC6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w:t>
            </w:r>
          </w:p>
        </w:tc>
        <w:tc>
          <w:tcPr>
            <w:tcW w:w="5236" w:type="dxa"/>
            <w:vAlign w:val="center"/>
          </w:tcPr>
          <w:p w14:paraId="29DBD53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碳刷</w:t>
            </w:r>
          </w:p>
        </w:tc>
        <w:tc>
          <w:tcPr>
            <w:tcW w:w="2574" w:type="dxa"/>
            <w:vAlign w:val="center"/>
          </w:tcPr>
          <w:p w14:paraId="356F0E80">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6312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28" w:type="dxa"/>
            <w:vAlign w:val="center"/>
          </w:tcPr>
          <w:p w14:paraId="3757A66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w:t>
            </w:r>
          </w:p>
        </w:tc>
        <w:tc>
          <w:tcPr>
            <w:tcW w:w="5236" w:type="dxa"/>
            <w:vAlign w:val="center"/>
          </w:tcPr>
          <w:p w14:paraId="12CB9FA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多</w:t>
            </w:r>
            <w:r>
              <w:rPr>
                <w:rFonts w:hint="eastAsia" w:ascii="仿宋" w:hAnsi="仿宋" w:eastAsia="仿宋" w:cs="仿宋"/>
                <w:kern w:val="2"/>
                <w:sz w:val="32"/>
                <w:szCs w:val="32"/>
                <w:lang w:val="en-US" w:eastAsia="zh-CN" w:bidi="ar-SA"/>
              </w:rPr>
              <w:t>叶</w:t>
            </w:r>
            <w:r>
              <w:rPr>
                <w:rFonts w:hint="eastAsia" w:ascii="仿宋" w:hAnsi="仿宋" w:eastAsia="仿宋" w:cs="仿宋"/>
                <w:sz w:val="32"/>
                <w:szCs w:val="32"/>
                <w:vertAlign w:val="baseline"/>
                <w:lang w:val="en-US" w:eastAsia="zh-CN"/>
              </w:rPr>
              <w:t>光栅马达驱动板</w:t>
            </w:r>
          </w:p>
        </w:tc>
        <w:tc>
          <w:tcPr>
            <w:tcW w:w="2574" w:type="dxa"/>
            <w:vAlign w:val="center"/>
          </w:tcPr>
          <w:p w14:paraId="2F52C72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135B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3638238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w:t>
            </w:r>
          </w:p>
        </w:tc>
        <w:tc>
          <w:tcPr>
            <w:tcW w:w="5236" w:type="dxa"/>
            <w:vAlign w:val="center"/>
          </w:tcPr>
          <w:p w14:paraId="6E3549F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专用键盘钥匙</w:t>
            </w:r>
          </w:p>
        </w:tc>
        <w:tc>
          <w:tcPr>
            <w:tcW w:w="2574" w:type="dxa"/>
            <w:vAlign w:val="center"/>
          </w:tcPr>
          <w:p w14:paraId="109F3FE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4A94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7BC4221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26</w:t>
            </w:r>
          </w:p>
        </w:tc>
        <w:tc>
          <w:tcPr>
            <w:tcW w:w="5236" w:type="dxa"/>
            <w:vAlign w:val="center"/>
          </w:tcPr>
          <w:p w14:paraId="3341C7DD">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多</w:t>
            </w:r>
            <w:r>
              <w:rPr>
                <w:rFonts w:hint="eastAsia" w:ascii="仿宋" w:hAnsi="仿宋" w:eastAsia="仿宋" w:cs="仿宋"/>
                <w:kern w:val="2"/>
                <w:sz w:val="32"/>
                <w:szCs w:val="32"/>
                <w:lang w:val="en-US" w:eastAsia="zh-CN" w:bidi="ar-SA"/>
              </w:rPr>
              <w:t>叶</w:t>
            </w:r>
            <w:r>
              <w:rPr>
                <w:rFonts w:hint="eastAsia" w:ascii="仿宋" w:hAnsi="仿宋" w:eastAsia="仿宋" w:cs="仿宋"/>
                <w:sz w:val="32"/>
                <w:szCs w:val="32"/>
                <w:vertAlign w:val="baseline"/>
                <w:lang w:val="en-US" w:eastAsia="zh-CN"/>
              </w:rPr>
              <w:t>光栅码头</w:t>
            </w:r>
          </w:p>
        </w:tc>
        <w:tc>
          <w:tcPr>
            <w:tcW w:w="2574" w:type="dxa"/>
            <w:vAlign w:val="center"/>
          </w:tcPr>
          <w:p w14:paraId="28837AF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5FA8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4BCB7C5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27</w:t>
            </w:r>
          </w:p>
        </w:tc>
        <w:tc>
          <w:tcPr>
            <w:tcW w:w="5236" w:type="dxa"/>
            <w:vAlign w:val="center"/>
          </w:tcPr>
          <w:p w14:paraId="3D9BE1B4">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读码器</w:t>
            </w:r>
          </w:p>
        </w:tc>
        <w:tc>
          <w:tcPr>
            <w:tcW w:w="2574" w:type="dxa"/>
            <w:vAlign w:val="center"/>
          </w:tcPr>
          <w:p w14:paraId="64265D1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36FC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1627FFB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28</w:t>
            </w:r>
          </w:p>
        </w:tc>
        <w:tc>
          <w:tcPr>
            <w:tcW w:w="5236" w:type="dxa"/>
            <w:vAlign w:val="center"/>
          </w:tcPr>
          <w:p w14:paraId="3334D0BC">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电缆W14A</w:t>
            </w:r>
          </w:p>
        </w:tc>
        <w:tc>
          <w:tcPr>
            <w:tcW w:w="2574" w:type="dxa"/>
            <w:vAlign w:val="center"/>
          </w:tcPr>
          <w:p w14:paraId="26C8A60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58EE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511278B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29</w:t>
            </w:r>
          </w:p>
        </w:tc>
        <w:tc>
          <w:tcPr>
            <w:tcW w:w="5236" w:type="dxa"/>
            <w:vAlign w:val="center"/>
          </w:tcPr>
          <w:p w14:paraId="299DD7D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PWM板</w:t>
            </w:r>
          </w:p>
        </w:tc>
        <w:tc>
          <w:tcPr>
            <w:tcW w:w="2574" w:type="dxa"/>
            <w:vAlign w:val="center"/>
          </w:tcPr>
          <w:p w14:paraId="4722562D">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7709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1EAB94B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c>
          <w:tcPr>
            <w:tcW w:w="5236" w:type="dxa"/>
            <w:vAlign w:val="center"/>
          </w:tcPr>
          <w:p w14:paraId="764958F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继电器</w:t>
            </w:r>
          </w:p>
        </w:tc>
        <w:tc>
          <w:tcPr>
            <w:tcW w:w="2574" w:type="dxa"/>
            <w:vAlign w:val="center"/>
          </w:tcPr>
          <w:p w14:paraId="043D9FB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r>
      <w:tr w14:paraId="6342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8" w:type="dxa"/>
            <w:vAlign w:val="center"/>
          </w:tcPr>
          <w:p w14:paraId="465F5FC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31</w:t>
            </w:r>
          </w:p>
        </w:tc>
        <w:tc>
          <w:tcPr>
            <w:tcW w:w="5236" w:type="dxa"/>
            <w:vAlign w:val="center"/>
          </w:tcPr>
          <w:p w14:paraId="6BD3292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DQ电子管</w:t>
            </w:r>
          </w:p>
        </w:tc>
        <w:tc>
          <w:tcPr>
            <w:tcW w:w="2574" w:type="dxa"/>
            <w:vAlign w:val="center"/>
          </w:tcPr>
          <w:p w14:paraId="1D784F8C">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r>
      <w:tr w14:paraId="2F43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8" w:type="dxa"/>
            <w:vAlign w:val="center"/>
          </w:tcPr>
          <w:p w14:paraId="5BB3E290">
            <w:pPr>
              <w:jc w:val="center"/>
              <w:rPr>
                <w:rFonts w:hint="eastAsia" w:ascii="仿宋" w:hAnsi="仿宋" w:eastAsia="仿宋" w:cs="仿宋"/>
                <w:sz w:val="32"/>
                <w:szCs w:val="32"/>
                <w:vertAlign w:val="baseline"/>
                <w:lang w:val="en-US" w:eastAsia="zh-CN"/>
              </w:rPr>
            </w:pPr>
          </w:p>
        </w:tc>
        <w:tc>
          <w:tcPr>
            <w:tcW w:w="5236" w:type="dxa"/>
            <w:vAlign w:val="center"/>
          </w:tcPr>
          <w:p w14:paraId="2C6B75CA">
            <w:pPr>
              <w:jc w:val="center"/>
              <w:rPr>
                <w:rFonts w:hint="eastAsia" w:ascii="仿宋" w:hAnsi="仿宋" w:eastAsia="仿宋" w:cs="仿宋"/>
                <w:sz w:val="32"/>
                <w:szCs w:val="32"/>
                <w:vertAlign w:val="baseline"/>
                <w:lang w:val="en-US" w:eastAsia="zh-CN"/>
              </w:rPr>
            </w:pPr>
          </w:p>
        </w:tc>
        <w:tc>
          <w:tcPr>
            <w:tcW w:w="2574" w:type="dxa"/>
            <w:vAlign w:val="center"/>
          </w:tcPr>
          <w:p w14:paraId="01F6A500">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78</w:t>
            </w:r>
          </w:p>
        </w:tc>
      </w:tr>
    </w:tbl>
    <w:p w14:paraId="139F7726">
      <w:pPr>
        <w:pageBreakBefore w:val="0"/>
        <w:widowControl w:val="0"/>
        <w:kinsoku/>
        <w:wordWrap/>
        <w:overflowPunct/>
        <w:topLinePunct w:val="0"/>
        <w:autoSpaceDE/>
        <w:autoSpaceDN/>
        <w:bidi w:val="0"/>
        <w:adjustRightInd/>
        <w:snapToGrid/>
        <w:spacing w:line="300" w:lineRule="auto"/>
        <w:ind w:left="0" w:firstLine="480" w:firstLineChars="200"/>
        <w:textAlignment w:val="auto"/>
        <w:rPr>
          <w:rFonts w:hint="default" w:ascii="Times New Roman" w:hAnsi="Times New Roman" w:eastAsia="仿宋_GB2312" w:cs="Times New Roman"/>
          <w:sz w:val="24"/>
          <w:szCs w:val="24"/>
          <w:lang w:val="en-US" w:eastAsia="zh-CN"/>
        </w:rPr>
      </w:pPr>
    </w:p>
    <w:p w14:paraId="3DC77D7E">
      <w:pPr>
        <w:pageBreakBefore w:val="0"/>
        <w:widowControl w:val="0"/>
        <w:kinsoku/>
        <w:wordWrap/>
        <w:overflowPunct/>
        <w:topLinePunct w:val="0"/>
        <w:autoSpaceDE/>
        <w:autoSpaceDN/>
        <w:bidi w:val="0"/>
        <w:adjustRightInd/>
        <w:snapToGrid/>
        <w:spacing w:line="300" w:lineRule="auto"/>
        <w:ind w:left="0" w:firstLine="480" w:firstLineChars="200"/>
        <w:textAlignment w:val="auto"/>
        <w:rPr>
          <w:rFonts w:hint="default" w:ascii="Times New Roman" w:hAnsi="Times New Roman" w:eastAsia="仿宋_GB2312" w:cs="Times New Roman"/>
          <w:sz w:val="24"/>
          <w:szCs w:val="24"/>
          <w:lang w:val="en-US" w:eastAsia="zh-CN"/>
        </w:rPr>
      </w:pPr>
    </w:p>
    <w:p w14:paraId="018C2FA1">
      <w:pPr>
        <w:pageBreakBefore w:val="0"/>
        <w:widowControl w:val="0"/>
        <w:kinsoku/>
        <w:wordWrap/>
        <w:overflowPunct/>
        <w:topLinePunct w:val="0"/>
        <w:autoSpaceDE/>
        <w:autoSpaceDN/>
        <w:bidi w:val="0"/>
        <w:adjustRightInd/>
        <w:snapToGrid/>
        <w:spacing w:line="300" w:lineRule="auto"/>
        <w:ind w:left="0" w:firstLine="480" w:firstLineChars="200"/>
        <w:textAlignment w:val="auto"/>
        <w:rPr>
          <w:rFonts w:hint="default" w:ascii="Times New Roman" w:hAnsi="Times New Roman" w:eastAsia="仿宋_GB2312" w:cs="Times New Roman"/>
          <w:sz w:val="24"/>
          <w:szCs w:val="24"/>
          <w:lang w:val="en-US" w:eastAsia="zh-CN"/>
        </w:rPr>
      </w:pPr>
    </w:p>
    <w:p w14:paraId="3F922E6D">
      <w:pPr>
        <w:pStyle w:val="14"/>
        <w:rPr>
          <w:rFonts w:hint="eastAsia" w:ascii="仿宋" w:hAnsi="仿宋" w:eastAsia="仿宋" w:cs="仿宋"/>
          <w:b/>
          <w:bCs w:val="0"/>
          <w:snapToGrid w:val="0"/>
          <w:color w:val="auto"/>
          <w:kern w:val="2"/>
          <w:sz w:val="32"/>
          <w:szCs w:val="32"/>
          <w:highlight w:val="none"/>
          <w:lang w:val="en-US" w:eastAsia="zh-CN" w:bidi="ar-SA"/>
        </w:rPr>
      </w:pPr>
    </w:p>
    <w:p w14:paraId="4A46919E">
      <w:pPr>
        <w:pStyle w:val="14"/>
        <w:rPr>
          <w:rFonts w:hint="eastAsia" w:ascii="仿宋" w:hAnsi="仿宋" w:eastAsia="仿宋" w:cs="仿宋"/>
          <w:b/>
          <w:bCs w:val="0"/>
          <w:snapToGrid w:val="0"/>
          <w:color w:val="auto"/>
          <w:kern w:val="2"/>
          <w:sz w:val="32"/>
          <w:szCs w:val="32"/>
          <w:highlight w:val="none"/>
          <w:lang w:val="en-US" w:eastAsia="zh-CN" w:bidi="ar-SA"/>
        </w:rPr>
      </w:pPr>
    </w:p>
    <w:p w14:paraId="37EB436A">
      <w:pPr>
        <w:pStyle w:val="14"/>
        <w:rPr>
          <w:rFonts w:hint="eastAsia" w:ascii="仿宋" w:hAnsi="仿宋" w:eastAsia="仿宋" w:cs="仿宋"/>
          <w:b/>
          <w:bCs w:val="0"/>
          <w:snapToGrid w:val="0"/>
          <w:color w:val="auto"/>
          <w:kern w:val="2"/>
          <w:sz w:val="32"/>
          <w:szCs w:val="32"/>
          <w:highlight w:val="none"/>
          <w:lang w:val="en-US" w:eastAsia="zh-CN" w:bidi="ar-SA"/>
        </w:rPr>
      </w:pPr>
    </w:p>
    <w:p w14:paraId="3CBBFBEA">
      <w:pPr>
        <w:pStyle w:val="14"/>
        <w:rPr>
          <w:rFonts w:hint="eastAsia" w:ascii="仿宋" w:hAnsi="仿宋" w:eastAsia="仿宋" w:cs="仿宋"/>
          <w:b/>
          <w:bCs w:val="0"/>
          <w:snapToGrid w:val="0"/>
          <w:color w:val="auto"/>
          <w:kern w:val="2"/>
          <w:sz w:val="32"/>
          <w:szCs w:val="32"/>
          <w:highlight w:val="none"/>
          <w:lang w:val="en-US" w:eastAsia="zh-CN" w:bidi="ar-SA"/>
        </w:rPr>
      </w:pPr>
    </w:p>
    <w:p w14:paraId="59AD8F08">
      <w:pPr>
        <w:pStyle w:val="14"/>
        <w:rPr>
          <w:rFonts w:hint="eastAsia" w:ascii="仿宋" w:hAnsi="仿宋" w:eastAsia="仿宋" w:cs="仿宋"/>
          <w:b/>
          <w:bCs w:val="0"/>
          <w:snapToGrid w:val="0"/>
          <w:color w:val="auto"/>
          <w:kern w:val="2"/>
          <w:sz w:val="32"/>
          <w:szCs w:val="32"/>
          <w:highlight w:val="none"/>
          <w:lang w:val="en-US" w:eastAsia="zh-CN" w:bidi="ar-SA"/>
        </w:rPr>
      </w:pPr>
    </w:p>
    <w:p w14:paraId="735EC4CA">
      <w:pPr>
        <w:pStyle w:val="14"/>
        <w:rPr>
          <w:rFonts w:hint="eastAsia" w:ascii="仿宋" w:hAnsi="仿宋" w:eastAsia="仿宋" w:cs="仿宋"/>
          <w:b/>
          <w:bCs w:val="0"/>
          <w:snapToGrid w:val="0"/>
          <w:color w:val="auto"/>
          <w:kern w:val="2"/>
          <w:sz w:val="32"/>
          <w:szCs w:val="32"/>
          <w:highlight w:val="none"/>
          <w:lang w:val="en-US" w:eastAsia="zh-CN" w:bidi="ar-SA"/>
        </w:rPr>
      </w:pPr>
    </w:p>
    <w:p w14:paraId="760460EC">
      <w:pPr>
        <w:pStyle w:val="14"/>
        <w:rPr>
          <w:rFonts w:hint="eastAsia" w:ascii="仿宋" w:hAnsi="仿宋" w:eastAsia="仿宋" w:cs="仿宋"/>
          <w:b/>
          <w:bCs w:val="0"/>
          <w:snapToGrid w:val="0"/>
          <w:color w:val="auto"/>
          <w:kern w:val="2"/>
          <w:sz w:val="32"/>
          <w:szCs w:val="32"/>
          <w:highlight w:val="none"/>
          <w:lang w:val="en-US" w:eastAsia="zh-CN" w:bidi="ar-SA"/>
        </w:rPr>
      </w:pPr>
    </w:p>
    <w:p w14:paraId="5B1CD13C">
      <w:pPr>
        <w:pStyle w:val="14"/>
        <w:rPr>
          <w:rFonts w:hint="eastAsia" w:ascii="仿宋" w:hAnsi="仿宋" w:eastAsia="仿宋" w:cs="仿宋"/>
          <w:b/>
          <w:bCs w:val="0"/>
          <w:snapToGrid w:val="0"/>
          <w:color w:val="auto"/>
          <w:kern w:val="2"/>
          <w:sz w:val="32"/>
          <w:szCs w:val="32"/>
          <w:highlight w:val="none"/>
          <w:lang w:val="en-US" w:eastAsia="zh-CN" w:bidi="ar-SA"/>
        </w:rPr>
      </w:pPr>
    </w:p>
    <w:p w14:paraId="1C624227">
      <w:pPr>
        <w:rPr>
          <w:rFonts w:hint="eastAsia" w:ascii="仿宋" w:hAnsi="仿宋" w:eastAsia="仿宋" w:cs="仿宋"/>
          <w:b/>
          <w:bCs w:val="0"/>
          <w:snapToGrid w:val="0"/>
          <w:color w:val="auto"/>
          <w:kern w:val="2"/>
          <w:sz w:val="32"/>
          <w:szCs w:val="32"/>
          <w:highlight w:val="none"/>
          <w:lang w:val="en-US" w:eastAsia="zh-CN" w:bidi="ar-SA"/>
        </w:rPr>
      </w:pPr>
    </w:p>
    <w:p w14:paraId="7CF7001A">
      <w:pPr>
        <w:pStyle w:val="2"/>
        <w:rPr>
          <w:rFonts w:hint="eastAsia" w:ascii="仿宋" w:hAnsi="仿宋" w:eastAsia="仿宋" w:cs="仿宋"/>
          <w:b/>
          <w:bCs w:val="0"/>
          <w:snapToGrid w:val="0"/>
          <w:color w:val="auto"/>
          <w:kern w:val="2"/>
          <w:sz w:val="32"/>
          <w:szCs w:val="32"/>
          <w:highlight w:val="none"/>
          <w:lang w:val="en-US" w:eastAsia="zh-CN" w:bidi="ar-SA"/>
        </w:rPr>
      </w:pPr>
    </w:p>
    <w:p w14:paraId="393EA75A">
      <w:pPr>
        <w:pStyle w:val="2"/>
        <w:rPr>
          <w:rFonts w:hint="eastAsia" w:ascii="仿宋" w:hAnsi="仿宋" w:eastAsia="仿宋" w:cs="仿宋"/>
          <w:b/>
          <w:bCs w:val="0"/>
          <w:snapToGrid w:val="0"/>
          <w:color w:val="auto"/>
          <w:kern w:val="2"/>
          <w:sz w:val="32"/>
          <w:szCs w:val="32"/>
          <w:highlight w:val="none"/>
          <w:lang w:val="en-US" w:eastAsia="zh-CN" w:bidi="ar-SA"/>
        </w:rPr>
      </w:pPr>
    </w:p>
    <w:p w14:paraId="278868CC">
      <w:pPr>
        <w:pStyle w:val="14"/>
        <w:rPr>
          <w:rFonts w:hint="eastAsia" w:ascii="仿宋" w:hAnsi="仿宋" w:eastAsia="仿宋" w:cs="仿宋"/>
          <w:b/>
          <w:bCs w:val="0"/>
          <w:snapToGrid w:val="0"/>
          <w:color w:val="auto"/>
          <w:kern w:val="2"/>
          <w:sz w:val="32"/>
          <w:szCs w:val="32"/>
          <w:highlight w:val="none"/>
          <w:lang w:val="en-US" w:eastAsia="zh-CN" w:bidi="ar-SA"/>
        </w:rPr>
      </w:pPr>
    </w:p>
    <w:p w14:paraId="07366A5D">
      <w:pPr>
        <w:pStyle w:val="4"/>
        <w:pageBreakBefore w:val="0"/>
        <w:bidi w:val="0"/>
        <w:spacing w:line="360" w:lineRule="auto"/>
        <w:jc w:val="center"/>
        <w:rPr>
          <w:rFonts w:hint="eastAsia" w:ascii="方正小标宋_GBK" w:hAnsi="方正小标宋_GBK" w:eastAsia="方正小标宋_GBK" w:cs="方正小标宋_GBK"/>
          <w:b w:val="0"/>
          <w:bCs w:val="0"/>
          <w:kern w:val="2"/>
          <w:sz w:val="32"/>
          <w:szCs w:val="32"/>
          <w:lang w:val="en-US" w:eastAsia="zh-CN" w:bidi="ar-SA"/>
        </w:rPr>
      </w:pPr>
      <w:r>
        <w:rPr>
          <w:rFonts w:hint="eastAsia" w:ascii="方正小标宋_GBK" w:hAnsi="方正小标宋_GBK" w:eastAsia="方正小标宋_GBK" w:cs="方正小标宋_GBK"/>
          <w:b w:val="0"/>
          <w:bCs w:val="0"/>
          <w:kern w:val="2"/>
          <w:sz w:val="32"/>
          <w:szCs w:val="32"/>
          <w:lang w:val="en-US" w:eastAsia="zh-CN" w:bidi="ar-SA"/>
        </w:rPr>
        <w:t>第六章   投标文件部分格式</w:t>
      </w:r>
      <w:bookmarkEnd w:id="294"/>
    </w:p>
    <w:p w14:paraId="42051B5C">
      <w:pPr>
        <w:pageBreakBefore w:val="0"/>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 xml:space="preserve">    </w:t>
      </w:r>
      <w:bookmarkStart w:id="298" w:name="_Toc4221_WPSOffice_Level1"/>
      <w:bookmarkStart w:id="299" w:name="_Toc8812_WPSOffice_Level1"/>
      <w:r>
        <w:rPr>
          <w:rFonts w:hint="eastAsia" w:ascii="仿宋" w:hAnsi="仿宋" w:eastAsia="仿宋" w:cs="仿宋"/>
          <w:color w:val="auto"/>
          <w:sz w:val="32"/>
          <w:szCs w:val="32"/>
          <w:highlight w:val="none"/>
        </w:rPr>
        <w:t>正本/副本</w:t>
      </w:r>
      <w:bookmarkEnd w:id="298"/>
      <w:bookmarkEnd w:id="299"/>
    </w:p>
    <w:p w14:paraId="37D69315">
      <w:pPr>
        <w:pStyle w:val="23"/>
        <w:pageBreakBefore w:val="0"/>
        <w:bidi w:val="0"/>
        <w:spacing w:line="360" w:lineRule="auto"/>
        <w:rPr>
          <w:rFonts w:hint="eastAsia" w:ascii="仿宋" w:hAnsi="仿宋" w:eastAsia="仿宋" w:cs="仿宋"/>
          <w:color w:val="auto"/>
          <w:sz w:val="32"/>
          <w:szCs w:val="32"/>
          <w:highlight w:val="none"/>
        </w:rPr>
      </w:pPr>
    </w:p>
    <w:p w14:paraId="47893E43">
      <w:pPr>
        <w:pStyle w:val="23"/>
        <w:pageBreakBefore w:val="0"/>
        <w:bidi w:val="0"/>
        <w:spacing w:line="360" w:lineRule="auto"/>
        <w:rPr>
          <w:rFonts w:hint="eastAsia" w:ascii="仿宋" w:hAnsi="仿宋" w:eastAsia="仿宋" w:cs="仿宋"/>
          <w:color w:val="auto"/>
          <w:sz w:val="32"/>
          <w:szCs w:val="32"/>
          <w:highlight w:val="none"/>
        </w:rPr>
      </w:pPr>
    </w:p>
    <w:p w14:paraId="631795B3">
      <w:pPr>
        <w:pageBreakBefore w:val="0"/>
        <w:bidi w:val="0"/>
        <w:spacing w:line="360" w:lineRule="auto"/>
        <w:ind w:firstLine="1920" w:firstLineChars="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（项目名称）                </w:t>
      </w:r>
    </w:p>
    <w:p w14:paraId="67462D95">
      <w:pPr>
        <w:pageBreakBefore w:val="0"/>
        <w:bidi w:val="0"/>
        <w:spacing w:line="360" w:lineRule="auto"/>
        <w:rPr>
          <w:rFonts w:hint="eastAsia" w:ascii="仿宋" w:hAnsi="仿宋" w:eastAsia="仿宋" w:cs="仿宋"/>
          <w:color w:val="auto"/>
          <w:sz w:val="32"/>
          <w:szCs w:val="32"/>
          <w:highlight w:val="none"/>
        </w:rPr>
      </w:pPr>
    </w:p>
    <w:p w14:paraId="7BD39C70">
      <w:pPr>
        <w:pageBreakBefore w:val="0"/>
        <w:bidi w:val="0"/>
        <w:spacing w:line="360" w:lineRule="auto"/>
        <w:rPr>
          <w:rFonts w:hint="eastAsia" w:ascii="仿宋" w:hAnsi="仿宋" w:eastAsia="仿宋" w:cs="仿宋"/>
          <w:color w:val="auto"/>
          <w:sz w:val="32"/>
          <w:szCs w:val="32"/>
          <w:highlight w:val="none"/>
        </w:rPr>
      </w:pPr>
    </w:p>
    <w:p w14:paraId="79883076">
      <w:pPr>
        <w:pStyle w:val="23"/>
        <w:pageBreakBefore w:val="0"/>
        <w:bidi w:val="0"/>
        <w:spacing w:line="360" w:lineRule="auto"/>
        <w:rPr>
          <w:rFonts w:hint="eastAsia" w:ascii="仿宋" w:hAnsi="仿宋" w:eastAsia="仿宋" w:cs="仿宋"/>
          <w:color w:val="auto"/>
          <w:sz w:val="32"/>
          <w:szCs w:val="32"/>
          <w:highlight w:val="none"/>
        </w:rPr>
      </w:pPr>
    </w:p>
    <w:p w14:paraId="7CD17A0D">
      <w:pPr>
        <w:pageBreakBefore w:val="0"/>
        <w:bidi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投标文件</w:t>
      </w:r>
    </w:p>
    <w:p w14:paraId="0FB166CE">
      <w:pPr>
        <w:pStyle w:val="35"/>
        <w:pageBreakBefore w:val="0"/>
        <w:bidi w:val="0"/>
        <w:spacing w:line="360" w:lineRule="auto"/>
        <w:rPr>
          <w:rFonts w:hint="eastAsia" w:ascii="仿宋" w:hAnsi="仿宋" w:eastAsia="仿宋" w:cs="仿宋"/>
          <w:b/>
          <w:bCs/>
          <w:color w:val="auto"/>
          <w:sz w:val="32"/>
          <w:szCs w:val="32"/>
          <w:highlight w:val="none"/>
        </w:rPr>
      </w:pPr>
    </w:p>
    <w:p w14:paraId="2196AA62">
      <w:pPr>
        <w:pStyle w:val="35"/>
        <w:pageBreakBefore w:val="0"/>
        <w:bidi w:val="0"/>
        <w:spacing w:line="360" w:lineRule="auto"/>
        <w:rPr>
          <w:rFonts w:hint="eastAsia" w:ascii="仿宋" w:hAnsi="仿宋" w:eastAsia="仿宋" w:cs="仿宋"/>
          <w:b/>
          <w:bCs/>
          <w:color w:val="auto"/>
          <w:sz w:val="32"/>
          <w:szCs w:val="32"/>
          <w:highlight w:val="none"/>
        </w:rPr>
      </w:pPr>
    </w:p>
    <w:p w14:paraId="659A419A">
      <w:pPr>
        <w:pStyle w:val="35"/>
        <w:pageBreakBefore w:val="0"/>
        <w:bidi w:val="0"/>
        <w:spacing w:line="360" w:lineRule="auto"/>
        <w:rPr>
          <w:rFonts w:hint="eastAsia" w:ascii="仿宋" w:hAnsi="仿宋" w:eastAsia="仿宋" w:cs="仿宋"/>
          <w:b/>
          <w:bCs/>
          <w:color w:val="auto"/>
          <w:sz w:val="32"/>
          <w:szCs w:val="32"/>
          <w:highlight w:val="none"/>
        </w:rPr>
      </w:pPr>
    </w:p>
    <w:p w14:paraId="001C5185">
      <w:pPr>
        <w:pStyle w:val="35"/>
        <w:pageBreakBefore w:val="0"/>
        <w:bidi w:val="0"/>
        <w:spacing w:line="360" w:lineRule="auto"/>
        <w:rPr>
          <w:rFonts w:hint="eastAsia" w:ascii="仿宋" w:hAnsi="仿宋" w:eastAsia="仿宋" w:cs="仿宋"/>
          <w:b/>
          <w:bCs/>
          <w:color w:val="auto"/>
          <w:sz w:val="32"/>
          <w:szCs w:val="32"/>
          <w:highlight w:val="none"/>
        </w:rPr>
      </w:pPr>
    </w:p>
    <w:p w14:paraId="2E313E4D">
      <w:pPr>
        <w:pageBreakBefore w:val="0"/>
        <w:bidi w:val="0"/>
        <w:spacing w:line="360" w:lineRule="auto"/>
        <w:rPr>
          <w:rFonts w:hint="eastAsia" w:ascii="仿宋" w:hAnsi="仿宋" w:eastAsia="仿宋" w:cs="仿宋"/>
          <w:color w:val="auto"/>
          <w:kern w:val="0"/>
          <w:sz w:val="32"/>
          <w:szCs w:val="32"/>
          <w:highlight w:val="none"/>
        </w:rPr>
      </w:pPr>
    </w:p>
    <w:p w14:paraId="2F0B2A94">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投标单位名称（盖章）：</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7F4D7966">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法人或委托代理人（签</w:t>
      </w:r>
      <w:r>
        <w:rPr>
          <w:rFonts w:hint="eastAsia" w:ascii="仿宋" w:hAnsi="仿宋" w:eastAsia="仿宋" w:cs="仿宋"/>
          <w:color w:val="auto"/>
          <w:kern w:val="0"/>
          <w:sz w:val="32"/>
          <w:szCs w:val="32"/>
          <w:highlight w:val="none"/>
          <w:lang w:val="en-US" w:eastAsia="zh-CN"/>
        </w:rPr>
        <w:t>字或盖章</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68C2AB70">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单 位 地  址：</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5CFD6D19">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   系   人：</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5983378D">
      <w:pPr>
        <w:pageBreakBefore w:val="0"/>
        <w:bidi w:val="0"/>
        <w:spacing w:line="360" w:lineRule="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 系 电  话：</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  </w:t>
      </w:r>
    </w:p>
    <w:p w14:paraId="2F44D88C">
      <w:pPr>
        <w:pageBreakBefore w:val="0"/>
        <w:bidi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32"/>
          <w:szCs w:val="32"/>
          <w:highlight w:val="none"/>
        </w:rPr>
        <w:t>邮  政 编 码：</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24"/>
          <w:szCs w:val="24"/>
          <w:highlight w:val="none"/>
        </w:rPr>
        <w:t xml:space="preserve"> </w:t>
      </w:r>
    </w:p>
    <w:p w14:paraId="044F51B4">
      <w:pPr>
        <w:pageBreakBefore w:val="0"/>
        <w:bidi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年        月        日</w:t>
      </w:r>
    </w:p>
    <w:p w14:paraId="039E652C">
      <w:pPr>
        <w:pStyle w:val="63"/>
        <w:pageBreakBefore w:val="0"/>
        <w:bidi w:val="0"/>
        <w:spacing w:line="360" w:lineRule="auto"/>
        <w:ind w:firstLine="200" w:firstLineChars="83"/>
        <w:jc w:val="center"/>
        <w:rPr>
          <w:rFonts w:hint="eastAsia" w:ascii="仿宋" w:hAnsi="仿宋" w:eastAsia="仿宋" w:cs="仿宋"/>
          <w:b/>
          <w:color w:val="auto"/>
          <w:sz w:val="24"/>
          <w:szCs w:val="24"/>
          <w:highlight w:val="none"/>
        </w:rPr>
      </w:pPr>
    </w:p>
    <w:p w14:paraId="0089FA2B">
      <w:pPr>
        <w:pStyle w:val="63"/>
        <w:keepNext w:val="0"/>
        <w:keepLines w:val="0"/>
        <w:pageBreakBefore w:val="0"/>
        <w:widowControl w:val="0"/>
        <w:kinsoku/>
        <w:wordWrap/>
        <w:overflowPunct/>
        <w:topLinePunct w:val="0"/>
        <w:bidi w:val="0"/>
        <w:spacing w:line="360" w:lineRule="auto"/>
        <w:ind w:firstLine="267" w:firstLineChars="83"/>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投标文件目录</w:t>
      </w:r>
    </w:p>
    <w:p w14:paraId="420073AB">
      <w:pPr>
        <w:pStyle w:val="63"/>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（1）投标承诺书</w:t>
      </w:r>
    </w:p>
    <w:p w14:paraId="5C84BD95">
      <w:pPr>
        <w:pStyle w:val="63"/>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（2）报价一览表</w:t>
      </w:r>
    </w:p>
    <w:p w14:paraId="4ACF2095">
      <w:pPr>
        <w:pStyle w:val="63"/>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）法定代表人身份证明</w:t>
      </w:r>
    </w:p>
    <w:p w14:paraId="4CF9ED8C">
      <w:pPr>
        <w:pStyle w:val="63"/>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）法定代表人授权委托书</w:t>
      </w:r>
    </w:p>
    <w:p w14:paraId="284DC27E">
      <w:pPr>
        <w:pStyle w:val="63"/>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）投标保证金打款凭证或投标保函</w:t>
      </w:r>
    </w:p>
    <w:p w14:paraId="59D77B75">
      <w:pPr>
        <w:pStyle w:val="63"/>
        <w:keepNext w:val="0"/>
        <w:keepLines w:val="0"/>
        <w:pageBreakBefore w:val="0"/>
        <w:widowControl w:val="0"/>
        <w:kinsoku/>
        <w:wordWrap/>
        <w:overflowPunct/>
        <w:topLinePunct w:val="0"/>
        <w:bidi w:val="0"/>
        <w:spacing w:line="360" w:lineRule="auto"/>
        <w:ind w:firstLine="630" w:firstLineChars="197"/>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）技术条件响应/偏离表</w:t>
      </w:r>
    </w:p>
    <w:p w14:paraId="1E9B3887">
      <w:pPr>
        <w:pStyle w:val="23"/>
        <w:keepNext w:val="0"/>
        <w:keepLines w:val="0"/>
        <w:pageBreakBefore w:val="0"/>
        <w:widowControl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（7）商务条件响应/偏离表</w:t>
      </w:r>
    </w:p>
    <w:p w14:paraId="5748C263">
      <w:pPr>
        <w:pStyle w:val="63"/>
        <w:keepNext w:val="0"/>
        <w:keepLines w:val="0"/>
        <w:pageBreakBefore w:val="0"/>
        <w:widowControl w:val="0"/>
        <w:kinsoku/>
        <w:wordWrap/>
        <w:overflowPunct/>
        <w:topLinePunct w:val="0"/>
        <w:bidi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highlight w:val="none"/>
          <w:lang w:val="en-US" w:eastAsia="zh-CN" w:bidi="ar-SA"/>
        </w:rPr>
        <w:t>）相应的资格证明文件以及商务因素、技术因素、服务因素所需证明资料（包括不限于企业简介、企业相关证件等）（格式自拟）</w:t>
      </w:r>
    </w:p>
    <w:p w14:paraId="78DA8B6A">
      <w:pPr>
        <w:pStyle w:val="63"/>
        <w:keepNext w:val="0"/>
        <w:keepLines w:val="0"/>
        <w:pageBreakBefore w:val="0"/>
        <w:widowControl w:val="0"/>
        <w:kinsoku/>
        <w:wordWrap/>
        <w:overflowPunct/>
        <w:topLinePunct w:val="0"/>
        <w:bidi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hAnsi="仿宋_GB2312" w:cs="仿宋_GB2312"/>
          <w:color w:val="auto"/>
          <w:kern w:val="2"/>
          <w:sz w:val="32"/>
          <w:szCs w:val="32"/>
          <w:highlight w:val="none"/>
          <w:lang w:val="en-US" w:eastAsia="zh-CN" w:bidi="ar-SA"/>
        </w:rPr>
        <w:t>9</w:t>
      </w:r>
      <w:r>
        <w:rPr>
          <w:rFonts w:hint="eastAsia" w:ascii="仿宋_GB2312" w:hAnsi="仿宋_GB2312" w:eastAsia="仿宋_GB2312" w:cs="仿宋_GB2312"/>
          <w:color w:val="auto"/>
          <w:kern w:val="2"/>
          <w:sz w:val="32"/>
          <w:szCs w:val="32"/>
          <w:highlight w:val="none"/>
          <w:lang w:val="en-US" w:eastAsia="zh-CN" w:bidi="ar-SA"/>
        </w:rPr>
        <w:t>）投标人近三年（202</w:t>
      </w: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年</w:t>
      </w:r>
      <w:r>
        <w:rPr>
          <w:rFonts w:hint="eastAsia" w:hAnsi="仿宋_GB2312" w:cs="仿宋_GB2312"/>
          <w:color w:val="auto"/>
          <w:kern w:val="2"/>
          <w:sz w:val="32"/>
          <w:szCs w:val="32"/>
          <w:highlight w:val="none"/>
          <w:lang w:val="en-US" w:eastAsia="zh-CN" w:bidi="ar-SA"/>
        </w:rPr>
        <w:t>04</w:t>
      </w:r>
      <w:r>
        <w:rPr>
          <w:rFonts w:hint="eastAsia" w:ascii="仿宋_GB2312" w:hAnsi="仿宋_GB2312" w:eastAsia="仿宋_GB2312" w:cs="仿宋_GB2312"/>
          <w:color w:val="auto"/>
          <w:kern w:val="2"/>
          <w:sz w:val="32"/>
          <w:szCs w:val="32"/>
          <w:highlight w:val="none"/>
          <w:lang w:val="en-US" w:eastAsia="zh-CN" w:bidi="ar-SA"/>
        </w:rPr>
        <w:t>月01日至今）类似项目业绩（附类似项目业绩中标通知书</w:t>
      </w:r>
      <w:r>
        <w:rPr>
          <w:rFonts w:hint="eastAsia" w:hAnsi="仿宋_GB2312" w:cs="仿宋_GB2312"/>
          <w:color w:val="auto"/>
          <w:kern w:val="2"/>
          <w:sz w:val="32"/>
          <w:szCs w:val="32"/>
          <w:highlight w:val="none"/>
          <w:lang w:val="en-US" w:eastAsia="zh-CN" w:bidi="ar-SA"/>
        </w:rPr>
        <w:t>或</w:t>
      </w:r>
      <w:r>
        <w:rPr>
          <w:rFonts w:hint="eastAsia" w:ascii="仿宋_GB2312" w:hAnsi="仿宋_GB2312" w:eastAsia="仿宋_GB2312" w:cs="仿宋_GB2312"/>
          <w:color w:val="auto"/>
          <w:kern w:val="2"/>
          <w:sz w:val="32"/>
          <w:szCs w:val="32"/>
          <w:highlight w:val="none"/>
          <w:lang w:val="en-US" w:eastAsia="zh-CN" w:bidi="ar-SA"/>
        </w:rPr>
        <w:t>合同）</w:t>
      </w:r>
    </w:p>
    <w:p w14:paraId="17121C90">
      <w:pPr>
        <w:pStyle w:val="63"/>
        <w:keepNext w:val="0"/>
        <w:keepLines w:val="0"/>
        <w:pageBreakBefore w:val="0"/>
        <w:widowControl w:val="0"/>
        <w:kinsoku/>
        <w:wordWrap/>
        <w:overflowPunct/>
        <w:topLinePunct w:val="0"/>
        <w:bidi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（10）技术部分包括但不限于以下内容：维保服务方案、备品质量情况、应急处理预案等内容（格式自拟）</w:t>
      </w:r>
    </w:p>
    <w:p w14:paraId="7F52CBE7">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）投标人基本情况说明</w:t>
      </w:r>
    </w:p>
    <w:p w14:paraId="7F270FEA">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）项目人员配置情况表</w:t>
      </w:r>
    </w:p>
    <w:p w14:paraId="32A3AB4B">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）投标企业关联企业情况说明</w:t>
      </w:r>
    </w:p>
    <w:p w14:paraId="0EA448BF">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）不参与围标串标承诺书</w:t>
      </w:r>
    </w:p>
    <w:p w14:paraId="0E6BA79E">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）投标人认为需要提供的其他材料说明</w:t>
      </w:r>
    </w:p>
    <w:p w14:paraId="1E266C67">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附件1、在经营活动中没有重大违法记录的书面声明</w:t>
      </w:r>
    </w:p>
    <w:p w14:paraId="5508F7FE">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附件2、中小企业声明函（如有）</w:t>
      </w:r>
    </w:p>
    <w:p w14:paraId="2027AA37">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附件3、残疾人福利性单位声明函（如有）</w:t>
      </w:r>
    </w:p>
    <w:p w14:paraId="57D271D1">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附件4、省级以上监狱管理局、戒毒管理局（含新疆生产建设兵团）出具的属于监狱企业证明文件（格式自拟）（如有）</w:t>
      </w:r>
    </w:p>
    <w:p w14:paraId="570FF098">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735845AD">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022749A8">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17E74CD2">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0ECEFE01">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3B42A133">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6F7D7595">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1D3889C8">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274DF795">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48E3709E">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41FBFB7D">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57D6CCDB">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4342BAB5">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5DFBE345">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4B86C453">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2CC40A68">
      <w:pPr>
        <w:pStyle w:val="63"/>
        <w:keepNext w:val="0"/>
        <w:keepLines w:val="0"/>
        <w:pageBreakBefore w:val="0"/>
        <w:widowControl w:val="0"/>
        <w:kinsoku/>
        <w:wordWrap/>
        <w:overflowPunct/>
        <w:topLinePunct w:val="0"/>
        <w:autoSpaceDE w:val="0"/>
        <w:autoSpaceDN w:val="0"/>
        <w:bidi w:val="0"/>
        <w:adjustRightInd w:val="0"/>
        <w:spacing w:line="360" w:lineRule="auto"/>
        <w:ind w:firstLine="482"/>
        <w:textAlignment w:val="auto"/>
        <w:rPr>
          <w:rFonts w:hint="eastAsia" w:ascii="仿宋_GB2312" w:hAnsi="仿宋_GB2312" w:eastAsia="仿宋_GB2312" w:cs="仿宋_GB2312"/>
          <w:color w:val="auto"/>
          <w:kern w:val="2"/>
          <w:sz w:val="32"/>
          <w:szCs w:val="32"/>
          <w:highlight w:val="none"/>
          <w:lang w:val="en-US" w:eastAsia="zh-CN" w:bidi="ar-SA"/>
        </w:rPr>
      </w:pPr>
    </w:p>
    <w:p w14:paraId="2597725A">
      <w:pPr>
        <w:pStyle w:val="63"/>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p>
    <w:p w14:paraId="23996758">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rPr>
      </w:pPr>
      <w:bookmarkStart w:id="300" w:name="_Toc50459034"/>
      <w:bookmarkStart w:id="301" w:name="_Toc4030"/>
      <w:bookmarkStart w:id="302" w:name="_Toc19393"/>
      <w:bookmarkStart w:id="303" w:name="_Toc11515"/>
      <w:r>
        <w:rPr>
          <w:rStyle w:val="64"/>
          <w:rFonts w:hint="eastAsia" w:ascii="仿宋_GB2312" w:hAnsi="仿宋_GB2312" w:eastAsia="仿宋_GB2312" w:cs="仿宋_GB2312"/>
          <w:b/>
          <w:bCs w:val="0"/>
          <w:color w:val="auto"/>
          <w:sz w:val="32"/>
          <w:szCs w:val="32"/>
          <w:highlight w:val="none"/>
        </w:rPr>
        <w:t>1、投标承诺书</w:t>
      </w:r>
      <w:bookmarkEnd w:id="300"/>
      <w:bookmarkEnd w:id="301"/>
      <w:bookmarkEnd w:id="302"/>
      <w:bookmarkEnd w:id="303"/>
    </w:p>
    <w:p w14:paraId="34379989">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致（采购人）：</w:t>
      </w:r>
    </w:p>
    <w:p w14:paraId="382F8AF3">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根据已收到的</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，我单位经研究贵方的</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后：</w:t>
      </w:r>
    </w:p>
    <w:p w14:paraId="3CB5E465">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1、我方愿以投标报价</w:t>
      </w:r>
      <w:r>
        <w:rPr>
          <w:rFonts w:hint="eastAsia" w:ascii="仿宋_GB2312" w:hAnsi="仿宋_GB2312" w:eastAsia="仿宋_GB2312" w:cs="仿宋_GB2312"/>
          <w:color w:val="auto"/>
          <w:sz w:val="32"/>
          <w:szCs w:val="32"/>
          <w:highlight w:val="none"/>
          <w:u w:val="single"/>
        </w:rPr>
        <w:t xml:space="preserve">           元（大写：                     ）             </w:t>
      </w:r>
      <w:r>
        <w:rPr>
          <w:rFonts w:hint="eastAsia" w:ascii="仿宋_GB2312" w:hAnsi="仿宋_GB2312" w:eastAsia="仿宋_GB2312" w:cs="仿宋_GB2312"/>
          <w:color w:val="auto"/>
          <w:sz w:val="32"/>
          <w:szCs w:val="32"/>
          <w:highlight w:val="none"/>
        </w:rPr>
        <w:t>及投标承诺书的承诺承包本</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中所述招标范围内的全部内容。</w:t>
      </w:r>
    </w:p>
    <w:p w14:paraId="3A4E2467">
      <w:pPr>
        <w:pageBreakBefore w:val="0"/>
        <w:kinsoku/>
        <w:wordWrap/>
        <w:topLinePunct w:val="0"/>
        <w:autoSpaceDE w:val="0"/>
        <w:autoSpaceDN w:val="0"/>
        <w:bidi w:val="0"/>
        <w:spacing w:line="360" w:lineRule="auto"/>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合同履行期限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026E3A7C">
      <w:pPr>
        <w:pageBreakBefore w:val="0"/>
        <w:kinsoku/>
        <w:wordWrap/>
        <w:topLinePunct w:val="0"/>
        <w:autoSpaceDE w:val="0"/>
        <w:autoSpaceDN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3、如果我方中标，非采购人原因，我方保证将按招标文件要求，完成本项目</w:t>
      </w:r>
      <w:r>
        <w:rPr>
          <w:rFonts w:hint="eastAsia" w:ascii="仿宋_GB2312" w:hAnsi="仿宋_GB2312" w:eastAsia="仿宋_GB2312" w:cs="仿宋_GB2312"/>
          <w:color w:val="auto"/>
          <w:sz w:val="32"/>
          <w:szCs w:val="32"/>
          <w:highlight w:val="none"/>
          <w:lang w:val="en-US" w:eastAsia="zh-CN"/>
        </w:rPr>
        <w:t>供货</w:t>
      </w:r>
      <w:r>
        <w:rPr>
          <w:rFonts w:hint="eastAsia" w:ascii="仿宋_GB2312" w:hAnsi="仿宋_GB2312" w:eastAsia="仿宋_GB2312" w:cs="仿宋_GB2312"/>
          <w:color w:val="auto"/>
          <w:sz w:val="32"/>
          <w:szCs w:val="32"/>
          <w:highlight w:val="none"/>
        </w:rPr>
        <w:t xml:space="preserve"> 。</w:t>
      </w:r>
    </w:p>
    <w:p w14:paraId="0C0C4DAB">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4、如果我方中标，我方将按</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规定的时间内签订合同。如果违约，我方愿以投标保证金作为赔偿金，同时贵方有权终止我方中标并选择其它</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p>
    <w:p w14:paraId="5D281A61">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5、如果我方中标，完成项目的</w:t>
      </w:r>
      <w:r>
        <w:rPr>
          <w:rFonts w:hint="eastAsia" w:ascii="仿宋_GB2312" w:hAnsi="仿宋_GB2312" w:eastAsia="仿宋_GB2312" w:cs="仿宋_GB2312"/>
          <w:color w:val="auto"/>
          <w:sz w:val="32"/>
          <w:szCs w:val="32"/>
          <w:highlight w:val="none"/>
          <w:lang w:val="en-US" w:eastAsia="zh-CN"/>
        </w:rPr>
        <w:t>货物</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要求不一致的，服务达不到要求，我方将进行整改直至贵方对服务满意为止。</w:t>
      </w:r>
    </w:p>
    <w:p w14:paraId="66CD9972">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6、贵方的</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、答疑文件、</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补充、成交通知书和本投标文件将做为合同附件，具有同等法律效力。</w:t>
      </w:r>
    </w:p>
    <w:p w14:paraId="14C9E76F">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7、如果我方未中标，贵方没有必要对我方做出任何解释和说明，我方将充分尊重和理解贵方的选择。</w:t>
      </w:r>
    </w:p>
    <w:p w14:paraId="528814CC">
      <w:pPr>
        <w:pStyle w:val="65"/>
        <w:pageBreakBefore w:val="0"/>
        <w:kinsoku/>
        <w:wordWrap/>
        <w:topLinePunct w:val="0"/>
        <w:bidi w:val="0"/>
        <w:spacing w:line="360" w:lineRule="auto"/>
        <w:ind w:right="480" w:firstLine="4480" w:firstLineChars="1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（盖章）：</w:t>
      </w:r>
    </w:p>
    <w:p w14:paraId="065788B6">
      <w:pPr>
        <w:pStyle w:val="65"/>
        <w:pageBreakBefore w:val="0"/>
        <w:kinsoku/>
        <w:wordWrap/>
        <w:topLinePunct w:val="0"/>
        <w:bidi w:val="0"/>
        <w:spacing w:line="360" w:lineRule="auto"/>
        <w:ind w:right="84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法定代表人或委托代理人（签字或</w:t>
      </w:r>
      <w:r>
        <w:rPr>
          <w:rFonts w:hint="eastAsia" w:ascii="仿宋_GB2312" w:hAnsi="仿宋_GB2312" w:eastAsia="仿宋_GB2312" w:cs="仿宋_GB2312"/>
          <w:color w:val="auto"/>
          <w:sz w:val="32"/>
          <w:szCs w:val="32"/>
          <w:highlight w:val="none"/>
          <w:lang w:val="en-US" w:eastAsia="zh-CN"/>
        </w:rPr>
        <w:t>盖</w:t>
      </w:r>
      <w:r>
        <w:rPr>
          <w:rFonts w:hint="eastAsia" w:ascii="仿宋_GB2312" w:hAnsi="仿宋_GB2312" w:eastAsia="仿宋_GB2312" w:cs="仿宋_GB2312"/>
          <w:color w:val="auto"/>
          <w:sz w:val="32"/>
          <w:szCs w:val="32"/>
          <w:highlight w:val="none"/>
        </w:rPr>
        <w:t>章）：</w:t>
      </w:r>
    </w:p>
    <w:p w14:paraId="4BE38CB3">
      <w:pPr>
        <w:pStyle w:val="65"/>
        <w:pageBreakBefore w:val="0"/>
        <w:kinsoku/>
        <w:wordWrap/>
        <w:topLinePunct w:val="0"/>
        <w:bidi w:val="0"/>
        <w:spacing w:line="360" w:lineRule="auto"/>
        <w:ind w:right="84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 xml:space="preserve">日   期：  </w:t>
      </w:r>
      <w:bookmarkStart w:id="304" w:name="_Toc6735_WPSOffice_Level1"/>
      <w:bookmarkStart w:id="305" w:name="_Toc28014_WPSOffice_Level1"/>
      <w:bookmarkStart w:id="306" w:name="_Toc3064"/>
    </w:p>
    <w:p w14:paraId="0A25E1F1">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rPr>
      </w:pPr>
      <w:r>
        <w:rPr>
          <w:rStyle w:val="64"/>
          <w:rFonts w:hint="eastAsia" w:ascii="仿宋_GB2312" w:hAnsi="仿宋_GB2312" w:eastAsia="仿宋_GB2312" w:cs="仿宋_GB2312"/>
          <w:b/>
          <w:bCs w:val="0"/>
          <w:color w:val="auto"/>
          <w:sz w:val="32"/>
          <w:szCs w:val="32"/>
          <w:highlight w:val="none"/>
        </w:rPr>
        <w:t>2、</w:t>
      </w:r>
      <w:bookmarkEnd w:id="304"/>
      <w:bookmarkEnd w:id="305"/>
      <w:r>
        <w:rPr>
          <w:rStyle w:val="64"/>
          <w:rFonts w:hint="eastAsia" w:ascii="仿宋_GB2312" w:hAnsi="仿宋_GB2312" w:eastAsia="仿宋_GB2312" w:cs="仿宋_GB2312"/>
          <w:b/>
          <w:bCs w:val="0"/>
          <w:color w:val="auto"/>
          <w:sz w:val="32"/>
          <w:szCs w:val="32"/>
          <w:highlight w:val="none"/>
        </w:rPr>
        <w:t>报价一览表</w:t>
      </w:r>
      <w:bookmarkEnd w:id="306"/>
    </w:p>
    <w:p w14:paraId="1E009E81">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p w14:paraId="3DABB644">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招标编号：</w:t>
      </w:r>
    </w:p>
    <w:p w14:paraId="38EDF002">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w:t>
      </w:r>
    </w:p>
    <w:p w14:paraId="62E4E40B">
      <w:pPr>
        <w:pStyle w:val="23"/>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031D01EA">
      <w:pPr>
        <w:pStyle w:val="23"/>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bl>
      <w:tblPr>
        <w:tblStyle w:val="30"/>
        <w:tblW w:w="9200" w:type="dxa"/>
        <w:jc w:val="center"/>
        <w:tblLayout w:type="fixed"/>
        <w:tblCellMar>
          <w:top w:w="0" w:type="dxa"/>
          <w:left w:w="0" w:type="dxa"/>
          <w:bottom w:w="0" w:type="dxa"/>
          <w:right w:w="0" w:type="dxa"/>
        </w:tblCellMar>
      </w:tblPr>
      <w:tblGrid>
        <w:gridCol w:w="912"/>
        <w:gridCol w:w="2234"/>
        <w:gridCol w:w="5358"/>
        <w:gridCol w:w="696"/>
      </w:tblGrid>
      <w:tr w14:paraId="2E412753">
        <w:tblPrEx>
          <w:tblCellMar>
            <w:top w:w="0" w:type="dxa"/>
            <w:left w:w="0" w:type="dxa"/>
            <w:bottom w:w="0" w:type="dxa"/>
            <w:right w:w="0" w:type="dxa"/>
          </w:tblCellMar>
        </w:tblPrEx>
        <w:trPr>
          <w:trHeight w:val="68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6B9E1B00">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序号</w:t>
            </w:r>
          </w:p>
        </w:tc>
        <w:tc>
          <w:tcPr>
            <w:tcW w:w="2234" w:type="dxa"/>
            <w:tcBorders>
              <w:top w:val="single" w:color="auto" w:sz="4" w:space="0"/>
              <w:left w:val="single" w:color="auto" w:sz="4" w:space="0"/>
              <w:bottom w:val="single" w:color="auto" w:sz="4" w:space="0"/>
              <w:right w:val="single" w:color="auto" w:sz="4" w:space="0"/>
            </w:tcBorders>
            <w:vAlign w:val="center"/>
          </w:tcPr>
          <w:p w14:paraId="0F5E3453">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条款名称</w:t>
            </w:r>
          </w:p>
        </w:tc>
        <w:tc>
          <w:tcPr>
            <w:tcW w:w="5358" w:type="dxa"/>
            <w:tcBorders>
              <w:top w:val="single" w:color="auto" w:sz="4" w:space="0"/>
              <w:left w:val="single" w:color="auto" w:sz="4" w:space="0"/>
              <w:bottom w:val="single" w:color="auto" w:sz="4" w:space="0"/>
              <w:right w:val="single" w:color="auto" w:sz="4" w:space="0"/>
            </w:tcBorders>
            <w:vAlign w:val="center"/>
          </w:tcPr>
          <w:p w14:paraId="46A8A0E2">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内容</w:t>
            </w:r>
          </w:p>
        </w:tc>
        <w:tc>
          <w:tcPr>
            <w:tcW w:w="696" w:type="dxa"/>
            <w:tcBorders>
              <w:top w:val="single" w:color="auto" w:sz="4" w:space="0"/>
              <w:left w:val="single" w:color="auto" w:sz="4" w:space="0"/>
              <w:bottom w:val="single" w:color="auto" w:sz="4" w:space="0"/>
              <w:right w:val="single" w:color="auto" w:sz="4" w:space="0"/>
            </w:tcBorders>
            <w:vAlign w:val="center"/>
          </w:tcPr>
          <w:p w14:paraId="2B506D0C">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备注</w:t>
            </w:r>
          </w:p>
        </w:tc>
      </w:tr>
      <w:tr w14:paraId="08CDA0C8">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57C4813D">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2234" w:type="dxa"/>
            <w:tcBorders>
              <w:top w:val="single" w:color="auto" w:sz="4" w:space="0"/>
              <w:left w:val="single" w:color="auto" w:sz="4" w:space="0"/>
              <w:bottom w:val="single" w:color="auto" w:sz="4" w:space="0"/>
              <w:right w:val="single" w:color="auto" w:sz="4" w:space="0"/>
            </w:tcBorders>
            <w:vAlign w:val="center"/>
          </w:tcPr>
          <w:p w14:paraId="3427DB72">
            <w:pPr>
              <w:pStyle w:val="47"/>
              <w:pageBreakBefore w:val="0"/>
              <w:kinsoku/>
              <w:wordWrap/>
              <w:topLinePunct w:val="0"/>
              <w:bidi w:val="0"/>
              <w:snapToGrid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采购内容</w:t>
            </w:r>
          </w:p>
        </w:tc>
        <w:tc>
          <w:tcPr>
            <w:tcW w:w="5358" w:type="dxa"/>
            <w:tcBorders>
              <w:top w:val="single" w:color="auto" w:sz="4" w:space="0"/>
              <w:left w:val="single" w:color="auto" w:sz="4" w:space="0"/>
              <w:bottom w:val="single" w:color="auto" w:sz="4" w:space="0"/>
              <w:right w:val="single" w:color="auto" w:sz="4" w:space="0"/>
            </w:tcBorders>
            <w:vAlign w:val="center"/>
          </w:tcPr>
          <w:p w14:paraId="2C1EE766">
            <w:pPr>
              <w:pageBreakBefore w:val="0"/>
              <w:kinsoku/>
              <w:wordWrap/>
              <w:topLinePunct w:val="0"/>
              <w:bidi w:val="0"/>
              <w:spacing w:line="360" w:lineRule="auto"/>
              <w:jc w:val="left"/>
              <w:rPr>
                <w:rFonts w:hint="eastAsia" w:ascii="仿宋_GB2312" w:hAnsi="仿宋_GB2312" w:eastAsia="仿宋_GB2312" w:cs="仿宋_GB2312"/>
                <w:color w:val="auto"/>
                <w:kern w:val="0"/>
                <w:sz w:val="32"/>
                <w:szCs w:val="32"/>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4389E3">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p>
        </w:tc>
      </w:tr>
      <w:tr w14:paraId="37212965">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1A57367A">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2234" w:type="dxa"/>
            <w:tcBorders>
              <w:top w:val="single" w:color="auto" w:sz="4" w:space="0"/>
              <w:left w:val="single" w:color="auto" w:sz="4" w:space="0"/>
              <w:bottom w:val="single" w:color="auto" w:sz="4" w:space="0"/>
              <w:right w:val="single" w:color="auto" w:sz="4" w:space="0"/>
            </w:tcBorders>
            <w:vAlign w:val="center"/>
          </w:tcPr>
          <w:p w14:paraId="0641780B">
            <w:pPr>
              <w:pStyle w:val="47"/>
              <w:pageBreakBefore w:val="0"/>
              <w:kinsoku/>
              <w:wordWrap/>
              <w:topLinePunct w:val="0"/>
              <w:bidi w:val="0"/>
              <w:snapToGrid w:val="0"/>
              <w:spacing w:line="360" w:lineRule="auto"/>
              <w:jc w:val="center"/>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合同履约期限</w:t>
            </w:r>
          </w:p>
        </w:tc>
        <w:tc>
          <w:tcPr>
            <w:tcW w:w="5358" w:type="dxa"/>
            <w:tcBorders>
              <w:top w:val="single" w:color="auto" w:sz="4" w:space="0"/>
              <w:left w:val="single" w:color="auto" w:sz="4" w:space="0"/>
              <w:bottom w:val="single" w:color="auto" w:sz="4" w:space="0"/>
              <w:right w:val="single" w:color="auto" w:sz="4" w:space="0"/>
            </w:tcBorders>
            <w:vAlign w:val="center"/>
          </w:tcPr>
          <w:p w14:paraId="31E6FBA3">
            <w:pPr>
              <w:pageBreakBefore w:val="0"/>
              <w:tabs>
                <w:tab w:val="left" w:pos="4980"/>
                <w:tab w:val="right" w:pos="9000"/>
              </w:tabs>
              <w:kinsoku/>
              <w:wordWrap/>
              <w:topLinePunct w:val="0"/>
              <w:bidi w:val="0"/>
              <w:spacing w:line="360" w:lineRule="auto"/>
              <w:jc w:val="left"/>
              <w:rPr>
                <w:rFonts w:hint="eastAsia" w:ascii="仿宋_GB2312" w:hAnsi="仿宋_GB2312" w:eastAsia="仿宋_GB2312" w:cs="仿宋_GB2312"/>
                <w:color w:val="auto"/>
                <w:kern w:val="0"/>
                <w:sz w:val="32"/>
                <w:szCs w:val="32"/>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82571BB">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u w:val="single"/>
              </w:rPr>
            </w:pPr>
          </w:p>
        </w:tc>
      </w:tr>
      <w:tr w14:paraId="61E0A549">
        <w:tblPrEx>
          <w:tblCellMar>
            <w:top w:w="0" w:type="dxa"/>
            <w:left w:w="0" w:type="dxa"/>
            <w:bottom w:w="0" w:type="dxa"/>
            <w:right w:w="0" w:type="dxa"/>
          </w:tblCellMar>
        </w:tblPrEx>
        <w:trPr>
          <w:trHeight w:val="749"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095C3C3D">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2234" w:type="dxa"/>
            <w:tcBorders>
              <w:top w:val="single" w:color="auto" w:sz="4" w:space="0"/>
              <w:left w:val="single" w:color="auto" w:sz="4" w:space="0"/>
              <w:bottom w:val="single" w:color="auto" w:sz="4" w:space="0"/>
              <w:right w:val="single" w:color="auto" w:sz="4" w:space="0"/>
            </w:tcBorders>
            <w:vAlign w:val="center"/>
          </w:tcPr>
          <w:p w14:paraId="66DD26A2">
            <w:pPr>
              <w:pStyle w:val="47"/>
              <w:pageBreakBefore w:val="0"/>
              <w:kinsoku/>
              <w:wordWrap/>
              <w:topLinePunct w:val="0"/>
              <w:bidi w:val="0"/>
              <w:snapToGrid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rPr>
              <w:t>地点</w:t>
            </w:r>
          </w:p>
        </w:tc>
        <w:tc>
          <w:tcPr>
            <w:tcW w:w="5358" w:type="dxa"/>
            <w:tcBorders>
              <w:top w:val="single" w:color="auto" w:sz="4" w:space="0"/>
              <w:left w:val="single" w:color="auto" w:sz="4" w:space="0"/>
              <w:bottom w:val="single" w:color="auto" w:sz="4" w:space="0"/>
              <w:right w:val="single" w:color="auto" w:sz="4" w:space="0"/>
            </w:tcBorders>
            <w:vAlign w:val="center"/>
          </w:tcPr>
          <w:p w14:paraId="40227FBD">
            <w:pPr>
              <w:pageBreakBefore w:val="0"/>
              <w:kinsoku/>
              <w:wordWrap/>
              <w:topLinePunct w:val="0"/>
              <w:bidi w:val="0"/>
              <w:spacing w:line="360" w:lineRule="auto"/>
              <w:jc w:val="left"/>
              <w:rPr>
                <w:rFonts w:hint="eastAsia" w:ascii="仿宋_GB2312" w:hAnsi="仿宋_GB2312" w:eastAsia="仿宋_GB2312" w:cs="仿宋_GB2312"/>
                <w:color w:val="auto"/>
                <w:sz w:val="32"/>
                <w:szCs w:val="32"/>
                <w:highlight w:val="none"/>
                <w:shd w:val="clear" w:color="auto" w:fill="FFFFFF"/>
                <w:lang w:eastAsia="zh-CN"/>
              </w:rPr>
            </w:pPr>
          </w:p>
        </w:tc>
        <w:tc>
          <w:tcPr>
            <w:tcW w:w="696" w:type="dxa"/>
            <w:tcBorders>
              <w:top w:val="single" w:color="auto" w:sz="4" w:space="0"/>
              <w:left w:val="single" w:color="auto" w:sz="4" w:space="0"/>
              <w:bottom w:val="single" w:color="auto" w:sz="4" w:space="0"/>
              <w:right w:val="single" w:color="auto" w:sz="4" w:space="0"/>
            </w:tcBorders>
            <w:vAlign w:val="center"/>
          </w:tcPr>
          <w:p w14:paraId="6C767F22">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u w:val="single"/>
              </w:rPr>
            </w:pPr>
          </w:p>
        </w:tc>
      </w:tr>
      <w:tr w14:paraId="0137569E">
        <w:tblPrEx>
          <w:tblCellMar>
            <w:top w:w="0" w:type="dxa"/>
            <w:left w:w="0" w:type="dxa"/>
            <w:bottom w:w="0" w:type="dxa"/>
            <w:right w:w="0" w:type="dxa"/>
          </w:tblCellMar>
        </w:tblPrEx>
        <w:trPr>
          <w:trHeight w:val="1383"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5F578A06">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p>
        </w:tc>
        <w:tc>
          <w:tcPr>
            <w:tcW w:w="2234" w:type="dxa"/>
            <w:tcBorders>
              <w:top w:val="single" w:color="auto" w:sz="4" w:space="0"/>
              <w:left w:val="single" w:color="auto" w:sz="4" w:space="0"/>
              <w:bottom w:val="single" w:color="auto" w:sz="4" w:space="0"/>
              <w:right w:val="single" w:color="auto" w:sz="4" w:space="0"/>
            </w:tcBorders>
            <w:vAlign w:val="center"/>
          </w:tcPr>
          <w:p w14:paraId="5EF40BAD">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投标报价  （元）</w:t>
            </w:r>
          </w:p>
        </w:tc>
        <w:tc>
          <w:tcPr>
            <w:tcW w:w="5358" w:type="dxa"/>
            <w:tcBorders>
              <w:top w:val="single" w:color="auto" w:sz="4" w:space="0"/>
              <w:left w:val="single" w:color="auto" w:sz="4" w:space="0"/>
              <w:bottom w:val="single" w:color="auto" w:sz="4" w:space="0"/>
              <w:right w:val="single" w:color="auto" w:sz="4" w:space="0"/>
            </w:tcBorders>
            <w:vAlign w:val="center"/>
          </w:tcPr>
          <w:p w14:paraId="02DB5A8E">
            <w:pPr>
              <w:pageBreakBefore w:val="0"/>
              <w:widowControl/>
              <w:kinsoku/>
              <w:wordWrap/>
              <w:topLinePunct w:val="0"/>
              <w:bidi w:val="0"/>
              <w:adjustRightInd w:val="0"/>
              <w:snapToGrid w:val="0"/>
              <w:spacing w:before="100" w:beforeAutospacing="1" w:after="100" w:afterAutospacing="1" w:line="360" w:lineRule="auto"/>
              <w:jc w:val="lef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投标总价： 小写：</w:t>
            </w:r>
          </w:p>
          <w:p w14:paraId="2A7947FF">
            <w:pPr>
              <w:pageBreakBefore w:val="0"/>
              <w:widowControl/>
              <w:kinsoku/>
              <w:wordWrap/>
              <w:topLinePunct w:val="0"/>
              <w:bidi w:val="0"/>
              <w:adjustRightInd w:val="0"/>
              <w:snapToGrid w:val="0"/>
              <w:spacing w:before="100" w:beforeAutospacing="1" w:after="100" w:afterAutospacing="1" w:line="360" w:lineRule="auto"/>
              <w:ind w:firstLine="1600" w:firstLineChars="500"/>
              <w:jc w:val="lef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 xml:space="preserve"> 大写：</w:t>
            </w:r>
          </w:p>
        </w:tc>
        <w:tc>
          <w:tcPr>
            <w:tcW w:w="696" w:type="dxa"/>
            <w:tcBorders>
              <w:top w:val="single" w:color="auto" w:sz="4" w:space="0"/>
              <w:left w:val="single" w:color="auto" w:sz="4" w:space="0"/>
              <w:bottom w:val="single" w:color="auto" w:sz="4" w:space="0"/>
              <w:right w:val="single" w:color="auto" w:sz="4" w:space="0"/>
            </w:tcBorders>
            <w:vAlign w:val="center"/>
          </w:tcPr>
          <w:p w14:paraId="65A3A3BA">
            <w:pPr>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color w:val="auto"/>
                <w:kern w:val="0"/>
                <w:sz w:val="32"/>
                <w:szCs w:val="32"/>
                <w:highlight w:val="none"/>
                <w:u w:val="single"/>
              </w:rPr>
            </w:pPr>
          </w:p>
        </w:tc>
      </w:tr>
    </w:tbl>
    <w:p w14:paraId="78EB0460">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068E3ECB">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4C8A008D">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投标单位盖章：</w:t>
      </w:r>
    </w:p>
    <w:p w14:paraId="1067B16E">
      <w:pPr>
        <w:pStyle w:val="23"/>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2CB7CD59">
      <w:pPr>
        <w:pageBreakBefore w:val="0"/>
        <w:kinsoku/>
        <w:wordWrap/>
        <w:topLinePunct w:val="0"/>
        <w:bidi w:val="0"/>
        <w:spacing w:line="360" w:lineRule="auto"/>
        <w:ind w:left="7680" w:hanging="10240" w:hangingChars="3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投标单位法人或授权代表签字或盖章：                                                                     </w:t>
      </w:r>
    </w:p>
    <w:p w14:paraId="51BFD5D8">
      <w:pPr>
        <w:pageBreakBefore w:val="0"/>
        <w:kinsoku/>
        <w:wordWrap/>
        <w:topLinePunct w:val="0"/>
        <w:bidi w:val="0"/>
        <w:spacing w:line="360" w:lineRule="auto"/>
        <w:ind w:left="7680" w:hanging="10240" w:hangingChars="3200"/>
        <w:jc w:val="right"/>
        <w:rPr>
          <w:rFonts w:hint="eastAsia" w:ascii="仿宋_GB2312" w:hAnsi="仿宋_GB2312" w:eastAsia="仿宋_GB2312" w:cs="仿宋_GB2312"/>
          <w:color w:val="auto"/>
          <w:sz w:val="32"/>
          <w:szCs w:val="32"/>
          <w:highlight w:val="none"/>
        </w:rPr>
        <w:sectPr>
          <w:headerReference r:id="rId7" w:type="default"/>
          <w:footerReference r:id="rId8" w:type="default"/>
          <w:pgSz w:w="11905" w:h="16838"/>
          <w:pgMar w:top="1531" w:right="1531" w:bottom="1531" w:left="1531" w:header="1134" w:footer="1134" w:gutter="0"/>
          <w:pgNumType w:fmt="decimal" w:start="1"/>
          <w:cols w:space="0" w:num="1"/>
          <w:rtlGutter w:val="0"/>
          <w:docGrid w:linePitch="319" w:charSpace="0"/>
        </w:sectPr>
      </w:pPr>
      <w:r>
        <w:rPr>
          <w:rFonts w:hint="eastAsia" w:ascii="仿宋_GB2312" w:hAnsi="仿宋_GB2312" w:eastAsia="仿宋_GB2312" w:cs="仿宋_GB2312"/>
          <w:color w:val="auto"/>
          <w:sz w:val="32"/>
          <w:szCs w:val="32"/>
          <w:highlight w:val="none"/>
        </w:rPr>
        <w:t>年   月   日</w:t>
      </w:r>
    </w:p>
    <w:p w14:paraId="1FB7FFD2">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lang w:val="en-US" w:eastAsia="zh-CN"/>
        </w:rPr>
      </w:pPr>
      <w:bookmarkStart w:id="307" w:name="_Toc18030_WPSOffice_Level1"/>
      <w:bookmarkStart w:id="308" w:name="_Toc30221_WPSOffice_Level1"/>
      <w:bookmarkStart w:id="309" w:name="_Toc50459035"/>
      <w:bookmarkStart w:id="310" w:name="_Toc18663"/>
      <w:bookmarkStart w:id="311" w:name="_Toc12705"/>
      <w:bookmarkStart w:id="312" w:name="_Toc16901"/>
      <w:r>
        <w:rPr>
          <w:rStyle w:val="64"/>
          <w:rFonts w:hint="eastAsia" w:ascii="仿宋_GB2312" w:hAnsi="仿宋_GB2312" w:eastAsia="仿宋_GB2312" w:cs="仿宋_GB2312"/>
          <w:b/>
          <w:bCs w:val="0"/>
          <w:color w:val="auto"/>
          <w:sz w:val="32"/>
          <w:szCs w:val="32"/>
          <w:highlight w:val="none"/>
          <w:lang w:val="en-US" w:eastAsia="zh-CN"/>
        </w:rPr>
        <w:t>3、法定代表人身份证明</w:t>
      </w:r>
      <w:bookmarkEnd w:id="307"/>
      <w:bookmarkEnd w:id="308"/>
      <w:bookmarkEnd w:id="309"/>
      <w:bookmarkEnd w:id="310"/>
      <w:bookmarkEnd w:id="311"/>
      <w:bookmarkEnd w:id="312"/>
    </w:p>
    <w:p w14:paraId="792CB396">
      <w:pPr>
        <w:pageBreakBefore w:val="0"/>
        <w:kinsoku/>
        <w:wordWrap/>
        <w:topLinePunct w:val="0"/>
        <w:bidi w:val="0"/>
        <w:adjustRightInd w:val="0"/>
        <w:snapToGrid w:val="0"/>
        <w:spacing w:line="360" w:lineRule="auto"/>
        <w:jc w:val="center"/>
        <w:rPr>
          <w:rFonts w:hint="eastAsia" w:ascii="仿宋_GB2312" w:hAnsi="仿宋_GB2312" w:eastAsia="仿宋_GB2312" w:cs="仿宋_GB2312"/>
          <w:color w:val="auto"/>
          <w:sz w:val="32"/>
          <w:szCs w:val="32"/>
          <w:highlight w:val="none"/>
        </w:rPr>
      </w:pPr>
    </w:p>
    <w:p w14:paraId="13AE1502">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单位名称：</w:t>
      </w:r>
      <w:r>
        <w:rPr>
          <w:rFonts w:hint="eastAsia" w:ascii="仿宋_GB2312" w:hAnsi="仿宋_GB2312" w:eastAsia="仿宋_GB2312" w:cs="仿宋_GB2312"/>
          <w:color w:val="auto"/>
          <w:sz w:val="32"/>
          <w:szCs w:val="32"/>
          <w:highlight w:val="none"/>
          <w:u w:val="single"/>
        </w:rPr>
        <w:t xml:space="preserve">                                                      </w:t>
      </w:r>
    </w:p>
    <w:p w14:paraId="671C5B7D">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单位性质：</w:t>
      </w:r>
      <w:r>
        <w:rPr>
          <w:rFonts w:hint="eastAsia" w:ascii="仿宋_GB2312" w:hAnsi="仿宋_GB2312" w:eastAsia="仿宋_GB2312" w:cs="仿宋_GB2312"/>
          <w:color w:val="auto"/>
          <w:sz w:val="32"/>
          <w:szCs w:val="32"/>
          <w:highlight w:val="none"/>
          <w:u w:val="single"/>
        </w:rPr>
        <w:t xml:space="preserve">                                                      </w:t>
      </w:r>
    </w:p>
    <w:p w14:paraId="0AF28D17">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成立时间：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1430D977">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经营期限：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5D691F5D">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rPr>
        <w:t xml:space="preserve">          </w:t>
      </w:r>
    </w:p>
    <w:p w14:paraId="1E1BD826">
      <w:pPr>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的法定代表人。 </w:t>
      </w:r>
    </w:p>
    <w:p w14:paraId="5FFF9CC5">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特此证明。 </w:t>
      </w:r>
    </w:p>
    <w:p w14:paraId="0DD7D166">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2701FFAC">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71945AB7">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73BD3108">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5CAEEE6A">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20A1BA2B">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79A062FC">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15C4CEC6">
      <w:pPr>
        <w:pageBreakBefore w:val="0"/>
        <w:kinsoku/>
        <w:wordWrap/>
        <w:topLinePunct w:val="0"/>
        <w:bidi w:val="0"/>
        <w:spacing w:line="360" w:lineRule="auto"/>
        <w:ind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（盖单位章） </w:t>
      </w:r>
    </w:p>
    <w:p w14:paraId="3D6398B0">
      <w:pPr>
        <w:pageBreakBefore w:val="0"/>
        <w:kinsoku/>
        <w:wordWrap/>
        <w:topLinePunct w:val="0"/>
        <w:bidi w:val="0"/>
        <w:spacing w:line="360" w:lineRule="auto"/>
        <w:jc w:val="righ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b/>
          <w:color w:val="auto"/>
          <w:sz w:val="32"/>
          <w:szCs w:val="32"/>
          <w:highlight w:val="none"/>
        </w:rPr>
        <w:t xml:space="preserve"> </w:t>
      </w:r>
    </w:p>
    <w:p w14:paraId="39F21547">
      <w:pPr>
        <w:pStyle w:val="14"/>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11F3527D">
      <w:pPr>
        <w:pStyle w:val="29"/>
        <w:pageBreakBefore w:val="0"/>
        <w:kinsoku/>
        <w:wordWrap/>
        <w:topLinePunct w:val="0"/>
        <w:bidi w:val="0"/>
        <w:spacing w:line="360" w:lineRule="auto"/>
        <w:ind w:left="0" w:leftChars="0" w:firstLine="0" w:firstLineChars="0"/>
        <w:rPr>
          <w:rFonts w:hint="eastAsia" w:ascii="仿宋_GB2312" w:hAnsi="仿宋_GB2312" w:eastAsia="仿宋_GB2312" w:cs="仿宋_GB2312"/>
          <w:color w:val="auto"/>
          <w:sz w:val="32"/>
          <w:szCs w:val="32"/>
          <w:highlight w:val="none"/>
        </w:rPr>
      </w:pPr>
    </w:p>
    <w:p w14:paraId="4187339D">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lang w:val="en-US" w:eastAsia="zh-CN"/>
        </w:rPr>
      </w:pPr>
      <w:bookmarkStart w:id="313" w:name="_Toc18441"/>
      <w:bookmarkStart w:id="314" w:name="_Toc2043"/>
      <w:bookmarkStart w:id="315" w:name="_Toc50459036"/>
      <w:bookmarkStart w:id="316" w:name="_Toc24648"/>
      <w:r>
        <w:rPr>
          <w:rStyle w:val="64"/>
          <w:rFonts w:hint="eastAsia" w:ascii="仿宋_GB2312" w:hAnsi="仿宋_GB2312" w:eastAsia="仿宋_GB2312" w:cs="仿宋_GB2312"/>
          <w:b/>
          <w:bCs w:val="0"/>
          <w:color w:val="auto"/>
          <w:sz w:val="32"/>
          <w:szCs w:val="32"/>
          <w:highlight w:val="none"/>
          <w:lang w:val="en-US" w:eastAsia="zh-CN"/>
        </w:rPr>
        <w:t>4、法定代表人授权委托书</w:t>
      </w:r>
      <w:bookmarkEnd w:id="313"/>
      <w:bookmarkEnd w:id="314"/>
      <w:bookmarkEnd w:id="315"/>
      <w:bookmarkEnd w:id="316"/>
    </w:p>
    <w:p w14:paraId="40A821F5">
      <w:pPr>
        <w:pageBreakBefore w:val="0"/>
        <w:kinsoku/>
        <w:wordWrap/>
        <w:topLinePunct w:val="0"/>
        <w:bidi w:val="0"/>
        <w:spacing w:line="360" w:lineRule="auto"/>
        <w:jc w:val="center"/>
        <w:rPr>
          <w:rFonts w:hint="eastAsia" w:ascii="仿宋_GB2312" w:hAnsi="仿宋_GB2312" w:eastAsia="仿宋_GB2312" w:cs="仿宋_GB2312"/>
          <w:b/>
          <w:bCs/>
          <w:color w:val="auto"/>
          <w:sz w:val="32"/>
          <w:szCs w:val="32"/>
          <w:highlight w:val="none"/>
        </w:rPr>
      </w:pPr>
    </w:p>
    <w:p w14:paraId="6C31693C">
      <w:pPr>
        <w:pageBreakBefore w:val="0"/>
        <w:kinsoku/>
        <w:wordWrap/>
        <w:topLinePunct w:val="0"/>
        <w:bidi w:val="0"/>
        <w:spacing w:line="360" w:lineRule="auto"/>
        <w:ind w:firstLine="604" w:firstLineChars="189"/>
        <w:jc w:val="left"/>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本授权委托书声明：我</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系</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的法定代表人，现授权委托</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为我的代理人，以本单位的名义参加</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投标活动。代理人在参加整个招标投标活动、合同</w:t>
      </w:r>
      <w:r>
        <w:rPr>
          <w:rFonts w:hint="eastAsia" w:ascii="仿宋_GB2312" w:hAnsi="仿宋_GB2312" w:eastAsia="仿宋_GB2312" w:cs="仿宋_GB2312"/>
          <w:bCs/>
          <w:color w:val="auto"/>
          <w:sz w:val="32"/>
          <w:szCs w:val="32"/>
          <w:highlight w:val="none"/>
          <w:lang w:val="en-US" w:eastAsia="zh-CN"/>
        </w:rPr>
        <w:t>签订</w:t>
      </w:r>
      <w:r>
        <w:rPr>
          <w:rFonts w:hint="eastAsia" w:ascii="仿宋_GB2312" w:hAnsi="仿宋_GB2312" w:eastAsia="仿宋_GB2312" w:cs="仿宋_GB2312"/>
          <w:bCs/>
          <w:color w:val="auto"/>
          <w:sz w:val="32"/>
          <w:szCs w:val="32"/>
          <w:highlight w:val="none"/>
        </w:rPr>
        <w:t>过程中所签署的一切文件和处理与之相关的一切事物，我均予承认。</w:t>
      </w:r>
    </w:p>
    <w:p w14:paraId="231DA906">
      <w:pPr>
        <w:pageBreakBefore w:val="0"/>
        <w:kinsoku/>
        <w:wordWrap/>
        <w:topLinePunct w:val="0"/>
        <w:bidi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代理人：</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性别：</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09E49F79">
      <w:pPr>
        <w:pageBreakBefore w:val="0"/>
        <w:kinsoku/>
        <w:wordWrap/>
        <w:topLinePunct w:val="0"/>
        <w:bidi w:val="0"/>
        <w:spacing w:line="360" w:lineRule="auto"/>
        <w:ind w:firstLine="640" w:firstLineChars="200"/>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年龄：</w:t>
      </w:r>
      <w:r>
        <w:rPr>
          <w:rFonts w:hint="eastAsia" w:ascii="仿宋_GB2312" w:hAnsi="仿宋_GB2312" w:eastAsia="仿宋_GB2312" w:cs="仿宋_GB2312"/>
          <w:bCs/>
          <w:color w:val="auto"/>
          <w:sz w:val="32"/>
          <w:szCs w:val="32"/>
          <w:highlight w:val="none"/>
          <w:u w:val="single"/>
        </w:rPr>
        <w:t xml:space="preserve">             </w:t>
      </w:r>
    </w:p>
    <w:p w14:paraId="72A3AF0D">
      <w:pPr>
        <w:pageBreakBefore w:val="0"/>
        <w:kinsoku/>
        <w:wordWrap/>
        <w:topLinePunct w:val="0"/>
        <w:bidi w:val="0"/>
        <w:spacing w:line="360" w:lineRule="auto"/>
        <w:ind w:firstLine="320" w:firstLineChars="100"/>
        <w:jc w:val="left"/>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部  门：</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职务：</w:t>
      </w:r>
      <w:r>
        <w:rPr>
          <w:rFonts w:hint="eastAsia" w:ascii="仿宋_GB2312" w:hAnsi="仿宋_GB2312" w:eastAsia="仿宋_GB2312" w:cs="仿宋_GB2312"/>
          <w:bCs/>
          <w:color w:val="auto"/>
          <w:sz w:val="32"/>
          <w:szCs w:val="32"/>
          <w:highlight w:val="none"/>
          <w:u w:val="single"/>
        </w:rPr>
        <w:t xml:space="preserve">             </w:t>
      </w:r>
    </w:p>
    <w:p w14:paraId="5F93D379">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6971A2">
                            <w:pPr>
                              <w:jc w:val="center"/>
                              <w:rPr>
                                <w:rFonts w:ascii="仿宋" w:hAnsi="仿宋" w:eastAsia="仿宋"/>
                                <w:sz w:val="36"/>
                                <w:szCs w:val="36"/>
                              </w:rPr>
                            </w:pPr>
                          </w:p>
                          <w:p w14:paraId="50DA34CC">
                            <w:pPr>
                              <w:jc w:val="center"/>
                              <w:rPr>
                                <w:rFonts w:ascii="仿宋" w:hAnsi="仿宋" w:eastAsia="仿宋"/>
                                <w:sz w:val="36"/>
                                <w:szCs w:val="36"/>
                              </w:rPr>
                            </w:pPr>
                          </w:p>
                          <w:p w14:paraId="17696041">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40BF202A">
                            <w:pPr>
                              <w:jc w:val="center"/>
                              <w:rPr>
                                <w:sz w:val="32"/>
                                <w:szCs w:val="32"/>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Inh9lMSAgAARQQAAA4A&#10;AAAAAAAAAQAgAAAAKAEAAGRycy9lMm9Eb2MueG1sUEsFBgAAAAAGAAYAWQEAAKwFAAAAAA==&#10;">
                <v:fill on="t" focussize="0,0"/>
                <v:stroke color="#000000" joinstyle="miter"/>
                <v:imagedata o:title=""/>
                <o:lock v:ext="edit" aspectratio="f"/>
                <v:textbox>
                  <w:txbxContent>
                    <w:p w14:paraId="446971A2">
                      <w:pPr>
                        <w:jc w:val="center"/>
                        <w:rPr>
                          <w:rFonts w:ascii="仿宋" w:hAnsi="仿宋" w:eastAsia="仿宋"/>
                          <w:sz w:val="36"/>
                          <w:szCs w:val="36"/>
                        </w:rPr>
                      </w:pPr>
                    </w:p>
                    <w:p w14:paraId="50DA34CC">
                      <w:pPr>
                        <w:jc w:val="center"/>
                        <w:rPr>
                          <w:rFonts w:ascii="仿宋" w:hAnsi="仿宋" w:eastAsia="仿宋"/>
                          <w:sz w:val="36"/>
                          <w:szCs w:val="36"/>
                        </w:rPr>
                      </w:pPr>
                    </w:p>
                    <w:p w14:paraId="17696041">
                      <w:pPr>
                        <w:jc w:val="center"/>
                        <w:rPr>
                          <w:rFonts w:hint="eastAsia" w:ascii="仿宋" w:hAnsi="仿宋" w:eastAsia="仿宋"/>
                          <w:sz w:val="36"/>
                          <w:szCs w:val="36"/>
                          <w:lang w:eastAsia="zh-CN"/>
                        </w:rPr>
                      </w:pPr>
                      <w:r>
                        <w:rPr>
                          <w:rFonts w:hint="eastAsia" w:ascii="仿宋" w:hAnsi="仿宋" w:eastAsia="仿宋"/>
                          <w:sz w:val="36"/>
                          <w:szCs w:val="36"/>
                        </w:rPr>
                        <w:t>法定代表人身份证</w:t>
                      </w:r>
                    </w:p>
                    <w:p w14:paraId="40BF202A">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2B50EA">
                            <w:pPr>
                              <w:jc w:val="center"/>
                              <w:rPr>
                                <w:rFonts w:ascii="仿宋" w:hAnsi="仿宋" w:eastAsia="仿宋"/>
                                <w:sz w:val="36"/>
                                <w:szCs w:val="36"/>
                              </w:rPr>
                            </w:pPr>
                          </w:p>
                          <w:p w14:paraId="4A2AC37C">
                            <w:pPr>
                              <w:jc w:val="center"/>
                              <w:rPr>
                                <w:rFonts w:ascii="仿宋" w:hAnsi="仿宋" w:eastAsia="仿宋"/>
                                <w:sz w:val="36"/>
                                <w:szCs w:val="36"/>
                              </w:rPr>
                            </w:pPr>
                          </w:p>
                          <w:p w14:paraId="30B6184D">
                            <w:pPr>
                              <w:jc w:val="center"/>
                              <w:rPr>
                                <w:rFonts w:hint="eastAsia" w:ascii="仿宋" w:hAnsi="仿宋" w:eastAsia="仿宋"/>
                                <w:sz w:val="36"/>
                                <w:szCs w:val="36"/>
                                <w:lang w:eastAsia="zh-CN"/>
                              </w:rPr>
                            </w:pPr>
                            <w:r>
                              <w:rPr>
                                <w:rFonts w:hint="eastAsia" w:ascii="仿宋" w:hAnsi="仿宋" w:eastAsia="仿宋"/>
                                <w:sz w:val="36"/>
                                <w:szCs w:val="36"/>
                              </w:rPr>
                              <w:t>代理人身份证</w:t>
                            </w:r>
                          </w:p>
                          <w:p w14:paraId="43FC85FC">
                            <w:pPr>
                              <w:jc w:val="center"/>
                              <w:rPr>
                                <w:rFonts w:ascii="仿宋" w:hAnsi="仿宋" w:eastAsia="仿宋"/>
                                <w:sz w:val="36"/>
                                <w:szCs w:val="36"/>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omDjZAAAACgEAAA8AAAAAAAAA&#10;AQAgAAAAIgAAAGRycy9kb3ducmV2LnhtbFBLAQIUABQAAAAIAIdO4kAUI0bxEAIAAEUEAAAOAAAA&#10;AAAAAAEAIAAAACgBAABkcnMvZTJvRG9jLnhtbFBLBQYAAAAABgAGAFkBAACqBQAAAAA=&#10;">
                <v:fill on="t" focussize="0,0"/>
                <v:stroke color="#000000" joinstyle="miter"/>
                <v:imagedata o:title=""/>
                <o:lock v:ext="edit" aspectratio="f"/>
                <v:textbox>
                  <w:txbxContent>
                    <w:p w14:paraId="0D2B50EA">
                      <w:pPr>
                        <w:jc w:val="center"/>
                        <w:rPr>
                          <w:rFonts w:ascii="仿宋" w:hAnsi="仿宋" w:eastAsia="仿宋"/>
                          <w:sz w:val="36"/>
                          <w:szCs w:val="36"/>
                        </w:rPr>
                      </w:pPr>
                    </w:p>
                    <w:p w14:paraId="4A2AC37C">
                      <w:pPr>
                        <w:jc w:val="center"/>
                        <w:rPr>
                          <w:rFonts w:ascii="仿宋" w:hAnsi="仿宋" w:eastAsia="仿宋"/>
                          <w:sz w:val="36"/>
                          <w:szCs w:val="36"/>
                        </w:rPr>
                      </w:pPr>
                    </w:p>
                    <w:p w14:paraId="30B6184D">
                      <w:pPr>
                        <w:jc w:val="center"/>
                        <w:rPr>
                          <w:rFonts w:hint="eastAsia" w:ascii="仿宋" w:hAnsi="仿宋" w:eastAsia="仿宋"/>
                          <w:sz w:val="36"/>
                          <w:szCs w:val="36"/>
                          <w:lang w:eastAsia="zh-CN"/>
                        </w:rPr>
                      </w:pPr>
                      <w:r>
                        <w:rPr>
                          <w:rFonts w:hint="eastAsia" w:ascii="仿宋" w:hAnsi="仿宋" w:eastAsia="仿宋"/>
                          <w:sz w:val="36"/>
                          <w:szCs w:val="36"/>
                        </w:rPr>
                        <w:t>代理人身份证</w:t>
                      </w:r>
                    </w:p>
                    <w:p w14:paraId="43FC85FC">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5E5F2C7C">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1267A6B6">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24B43C27">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05293515">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6D8AB721">
      <w:pPr>
        <w:pageBreakBefore w:val="0"/>
        <w:kinsoku/>
        <w:wordWrap/>
        <w:topLinePunct w:val="0"/>
        <w:bidi w:val="0"/>
        <w:spacing w:line="360" w:lineRule="auto"/>
        <w:rPr>
          <w:rFonts w:hint="eastAsia" w:ascii="仿宋_GB2312" w:hAnsi="仿宋_GB2312" w:eastAsia="仿宋_GB2312" w:cs="仿宋_GB2312"/>
          <w:bCs/>
          <w:color w:val="auto"/>
          <w:sz w:val="32"/>
          <w:szCs w:val="32"/>
          <w:highlight w:val="none"/>
        </w:rPr>
      </w:pPr>
    </w:p>
    <w:p w14:paraId="3FDFAC6F">
      <w:pPr>
        <w:pStyle w:val="23"/>
        <w:pageBreakBefore w:val="0"/>
        <w:kinsoku/>
        <w:wordWrap/>
        <w:topLinePunct w:val="0"/>
        <w:bidi w:val="0"/>
        <w:spacing w:line="360" w:lineRule="auto"/>
        <w:ind w:left="1620" w:hanging="420"/>
        <w:rPr>
          <w:rFonts w:hint="eastAsia" w:ascii="仿宋_GB2312" w:hAnsi="仿宋_GB2312" w:eastAsia="仿宋_GB2312" w:cs="仿宋_GB2312"/>
          <w:color w:val="auto"/>
          <w:sz w:val="32"/>
          <w:szCs w:val="32"/>
          <w:highlight w:val="none"/>
        </w:rPr>
      </w:pPr>
    </w:p>
    <w:p w14:paraId="6668EC91">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  标  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（盖章）</w:t>
      </w:r>
    </w:p>
    <w:p w14:paraId="7FF0094E">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0ED52725">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法定代表人或其委托代理人：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（签字</w:t>
      </w:r>
      <w:r>
        <w:rPr>
          <w:rFonts w:hint="eastAsia" w:ascii="仿宋_GB2312" w:hAnsi="仿宋_GB2312" w:eastAsia="仿宋_GB2312" w:cs="仿宋_GB2312"/>
          <w:color w:val="auto"/>
          <w:sz w:val="32"/>
          <w:szCs w:val="32"/>
          <w:highlight w:val="none"/>
          <w:lang w:val="en-US" w:eastAsia="zh-CN"/>
        </w:rPr>
        <w:t>或盖章</w:t>
      </w:r>
      <w:r>
        <w:rPr>
          <w:rFonts w:hint="eastAsia" w:ascii="仿宋_GB2312" w:hAnsi="仿宋_GB2312" w:eastAsia="仿宋_GB2312" w:cs="仿宋_GB2312"/>
          <w:color w:val="auto"/>
          <w:sz w:val="32"/>
          <w:szCs w:val="32"/>
          <w:highlight w:val="none"/>
        </w:rPr>
        <w:t>）</w:t>
      </w:r>
    </w:p>
    <w:p w14:paraId="0113BBEC">
      <w:pPr>
        <w:pStyle w:val="23"/>
        <w:pageBreakBefore w:val="0"/>
        <w:kinsoku/>
        <w:wordWrap/>
        <w:topLinePunct w:val="0"/>
        <w:bidi w:val="0"/>
        <w:spacing w:line="360" w:lineRule="auto"/>
        <w:rPr>
          <w:rFonts w:hint="eastAsia" w:ascii="仿宋_GB2312" w:hAnsi="仿宋_GB2312" w:eastAsia="仿宋_GB2312" w:cs="仿宋_GB2312"/>
          <w:b/>
          <w:bCs/>
          <w:color w:val="auto"/>
          <w:sz w:val="32"/>
          <w:szCs w:val="32"/>
          <w:highlight w:val="none"/>
        </w:rPr>
      </w:pPr>
    </w:p>
    <w:p w14:paraId="64E17636">
      <w:pPr>
        <w:pStyle w:val="23"/>
        <w:pageBreakBefore w:val="0"/>
        <w:kinsoku/>
        <w:wordWrap/>
        <w:topLinePunct w:val="0"/>
        <w:bidi w:val="0"/>
        <w:spacing w:line="360" w:lineRule="auto"/>
        <w:rPr>
          <w:rFonts w:hint="eastAsia" w:ascii="仿宋_GB2312" w:hAnsi="仿宋_GB2312" w:eastAsia="仿宋_GB2312" w:cs="仿宋_GB2312"/>
          <w:b/>
          <w:bCs/>
          <w:color w:val="auto"/>
          <w:sz w:val="32"/>
          <w:szCs w:val="32"/>
          <w:highlight w:val="none"/>
        </w:rPr>
      </w:pPr>
    </w:p>
    <w:p w14:paraId="4FA908A8">
      <w:pPr>
        <w:pStyle w:val="63"/>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仿宋_GB2312" w:hAnsi="仿宋_GB2312" w:eastAsia="仿宋_GB2312" w:cs="仿宋_GB2312"/>
          <w:color w:val="auto"/>
          <w:sz w:val="32"/>
          <w:szCs w:val="32"/>
          <w:highlight w:val="none"/>
        </w:rPr>
      </w:pPr>
      <w:bookmarkStart w:id="317" w:name="_Toc28582"/>
      <w:bookmarkStart w:id="318" w:name="_Toc9258"/>
      <w:bookmarkStart w:id="319" w:name="_Toc17805"/>
      <w:bookmarkStart w:id="320" w:name="_Toc50459038"/>
      <w:r>
        <w:rPr>
          <w:rStyle w:val="64"/>
          <w:rFonts w:hint="eastAsia" w:hAnsi="仿宋_GB2312" w:cs="仿宋_GB2312"/>
          <w:b/>
          <w:bCs w:val="0"/>
          <w:color w:val="auto"/>
          <w:sz w:val="32"/>
          <w:szCs w:val="32"/>
          <w:highlight w:val="none"/>
          <w:lang w:val="en-US" w:eastAsia="zh-CN"/>
        </w:rPr>
        <w:t>5</w:t>
      </w:r>
      <w:r>
        <w:rPr>
          <w:rStyle w:val="64"/>
          <w:rFonts w:hint="eastAsia" w:ascii="仿宋_GB2312" w:hAnsi="仿宋_GB2312" w:eastAsia="仿宋_GB2312" w:cs="仿宋_GB2312"/>
          <w:b/>
          <w:bCs w:val="0"/>
          <w:color w:val="auto"/>
          <w:sz w:val="32"/>
          <w:szCs w:val="32"/>
          <w:highlight w:val="none"/>
          <w:lang w:val="en-US" w:eastAsia="zh-CN"/>
        </w:rPr>
        <w:t>、</w:t>
      </w:r>
      <w:bookmarkEnd w:id="317"/>
      <w:bookmarkEnd w:id="318"/>
      <w:bookmarkEnd w:id="319"/>
      <w:bookmarkEnd w:id="320"/>
      <w:r>
        <w:rPr>
          <w:rFonts w:hint="eastAsia" w:ascii="仿宋_GB2312" w:hAnsi="仿宋_GB2312" w:eastAsia="仿宋_GB2312" w:cs="仿宋_GB2312"/>
          <w:b/>
          <w:bCs w:val="0"/>
          <w:color w:val="auto"/>
          <w:sz w:val="32"/>
          <w:szCs w:val="32"/>
          <w:highlight w:val="none"/>
          <w:lang w:val="en-US" w:eastAsia="zh-CN"/>
        </w:rPr>
        <w:t>投标保证金打款凭证或投标保函</w:t>
      </w:r>
    </w:p>
    <w:p w14:paraId="5C7BA1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新疆金斌工程项目管理有限公司</w:t>
      </w:r>
      <w:r>
        <w:rPr>
          <w:rFonts w:hint="eastAsia" w:ascii="仿宋_GB2312" w:hAnsi="仿宋_GB2312" w:eastAsia="仿宋_GB2312" w:cs="仿宋_GB2312"/>
          <w:color w:val="auto"/>
          <w:sz w:val="32"/>
          <w:szCs w:val="32"/>
          <w:highlight w:val="none"/>
        </w:rPr>
        <w:t>：</w:t>
      </w:r>
    </w:p>
    <w:p w14:paraId="07CE3CB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本单位已按</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（项目名称）</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rPr>
        <w:t>（采购编号：</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要求，于年月日前以</w:t>
      </w:r>
      <w:r>
        <w:rPr>
          <w:rFonts w:hint="eastAsia" w:ascii="仿宋_GB2312" w:hAnsi="仿宋_GB2312" w:eastAsia="仿宋_GB2312" w:cs="仿宋_GB2312"/>
          <w:color w:val="auto"/>
          <w:sz w:val="32"/>
          <w:szCs w:val="32"/>
          <w:highlight w:val="none"/>
          <w:u w:val="single"/>
        </w:rPr>
        <w:t xml:space="preserve">  （付款形式 ）</w:t>
      </w:r>
      <w:r>
        <w:rPr>
          <w:rFonts w:hint="eastAsia" w:ascii="仿宋_GB2312" w:hAnsi="仿宋_GB2312" w:eastAsia="仿宋_GB2312" w:cs="仿宋_GB2312"/>
          <w:color w:val="auto"/>
          <w:sz w:val="32"/>
          <w:szCs w:val="32"/>
          <w:highlight w:val="none"/>
        </w:rPr>
        <w:t>方式汇入指定账户（账户名称：,账号,开户银行：</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w:t>
      </w:r>
    </w:p>
    <w:p w14:paraId="7B53649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投标单位投标保证金的汇款情况：（详见附件一投标保证金进账单）</w:t>
      </w:r>
    </w:p>
    <w:p w14:paraId="53D0C6F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汇出时间：年月日：</w:t>
      </w:r>
    </w:p>
    <w:p w14:paraId="73CD0C2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汇款金额：（大写）人民币</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rPr>
        <w:t>元整</w:t>
      </w:r>
    </w:p>
    <w:p w14:paraId="36481DD0">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（小写：¥元）</w:t>
      </w:r>
    </w:p>
    <w:p w14:paraId="2E66BB6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汇款账户名称：</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（必须是投标时使用的单位名称）</w:t>
      </w:r>
    </w:p>
    <w:p w14:paraId="6938FA2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帐号：</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u w:val="single"/>
        </w:rPr>
        <w:t>（必须是投标时使用的账号）</w:t>
      </w:r>
    </w:p>
    <w:p w14:paraId="0058D46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开户银行：</w:t>
      </w:r>
      <w:r>
        <w:rPr>
          <w:rFonts w:hint="eastAsia" w:ascii="仿宋_GB2312" w:hAnsi="仿宋_GB2312" w:eastAsia="仿宋_GB2312" w:cs="仿宋_GB2312"/>
          <w:color w:val="auto"/>
          <w:sz w:val="32"/>
          <w:szCs w:val="32"/>
          <w:highlight w:val="none"/>
          <w:u w:val="single"/>
        </w:rPr>
        <w:t>（银行省市分行/支行）</w:t>
      </w:r>
    </w:p>
    <w:p w14:paraId="019D5F2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行 号:</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59EF552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本单位谨承诺上述资料是正确、真实的，如因上述证明与事实不符导致的一切损失，本单位保证承担赔偿等一切法律责任。</w:t>
      </w:r>
    </w:p>
    <w:p w14:paraId="2E2E5BD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投标保证金退回时，请按上述资料退回。</w:t>
      </w:r>
    </w:p>
    <w:p w14:paraId="641C02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（单位公章）</w:t>
      </w:r>
    </w:p>
    <w:p w14:paraId="4455D0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年月日</w:t>
      </w:r>
    </w:p>
    <w:p w14:paraId="1487CA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08EF11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p>
    <w:p w14:paraId="41E3FE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单位电话：</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ab/>
      </w:r>
    </w:p>
    <w:p w14:paraId="662A7217">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lang w:val="en-US" w:eastAsia="zh-CN"/>
        </w:rPr>
      </w:pPr>
      <w:bookmarkStart w:id="321" w:name="_Toc8056"/>
      <w:r>
        <w:rPr>
          <w:rStyle w:val="64"/>
          <w:rFonts w:hint="eastAsia" w:ascii="仿宋_GB2312" w:hAnsi="仿宋_GB2312" w:eastAsia="仿宋_GB2312" w:cs="仿宋_GB2312"/>
          <w:b/>
          <w:bCs w:val="0"/>
          <w:color w:val="auto"/>
          <w:sz w:val="32"/>
          <w:szCs w:val="32"/>
          <w:highlight w:val="none"/>
          <w:lang w:val="en-US" w:eastAsia="zh-CN"/>
        </w:rPr>
        <w:t>6、技术条件响应/偏离表</w:t>
      </w:r>
      <w:bookmarkEnd w:id="321"/>
    </w:p>
    <w:p w14:paraId="1D997A53">
      <w:pPr>
        <w:pageBreakBefore w:val="0"/>
        <w:kinsoku/>
        <w:wordWrap/>
        <w:topLinePunct w:val="0"/>
        <w:bidi w:val="0"/>
        <w:spacing w:after="156" w:afterLines="50"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投标人名称（公章）：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编号：</w:t>
      </w:r>
      <w:r>
        <w:rPr>
          <w:rFonts w:hint="eastAsia" w:ascii="仿宋_GB2312" w:hAnsi="仿宋_GB2312" w:eastAsia="仿宋_GB2312" w:cs="仿宋_GB2312"/>
          <w:color w:val="auto"/>
          <w:sz w:val="32"/>
          <w:szCs w:val="32"/>
          <w:highlight w:val="none"/>
          <w:u w:val="single"/>
        </w:rPr>
        <w:t>　　　　　　　　　　</w:t>
      </w:r>
    </w:p>
    <w:tbl>
      <w:tblPr>
        <w:tblStyle w:val="3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10B7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vAlign w:val="center"/>
          </w:tcPr>
          <w:p w14:paraId="6F5D8FA1">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37" w:type="dxa"/>
            <w:vAlign w:val="center"/>
          </w:tcPr>
          <w:p w14:paraId="195C0A97">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279" w:type="dxa"/>
            <w:vAlign w:val="center"/>
          </w:tcPr>
          <w:p w14:paraId="3518464B">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文件要求</w:t>
            </w:r>
          </w:p>
        </w:tc>
        <w:tc>
          <w:tcPr>
            <w:tcW w:w="2167" w:type="dxa"/>
            <w:vAlign w:val="center"/>
          </w:tcPr>
          <w:p w14:paraId="47E7B6E0">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投标响应</w:t>
            </w:r>
          </w:p>
        </w:tc>
        <w:tc>
          <w:tcPr>
            <w:tcW w:w="2279" w:type="dxa"/>
            <w:vAlign w:val="center"/>
          </w:tcPr>
          <w:p w14:paraId="7B2D2146">
            <w:pPr>
              <w:pageBreakBefore w:val="0"/>
              <w:kinsoku/>
              <w:wordWrap/>
              <w:topLinePunct w:val="0"/>
              <w:bidi w:val="0"/>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偏离对</w:t>
            </w:r>
            <w:r>
              <w:rPr>
                <w:rFonts w:hint="eastAsia" w:ascii="仿宋_GB2312" w:hAnsi="仿宋_GB2312" w:eastAsia="仿宋_GB2312" w:cs="仿宋_GB2312"/>
                <w:sz w:val="32"/>
                <w:szCs w:val="32"/>
                <w:lang w:val="en-US" w:eastAsia="zh-CN"/>
              </w:rPr>
              <w:t>货物或服务</w:t>
            </w:r>
            <w:r>
              <w:rPr>
                <w:rFonts w:hint="eastAsia" w:ascii="仿宋_GB2312" w:hAnsi="仿宋_GB2312" w:eastAsia="仿宋_GB2312" w:cs="仿宋_GB2312"/>
                <w:sz w:val="32"/>
                <w:szCs w:val="32"/>
              </w:rPr>
              <w:t>的影响</w:t>
            </w:r>
          </w:p>
        </w:tc>
      </w:tr>
      <w:tr w14:paraId="15F9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5659FF0E">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30F74FC0">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1BAF299A">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4FC1692C">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2A4F651C">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4998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5E0B0EE3">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0283279F">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46188892">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6E84B9E8">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783EBC5E">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62C5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1C28FED5">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645B4290">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40662D81">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3682BE4D">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19198348">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6B7F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3D087D98">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7214D77E">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100902A3">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5377E259">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49D9224A">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7100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351EAB67">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3F9313E8">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34CD21EE">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58B9E655">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434EBD6B">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6B48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vAlign w:val="top"/>
          </w:tcPr>
          <w:p w14:paraId="43C54C0E">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6AA07E3C">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0CC37DE8">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4EFF1806">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51BF91F4">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r w14:paraId="65A3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vAlign w:val="top"/>
          </w:tcPr>
          <w:p w14:paraId="0D6B551F">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037" w:type="dxa"/>
            <w:vAlign w:val="top"/>
          </w:tcPr>
          <w:p w14:paraId="33396A1B">
            <w:pPr>
              <w:pageBreakBefore w:val="0"/>
              <w:kinsoku/>
              <w:wordWrap/>
              <w:topLinePunct w:val="0"/>
              <w:bidi w:val="0"/>
              <w:spacing w:line="360" w:lineRule="auto"/>
              <w:ind w:right="105" w:rightChars="50"/>
              <w:rPr>
                <w:rFonts w:hint="eastAsia" w:ascii="仿宋_GB2312" w:hAnsi="仿宋_GB2312" w:eastAsia="仿宋_GB2312" w:cs="仿宋_GB2312"/>
                <w:color w:val="FF0000"/>
                <w:sz w:val="32"/>
                <w:szCs w:val="32"/>
              </w:rPr>
            </w:pPr>
          </w:p>
        </w:tc>
        <w:tc>
          <w:tcPr>
            <w:tcW w:w="2279" w:type="dxa"/>
            <w:vAlign w:val="top"/>
          </w:tcPr>
          <w:p w14:paraId="2D4B82C5">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167" w:type="dxa"/>
            <w:vAlign w:val="top"/>
          </w:tcPr>
          <w:p w14:paraId="2BADAC12">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c>
          <w:tcPr>
            <w:tcW w:w="2279" w:type="dxa"/>
            <w:vAlign w:val="top"/>
          </w:tcPr>
          <w:p w14:paraId="700015D4">
            <w:pPr>
              <w:pageBreakBefore w:val="0"/>
              <w:kinsoku/>
              <w:wordWrap/>
              <w:topLinePunct w:val="0"/>
              <w:bidi w:val="0"/>
              <w:spacing w:line="360" w:lineRule="auto"/>
              <w:ind w:right="105" w:rightChars="50"/>
              <w:rPr>
                <w:rFonts w:hint="eastAsia" w:ascii="仿宋_GB2312" w:hAnsi="仿宋_GB2312" w:eastAsia="仿宋_GB2312" w:cs="仿宋_GB2312"/>
                <w:sz w:val="32"/>
                <w:szCs w:val="32"/>
              </w:rPr>
            </w:pPr>
          </w:p>
        </w:tc>
      </w:tr>
    </w:tbl>
    <w:p w14:paraId="74B50FF3">
      <w:pPr>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lang w:val="en-US" w:eastAsia="zh-CN"/>
        </w:rPr>
        <w:t>技术参数</w:t>
      </w:r>
      <w:r>
        <w:rPr>
          <w:rFonts w:hint="eastAsia" w:ascii="仿宋_GB2312" w:hAnsi="仿宋_GB2312" w:eastAsia="仿宋_GB2312" w:cs="仿宋_GB2312"/>
          <w:color w:val="auto"/>
          <w:sz w:val="32"/>
          <w:szCs w:val="32"/>
          <w:highlight w:val="none"/>
        </w:rPr>
        <w:t>要求逐条对应填写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投标人必须</w:t>
      </w:r>
      <w:r>
        <w:rPr>
          <w:rFonts w:hint="eastAsia" w:ascii="仿宋_GB2312" w:hAnsi="仿宋_GB2312" w:eastAsia="仿宋_GB2312" w:cs="仿宋_GB2312"/>
          <w:color w:val="auto"/>
          <w:sz w:val="32"/>
          <w:szCs w:val="32"/>
          <w:lang w:val="en-US" w:eastAsia="zh-CN"/>
        </w:rPr>
        <w:t>根</w:t>
      </w:r>
      <w:r>
        <w:rPr>
          <w:rFonts w:hint="eastAsia" w:ascii="仿宋_GB2312" w:hAnsi="仿宋_GB2312" w:eastAsia="仿宋_GB2312" w:cs="仿宋_GB2312"/>
          <w:color w:val="auto"/>
          <w:sz w:val="32"/>
          <w:szCs w:val="32"/>
        </w:rPr>
        <w:t>据</w:t>
      </w:r>
      <w:r>
        <w:rPr>
          <w:rFonts w:hint="eastAsia" w:ascii="仿宋_GB2312" w:hAnsi="仿宋_GB2312" w:eastAsia="仿宋_GB2312" w:cs="仿宋_GB2312"/>
          <w:color w:val="auto"/>
          <w:sz w:val="32"/>
          <w:szCs w:val="32"/>
          <w:lang w:val="en-US" w:eastAsia="zh-CN"/>
        </w:rPr>
        <w:t>所提供的</w:t>
      </w:r>
      <w:r>
        <w:rPr>
          <w:rFonts w:hint="eastAsia" w:ascii="仿宋_GB2312" w:hAnsi="仿宋_GB2312" w:eastAsia="仿宋_GB2312" w:cs="仿宋_GB2312"/>
          <w:b w:val="0"/>
          <w:bCs/>
          <w:color w:val="auto"/>
          <w:sz w:val="32"/>
          <w:szCs w:val="32"/>
        </w:rPr>
        <w:t>相应</w:t>
      </w:r>
      <w:r>
        <w:rPr>
          <w:rFonts w:hint="eastAsia" w:ascii="仿宋_GB2312" w:hAnsi="仿宋_GB2312" w:eastAsia="仿宋_GB2312" w:cs="仿宋_GB2312"/>
          <w:b w:val="0"/>
          <w:bCs/>
          <w:color w:val="auto"/>
          <w:sz w:val="32"/>
          <w:szCs w:val="32"/>
          <w:lang w:val="en-US" w:eastAsia="zh-CN"/>
        </w:rPr>
        <w:t>服务内容如</w:t>
      </w:r>
      <w:r>
        <w:rPr>
          <w:rFonts w:hint="eastAsia" w:ascii="仿宋_GB2312" w:hAnsi="仿宋_GB2312" w:eastAsia="仿宋_GB2312" w:cs="仿宋_GB2312"/>
          <w:color w:val="auto"/>
          <w:sz w:val="32"/>
          <w:szCs w:val="32"/>
        </w:rPr>
        <w:t>实填写，不得虚假响应，否则将取消其投标或中标资格，并按有关规定进行处罚。</w:t>
      </w:r>
    </w:p>
    <w:p w14:paraId="1D2333B7">
      <w:pPr>
        <w:pStyle w:val="6"/>
        <w:pageBreakBefore w:val="0"/>
        <w:kinsoku/>
        <w:wordWrap/>
        <w:topLinePunct w:val="0"/>
        <w:bidi w:val="0"/>
        <w:spacing w:line="360" w:lineRule="auto"/>
        <w:rPr>
          <w:rFonts w:hint="eastAsia" w:ascii="仿宋_GB2312" w:hAnsi="仿宋_GB2312" w:eastAsia="仿宋_GB2312" w:cs="仿宋_GB2312"/>
          <w:sz w:val="32"/>
          <w:szCs w:val="32"/>
        </w:rPr>
      </w:pPr>
    </w:p>
    <w:p w14:paraId="7CDDC456">
      <w:pPr>
        <w:pageBreakBefore w:val="0"/>
        <w:kinsoku/>
        <w:wordWrap/>
        <w:topLinePunct w:val="0"/>
        <w:bidi w:val="0"/>
        <w:spacing w:line="360" w:lineRule="auto"/>
        <w:rPr>
          <w:rFonts w:hint="eastAsia" w:ascii="仿宋_GB2312" w:hAnsi="仿宋_GB2312" w:eastAsia="仿宋_GB2312" w:cs="仿宋_GB2312"/>
          <w:sz w:val="32"/>
          <w:szCs w:val="32"/>
        </w:rPr>
      </w:pPr>
    </w:p>
    <w:p w14:paraId="7D7705C0">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投标人代表签字</w:t>
      </w:r>
      <w:r>
        <w:rPr>
          <w:rFonts w:hint="eastAsia" w:ascii="仿宋_GB2312" w:hAnsi="仿宋_GB2312" w:eastAsia="仿宋_GB2312" w:cs="仿宋_GB2312"/>
          <w:color w:val="auto"/>
          <w:sz w:val="32"/>
          <w:szCs w:val="32"/>
          <w:highlight w:val="none"/>
          <w:lang w:val="en-US" w:eastAsia="zh-CN"/>
        </w:rPr>
        <w:t>或盖章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w:t>
      </w:r>
    </w:p>
    <w:p w14:paraId="798836DC">
      <w:pPr>
        <w:pStyle w:val="20"/>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77AA3CF7">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lang w:val="en-US" w:eastAsia="zh-CN"/>
        </w:rPr>
      </w:pPr>
      <w:bookmarkStart w:id="322" w:name="_Toc7233"/>
      <w:r>
        <w:rPr>
          <w:rStyle w:val="64"/>
          <w:rFonts w:hint="eastAsia" w:ascii="仿宋_GB2312" w:hAnsi="仿宋_GB2312" w:eastAsia="仿宋_GB2312" w:cs="仿宋_GB2312"/>
          <w:b/>
          <w:bCs w:val="0"/>
          <w:color w:val="auto"/>
          <w:sz w:val="32"/>
          <w:szCs w:val="32"/>
          <w:highlight w:val="none"/>
          <w:lang w:val="en-US" w:eastAsia="zh-CN"/>
        </w:rPr>
        <w:t>7、商务条件响应/偏离表</w:t>
      </w:r>
      <w:bookmarkEnd w:id="322"/>
    </w:p>
    <w:p w14:paraId="2018C579">
      <w:pPr>
        <w:pageBreakBefore w:val="0"/>
        <w:kinsoku/>
        <w:wordWrap/>
        <w:topLinePunct w:val="0"/>
        <w:bidi w:val="0"/>
        <w:spacing w:after="156" w:afterLines="50"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投标人名称（公章）：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编号：</w:t>
      </w:r>
      <w:r>
        <w:rPr>
          <w:rFonts w:hint="eastAsia" w:ascii="仿宋_GB2312" w:hAnsi="仿宋_GB2312" w:eastAsia="仿宋_GB2312" w:cs="仿宋_GB2312"/>
          <w:color w:val="auto"/>
          <w:sz w:val="32"/>
          <w:szCs w:val="32"/>
          <w:highlight w:val="none"/>
          <w:u w:val="single"/>
        </w:rPr>
        <w:t>　　　　　　　　　　</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A8A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vAlign w:val="center"/>
          </w:tcPr>
          <w:p w14:paraId="22079E78">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1704" w:type="dxa"/>
            <w:vAlign w:val="center"/>
          </w:tcPr>
          <w:p w14:paraId="5C9A906B">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w:t>
            </w:r>
            <w:r>
              <w:rPr>
                <w:rFonts w:hint="eastAsia" w:ascii="仿宋_GB2312" w:hAnsi="仿宋_GB2312" w:eastAsia="仿宋_GB2312" w:cs="仿宋_GB2312"/>
                <w:color w:val="auto"/>
                <w:sz w:val="32"/>
                <w:szCs w:val="32"/>
                <w:highlight w:val="none"/>
                <w:lang w:val="en-US" w:eastAsia="zh-CN"/>
              </w:rPr>
              <w:t>文件</w:t>
            </w:r>
            <w:r>
              <w:rPr>
                <w:rFonts w:hint="eastAsia" w:ascii="仿宋_GB2312" w:hAnsi="仿宋_GB2312" w:eastAsia="仿宋_GB2312" w:cs="仿宋_GB2312"/>
                <w:color w:val="auto"/>
                <w:sz w:val="32"/>
                <w:szCs w:val="32"/>
                <w:highlight w:val="none"/>
              </w:rPr>
              <w:t>要求</w:t>
            </w:r>
          </w:p>
        </w:tc>
        <w:tc>
          <w:tcPr>
            <w:tcW w:w="1704" w:type="dxa"/>
            <w:vAlign w:val="center"/>
          </w:tcPr>
          <w:p w14:paraId="7F3DF65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w:t>
            </w:r>
            <w:r>
              <w:rPr>
                <w:rFonts w:hint="eastAsia" w:ascii="仿宋_GB2312" w:hAnsi="仿宋_GB2312" w:eastAsia="仿宋_GB2312" w:cs="仿宋_GB2312"/>
                <w:color w:val="auto"/>
                <w:sz w:val="32"/>
                <w:szCs w:val="32"/>
                <w:highlight w:val="none"/>
                <w:lang w:val="en-US" w:eastAsia="zh-CN"/>
              </w:rPr>
              <w:t>文件</w:t>
            </w:r>
            <w:r>
              <w:rPr>
                <w:rFonts w:hint="eastAsia" w:ascii="仿宋_GB2312" w:hAnsi="仿宋_GB2312" w:eastAsia="仿宋_GB2312" w:cs="仿宋_GB2312"/>
                <w:color w:val="auto"/>
                <w:sz w:val="32"/>
                <w:szCs w:val="32"/>
                <w:highlight w:val="none"/>
              </w:rPr>
              <w:t>响应</w:t>
            </w:r>
          </w:p>
        </w:tc>
        <w:tc>
          <w:tcPr>
            <w:tcW w:w="1705" w:type="dxa"/>
            <w:vAlign w:val="center"/>
          </w:tcPr>
          <w:p w14:paraId="75D5046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响应/偏离</w:t>
            </w:r>
          </w:p>
        </w:tc>
        <w:tc>
          <w:tcPr>
            <w:tcW w:w="1705" w:type="dxa"/>
            <w:vAlign w:val="center"/>
          </w:tcPr>
          <w:p w14:paraId="7542175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w:t>
            </w:r>
          </w:p>
        </w:tc>
      </w:tr>
      <w:tr w14:paraId="0E48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6069989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704" w:type="dxa"/>
          </w:tcPr>
          <w:p w14:paraId="0EED3F15">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合同履行期限</w:t>
            </w:r>
          </w:p>
        </w:tc>
        <w:tc>
          <w:tcPr>
            <w:tcW w:w="1704" w:type="dxa"/>
          </w:tcPr>
          <w:p w14:paraId="1E5481AA">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37B27ADF">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5A2ADA6E">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4B3E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3A52B8BB">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704" w:type="dxa"/>
          </w:tcPr>
          <w:p w14:paraId="025B471A">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服务地点</w:t>
            </w:r>
          </w:p>
        </w:tc>
        <w:tc>
          <w:tcPr>
            <w:tcW w:w="1704" w:type="dxa"/>
          </w:tcPr>
          <w:p w14:paraId="30AC2AC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6860C043">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186A92CE">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06F4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4BDD1B6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704" w:type="dxa"/>
          </w:tcPr>
          <w:p w14:paraId="31D5408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付款方式</w:t>
            </w:r>
          </w:p>
        </w:tc>
        <w:tc>
          <w:tcPr>
            <w:tcW w:w="1704" w:type="dxa"/>
          </w:tcPr>
          <w:p w14:paraId="59161725">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721A042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4194588E">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4596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174CE7B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p>
        </w:tc>
        <w:tc>
          <w:tcPr>
            <w:tcW w:w="1704" w:type="dxa"/>
          </w:tcPr>
          <w:p w14:paraId="72A8E16B">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服务承诺</w:t>
            </w:r>
          </w:p>
        </w:tc>
        <w:tc>
          <w:tcPr>
            <w:tcW w:w="1704" w:type="dxa"/>
          </w:tcPr>
          <w:p w14:paraId="1FEF6759">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2CA27FCA">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484C252B">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2FFA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690B8704">
            <w:pPr>
              <w:pageBreakBefore w:val="0"/>
              <w:kinsoku/>
              <w:wordWrap/>
              <w:topLinePunct w:val="0"/>
              <w:bidi w:val="0"/>
              <w:spacing w:line="360" w:lineRule="auto"/>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p>
        </w:tc>
        <w:tc>
          <w:tcPr>
            <w:tcW w:w="1704" w:type="dxa"/>
          </w:tcPr>
          <w:p w14:paraId="1D9F0554">
            <w:pPr>
              <w:pageBreakBefore w:val="0"/>
              <w:kinsoku/>
              <w:wordWrap/>
              <w:topLinePunct w:val="0"/>
              <w:bidi w:val="0"/>
              <w:spacing w:line="360" w:lineRule="auto"/>
              <w:rPr>
                <w:rFonts w:hint="default" w:ascii="仿宋_GB2312" w:hAnsi="仿宋_GB2312" w:eastAsia="仿宋_GB2312" w:cs="仿宋_GB2312"/>
                <w:color w:val="auto"/>
                <w:sz w:val="32"/>
                <w:szCs w:val="32"/>
                <w:highlight w:val="none"/>
                <w:lang w:val="en-US" w:eastAsia="zh-CN"/>
              </w:rPr>
            </w:pPr>
          </w:p>
        </w:tc>
        <w:tc>
          <w:tcPr>
            <w:tcW w:w="1704" w:type="dxa"/>
          </w:tcPr>
          <w:p w14:paraId="6B38CA1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58F053AF">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78BAAC32">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5C24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273D4BA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704" w:type="dxa"/>
          </w:tcPr>
          <w:p w14:paraId="0513363D">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4" w:type="dxa"/>
          </w:tcPr>
          <w:p w14:paraId="23DB8B5A">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2871B9CA">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65E389D2">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r w14:paraId="71BD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14:paraId="1193AFB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704" w:type="dxa"/>
          </w:tcPr>
          <w:p w14:paraId="2A012D0A">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4" w:type="dxa"/>
          </w:tcPr>
          <w:p w14:paraId="56DB76D9">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34FEE72D">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c>
          <w:tcPr>
            <w:tcW w:w="1705" w:type="dxa"/>
          </w:tcPr>
          <w:p w14:paraId="0E1FBD74">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tc>
      </w:tr>
    </w:tbl>
    <w:p w14:paraId="7E583CC4">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注：与</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要求逐条对应填写。</w:t>
      </w:r>
    </w:p>
    <w:p w14:paraId="5635EFDA">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投标人代表签字：</w:t>
      </w:r>
      <w:r>
        <w:rPr>
          <w:rFonts w:hint="eastAsia" w:ascii="仿宋_GB2312" w:hAnsi="仿宋_GB2312" w:eastAsia="仿宋_GB2312" w:cs="仿宋_GB2312"/>
          <w:color w:val="auto"/>
          <w:sz w:val="32"/>
          <w:szCs w:val="32"/>
          <w:highlight w:val="none"/>
          <w:u w:val="single"/>
        </w:rPr>
        <w:t>　　　　　　　　　　　　　　　</w:t>
      </w:r>
    </w:p>
    <w:p w14:paraId="4EBDBF75">
      <w:pPr>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br w:type="page"/>
      </w:r>
    </w:p>
    <w:p w14:paraId="25873964">
      <w:pPr>
        <w:pStyle w:val="5"/>
        <w:pageBreakBefore w:val="0"/>
        <w:kinsoku/>
        <w:wordWrap/>
        <w:topLinePunct w:val="0"/>
        <w:bidi w:val="0"/>
        <w:spacing w:line="360" w:lineRule="auto"/>
        <w:jc w:val="center"/>
        <w:rPr>
          <w:rFonts w:hint="eastAsia" w:ascii="仿宋_GB2312" w:hAnsi="仿宋_GB2312" w:eastAsia="仿宋_GB2312" w:cs="仿宋_GB2312"/>
          <w:sz w:val="32"/>
          <w:szCs w:val="32"/>
          <w:lang w:val="en-US" w:eastAsia="zh-CN"/>
        </w:rPr>
      </w:pPr>
      <w:r>
        <w:rPr>
          <w:rStyle w:val="64"/>
          <w:rFonts w:hint="eastAsia" w:ascii="仿宋_GB2312" w:hAnsi="仿宋_GB2312" w:eastAsia="仿宋_GB2312" w:cs="仿宋_GB2312"/>
          <w:b/>
          <w:bCs w:val="0"/>
          <w:color w:val="auto"/>
          <w:sz w:val="32"/>
          <w:szCs w:val="32"/>
          <w:highlight w:val="none"/>
          <w:lang w:val="en-US" w:eastAsia="zh-CN"/>
        </w:rPr>
        <w:t>8、相应的资格证明文件以及商务因素、技术因素、服务因素所需证明资料（包括不限于企业简介、企业相关证件等）（格式自拟）</w:t>
      </w:r>
    </w:p>
    <w:p w14:paraId="25123AD2">
      <w:pPr>
        <w:pageBreakBefore w:val="0"/>
        <w:numPr>
          <w:ilvl w:val="0"/>
          <w:numId w:val="0"/>
        </w:numPr>
        <w:kinsoku/>
        <w:wordWrap/>
        <w:topLinePunct w:val="0"/>
        <w:bidi w:val="0"/>
        <w:spacing w:line="360" w:lineRule="auto"/>
        <w:rPr>
          <w:rFonts w:hint="eastAsia" w:ascii="仿宋_GB2312" w:hAnsi="仿宋_GB2312" w:eastAsia="仿宋_GB2312" w:cs="仿宋_GB2312"/>
          <w:sz w:val="32"/>
          <w:szCs w:val="32"/>
          <w:lang w:val="en-US" w:eastAsia="zh-CN"/>
        </w:rPr>
      </w:pPr>
    </w:p>
    <w:p w14:paraId="3AFAF5FD">
      <w:pPr>
        <w:pStyle w:val="20"/>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699147F5">
      <w:pPr>
        <w:pStyle w:val="63"/>
        <w:keepNext w:val="0"/>
        <w:keepLines w:val="0"/>
        <w:pageBreakBefore w:val="0"/>
        <w:widowControl w:val="0"/>
        <w:kinsoku/>
        <w:wordWrap/>
        <w:overflowPunct/>
        <w:topLinePunct w:val="0"/>
        <w:bidi w:val="0"/>
        <w:spacing w:line="360" w:lineRule="auto"/>
        <w:ind w:firstLine="482"/>
        <w:jc w:val="center"/>
        <w:textAlignment w:val="auto"/>
        <w:rPr>
          <w:rFonts w:hint="eastAsia" w:ascii="仿宋_GB2312" w:hAnsi="仿宋_GB2312" w:eastAsia="仿宋_GB2312" w:cs="仿宋_GB2312"/>
          <w:b/>
          <w:bCs w:val="0"/>
          <w:color w:val="auto"/>
          <w:sz w:val="32"/>
          <w:szCs w:val="32"/>
          <w:highlight w:val="none"/>
        </w:rPr>
      </w:pPr>
      <w:bookmarkStart w:id="323" w:name="_Toc5499"/>
      <w:r>
        <w:rPr>
          <w:rStyle w:val="64"/>
          <w:rFonts w:hint="eastAsia" w:hAnsi="仿宋_GB2312" w:cs="仿宋_GB2312"/>
          <w:b/>
          <w:bCs w:val="0"/>
          <w:color w:val="auto"/>
          <w:sz w:val="32"/>
          <w:szCs w:val="32"/>
          <w:highlight w:val="none"/>
          <w:lang w:val="en-US" w:eastAsia="zh-CN"/>
        </w:rPr>
        <w:t>9</w:t>
      </w:r>
      <w:r>
        <w:rPr>
          <w:rStyle w:val="64"/>
          <w:rFonts w:hint="eastAsia" w:ascii="仿宋_GB2312" w:hAnsi="仿宋_GB2312" w:eastAsia="仿宋_GB2312" w:cs="仿宋_GB2312"/>
          <w:b/>
          <w:bCs w:val="0"/>
          <w:color w:val="auto"/>
          <w:sz w:val="32"/>
          <w:szCs w:val="32"/>
          <w:highlight w:val="none"/>
          <w:lang w:val="en-US" w:eastAsia="zh-CN"/>
        </w:rPr>
        <w:t>、</w:t>
      </w:r>
      <w:bookmarkEnd w:id="323"/>
      <w:r>
        <w:rPr>
          <w:rFonts w:hint="eastAsia" w:ascii="仿宋_GB2312" w:hAnsi="仿宋_GB2312" w:eastAsia="仿宋_GB2312" w:cs="仿宋_GB2312"/>
          <w:b/>
          <w:bCs w:val="0"/>
          <w:color w:val="auto"/>
          <w:sz w:val="32"/>
          <w:szCs w:val="32"/>
          <w:highlight w:val="none"/>
        </w:rPr>
        <w:t>投标人近三年（20</w:t>
      </w:r>
      <w:r>
        <w:rPr>
          <w:rFonts w:hint="eastAsia" w:ascii="仿宋_GB2312" w:hAnsi="仿宋_GB2312" w:eastAsia="仿宋_GB2312" w:cs="仿宋_GB2312"/>
          <w:b/>
          <w:bCs w:val="0"/>
          <w:color w:val="auto"/>
          <w:sz w:val="32"/>
          <w:szCs w:val="32"/>
          <w:highlight w:val="none"/>
          <w:lang w:val="en-US" w:eastAsia="zh-CN"/>
        </w:rPr>
        <w:t>2</w:t>
      </w:r>
      <w:r>
        <w:rPr>
          <w:rFonts w:hint="eastAsia" w:hAnsi="仿宋_GB2312" w:cs="仿宋_GB2312"/>
          <w:b/>
          <w:bCs w:val="0"/>
          <w:color w:val="auto"/>
          <w:sz w:val="32"/>
          <w:szCs w:val="32"/>
          <w:highlight w:val="none"/>
          <w:lang w:val="en-US" w:eastAsia="zh-CN"/>
        </w:rPr>
        <w:t>3</w:t>
      </w:r>
      <w:r>
        <w:rPr>
          <w:rFonts w:hint="eastAsia" w:ascii="仿宋_GB2312" w:hAnsi="仿宋_GB2312" w:eastAsia="仿宋_GB2312" w:cs="仿宋_GB2312"/>
          <w:b/>
          <w:bCs w:val="0"/>
          <w:color w:val="auto"/>
          <w:sz w:val="32"/>
          <w:szCs w:val="32"/>
          <w:highlight w:val="none"/>
        </w:rPr>
        <w:t>年</w:t>
      </w:r>
      <w:r>
        <w:rPr>
          <w:rFonts w:hint="eastAsia" w:hAnsi="仿宋_GB2312" w:cs="仿宋_GB2312"/>
          <w:b/>
          <w:bCs w:val="0"/>
          <w:color w:val="auto"/>
          <w:sz w:val="32"/>
          <w:szCs w:val="32"/>
          <w:highlight w:val="none"/>
          <w:lang w:val="en-US" w:eastAsia="zh-CN"/>
        </w:rPr>
        <w:t>04</w:t>
      </w:r>
      <w:r>
        <w:rPr>
          <w:rFonts w:hint="eastAsia" w:ascii="仿宋_GB2312" w:hAnsi="仿宋_GB2312" w:eastAsia="仿宋_GB2312" w:cs="仿宋_GB2312"/>
          <w:b/>
          <w:bCs w:val="0"/>
          <w:color w:val="auto"/>
          <w:sz w:val="32"/>
          <w:szCs w:val="32"/>
          <w:highlight w:val="none"/>
        </w:rPr>
        <w:t>月</w:t>
      </w:r>
      <w:r>
        <w:rPr>
          <w:rFonts w:hint="eastAsia" w:ascii="仿宋_GB2312" w:hAnsi="仿宋_GB2312" w:eastAsia="仿宋_GB2312" w:cs="仿宋_GB2312"/>
          <w:b/>
          <w:bCs w:val="0"/>
          <w:color w:val="auto"/>
          <w:sz w:val="32"/>
          <w:szCs w:val="32"/>
          <w:highlight w:val="none"/>
          <w:lang w:val="en-US" w:eastAsia="zh-CN"/>
        </w:rPr>
        <w:t>0</w:t>
      </w:r>
      <w:r>
        <w:rPr>
          <w:rFonts w:hint="eastAsia" w:ascii="仿宋_GB2312" w:hAnsi="仿宋_GB2312" w:eastAsia="仿宋_GB2312" w:cs="仿宋_GB2312"/>
          <w:b/>
          <w:bCs w:val="0"/>
          <w:color w:val="auto"/>
          <w:sz w:val="32"/>
          <w:szCs w:val="32"/>
          <w:highlight w:val="none"/>
        </w:rPr>
        <w:t>1日至今）类似项目业绩</w:t>
      </w:r>
      <w:r>
        <w:rPr>
          <w:rFonts w:hint="eastAsia" w:ascii="仿宋_GB2312" w:hAnsi="仿宋_GB2312" w:eastAsia="仿宋_GB2312" w:cs="仿宋_GB2312"/>
          <w:b/>
          <w:bCs w:val="0"/>
          <w:color w:val="auto"/>
          <w:sz w:val="32"/>
          <w:szCs w:val="32"/>
        </w:rPr>
        <w:t>（附</w:t>
      </w:r>
      <w:r>
        <w:rPr>
          <w:rFonts w:hint="eastAsia" w:ascii="仿宋_GB2312" w:hAnsi="仿宋_GB2312" w:eastAsia="仿宋_GB2312" w:cs="仿宋_GB2312"/>
          <w:b/>
          <w:bCs w:val="0"/>
          <w:color w:val="auto"/>
          <w:sz w:val="32"/>
          <w:szCs w:val="32"/>
          <w:lang w:val="en-US" w:eastAsia="zh-CN"/>
        </w:rPr>
        <w:t>类似</w:t>
      </w:r>
      <w:r>
        <w:rPr>
          <w:rFonts w:hint="eastAsia" w:ascii="仿宋_GB2312" w:hAnsi="仿宋_GB2312" w:eastAsia="仿宋_GB2312" w:cs="仿宋_GB2312"/>
          <w:b/>
          <w:bCs w:val="0"/>
          <w:color w:val="auto"/>
          <w:sz w:val="32"/>
          <w:szCs w:val="32"/>
        </w:rPr>
        <w:t>项目业绩</w:t>
      </w:r>
      <w:r>
        <w:rPr>
          <w:rFonts w:hint="eastAsia" w:ascii="仿宋_GB2312" w:hAnsi="仿宋_GB2312" w:eastAsia="仿宋_GB2312" w:cs="仿宋_GB2312"/>
          <w:b/>
          <w:bCs w:val="0"/>
          <w:color w:val="auto"/>
          <w:sz w:val="32"/>
          <w:szCs w:val="32"/>
          <w:lang w:val="en-US" w:eastAsia="zh-CN"/>
        </w:rPr>
        <w:t>中标通知书</w:t>
      </w:r>
      <w:r>
        <w:rPr>
          <w:rFonts w:hint="eastAsia" w:hAnsi="仿宋_GB2312" w:cs="仿宋_GB2312"/>
          <w:b/>
          <w:bCs w:val="0"/>
          <w:color w:val="auto"/>
          <w:sz w:val="32"/>
          <w:szCs w:val="32"/>
          <w:lang w:val="en-US" w:eastAsia="zh-CN"/>
        </w:rPr>
        <w:t>或</w:t>
      </w:r>
      <w:r>
        <w:rPr>
          <w:rFonts w:hint="eastAsia" w:ascii="仿宋_GB2312" w:hAnsi="仿宋_GB2312" w:eastAsia="仿宋_GB2312" w:cs="仿宋_GB2312"/>
          <w:b/>
          <w:bCs w:val="0"/>
          <w:color w:val="auto"/>
          <w:sz w:val="32"/>
          <w:szCs w:val="32"/>
        </w:rPr>
        <w:t>合同）</w:t>
      </w:r>
    </w:p>
    <w:tbl>
      <w:tblPr>
        <w:tblStyle w:val="31"/>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4C47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2AF2164B">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1512" w:type="dxa"/>
            <w:vAlign w:val="center"/>
          </w:tcPr>
          <w:p w14:paraId="56C2CD3B">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1512" w:type="dxa"/>
            <w:vAlign w:val="center"/>
          </w:tcPr>
          <w:p w14:paraId="197BBCD3">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项目内容</w:t>
            </w:r>
          </w:p>
        </w:tc>
        <w:tc>
          <w:tcPr>
            <w:tcW w:w="1512" w:type="dxa"/>
            <w:vAlign w:val="center"/>
          </w:tcPr>
          <w:p w14:paraId="153E4575">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合同总价</w:t>
            </w:r>
          </w:p>
        </w:tc>
        <w:tc>
          <w:tcPr>
            <w:tcW w:w="1514" w:type="dxa"/>
            <w:vAlign w:val="center"/>
          </w:tcPr>
          <w:p w14:paraId="18EDE8B1">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完成时间</w:t>
            </w:r>
          </w:p>
        </w:tc>
        <w:tc>
          <w:tcPr>
            <w:tcW w:w="1514" w:type="dxa"/>
            <w:vAlign w:val="center"/>
          </w:tcPr>
          <w:p w14:paraId="2C0D0711">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r>
      <w:tr w14:paraId="5478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30D294AF">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1CAE1D47">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2D3BF6CC">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6C824F0A">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1187E247">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525314D7">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4531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220D1898">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34690B96">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4537DDCB">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01E48FCD">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271219FC">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1AF203EB">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4B04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trPr>
        <w:tc>
          <w:tcPr>
            <w:tcW w:w="1512" w:type="dxa"/>
            <w:vAlign w:val="center"/>
          </w:tcPr>
          <w:p w14:paraId="5FBA966F">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5072449E">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6DEB6B4D">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0A8FECC0">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1E6B0669">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4900681C">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3851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trPr>
        <w:tc>
          <w:tcPr>
            <w:tcW w:w="1512" w:type="dxa"/>
            <w:vAlign w:val="center"/>
          </w:tcPr>
          <w:p w14:paraId="2DA075EA">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3629D5F3">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5742C2F6">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149CFABF">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79A9849E">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74B9EC6F">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1912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76D465FE">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6F5621EE">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58D433E6">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55A6702B">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60018CE4">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04BC62BE">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7107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14:paraId="4736D246">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393704B6">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5E73EC20">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118436E6">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6BED773B">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7B5C8DAD">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162A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vAlign w:val="center"/>
          </w:tcPr>
          <w:p w14:paraId="153D6832">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74909B59">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75A0C1F0">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2" w:type="dxa"/>
            <w:vAlign w:val="center"/>
          </w:tcPr>
          <w:p w14:paraId="77CFE734">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111A76AC">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14" w:type="dxa"/>
            <w:vAlign w:val="center"/>
          </w:tcPr>
          <w:p w14:paraId="182F2C18">
            <w:pPr>
              <w:pStyle w:val="23"/>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bl>
    <w:p w14:paraId="4933C32F">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注：1、</w:t>
      </w:r>
      <w:r>
        <w:rPr>
          <w:rFonts w:hint="eastAsia" w:ascii="仿宋_GB2312" w:hAnsi="仿宋_GB2312" w:eastAsia="仿宋_GB2312" w:cs="仿宋_GB2312"/>
          <w:b/>
          <w:bCs/>
          <w:color w:val="auto"/>
          <w:sz w:val="32"/>
          <w:szCs w:val="32"/>
          <w:highlight w:val="none"/>
        </w:rPr>
        <w:t>投标人填写本表的同时，须将</w:t>
      </w:r>
      <w:r>
        <w:rPr>
          <w:rFonts w:hint="eastAsia" w:ascii="仿宋_GB2312" w:hAnsi="仿宋_GB2312" w:eastAsia="仿宋_GB2312" w:cs="仿宋_GB2312"/>
          <w:b/>
          <w:bCs/>
          <w:color w:val="auto"/>
          <w:sz w:val="32"/>
          <w:szCs w:val="32"/>
        </w:rPr>
        <w:t>中标通知书</w:t>
      </w:r>
      <w:r>
        <w:rPr>
          <w:rFonts w:hint="eastAsia" w:ascii="仿宋_GB2312" w:hAnsi="仿宋_GB2312" w:eastAsia="仿宋_GB2312" w:cs="仿宋_GB2312"/>
          <w:b/>
          <w:bCs/>
          <w:color w:val="auto"/>
          <w:sz w:val="32"/>
          <w:szCs w:val="32"/>
          <w:lang w:val="en-US" w:eastAsia="zh-CN"/>
        </w:rPr>
        <w:t>或</w:t>
      </w:r>
      <w:r>
        <w:rPr>
          <w:rFonts w:hint="eastAsia" w:ascii="仿宋_GB2312" w:hAnsi="仿宋_GB2312" w:eastAsia="仿宋_GB2312" w:cs="仿宋_GB2312"/>
          <w:b/>
          <w:bCs/>
          <w:color w:val="auto"/>
          <w:sz w:val="32"/>
          <w:szCs w:val="32"/>
        </w:rPr>
        <w:t>合同</w:t>
      </w:r>
      <w:r>
        <w:rPr>
          <w:rFonts w:hint="eastAsia" w:ascii="仿宋_GB2312" w:hAnsi="仿宋_GB2312" w:eastAsia="仿宋_GB2312" w:cs="仿宋_GB2312"/>
          <w:b/>
          <w:bCs/>
          <w:color w:val="auto"/>
          <w:sz w:val="32"/>
          <w:szCs w:val="32"/>
          <w:lang w:val="en-US" w:eastAsia="zh-CN"/>
        </w:rPr>
        <w:t>扫描件</w:t>
      </w:r>
      <w:r>
        <w:rPr>
          <w:rFonts w:hint="eastAsia" w:ascii="仿宋_GB2312" w:hAnsi="仿宋_GB2312" w:eastAsia="仿宋_GB2312" w:cs="仿宋_GB2312"/>
          <w:b/>
          <w:bCs/>
          <w:color w:val="auto"/>
          <w:sz w:val="32"/>
          <w:szCs w:val="32"/>
          <w:highlight w:val="none"/>
        </w:rPr>
        <w:t>附于本表后；投标人填写的内容必须真实可靠，如有虚假或者隐瞒，一经查实投标将被否决</w:t>
      </w:r>
      <w:r>
        <w:rPr>
          <w:rFonts w:hint="eastAsia" w:ascii="仿宋_GB2312" w:hAnsi="仿宋_GB2312" w:eastAsia="仿宋_GB2312" w:cs="仿宋_GB2312"/>
          <w:color w:val="auto"/>
          <w:sz w:val="32"/>
          <w:szCs w:val="32"/>
          <w:highlight w:val="none"/>
          <w:lang w:eastAsia="zh-CN"/>
        </w:rPr>
        <w:t>。</w:t>
      </w:r>
    </w:p>
    <w:p w14:paraId="1FF956B2">
      <w:pPr>
        <w:pStyle w:val="20"/>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3FFE50B7">
      <w:pPr>
        <w:pStyle w:val="23"/>
        <w:keepNext w:val="0"/>
        <w:keepLines w:val="0"/>
        <w:pageBreakBefore w:val="0"/>
        <w:widowControl w:val="0"/>
        <w:numPr>
          <w:ilvl w:val="0"/>
          <w:numId w:val="56"/>
        </w:numPr>
        <w:kinsoku/>
        <w:wordWrap/>
        <w:overflowPunct/>
        <w:topLinePunct w:val="0"/>
        <w:bidi w:val="0"/>
        <w:spacing w:line="360" w:lineRule="auto"/>
        <w:jc w:val="center"/>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技术部分包括但不限于以下内容：技术部分包括但不限于以下内容：维保服务方案、备品质量情况、应急处理预案等内容</w:t>
      </w:r>
    </w:p>
    <w:p w14:paraId="673D4AC5">
      <w:pPr>
        <w:pStyle w:val="23"/>
        <w:keepNext w:val="0"/>
        <w:keepLines w:val="0"/>
        <w:pageBreakBefore w:val="0"/>
        <w:widowControl w:val="0"/>
        <w:numPr>
          <w:ilvl w:val="0"/>
          <w:numId w:val="0"/>
        </w:numPr>
        <w:kinsoku/>
        <w:wordWrap/>
        <w:overflowPunct/>
        <w:topLinePunct w:val="0"/>
        <w:bidi w:val="0"/>
        <w:spacing w:line="360" w:lineRule="auto"/>
        <w:jc w:val="center"/>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（格式自拟）</w:t>
      </w:r>
    </w:p>
    <w:p w14:paraId="67652F74">
      <w:pPr>
        <w:pStyle w:val="63"/>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420" w:leftChars="0" w:firstLine="420" w:firstLineChars="0"/>
        <w:jc w:val="both"/>
        <w:textAlignment w:val="auto"/>
        <w:rPr>
          <w:rFonts w:hint="eastAsia" w:ascii="仿宋_GB2312" w:hAnsi="仿宋_GB2312" w:eastAsia="仿宋_GB2312" w:cs="仿宋_GB2312"/>
          <w:b/>
          <w:bCs w:val="0"/>
          <w:color w:val="auto"/>
          <w:sz w:val="32"/>
          <w:szCs w:val="32"/>
          <w:highlight w:val="none"/>
          <w:lang w:val="en-US" w:eastAsia="zh-CN"/>
        </w:rPr>
      </w:pPr>
    </w:p>
    <w:p w14:paraId="61E531CF">
      <w:pPr>
        <w:pStyle w:val="63"/>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420" w:leftChars="0" w:firstLine="420" w:firstLineChars="0"/>
        <w:jc w:val="both"/>
        <w:textAlignment w:val="auto"/>
        <w:rPr>
          <w:rFonts w:hint="eastAsia" w:ascii="仿宋_GB2312" w:hAnsi="仿宋_GB2312" w:eastAsia="仿宋_GB2312" w:cs="仿宋_GB2312"/>
          <w:b/>
          <w:bCs w:val="0"/>
          <w:color w:val="auto"/>
          <w:sz w:val="32"/>
          <w:szCs w:val="32"/>
          <w:highlight w:val="none"/>
          <w:lang w:val="en-US" w:eastAsia="zh-CN"/>
        </w:rPr>
      </w:pPr>
    </w:p>
    <w:p w14:paraId="591896C1">
      <w:pPr>
        <w:pStyle w:val="63"/>
        <w:keepNext w:val="0"/>
        <w:keepLines w:val="0"/>
        <w:pageBreakBefore w:val="0"/>
        <w:widowControl w:val="0"/>
        <w:kinsoku/>
        <w:wordWrap/>
        <w:overflowPunct/>
        <w:topLinePunct w:val="0"/>
        <w:bidi w:val="0"/>
        <w:spacing w:line="360" w:lineRule="auto"/>
        <w:ind w:firstLine="482"/>
        <w:jc w:val="center"/>
        <w:textAlignment w:val="auto"/>
        <w:rPr>
          <w:rFonts w:hint="eastAsia" w:ascii="仿宋_GB2312" w:hAnsi="仿宋_GB2312" w:eastAsia="仿宋_GB2312" w:cs="仿宋_GB2312"/>
          <w:b/>
          <w:bCs w:val="0"/>
          <w:color w:val="auto"/>
          <w:sz w:val="32"/>
          <w:szCs w:val="32"/>
          <w:highlight w:val="none"/>
        </w:rPr>
      </w:pPr>
    </w:p>
    <w:p w14:paraId="28A66F1B">
      <w:pPr>
        <w:pageBreakBefore w:val="0"/>
        <w:widowControl/>
        <w:kinsoku/>
        <w:wordWrap/>
        <w:topLinePunct w:val="0"/>
        <w:bidi w:val="0"/>
        <w:spacing w:line="360" w:lineRule="auto"/>
        <w:ind w:firstLine="899"/>
        <w:jc w:val="left"/>
        <w:rPr>
          <w:rFonts w:hint="eastAsia" w:ascii="仿宋_GB2312" w:hAnsi="仿宋_GB2312" w:eastAsia="仿宋_GB2312" w:cs="仿宋_GB2312"/>
          <w:color w:val="auto"/>
          <w:kern w:val="0"/>
          <w:sz w:val="32"/>
          <w:szCs w:val="32"/>
          <w:highlight w:val="none"/>
        </w:rPr>
      </w:pPr>
    </w:p>
    <w:p w14:paraId="47EABF0F">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lang w:val="en-US" w:eastAsia="zh-CN"/>
        </w:rPr>
      </w:pPr>
      <w:bookmarkStart w:id="324" w:name="_Toc1779"/>
      <w:bookmarkStart w:id="325" w:name="_Toc45795252"/>
    </w:p>
    <w:p w14:paraId="06E11371">
      <w:pPr>
        <w:pageBreakBefore w:val="0"/>
        <w:kinsoku/>
        <w:wordWrap/>
        <w:topLinePunct w:val="0"/>
        <w:bidi w:val="0"/>
        <w:spacing w:line="360" w:lineRule="auto"/>
        <w:rPr>
          <w:rStyle w:val="64"/>
          <w:rFonts w:hint="eastAsia" w:ascii="仿宋_GB2312" w:hAnsi="仿宋_GB2312" w:eastAsia="仿宋_GB2312" w:cs="仿宋_GB2312"/>
          <w:b/>
          <w:bCs w:val="0"/>
          <w:color w:val="auto"/>
          <w:sz w:val="32"/>
          <w:szCs w:val="32"/>
          <w:highlight w:val="none"/>
          <w:lang w:val="en-US" w:eastAsia="zh-CN"/>
        </w:rPr>
      </w:pPr>
    </w:p>
    <w:p w14:paraId="05CB2730">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0BE9FE07">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45386802">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2E6379CE">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3AE1BC28">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25197A45">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46ECA5A7">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2398BDFC">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321F51F0">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3A201C2E">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04B281DC">
      <w:pPr>
        <w:pStyle w:val="21"/>
        <w:pageBreakBefore w:val="0"/>
        <w:kinsoku/>
        <w:wordWrap/>
        <w:topLinePunct w:val="0"/>
        <w:bidi w:val="0"/>
        <w:spacing w:line="360" w:lineRule="auto"/>
        <w:rPr>
          <w:rFonts w:hint="eastAsia" w:ascii="仿宋_GB2312" w:hAnsi="仿宋_GB2312" w:eastAsia="仿宋_GB2312" w:cs="仿宋_GB2312"/>
          <w:sz w:val="32"/>
          <w:szCs w:val="32"/>
          <w:lang w:val="en-US" w:eastAsia="zh-CN"/>
        </w:rPr>
      </w:pPr>
    </w:p>
    <w:p w14:paraId="4BCFDE34">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lang w:val="en-US" w:eastAsia="zh-CN"/>
        </w:rPr>
      </w:pPr>
      <w:r>
        <w:rPr>
          <w:rStyle w:val="64"/>
          <w:rFonts w:hint="eastAsia" w:ascii="仿宋_GB2312" w:hAnsi="仿宋_GB2312" w:eastAsia="仿宋_GB2312" w:cs="仿宋_GB2312"/>
          <w:b/>
          <w:bCs w:val="0"/>
          <w:color w:val="auto"/>
          <w:sz w:val="32"/>
          <w:szCs w:val="32"/>
          <w:highlight w:val="none"/>
          <w:lang w:val="en-US" w:eastAsia="zh-CN"/>
        </w:rPr>
        <w:t>11、投标人基本情况说明</w:t>
      </w:r>
      <w:bookmarkEnd w:id="324"/>
    </w:p>
    <w:p w14:paraId="55A50C60">
      <w:pPr>
        <w:pageBreakBefore w:val="0"/>
        <w:kinsoku/>
        <w:wordWrap/>
        <w:topLinePunct w:val="0"/>
        <w:bidi w:val="0"/>
        <w:spacing w:line="360" w:lineRule="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公司简介：</w:t>
      </w:r>
    </w:p>
    <w:p w14:paraId="3E586485">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p>
    <w:p w14:paraId="22BEA9BF">
      <w:pPr>
        <w:pStyle w:val="20"/>
        <w:pageBreakBefore w:val="0"/>
        <w:kinsoku/>
        <w:wordWrap/>
        <w:topLinePunct w:val="0"/>
        <w:bidi w:val="0"/>
        <w:spacing w:line="360" w:lineRule="auto"/>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企业信息一览表</w:t>
      </w:r>
    </w:p>
    <w:tbl>
      <w:tblPr>
        <w:tblStyle w:val="31"/>
        <w:tblW w:w="9807"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309"/>
        <w:gridCol w:w="1064"/>
        <w:gridCol w:w="943"/>
        <w:gridCol w:w="597"/>
        <w:gridCol w:w="928"/>
        <w:gridCol w:w="1309"/>
        <w:gridCol w:w="1461"/>
      </w:tblGrid>
      <w:tr w14:paraId="721D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96" w:type="dxa"/>
            <w:vAlign w:val="center"/>
          </w:tcPr>
          <w:p w14:paraId="03CFDA45">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投标人名称</w:t>
            </w:r>
          </w:p>
        </w:tc>
        <w:tc>
          <w:tcPr>
            <w:tcW w:w="7611" w:type="dxa"/>
            <w:gridSpan w:val="7"/>
            <w:vAlign w:val="center"/>
          </w:tcPr>
          <w:p w14:paraId="265CF7C2">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4BE3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6" w:type="dxa"/>
            <w:vAlign w:val="center"/>
          </w:tcPr>
          <w:p w14:paraId="0B939E37">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注册地址</w:t>
            </w:r>
          </w:p>
        </w:tc>
        <w:tc>
          <w:tcPr>
            <w:tcW w:w="3316" w:type="dxa"/>
            <w:gridSpan w:val="3"/>
            <w:vAlign w:val="center"/>
          </w:tcPr>
          <w:p w14:paraId="5F081C99">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525" w:type="dxa"/>
            <w:gridSpan w:val="2"/>
            <w:vAlign w:val="center"/>
          </w:tcPr>
          <w:p w14:paraId="2C89163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邮政编码</w:t>
            </w:r>
          </w:p>
        </w:tc>
        <w:tc>
          <w:tcPr>
            <w:tcW w:w="2770" w:type="dxa"/>
            <w:gridSpan w:val="2"/>
            <w:vAlign w:val="center"/>
          </w:tcPr>
          <w:p w14:paraId="465EBB63">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1B8E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96" w:type="dxa"/>
            <w:vMerge w:val="restart"/>
            <w:vAlign w:val="center"/>
          </w:tcPr>
          <w:p w14:paraId="1E50AEC6">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联系方式</w:t>
            </w:r>
          </w:p>
        </w:tc>
        <w:tc>
          <w:tcPr>
            <w:tcW w:w="1309" w:type="dxa"/>
            <w:vAlign w:val="center"/>
          </w:tcPr>
          <w:p w14:paraId="02592E52">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联系人</w:t>
            </w:r>
          </w:p>
        </w:tc>
        <w:tc>
          <w:tcPr>
            <w:tcW w:w="2007" w:type="dxa"/>
            <w:gridSpan w:val="2"/>
            <w:vAlign w:val="center"/>
          </w:tcPr>
          <w:p w14:paraId="0CEACB25">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525" w:type="dxa"/>
            <w:gridSpan w:val="2"/>
            <w:vAlign w:val="center"/>
          </w:tcPr>
          <w:p w14:paraId="696EEA39">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联系电话</w:t>
            </w:r>
          </w:p>
        </w:tc>
        <w:tc>
          <w:tcPr>
            <w:tcW w:w="2770" w:type="dxa"/>
            <w:gridSpan w:val="2"/>
            <w:vAlign w:val="center"/>
          </w:tcPr>
          <w:p w14:paraId="0469BDC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13B8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Merge w:val="continue"/>
            <w:vAlign w:val="center"/>
          </w:tcPr>
          <w:p w14:paraId="34F4538E">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p>
        </w:tc>
        <w:tc>
          <w:tcPr>
            <w:tcW w:w="1309" w:type="dxa"/>
            <w:vAlign w:val="center"/>
          </w:tcPr>
          <w:p w14:paraId="06B3B38D">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传真</w:t>
            </w:r>
          </w:p>
        </w:tc>
        <w:tc>
          <w:tcPr>
            <w:tcW w:w="2007" w:type="dxa"/>
            <w:gridSpan w:val="2"/>
            <w:vAlign w:val="center"/>
          </w:tcPr>
          <w:p w14:paraId="0461FDB9">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525" w:type="dxa"/>
            <w:gridSpan w:val="2"/>
            <w:vAlign w:val="center"/>
          </w:tcPr>
          <w:p w14:paraId="37B43C40">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邮箱</w:t>
            </w:r>
          </w:p>
        </w:tc>
        <w:tc>
          <w:tcPr>
            <w:tcW w:w="2770" w:type="dxa"/>
            <w:gridSpan w:val="2"/>
            <w:vAlign w:val="center"/>
          </w:tcPr>
          <w:p w14:paraId="03621690">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408F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96" w:type="dxa"/>
            <w:vAlign w:val="center"/>
          </w:tcPr>
          <w:p w14:paraId="64106DC9">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企业性质</w:t>
            </w:r>
          </w:p>
        </w:tc>
        <w:tc>
          <w:tcPr>
            <w:tcW w:w="7611" w:type="dxa"/>
            <w:gridSpan w:val="7"/>
            <w:vAlign w:val="center"/>
          </w:tcPr>
          <w:p w14:paraId="77E99F80">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2C25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96" w:type="dxa"/>
            <w:vAlign w:val="center"/>
          </w:tcPr>
          <w:p w14:paraId="6AB3CFFC">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法定代表人</w:t>
            </w:r>
          </w:p>
        </w:tc>
        <w:tc>
          <w:tcPr>
            <w:tcW w:w="1309" w:type="dxa"/>
            <w:vAlign w:val="center"/>
          </w:tcPr>
          <w:p w14:paraId="3D6012A0">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姓名</w:t>
            </w:r>
          </w:p>
        </w:tc>
        <w:tc>
          <w:tcPr>
            <w:tcW w:w="1064" w:type="dxa"/>
            <w:vAlign w:val="center"/>
          </w:tcPr>
          <w:p w14:paraId="3CDEC0BD">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540" w:type="dxa"/>
            <w:gridSpan w:val="2"/>
            <w:vAlign w:val="center"/>
          </w:tcPr>
          <w:p w14:paraId="4F80FB19">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技术职称</w:t>
            </w:r>
          </w:p>
        </w:tc>
        <w:tc>
          <w:tcPr>
            <w:tcW w:w="928" w:type="dxa"/>
            <w:vAlign w:val="center"/>
          </w:tcPr>
          <w:p w14:paraId="3F256DCA">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1309" w:type="dxa"/>
            <w:vAlign w:val="center"/>
          </w:tcPr>
          <w:p w14:paraId="2FDA94B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电话</w:t>
            </w:r>
          </w:p>
        </w:tc>
        <w:tc>
          <w:tcPr>
            <w:tcW w:w="1461" w:type="dxa"/>
            <w:vAlign w:val="center"/>
          </w:tcPr>
          <w:p w14:paraId="0C927EB1">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5B73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6" w:type="dxa"/>
            <w:vAlign w:val="center"/>
          </w:tcPr>
          <w:p w14:paraId="09AD5745">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技术负责人</w:t>
            </w:r>
          </w:p>
        </w:tc>
        <w:tc>
          <w:tcPr>
            <w:tcW w:w="1309" w:type="dxa"/>
            <w:vAlign w:val="center"/>
          </w:tcPr>
          <w:p w14:paraId="7D8144EA">
            <w:pPr>
              <w:pStyle w:val="20"/>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姓名</w:t>
            </w:r>
          </w:p>
        </w:tc>
        <w:tc>
          <w:tcPr>
            <w:tcW w:w="1064" w:type="dxa"/>
            <w:vAlign w:val="center"/>
          </w:tcPr>
          <w:p w14:paraId="4C5F24CE">
            <w:pPr>
              <w:pStyle w:val="20"/>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p>
        </w:tc>
        <w:tc>
          <w:tcPr>
            <w:tcW w:w="1540" w:type="dxa"/>
            <w:gridSpan w:val="2"/>
            <w:vAlign w:val="center"/>
          </w:tcPr>
          <w:p w14:paraId="15AD4D5C">
            <w:pPr>
              <w:pStyle w:val="20"/>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技术职称</w:t>
            </w:r>
          </w:p>
        </w:tc>
        <w:tc>
          <w:tcPr>
            <w:tcW w:w="928" w:type="dxa"/>
            <w:vAlign w:val="center"/>
          </w:tcPr>
          <w:p w14:paraId="61615973">
            <w:pPr>
              <w:pStyle w:val="20"/>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p>
        </w:tc>
        <w:tc>
          <w:tcPr>
            <w:tcW w:w="1309" w:type="dxa"/>
            <w:vAlign w:val="center"/>
          </w:tcPr>
          <w:p w14:paraId="102EC70D">
            <w:pPr>
              <w:pStyle w:val="20"/>
              <w:pageBreakBefore w:val="0"/>
              <w:kinsoku/>
              <w:wordWrap/>
              <w:topLinePunct w:val="0"/>
              <w:bidi w:val="0"/>
              <w:spacing w:line="360" w:lineRule="auto"/>
              <w:jc w:val="center"/>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电话</w:t>
            </w:r>
          </w:p>
        </w:tc>
        <w:tc>
          <w:tcPr>
            <w:tcW w:w="1461" w:type="dxa"/>
            <w:vAlign w:val="center"/>
          </w:tcPr>
          <w:p w14:paraId="04592455">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4434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96" w:type="dxa"/>
            <w:vAlign w:val="center"/>
          </w:tcPr>
          <w:p w14:paraId="60DA0412">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成立时间</w:t>
            </w:r>
          </w:p>
        </w:tc>
        <w:tc>
          <w:tcPr>
            <w:tcW w:w="2373" w:type="dxa"/>
            <w:gridSpan w:val="2"/>
            <w:vAlign w:val="center"/>
          </w:tcPr>
          <w:p w14:paraId="42AF9BAB">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c>
          <w:tcPr>
            <w:tcW w:w="5238" w:type="dxa"/>
            <w:gridSpan w:val="5"/>
            <w:vAlign w:val="center"/>
          </w:tcPr>
          <w:p w14:paraId="275A991A">
            <w:pPr>
              <w:pStyle w:val="20"/>
              <w:pageBreakBefore w:val="0"/>
              <w:kinsoku/>
              <w:wordWrap/>
              <w:topLinePunct w:val="0"/>
              <w:bidi w:val="0"/>
              <w:spacing w:line="360" w:lineRule="auto"/>
              <w:jc w:val="both"/>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员工总人数：</w:t>
            </w:r>
          </w:p>
        </w:tc>
      </w:tr>
      <w:tr w14:paraId="7798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Align w:val="center"/>
          </w:tcPr>
          <w:p w14:paraId="64CBE435">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营业执照号</w:t>
            </w:r>
          </w:p>
        </w:tc>
        <w:tc>
          <w:tcPr>
            <w:tcW w:w="7611" w:type="dxa"/>
            <w:gridSpan w:val="7"/>
            <w:vAlign w:val="center"/>
          </w:tcPr>
          <w:p w14:paraId="2F5E388E">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7BD2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96" w:type="dxa"/>
            <w:vAlign w:val="center"/>
          </w:tcPr>
          <w:p w14:paraId="7EE2BEFD">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注册时间</w:t>
            </w:r>
          </w:p>
        </w:tc>
        <w:tc>
          <w:tcPr>
            <w:tcW w:w="7611" w:type="dxa"/>
            <w:gridSpan w:val="7"/>
            <w:vAlign w:val="center"/>
          </w:tcPr>
          <w:p w14:paraId="34D7215B">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17C5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96" w:type="dxa"/>
            <w:vAlign w:val="center"/>
          </w:tcPr>
          <w:p w14:paraId="098AC728">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开户银行</w:t>
            </w:r>
          </w:p>
        </w:tc>
        <w:tc>
          <w:tcPr>
            <w:tcW w:w="7611" w:type="dxa"/>
            <w:gridSpan w:val="7"/>
            <w:vAlign w:val="center"/>
          </w:tcPr>
          <w:p w14:paraId="7C68FBE9">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5E64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96" w:type="dxa"/>
            <w:vAlign w:val="center"/>
          </w:tcPr>
          <w:p w14:paraId="7136F0E7">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银行账号</w:t>
            </w:r>
          </w:p>
        </w:tc>
        <w:tc>
          <w:tcPr>
            <w:tcW w:w="7611" w:type="dxa"/>
            <w:gridSpan w:val="7"/>
            <w:vAlign w:val="center"/>
          </w:tcPr>
          <w:p w14:paraId="2787FA7D">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r w14:paraId="10FD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6" w:type="dxa"/>
            <w:vAlign w:val="center"/>
          </w:tcPr>
          <w:p w14:paraId="0512A687">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经营范围备注</w:t>
            </w:r>
          </w:p>
        </w:tc>
        <w:tc>
          <w:tcPr>
            <w:tcW w:w="7611" w:type="dxa"/>
            <w:gridSpan w:val="7"/>
            <w:vAlign w:val="center"/>
          </w:tcPr>
          <w:p w14:paraId="4138218B">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vertAlign w:val="baseline"/>
                <w:lang w:eastAsia="zh-CN"/>
              </w:rPr>
            </w:pPr>
          </w:p>
        </w:tc>
      </w:tr>
    </w:tbl>
    <w:p w14:paraId="33665FEC">
      <w:pPr>
        <w:pageBreakBefore w:val="0"/>
        <w:kinsoku/>
        <w:wordWrap/>
        <w:topLinePunct w:val="0"/>
        <w:bidi w:val="0"/>
        <w:spacing w:line="360" w:lineRule="auto"/>
        <w:ind w:right="56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名称（加盖公章）：</w:t>
      </w:r>
    </w:p>
    <w:p w14:paraId="1F33CD6F">
      <w:pPr>
        <w:pageBreakBefore w:val="0"/>
        <w:kinsoku/>
        <w:wordWrap/>
        <w:topLinePunct w:val="0"/>
        <w:bidi w:val="0"/>
        <w:spacing w:line="360" w:lineRule="auto"/>
        <w:ind w:right="56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4984B1F7">
      <w:pPr>
        <w:pageBreakBefore w:val="0"/>
        <w:kinsoku/>
        <w:wordWrap/>
        <w:topLinePunct w:val="0"/>
        <w:bidi w:val="0"/>
        <w:spacing w:line="360" w:lineRule="auto"/>
        <w:ind w:right="56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30D81B84">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lang w:val="en-US" w:eastAsia="zh-CN"/>
        </w:rPr>
      </w:pPr>
      <w:bookmarkStart w:id="326" w:name="_Toc14849"/>
      <w:r>
        <w:rPr>
          <w:rStyle w:val="64"/>
          <w:rFonts w:hint="eastAsia" w:ascii="仿宋_GB2312" w:hAnsi="仿宋_GB2312" w:eastAsia="仿宋_GB2312" w:cs="仿宋_GB2312"/>
          <w:b/>
          <w:bCs w:val="0"/>
          <w:color w:val="auto"/>
          <w:sz w:val="32"/>
          <w:szCs w:val="32"/>
          <w:highlight w:val="none"/>
          <w:lang w:val="en-US" w:eastAsia="zh-CN"/>
        </w:rPr>
        <w:t>12、项目人员配置情况表</w:t>
      </w:r>
      <w:bookmarkEnd w:id="326"/>
    </w:p>
    <w:p w14:paraId="0E753355">
      <w:pPr>
        <w:pStyle w:val="70"/>
        <w:pageBreakBefore w:val="0"/>
        <w:kinsoku/>
        <w:wordWrap/>
        <w:topLinePunct w:val="0"/>
        <w:bidi w:val="0"/>
        <w:spacing w:line="360" w:lineRule="auto"/>
        <w:ind w:left="638" w:hanging="928" w:hangingChars="29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项目名称：                                项目编号：                 </w:t>
      </w:r>
    </w:p>
    <w:tbl>
      <w:tblPr>
        <w:tblStyle w:val="30"/>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50"/>
        <w:gridCol w:w="1260"/>
        <w:gridCol w:w="1575"/>
        <w:gridCol w:w="1365"/>
        <w:gridCol w:w="1050"/>
        <w:gridCol w:w="1050"/>
        <w:gridCol w:w="876"/>
      </w:tblGrid>
      <w:tr w14:paraId="5353B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8" w:type="dxa"/>
            <w:vMerge w:val="restart"/>
            <w:vAlign w:val="center"/>
          </w:tcPr>
          <w:p w14:paraId="4BF004CA">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1050" w:type="dxa"/>
            <w:vMerge w:val="restart"/>
            <w:vAlign w:val="center"/>
          </w:tcPr>
          <w:p w14:paraId="5ADC3455">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姓名</w:t>
            </w:r>
          </w:p>
        </w:tc>
        <w:tc>
          <w:tcPr>
            <w:tcW w:w="1260" w:type="dxa"/>
            <w:vMerge w:val="restart"/>
            <w:vAlign w:val="center"/>
          </w:tcPr>
          <w:p w14:paraId="744EAAD0">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职务</w:t>
            </w:r>
          </w:p>
        </w:tc>
        <w:tc>
          <w:tcPr>
            <w:tcW w:w="5040" w:type="dxa"/>
            <w:gridSpan w:val="4"/>
            <w:vAlign w:val="center"/>
          </w:tcPr>
          <w:p w14:paraId="7F2C0B06">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执业或职业资格证明</w:t>
            </w:r>
          </w:p>
        </w:tc>
        <w:tc>
          <w:tcPr>
            <w:tcW w:w="876" w:type="dxa"/>
            <w:vMerge w:val="restart"/>
            <w:vAlign w:val="center"/>
          </w:tcPr>
          <w:p w14:paraId="62C209F5">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经验年限</w:t>
            </w:r>
          </w:p>
        </w:tc>
      </w:tr>
      <w:tr w14:paraId="38DA9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vAlign w:val="center"/>
          </w:tcPr>
          <w:p w14:paraId="5D6794AC">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p>
        </w:tc>
        <w:tc>
          <w:tcPr>
            <w:tcW w:w="1050" w:type="dxa"/>
            <w:vMerge w:val="continue"/>
            <w:vAlign w:val="center"/>
          </w:tcPr>
          <w:p w14:paraId="7E3E4262">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p>
        </w:tc>
        <w:tc>
          <w:tcPr>
            <w:tcW w:w="1260" w:type="dxa"/>
            <w:vMerge w:val="continue"/>
            <w:vAlign w:val="center"/>
          </w:tcPr>
          <w:p w14:paraId="178B864C">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p>
        </w:tc>
        <w:tc>
          <w:tcPr>
            <w:tcW w:w="1575" w:type="dxa"/>
            <w:vAlign w:val="center"/>
          </w:tcPr>
          <w:p w14:paraId="11396E02">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证书名称</w:t>
            </w:r>
          </w:p>
        </w:tc>
        <w:tc>
          <w:tcPr>
            <w:tcW w:w="1365" w:type="dxa"/>
            <w:vAlign w:val="center"/>
          </w:tcPr>
          <w:p w14:paraId="755D19C4">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证号</w:t>
            </w:r>
          </w:p>
        </w:tc>
        <w:tc>
          <w:tcPr>
            <w:tcW w:w="1050" w:type="dxa"/>
            <w:vAlign w:val="center"/>
          </w:tcPr>
          <w:p w14:paraId="73B0FCE6">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级别</w:t>
            </w:r>
          </w:p>
        </w:tc>
        <w:tc>
          <w:tcPr>
            <w:tcW w:w="1050" w:type="dxa"/>
            <w:vAlign w:val="center"/>
          </w:tcPr>
          <w:p w14:paraId="5D99CC00">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专业</w:t>
            </w:r>
          </w:p>
        </w:tc>
        <w:tc>
          <w:tcPr>
            <w:tcW w:w="876" w:type="dxa"/>
            <w:vMerge w:val="continue"/>
            <w:vAlign w:val="center"/>
          </w:tcPr>
          <w:p w14:paraId="0B5715F9">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p>
        </w:tc>
      </w:tr>
      <w:tr w14:paraId="003CE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4142BD8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01C5611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3948494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3902284B">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2B496A0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0F0990F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48DA3E0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0EDDA89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5BFBE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4EF5E8F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51E5042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2B22BF6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4E83B8A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3391478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298EF7F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464B3A9B">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45D33FD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3AD7F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1AC1CD7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7E7571E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2F49312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14B43992">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313F858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4318D50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44B7F22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12BD1E1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1FF06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476848B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47B04F3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6C38309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1B2368E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556D61D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5AD6A57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7790C8D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4EDF2D9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17897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428F11C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6EC1D5A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5269E75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771BA01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140B16E2">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3D08D49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2ED7D07C">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034FD38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38A5F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54D227E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3FCEE32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260" w:type="dxa"/>
            <w:vAlign w:val="center"/>
          </w:tcPr>
          <w:p w14:paraId="5F1258D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5" w:type="dxa"/>
            <w:vAlign w:val="center"/>
          </w:tcPr>
          <w:p w14:paraId="5980031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365" w:type="dxa"/>
            <w:vAlign w:val="top"/>
          </w:tcPr>
          <w:p w14:paraId="785E061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5BE3EDC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50" w:type="dxa"/>
            <w:vAlign w:val="center"/>
          </w:tcPr>
          <w:p w14:paraId="518E1267">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876" w:type="dxa"/>
            <w:vAlign w:val="top"/>
          </w:tcPr>
          <w:p w14:paraId="70CE320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bl>
    <w:p w14:paraId="239952CB">
      <w:pPr>
        <w:pStyle w:val="17"/>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09CBD9C2">
      <w:pPr>
        <w:pStyle w:val="14"/>
        <w:pageBreakBefore w:val="0"/>
        <w:kinsoku/>
        <w:wordWrap/>
        <w:overflowPunct w:val="0"/>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我方承诺上述材料真实有效且具备履行合同所必需的专业技术能力。 </w:t>
      </w:r>
    </w:p>
    <w:p w14:paraId="1CB3BE36">
      <w:pPr>
        <w:pStyle w:val="14"/>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p>
    <w:p w14:paraId="2B3E69E2">
      <w:pPr>
        <w:pStyle w:val="14"/>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名称（加盖公章）：</w:t>
      </w:r>
    </w:p>
    <w:p w14:paraId="3BFCDD4B">
      <w:pPr>
        <w:pStyle w:val="14"/>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1159231E">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日       期：</w:t>
      </w:r>
    </w:p>
    <w:p w14:paraId="2345DB4F">
      <w:pPr>
        <w:pStyle w:val="17"/>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18B2E253">
      <w:pPr>
        <w:pStyle w:val="17"/>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5A560E73">
      <w:pPr>
        <w:pStyle w:val="17"/>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4F7D6511">
      <w:pPr>
        <w:pStyle w:val="17"/>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0D040008">
      <w:pPr>
        <w:pageBreakBefore w:val="0"/>
        <w:numPr>
          <w:ilvl w:val="0"/>
          <w:numId w:val="57"/>
        </w:numPr>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主要人员简历表</w:t>
      </w:r>
    </w:p>
    <w:p w14:paraId="4C8D0209">
      <w:pPr>
        <w:pageBreakBefore w:val="0"/>
        <w:numPr>
          <w:ilvl w:val="0"/>
          <w:numId w:val="0"/>
        </w:numPr>
        <w:kinsoku/>
        <w:wordWrap/>
        <w:topLinePunct w:val="0"/>
        <w:bidi w:val="0"/>
        <w:spacing w:line="360" w:lineRule="auto"/>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项目名称：                                项目编号：</w:t>
      </w:r>
    </w:p>
    <w:tbl>
      <w:tblPr>
        <w:tblStyle w:val="30"/>
        <w:tblpPr w:leftFromText="180" w:rightFromText="180" w:vertAnchor="text" w:horzAnchor="page" w:tblpX="1572" w:tblpY="412"/>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3FE3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vAlign w:val="center"/>
          </w:tcPr>
          <w:p w14:paraId="2004B62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姓名</w:t>
            </w:r>
          </w:p>
        </w:tc>
        <w:tc>
          <w:tcPr>
            <w:tcW w:w="2625" w:type="dxa"/>
            <w:gridSpan w:val="3"/>
            <w:tcBorders>
              <w:top w:val="single" w:color="auto" w:sz="12" w:space="0"/>
              <w:left w:val="single" w:color="auto" w:sz="6" w:space="0"/>
              <w:bottom w:val="single" w:color="auto" w:sz="6" w:space="0"/>
              <w:right w:val="single" w:color="auto" w:sz="6" w:space="0"/>
            </w:tcBorders>
            <w:vAlign w:val="center"/>
          </w:tcPr>
          <w:p w14:paraId="5CA01E42">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29" w:type="dxa"/>
            <w:tcBorders>
              <w:top w:val="single" w:color="auto" w:sz="12" w:space="0"/>
              <w:left w:val="single" w:color="auto" w:sz="6" w:space="0"/>
              <w:bottom w:val="single" w:color="auto" w:sz="6" w:space="0"/>
              <w:right w:val="single" w:color="auto" w:sz="6" w:space="0"/>
            </w:tcBorders>
            <w:vAlign w:val="center"/>
          </w:tcPr>
          <w:p w14:paraId="6854E2C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性别</w:t>
            </w:r>
          </w:p>
        </w:tc>
        <w:tc>
          <w:tcPr>
            <w:tcW w:w="2013" w:type="dxa"/>
            <w:gridSpan w:val="3"/>
            <w:tcBorders>
              <w:top w:val="single" w:color="auto" w:sz="12" w:space="0"/>
              <w:left w:val="single" w:color="auto" w:sz="6" w:space="0"/>
              <w:bottom w:val="single" w:color="auto" w:sz="6" w:space="0"/>
              <w:right w:val="single" w:color="auto" w:sz="6" w:space="0"/>
            </w:tcBorders>
            <w:vAlign w:val="center"/>
          </w:tcPr>
          <w:p w14:paraId="62B6803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156" w:type="dxa"/>
            <w:gridSpan w:val="2"/>
            <w:tcBorders>
              <w:top w:val="single" w:color="auto" w:sz="12" w:space="0"/>
              <w:left w:val="single" w:color="auto" w:sz="6" w:space="0"/>
              <w:bottom w:val="single" w:color="auto" w:sz="6" w:space="0"/>
              <w:right w:val="single" w:color="auto" w:sz="6" w:space="0"/>
            </w:tcBorders>
            <w:vAlign w:val="center"/>
          </w:tcPr>
          <w:p w14:paraId="0DDB9C7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年龄</w:t>
            </w:r>
          </w:p>
        </w:tc>
        <w:tc>
          <w:tcPr>
            <w:tcW w:w="1158" w:type="dxa"/>
            <w:tcBorders>
              <w:top w:val="single" w:color="auto" w:sz="12" w:space="0"/>
              <w:left w:val="single" w:color="auto" w:sz="6" w:space="0"/>
              <w:bottom w:val="single" w:color="auto" w:sz="6" w:space="0"/>
              <w:right w:val="single" w:color="auto" w:sz="12" w:space="0"/>
            </w:tcBorders>
            <w:vAlign w:val="center"/>
          </w:tcPr>
          <w:p w14:paraId="0C3747A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07C0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vAlign w:val="center"/>
          </w:tcPr>
          <w:p w14:paraId="788342A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tc>
        <w:tc>
          <w:tcPr>
            <w:tcW w:w="2625" w:type="dxa"/>
            <w:gridSpan w:val="3"/>
            <w:tcBorders>
              <w:top w:val="single" w:color="auto" w:sz="6" w:space="0"/>
              <w:left w:val="single" w:color="auto" w:sz="6" w:space="0"/>
              <w:bottom w:val="single" w:color="auto" w:sz="6" w:space="0"/>
              <w:right w:val="single" w:color="auto" w:sz="6" w:space="0"/>
            </w:tcBorders>
            <w:vAlign w:val="center"/>
          </w:tcPr>
          <w:p w14:paraId="4020A45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A4536E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职称</w:t>
            </w:r>
          </w:p>
        </w:tc>
        <w:tc>
          <w:tcPr>
            <w:tcW w:w="2013" w:type="dxa"/>
            <w:gridSpan w:val="3"/>
            <w:tcBorders>
              <w:top w:val="single" w:color="auto" w:sz="6" w:space="0"/>
              <w:left w:val="single" w:color="auto" w:sz="6" w:space="0"/>
              <w:bottom w:val="single" w:color="auto" w:sz="6" w:space="0"/>
              <w:right w:val="single" w:color="auto" w:sz="6" w:space="0"/>
            </w:tcBorders>
            <w:vAlign w:val="center"/>
          </w:tcPr>
          <w:p w14:paraId="559294F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156" w:type="dxa"/>
            <w:gridSpan w:val="2"/>
            <w:tcBorders>
              <w:top w:val="single" w:color="auto" w:sz="6" w:space="0"/>
              <w:left w:val="single" w:color="auto" w:sz="6" w:space="0"/>
              <w:bottom w:val="single" w:color="auto" w:sz="6" w:space="0"/>
              <w:right w:val="single" w:color="auto" w:sz="6" w:space="0"/>
            </w:tcBorders>
            <w:vAlign w:val="center"/>
          </w:tcPr>
          <w:p w14:paraId="066B08C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学历</w:t>
            </w:r>
          </w:p>
        </w:tc>
        <w:tc>
          <w:tcPr>
            <w:tcW w:w="1158" w:type="dxa"/>
            <w:tcBorders>
              <w:top w:val="single" w:color="auto" w:sz="6" w:space="0"/>
              <w:left w:val="single" w:color="auto" w:sz="6" w:space="0"/>
              <w:bottom w:val="single" w:color="auto" w:sz="6" w:space="0"/>
              <w:right w:val="single" w:color="auto" w:sz="12" w:space="0"/>
            </w:tcBorders>
            <w:vAlign w:val="center"/>
          </w:tcPr>
          <w:p w14:paraId="5304274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314C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vAlign w:val="center"/>
          </w:tcPr>
          <w:p w14:paraId="242FFEE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参加工作时间</w:t>
            </w:r>
          </w:p>
        </w:tc>
        <w:tc>
          <w:tcPr>
            <w:tcW w:w="2410" w:type="dxa"/>
            <w:gridSpan w:val="3"/>
            <w:tcBorders>
              <w:top w:val="single" w:color="auto" w:sz="6" w:space="0"/>
              <w:left w:val="single" w:color="auto" w:sz="6" w:space="0"/>
              <w:bottom w:val="single" w:color="auto" w:sz="6" w:space="0"/>
              <w:right w:val="single" w:color="auto" w:sz="6" w:space="0"/>
            </w:tcBorders>
            <w:vAlign w:val="center"/>
          </w:tcPr>
          <w:p w14:paraId="3DC120B8">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634" w:type="dxa"/>
            <w:gridSpan w:val="4"/>
            <w:tcBorders>
              <w:top w:val="single" w:color="auto" w:sz="6" w:space="0"/>
              <w:left w:val="single" w:color="auto" w:sz="6" w:space="0"/>
              <w:bottom w:val="single" w:color="auto" w:sz="6" w:space="0"/>
              <w:right w:val="single" w:color="auto" w:sz="6" w:space="0"/>
            </w:tcBorders>
            <w:vAlign w:val="center"/>
          </w:tcPr>
          <w:p w14:paraId="5BDE5BC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相关经验年限</w:t>
            </w:r>
          </w:p>
        </w:tc>
        <w:tc>
          <w:tcPr>
            <w:tcW w:w="1158" w:type="dxa"/>
            <w:tcBorders>
              <w:top w:val="single" w:color="auto" w:sz="6" w:space="0"/>
              <w:left w:val="single" w:color="auto" w:sz="6" w:space="0"/>
              <w:bottom w:val="single" w:color="auto" w:sz="6" w:space="0"/>
              <w:right w:val="single" w:color="auto" w:sz="12" w:space="0"/>
            </w:tcBorders>
            <w:vAlign w:val="center"/>
          </w:tcPr>
          <w:p w14:paraId="3237BCD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1A47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vAlign w:val="center"/>
          </w:tcPr>
          <w:p w14:paraId="600F916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vAlign w:val="center"/>
          </w:tcPr>
          <w:p w14:paraId="315BD51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445A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vAlign w:val="center"/>
          </w:tcPr>
          <w:p w14:paraId="34B7893A">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目前在任及以往服务项目情况</w:t>
            </w:r>
          </w:p>
        </w:tc>
      </w:tr>
      <w:tr w14:paraId="4FDC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3FEF678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w:t>
            </w: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33E5D25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类似项目名称</w:t>
            </w: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61BA7F06">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项目规模</w:t>
            </w: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6C0C72D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所任职务</w:t>
            </w: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19EABBF3">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起止时间</w:t>
            </w:r>
          </w:p>
        </w:tc>
      </w:tr>
      <w:tr w14:paraId="33EC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611D680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3412596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0D27C6F0">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6407A28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7B79E91D">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7E7F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11718EC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05165A8E">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3048812F">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042E9101">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4BA0D12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r w14:paraId="2B59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vAlign w:val="center"/>
          </w:tcPr>
          <w:p w14:paraId="745A69B9">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00" w:type="dxa"/>
            <w:gridSpan w:val="2"/>
            <w:tcBorders>
              <w:top w:val="single" w:color="auto" w:sz="6" w:space="0"/>
              <w:left w:val="single" w:color="auto" w:sz="6" w:space="0"/>
              <w:bottom w:val="single" w:color="auto" w:sz="12" w:space="0"/>
              <w:right w:val="single" w:color="auto" w:sz="6" w:space="0"/>
            </w:tcBorders>
            <w:vAlign w:val="center"/>
          </w:tcPr>
          <w:p w14:paraId="76910E6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79" w:type="dxa"/>
            <w:gridSpan w:val="3"/>
            <w:tcBorders>
              <w:top w:val="single" w:color="auto" w:sz="6" w:space="0"/>
              <w:left w:val="single" w:color="auto" w:sz="6" w:space="0"/>
              <w:bottom w:val="single" w:color="auto" w:sz="12" w:space="0"/>
              <w:right w:val="single" w:color="auto" w:sz="6" w:space="0"/>
            </w:tcBorders>
            <w:vAlign w:val="center"/>
          </w:tcPr>
          <w:p w14:paraId="01A8F424">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1559" w:type="dxa"/>
            <w:gridSpan w:val="2"/>
            <w:tcBorders>
              <w:top w:val="single" w:color="auto" w:sz="6" w:space="0"/>
              <w:left w:val="single" w:color="auto" w:sz="6" w:space="0"/>
              <w:bottom w:val="single" w:color="auto" w:sz="12" w:space="0"/>
              <w:right w:val="single" w:color="auto" w:sz="6" w:space="0"/>
            </w:tcBorders>
            <w:vAlign w:val="center"/>
          </w:tcPr>
          <w:p w14:paraId="159A3EA8">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c>
          <w:tcPr>
            <w:tcW w:w="2218" w:type="dxa"/>
            <w:gridSpan w:val="2"/>
            <w:tcBorders>
              <w:top w:val="single" w:color="auto" w:sz="6" w:space="0"/>
              <w:left w:val="single" w:color="auto" w:sz="6" w:space="0"/>
              <w:bottom w:val="single" w:color="auto" w:sz="12" w:space="0"/>
              <w:right w:val="single" w:color="auto" w:sz="12" w:space="0"/>
            </w:tcBorders>
            <w:vAlign w:val="center"/>
          </w:tcPr>
          <w:p w14:paraId="1E191A15">
            <w:pPr>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p>
        </w:tc>
      </w:tr>
    </w:tbl>
    <w:p w14:paraId="4E308E42">
      <w:pPr>
        <w:pStyle w:val="70"/>
        <w:pageBreakBefore w:val="0"/>
        <w:kinsoku/>
        <w:wordWrap/>
        <w:topLinePunct w:val="0"/>
        <w:bidi w:val="0"/>
        <w:spacing w:line="360" w:lineRule="auto"/>
        <w:ind w:left="638" w:hanging="928" w:hangingChars="29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1A9A82E8">
      <w:pPr>
        <w:pStyle w:val="14"/>
        <w:pageBreakBefore w:val="0"/>
        <w:kinsoku/>
        <w:wordWrap/>
        <w:overflowPunct w:val="0"/>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我方承诺上述材料真实有效且具备履行合同所必需的专业技术能力。 </w:t>
      </w:r>
    </w:p>
    <w:p w14:paraId="09D880C1">
      <w:pPr>
        <w:pStyle w:val="14"/>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p>
    <w:p w14:paraId="13C36596">
      <w:pPr>
        <w:pStyle w:val="14"/>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名称（加盖公章）：</w:t>
      </w:r>
    </w:p>
    <w:p w14:paraId="443E9FD6">
      <w:pPr>
        <w:pStyle w:val="14"/>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6E3C6E2D">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日       期：</w:t>
      </w:r>
    </w:p>
    <w:p w14:paraId="70933D19">
      <w:pPr>
        <w:pageBreakBefore w:val="0"/>
        <w:kinsoku/>
        <w:wordWrap/>
        <w:topLinePunct w:val="0"/>
        <w:bidi w:val="0"/>
        <w:spacing w:before="75" w:line="360" w:lineRule="auto"/>
        <w:jc w:val="center"/>
        <w:outlineLvl w:val="1"/>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bookmarkStart w:id="327" w:name="_Toc17664"/>
    </w:p>
    <w:p w14:paraId="62EB1E8B">
      <w:pPr>
        <w:pStyle w:val="16"/>
        <w:spacing w:line="360" w:lineRule="auto"/>
        <w:ind w:left="0" w:leftChars="0" w:firstLine="0" w:firstLineChars="0"/>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p>
    <w:p w14:paraId="43112949">
      <w:pPr>
        <w:keepNext w:val="0"/>
        <w:keepLines w:val="0"/>
        <w:pageBreakBefore w:val="0"/>
        <w:widowControl w:val="0"/>
        <w:kinsoku/>
        <w:wordWrap/>
        <w:overflowPunct/>
        <w:topLinePunct w:val="0"/>
        <w:autoSpaceDE/>
        <w:autoSpaceDN/>
        <w:bidi w:val="0"/>
        <w:adjustRightInd/>
        <w:snapToGrid/>
        <w:spacing w:before="75" w:line="360" w:lineRule="auto"/>
        <w:jc w:val="center"/>
        <w:textAlignment w:val="auto"/>
        <w:outlineLvl w:val="1"/>
        <w:rPr>
          <w:rFonts w:hint="eastAsia" w:ascii="仿宋_GB2312" w:hAnsi="仿宋_GB2312" w:eastAsia="仿宋_GB2312" w:cs="仿宋_GB2312"/>
          <w:snapToGrid w:val="0"/>
          <w:color w:val="000000"/>
          <w:spacing w:val="4"/>
          <w:kern w:val="0"/>
          <w:sz w:val="32"/>
          <w:szCs w:val="32"/>
          <w:lang w:val="en-US" w:eastAsia="zh-CN"/>
          <w14:textOutline w14:w="4358" w14:cap="sq" w14:cmpd="sng">
            <w14:solidFill>
              <w14:srgbClr w14:val="000000"/>
            </w14:solidFill>
            <w14:prstDash w14:val="solid"/>
            <w14:bevel/>
          </w14:textOutline>
        </w:rPr>
      </w:pPr>
      <w:r>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t>13</w:t>
      </w:r>
      <w:r>
        <w:rPr>
          <w:rFonts w:hint="eastAsia" w:ascii="仿宋_GB2312" w:hAnsi="仿宋_GB2312" w:eastAsia="仿宋_GB2312" w:cs="仿宋_GB2312"/>
          <w:spacing w:val="4"/>
          <w:sz w:val="32"/>
          <w:szCs w:val="32"/>
          <w14:textOutline w14:w="4358" w14:cap="sq" w14:cmpd="sng">
            <w14:solidFill>
              <w14:srgbClr w14:val="000000"/>
            </w14:solidFill>
            <w14:prstDash w14:val="solid"/>
            <w14:bevel/>
          </w14:textOutline>
        </w:rPr>
        <w:t>、</w:t>
      </w:r>
      <w:r>
        <w:rPr>
          <w:rFonts w:hint="eastAsia" w:ascii="仿宋_GB2312" w:hAnsi="仿宋_GB2312" w:eastAsia="仿宋_GB2312" w:cs="仿宋_GB2312"/>
          <w:snapToGrid w:val="0"/>
          <w:color w:val="000000"/>
          <w:spacing w:val="4"/>
          <w:kern w:val="0"/>
          <w:sz w:val="32"/>
          <w:szCs w:val="32"/>
          <w:lang w:val="en-US" w:eastAsia="zh-CN"/>
          <w14:textOutline w14:w="4358" w14:cap="sq" w14:cmpd="sng">
            <w14:solidFill>
              <w14:srgbClr w14:val="000000"/>
            </w14:solidFill>
            <w14:prstDash w14:val="solid"/>
            <w14:bevel/>
          </w14:textOutline>
        </w:rPr>
        <w:t>投标企业关联企业情况说明</w:t>
      </w:r>
    </w:p>
    <w:p w14:paraId="77BB70E6">
      <w:pPr>
        <w:keepNext w:val="0"/>
        <w:keepLines w:val="0"/>
        <w:pageBreakBefore w:val="0"/>
        <w:widowControl w:val="0"/>
        <w:kinsoku/>
        <w:wordWrap/>
        <w:overflowPunct/>
        <w:topLinePunct w:val="0"/>
        <w:autoSpaceDE/>
        <w:autoSpaceDN/>
        <w:bidi w:val="0"/>
        <w:adjustRightInd/>
        <w:snapToGrid/>
        <w:spacing w:before="164"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我公司郑重声明如下：</w:t>
      </w:r>
    </w:p>
    <w:p w14:paraId="474537E5">
      <w:pPr>
        <w:keepNext w:val="0"/>
        <w:keepLines w:val="0"/>
        <w:pageBreakBefore w:val="0"/>
        <w:widowControl w:val="0"/>
        <w:kinsoku/>
        <w:wordWrap/>
        <w:overflowPunct/>
        <w:topLinePunct w:val="0"/>
        <w:autoSpaceDE/>
        <w:autoSpaceDN/>
        <w:bidi w:val="0"/>
        <w:adjustRightInd/>
        <w:snapToGrid/>
        <w:spacing w:before="179"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1、投标人名称（按营业执照的全称填写</w:t>
      </w:r>
      <w:r>
        <w:rPr>
          <w:rFonts w:hint="eastAsia" w:ascii="仿宋_GB2312" w:hAnsi="仿宋_GB2312" w:eastAsia="仿宋_GB2312" w:cs="仿宋_GB2312"/>
          <w:color w:val="auto"/>
          <w:spacing w:val="3"/>
          <w:sz w:val="32"/>
          <w:szCs w:val="32"/>
        </w:rPr>
        <w:t>）：</w:t>
      </w:r>
      <w:r>
        <w:rPr>
          <w:rFonts w:hint="eastAsia" w:ascii="仿宋_GB2312" w:hAnsi="仿宋_GB2312" w:eastAsia="仿宋_GB2312" w:cs="仿宋_GB2312"/>
          <w:color w:val="auto"/>
          <w:sz w:val="32"/>
          <w:szCs w:val="32"/>
          <w:u w:val="single" w:color="auto"/>
        </w:rPr>
        <w:tab/>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single" w:color="auto"/>
        </w:rPr>
        <w:t>。</w:t>
      </w:r>
    </w:p>
    <w:p w14:paraId="09C86ED6">
      <w:pPr>
        <w:keepNext w:val="0"/>
        <w:keepLines w:val="0"/>
        <w:pageBreakBefore w:val="0"/>
        <w:widowControl w:val="0"/>
        <w:kinsoku/>
        <w:wordWrap/>
        <w:overflowPunct/>
        <w:topLinePunct w:val="0"/>
        <w:autoSpaceDE/>
        <w:autoSpaceDN/>
        <w:bidi w:val="0"/>
        <w:adjustRightInd/>
        <w:snapToGrid/>
        <w:spacing w:before="173"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2、本公司的直接上级控股/管理单位和直接下级控股/管理单位情况：</w:t>
      </w:r>
    </w:p>
    <w:tbl>
      <w:tblPr>
        <w:tblStyle w:val="84"/>
        <w:tblW w:w="104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09A8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vAlign w:val="center"/>
          </w:tcPr>
          <w:p w14:paraId="21AD8C56">
            <w:pPr>
              <w:keepNext w:val="0"/>
              <w:keepLines w:val="0"/>
              <w:pageBreakBefore w:val="0"/>
              <w:widowControl w:val="0"/>
              <w:kinsoku/>
              <w:wordWrap/>
              <w:overflowPunct/>
              <w:topLinePunct w:val="0"/>
              <w:autoSpaceDE/>
              <w:autoSpaceDN/>
              <w:bidi w:val="0"/>
              <w:adjustRightInd/>
              <w:snapToGrid/>
              <w:spacing w:before="169" w:line="360" w:lineRule="auto"/>
              <w:ind w:right="19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直接上级控股/管理单</w:t>
            </w:r>
            <w:r>
              <w:rPr>
                <w:rFonts w:hint="eastAsia" w:ascii="仿宋_GB2312" w:hAnsi="仿宋_GB2312" w:eastAsia="仿宋_GB2312" w:cs="仿宋_GB2312"/>
                <w:color w:val="auto"/>
                <w:spacing w:val="2"/>
                <w:sz w:val="32"/>
                <w:szCs w:val="32"/>
              </w:rPr>
              <w:t xml:space="preserve"> </w:t>
            </w:r>
            <w:r>
              <w:rPr>
                <w:rFonts w:hint="eastAsia" w:ascii="仿宋_GB2312" w:hAnsi="仿宋_GB2312" w:eastAsia="仿宋_GB2312" w:cs="仿宋_GB2312"/>
                <w:color w:val="auto"/>
                <w:spacing w:val="-2"/>
                <w:sz w:val="32"/>
                <w:szCs w:val="32"/>
              </w:rPr>
              <w:t>位名称</w:t>
            </w:r>
          </w:p>
        </w:tc>
        <w:tc>
          <w:tcPr>
            <w:tcW w:w="2236" w:type="dxa"/>
            <w:vAlign w:val="center"/>
          </w:tcPr>
          <w:p w14:paraId="2721CAF7">
            <w:pPr>
              <w:keepNext w:val="0"/>
              <w:keepLines w:val="0"/>
              <w:pageBreakBefore w:val="0"/>
              <w:widowControl w:val="0"/>
              <w:kinsoku/>
              <w:wordWrap/>
              <w:overflowPunct/>
              <w:topLinePunct w:val="0"/>
              <w:autoSpaceDE/>
              <w:autoSpaceDN/>
              <w:bidi w:val="0"/>
              <w:adjustRightInd/>
              <w:snapToGrid/>
              <w:spacing w:before="194" w:line="360" w:lineRule="auto"/>
              <w:ind w:right="10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对本单位的控股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2"/>
                <w:sz w:val="32"/>
                <w:szCs w:val="32"/>
              </w:rPr>
              <w:t>（出资）比例(%)</w:t>
            </w:r>
          </w:p>
        </w:tc>
        <w:tc>
          <w:tcPr>
            <w:tcW w:w="1590" w:type="dxa"/>
            <w:vAlign w:val="center"/>
          </w:tcPr>
          <w:p w14:paraId="72061CF2">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05" w:type="dxa"/>
            <w:vAlign w:val="center"/>
          </w:tcPr>
          <w:p w14:paraId="28F62AB1">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72" w:type="dxa"/>
            <w:vAlign w:val="center"/>
          </w:tcPr>
          <w:p w14:paraId="26B3658E">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34991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vAlign w:val="top"/>
          </w:tcPr>
          <w:p w14:paraId="17434E8B">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2236" w:type="dxa"/>
            <w:vAlign w:val="top"/>
          </w:tcPr>
          <w:p w14:paraId="16B27BB8">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590" w:type="dxa"/>
            <w:vAlign w:val="top"/>
          </w:tcPr>
          <w:p w14:paraId="763D175F">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05" w:type="dxa"/>
            <w:vAlign w:val="top"/>
          </w:tcPr>
          <w:p w14:paraId="2413E78F">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72" w:type="dxa"/>
            <w:vAlign w:val="top"/>
          </w:tcPr>
          <w:p w14:paraId="79E677EA">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39C2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vAlign w:val="top"/>
          </w:tcPr>
          <w:p w14:paraId="623EADB4">
            <w:pPr>
              <w:keepNext w:val="0"/>
              <w:keepLines w:val="0"/>
              <w:pageBreakBefore w:val="0"/>
              <w:widowControl w:val="0"/>
              <w:kinsoku/>
              <w:wordWrap/>
              <w:overflowPunct/>
              <w:topLinePunct w:val="0"/>
              <w:autoSpaceDE/>
              <w:autoSpaceDN/>
              <w:bidi w:val="0"/>
              <w:adjustRightInd/>
              <w:snapToGrid/>
              <w:spacing w:before="151" w:line="360" w:lineRule="auto"/>
              <w:ind w:left="1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236" w:type="dxa"/>
            <w:vAlign w:val="top"/>
          </w:tcPr>
          <w:p w14:paraId="2A49A447">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590" w:type="dxa"/>
            <w:vAlign w:val="top"/>
          </w:tcPr>
          <w:p w14:paraId="60566E91">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05" w:type="dxa"/>
            <w:vAlign w:val="top"/>
          </w:tcPr>
          <w:p w14:paraId="3204B0FB">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72" w:type="dxa"/>
            <w:vAlign w:val="top"/>
          </w:tcPr>
          <w:p w14:paraId="5457BE5B">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799F8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vAlign w:val="top"/>
          </w:tcPr>
          <w:p w14:paraId="6AC3ECEF">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114A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7" w:hRule="atLeast"/>
          <w:jc w:val="center"/>
        </w:trPr>
        <w:tc>
          <w:tcPr>
            <w:tcW w:w="2706" w:type="dxa"/>
            <w:vAlign w:val="top"/>
          </w:tcPr>
          <w:p w14:paraId="443C6633">
            <w:pPr>
              <w:keepNext w:val="0"/>
              <w:keepLines w:val="0"/>
              <w:pageBreakBefore w:val="0"/>
              <w:widowControl w:val="0"/>
              <w:kinsoku/>
              <w:wordWrap/>
              <w:overflowPunct/>
              <w:topLinePunct w:val="0"/>
              <w:autoSpaceDE/>
              <w:autoSpaceDN/>
              <w:bidi w:val="0"/>
              <w:adjustRightInd/>
              <w:snapToGrid/>
              <w:spacing w:before="169" w:line="360" w:lineRule="auto"/>
              <w:ind w:left="998" w:right="198" w:hanging="779"/>
              <w:jc w:val="center"/>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直接下级控股/</w:t>
            </w:r>
          </w:p>
          <w:p w14:paraId="65F95DE4">
            <w:pPr>
              <w:keepNext w:val="0"/>
              <w:keepLines w:val="0"/>
              <w:pageBreakBefore w:val="0"/>
              <w:widowControl w:val="0"/>
              <w:kinsoku/>
              <w:wordWrap/>
              <w:overflowPunct/>
              <w:topLinePunct w:val="0"/>
              <w:autoSpaceDE/>
              <w:autoSpaceDN/>
              <w:bidi w:val="0"/>
              <w:adjustRightInd/>
              <w:snapToGrid/>
              <w:spacing w:before="169" w:line="360" w:lineRule="auto"/>
              <w:ind w:left="998" w:right="198" w:hanging="779"/>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管理单</w:t>
            </w:r>
            <w:r>
              <w:rPr>
                <w:rFonts w:hint="eastAsia" w:ascii="仿宋_GB2312" w:hAnsi="仿宋_GB2312" w:eastAsia="仿宋_GB2312" w:cs="仿宋_GB2312"/>
                <w:color w:val="auto"/>
                <w:spacing w:val="-2"/>
                <w:sz w:val="32"/>
                <w:szCs w:val="32"/>
              </w:rPr>
              <w:t>位名称</w:t>
            </w:r>
          </w:p>
        </w:tc>
        <w:tc>
          <w:tcPr>
            <w:tcW w:w="2236" w:type="dxa"/>
            <w:vAlign w:val="top"/>
          </w:tcPr>
          <w:p w14:paraId="6250C565">
            <w:pPr>
              <w:keepNext w:val="0"/>
              <w:keepLines w:val="0"/>
              <w:pageBreakBefore w:val="0"/>
              <w:widowControl w:val="0"/>
              <w:kinsoku/>
              <w:wordWrap/>
              <w:overflowPunct/>
              <w:topLinePunct w:val="0"/>
              <w:autoSpaceDE/>
              <w:autoSpaceDN/>
              <w:bidi w:val="0"/>
              <w:adjustRightInd/>
              <w:snapToGrid/>
              <w:spacing w:before="193" w:line="360" w:lineRule="auto"/>
              <w:ind w:left="328" w:right="149" w:hanging="157"/>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本单位控股（出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3"/>
                <w:sz w:val="32"/>
                <w:szCs w:val="32"/>
              </w:rPr>
              <w:t>资）比例(%)</w:t>
            </w:r>
          </w:p>
        </w:tc>
        <w:tc>
          <w:tcPr>
            <w:tcW w:w="1590" w:type="dxa"/>
            <w:vAlign w:val="top"/>
          </w:tcPr>
          <w:p w14:paraId="7448554B">
            <w:pPr>
              <w:pStyle w:val="8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rPr>
            </w:pPr>
          </w:p>
          <w:p w14:paraId="32ABC94F">
            <w:pPr>
              <w:keepNext w:val="0"/>
              <w:keepLines w:val="0"/>
              <w:pageBreakBefore w:val="0"/>
              <w:widowControl w:val="0"/>
              <w:kinsoku/>
              <w:wordWrap/>
              <w:overflowPunct/>
              <w:topLinePunct w:val="0"/>
              <w:autoSpaceDE/>
              <w:autoSpaceDN/>
              <w:bidi w:val="0"/>
              <w:adjustRightInd/>
              <w:snapToGrid/>
              <w:spacing w:before="78" w:line="360" w:lineRule="auto"/>
              <w:ind w:left="13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05" w:type="dxa"/>
            <w:vAlign w:val="top"/>
          </w:tcPr>
          <w:p w14:paraId="43EC4007">
            <w:pPr>
              <w:pStyle w:val="8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rPr>
            </w:pPr>
          </w:p>
          <w:p w14:paraId="767E206A">
            <w:pPr>
              <w:keepNext w:val="0"/>
              <w:keepLines w:val="0"/>
              <w:pageBreakBefore w:val="0"/>
              <w:widowControl w:val="0"/>
              <w:kinsoku/>
              <w:wordWrap/>
              <w:overflowPunct/>
              <w:topLinePunct w:val="0"/>
              <w:autoSpaceDE/>
              <w:autoSpaceDN/>
              <w:bidi w:val="0"/>
              <w:adjustRightInd/>
              <w:snapToGrid/>
              <w:spacing w:before="78" w:line="360" w:lineRule="auto"/>
              <w:ind w:left="176"/>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72" w:type="dxa"/>
            <w:vAlign w:val="top"/>
          </w:tcPr>
          <w:p w14:paraId="61CE55A0">
            <w:pPr>
              <w:pStyle w:val="8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rPr>
            </w:pPr>
          </w:p>
          <w:p w14:paraId="7BD33CF2">
            <w:pPr>
              <w:keepNext w:val="0"/>
              <w:keepLines w:val="0"/>
              <w:pageBreakBefore w:val="0"/>
              <w:widowControl w:val="0"/>
              <w:kinsoku/>
              <w:wordWrap/>
              <w:overflowPunct/>
              <w:topLinePunct w:val="0"/>
              <w:autoSpaceDE/>
              <w:autoSpaceDN/>
              <w:bidi w:val="0"/>
              <w:adjustRightInd/>
              <w:snapToGrid/>
              <w:spacing w:before="78" w:line="360" w:lineRule="auto"/>
              <w:ind w:left="616"/>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7E04D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vAlign w:val="top"/>
          </w:tcPr>
          <w:p w14:paraId="6D14F441">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2236" w:type="dxa"/>
            <w:vAlign w:val="top"/>
          </w:tcPr>
          <w:p w14:paraId="263B1220">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590" w:type="dxa"/>
            <w:vAlign w:val="top"/>
          </w:tcPr>
          <w:p w14:paraId="4ADEA337">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05" w:type="dxa"/>
            <w:vAlign w:val="top"/>
          </w:tcPr>
          <w:p w14:paraId="6B85DCE1">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72" w:type="dxa"/>
            <w:vAlign w:val="top"/>
          </w:tcPr>
          <w:p w14:paraId="4164BC34">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7CF28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vAlign w:val="top"/>
          </w:tcPr>
          <w:p w14:paraId="5CAE65C2">
            <w:pPr>
              <w:keepNext w:val="0"/>
              <w:keepLines w:val="0"/>
              <w:pageBreakBefore w:val="0"/>
              <w:widowControl w:val="0"/>
              <w:kinsoku/>
              <w:wordWrap/>
              <w:overflowPunct/>
              <w:topLinePunct w:val="0"/>
              <w:autoSpaceDE/>
              <w:autoSpaceDN/>
              <w:bidi w:val="0"/>
              <w:adjustRightInd/>
              <w:snapToGrid/>
              <w:spacing w:before="145" w:line="360" w:lineRule="auto"/>
              <w:ind w:left="1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236" w:type="dxa"/>
            <w:vAlign w:val="top"/>
          </w:tcPr>
          <w:p w14:paraId="3C648EB8">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590" w:type="dxa"/>
            <w:vAlign w:val="top"/>
          </w:tcPr>
          <w:p w14:paraId="34E1EE1E">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05" w:type="dxa"/>
            <w:vAlign w:val="top"/>
          </w:tcPr>
          <w:p w14:paraId="1A202DC7">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72" w:type="dxa"/>
            <w:vAlign w:val="top"/>
          </w:tcPr>
          <w:p w14:paraId="340EF710">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bl>
    <w:p w14:paraId="03216C75">
      <w:pPr>
        <w:keepNext w:val="0"/>
        <w:keepLines w:val="0"/>
        <w:pageBreakBefore w:val="0"/>
        <w:widowControl w:val="0"/>
        <w:kinsoku/>
        <w:wordWrap/>
        <w:overflowPunct/>
        <w:topLinePunct w:val="0"/>
        <w:autoSpaceDE/>
        <w:autoSpaceDN/>
        <w:bidi w:val="0"/>
        <w:adjustRightInd/>
        <w:snapToGrid/>
        <w:spacing w:before="154"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3、属于同一直接上级控股/管理单位的其他兄弟单位</w:t>
      </w:r>
      <w:r>
        <w:rPr>
          <w:rFonts w:hint="eastAsia" w:ascii="仿宋_GB2312" w:hAnsi="仿宋_GB2312" w:eastAsia="仿宋_GB2312" w:cs="仿宋_GB2312"/>
          <w:color w:val="auto"/>
          <w:spacing w:val="-3"/>
          <w:sz w:val="32"/>
          <w:szCs w:val="32"/>
        </w:rPr>
        <w:t>情况</w:t>
      </w:r>
    </w:p>
    <w:tbl>
      <w:tblPr>
        <w:tblStyle w:val="84"/>
        <w:tblW w:w="103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04D3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vAlign w:val="top"/>
          </w:tcPr>
          <w:p w14:paraId="5FEF09C2">
            <w:pPr>
              <w:keepNext w:val="0"/>
              <w:keepLines w:val="0"/>
              <w:pageBreakBefore w:val="0"/>
              <w:widowControl w:val="0"/>
              <w:kinsoku/>
              <w:wordWrap/>
              <w:overflowPunct/>
              <w:topLinePunct w:val="0"/>
              <w:autoSpaceDE/>
              <w:autoSpaceDN/>
              <w:bidi w:val="0"/>
              <w:adjustRightInd/>
              <w:snapToGrid/>
              <w:spacing w:before="169" w:line="360" w:lineRule="auto"/>
              <w:ind w:left="998" w:right="198" w:hanging="77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直接上级控股/管理单位名称</w:t>
            </w:r>
          </w:p>
        </w:tc>
        <w:tc>
          <w:tcPr>
            <w:tcW w:w="2340" w:type="dxa"/>
            <w:vAlign w:val="top"/>
          </w:tcPr>
          <w:p w14:paraId="750939D4">
            <w:pPr>
              <w:keepNext w:val="0"/>
              <w:keepLines w:val="0"/>
              <w:pageBreakBefore w:val="0"/>
              <w:widowControl w:val="0"/>
              <w:kinsoku/>
              <w:wordWrap/>
              <w:overflowPunct/>
              <w:topLinePunct w:val="0"/>
              <w:autoSpaceDE/>
              <w:autoSpaceDN/>
              <w:bidi w:val="0"/>
              <w:adjustRightInd/>
              <w:snapToGrid/>
              <w:spacing w:before="193" w:line="360" w:lineRule="auto"/>
              <w:ind w:left="328" w:right="149" w:hanging="157"/>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对本单位控股（出 资）比例(%)</w:t>
            </w:r>
          </w:p>
        </w:tc>
        <w:tc>
          <w:tcPr>
            <w:tcW w:w="1455" w:type="dxa"/>
            <w:vAlign w:val="center"/>
          </w:tcPr>
          <w:p w14:paraId="106F70D6">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单位负责人</w:t>
            </w:r>
          </w:p>
        </w:tc>
        <w:tc>
          <w:tcPr>
            <w:tcW w:w="1920" w:type="dxa"/>
            <w:vAlign w:val="center"/>
          </w:tcPr>
          <w:p w14:paraId="499582D0">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联系人及电话</w:t>
            </w:r>
          </w:p>
        </w:tc>
        <w:tc>
          <w:tcPr>
            <w:tcW w:w="1929" w:type="dxa"/>
            <w:vAlign w:val="center"/>
          </w:tcPr>
          <w:p w14:paraId="564C0E90">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单位地址</w:t>
            </w:r>
          </w:p>
        </w:tc>
      </w:tr>
      <w:tr w14:paraId="4FDEA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vAlign w:val="top"/>
          </w:tcPr>
          <w:p w14:paraId="1C4F72E6">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2340" w:type="dxa"/>
            <w:vAlign w:val="top"/>
          </w:tcPr>
          <w:p w14:paraId="5F5D1EA4">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455" w:type="dxa"/>
            <w:vAlign w:val="top"/>
          </w:tcPr>
          <w:p w14:paraId="30A2F5DB">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20" w:type="dxa"/>
            <w:vAlign w:val="top"/>
          </w:tcPr>
          <w:p w14:paraId="195BB59F">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29" w:type="dxa"/>
            <w:vAlign w:val="top"/>
          </w:tcPr>
          <w:p w14:paraId="575F101B">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4CBE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vAlign w:val="top"/>
          </w:tcPr>
          <w:p w14:paraId="72B5EDD8">
            <w:pPr>
              <w:keepNext w:val="0"/>
              <w:keepLines w:val="0"/>
              <w:pageBreakBefore w:val="0"/>
              <w:widowControl w:val="0"/>
              <w:kinsoku/>
              <w:wordWrap/>
              <w:overflowPunct/>
              <w:topLinePunct w:val="0"/>
              <w:autoSpaceDE/>
              <w:autoSpaceDN/>
              <w:bidi w:val="0"/>
              <w:adjustRightInd/>
              <w:snapToGrid/>
              <w:spacing w:before="150" w:line="360" w:lineRule="auto"/>
              <w:ind w:left="1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40" w:type="dxa"/>
            <w:vAlign w:val="top"/>
          </w:tcPr>
          <w:p w14:paraId="1F84F302">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455" w:type="dxa"/>
            <w:vAlign w:val="top"/>
          </w:tcPr>
          <w:p w14:paraId="01C4EDA5">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20" w:type="dxa"/>
            <w:vAlign w:val="top"/>
          </w:tcPr>
          <w:p w14:paraId="2F4A934B">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c>
          <w:tcPr>
            <w:tcW w:w="1929" w:type="dxa"/>
            <w:vAlign w:val="top"/>
          </w:tcPr>
          <w:p w14:paraId="298F028F">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1DCD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vAlign w:val="top"/>
          </w:tcPr>
          <w:p w14:paraId="70A7940B">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tc>
      </w:tr>
      <w:tr w14:paraId="1BDF0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vAlign w:val="top"/>
          </w:tcPr>
          <w:p w14:paraId="120B6548">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225CDBCB">
            <w:pPr>
              <w:keepNext w:val="0"/>
              <w:keepLines w:val="0"/>
              <w:pageBreakBefore w:val="0"/>
              <w:widowControl w:val="0"/>
              <w:kinsoku/>
              <w:wordWrap/>
              <w:overflowPunct/>
              <w:topLinePunct w:val="0"/>
              <w:autoSpaceDE/>
              <w:autoSpaceDN/>
              <w:bidi w:val="0"/>
              <w:adjustRightInd/>
              <w:snapToGrid/>
              <w:spacing w:before="78" w:line="360" w:lineRule="auto"/>
              <w:ind w:left="113"/>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其他兄弟单位名称</w:t>
            </w:r>
          </w:p>
        </w:tc>
        <w:tc>
          <w:tcPr>
            <w:tcW w:w="2340" w:type="dxa"/>
            <w:vAlign w:val="top"/>
          </w:tcPr>
          <w:p w14:paraId="19687A4E">
            <w:pPr>
              <w:keepNext w:val="0"/>
              <w:keepLines w:val="0"/>
              <w:pageBreakBefore w:val="0"/>
              <w:widowControl w:val="0"/>
              <w:kinsoku/>
              <w:wordWrap/>
              <w:overflowPunct/>
              <w:topLinePunct w:val="0"/>
              <w:autoSpaceDE/>
              <w:autoSpaceDN/>
              <w:bidi w:val="0"/>
              <w:adjustRightInd/>
              <w:snapToGrid/>
              <w:spacing w:before="168" w:line="360" w:lineRule="auto"/>
              <w:ind w:left="118" w:right="115" w:hanging="9"/>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对该单位控股（出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资）比例(%)</w:t>
            </w:r>
          </w:p>
        </w:tc>
        <w:tc>
          <w:tcPr>
            <w:tcW w:w="1455" w:type="dxa"/>
            <w:vAlign w:val="center"/>
          </w:tcPr>
          <w:p w14:paraId="16D657AA">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vAlign w:val="center"/>
          </w:tcPr>
          <w:p w14:paraId="26D4BECB">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vAlign w:val="center"/>
          </w:tcPr>
          <w:p w14:paraId="5C5C7B2B">
            <w:pPr>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76B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vAlign w:val="top"/>
          </w:tcPr>
          <w:p w14:paraId="5E9B353B">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2340" w:type="dxa"/>
            <w:vAlign w:val="top"/>
          </w:tcPr>
          <w:p w14:paraId="642A4D03">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455" w:type="dxa"/>
            <w:vAlign w:val="top"/>
          </w:tcPr>
          <w:p w14:paraId="1C441BF3">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920" w:type="dxa"/>
            <w:vAlign w:val="top"/>
          </w:tcPr>
          <w:p w14:paraId="2BDBE1C2">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929" w:type="dxa"/>
            <w:vAlign w:val="top"/>
          </w:tcPr>
          <w:p w14:paraId="5498BE86">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r>
      <w:tr w14:paraId="34C0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vAlign w:val="top"/>
          </w:tcPr>
          <w:p w14:paraId="230802AF">
            <w:pPr>
              <w:keepNext w:val="0"/>
              <w:keepLines w:val="0"/>
              <w:pageBreakBefore w:val="0"/>
              <w:widowControl w:val="0"/>
              <w:kinsoku/>
              <w:wordWrap/>
              <w:overflowPunct/>
              <w:topLinePunct w:val="0"/>
              <w:autoSpaceDE/>
              <w:autoSpaceDN/>
              <w:bidi w:val="0"/>
              <w:adjustRightInd/>
              <w:snapToGrid/>
              <w:spacing w:before="160" w:line="360" w:lineRule="auto"/>
              <w:ind w:left="12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vAlign w:val="top"/>
          </w:tcPr>
          <w:p w14:paraId="30869EA6">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455" w:type="dxa"/>
            <w:vAlign w:val="top"/>
          </w:tcPr>
          <w:p w14:paraId="3A2D25EA">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920" w:type="dxa"/>
            <w:vAlign w:val="top"/>
          </w:tcPr>
          <w:p w14:paraId="49C7715D">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c>
          <w:tcPr>
            <w:tcW w:w="1929" w:type="dxa"/>
            <w:vAlign w:val="top"/>
          </w:tcPr>
          <w:p w14:paraId="541D0D25">
            <w:pPr>
              <w:pStyle w:val="8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tc>
      </w:tr>
    </w:tbl>
    <w:p w14:paraId="21DACF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我公司承诺：如未提供或未如实填写直接上级控股/管理单位和直接下级控 股/管理单位情况，将被作为废标处理。说明：若无关联企业，则在上述表格中填写“无”</w:t>
      </w:r>
    </w:p>
    <w:p w14:paraId="15F6ACFA">
      <w:pPr>
        <w:pStyle w:val="6"/>
        <w:rPr>
          <w:rFonts w:hint="eastAsia" w:ascii="仿宋_GB2312" w:hAnsi="仿宋_GB2312" w:eastAsia="仿宋_GB2312" w:cs="仿宋_GB2312"/>
          <w:b/>
          <w:bCs/>
          <w:sz w:val="32"/>
          <w:szCs w:val="32"/>
        </w:rPr>
      </w:pPr>
    </w:p>
    <w:p w14:paraId="318A8EE0">
      <w:pPr>
        <w:rPr>
          <w:rFonts w:hint="eastAsia" w:ascii="仿宋_GB2312" w:hAnsi="仿宋_GB2312" w:eastAsia="仿宋_GB2312" w:cs="仿宋_GB2312"/>
          <w:b/>
          <w:bCs/>
          <w:sz w:val="32"/>
          <w:szCs w:val="32"/>
        </w:rPr>
      </w:pPr>
    </w:p>
    <w:p w14:paraId="28FE7087">
      <w:pPr>
        <w:pStyle w:val="6"/>
        <w:rPr>
          <w:rFonts w:hint="eastAsia"/>
        </w:rPr>
      </w:pPr>
    </w:p>
    <w:p w14:paraId="53F31793">
      <w:pPr>
        <w:keepNext w:val="0"/>
        <w:keepLines w:val="0"/>
        <w:pageBreakBefore w:val="0"/>
        <w:widowControl w:val="0"/>
        <w:kinsoku/>
        <w:wordWrap/>
        <w:overflowPunct/>
        <w:topLinePunct w:val="0"/>
        <w:autoSpaceDE/>
        <w:autoSpaceDN/>
        <w:bidi w:val="0"/>
        <w:adjustRightInd/>
        <w:snapToGrid/>
        <w:spacing w:line="360" w:lineRule="auto"/>
        <w:ind w:right="56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名称（加盖公章）：</w:t>
      </w:r>
    </w:p>
    <w:p w14:paraId="117E09C0">
      <w:pPr>
        <w:keepNext w:val="0"/>
        <w:keepLines w:val="0"/>
        <w:pageBreakBefore w:val="0"/>
        <w:widowControl w:val="0"/>
        <w:kinsoku/>
        <w:wordWrap/>
        <w:overflowPunct/>
        <w:topLinePunct w:val="0"/>
        <w:autoSpaceDE/>
        <w:autoSpaceDN/>
        <w:bidi w:val="0"/>
        <w:adjustRightInd/>
        <w:snapToGrid/>
        <w:spacing w:line="360" w:lineRule="auto"/>
        <w:ind w:right="56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7FB9BF5C">
      <w:pPr>
        <w:keepNext w:val="0"/>
        <w:keepLines w:val="0"/>
        <w:pageBreakBefore w:val="0"/>
        <w:widowControl w:val="0"/>
        <w:kinsoku/>
        <w:wordWrap/>
        <w:overflowPunct/>
        <w:topLinePunct w:val="0"/>
        <w:autoSpaceDE/>
        <w:autoSpaceDN/>
        <w:bidi w:val="0"/>
        <w:adjustRightInd/>
        <w:snapToGrid/>
        <w:spacing w:line="360" w:lineRule="auto"/>
        <w:ind w:right="561"/>
        <w:textAlignment w:val="auto"/>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r>
        <w:rPr>
          <w:rFonts w:hint="eastAsia" w:ascii="仿宋_GB2312" w:hAnsi="仿宋_GB2312" w:eastAsia="仿宋_GB2312" w:cs="仿宋_GB2312"/>
          <w:color w:val="auto"/>
          <w:sz w:val="32"/>
          <w:szCs w:val="32"/>
          <w:highlight w:val="none"/>
        </w:rPr>
        <w:t>日      期：</w:t>
      </w:r>
    </w:p>
    <w:p w14:paraId="05B7939E">
      <w:pPr>
        <w:pageBreakBefore w:val="0"/>
        <w:kinsoku/>
        <w:wordWrap/>
        <w:topLinePunct w:val="0"/>
        <w:bidi w:val="0"/>
        <w:spacing w:before="75" w:line="360" w:lineRule="auto"/>
        <w:jc w:val="center"/>
        <w:outlineLvl w:val="1"/>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p>
    <w:p w14:paraId="6EEA811E">
      <w:pPr>
        <w:pageBreakBefore w:val="0"/>
        <w:kinsoku/>
        <w:wordWrap/>
        <w:topLinePunct w:val="0"/>
        <w:bidi w:val="0"/>
        <w:spacing w:before="75" w:line="360" w:lineRule="auto"/>
        <w:jc w:val="center"/>
        <w:outlineLvl w:val="1"/>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pPr>
    </w:p>
    <w:p w14:paraId="2F87585E">
      <w:pPr>
        <w:pageBreakBefore w:val="0"/>
        <w:numPr>
          <w:ilvl w:val="0"/>
          <w:numId w:val="0"/>
        </w:numPr>
        <w:kinsoku/>
        <w:wordWrap/>
        <w:topLinePunct w:val="0"/>
        <w:bidi w:val="0"/>
        <w:spacing w:before="75" w:line="360" w:lineRule="auto"/>
        <w:jc w:val="center"/>
        <w:outlineLvl w:val="1"/>
        <w:rPr>
          <w:rFonts w:hint="eastAsia" w:ascii="仿宋_GB2312" w:hAnsi="仿宋_GB2312" w:eastAsia="仿宋_GB2312" w:cs="仿宋_GB2312"/>
          <w:spacing w:val="4"/>
          <w:sz w:val="32"/>
          <w:szCs w:val="32"/>
          <w14:textOutline w14:w="4358" w14:cap="sq" w14:cmpd="sng">
            <w14:solidFill>
              <w14:srgbClr w14:val="000000"/>
            </w14:solidFill>
            <w14:prstDash w14:val="solid"/>
            <w14:bevel/>
          </w14:textOutline>
        </w:rPr>
      </w:pPr>
      <w:r>
        <w:rPr>
          <w:rFonts w:hint="eastAsia" w:ascii="仿宋_GB2312" w:hAnsi="仿宋_GB2312" w:eastAsia="仿宋_GB2312" w:cs="仿宋_GB2312"/>
          <w:spacing w:val="4"/>
          <w:sz w:val="32"/>
          <w:szCs w:val="32"/>
          <w:lang w:val="en-US" w:eastAsia="zh-CN"/>
          <w14:textOutline w14:w="4358" w14:cap="sq" w14:cmpd="sng">
            <w14:solidFill>
              <w14:srgbClr w14:val="000000"/>
            </w14:solidFill>
            <w14:prstDash w14:val="solid"/>
            <w14:bevel/>
          </w14:textOutline>
        </w:rPr>
        <w:t>14、</w:t>
      </w:r>
      <w:r>
        <w:rPr>
          <w:rFonts w:hint="eastAsia" w:ascii="仿宋_GB2312" w:hAnsi="仿宋_GB2312" w:eastAsia="仿宋_GB2312" w:cs="仿宋_GB2312"/>
          <w:spacing w:val="4"/>
          <w:sz w:val="32"/>
          <w:szCs w:val="32"/>
          <w14:textOutline w14:w="4358" w14:cap="sq" w14:cmpd="sng">
            <w14:solidFill>
              <w14:srgbClr w14:val="000000"/>
            </w14:solidFill>
            <w14:prstDash w14:val="solid"/>
            <w14:bevel/>
          </w14:textOutline>
        </w:rPr>
        <w:t>不参与围标串标承诺书</w:t>
      </w:r>
    </w:p>
    <w:p w14:paraId="484E8D46">
      <w:pPr>
        <w:pageBreakBefore w:val="0"/>
        <w:numPr>
          <w:ilvl w:val="0"/>
          <w:numId w:val="0"/>
        </w:numPr>
        <w:kinsoku/>
        <w:wordWrap/>
        <w:topLinePunct w:val="0"/>
        <w:bidi w:val="0"/>
        <w:spacing w:before="75" w:line="360" w:lineRule="auto"/>
        <w:jc w:val="both"/>
        <w:outlineLvl w:val="1"/>
        <w:rPr>
          <w:rFonts w:hint="eastAsia" w:ascii="仿宋_GB2312" w:hAnsi="仿宋_GB2312" w:eastAsia="仿宋_GB2312" w:cs="仿宋_GB2312"/>
          <w:spacing w:val="4"/>
          <w:sz w:val="32"/>
          <w:szCs w:val="32"/>
          <w14:textOutline w14:w="4358" w14:cap="sq" w14:cmpd="sng">
            <w14:solidFill>
              <w14:srgbClr w14:val="000000"/>
            </w14:solidFill>
            <w14:prstDash w14:val="solid"/>
            <w14:bevel/>
          </w14:textOutline>
        </w:rPr>
      </w:pPr>
    </w:p>
    <w:p w14:paraId="677021B9">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本人作为经授权的投标人代表,清楚知晓我单位本项目投标活动,对以下事项作出承诺：</w:t>
      </w:r>
    </w:p>
    <w:p w14:paraId="13829151">
      <w:pPr>
        <w:spacing w:line="360" w:lineRule="auto"/>
        <w:ind w:firstLine="640" w:firstLineChars="200"/>
        <w:rPr>
          <w:rFonts w:hint="eastAsia" w:ascii="仿宋_GB2312" w:hAnsi="仿宋_GB2312" w:eastAsia="仿宋_GB2312" w:cs="仿宋_GB2312"/>
          <w:sz w:val="32"/>
          <w:szCs w:val="32"/>
          <w:lang w:val="en-US" w:eastAsia="zh-CN"/>
        </w:rPr>
      </w:pPr>
    </w:p>
    <w:p w14:paraId="03925A2F">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一、我单位和我本人遵循公开透明、公平竞争、公正和诚实信用的原则,依法依规参与本项目竞标。</w:t>
      </w:r>
    </w:p>
    <w:p w14:paraId="235DA9CB">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二、我单位和我本人在本项目政府采购投标活动中,未参与围标串标。</w:t>
      </w:r>
    </w:p>
    <w:p w14:paraId="599612AD">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323B9A5">
      <w:pPr>
        <w:spacing w:line="360" w:lineRule="auto"/>
        <w:ind w:firstLine="640" w:firstLineChars="200"/>
        <w:rPr>
          <w:rFonts w:hint="eastAsia" w:ascii="仿宋_GB2312" w:hAnsi="仿宋_GB2312" w:eastAsia="仿宋_GB2312" w:cs="仿宋_GB2312"/>
          <w:sz w:val="32"/>
          <w:szCs w:val="32"/>
          <w:lang w:val="en-US" w:eastAsia="zh-CN"/>
        </w:rPr>
      </w:pPr>
    </w:p>
    <w:p w14:paraId="116CD0EA">
      <w:pPr>
        <w:spacing w:line="360" w:lineRule="auto"/>
        <w:ind w:firstLine="640" w:firstLineChars="200"/>
        <w:rPr>
          <w:rFonts w:hint="eastAsia" w:ascii="仿宋_GB2312" w:hAnsi="仿宋_GB2312" w:eastAsia="仿宋_GB2312" w:cs="仿宋_GB2312"/>
          <w:sz w:val="32"/>
          <w:szCs w:val="32"/>
        </w:rPr>
      </w:pPr>
    </w:p>
    <w:p w14:paraId="3A2A9A1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投标人名称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lang w:eastAsia="zh-CN"/>
        </w:rPr>
        <w:t>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p>
    <w:p w14:paraId="36EBE5D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法定代表人、负责人、本人、或授权代表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签字或</w:t>
      </w:r>
      <w:r>
        <w:rPr>
          <w:rFonts w:hint="eastAsia" w:ascii="仿宋_GB2312" w:hAnsi="仿宋_GB2312" w:eastAsia="仿宋_GB2312" w:cs="仿宋_GB2312"/>
          <w:sz w:val="32"/>
          <w:szCs w:val="32"/>
          <w:lang w:eastAsia="zh-CN"/>
        </w:rPr>
        <w:t>盖章）</w:t>
      </w:r>
      <w:r>
        <w:rPr>
          <w:rFonts w:hint="eastAsia" w:ascii="仿宋_GB2312" w:hAnsi="仿宋_GB2312" w:eastAsia="仿宋_GB2312" w:cs="仿宋_GB2312"/>
          <w:sz w:val="32"/>
          <w:szCs w:val="32"/>
        </w:rPr>
        <w:t>：</w:t>
      </w:r>
    </w:p>
    <w:p w14:paraId="5DF0D29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C70AF02">
      <w:pPr>
        <w:pStyle w:val="16"/>
        <w:spacing w:line="360" w:lineRule="auto"/>
        <w:ind w:left="0" w:leftChars="0" w:firstLine="0" w:firstLineChars="0"/>
        <w:jc w:val="both"/>
        <w:rPr>
          <w:rFonts w:hint="eastAsia" w:ascii="仿宋_GB2312" w:hAnsi="仿宋_GB2312" w:eastAsia="仿宋_GB2312" w:cs="仿宋_GB2312"/>
          <w:sz w:val="32"/>
          <w:szCs w:val="32"/>
          <w:lang w:val="en-US" w:eastAsia="zh-CN"/>
        </w:rPr>
      </w:pPr>
    </w:p>
    <w:p w14:paraId="310CB883">
      <w:pPr>
        <w:pStyle w:val="16"/>
        <w:spacing w:line="360" w:lineRule="auto"/>
        <w:ind w:left="0" w:leftChars="0" w:firstLine="0" w:firstLineChars="0"/>
        <w:jc w:val="both"/>
        <w:rPr>
          <w:rFonts w:hint="eastAsia" w:ascii="仿宋_GB2312" w:hAnsi="仿宋_GB2312" w:eastAsia="仿宋_GB2312" w:cs="仿宋_GB2312"/>
          <w:sz w:val="32"/>
          <w:szCs w:val="32"/>
          <w:lang w:val="en-US" w:eastAsia="zh-CN"/>
        </w:rPr>
      </w:pPr>
    </w:p>
    <w:p w14:paraId="5992F037">
      <w:pPr>
        <w:pStyle w:val="16"/>
        <w:spacing w:line="360" w:lineRule="auto"/>
        <w:ind w:left="0" w:leftChars="0" w:firstLine="0" w:firstLineChars="0"/>
        <w:jc w:val="both"/>
        <w:rPr>
          <w:rFonts w:hint="eastAsia" w:ascii="仿宋_GB2312" w:hAnsi="仿宋_GB2312" w:eastAsia="仿宋_GB2312" w:cs="仿宋_GB2312"/>
          <w:sz w:val="32"/>
          <w:szCs w:val="32"/>
          <w:lang w:val="en-US" w:eastAsia="zh-CN"/>
        </w:rPr>
      </w:pPr>
    </w:p>
    <w:p w14:paraId="244DB353">
      <w:pPr>
        <w:pStyle w:val="5"/>
        <w:pageBreakBefore w:val="0"/>
        <w:kinsoku/>
        <w:wordWrap/>
        <w:topLinePunct w:val="0"/>
        <w:bidi w:val="0"/>
        <w:spacing w:line="360" w:lineRule="auto"/>
        <w:jc w:val="center"/>
        <w:rPr>
          <w:rStyle w:val="64"/>
          <w:rFonts w:hint="eastAsia" w:ascii="仿宋_GB2312" w:hAnsi="仿宋_GB2312" w:eastAsia="仿宋_GB2312" w:cs="仿宋_GB2312"/>
          <w:b/>
          <w:bCs w:val="0"/>
          <w:color w:val="auto"/>
          <w:sz w:val="32"/>
          <w:szCs w:val="32"/>
          <w:highlight w:val="none"/>
          <w:lang w:val="en-US" w:eastAsia="zh-CN"/>
        </w:rPr>
      </w:pPr>
      <w:r>
        <w:rPr>
          <w:rStyle w:val="64"/>
          <w:rFonts w:hint="eastAsia" w:ascii="仿宋_GB2312" w:hAnsi="仿宋_GB2312" w:eastAsia="仿宋_GB2312" w:cs="仿宋_GB2312"/>
          <w:b/>
          <w:bCs w:val="0"/>
          <w:color w:val="auto"/>
          <w:sz w:val="32"/>
          <w:szCs w:val="32"/>
          <w:highlight w:val="none"/>
          <w:lang w:val="en-US" w:eastAsia="zh-CN"/>
        </w:rPr>
        <w:t>15、投标人认为需要提供的其他材料说明</w:t>
      </w:r>
      <w:bookmarkEnd w:id="327"/>
    </w:p>
    <w:p w14:paraId="3F9ED947">
      <w:pPr>
        <w:pStyle w:val="20"/>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46ABC2CC">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附件1、</w:t>
      </w:r>
      <w:r>
        <w:rPr>
          <w:rFonts w:hint="eastAsia" w:ascii="仿宋_GB2312" w:hAnsi="仿宋_GB2312" w:eastAsia="仿宋_GB2312" w:cs="仿宋_GB2312"/>
          <w:b/>
          <w:color w:val="auto"/>
          <w:sz w:val="32"/>
          <w:szCs w:val="32"/>
          <w:highlight w:val="none"/>
        </w:rPr>
        <w:t xml:space="preserve">在经营活动中没有重大违法记录的书面声明 </w:t>
      </w:r>
    </w:p>
    <w:p w14:paraId="1509ACEF">
      <w:pPr>
        <w:pStyle w:val="70"/>
        <w:pageBreakBefore w:val="0"/>
        <w:kinsoku/>
        <w:wordWrap/>
        <w:topLinePunct w:val="0"/>
        <w:bidi w:val="0"/>
        <w:spacing w:line="360" w:lineRule="auto"/>
        <w:ind w:firstLine="494"/>
        <w:rPr>
          <w:rFonts w:hint="eastAsia" w:ascii="仿宋_GB2312" w:hAnsi="仿宋_GB2312" w:eastAsia="仿宋_GB2312" w:cs="仿宋_GB2312"/>
          <w:color w:val="auto"/>
          <w:sz w:val="32"/>
          <w:szCs w:val="32"/>
          <w:highlight w:val="none"/>
        </w:rPr>
      </w:pPr>
    </w:p>
    <w:p w14:paraId="0B47B6E7">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新疆金斌工程项目管理有限公司</w:t>
      </w:r>
      <w:r>
        <w:rPr>
          <w:rFonts w:hint="eastAsia" w:ascii="仿宋_GB2312" w:hAnsi="仿宋_GB2312" w:eastAsia="仿宋_GB2312" w:cs="仿宋_GB2312"/>
          <w:b/>
          <w:color w:val="auto"/>
          <w:sz w:val="32"/>
          <w:szCs w:val="32"/>
          <w:highlight w:val="none"/>
        </w:rPr>
        <w:t>:</w:t>
      </w:r>
    </w:p>
    <w:p w14:paraId="2DB9120D">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项目（项目编号：　      　　　）的政府采购活动，并声明：</w:t>
      </w:r>
    </w:p>
    <w:p w14:paraId="112F41DA">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我方参加本采购项目政府采购前3年内在经营活动中没有因违法经营受到刑事处罚或者责令停产停业、吊销许可证或者执照、较大数额罚款等行政处罚。</w:t>
      </w:r>
    </w:p>
    <w:p w14:paraId="2D494568">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特此声明！</w:t>
      </w:r>
    </w:p>
    <w:p w14:paraId="00FEC706">
      <w:pPr>
        <w:pStyle w:val="70"/>
        <w:pageBreakBefore w:val="0"/>
        <w:kinsoku/>
        <w:wordWrap/>
        <w:topLinePunct w:val="0"/>
        <w:bidi w:val="0"/>
        <w:spacing w:line="360" w:lineRule="auto"/>
        <w:ind w:firstLine="494"/>
        <w:rPr>
          <w:rFonts w:hint="eastAsia" w:ascii="仿宋_GB2312" w:hAnsi="仿宋_GB2312" w:eastAsia="仿宋_GB2312" w:cs="仿宋_GB2312"/>
          <w:color w:val="auto"/>
          <w:sz w:val="32"/>
          <w:szCs w:val="32"/>
          <w:highlight w:val="none"/>
        </w:rPr>
      </w:pPr>
    </w:p>
    <w:p w14:paraId="3015D0B3">
      <w:pPr>
        <w:pStyle w:val="70"/>
        <w:pageBreakBefore w:val="0"/>
        <w:kinsoku/>
        <w:wordWrap/>
        <w:topLinePunct w:val="0"/>
        <w:bidi w:val="0"/>
        <w:spacing w:line="360" w:lineRule="auto"/>
        <w:ind w:firstLine="494"/>
        <w:rPr>
          <w:rFonts w:hint="eastAsia" w:ascii="仿宋_GB2312" w:hAnsi="仿宋_GB2312" w:eastAsia="仿宋_GB2312" w:cs="仿宋_GB2312"/>
          <w:color w:val="auto"/>
          <w:sz w:val="32"/>
          <w:szCs w:val="32"/>
          <w:highlight w:val="none"/>
        </w:rPr>
      </w:pPr>
    </w:p>
    <w:p w14:paraId="6CE3C71E">
      <w:pPr>
        <w:pStyle w:val="70"/>
        <w:pageBreakBefore w:val="0"/>
        <w:kinsoku/>
        <w:wordWrap/>
        <w:topLinePunct w:val="0"/>
        <w:bidi w:val="0"/>
        <w:spacing w:line="360" w:lineRule="auto"/>
        <w:ind w:firstLine="494"/>
        <w:rPr>
          <w:rFonts w:hint="eastAsia" w:ascii="仿宋_GB2312" w:hAnsi="仿宋_GB2312" w:eastAsia="仿宋_GB2312" w:cs="仿宋_GB2312"/>
          <w:color w:val="auto"/>
          <w:sz w:val="32"/>
          <w:szCs w:val="32"/>
          <w:highlight w:val="none"/>
        </w:rPr>
      </w:pPr>
    </w:p>
    <w:p w14:paraId="06F82C5D">
      <w:pPr>
        <w:pStyle w:val="70"/>
        <w:pageBreakBefore w:val="0"/>
        <w:kinsoku/>
        <w:wordWrap/>
        <w:topLinePunct w:val="0"/>
        <w:bidi w:val="0"/>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名称（加盖公章）：</w:t>
      </w:r>
    </w:p>
    <w:p w14:paraId="325A69CA">
      <w:pPr>
        <w:pStyle w:val="70"/>
        <w:pageBreakBefore w:val="0"/>
        <w:kinsoku/>
        <w:wordWrap/>
        <w:topLinePunct w:val="0"/>
        <w:bidi w:val="0"/>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360A7D38">
      <w:pPr>
        <w:pStyle w:val="70"/>
        <w:pageBreakBefore w:val="0"/>
        <w:kinsoku/>
        <w:wordWrap/>
        <w:topLinePunct w:val="0"/>
        <w:bidi w:val="0"/>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3F6601D4">
      <w:pPr>
        <w:pStyle w:val="20"/>
        <w:pageBreakBefore w:val="0"/>
        <w:kinsoku/>
        <w:wordWrap/>
        <w:topLinePunct w:val="0"/>
        <w:bidi w:val="0"/>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z w:val="32"/>
          <w:szCs w:val="32"/>
          <w:highlight w:val="none"/>
          <w:lang w:val="en-US" w:eastAsia="zh-CN"/>
        </w:rPr>
        <w:t>附件2、</w:t>
      </w:r>
      <w:bookmarkStart w:id="328" w:name="_Toc23859"/>
      <w:r>
        <w:rPr>
          <w:rFonts w:hint="eastAsia" w:ascii="仿宋_GB2312" w:hAnsi="仿宋_GB2312" w:eastAsia="仿宋_GB2312" w:cs="仿宋_GB2312"/>
          <w:b/>
          <w:color w:val="auto"/>
          <w:sz w:val="32"/>
          <w:szCs w:val="32"/>
          <w:highlight w:val="none"/>
          <w:lang w:val="en-US" w:eastAsia="zh-CN"/>
        </w:rPr>
        <w:t>中小企业声明函（工程、服务）</w:t>
      </w:r>
      <w:bookmarkEnd w:id="328"/>
      <w:r>
        <w:rPr>
          <w:rFonts w:hint="eastAsia" w:ascii="仿宋_GB2312" w:hAnsi="仿宋_GB2312" w:eastAsia="仿宋_GB2312" w:cs="仿宋_GB2312"/>
          <w:b/>
          <w:color w:val="auto"/>
          <w:sz w:val="32"/>
          <w:szCs w:val="32"/>
          <w:highlight w:val="none"/>
          <w:lang w:val="en-US" w:eastAsia="zh-CN"/>
        </w:rPr>
        <w:t>（如有）</w:t>
      </w:r>
    </w:p>
    <w:p w14:paraId="64339669">
      <w:pPr>
        <w:pageBreakBefore w:val="0"/>
        <w:kinsoku/>
        <w:wordWrap/>
        <w:topLinePunct w:val="0"/>
        <w:bidi w:val="0"/>
        <w:snapToGrid w:val="0"/>
        <w:spacing w:before="0" w:beforeAutospacing="0" w:after="0" w:afterAutospacing="0" w:line="360" w:lineRule="auto"/>
        <w:jc w:val="center"/>
        <w:textAlignment w:val="baseline"/>
        <w:rPr>
          <w:rFonts w:hint="eastAsia" w:ascii="仿宋_GB2312" w:hAnsi="仿宋_GB2312" w:eastAsia="仿宋_GB2312" w:cs="仿宋_GB2312"/>
          <w:color w:val="auto"/>
          <w:sz w:val="32"/>
          <w:szCs w:val="32"/>
          <w:highlight w:val="none"/>
        </w:rPr>
      </w:pPr>
      <w:r>
        <w:rPr>
          <w:rStyle w:val="74"/>
          <w:rFonts w:hint="eastAsia" w:ascii="仿宋_GB2312" w:hAnsi="仿宋_GB2312" w:eastAsia="仿宋_GB2312" w:cs="仿宋_GB2312"/>
          <w:b w:val="0"/>
          <w:i w:val="0"/>
          <w:caps w:val="0"/>
          <w:color w:val="auto"/>
          <w:spacing w:val="0"/>
          <w:w w:val="100"/>
          <w:kern w:val="2"/>
          <w:sz w:val="32"/>
          <w:szCs w:val="32"/>
          <w:highlight w:val="none"/>
          <w:lang w:val="en-US" w:eastAsia="zh-CN" w:bidi="ar-SA"/>
        </w:rPr>
        <w:t>（若有请如实填写，如不是无需附此函）</w:t>
      </w:r>
    </w:p>
    <w:p w14:paraId="07E2A58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本公司（联合体）郑重声明，根据《政府采购促进中小企业发展管理办法》（财库〔2020〕46号）的规定，本公司（联合体）参加</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（单位名称）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pacing w:val="6"/>
          <w:kern w:val="0"/>
          <w:sz w:val="32"/>
          <w:szCs w:val="32"/>
          <w:highlight w:val="none"/>
          <w:u w:val="single"/>
          <w:lang w:val="en-US" w:eastAsia="zh-CN"/>
        </w:rPr>
        <w:t>项目名称</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D05A72F">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（标的名称）</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（采购文件中明确的所属行业）</w:t>
      </w:r>
      <w:r>
        <w:rPr>
          <w:rFonts w:hint="eastAsia" w:ascii="仿宋_GB2312" w:hAnsi="仿宋_GB2312" w:eastAsia="仿宋_GB2312" w:cs="仿宋_GB2312"/>
          <w:color w:val="auto"/>
          <w:sz w:val="32"/>
          <w:szCs w:val="32"/>
          <w:highlight w:val="none"/>
        </w:rPr>
        <w:t>；承建（承接）企业为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（企业名称）</w:t>
      </w:r>
      <w:r>
        <w:rPr>
          <w:rFonts w:hint="eastAsia" w:ascii="仿宋_GB2312" w:hAnsi="仿宋_GB2312" w:eastAsia="仿宋_GB2312" w:cs="仿宋_GB2312"/>
          <w:color w:val="auto"/>
          <w:sz w:val="32"/>
          <w:szCs w:val="32"/>
          <w:highlight w:val="none"/>
        </w:rPr>
        <w:t>，从业人员</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人，营业收入为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万元，资产总额为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万元，属于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（中型企业、小型企业、微型企业）</w:t>
      </w:r>
      <w:r>
        <w:rPr>
          <w:rFonts w:hint="eastAsia" w:ascii="仿宋_GB2312" w:hAnsi="仿宋_GB2312" w:eastAsia="仿宋_GB2312" w:cs="仿宋_GB2312"/>
          <w:color w:val="auto"/>
          <w:sz w:val="32"/>
          <w:szCs w:val="32"/>
          <w:highlight w:val="none"/>
        </w:rPr>
        <w:t>；</w:t>
      </w:r>
    </w:p>
    <w:p w14:paraId="3F0211BE">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（标的名称）</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（采购文件中明确的所属行业）</w:t>
      </w:r>
      <w:r>
        <w:rPr>
          <w:rFonts w:hint="eastAsia" w:ascii="仿宋_GB2312" w:hAnsi="仿宋_GB2312" w:eastAsia="仿宋_GB2312" w:cs="仿宋_GB2312"/>
          <w:color w:val="auto"/>
          <w:sz w:val="32"/>
          <w:szCs w:val="32"/>
          <w:highlight w:val="none"/>
        </w:rPr>
        <w:t>；承建（承接）企业为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（企业名称）</w:t>
      </w:r>
      <w:r>
        <w:rPr>
          <w:rFonts w:hint="eastAsia" w:ascii="仿宋_GB2312" w:hAnsi="仿宋_GB2312" w:eastAsia="仿宋_GB2312" w:cs="仿宋_GB2312"/>
          <w:color w:val="auto"/>
          <w:sz w:val="32"/>
          <w:szCs w:val="32"/>
          <w:highlight w:val="none"/>
        </w:rPr>
        <w:t>，从业人员</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人，营业收入为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万元，资产总额为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万元，属于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（中型企业、小型企业、微型企业）</w:t>
      </w:r>
      <w:r>
        <w:rPr>
          <w:rFonts w:hint="eastAsia" w:ascii="仿宋_GB2312" w:hAnsi="仿宋_GB2312" w:eastAsia="仿宋_GB2312" w:cs="仿宋_GB2312"/>
          <w:color w:val="auto"/>
          <w:sz w:val="32"/>
          <w:szCs w:val="32"/>
          <w:highlight w:val="none"/>
        </w:rPr>
        <w:t>；</w:t>
      </w:r>
    </w:p>
    <w:p w14:paraId="0E5A41D9">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p w14:paraId="079BD099">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以上企业，不属于大企业的分支机构，不存在控股股东为大企业的情形，也不存在与大企业的负责人为同一人的情形。</w:t>
      </w:r>
    </w:p>
    <w:p w14:paraId="5A6FDE8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本企业对上述声明内容的真实性负责。如有虚假，将依法承担相应责任。</w:t>
      </w:r>
    </w:p>
    <w:p w14:paraId="211F3537">
      <w:pPr>
        <w:keepNext w:val="0"/>
        <w:keepLines w:val="0"/>
        <w:pageBreakBefore w:val="0"/>
        <w:kinsoku/>
        <w:wordWrap/>
        <w:overflowPunct/>
        <w:topLinePunct w:val="0"/>
        <w:autoSpaceDE/>
        <w:autoSpaceDN/>
        <w:bidi w:val="0"/>
        <w:spacing w:beforeAutospacing="0" w:afterAutospacing="0"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名称（盖</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章）：</w:t>
      </w:r>
      <w:r>
        <w:rPr>
          <w:rFonts w:hint="eastAsia" w:ascii="仿宋_GB2312" w:hAnsi="仿宋_GB2312" w:eastAsia="仿宋_GB2312" w:cs="仿宋_GB2312"/>
          <w:color w:val="auto"/>
          <w:spacing w:val="57"/>
          <w:kern w:val="0"/>
          <w:sz w:val="32"/>
          <w:szCs w:val="32"/>
          <w:highlight w:val="none"/>
          <w:u w:val="single"/>
        </w:rPr>
        <w:t xml:space="preserve">                </w:t>
      </w:r>
      <w:r>
        <w:rPr>
          <w:rFonts w:hint="eastAsia" w:ascii="仿宋_GB2312" w:hAnsi="仿宋_GB2312" w:eastAsia="仿宋_GB2312" w:cs="仿宋_GB2312"/>
          <w:color w:val="auto"/>
          <w:spacing w:val="57"/>
          <w:kern w:val="0"/>
          <w:sz w:val="32"/>
          <w:szCs w:val="32"/>
          <w:highlight w:val="none"/>
          <w:u w:val="single"/>
          <w:lang w:val="en-US" w:eastAsia="zh-CN"/>
        </w:rPr>
        <w:t xml:space="preserve">  </w:t>
      </w:r>
      <w:r>
        <w:rPr>
          <w:rFonts w:hint="eastAsia" w:ascii="仿宋_GB2312" w:hAnsi="仿宋_GB2312" w:eastAsia="仿宋_GB2312" w:cs="仿宋_GB2312"/>
          <w:color w:val="auto"/>
          <w:spacing w:val="57"/>
          <w:kern w:val="0"/>
          <w:sz w:val="32"/>
          <w:szCs w:val="32"/>
          <w:highlight w:val="none"/>
          <w:u w:val="single"/>
        </w:rPr>
        <w:t xml:space="preserve"> </w:t>
      </w:r>
      <w:r>
        <w:rPr>
          <w:rFonts w:hint="eastAsia" w:ascii="仿宋_GB2312" w:hAnsi="仿宋_GB2312" w:eastAsia="仿宋_GB2312" w:cs="仿宋_GB2312"/>
          <w:color w:val="auto"/>
          <w:spacing w:val="57"/>
          <w:kern w:val="0"/>
          <w:sz w:val="32"/>
          <w:szCs w:val="32"/>
          <w:highlight w:val="none"/>
          <w:u w:val="single"/>
          <w:lang w:val="en-US" w:eastAsia="zh-CN"/>
        </w:rPr>
        <w:t xml:space="preserve"> </w:t>
      </w:r>
    </w:p>
    <w:p w14:paraId="51632691">
      <w:pPr>
        <w:pageBreakBefore w:val="0"/>
        <w:kinsoku/>
        <w:wordWrap/>
        <w:topLinePunct w:val="0"/>
        <w:bidi w:val="0"/>
        <w:spacing w:before="75" w:line="360" w:lineRule="auto"/>
        <w:ind w:left="26" w:right="74" w:firstLine="7"/>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val="en-US" w:eastAsia="zh-CN"/>
        </w:rPr>
        <w:t>日　 期：</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月</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日</w:t>
      </w:r>
    </w:p>
    <w:p w14:paraId="1DB99EE5">
      <w:pPr>
        <w:pageBreakBefore w:val="0"/>
        <w:kinsoku/>
        <w:wordWrap/>
        <w:topLinePunct w:val="0"/>
        <w:bidi w:val="0"/>
        <w:spacing w:before="75" w:line="360" w:lineRule="auto"/>
        <w:ind w:left="26" w:right="74" w:firstLine="7"/>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spacing w:val="13"/>
          <w:sz w:val="32"/>
          <w:szCs w:val="32"/>
          <w14:textOutline w14:w="4358" w14:cap="sq" w14:cmpd="sng">
            <w14:solidFill>
              <w14:srgbClr w14:val="000000"/>
            </w14:solidFill>
            <w14:prstDash w14:val="solid"/>
            <w14:bevel/>
          </w14:textOutline>
        </w:rPr>
        <w:t>注</w:t>
      </w:r>
      <w:r>
        <w:rPr>
          <w:rFonts w:hint="eastAsia" w:ascii="仿宋_GB2312" w:hAnsi="仿宋_GB2312" w:eastAsia="仿宋_GB2312" w:cs="仿宋_GB2312"/>
          <w:spacing w:val="10"/>
          <w:sz w:val="32"/>
          <w:szCs w:val="32"/>
          <w14:textOutline w14:w="4358" w14:cap="sq" w14:cmpd="sng">
            <w14:solidFill>
              <w14:srgbClr w14:val="000000"/>
            </w14:solidFill>
            <w14:prstDash w14:val="solid"/>
            <w14:bevel/>
          </w14:textOutline>
        </w:rPr>
        <w:t>：1、从业人员、营业收入、资产总额填报上一年度数据，无上一年度数据的新</w:t>
      </w:r>
      <w:r>
        <w:rPr>
          <w:rFonts w:hint="eastAsia" w:ascii="仿宋_GB2312" w:hAnsi="仿宋_GB2312" w:eastAsia="仿宋_GB2312" w:cs="仿宋_GB2312"/>
          <w:spacing w:val="8"/>
          <w:sz w:val="32"/>
          <w:szCs w:val="32"/>
          <w14:textOutline w14:w="4358" w14:cap="sq" w14:cmpd="sng">
            <w14:solidFill>
              <w14:srgbClr w14:val="000000"/>
            </w14:solidFill>
            <w14:prstDash w14:val="solid"/>
            <w14:bevel/>
          </w14:textOutline>
        </w:rPr>
        <w:t>成立企业可不填报。</w:t>
      </w:r>
    </w:p>
    <w:p w14:paraId="144B34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附件2.1</w:t>
      </w:r>
    </w:p>
    <w:p w14:paraId="747427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33"/>
          <w:rFonts w:hint="eastAsia" w:ascii="仿宋_GB2312" w:hAnsi="仿宋_GB2312" w:eastAsia="仿宋_GB2312" w:cs="仿宋_GB2312"/>
          <w:color w:val="auto"/>
          <w:kern w:val="0"/>
          <w:sz w:val="32"/>
          <w:szCs w:val="32"/>
          <w:highlight w:val="none"/>
          <w:lang w:val="en-US" w:eastAsia="zh-CN" w:bidi="ar"/>
        </w:rPr>
      </w:pPr>
    </w:p>
    <w:p w14:paraId="012B53F6">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Style w:val="33"/>
          <w:rFonts w:hint="eastAsia" w:ascii="仿宋_GB2312" w:hAnsi="仿宋_GB2312" w:eastAsia="仿宋_GB2312" w:cs="仿宋_GB2312"/>
          <w:color w:val="auto"/>
          <w:kern w:val="0"/>
          <w:sz w:val="32"/>
          <w:szCs w:val="32"/>
          <w:highlight w:val="none"/>
          <w:lang w:val="en-US" w:eastAsia="zh-CN" w:bidi="ar"/>
        </w:rPr>
      </w:pPr>
      <w:r>
        <w:rPr>
          <w:rStyle w:val="33"/>
          <w:rFonts w:hint="eastAsia" w:ascii="仿宋_GB2312" w:hAnsi="仿宋_GB2312" w:eastAsia="仿宋_GB2312" w:cs="仿宋_GB2312"/>
          <w:color w:val="auto"/>
          <w:kern w:val="0"/>
          <w:sz w:val="32"/>
          <w:szCs w:val="32"/>
          <w:highlight w:val="none"/>
          <w:lang w:val="en-US" w:eastAsia="zh-CN" w:bidi="ar"/>
        </w:rPr>
        <w:t>（一）关于“中小企业声明函”的填写要求</w:t>
      </w:r>
    </w:p>
    <w:p w14:paraId="4645BBC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“中小企业声明函”具体填写要求如下：</w:t>
      </w:r>
    </w:p>
    <w:p w14:paraId="0EDFBAF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1.“单位名称”应填写采购人名称。</w:t>
      </w:r>
    </w:p>
    <w:p w14:paraId="42B553C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FEFC0B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41FF45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48FC065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8D18B4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52545D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5.“企业名称”应填写投标（响应）的货物制造商/服务承接商/工程承建商（根据项目属性确定）。</w:t>
      </w:r>
    </w:p>
    <w:p w14:paraId="154F467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对于分包方式面向中小企业采购的项目，“企业名称”应填写分包部分采购标的对应的货物制造商/服务承接商/工程承建商（根据项目属性确定）。</w:t>
      </w:r>
    </w:p>
    <w:p w14:paraId="7660313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DF1BAB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6.从业人员、资产总额指标以上年度末数据为依据，营业收入指标以上年度累计数据为依据。无上年度数据的新成立企业可不填报。</w:t>
      </w:r>
    </w:p>
    <w:p w14:paraId="2071B05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1B543C3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D99C504">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Style w:val="33"/>
          <w:rFonts w:hint="eastAsia" w:ascii="仿宋_GB2312" w:hAnsi="仿宋_GB2312" w:eastAsia="仿宋_GB2312" w:cs="仿宋_GB2312"/>
          <w:color w:val="auto"/>
          <w:kern w:val="0"/>
          <w:sz w:val="32"/>
          <w:szCs w:val="32"/>
          <w:highlight w:val="none"/>
          <w:lang w:val="en-US" w:eastAsia="zh-CN" w:bidi="ar"/>
        </w:rPr>
      </w:pPr>
      <w:r>
        <w:rPr>
          <w:rStyle w:val="33"/>
          <w:rFonts w:hint="eastAsia" w:ascii="仿宋_GB2312" w:hAnsi="仿宋_GB2312" w:eastAsia="仿宋_GB2312" w:cs="仿宋_GB2312"/>
          <w:color w:val="auto"/>
          <w:kern w:val="0"/>
          <w:sz w:val="32"/>
          <w:szCs w:val="32"/>
          <w:highlight w:val="none"/>
          <w:lang w:val="en-US" w:eastAsia="zh-CN" w:bidi="ar"/>
        </w:rPr>
        <w:t>（二）关于“中小企业声明函”的提交要求</w:t>
      </w:r>
    </w:p>
    <w:p w14:paraId="6957046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794F26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2.鼓励供应商在投标（响应）时一并提供对货物制造商、服务承接商、工程承建商相关信息的核实核验情况以及其他佐证材料。</w:t>
      </w:r>
    </w:p>
    <w:p w14:paraId="0C81620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85B2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1B444B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77FB2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3E5D0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49801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72803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631F2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6093D5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0A820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79DB42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0AD49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21D0B0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4B7312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4B4F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760CF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4A970E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30E0E5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p>
    <w:p w14:paraId="7C1C85E0">
      <w:pPr>
        <w:pStyle w:val="14"/>
        <w:rPr>
          <w:rFonts w:hint="eastAsia"/>
          <w:lang w:val="en-US" w:eastAsia="zh-CN"/>
        </w:rPr>
      </w:pPr>
    </w:p>
    <w:p w14:paraId="4BBB4E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附件2.2：</w:t>
      </w:r>
    </w:p>
    <w:p w14:paraId="35684C0A">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关于印发中小企业划型标准规定的通知</w:t>
      </w:r>
    </w:p>
    <w:p w14:paraId="600F6D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3"/>
          <w:rFonts w:hint="eastAsia" w:ascii="仿宋_GB2312" w:hAnsi="仿宋_GB2312" w:eastAsia="仿宋_GB2312" w:cs="仿宋_GB2312"/>
          <w:b w:val="0"/>
          <w:color w:val="auto"/>
          <w:sz w:val="32"/>
          <w:szCs w:val="32"/>
          <w:highlight w:val="none"/>
        </w:rPr>
      </w:pPr>
      <w:r>
        <w:rPr>
          <w:rStyle w:val="33"/>
          <w:rFonts w:hint="eastAsia" w:ascii="仿宋_GB2312" w:hAnsi="仿宋_GB2312" w:eastAsia="仿宋_GB2312" w:cs="仿宋_GB2312"/>
          <w:b w:val="0"/>
          <w:color w:val="auto"/>
          <w:sz w:val="32"/>
          <w:szCs w:val="32"/>
          <w:highlight w:val="none"/>
        </w:rPr>
        <w:t>工信部联企业〔2011〕300号</w:t>
      </w:r>
    </w:p>
    <w:p w14:paraId="7EEFFD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3"/>
          <w:rFonts w:hint="eastAsia" w:ascii="仿宋_GB2312" w:hAnsi="仿宋_GB2312" w:eastAsia="仿宋_GB2312" w:cs="仿宋_GB2312"/>
          <w:b w:val="0"/>
          <w:color w:val="auto"/>
          <w:sz w:val="32"/>
          <w:szCs w:val="32"/>
          <w:highlight w:val="none"/>
        </w:rPr>
      </w:pPr>
    </w:p>
    <w:p w14:paraId="158FDB75">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color w:val="auto"/>
          <w:sz w:val="32"/>
          <w:szCs w:val="32"/>
          <w:highlight w:val="none"/>
        </w:rPr>
      </w:pPr>
      <w:r>
        <w:rPr>
          <w:rStyle w:val="33"/>
          <w:rFonts w:hint="eastAsia" w:ascii="仿宋_GB2312" w:hAnsi="仿宋_GB2312" w:eastAsia="仿宋_GB2312" w:cs="仿宋_GB2312"/>
          <w:b w:val="0"/>
          <w:color w:val="auto"/>
          <w:sz w:val="32"/>
          <w:szCs w:val="32"/>
          <w:highlight w:val="none"/>
        </w:rPr>
        <w:t>各省、自治区、直辖市人民政府，国务院各部委、各直属机构及有关单位：</w:t>
      </w:r>
    </w:p>
    <w:p w14:paraId="2787BE46">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29DEA4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工业和信息化部　国家统计局</w:t>
      </w:r>
    </w:p>
    <w:p w14:paraId="2874849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国家发展和改革委员会　财政部</w:t>
      </w:r>
    </w:p>
    <w:p w14:paraId="042FBE4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二○一一年六月十八日</w:t>
      </w:r>
    </w:p>
    <w:p w14:paraId="6ADE8CC1">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xml:space="preserve"> </w:t>
      </w:r>
    </w:p>
    <w:p w14:paraId="74399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3"/>
          <w:rFonts w:hint="eastAsia" w:ascii="仿宋_GB2312" w:hAnsi="仿宋_GB2312" w:eastAsia="仿宋_GB2312" w:cs="仿宋_GB2312"/>
          <w:b/>
          <w:bCs w:val="0"/>
          <w:color w:val="auto"/>
          <w:sz w:val="32"/>
          <w:szCs w:val="32"/>
          <w:highlight w:val="none"/>
        </w:rPr>
      </w:pPr>
      <w:r>
        <w:rPr>
          <w:rStyle w:val="33"/>
          <w:rFonts w:hint="eastAsia" w:ascii="仿宋_GB2312" w:hAnsi="仿宋_GB2312" w:eastAsia="仿宋_GB2312" w:cs="仿宋_GB2312"/>
          <w:b/>
          <w:bCs w:val="0"/>
          <w:color w:val="auto"/>
          <w:sz w:val="32"/>
          <w:szCs w:val="32"/>
          <w:highlight w:val="none"/>
        </w:rPr>
        <w:t>中小企业划型标准规定</w:t>
      </w:r>
    </w:p>
    <w:p w14:paraId="4D25DF4E">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一、根据《中华人民共和国中小企业促进法》和《国务院关于进一步促进中小企业发展的若干意见》(国发〔2009〕36号)，制定本规定。</w:t>
      </w:r>
    </w:p>
    <w:p w14:paraId="189EC3CE">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二、中小企业划分为中型、小型、微型三种类型，具体标准根据企业从业人员、营业收入、资产总额等指标，结合行业特点制定。</w:t>
      </w:r>
    </w:p>
    <w:p w14:paraId="3440B103">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C22131">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四、各行业划型标准为：</w:t>
      </w:r>
    </w:p>
    <w:p w14:paraId="568AB062">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（一）农、林、牧、渔业。营业收入20000万元以下的为中小微型企业。其中，营业收入500万元及以上的为中型企业，营业收入50万元及以上的为小型企业，营业收入50万元以下的为微型企业。</w:t>
      </w:r>
    </w:p>
    <w:p w14:paraId="2B1CE246">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69C492">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539936">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0190EBF">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452F312">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400FF0">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1B2B9A">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3D0B391">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166AD6">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C89B51">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5ED8A6">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8BC70A9">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B17D2F">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BAFF41C">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3753E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（十六）其他未列明行业。从业人员300人以下的为中小微型企业。其中，从业人员100人及以上的为中型企业；从业人员10人及以上的为小型企业；从业人员10人以下的为微型企业。　　</w:t>
      </w:r>
    </w:p>
    <w:p w14:paraId="4C255EFC">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五、企业类型的划分以统计部门的统计数据为依据。</w:t>
      </w:r>
    </w:p>
    <w:p w14:paraId="7A6046FE">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六、本规定适用于在中华人民共和国境内依法设立的各类所有制和各种组织形式的企业。个体工商户和本规定以外的行业，参照本规定进行划型。</w:t>
      </w:r>
    </w:p>
    <w:p w14:paraId="2A5C3915">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EBF1A91">
      <w:pPr>
        <w:keepNext w:val="0"/>
        <w:keepLines w:val="0"/>
        <w:pageBreakBefore w:val="0"/>
        <w:widowControl w:val="0"/>
        <w:kinsoku/>
        <w:wordWrap/>
        <w:overflowPunct/>
        <w:topLinePunct w:val="0"/>
        <w:autoSpaceDE/>
        <w:autoSpaceDN/>
        <w:bidi w:val="0"/>
        <w:adjustRightInd/>
        <w:snapToGrid/>
        <w:spacing w:line="360" w:lineRule="auto"/>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　　八、本规定由工业和信息化部、国家统计局会同有关部门根据《国民经济行业分类》修订情况和企业发展变化情况适时修订。</w:t>
      </w:r>
    </w:p>
    <w:p w14:paraId="4E92A91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33"/>
          <w:rFonts w:hint="eastAsia" w:ascii="仿宋_GB2312" w:hAnsi="仿宋_GB2312" w:eastAsia="仿宋_GB2312" w:cs="仿宋_GB2312"/>
          <w:b w:val="0"/>
          <w:bCs w:val="0"/>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九、本规定由工业和信息化部、国家统计局会同有关部门负责解释。</w:t>
      </w:r>
    </w:p>
    <w:p w14:paraId="4B8F0CFA">
      <w:pPr>
        <w:pStyle w:val="17"/>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r>
        <w:rPr>
          <w:rStyle w:val="33"/>
          <w:rFonts w:hint="eastAsia" w:ascii="仿宋_GB2312" w:hAnsi="仿宋_GB2312" w:eastAsia="仿宋_GB2312" w:cs="仿宋_GB2312"/>
          <w:b w:val="0"/>
          <w:bCs w:val="0"/>
          <w:color w:val="auto"/>
          <w:sz w:val="32"/>
          <w:szCs w:val="32"/>
          <w:highlight w:val="none"/>
        </w:rPr>
        <w:t>十、本规定自发布之日起执行，原国家经贸委、原国家计委、财政部和国家统计局2003年颁布的《中小企业标准暂行规定》同时废止。</w:t>
      </w:r>
    </w:p>
    <w:p w14:paraId="7F29A949">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20964EF1">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6D11703E">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1A0855C8">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0603D845">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09C6F86A">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1298317B">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148C2C35">
      <w:pPr>
        <w:pageBreakBefore w:val="0"/>
        <w:kinsoku/>
        <w:wordWrap/>
        <w:topLinePunct w:val="0"/>
        <w:bidi w:val="0"/>
        <w:spacing w:line="360" w:lineRule="auto"/>
        <w:jc w:val="both"/>
        <w:rPr>
          <w:rFonts w:hint="eastAsia" w:ascii="仿宋_GB2312" w:hAnsi="仿宋_GB2312" w:eastAsia="仿宋_GB2312" w:cs="仿宋_GB2312"/>
          <w:b/>
          <w:color w:val="auto"/>
          <w:sz w:val="32"/>
          <w:szCs w:val="32"/>
          <w:highlight w:val="none"/>
          <w:lang w:val="en-US" w:eastAsia="zh-CN"/>
        </w:rPr>
      </w:pPr>
    </w:p>
    <w:p w14:paraId="4E3FA632">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附件3、</w:t>
      </w:r>
      <w:r>
        <w:rPr>
          <w:rFonts w:hint="eastAsia" w:ascii="仿宋_GB2312" w:hAnsi="仿宋_GB2312" w:eastAsia="仿宋_GB2312" w:cs="仿宋_GB2312"/>
          <w:b/>
          <w:color w:val="auto"/>
          <w:sz w:val="32"/>
          <w:szCs w:val="32"/>
          <w:highlight w:val="none"/>
        </w:rPr>
        <w:t>残疾人福利性单位声明函</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如有</w:t>
      </w:r>
      <w:r>
        <w:rPr>
          <w:rFonts w:hint="eastAsia" w:ascii="仿宋_GB2312" w:hAnsi="仿宋_GB2312" w:eastAsia="仿宋_GB2312" w:cs="仿宋_GB2312"/>
          <w:b/>
          <w:color w:val="auto"/>
          <w:sz w:val="32"/>
          <w:szCs w:val="32"/>
          <w:highlight w:val="none"/>
          <w:lang w:eastAsia="zh-CN"/>
        </w:rPr>
        <w:t>）</w:t>
      </w:r>
    </w:p>
    <w:p w14:paraId="799156CD">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p>
    <w:p w14:paraId="444C0225">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eastAsia="仿宋_GB2312" w:cs="仿宋_GB2312"/>
          <w:color w:val="auto"/>
          <w:sz w:val="32"/>
          <w:szCs w:val="32"/>
          <w:highlight w:val="none"/>
          <w:u w:val="single"/>
        </w:rPr>
        <w:t>____                __</w:t>
      </w:r>
      <w:r>
        <w:rPr>
          <w:rFonts w:hint="eastAsia" w:ascii="仿宋_GB2312" w:hAnsi="仿宋_GB2312" w:eastAsia="仿宋_GB2312" w:cs="仿宋_GB2312"/>
          <w:color w:val="auto"/>
          <w:sz w:val="32"/>
          <w:szCs w:val="32"/>
          <w:highlight w:val="none"/>
        </w:rPr>
        <w:t>单位的__                    ____项目采购活动提供本单位制造的货物（由本单位承担工程/提供服务），或者提供其他残疾人福利性单位制造的货物（不包括使用非残疾人福利性单位注册商标的货物）。</w:t>
      </w:r>
    </w:p>
    <w:p w14:paraId="304F745D">
      <w:pPr>
        <w:pageBreakBefore w:val="0"/>
        <w:kinsoku/>
        <w:wordWrap/>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本单位对上述声明的真实性负责。如有虚假，将依法承担相应责任。</w:t>
      </w:r>
    </w:p>
    <w:p w14:paraId="54E8C0B7">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60C9BF63">
      <w:pPr>
        <w:pageBreakBefore w:val="0"/>
        <w:tabs>
          <w:tab w:val="left" w:pos="465"/>
          <w:tab w:val="left" w:pos="780"/>
        </w:tabs>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注：此函随同价格文件和技术商务文件一起装订，非残疾人福利性单位投标时</w:t>
      </w:r>
      <w:r>
        <w:rPr>
          <w:rFonts w:hint="eastAsia" w:ascii="仿宋_GB2312" w:hAnsi="仿宋_GB2312" w:eastAsia="仿宋_GB2312" w:cs="仿宋_GB2312"/>
          <w:b/>
          <w:color w:val="auto"/>
          <w:sz w:val="32"/>
          <w:szCs w:val="32"/>
          <w:highlight w:val="none"/>
        </w:rPr>
        <w:t>不需要提供此声明函。</w:t>
      </w:r>
    </w:p>
    <w:p w14:paraId="13485C42">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0B4485C4">
      <w:pPr>
        <w:pageBreakBefore w:val="0"/>
        <w:kinsoku/>
        <w:wordWrap/>
        <w:topLinePunct w:val="0"/>
        <w:bidi w:val="0"/>
        <w:spacing w:line="360" w:lineRule="auto"/>
        <w:rPr>
          <w:rFonts w:hint="eastAsia" w:ascii="仿宋_GB2312" w:hAnsi="仿宋_GB2312" w:eastAsia="仿宋_GB2312" w:cs="仿宋_GB2312"/>
          <w:b/>
          <w:color w:val="auto"/>
          <w:sz w:val="32"/>
          <w:szCs w:val="32"/>
          <w:highlight w:val="none"/>
        </w:rPr>
      </w:pPr>
    </w:p>
    <w:p w14:paraId="6EB637E4">
      <w:pPr>
        <w:pStyle w:val="14"/>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名称（加盖公章）：</w:t>
      </w:r>
    </w:p>
    <w:p w14:paraId="53DD2113">
      <w:pPr>
        <w:pStyle w:val="14"/>
        <w:pageBreakBefore w:val="0"/>
        <w:kinsoku/>
        <w:wordWrap/>
        <w:topLinePunct w:val="0"/>
        <w:bidi w:val="0"/>
        <w:spacing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法定代表人或受委托人（签名或盖私章）：</w:t>
      </w:r>
    </w:p>
    <w:p w14:paraId="2BD684A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11C46C76">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770BA70C">
      <w:pPr>
        <w:pageBreakBefore w:val="0"/>
        <w:kinsoku/>
        <w:wordWrap/>
        <w:topLinePunct w:val="0"/>
        <w:bidi w:val="0"/>
        <w:spacing w:line="360" w:lineRule="auto"/>
        <w:jc w:val="both"/>
        <w:rPr>
          <w:rFonts w:hint="eastAsia" w:ascii="仿宋_GB2312" w:hAnsi="仿宋_GB2312" w:eastAsia="仿宋_GB2312" w:cs="仿宋_GB2312"/>
          <w:b/>
          <w:color w:val="auto"/>
          <w:sz w:val="32"/>
          <w:szCs w:val="32"/>
          <w:highlight w:val="none"/>
          <w:lang w:val="en-US" w:eastAsia="zh-CN"/>
        </w:rPr>
      </w:pPr>
    </w:p>
    <w:p w14:paraId="4CEAFB61">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附件4</w:t>
      </w:r>
      <w:r>
        <w:rPr>
          <w:rFonts w:hint="eastAsia" w:ascii="仿宋_GB2312" w:hAnsi="仿宋_GB2312" w:eastAsia="仿宋_GB2312" w:cs="仿宋_GB2312"/>
          <w:b/>
          <w:color w:val="auto"/>
          <w:sz w:val="32"/>
          <w:szCs w:val="32"/>
          <w:highlight w:val="none"/>
        </w:rPr>
        <w:t>省级以上监狱管理局、戒毒管理局（含新疆生产建设兵团）出具的属于监狱企业证明文件（格式自拟）</w:t>
      </w:r>
    </w:p>
    <w:p w14:paraId="6E71E72B">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38B110A1">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3B43C14B">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510902B3">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2A248EAF">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390EBF5F">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015FB959">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5AC42817">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07001733">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71308CF5">
      <w:pPr>
        <w:pStyle w:val="4"/>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color w:val="auto"/>
          <w:sz w:val="32"/>
          <w:szCs w:val="32"/>
          <w:highlight w:val="none"/>
        </w:rPr>
      </w:pPr>
      <w:bookmarkStart w:id="329" w:name="_Toc24440"/>
    </w:p>
    <w:p w14:paraId="4D7A96D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6665299C">
      <w:pPr>
        <w:pageBreakBefore w:val="0"/>
        <w:kinsoku/>
        <w:wordWrap/>
        <w:topLinePunct w:val="0"/>
        <w:bidi w:val="0"/>
        <w:spacing w:line="360" w:lineRule="auto"/>
        <w:rPr>
          <w:rFonts w:hint="eastAsia" w:ascii="仿宋_GB2312" w:hAnsi="仿宋_GB2312" w:eastAsia="仿宋_GB2312" w:cs="仿宋_GB2312"/>
          <w:color w:val="auto"/>
          <w:sz w:val="32"/>
          <w:szCs w:val="32"/>
          <w:highlight w:val="none"/>
        </w:rPr>
      </w:pPr>
    </w:p>
    <w:p w14:paraId="0F4B77F7">
      <w:pPr>
        <w:pageBreakBefore w:val="0"/>
        <w:kinsoku/>
        <w:wordWrap/>
        <w:topLinePunct w:val="0"/>
        <w:bidi w:val="0"/>
        <w:spacing w:line="360" w:lineRule="auto"/>
        <w:jc w:val="center"/>
        <w:rPr>
          <w:rFonts w:hint="eastAsia" w:ascii="仿宋_GB2312" w:hAnsi="仿宋_GB2312" w:eastAsia="仿宋_GB2312" w:cs="仿宋_GB2312"/>
          <w:b/>
          <w:color w:val="auto"/>
          <w:sz w:val="32"/>
          <w:szCs w:val="32"/>
          <w:highlight w:val="none"/>
          <w:lang w:val="en-US" w:eastAsia="zh-CN"/>
        </w:rPr>
      </w:pPr>
    </w:p>
    <w:p w14:paraId="30639FC2">
      <w:pPr>
        <w:pStyle w:val="4"/>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附表1 </w:t>
      </w:r>
      <w:r>
        <w:rPr>
          <w:rFonts w:hint="eastAsia" w:ascii="仿宋_GB2312" w:hAnsi="仿宋_GB2312" w:eastAsia="仿宋_GB2312" w:cs="仿宋_GB2312"/>
          <w:color w:val="auto"/>
          <w:sz w:val="32"/>
          <w:szCs w:val="32"/>
          <w:highlight w:val="none"/>
          <w:lang w:val="en-US" w:eastAsia="zh-CN"/>
        </w:rPr>
        <w:t xml:space="preserve">                    资格审查</w:t>
      </w:r>
      <w:r>
        <w:rPr>
          <w:rFonts w:hint="eastAsia" w:ascii="仿宋_GB2312" w:hAnsi="仿宋_GB2312" w:eastAsia="仿宋_GB2312" w:cs="仿宋_GB2312"/>
          <w:color w:val="auto"/>
          <w:sz w:val="32"/>
          <w:szCs w:val="32"/>
          <w:highlight w:val="none"/>
        </w:rPr>
        <w:t>标准表</w:t>
      </w:r>
      <w:bookmarkEnd w:id="325"/>
      <w:bookmarkEnd w:id="329"/>
    </w:p>
    <w:tbl>
      <w:tblPr>
        <w:tblStyle w:val="30"/>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6464"/>
        <w:gridCol w:w="2842"/>
        <w:gridCol w:w="787"/>
      </w:tblGrid>
      <w:tr w14:paraId="406C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25" w:type="dxa"/>
            <w:vAlign w:val="center"/>
          </w:tcPr>
          <w:p w14:paraId="13D7D412">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序号</w:t>
            </w:r>
          </w:p>
        </w:tc>
        <w:tc>
          <w:tcPr>
            <w:tcW w:w="6464" w:type="dxa"/>
            <w:vAlign w:val="center"/>
          </w:tcPr>
          <w:p w14:paraId="30EF2174">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审查因素</w:t>
            </w:r>
          </w:p>
        </w:tc>
        <w:tc>
          <w:tcPr>
            <w:tcW w:w="2842" w:type="dxa"/>
            <w:vAlign w:val="center"/>
          </w:tcPr>
          <w:p w14:paraId="295E4B9D">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审查标准</w:t>
            </w:r>
          </w:p>
        </w:tc>
        <w:tc>
          <w:tcPr>
            <w:tcW w:w="787" w:type="dxa"/>
            <w:vAlign w:val="center"/>
          </w:tcPr>
          <w:p w14:paraId="656138D7">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备注</w:t>
            </w:r>
          </w:p>
        </w:tc>
      </w:tr>
      <w:tr w14:paraId="08D9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vAlign w:val="center"/>
          </w:tcPr>
          <w:p w14:paraId="76B50D0E">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6464" w:type="dxa"/>
            <w:vAlign w:val="center"/>
          </w:tcPr>
          <w:p w14:paraId="1333A550">
            <w:pPr>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供应商为企业法人应提供合法有效的标识有统一社会信用代码的营业执照，事业法人应提供事业单位法人证书；其他组织应提供合法登记证明文件；</w:t>
            </w:r>
          </w:p>
        </w:tc>
        <w:tc>
          <w:tcPr>
            <w:tcW w:w="2842" w:type="dxa"/>
            <w:vAlign w:val="center"/>
          </w:tcPr>
          <w:p w14:paraId="52A4E06F">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上传有效的营业执照扫描件</w:t>
            </w:r>
          </w:p>
        </w:tc>
        <w:tc>
          <w:tcPr>
            <w:tcW w:w="787" w:type="dxa"/>
            <w:vAlign w:val="center"/>
          </w:tcPr>
          <w:p w14:paraId="34C7D293">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p>
        </w:tc>
      </w:tr>
      <w:tr w14:paraId="5FE3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vAlign w:val="center"/>
          </w:tcPr>
          <w:p w14:paraId="2BADA813">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6464" w:type="dxa"/>
            <w:vAlign w:val="center"/>
          </w:tcPr>
          <w:p w14:paraId="6065F872">
            <w:pPr>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法定代表人身份证或法定代表人授权委托书和委托代理人的身份证，法定代表人授权委托书应当与响应文件中所提供的相一致；</w:t>
            </w:r>
          </w:p>
        </w:tc>
        <w:tc>
          <w:tcPr>
            <w:tcW w:w="2842" w:type="dxa"/>
            <w:vAlign w:val="center"/>
          </w:tcPr>
          <w:p w14:paraId="0D86B5A9">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上传有效的身份证明或委托书扫描件</w:t>
            </w:r>
          </w:p>
        </w:tc>
        <w:tc>
          <w:tcPr>
            <w:tcW w:w="787" w:type="dxa"/>
            <w:vAlign w:val="center"/>
          </w:tcPr>
          <w:p w14:paraId="640D7AAE">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p>
        </w:tc>
      </w:tr>
      <w:tr w14:paraId="4741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vAlign w:val="center"/>
          </w:tcPr>
          <w:p w14:paraId="1514E880">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6464" w:type="dxa"/>
            <w:vAlign w:val="center"/>
          </w:tcPr>
          <w:p w14:paraId="6CECDF61">
            <w:pPr>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b w:val="0"/>
                <w:bCs w:val="0"/>
                <w:color w:val="auto"/>
                <w:kern w:val="2"/>
                <w:sz w:val="32"/>
                <w:szCs w:val="32"/>
                <w:u w:val="none"/>
                <w:lang w:val="en-US" w:eastAsia="zh-CN" w:bidi="ar-SA"/>
              </w:rPr>
              <w:t>供应商提供本单位近一年内任意一个月社保缴纳证明材料和法人或授权委托人近一年内任意一个月的社保缴纳证明材料。（①</w:t>
            </w:r>
            <w:r>
              <w:rPr>
                <w:rFonts w:hint="eastAsia" w:ascii="仿宋" w:hAnsi="仿宋" w:eastAsia="仿宋" w:cs="仿宋"/>
                <w:b/>
                <w:bCs/>
                <w:color w:val="auto"/>
                <w:kern w:val="2"/>
                <w:sz w:val="32"/>
                <w:szCs w:val="32"/>
                <w:u w:val="none"/>
                <w:lang w:val="en-US" w:eastAsia="zh-CN" w:bidi="ar-SA"/>
              </w:rPr>
              <w:t>法人参加投标的只需提供法人的社保证明材料，授权委托人参加的只需提供授权委托人社保证明；②证明材料需提供：社会保障资金缴存单据或社保机构开具的社会保险参保缴费情况证明，依法不需要缴纳社会保障资金的供应商应提供相关文件证明；</w:t>
            </w:r>
            <w:r>
              <w:rPr>
                <w:rFonts w:hint="eastAsia" w:ascii="仿宋" w:hAnsi="仿宋" w:eastAsia="仿宋" w:cs="仿宋"/>
                <w:b w:val="0"/>
                <w:bCs w:val="0"/>
                <w:color w:val="auto"/>
                <w:kern w:val="2"/>
                <w:sz w:val="32"/>
                <w:szCs w:val="32"/>
                <w:u w:val="none"/>
                <w:lang w:val="en-US" w:eastAsia="zh-CN" w:bidi="ar-SA"/>
              </w:rPr>
              <w:t>）</w:t>
            </w:r>
          </w:p>
        </w:tc>
        <w:tc>
          <w:tcPr>
            <w:tcW w:w="2842" w:type="dxa"/>
            <w:vAlign w:val="center"/>
          </w:tcPr>
          <w:p w14:paraId="68851222">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上传有效的证明材料</w:t>
            </w:r>
          </w:p>
        </w:tc>
        <w:tc>
          <w:tcPr>
            <w:tcW w:w="787" w:type="dxa"/>
            <w:vAlign w:val="center"/>
          </w:tcPr>
          <w:p w14:paraId="42D7DC12">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p>
        </w:tc>
      </w:tr>
      <w:tr w14:paraId="4500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5" w:type="dxa"/>
            <w:vAlign w:val="center"/>
          </w:tcPr>
          <w:p w14:paraId="25510741">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p>
        </w:tc>
        <w:tc>
          <w:tcPr>
            <w:tcW w:w="6464" w:type="dxa"/>
            <w:vAlign w:val="center"/>
          </w:tcPr>
          <w:p w14:paraId="619F5F62">
            <w:pPr>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highlight w:val="none"/>
                <w:lang w:val="en-US" w:eastAsia="zh-CN"/>
              </w:rPr>
              <w:t>供应商提供2025年的财务审计报告（成立时间至提交投标文件截止时间不足一年的可提供成立后任意时段的资产负债表），或其开标前三个月内基本存款账户开户银行出具的资信证明及基本存款账户开户许可证；</w:t>
            </w:r>
          </w:p>
        </w:tc>
        <w:tc>
          <w:tcPr>
            <w:tcW w:w="2842" w:type="dxa"/>
            <w:vAlign w:val="center"/>
          </w:tcPr>
          <w:p w14:paraId="2D32FCA4">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上传有效的证明材料</w:t>
            </w:r>
          </w:p>
        </w:tc>
        <w:tc>
          <w:tcPr>
            <w:tcW w:w="787" w:type="dxa"/>
            <w:vAlign w:val="center"/>
          </w:tcPr>
          <w:p w14:paraId="587F1447">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p>
        </w:tc>
      </w:tr>
      <w:tr w14:paraId="0ECF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25" w:type="dxa"/>
            <w:vAlign w:val="center"/>
          </w:tcPr>
          <w:p w14:paraId="57A4B8EF">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p>
        </w:tc>
        <w:tc>
          <w:tcPr>
            <w:tcW w:w="6464" w:type="dxa"/>
            <w:vAlign w:val="center"/>
          </w:tcPr>
          <w:p w14:paraId="0A42C259">
            <w:pPr>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供应商提供近</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年内已缴纳的</w:t>
            </w:r>
            <w:r>
              <w:rPr>
                <w:rFonts w:hint="eastAsia" w:ascii="仿宋" w:hAnsi="仿宋" w:eastAsia="仿宋" w:cs="仿宋"/>
                <w:color w:val="auto"/>
                <w:sz w:val="32"/>
                <w:szCs w:val="32"/>
                <w:lang w:val="en-US" w:eastAsia="zh-CN"/>
              </w:rPr>
              <w:t>任意</w:t>
            </w:r>
            <w:r>
              <w:rPr>
                <w:rFonts w:hint="eastAsia" w:ascii="仿宋" w:hAnsi="仿宋" w:eastAsia="仿宋" w:cs="仿宋"/>
                <w:color w:val="auto"/>
                <w:sz w:val="32"/>
                <w:szCs w:val="32"/>
              </w:rPr>
              <w:t>一个月的纳税证明或完税证明，纳税证明或完税证明上应有代收机构或税务机关的公章，依法免税的供应商应提供相关文件证明；</w:t>
            </w:r>
          </w:p>
        </w:tc>
        <w:tc>
          <w:tcPr>
            <w:tcW w:w="2842" w:type="dxa"/>
            <w:vAlign w:val="center"/>
          </w:tcPr>
          <w:p w14:paraId="7653B202">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上传有效的证明材料</w:t>
            </w:r>
          </w:p>
        </w:tc>
        <w:tc>
          <w:tcPr>
            <w:tcW w:w="787" w:type="dxa"/>
            <w:vAlign w:val="center"/>
          </w:tcPr>
          <w:p w14:paraId="6977A05D">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rPr>
            </w:pPr>
          </w:p>
        </w:tc>
      </w:tr>
      <w:tr w14:paraId="029B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625" w:type="dxa"/>
            <w:vAlign w:val="center"/>
          </w:tcPr>
          <w:p w14:paraId="78004B58">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p>
        </w:tc>
        <w:tc>
          <w:tcPr>
            <w:tcW w:w="6464" w:type="dxa"/>
            <w:vAlign w:val="center"/>
          </w:tcPr>
          <w:p w14:paraId="4CA354E9">
            <w:pPr>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842" w:type="dxa"/>
            <w:vAlign w:val="center"/>
          </w:tcPr>
          <w:p w14:paraId="53AD4FBB">
            <w:pPr>
              <w:pStyle w:val="4"/>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kern w:val="2"/>
                <w:sz w:val="32"/>
                <w:szCs w:val="32"/>
                <w:lang w:val="en-US" w:eastAsia="zh-CN" w:bidi="ar-SA"/>
              </w:rPr>
              <w:t>上传有效的证明材料格式详见：第六章 投标文件部分格式13、投标企业关联企业情况说明</w:t>
            </w:r>
          </w:p>
        </w:tc>
        <w:tc>
          <w:tcPr>
            <w:tcW w:w="787" w:type="dxa"/>
            <w:vAlign w:val="center"/>
          </w:tcPr>
          <w:p w14:paraId="5CA23A0C">
            <w:pPr>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仿宋" w:hAnsi="仿宋" w:eastAsia="仿宋" w:cs="仿宋"/>
                <w:b/>
                <w:color w:val="auto"/>
                <w:sz w:val="32"/>
                <w:szCs w:val="32"/>
              </w:rPr>
            </w:pPr>
          </w:p>
        </w:tc>
      </w:tr>
      <w:tr w14:paraId="1888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25" w:type="dxa"/>
            <w:vAlign w:val="center"/>
          </w:tcPr>
          <w:p w14:paraId="69D1E15C">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p>
        </w:tc>
        <w:tc>
          <w:tcPr>
            <w:tcW w:w="6464" w:type="dxa"/>
            <w:vAlign w:val="center"/>
          </w:tcPr>
          <w:p w14:paraId="02C33638">
            <w:pPr>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供应商应为小</w:t>
            </w:r>
            <w:r>
              <w:rPr>
                <w:rFonts w:hint="eastAsia" w:ascii="仿宋" w:hAnsi="仿宋" w:eastAsia="仿宋" w:cs="仿宋"/>
                <w:color w:val="auto"/>
                <w:sz w:val="32"/>
                <w:szCs w:val="32"/>
                <w:lang w:val="en-US" w:eastAsia="zh-CN"/>
              </w:rPr>
              <w:t>微</w:t>
            </w:r>
            <w:r>
              <w:rPr>
                <w:rFonts w:hint="eastAsia" w:ascii="仿宋" w:hAnsi="仿宋" w:eastAsia="仿宋" w:cs="仿宋"/>
                <w:color w:val="auto"/>
                <w:sz w:val="32"/>
                <w:szCs w:val="32"/>
              </w:rPr>
              <w:t>企业</w:t>
            </w:r>
          </w:p>
        </w:tc>
        <w:tc>
          <w:tcPr>
            <w:tcW w:w="2842" w:type="dxa"/>
            <w:vAlign w:val="center"/>
          </w:tcPr>
          <w:p w14:paraId="39957D67">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请根据要求单独上传《中小企业声明函》。格式以采购文件要求为准。</w:t>
            </w:r>
          </w:p>
        </w:tc>
        <w:tc>
          <w:tcPr>
            <w:tcW w:w="787" w:type="dxa"/>
            <w:vAlign w:val="center"/>
          </w:tcPr>
          <w:p w14:paraId="4C07ECCE">
            <w:pPr>
              <w:pageBreakBefore w:val="0"/>
              <w:widowControl w:val="0"/>
              <w:tabs>
                <w:tab w:val="left" w:pos="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lang w:val="en-US" w:eastAsia="zh-CN"/>
              </w:rPr>
            </w:pPr>
          </w:p>
        </w:tc>
      </w:tr>
    </w:tbl>
    <w:p w14:paraId="01A62BB2">
      <w:pPr>
        <w:rPr>
          <w:rFonts w:hint="eastAsia" w:ascii="仿宋_GB2312" w:hAnsi="仿宋_GB2312" w:eastAsia="仿宋_GB2312" w:cs="仿宋_GB2312"/>
          <w:color w:val="auto"/>
          <w:sz w:val="32"/>
          <w:szCs w:val="32"/>
          <w:highlight w:val="none"/>
        </w:rPr>
      </w:pPr>
    </w:p>
    <w:p w14:paraId="770F7F0E">
      <w:pPr>
        <w:pStyle w:val="14"/>
        <w:rPr>
          <w:rFonts w:hint="eastAsia" w:ascii="仿宋_GB2312" w:hAnsi="仿宋_GB2312" w:eastAsia="仿宋_GB2312" w:cs="仿宋_GB2312"/>
          <w:color w:val="auto"/>
          <w:sz w:val="32"/>
          <w:szCs w:val="32"/>
          <w:highlight w:val="none"/>
        </w:rPr>
      </w:pPr>
    </w:p>
    <w:p w14:paraId="74F3F146">
      <w:pPr>
        <w:pStyle w:val="14"/>
        <w:rPr>
          <w:rFonts w:hint="eastAsia" w:ascii="仿宋_GB2312" w:hAnsi="仿宋_GB2312" w:eastAsia="仿宋_GB2312" w:cs="仿宋_GB2312"/>
          <w:color w:val="auto"/>
          <w:sz w:val="32"/>
          <w:szCs w:val="32"/>
          <w:highlight w:val="none"/>
        </w:rPr>
      </w:pPr>
    </w:p>
    <w:p w14:paraId="2AB52F06">
      <w:pPr>
        <w:pStyle w:val="14"/>
        <w:rPr>
          <w:rFonts w:hint="eastAsia" w:ascii="仿宋_GB2312" w:hAnsi="仿宋_GB2312" w:eastAsia="仿宋_GB2312" w:cs="仿宋_GB2312"/>
          <w:color w:val="auto"/>
          <w:sz w:val="32"/>
          <w:szCs w:val="32"/>
          <w:highlight w:val="none"/>
        </w:rPr>
      </w:pPr>
    </w:p>
    <w:p w14:paraId="285982BF">
      <w:pPr>
        <w:pStyle w:val="14"/>
        <w:rPr>
          <w:rFonts w:hint="eastAsia" w:ascii="仿宋_GB2312" w:hAnsi="仿宋_GB2312" w:eastAsia="仿宋_GB2312" w:cs="仿宋_GB2312"/>
          <w:color w:val="auto"/>
          <w:sz w:val="32"/>
          <w:szCs w:val="32"/>
          <w:highlight w:val="none"/>
        </w:rPr>
      </w:pPr>
    </w:p>
    <w:p w14:paraId="09A0116F">
      <w:pPr>
        <w:pStyle w:val="14"/>
        <w:rPr>
          <w:rFonts w:hint="eastAsia" w:ascii="仿宋_GB2312" w:hAnsi="仿宋_GB2312" w:eastAsia="仿宋_GB2312" w:cs="仿宋_GB2312"/>
          <w:color w:val="auto"/>
          <w:sz w:val="32"/>
          <w:szCs w:val="32"/>
          <w:highlight w:val="none"/>
        </w:rPr>
      </w:pPr>
    </w:p>
    <w:p w14:paraId="0451D7DA">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符合性审查</w:t>
      </w:r>
      <w:r>
        <w:rPr>
          <w:rFonts w:hint="eastAsia" w:ascii="仿宋_GB2312" w:hAnsi="仿宋_GB2312" w:eastAsia="仿宋_GB2312" w:cs="仿宋_GB2312"/>
          <w:color w:val="auto"/>
          <w:sz w:val="32"/>
          <w:szCs w:val="32"/>
          <w:highlight w:val="none"/>
        </w:rPr>
        <w:t>标准表</w:t>
      </w:r>
    </w:p>
    <w:tbl>
      <w:tblPr>
        <w:tblStyle w:val="30"/>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556"/>
      </w:tblGrid>
      <w:tr w14:paraId="2597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vAlign w:val="center"/>
          </w:tcPr>
          <w:p w14:paraId="7257CC78">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077" w:type="dxa"/>
            <w:vAlign w:val="center"/>
          </w:tcPr>
          <w:p w14:paraId="32CE8E71">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审查项目</w:t>
            </w:r>
          </w:p>
        </w:tc>
        <w:tc>
          <w:tcPr>
            <w:tcW w:w="5556" w:type="dxa"/>
            <w:vAlign w:val="center"/>
          </w:tcPr>
          <w:p w14:paraId="76531F42">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eastAsia="zh-CN"/>
              </w:rPr>
              <w:t>审查要求</w:t>
            </w:r>
          </w:p>
        </w:tc>
      </w:tr>
      <w:tr w14:paraId="6902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vAlign w:val="center"/>
          </w:tcPr>
          <w:p w14:paraId="1A3D7FD1">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077" w:type="dxa"/>
            <w:vAlign w:val="center"/>
          </w:tcPr>
          <w:p w14:paraId="36E1138B">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签署、盖章</w:t>
            </w:r>
          </w:p>
        </w:tc>
        <w:tc>
          <w:tcPr>
            <w:tcW w:w="5556" w:type="dxa"/>
            <w:vAlign w:val="center"/>
          </w:tcPr>
          <w:p w14:paraId="162FAD2F">
            <w:pPr>
              <w:pStyle w:val="14"/>
              <w:keepNext w:val="0"/>
              <w:keepLines w:val="0"/>
              <w:pageBreakBefore w:val="0"/>
              <w:widowControl w:val="0"/>
              <w:tabs>
                <w:tab w:val="left" w:pos="567"/>
              </w:tabs>
              <w:kinsoku/>
              <w:wordWrap/>
              <w:overflowPunct/>
              <w:topLinePunct w:val="0"/>
              <w:autoSpaceDE/>
              <w:autoSpaceDN/>
              <w:bidi w:val="0"/>
              <w:spacing w:line="36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投标文件按</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文件要求签署、盖章的</w:t>
            </w:r>
          </w:p>
        </w:tc>
      </w:tr>
      <w:tr w14:paraId="1770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vAlign w:val="center"/>
          </w:tcPr>
          <w:p w14:paraId="653BD829">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077" w:type="dxa"/>
            <w:vAlign w:val="center"/>
          </w:tcPr>
          <w:p w14:paraId="7A759DCC">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w:t>
            </w:r>
          </w:p>
        </w:tc>
        <w:tc>
          <w:tcPr>
            <w:tcW w:w="5556" w:type="dxa"/>
            <w:vAlign w:val="center"/>
          </w:tcPr>
          <w:p w14:paraId="006E70CB">
            <w:pPr>
              <w:pStyle w:val="14"/>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投标人投标报价</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超出采购预算或最高限价的</w:t>
            </w:r>
          </w:p>
        </w:tc>
      </w:tr>
      <w:tr w14:paraId="6218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vAlign w:val="center"/>
          </w:tcPr>
          <w:p w14:paraId="152FDC2F">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077" w:type="dxa"/>
            <w:vAlign w:val="center"/>
          </w:tcPr>
          <w:p w14:paraId="7ABD5A3F">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报价合理性</w:t>
            </w:r>
          </w:p>
        </w:tc>
        <w:tc>
          <w:tcPr>
            <w:tcW w:w="5556" w:type="dxa"/>
            <w:vAlign w:val="center"/>
          </w:tcPr>
          <w:p w14:paraId="182D7D9F">
            <w:pPr>
              <w:pStyle w:val="14"/>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投标人的报价</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明显低于其他通过符合性审查投标人的报价，</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影响产品质量或者能诚信履约的，且投标人</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证明其报价合理性的</w:t>
            </w:r>
          </w:p>
        </w:tc>
      </w:tr>
      <w:tr w14:paraId="48D6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vAlign w:val="center"/>
          </w:tcPr>
          <w:p w14:paraId="44639E51">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077" w:type="dxa"/>
            <w:vAlign w:val="center"/>
          </w:tcPr>
          <w:p w14:paraId="57A571C3">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w:t>
            </w:r>
          </w:p>
        </w:tc>
        <w:tc>
          <w:tcPr>
            <w:tcW w:w="5556" w:type="dxa"/>
            <w:vAlign w:val="center"/>
          </w:tcPr>
          <w:p w14:paraId="18617EED">
            <w:pPr>
              <w:pStyle w:val="14"/>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投标保证金提交或金额、形式</w:t>
            </w:r>
            <w:r>
              <w:rPr>
                <w:rFonts w:hint="eastAsia" w:ascii="仿宋_GB2312" w:hAnsi="仿宋_GB2312" w:eastAsia="仿宋_GB2312" w:cs="仿宋_GB2312"/>
                <w:sz w:val="32"/>
                <w:szCs w:val="32"/>
                <w:lang w:eastAsia="zh-CN"/>
              </w:rPr>
              <w:t>完全</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文件要求的</w:t>
            </w:r>
          </w:p>
        </w:tc>
      </w:tr>
      <w:tr w14:paraId="4CA1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vAlign w:val="center"/>
          </w:tcPr>
          <w:p w14:paraId="6D53F132">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3077" w:type="dxa"/>
            <w:vAlign w:val="center"/>
          </w:tcPr>
          <w:p w14:paraId="3DAAD221">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投标内容</w:t>
            </w:r>
          </w:p>
        </w:tc>
        <w:tc>
          <w:tcPr>
            <w:tcW w:w="5556" w:type="dxa"/>
            <w:vAlign w:val="center"/>
          </w:tcPr>
          <w:p w14:paraId="3E0C56A0">
            <w:pPr>
              <w:pStyle w:val="14"/>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投标内容</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出现漏项或数量与要求</w:t>
            </w:r>
            <w:r>
              <w:rPr>
                <w:rFonts w:hint="eastAsia" w:ascii="仿宋_GB2312" w:hAnsi="仿宋_GB2312" w:eastAsia="仿宋_GB2312" w:cs="仿宋_GB2312"/>
                <w:sz w:val="32"/>
                <w:szCs w:val="32"/>
                <w:lang w:eastAsia="zh-CN"/>
              </w:rPr>
              <w:t>不符</w:t>
            </w:r>
            <w:r>
              <w:rPr>
                <w:rFonts w:hint="eastAsia" w:ascii="仿宋_GB2312" w:hAnsi="仿宋_GB2312" w:eastAsia="仿宋_GB2312" w:cs="仿宋_GB2312"/>
                <w:sz w:val="32"/>
                <w:szCs w:val="32"/>
              </w:rPr>
              <w:t>或投标内容的技术指标</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文件要求，</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造成采购档次降低或影响采购性能、功能</w:t>
            </w:r>
          </w:p>
        </w:tc>
      </w:tr>
      <w:tr w14:paraId="78C9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vAlign w:val="center"/>
          </w:tcPr>
          <w:p w14:paraId="4EE7B193">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3077" w:type="dxa"/>
            <w:vAlign w:val="center"/>
          </w:tcPr>
          <w:p w14:paraId="5A20AB26">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合同履行期限</w:t>
            </w:r>
          </w:p>
        </w:tc>
        <w:tc>
          <w:tcPr>
            <w:tcW w:w="5556" w:type="dxa"/>
            <w:vAlign w:val="center"/>
          </w:tcPr>
          <w:p w14:paraId="3FFDD1D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应满足招标文件中要求的合同履行期限</w:t>
            </w:r>
          </w:p>
        </w:tc>
      </w:tr>
      <w:tr w14:paraId="4D1D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vAlign w:val="center"/>
          </w:tcPr>
          <w:p w14:paraId="420CB4DA">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p>
        </w:tc>
        <w:tc>
          <w:tcPr>
            <w:tcW w:w="3077" w:type="dxa"/>
            <w:vAlign w:val="center"/>
          </w:tcPr>
          <w:p w14:paraId="0F541C5A">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其它情形</w:t>
            </w:r>
          </w:p>
        </w:tc>
        <w:tc>
          <w:tcPr>
            <w:tcW w:w="5556" w:type="dxa"/>
            <w:vAlign w:val="center"/>
          </w:tcPr>
          <w:p w14:paraId="407474A3">
            <w:pPr>
              <w:pStyle w:val="14"/>
              <w:keepNext w:val="0"/>
              <w:keepLines w:val="0"/>
              <w:pageBreakBefore w:val="0"/>
              <w:widowControl w:val="0"/>
              <w:tabs>
                <w:tab w:val="left" w:pos="567"/>
              </w:tabs>
              <w:kinsoku/>
              <w:wordWrap/>
              <w:overflowPunct/>
              <w:topLinePunct w:val="0"/>
              <w:autoSpaceDE/>
              <w:autoSpaceDN/>
              <w:bidi w:val="0"/>
              <w:spacing w:before="0" w:line="36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存在其它不符合法律法规或招标文件规定的投标无效条款</w:t>
            </w:r>
          </w:p>
        </w:tc>
      </w:tr>
      <w:tr w14:paraId="697D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vAlign w:val="center"/>
          </w:tcPr>
          <w:p w14:paraId="699BD82E">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3077" w:type="dxa"/>
            <w:vAlign w:val="center"/>
          </w:tcPr>
          <w:p w14:paraId="6C7D123E">
            <w:pPr>
              <w:pStyle w:val="14"/>
              <w:keepNext w:val="0"/>
              <w:keepLines w:val="0"/>
              <w:pageBreakBefore w:val="0"/>
              <w:widowControl w:val="0"/>
              <w:tabs>
                <w:tab w:val="left" w:pos="567"/>
              </w:tabs>
              <w:kinsoku/>
              <w:wordWrap/>
              <w:overflowPunct/>
              <w:topLinePunct w:val="0"/>
              <w:autoSpaceDE/>
              <w:autoSpaceDN/>
              <w:bidi w:val="0"/>
              <w:spacing w:before="0"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★为核心</w:t>
            </w:r>
            <w:r>
              <w:rPr>
                <w:rFonts w:hint="eastAsia" w:ascii="仿宋_GB2312" w:hAnsi="仿宋_GB2312" w:eastAsia="仿宋_GB2312" w:cs="仿宋_GB2312"/>
                <w:sz w:val="32"/>
                <w:szCs w:val="32"/>
                <w:lang w:val="en-US" w:eastAsia="zh-CN"/>
              </w:rPr>
              <w:t>商务要求</w:t>
            </w:r>
          </w:p>
        </w:tc>
        <w:tc>
          <w:tcPr>
            <w:tcW w:w="5556" w:type="dxa"/>
            <w:vAlign w:val="center"/>
          </w:tcPr>
          <w:p w14:paraId="2FEC38D5">
            <w:pPr>
              <w:pStyle w:val="14"/>
              <w:keepNext w:val="0"/>
              <w:keepLines w:val="0"/>
              <w:pageBreakBefore w:val="0"/>
              <w:widowControl w:val="0"/>
              <w:tabs>
                <w:tab w:val="left" w:pos="567"/>
              </w:tabs>
              <w:kinsoku/>
              <w:wordWrap/>
              <w:overflowPunct/>
              <w:topLinePunct w:val="0"/>
              <w:autoSpaceDE/>
              <w:autoSpaceDN/>
              <w:bidi w:val="0"/>
              <w:spacing w:before="0"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★为核心</w:t>
            </w:r>
            <w:r>
              <w:rPr>
                <w:rFonts w:hint="eastAsia" w:ascii="仿宋_GB2312" w:hAnsi="仿宋_GB2312" w:eastAsia="仿宋_GB2312" w:cs="仿宋_GB2312"/>
                <w:sz w:val="32"/>
                <w:szCs w:val="32"/>
                <w:lang w:val="en-US" w:eastAsia="zh-CN"/>
              </w:rPr>
              <w:t>商务要求</w:t>
            </w:r>
            <w:r>
              <w:rPr>
                <w:rFonts w:hint="eastAsia" w:ascii="仿宋_GB2312" w:hAnsi="仿宋_GB2312" w:eastAsia="仿宋_GB2312" w:cs="仿宋_GB2312"/>
                <w:sz w:val="32"/>
                <w:szCs w:val="32"/>
              </w:rPr>
              <w:t>(属于不允许偏离的实质性要求,投标人需实质性响应)</w:t>
            </w:r>
            <w:r>
              <w:rPr>
                <w:rFonts w:hint="eastAsia" w:ascii="仿宋_GB2312" w:hAnsi="仿宋_GB2312" w:eastAsia="仿宋_GB2312" w:cs="仿宋_GB2312"/>
                <w:sz w:val="32"/>
                <w:szCs w:val="32"/>
                <w:lang w:val="en-US" w:eastAsia="zh-CN"/>
              </w:rPr>
              <w:t>供应商根据招标文件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项提供相关佐证资料或承诺函，承诺函格式自拟。</w:t>
            </w:r>
          </w:p>
        </w:tc>
      </w:tr>
    </w:tbl>
    <w:p w14:paraId="315E1F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0F050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评标</w:t>
      </w:r>
      <w:r>
        <w:rPr>
          <w:rFonts w:hint="eastAsia" w:ascii="仿宋_GB2312" w:hAnsi="仿宋_GB2312" w:eastAsia="仿宋_GB2312" w:cs="仿宋_GB2312"/>
          <w:sz w:val="32"/>
          <w:szCs w:val="32"/>
        </w:rPr>
        <w:t xml:space="preserve">小组（签字）：   </w:t>
      </w:r>
    </w:p>
    <w:p w14:paraId="21864791">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sz w:val="32"/>
          <w:szCs w:val="32"/>
        </w:rPr>
        <w:t>注：未通过</w:t>
      </w:r>
      <w:r>
        <w:rPr>
          <w:rFonts w:hint="eastAsia" w:ascii="仿宋_GB2312" w:hAnsi="仿宋_GB2312" w:eastAsia="仿宋_GB2312" w:cs="仿宋_GB2312"/>
          <w:b/>
          <w:sz w:val="32"/>
          <w:szCs w:val="32"/>
          <w:lang w:val="en-US" w:eastAsia="zh-CN"/>
        </w:rPr>
        <w:t>资格审查、符合性</w:t>
      </w:r>
      <w:r>
        <w:rPr>
          <w:rFonts w:hint="eastAsia" w:ascii="仿宋_GB2312" w:hAnsi="仿宋_GB2312" w:eastAsia="仿宋_GB2312" w:cs="仿宋_GB2312"/>
          <w:b/>
          <w:sz w:val="32"/>
          <w:szCs w:val="32"/>
        </w:rPr>
        <w:t>审查的投标文件，其投标文件作为无效投标文件，不进入下一步评审</w:t>
      </w:r>
      <w:bookmarkStart w:id="330" w:name="_Toc45795253"/>
      <w:bookmarkStart w:id="331" w:name="_Toc9700"/>
    </w:p>
    <w:p w14:paraId="33B8EBF7">
      <w:pPr>
        <w:pStyle w:val="4"/>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C631FD3">
      <w:pPr>
        <w:pStyle w:val="4"/>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F4B78EB">
      <w:pP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BE33410">
      <w:pP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CBA10F">
      <w:pP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6F4171B">
      <w:pPr>
        <w:pStyle w:val="4"/>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附表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14:paraId="6D0DF4D6">
      <w:pPr>
        <w:pStyle w:val="23"/>
        <w:pageBreakBefore w:val="0"/>
        <w:kinsoku/>
        <w:wordWrap/>
        <w:topLinePunct w:val="0"/>
        <w:bidi w:val="0"/>
        <w:spacing w:line="360" w:lineRule="auto"/>
        <w:jc w:val="cente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评分细则</w:t>
      </w:r>
      <w:bookmarkEnd w:id="330"/>
      <w:bookmarkEnd w:id="331"/>
    </w:p>
    <w:tbl>
      <w:tblPr>
        <w:tblStyle w:val="30"/>
        <w:tblpPr w:leftFromText="180" w:rightFromText="180" w:vertAnchor="text" w:horzAnchor="page" w:tblpX="764" w:tblpY="579"/>
        <w:tblOverlap w:val="never"/>
        <w:tblW w:w="10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117"/>
        <w:gridCol w:w="5781"/>
        <w:gridCol w:w="1282"/>
      </w:tblGrid>
      <w:tr w14:paraId="08CE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578" w:type="dxa"/>
            <w:vAlign w:val="center"/>
          </w:tcPr>
          <w:p w14:paraId="1AC75AEB">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评标</w:t>
            </w:r>
          </w:p>
          <w:p w14:paraId="3504A0EB">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指标</w:t>
            </w:r>
          </w:p>
        </w:tc>
        <w:tc>
          <w:tcPr>
            <w:tcW w:w="7898" w:type="dxa"/>
            <w:gridSpan w:val="2"/>
            <w:tcBorders>
              <w:right w:val="single" w:color="auto" w:sz="4" w:space="0"/>
            </w:tcBorders>
            <w:vAlign w:val="center"/>
          </w:tcPr>
          <w:p w14:paraId="7E928164">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评议内容</w:t>
            </w:r>
          </w:p>
        </w:tc>
        <w:tc>
          <w:tcPr>
            <w:tcW w:w="1282" w:type="dxa"/>
            <w:tcBorders>
              <w:right w:val="single" w:color="auto" w:sz="4" w:space="0"/>
            </w:tcBorders>
            <w:vAlign w:val="center"/>
          </w:tcPr>
          <w:p w14:paraId="77E6DF79">
            <w:pPr>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分值</w:t>
            </w:r>
          </w:p>
        </w:tc>
      </w:tr>
      <w:tr w14:paraId="21F8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5" w:hRule="atLeast"/>
        </w:trPr>
        <w:tc>
          <w:tcPr>
            <w:tcW w:w="1578" w:type="dxa"/>
            <w:vAlign w:val="center"/>
          </w:tcPr>
          <w:p w14:paraId="41622843">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报价得分（</w:t>
            </w:r>
            <w:r>
              <w:rPr>
                <w:rFonts w:hint="eastAsia" w:ascii="仿宋" w:hAnsi="仿宋" w:eastAsia="仿宋" w:cs="仿宋"/>
                <w:b/>
                <w:color w:val="auto"/>
                <w:sz w:val="32"/>
                <w:szCs w:val="32"/>
                <w:highlight w:val="none"/>
                <w:lang w:val="en-US" w:eastAsia="zh-CN"/>
              </w:rPr>
              <w:t>20</w:t>
            </w:r>
            <w:r>
              <w:rPr>
                <w:rFonts w:hint="eastAsia" w:ascii="仿宋" w:hAnsi="仿宋" w:eastAsia="仿宋" w:cs="仿宋"/>
                <w:b/>
                <w:color w:val="auto"/>
                <w:sz w:val="32"/>
                <w:szCs w:val="32"/>
                <w:highlight w:val="none"/>
              </w:rPr>
              <w:t>分）</w:t>
            </w:r>
          </w:p>
        </w:tc>
        <w:tc>
          <w:tcPr>
            <w:tcW w:w="7898" w:type="dxa"/>
            <w:gridSpan w:val="2"/>
            <w:tcBorders>
              <w:right w:val="single" w:color="auto" w:sz="4" w:space="0"/>
            </w:tcBorders>
            <w:vAlign w:val="center"/>
          </w:tcPr>
          <w:p w14:paraId="639E323F">
            <w:pPr>
              <w:spacing w:before="50" w:after="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价格分应当采用低价优先法计算，即满足</w:t>
            </w:r>
            <w:r>
              <w:rPr>
                <w:rFonts w:hint="eastAsia" w:ascii="仿宋" w:hAnsi="仿宋" w:eastAsia="仿宋" w:cs="仿宋"/>
                <w:color w:val="auto"/>
                <w:sz w:val="32"/>
                <w:szCs w:val="32"/>
                <w:highlight w:val="none"/>
                <w:lang w:eastAsia="zh-CN"/>
              </w:rPr>
              <w:t>招标文件</w:t>
            </w:r>
            <w:r>
              <w:rPr>
                <w:rFonts w:hint="eastAsia" w:ascii="仿宋" w:hAnsi="仿宋" w:eastAsia="仿宋" w:cs="仿宋"/>
                <w:color w:val="auto"/>
                <w:sz w:val="32"/>
                <w:szCs w:val="32"/>
                <w:highlight w:val="none"/>
              </w:rPr>
              <w:t>要求且最终投标价格最低的有效投标报价为评标基准价，其价格分为满分。其他</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的价格分统一按照下列公式计算：</w:t>
            </w:r>
          </w:p>
          <w:p w14:paraId="5A99B01C">
            <w:pPr>
              <w:spacing w:before="50" w:after="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投标报价得分=(评标基准价/投标报价)×100*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w:t>
            </w:r>
          </w:p>
        </w:tc>
        <w:tc>
          <w:tcPr>
            <w:tcW w:w="1282" w:type="dxa"/>
            <w:tcBorders>
              <w:right w:val="single" w:color="auto" w:sz="4" w:space="0"/>
            </w:tcBorders>
            <w:vAlign w:val="center"/>
          </w:tcPr>
          <w:p w14:paraId="44156449">
            <w:pPr>
              <w:spacing w:before="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分</w:t>
            </w:r>
          </w:p>
        </w:tc>
      </w:tr>
      <w:tr w14:paraId="72C4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578" w:type="dxa"/>
            <w:vMerge w:val="restart"/>
            <w:vAlign w:val="center"/>
          </w:tcPr>
          <w:p w14:paraId="58E3F6BB">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w:t>
            </w:r>
          </w:p>
          <w:p w14:paraId="74832F58">
            <w:pPr>
              <w:jc w:val="center"/>
              <w:rPr>
                <w:rFonts w:hint="eastAsia" w:ascii="仿宋" w:hAnsi="仿宋" w:eastAsia="仿宋" w:cs="仿宋"/>
                <w:b/>
                <w:color w:val="auto"/>
                <w:sz w:val="32"/>
                <w:szCs w:val="32"/>
                <w:highlight w:val="none"/>
              </w:rPr>
            </w:pPr>
          </w:p>
          <w:p w14:paraId="76FA728C">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务</w:t>
            </w:r>
          </w:p>
          <w:p w14:paraId="6B933B5B">
            <w:pPr>
              <w:jc w:val="center"/>
              <w:rPr>
                <w:rFonts w:hint="eastAsia" w:ascii="仿宋" w:hAnsi="仿宋" w:eastAsia="仿宋" w:cs="仿宋"/>
                <w:b/>
                <w:color w:val="auto"/>
                <w:sz w:val="32"/>
                <w:szCs w:val="32"/>
                <w:highlight w:val="none"/>
              </w:rPr>
            </w:pPr>
          </w:p>
          <w:p w14:paraId="06D46988">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w:t>
            </w:r>
          </w:p>
          <w:p w14:paraId="6B6B4DB1">
            <w:pPr>
              <w:jc w:val="center"/>
              <w:rPr>
                <w:rFonts w:hint="eastAsia" w:ascii="仿宋" w:hAnsi="仿宋" w:eastAsia="仿宋" w:cs="仿宋"/>
                <w:b/>
                <w:color w:val="auto"/>
                <w:sz w:val="32"/>
                <w:szCs w:val="32"/>
                <w:highlight w:val="none"/>
              </w:rPr>
            </w:pPr>
          </w:p>
          <w:p w14:paraId="419185CE">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术</w:t>
            </w:r>
          </w:p>
          <w:p w14:paraId="55730E20">
            <w:pPr>
              <w:jc w:val="center"/>
              <w:rPr>
                <w:rFonts w:hint="eastAsia" w:ascii="仿宋" w:hAnsi="仿宋" w:eastAsia="仿宋" w:cs="仿宋"/>
                <w:b/>
                <w:color w:val="auto"/>
                <w:sz w:val="32"/>
                <w:szCs w:val="32"/>
                <w:highlight w:val="none"/>
              </w:rPr>
            </w:pPr>
          </w:p>
          <w:p w14:paraId="173FECDB">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w:t>
            </w:r>
          </w:p>
          <w:p w14:paraId="5FDB8342">
            <w:pPr>
              <w:jc w:val="center"/>
              <w:rPr>
                <w:rFonts w:hint="eastAsia" w:ascii="仿宋" w:hAnsi="仿宋" w:eastAsia="仿宋" w:cs="仿宋"/>
                <w:b/>
                <w:color w:val="auto"/>
                <w:sz w:val="32"/>
                <w:szCs w:val="32"/>
                <w:highlight w:val="none"/>
              </w:rPr>
            </w:pPr>
          </w:p>
          <w:p w14:paraId="2D3C87FE">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审</w:t>
            </w:r>
          </w:p>
          <w:p w14:paraId="19D38E20">
            <w:pPr>
              <w:jc w:val="center"/>
              <w:rPr>
                <w:rFonts w:hint="eastAsia" w:ascii="仿宋" w:hAnsi="仿宋" w:eastAsia="仿宋" w:cs="仿宋"/>
                <w:b/>
                <w:color w:val="auto"/>
                <w:sz w:val="32"/>
                <w:szCs w:val="32"/>
                <w:highlight w:val="none"/>
              </w:rPr>
            </w:pPr>
          </w:p>
          <w:p w14:paraId="4EBC1B2E">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80</w:t>
            </w:r>
            <w:r>
              <w:rPr>
                <w:rFonts w:hint="eastAsia" w:ascii="仿宋" w:hAnsi="仿宋" w:eastAsia="仿宋" w:cs="仿宋"/>
                <w:b/>
                <w:color w:val="auto"/>
                <w:sz w:val="32"/>
                <w:szCs w:val="32"/>
                <w:highlight w:val="none"/>
              </w:rPr>
              <w:t>分）</w:t>
            </w:r>
          </w:p>
        </w:tc>
        <w:tc>
          <w:tcPr>
            <w:tcW w:w="2117" w:type="dxa"/>
            <w:vAlign w:val="center"/>
          </w:tcPr>
          <w:p w14:paraId="30C2ECF5">
            <w:pPr>
              <w:spacing w:before="50" w:after="50"/>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类似业绩</w:t>
            </w:r>
          </w:p>
        </w:tc>
        <w:tc>
          <w:tcPr>
            <w:tcW w:w="5781" w:type="dxa"/>
            <w:vAlign w:val="top"/>
          </w:tcPr>
          <w:p w14:paraId="53E85D2D">
            <w:pPr>
              <w:numPr>
                <w:ilvl w:val="0"/>
                <w:numId w:val="0"/>
              </w:numPr>
              <w:spacing w:line="240" w:lineRule="auto"/>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提供</w:t>
            </w:r>
            <w:r>
              <w:rPr>
                <w:rFonts w:hint="eastAsia" w:ascii="仿宋" w:hAnsi="仿宋" w:eastAsia="仿宋" w:cs="仿宋"/>
                <w:color w:val="auto"/>
                <w:sz w:val="32"/>
                <w:szCs w:val="32"/>
                <w:highlight w:val="none"/>
                <w:lang w:val="en-US" w:eastAsia="zh-CN"/>
              </w:rPr>
              <w:t>本单位</w:t>
            </w:r>
            <w:r>
              <w:rPr>
                <w:rFonts w:hint="eastAsia" w:ascii="仿宋" w:hAnsi="仿宋" w:eastAsia="仿宋" w:cs="仿宋"/>
                <w:color w:val="auto"/>
                <w:sz w:val="32"/>
                <w:szCs w:val="32"/>
                <w:highlight w:val="none"/>
              </w:rPr>
              <w:t>近3年</w:t>
            </w:r>
            <w:r>
              <w:rPr>
                <w:rFonts w:hint="eastAsia" w:ascii="仿宋" w:hAnsi="仿宋" w:eastAsia="仿宋" w:cs="仿宋"/>
                <w:color w:val="auto"/>
                <w:sz w:val="32"/>
                <w:szCs w:val="32"/>
                <w:highlight w:val="none"/>
                <w:lang w:eastAsia="zh-CN"/>
              </w:rPr>
              <w:t>企业类似业绩</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04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1日至</w:t>
            </w:r>
            <w:r>
              <w:rPr>
                <w:rFonts w:hint="eastAsia" w:ascii="仿宋" w:hAnsi="仿宋" w:eastAsia="仿宋" w:cs="仿宋"/>
                <w:color w:val="auto"/>
                <w:sz w:val="32"/>
                <w:szCs w:val="32"/>
                <w:highlight w:val="none"/>
                <w:lang w:val="en-US" w:eastAsia="zh-CN"/>
              </w:rPr>
              <w:t>今</w:t>
            </w:r>
            <w:r>
              <w:rPr>
                <w:rFonts w:hint="eastAsia" w:ascii="仿宋" w:hAnsi="仿宋" w:eastAsia="仿宋" w:cs="仿宋"/>
                <w:color w:val="auto"/>
                <w:sz w:val="32"/>
                <w:szCs w:val="32"/>
                <w:highlight w:val="none"/>
              </w:rPr>
              <w:t>）业绩</w:t>
            </w:r>
            <w:r>
              <w:rPr>
                <w:rFonts w:hint="eastAsia" w:ascii="仿宋" w:hAnsi="仿宋" w:eastAsia="仿宋" w:cs="仿宋"/>
                <w:color w:val="auto"/>
                <w:sz w:val="32"/>
                <w:szCs w:val="32"/>
                <w:highlight w:val="none"/>
                <w:lang w:val="en-US" w:eastAsia="zh-CN"/>
              </w:rPr>
              <w:t>证明材料</w:t>
            </w:r>
            <w:r>
              <w:rPr>
                <w:rFonts w:hint="eastAsia" w:ascii="仿宋" w:hAnsi="仿宋" w:eastAsia="仿宋" w:cs="仿宋"/>
                <w:color w:val="auto"/>
                <w:sz w:val="32"/>
                <w:szCs w:val="32"/>
                <w:highlight w:val="none"/>
              </w:rPr>
              <w:t>，每</w:t>
            </w:r>
            <w:r>
              <w:rPr>
                <w:rFonts w:hint="eastAsia" w:ascii="仿宋" w:hAnsi="仿宋" w:eastAsia="仿宋" w:cs="仿宋"/>
                <w:color w:val="auto"/>
                <w:sz w:val="32"/>
                <w:szCs w:val="32"/>
                <w:highlight w:val="none"/>
                <w:lang w:val="en-US" w:eastAsia="zh-CN"/>
              </w:rPr>
              <w:t>提供一项</w:t>
            </w:r>
            <w:r>
              <w:rPr>
                <w:rFonts w:hint="eastAsia" w:ascii="仿宋" w:hAnsi="仿宋" w:eastAsia="仿宋" w:cs="仿宋"/>
                <w:color w:val="auto"/>
                <w:sz w:val="32"/>
                <w:szCs w:val="32"/>
                <w:highlight w:val="none"/>
              </w:rPr>
              <w:t>得</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分，最多</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w:t>
            </w:r>
          </w:p>
          <w:p w14:paraId="624FD8FA">
            <w:pPr>
              <w:numPr>
                <w:ilvl w:val="0"/>
                <w:numId w:val="0"/>
              </w:numPr>
              <w:spacing w:line="240" w:lineRule="auto"/>
              <w:ind w:leftChars="0"/>
              <w:rPr>
                <w:rFonts w:hint="default" w:eastAsia="仿宋"/>
                <w:color w:val="auto"/>
                <w:sz w:val="32"/>
                <w:szCs w:val="32"/>
                <w:lang w:val="en-US" w:eastAsia="zh-CN"/>
              </w:rPr>
            </w:pPr>
            <w:r>
              <w:rPr>
                <w:rFonts w:hint="eastAsia" w:ascii="仿宋" w:hAnsi="仿宋" w:eastAsia="仿宋" w:cs="仿宋"/>
                <w:b/>
                <w:bCs/>
                <w:color w:val="auto"/>
                <w:sz w:val="32"/>
                <w:szCs w:val="32"/>
                <w:highlight w:val="none"/>
              </w:rPr>
              <w:t>注：投标人需提供采购合同（含首页、项目内容、签字盖章页）</w:t>
            </w:r>
            <w:r>
              <w:rPr>
                <w:rFonts w:hint="eastAsia" w:ascii="仿宋" w:hAnsi="仿宋" w:eastAsia="仿宋" w:cs="仿宋"/>
                <w:b/>
                <w:bCs/>
                <w:color w:val="auto"/>
                <w:sz w:val="32"/>
                <w:szCs w:val="32"/>
                <w:highlight w:val="none"/>
                <w:lang w:val="en-US" w:eastAsia="zh-CN"/>
              </w:rPr>
              <w:t>或</w:t>
            </w:r>
            <w:r>
              <w:rPr>
                <w:rFonts w:hint="eastAsia" w:ascii="仿宋" w:hAnsi="仿宋" w:eastAsia="仿宋" w:cs="仿宋"/>
                <w:b/>
                <w:bCs/>
                <w:color w:val="auto"/>
                <w:sz w:val="32"/>
                <w:szCs w:val="32"/>
                <w:highlight w:val="none"/>
              </w:rPr>
              <w:t>中标通知书复印件，否则业绩不予认可。</w:t>
            </w:r>
            <w:r>
              <w:rPr>
                <w:rFonts w:hint="eastAsia" w:ascii="仿宋" w:hAnsi="仿宋" w:eastAsia="仿宋" w:cs="仿宋"/>
                <w:b/>
                <w:bCs/>
                <w:color w:val="auto"/>
                <w:sz w:val="32"/>
                <w:szCs w:val="32"/>
                <w:highlight w:val="none"/>
                <w:lang w:val="en-US" w:eastAsia="zh-CN"/>
              </w:rPr>
              <w:t>提供合同的签订日期为准，提供成交通知书的以成交通知书落款时间为准。</w:t>
            </w:r>
          </w:p>
        </w:tc>
        <w:tc>
          <w:tcPr>
            <w:tcW w:w="1282" w:type="dxa"/>
            <w:tcBorders>
              <w:right w:val="single" w:color="auto" w:sz="4" w:space="0"/>
            </w:tcBorders>
            <w:vAlign w:val="center"/>
          </w:tcPr>
          <w:p w14:paraId="3E1B539B">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rPr>
              <w:t>分</w:t>
            </w:r>
          </w:p>
        </w:tc>
      </w:tr>
      <w:tr w14:paraId="4744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578" w:type="dxa"/>
            <w:vMerge w:val="continue"/>
            <w:vAlign w:val="center"/>
          </w:tcPr>
          <w:p w14:paraId="52C54B2C">
            <w:pPr>
              <w:jc w:val="left"/>
              <w:rPr>
                <w:rFonts w:hint="eastAsia" w:ascii="仿宋" w:hAnsi="仿宋" w:eastAsia="仿宋" w:cs="仿宋"/>
                <w:b/>
                <w:color w:val="auto"/>
                <w:sz w:val="32"/>
                <w:szCs w:val="32"/>
                <w:highlight w:val="none"/>
              </w:rPr>
            </w:pPr>
          </w:p>
        </w:tc>
        <w:tc>
          <w:tcPr>
            <w:tcW w:w="2117" w:type="dxa"/>
            <w:vAlign w:val="center"/>
          </w:tcPr>
          <w:p w14:paraId="2E02FE07">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参数响应</w:t>
            </w:r>
          </w:p>
        </w:tc>
        <w:tc>
          <w:tcPr>
            <w:tcW w:w="5781" w:type="dxa"/>
            <w:vAlign w:val="center"/>
          </w:tcPr>
          <w:p w14:paraId="4309A5A3">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投标产品的技术指标评审：</w:t>
            </w:r>
          </w:p>
          <w:p w14:paraId="4209946D">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①所投产品性能指标完全满足招标文件指标，无负偏离得</w:t>
            </w:r>
            <w:r>
              <w:rPr>
                <w:rFonts w:hint="eastAsia" w:ascii="仿宋" w:hAnsi="仿宋" w:eastAsia="仿宋" w:cs="仿宋"/>
                <w:color w:val="auto"/>
                <w:kern w:val="2"/>
                <w:sz w:val="32"/>
                <w:szCs w:val="32"/>
                <w:highlight w:val="none"/>
                <w:lang w:val="en-US" w:eastAsia="zh-CN" w:bidi="ar-SA"/>
              </w:rPr>
              <w:t>25</w:t>
            </w:r>
            <w:r>
              <w:rPr>
                <w:rFonts w:hint="eastAsia" w:ascii="仿宋" w:hAnsi="仿宋" w:eastAsia="仿宋" w:cs="仿宋"/>
                <w:color w:val="auto"/>
                <w:kern w:val="2"/>
                <w:sz w:val="32"/>
                <w:szCs w:val="32"/>
                <w:highlight w:val="none"/>
                <w:lang w:val="zh-CN" w:eastAsia="zh-CN" w:bidi="ar-SA"/>
              </w:rPr>
              <w:t>分；如有负偏离，正偏离不得加分。</w:t>
            </w:r>
          </w:p>
          <w:p w14:paraId="4805F76D">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②“</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”号技术参数一项不满足扣</w:t>
            </w: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color w:val="auto"/>
                <w:kern w:val="2"/>
                <w:sz w:val="32"/>
                <w:szCs w:val="32"/>
                <w:highlight w:val="none"/>
                <w:lang w:val="zh-CN" w:eastAsia="zh-CN" w:bidi="ar-SA"/>
              </w:rPr>
              <w:t>分；非“</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”号技术指标参数一项不满足扣</w:t>
            </w:r>
            <w:r>
              <w:rPr>
                <w:rFonts w:hint="eastAsia" w:ascii="仿宋" w:hAnsi="仿宋" w:eastAsia="仿宋" w:cs="仿宋"/>
                <w:color w:val="auto"/>
                <w:kern w:val="2"/>
                <w:sz w:val="32"/>
                <w:szCs w:val="32"/>
                <w:highlight w:val="none"/>
                <w:lang w:val="en-US" w:eastAsia="zh-CN" w:bidi="ar-SA"/>
              </w:rPr>
              <w:t>1</w:t>
            </w:r>
            <w:r>
              <w:rPr>
                <w:rFonts w:hint="eastAsia" w:ascii="仿宋" w:hAnsi="仿宋" w:eastAsia="仿宋" w:cs="仿宋"/>
                <w:color w:val="auto"/>
                <w:kern w:val="2"/>
                <w:sz w:val="32"/>
                <w:szCs w:val="32"/>
                <w:highlight w:val="none"/>
                <w:lang w:val="zh-CN" w:eastAsia="zh-CN" w:bidi="ar-SA"/>
              </w:rPr>
              <w:t>分，（基准分</w:t>
            </w:r>
            <w:r>
              <w:rPr>
                <w:rFonts w:hint="eastAsia" w:ascii="仿宋" w:hAnsi="仿宋" w:eastAsia="仿宋" w:cs="仿宋"/>
                <w:color w:val="auto"/>
                <w:kern w:val="2"/>
                <w:sz w:val="32"/>
                <w:szCs w:val="32"/>
                <w:highlight w:val="none"/>
                <w:lang w:val="en-US" w:eastAsia="zh-CN" w:bidi="ar-SA"/>
              </w:rPr>
              <w:t>25</w:t>
            </w:r>
            <w:r>
              <w:rPr>
                <w:rFonts w:hint="eastAsia" w:ascii="仿宋" w:hAnsi="仿宋" w:eastAsia="仿宋" w:cs="仿宋"/>
                <w:color w:val="auto"/>
                <w:kern w:val="2"/>
                <w:sz w:val="32"/>
                <w:szCs w:val="32"/>
                <w:highlight w:val="none"/>
                <w:lang w:val="zh-CN" w:eastAsia="zh-CN" w:bidi="ar-SA"/>
              </w:rPr>
              <w:t>分，最低得分0分）；</w:t>
            </w:r>
          </w:p>
          <w:p w14:paraId="54BC3D5E">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③完全满足招标文件指标的情况下，“</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”号技术参数一项优于招标文件参数加1分；非“</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zh-CN" w:eastAsia="zh-CN" w:bidi="ar-SA"/>
              </w:rPr>
              <w:t>”号技术指标参数一项优于招标文件加0.5分，本项最多加10分。</w:t>
            </w:r>
          </w:p>
          <w:p w14:paraId="1738BEF9">
            <w:pPr>
              <w:autoSpaceDE w:val="0"/>
              <w:autoSpaceDN w:val="0"/>
              <w:adjustRightInd w:val="0"/>
              <w:snapToGrid w:val="0"/>
              <w:spacing w:line="240" w:lineRule="auto"/>
              <w:rPr>
                <w:rFonts w:hint="default" w:ascii="仿宋" w:hAnsi="仿宋" w:eastAsia="仿宋" w:cs="仿宋"/>
                <w:color w:val="auto"/>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注：投标人须对本招标文件技术响应进行点对点应答，必须根据本招标文件的要求进行答复、说明和解释或提供相关证明材料；未提供或不符合要求的，视为不响应技术参数，按扣分处理。</w:t>
            </w:r>
          </w:p>
        </w:tc>
        <w:tc>
          <w:tcPr>
            <w:tcW w:w="1282" w:type="dxa"/>
            <w:tcBorders>
              <w:right w:val="single" w:color="auto" w:sz="4" w:space="0"/>
            </w:tcBorders>
            <w:vAlign w:val="center"/>
          </w:tcPr>
          <w:p w14:paraId="5CCEF636">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0-35</w:t>
            </w:r>
            <w:r>
              <w:rPr>
                <w:rFonts w:hint="eastAsia" w:ascii="仿宋" w:hAnsi="仿宋" w:eastAsia="仿宋" w:cs="仿宋"/>
                <w:color w:val="auto"/>
                <w:sz w:val="32"/>
                <w:szCs w:val="32"/>
                <w:highlight w:val="none"/>
              </w:rPr>
              <w:t>分</w:t>
            </w:r>
          </w:p>
        </w:tc>
      </w:tr>
      <w:tr w14:paraId="36D0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1578" w:type="dxa"/>
            <w:vMerge w:val="continue"/>
            <w:vAlign w:val="center"/>
          </w:tcPr>
          <w:p w14:paraId="03B67EA3">
            <w:pPr>
              <w:jc w:val="left"/>
              <w:rPr>
                <w:rFonts w:hint="eastAsia" w:ascii="仿宋" w:hAnsi="仿宋" w:eastAsia="仿宋" w:cs="仿宋"/>
                <w:b/>
                <w:color w:val="auto"/>
                <w:sz w:val="32"/>
                <w:szCs w:val="32"/>
                <w:highlight w:val="none"/>
              </w:rPr>
            </w:pPr>
          </w:p>
        </w:tc>
        <w:tc>
          <w:tcPr>
            <w:tcW w:w="2117" w:type="dxa"/>
            <w:vAlign w:val="center"/>
          </w:tcPr>
          <w:p w14:paraId="23B37EE0">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维保服务</w:t>
            </w:r>
          </w:p>
          <w:p w14:paraId="7C7CC415">
            <w:pPr>
              <w:jc w:val="center"/>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方案</w:t>
            </w:r>
          </w:p>
        </w:tc>
        <w:tc>
          <w:tcPr>
            <w:tcW w:w="5781" w:type="dxa"/>
            <w:vAlign w:val="center"/>
          </w:tcPr>
          <w:p w14:paraId="13978B9C">
            <w:pPr>
              <w:autoSpaceDE w:val="0"/>
              <w:autoSpaceDN w:val="0"/>
              <w:adjustRightInd w:val="0"/>
              <w:snapToGrid w:val="0"/>
              <w:spacing w:line="24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供应商根据本项目情况提供维保服务方案包括但不限于以下内容：①在保修服务期内，对直线加速器每年提供2次精细维护保养服务；在保修服务期内，对CT设备每年提供四次预防性保养。②巡检方案③</w:t>
            </w:r>
            <w:r>
              <w:rPr>
                <w:rFonts w:hint="default" w:ascii="仿宋" w:hAnsi="仿宋" w:eastAsia="仿宋" w:cs="仿宋"/>
                <w:color w:val="auto"/>
                <w:kern w:val="2"/>
                <w:sz w:val="32"/>
                <w:szCs w:val="32"/>
                <w:highlight w:val="none"/>
                <w:lang w:val="en-US" w:eastAsia="zh-CN" w:bidi="ar-SA"/>
              </w:rPr>
              <w:t>零件供应及更换</w:t>
            </w:r>
            <w:r>
              <w:rPr>
                <w:rFonts w:hint="eastAsia" w:ascii="仿宋" w:hAnsi="仿宋" w:eastAsia="仿宋" w:cs="仿宋"/>
                <w:color w:val="auto"/>
                <w:kern w:val="2"/>
                <w:sz w:val="32"/>
                <w:szCs w:val="32"/>
                <w:highlight w:val="none"/>
                <w:lang w:val="en-US" w:eastAsia="zh-CN" w:bidi="ar-SA"/>
              </w:rPr>
              <w:t>④</w:t>
            </w:r>
            <w:r>
              <w:rPr>
                <w:rFonts w:hint="default" w:ascii="仿宋" w:hAnsi="仿宋" w:eastAsia="仿宋" w:cs="仿宋"/>
                <w:color w:val="auto"/>
                <w:kern w:val="2"/>
                <w:sz w:val="32"/>
                <w:szCs w:val="32"/>
                <w:highlight w:val="none"/>
                <w:lang w:val="en-US" w:eastAsia="zh-CN" w:bidi="ar-SA"/>
              </w:rPr>
              <w:t>问题诊断及故障解决</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故障分析和记录</w:t>
            </w:r>
            <w:r>
              <w:rPr>
                <w:rFonts w:hint="eastAsia" w:ascii="仿宋" w:hAnsi="仿宋" w:eastAsia="仿宋" w:cs="仿宋"/>
                <w:color w:val="auto"/>
                <w:kern w:val="2"/>
                <w:sz w:val="32"/>
                <w:szCs w:val="32"/>
                <w:highlight w:val="none"/>
                <w:lang w:val="en-US" w:eastAsia="zh-CN" w:bidi="ar-SA"/>
              </w:rPr>
              <w:t>⑤设备维保相关操作规范介绍⑥</w:t>
            </w:r>
            <w:r>
              <w:rPr>
                <w:rFonts w:hint="default" w:ascii="仿宋" w:hAnsi="仿宋" w:eastAsia="仿宋" w:cs="仿宋"/>
                <w:color w:val="auto"/>
                <w:kern w:val="2"/>
                <w:sz w:val="32"/>
                <w:szCs w:val="32"/>
                <w:highlight w:val="none"/>
                <w:lang w:val="en-US" w:eastAsia="zh-CN" w:bidi="ar-SA"/>
              </w:rPr>
              <w:t>安全保障措施</w:t>
            </w:r>
            <w:r>
              <w:rPr>
                <w:rFonts w:hint="eastAsia" w:ascii="仿宋" w:hAnsi="仿宋" w:eastAsia="仿宋" w:cs="仿宋"/>
                <w:color w:val="auto"/>
                <w:kern w:val="2"/>
                <w:sz w:val="32"/>
                <w:szCs w:val="32"/>
                <w:highlight w:val="none"/>
                <w:lang w:val="en-US" w:eastAsia="zh-CN" w:bidi="ar-SA"/>
              </w:rPr>
              <w:t>等方案。</w:t>
            </w:r>
          </w:p>
          <w:p w14:paraId="396AE39D">
            <w:pPr>
              <w:autoSpaceDE w:val="0"/>
              <w:autoSpaceDN w:val="0"/>
              <w:adjustRightInd w:val="0"/>
              <w:snapToGrid w:val="0"/>
              <w:spacing w:line="240" w:lineRule="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提供以上方案得18分，内容每缺少一项扣3分，每有一处缺陷扣1分(缺陷是指存在不适用项目实际情况的情形、凭空编造、内前后不一致、前后逻辑错误、涉及的规范及标准错误、地点区域错误、内容遗漏、不符合采购需求，内容简略或与本项目无关等任意-为情形等)，扣完为止</w:t>
            </w:r>
            <w:r>
              <w:rPr>
                <w:rFonts w:hint="eastAsia" w:ascii="仿宋" w:hAnsi="仿宋" w:eastAsia="仿宋" w:cs="仿宋"/>
                <w:color w:val="auto"/>
                <w:spacing w:val="-6"/>
                <w:sz w:val="24"/>
                <w:szCs w:val="24"/>
              </w:rPr>
              <w:t>。</w:t>
            </w:r>
          </w:p>
        </w:tc>
        <w:tc>
          <w:tcPr>
            <w:tcW w:w="1282" w:type="dxa"/>
            <w:tcBorders>
              <w:right w:val="single" w:color="auto" w:sz="4" w:space="0"/>
            </w:tcBorders>
            <w:vAlign w:val="center"/>
          </w:tcPr>
          <w:p w14:paraId="4EAB730F">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0-18分</w:t>
            </w:r>
          </w:p>
        </w:tc>
      </w:tr>
      <w:tr w14:paraId="00DA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578" w:type="dxa"/>
            <w:vMerge w:val="continue"/>
            <w:vAlign w:val="center"/>
          </w:tcPr>
          <w:p w14:paraId="02307A19">
            <w:pPr>
              <w:jc w:val="left"/>
              <w:rPr>
                <w:rFonts w:hint="eastAsia" w:ascii="仿宋" w:hAnsi="仿宋" w:eastAsia="仿宋" w:cs="仿宋"/>
                <w:b/>
                <w:color w:val="auto"/>
                <w:sz w:val="32"/>
                <w:szCs w:val="32"/>
                <w:highlight w:val="none"/>
              </w:rPr>
            </w:pPr>
          </w:p>
        </w:tc>
        <w:tc>
          <w:tcPr>
            <w:tcW w:w="2117" w:type="dxa"/>
            <w:vAlign w:val="center"/>
          </w:tcPr>
          <w:p w14:paraId="09B9F5C5">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eastAsia="zh-CN"/>
              </w:rPr>
              <w:t>人员</w:t>
            </w:r>
            <w:r>
              <w:rPr>
                <w:rFonts w:hint="eastAsia" w:ascii="仿宋" w:hAnsi="仿宋" w:eastAsia="仿宋" w:cs="仿宋"/>
                <w:color w:val="auto"/>
                <w:sz w:val="32"/>
                <w:szCs w:val="32"/>
                <w:highlight w:val="none"/>
                <w:lang w:val="en-US" w:eastAsia="zh-CN"/>
              </w:rPr>
              <w:t>配备</w:t>
            </w:r>
          </w:p>
        </w:tc>
        <w:tc>
          <w:tcPr>
            <w:tcW w:w="5781" w:type="dxa"/>
            <w:vAlign w:val="center"/>
          </w:tcPr>
          <w:p w14:paraId="7663E2F5">
            <w:pPr>
              <w:autoSpaceDE w:val="0"/>
              <w:autoSpaceDN w:val="0"/>
              <w:adjustRightInd w:val="0"/>
              <w:snapToGrid w:val="0"/>
              <w:spacing w:line="24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1.投标方具备直线加速及CT维修服务能力的技术人员需至少2人，提供技术人员的雇佣关系证明或社保证明，得4分，每增加1人得1分，最多得2分；提供技术人员新疆本地社保证明得2分；此项满分8分。</w:t>
            </w:r>
          </w:p>
          <w:p w14:paraId="54CDE459">
            <w:pPr>
              <w:autoSpaceDE w:val="0"/>
              <w:autoSpaceDN w:val="0"/>
              <w:adjustRightInd w:val="0"/>
              <w:snapToGrid w:val="0"/>
              <w:spacing w:line="24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2.对投标人是否可获得原厂技术支持（如原厂诊断维修技术或原厂诊断软件或原厂诊断维修钥匙、升级补丁等）进行评价，提供承诺函，具备得2分，否则不得分。</w:t>
            </w:r>
          </w:p>
        </w:tc>
        <w:tc>
          <w:tcPr>
            <w:tcW w:w="1282" w:type="dxa"/>
            <w:tcBorders>
              <w:right w:val="single" w:color="auto" w:sz="4" w:space="0"/>
            </w:tcBorders>
            <w:vAlign w:val="center"/>
          </w:tcPr>
          <w:p w14:paraId="2BEED3F1">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0-10分</w:t>
            </w:r>
          </w:p>
        </w:tc>
      </w:tr>
      <w:tr w14:paraId="0BDE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1578" w:type="dxa"/>
            <w:vMerge w:val="continue"/>
            <w:vAlign w:val="center"/>
          </w:tcPr>
          <w:p w14:paraId="1701F6A7">
            <w:pPr>
              <w:jc w:val="left"/>
              <w:rPr>
                <w:rFonts w:hint="eastAsia" w:ascii="仿宋" w:hAnsi="仿宋" w:eastAsia="仿宋" w:cs="仿宋"/>
                <w:b/>
                <w:color w:val="auto"/>
                <w:sz w:val="32"/>
                <w:szCs w:val="32"/>
                <w:highlight w:val="none"/>
              </w:rPr>
            </w:pPr>
          </w:p>
        </w:tc>
        <w:tc>
          <w:tcPr>
            <w:tcW w:w="2117" w:type="dxa"/>
            <w:vAlign w:val="center"/>
          </w:tcPr>
          <w:p w14:paraId="5C9F22C0">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备品质量情况</w:t>
            </w:r>
          </w:p>
        </w:tc>
        <w:tc>
          <w:tcPr>
            <w:tcW w:w="5781" w:type="dxa"/>
            <w:vAlign w:val="center"/>
          </w:tcPr>
          <w:p w14:paraId="1050D5A6">
            <w:pPr>
              <w:pStyle w:val="11"/>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①提供瓦里安cx直线加速器原件配件一批，得3分，需提供承诺函。</w:t>
            </w:r>
          </w:p>
          <w:p w14:paraId="0A1E9ECD">
            <w:pPr>
              <w:pStyle w:val="11"/>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②延长备品质保期，每延长三个月得1分，最多加3分，需提供承诺函。</w:t>
            </w:r>
          </w:p>
        </w:tc>
        <w:tc>
          <w:tcPr>
            <w:tcW w:w="1282" w:type="dxa"/>
            <w:tcBorders>
              <w:right w:val="single" w:color="auto" w:sz="4" w:space="0"/>
            </w:tcBorders>
            <w:vAlign w:val="center"/>
          </w:tcPr>
          <w:p w14:paraId="28FF79E9">
            <w:pPr>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0-6</w:t>
            </w:r>
            <w:r>
              <w:rPr>
                <w:rFonts w:hint="eastAsia" w:ascii="仿宋" w:hAnsi="仿宋" w:eastAsia="仿宋" w:cs="仿宋"/>
                <w:color w:val="auto"/>
                <w:sz w:val="32"/>
                <w:szCs w:val="32"/>
                <w:highlight w:val="none"/>
              </w:rPr>
              <w:t>分</w:t>
            </w:r>
          </w:p>
        </w:tc>
      </w:tr>
      <w:tr w14:paraId="32AE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trPr>
        <w:tc>
          <w:tcPr>
            <w:tcW w:w="1578" w:type="dxa"/>
            <w:vMerge w:val="continue"/>
          </w:tcPr>
          <w:p w14:paraId="64EDC57F">
            <w:pPr>
              <w:jc w:val="left"/>
              <w:rPr>
                <w:rFonts w:hint="eastAsia" w:ascii="仿宋" w:hAnsi="仿宋" w:eastAsia="仿宋" w:cs="仿宋"/>
                <w:color w:val="auto"/>
                <w:sz w:val="32"/>
                <w:szCs w:val="32"/>
                <w:highlight w:val="none"/>
              </w:rPr>
            </w:pPr>
          </w:p>
        </w:tc>
        <w:tc>
          <w:tcPr>
            <w:tcW w:w="2117" w:type="dxa"/>
            <w:vAlign w:val="center"/>
          </w:tcPr>
          <w:p w14:paraId="46E97F96">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应急处理</w:t>
            </w:r>
          </w:p>
          <w:p w14:paraId="3A000C4C">
            <w:pPr>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预案</w:t>
            </w:r>
          </w:p>
        </w:tc>
        <w:tc>
          <w:tcPr>
            <w:tcW w:w="5781" w:type="dxa"/>
            <w:vAlign w:val="center"/>
          </w:tcPr>
          <w:p w14:paraId="5A745CD8">
            <w:pPr>
              <w:autoSpaceDE w:val="0"/>
              <w:autoSpaceDN w:val="0"/>
              <w:adjustRightInd w:val="0"/>
              <w:snapToGrid w:val="0"/>
              <w:spacing w:line="24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投标人根据医院实际情况提供本项目应急处理预案：①直线加速器应急处理预案②CT故障处理预案③解决问题能力及故障处理流程、紧急故障处置预案；根据方案的合理性、适用性及可操作性进行评分提供以上方案得6分，内容每缺少一项扣2分，每有一处缺陷扣1分(缺陷是指存在不适用项目实际情况的情形、凭空编造、内前后不一致、前后逻辑错误、涉及的规范及标准错误、地点区域错误、内容遗漏、不符合采购需求，内容简略或与本项目无关等任意-为情形等)，扣完为止。</w:t>
            </w:r>
          </w:p>
        </w:tc>
        <w:tc>
          <w:tcPr>
            <w:tcW w:w="1282" w:type="dxa"/>
            <w:tcBorders>
              <w:right w:val="single" w:color="auto" w:sz="4" w:space="0"/>
            </w:tcBorders>
            <w:vAlign w:val="center"/>
          </w:tcPr>
          <w:p w14:paraId="2D55EAB9">
            <w:pPr>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0-6</w:t>
            </w:r>
            <w:r>
              <w:rPr>
                <w:rFonts w:hint="eastAsia" w:ascii="仿宋" w:hAnsi="仿宋" w:eastAsia="仿宋" w:cs="仿宋"/>
                <w:color w:val="auto"/>
                <w:sz w:val="32"/>
                <w:szCs w:val="32"/>
                <w:highlight w:val="none"/>
              </w:rPr>
              <w:t>分</w:t>
            </w:r>
          </w:p>
        </w:tc>
      </w:tr>
      <w:tr w14:paraId="6F3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758" w:type="dxa"/>
            <w:gridSpan w:val="4"/>
            <w:tcBorders>
              <w:right w:val="single" w:color="auto" w:sz="4" w:space="0"/>
            </w:tcBorders>
            <w:vAlign w:val="center"/>
          </w:tcPr>
          <w:p w14:paraId="4C8BB4BB">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w:t>
            </w:r>
          </w:p>
          <w:p w14:paraId="09514150">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1、专家根据投标文件中</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 xml:space="preserve">提供的资料在分值范围内进行评议； </w:t>
            </w:r>
          </w:p>
          <w:p w14:paraId="674DB350">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2、得分保留两位小数。</w:t>
            </w:r>
          </w:p>
        </w:tc>
      </w:tr>
    </w:tbl>
    <w:p w14:paraId="6D50FEF5">
      <w:pPr>
        <w:pStyle w:val="23"/>
        <w:pageBreakBefore w:val="0"/>
        <w:kinsoku/>
        <w:wordWrap/>
        <w:topLinePunct w:val="0"/>
        <w:bidi w:val="0"/>
        <w:spacing w:line="360" w:lineRule="auto"/>
        <w:jc w:val="cente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pgSz w:w="11905" w:h="16838"/>
      <w:pgMar w:top="1531" w:right="1531" w:bottom="1531" w:left="1531" w:header="1134" w:footer="1134" w:gutter="0"/>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2BDA">
    <w:pPr>
      <w:pStyle w:val="20"/>
      <w:jc w:val="center"/>
    </w:pPr>
  </w:p>
  <w:p w14:paraId="72DE93DC">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C72A">
    <w:pPr>
      <w:pStyle w:val="20"/>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BB60B">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34FF6">
                          <w:pPr>
                            <w:pStyle w:val="20"/>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0CD34FF6">
                    <w:pPr>
                      <w:pStyle w:val="20"/>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14:paraId="62CF51B1">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D69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5E7F">
    <w:pPr>
      <w:pStyle w:val="21"/>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FA8B">
    <w:pPr>
      <w:autoSpaceDE w:val="0"/>
      <w:autoSpaceDN w:val="0"/>
      <w:adjustRightInd w:val="0"/>
      <w:spacing w:line="360" w:lineRule="auto"/>
      <w:ind w:left="1470" w:hanging="1470" w:hangingChars="700"/>
      <w:jc w:val="both"/>
      <w:rPr>
        <w:rFonts w:hint="default" w:eastAsia="宋体"/>
        <w:u w:val="doub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A222E92"/>
    <w:multiLevelType w:val="singleLevel"/>
    <w:tmpl w:val="9A222E92"/>
    <w:lvl w:ilvl="0" w:tentative="0">
      <w:start w:val="1"/>
      <w:numFmt w:val="decimal"/>
      <w:pStyle w:val="18"/>
      <w:lvlText w:val="%1."/>
      <w:lvlJc w:val="left"/>
      <w:pPr>
        <w:tabs>
          <w:tab w:val="left" w:pos="2040"/>
        </w:tabs>
        <w:ind w:left="2040" w:hanging="360"/>
      </w:pPr>
    </w:lvl>
  </w:abstractNum>
  <w:abstractNum w:abstractNumId="4">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B4DA63D"/>
    <w:multiLevelType w:val="singleLevel"/>
    <w:tmpl w:val="BB4DA63D"/>
    <w:lvl w:ilvl="0" w:tentative="0">
      <w:start w:val="5"/>
      <w:numFmt w:val="chineseCounting"/>
      <w:suff w:val="space"/>
      <w:lvlText w:val="第%1章"/>
      <w:lvlJc w:val="left"/>
      <w:rPr>
        <w:rFonts w:hint="eastAsia"/>
      </w:rPr>
    </w:lvl>
  </w:abstractNum>
  <w:abstractNum w:abstractNumId="14">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367F72B"/>
    <w:multiLevelType w:val="singleLevel"/>
    <w:tmpl w:val="D367F72B"/>
    <w:lvl w:ilvl="0" w:tentative="0">
      <w:start w:val="1"/>
      <w:numFmt w:val="chineseCounting"/>
      <w:suff w:val="nothing"/>
      <w:lvlText w:val="%1、"/>
      <w:lvlJc w:val="left"/>
      <w:rPr>
        <w:rFonts w:hint="eastAsia"/>
      </w:rPr>
    </w:lvl>
  </w:abstractNum>
  <w:abstractNum w:abstractNumId="22">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1">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609AC39"/>
    <w:multiLevelType w:val="singleLevel"/>
    <w:tmpl w:val="0609AC39"/>
    <w:lvl w:ilvl="0" w:tentative="0">
      <w:start w:val="2"/>
      <w:numFmt w:val="chineseCounting"/>
      <w:suff w:val="nothing"/>
      <w:lvlText w:val="（%1）"/>
      <w:lvlJc w:val="left"/>
      <w:rPr>
        <w:rFonts w:hint="eastAsia"/>
      </w:rPr>
    </w:lvl>
  </w:abstractNum>
  <w:abstractNum w:abstractNumId="34">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2615C97E"/>
    <w:multiLevelType w:val="singleLevel"/>
    <w:tmpl w:val="2615C97E"/>
    <w:lvl w:ilvl="0" w:tentative="0">
      <w:start w:val="10"/>
      <w:numFmt w:val="decimal"/>
      <w:suff w:val="nothing"/>
      <w:lvlText w:val="%1、"/>
      <w:lvlJc w:val="left"/>
    </w:lvl>
  </w:abstractNum>
  <w:abstractNum w:abstractNumId="39">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40">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0">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CE7ABAE"/>
    <w:multiLevelType w:val="singleLevel"/>
    <w:tmpl w:val="6CE7ABAE"/>
    <w:lvl w:ilvl="0" w:tentative="0">
      <w:start w:val="2"/>
      <w:numFmt w:val="decimal"/>
      <w:suff w:val="nothing"/>
      <w:lvlText w:val="%1、"/>
      <w:lvlJc w:val="left"/>
    </w:lvl>
  </w:abstractNum>
  <w:abstractNum w:abstractNumId="54">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53"/>
  </w:num>
  <w:num w:numId="3">
    <w:abstractNumId w:val="30"/>
  </w:num>
  <w:num w:numId="4">
    <w:abstractNumId w:val="39"/>
  </w:num>
  <w:num w:numId="5">
    <w:abstractNumId w:val="32"/>
  </w:num>
  <w:num w:numId="6">
    <w:abstractNumId w:val="36"/>
  </w:num>
  <w:num w:numId="7">
    <w:abstractNumId w:val="31"/>
  </w:num>
  <w:num w:numId="8">
    <w:abstractNumId w:val="40"/>
  </w:num>
  <w:num w:numId="9">
    <w:abstractNumId w:val="11"/>
  </w:num>
  <w:num w:numId="10">
    <w:abstractNumId w:val="45"/>
  </w:num>
  <w:num w:numId="11">
    <w:abstractNumId w:val="0"/>
  </w:num>
  <w:num w:numId="12">
    <w:abstractNumId w:val="8"/>
  </w:num>
  <w:num w:numId="13">
    <w:abstractNumId w:val="15"/>
  </w:num>
  <w:num w:numId="14">
    <w:abstractNumId w:val="37"/>
  </w:num>
  <w:num w:numId="15">
    <w:abstractNumId w:val="55"/>
  </w:num>
  <w:num w:numId="16">
    <w:abstractNumId w:val="48"/>
  </w:num>
  <w:num w:numId="17">
    <w:abstractNumId w:val="23"/>
  </w:num>
  <w:num w:numId="18">
    <w:abstractNumId w:val="1"/>
  </w:num>
  <w:num w:numId="19">
    <w:abstractNumId w:val="47"/>
  </w:num>
  <w:num w:numId="20">
    <w:abstractNumId w:val="9"/>
  </w:num>
  <w:num w:numId="21">
    <w:abstractNumId w:val="10"/>
  </w:num>
  <w:num w:numId="22">
    <w:abstractNumId w:val="12"/>
  </w:num>
  <w:num w:numId="23">
    <w:abstractNumId w:val="54"/>
  </w:num>
  <w:num w:numId="24">
    <w:abstractNumId w:val="52"/>
  </w:num>
  <w:num w:numId="25">
    <w:abstractNumId w:val="50"/>
  </w:num>
  <w:num w:numId="26">
    <w:abstractNumId w:val="49"/>
  </w:num>
  <w:num w:numId="27">
    <w:abstractNumId w:val="42"/>
  </w:num>
  <w:num w:numId="28">
    <w:abstractNumId w:val="41"/>
  </w:num>
  <w:num w:numId="29">
    <w:abstractNumId w:val="29"/>
  </w:num>
  <w:num w:numId="30">
    <w:abstractNumId w:val="6"/>
  </w:num>
  <w:num w:numId="31">
    <w:abstractNumId w:val="34"/>
  </w:num>
  <w:num w:numId="32">
    <w:abstractNumId w:val="26"/>
  </w:num>
  <w:num w:numId="33">
    <w:abstractNumId w:val="35"/>
  </w:num>
  <w:num w:numId="34">
    <w:abstractNumId w:val="25"/>
  </w:num>
  <w:num w:numId="35">
    <w:abstractNumId w:val="22"/>
  </w:num>
  <w:num w:numId="36">
    <w:abstractNumId w:val="43"/>
  </w:num>
  <w:num w:numId="37">
    <w:abstractNumId w:val="19"/>
  </w:num>
  <w:num w:numId="38">
    <w:abstractNumId w:val="51"/>
  </w:num>
  <w:num w:numId="39">
    <w:abstractNumId w:val="14"/>
  </w:num>
  <w:num w:numId="40">
    <w:abstractNumId w:val="7"/>
  </w:num>
  <w:num w:numId="41">
    <w:abstractNumId w:val="5"/>
  </w:num>
  <w:num w:numId="42">
    <w:abstractNumId w:val="16"/>
  </w:num>
  <w:num w:numId="43">
    <w:abstractNumId w:val="28"/>
  </w:num>
  <w:num w:numId="44">
    <w:abstractNumId w:val="46"/>
  </w:num>
  <w:num w:numId="45">
    <w:abstractNumId w:val="56"/>
  </w:num>
  <w:num w:numId="46">
    <w:abstractNumId w:val="2"/>
  </w:num>
  <w:num w:numId="47">
    <w:abstractNumId w:val="20"/>
  </w:num>
  <w:num w:numId="48">
    <w:abstractNumId w:val="18"/>
  </w:num>
  <w:num w:numId="49">
    <w:abstractNumId w:val="24"/>
  </w:num>
  <w:num w:numId="50">
    <w:abstractNumId w:val="44"/>
  </w:num>
  <w:num w:numId="51">
    <w:abstractNumId w:val="27"/>
  </w:num>
  <w:num w:numId="52">
    <w:abstractNumId w:val="17"/>
  </w:num>
  <w:num w:numId="53">
    <w:abstractNumId w:val="4"/>
  </w:num>
  <w:num w:numId="54">
    <w:abstractNumId w:val="13"/>
  </w:num>
  <w:num w:numId="55">
    <w:abstractNumId w:val="21"/>
  </w:num>
  <w:num w:numId="56">
    <w:abstractNumId w:val="38"/>
  </w:num>
  <w:num w:numId="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M2IwMzgwODhjZmMxZjMwZDZlNDBiYmNmN2JiZjE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A52DA"/>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7F58FC"/>
    <w:rsid w:val="00831EB2"/>
    <w:rsid w:val="0086078F"/>
    <w:rsid w:val="00883C54"/>
    <w:rsid w:val="009A078B"/>
    <w:rsid w:val="009F2A63"/>
    <w:rsid w:val="00A11027"/>
    <w:rsid w:val="00A4483F"/>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44368"/>
    <w:rsid w:val="00D931B2"/>
    <w:rsid w:val="00DD0E0A"/>
    <w:rsid w:val="00E35776"/>
    <w:rsid w:val="00EA0245"/>
    <w:rsid w:val="00EB23BF"/>
    <w:rsid w:val="00EF38D6"/>
    <w:rsid w:val="00F3014A"/>
    <w:rsid w:val="00F77098"/>
    <w:rsid w:val="00F96F6D"/>
    <w:rsid w:val="011D29D3"/>
    <w:rsid w:val="01585B53"/>
    <w:rsid w:val="01AE0890"/>
    <w:rsid w:val="01E21263"/>
    <w:rsid w:val="01FD4B08"/>
    <w:rsid w:val="020A3493"/>
    <w:rsid w:val="022402D8"/>
    <w:rsid w:val="028B69D5"/>
    <w:rsid w:val="02C74C71"/>
    <w:rsid w:val="02D63DA2"/>
    <w:rsid w:val="032C04DE"/>
    <w:rsid w:val="035921E3"/>
    <w:rsid w:val="039B6A7A"/>
    <w:rsid w:val="039D29C7"/>
    <w:rsid w:val="03B44D43"/>
    <w:rsid w:val="03C42B10"/>
    <w:rsid w:val="03D1540B"/>
    <w:rsid w:val="04284DF7"/>
    <w:rsid w:val="045A4620"/>
    <w:rsid w:val="04934A97"/>
    <w:rsid w:val="04C81EB4"/>
    <w:rsid w:val="052B7D68"/>
    <w:rsid w:val="052E063C"/>
    <w:rsid w:val="053510ED"/>
    <w:rsid w:val="053C7EE8"/>
    <w:rsid w:val="05DD405D"/>
    <w:rsid w:val="062B6BB0"/>
    <w:rsid w:val="064C3C4E"/>
    <w:rsid w:val="065A4F71"/>
    <w:rsid w:val="06BE5447"/>
    <w:rsid w:val="06F92A76"/>
    <w:rsid w:val="0734362F"/>
    <w:rsid w:val="084618E3"/>
    <w:rsid w:val="08813251"/>
    <w:rsid w:val="091B45C5"/>
    <w:rsid w:val="091B505B"/>
    <w:rsid w:val="09241EA7"/>
    <w:rsid w:val="09710ACA"/>
    <w:rsid w:val="09866FB3"/>
    <w:rsid w:val="09BC676A"/>
    <w:rsid w:val="09BD0AC3"/>
    <w:rsid w:val="09F75AC8"/>
    <w:rsid w:val="0A003FEE"/>
    <w:rsid w:val="0AA365D4"/>
    <w:rsid w:val="0ADD43C6"/>
    <w:rsid w:val="0AF73FD1"/>
    <w:rsid w:val="0AFF0B97"/>
    <w:rsid w:val="0B29656B"/>
    <w:rsid w:val="0B3A1F25"/>
    <w:rsid w:val="0B5C2B1E"/>
    <w:rsid w:val="0B5D1218"/>
    <w:rsid w:val="0B6C4C4F"/>
    <w:rsid w:val="0BBA6DAD"/>
    <w:rsid w:val="0BD61FD8"/>
    <w:rsid w:val="0BDB7443"/>
    <w:rsid w:val="0C231BE3"/>
    <w:rsid w:val="0C3274C0"/>
    <w:rsid w:val="0C562952"/>
    <w:rsid w:val="0C9C64B3"/>
    <w:rsid w:val="0D103128"/>
    <w:rsid w:val="0D50335E"/>
    <w:rsid w:val="0D807ECA"/>
    <w:rsid w:val="0DEC55AB"/>
    <w:rsid w:val="0DF769B1"/>
    <w:rsid w:val="0EB421D9"/>
    <w:rsid w:val="0EB45D35"/>
    <w:rsid w:val="0EEB675D"/>
    <w:rsid w:val="0EF32D02"/>
    <w:rsid w:val="0F21471A"/>
    <w:rsid w:val="0FAE4599"/>
    <w:rsid w:val="0FC71A98"/>
    <w:rsid w:val="0FCD5301"/>
    <w:rsid w:val="0FEE5277"/>
    <w:rsid w:val="113969C6"/>
    <w:rsid w:val="11771132"/>
    <w:rsid w:val="1186727F"/>
    <w:rsid w:val="118A1F61"/>
    <w:rsid w:val="11A62133"/>
    <w:rsid w:val="1222036C"/>
    <w:rsid w:val="125300E4"/>
    <w:rsid w:val="1264341D"/>
    <w:rsid w:val="12695089"/>
    <w:rsid w:val="12737232"/>
    <w:rsid w:val="129739A4"/>
    <w:rsid w:val="129F1877"/>
    <w:rsid w:val="1307145F"/>
    <w:rsid w:val="1331143C"/>
    <w:rsid w:val="134B39F9"/>
    <w:rsid w:val="13795061"/>
    <w:rsid w:val="13B77AAE"/>
    <w:rsid w:val="13DC7AA5"/>
    <w:rsid w:val="14B35AE2"/>
    <w:rsid w:val="14D2098F"/>
    <w:rsid w:val="151A7A0E"/>
    <w:rsid w:val="15543CD3"/>
    <w:rsid w:val="15CF32C4"/>
    <w:rsid w:val="15EC1502"/>
    <w:rsid w:val="15ED0C83"/>
    <w:rsid w:val="16BB21F0"/>
    <w:rsid w:val="16C65BD4"/>
    <w:rsid w:val="16D50F3F"/>
    <w:rsid w:val="17066644"/>
    <w:rsid w:val="179359CE"/>
    <w:rsid w:val="179424FA"/>
    <w:rsid w:val="17E66293"/>
    <w:rsid w:val="17F11DA8"/>
    <w:rsid w:val="17FE78E9"/>
    <w:rsid w:val="18461A87"/>
    <w:rsid w:val="1871436F"/>
    <w:rsid w:val="187273DD"/>
    <w:rsid w:val="187C3D68"/>
    <w:rsid w:val="18827DFA"/>
    <w:rsid w:val="189925AD"/>
    <w:rsid w:val="18A57411"/>
    <w:rsid w:val="197E6B9A"/>
    <w:rsid w:val="1A036844"/>
    <w:rsid w:val="1A0373FB"/>
    <w:rsid w:val="1A1E30CC"/>
    <w:rsid w:val="1A5A361C"/>
    <w:rsid w:val="1A845156"/>
    <w:rsid w:val="1AF220BF"/>
    <w:rsid w:val="1B7E7A42"/>
    <w:rsid w:val="1C1A557B"/>
    <w:rsid w:val="1C790EA2"/>
    <w:rsid w:val="1CBB4733"/>
    <w:rsid w:val="1CCD3F1F"/>
    <w:rsid w:val="1CFE11EF"/>
    <w:rsid w:val="1E0B405F"/>
    <w:rsid w:val="1E0F00DB"/>
    <w:rsid w:val="1E135B88"/>
    <w:rsid w:val="1E6E2AFC"/>
    <w:rsid w:val="1E825E7A"/>
    <w:rsid w:val="1E8F3EF6"/>
    <w:rsid w:val="1F6F7E60"/>
    <w:rsid w:val="1F775289"/>
    <w:rsid w:val="1F8D474B"/>
    <w:rsid w:val="1FB82B1F"/>
    <w:rsid w:val="1FD13B1D"/>
    <w:rsid w:val="1FD618FC"/>
    <w:rsid w:val="20341B32"/>
    <w:rsid w:val="20BF6817"/>
    <w:rsid w:val="210C2083"/>
    <w:rsid w:val="211A5ECC"/>
    <w:rsid w:val="21321990"/>
    <w:rsid w:val="21342863"/>
    <w:rsid w:val="214804E7"/>
    <w:rsid w:val="2174269C"/>
    <w:rsid w:val="21DE185B"/>
    <w:rsid w:val="21FC191D"/>
    <w:rsid w:val="222B5EB7"/>
    <w:rsid w:val="22616361"/>
    <w:rsid w:val="22771648"/>
    <w:rsid w:val="22867DF2"/>
    <w:rsid w:val="22D77E03"/>
    <w:rsid w:val="22E31687"/>
    <w:rsid w:val="22E87E01"/>
    <w:rsid w:val="22E96105"/>
    <w:rsid w:val="23134680"/>
    <w:rsid w:val="23AE6E53"/>
    <w:rsid w:val="23EF1939"/>
    <w:rsid w:val="241B025E"/>
    <w:rsid w:val="24373E9F"/>
    <w:rsid w:val="243B67B0"/>
    <w:rsid w:val="24594FDD"/>
    <w:rsid w:val="24672DFE"/>
    <w:rsid w:val="247F6640"/>
    <w:rsid w:val="24FB0BDF"/>
    <w:rsid w:val="25063990"/>
    <w:rsid w:val="252B0548"/>
    <w:rsid w:val="252D375F"/>
    <w:rsid w:val="261908B2"/>
    <w:rsid w:val="262302AF"/>
    <w:rsid w:val="26263565"/>
    <w:rsid w:val="26753BA5"/>
    <w:rsid w:val="26FE220C"/>
    <w:rsid w:val="277152A7"/>
    <w:rsid w:val="277B7952"/>
    <w:rsid w:val="27E33F9B"/>
    <w:rsid w:val="2842528D"/>
    <w:rsid w:val="28437DE4"/>
    <w:rsid w:val="2846040B"/>
    <w:rsid w:val="285D75ED"/>
    <w:rsid w:val="287B1BD9"/>
    <w:rsid w:val="28812EEF"/>
    <w:rsid w:val="28FC155F"/>
    <w:rsid w:val="29005CC7"/>
    <w:rsid w:val="2929146E"/>
    <w:rsid w:val="29A92FCA"/>
    <w:rsid w:val="29DE4CF7"/>
    <w:rsid w:val="29EC6874"/>
    <w:rsid w:val="2A3B4AC8"/>
    <w:rsid w:val="2A77438F"/>
    <w:rsid w:val="2AB60B33"/>
    <w:rsid w:val="2ABE1535"/>
    <w:rsid w:val="2B231E21"/>
    <w:rsid w:val="2B276251"/>
    <w:rsid w:val="2B4E2E20"/>
    <w:rsid w:val="2B5C0B7A"/>
    <w:rsid w:val="2BBE40F5"/>
    <w:rsid w:val="2C0A43BD"/>
    <w:rsid w:val="2C140573"/>
    <w:rsid w:val="2C7E52A0"/>
    <w:rsid w:val="2CA03577"/>
    <w:rsid w:val="2D41464C"/>
    <w:rsid w:val="2E183793"/>
    <w:rsid w:val="2E415527"/>
    <w:rsid w:val="2E873790"/>
    <w:rsid w:val="2E877731"/>
    <w:rsid w:val="2E953458"/>
    <w:rsid w:val="2EB01C1E"/>
    <w:rsid w:val="2ED26038"/>
    <w:rsid w:val="2EEC5850"/>
    <w:rsid w:val="2FD55B62"/>
    <w:rsid w:val="2FE97E3B"/>
    <w:rsid w:val="2FF27415"/>
    <w:rsid w:val="2FF40230"/>
    <w:rsid w:val="30697C39"/>
    <w:rsid w:val="3082362C"/>
    <w:rsid w:val="30A25EDE"/>
    <w:rsid w:val="30BE5574"/>
    <w:rsid w:val="31006665"/>
    <w:rsid w:val="318E7AE9"/>
    <w:rsid w:val="31AD0696"/>
    <w:rsid w:val="325B2CD1"/>
    <w:rsid w:val="3273487A"/>
    <w:rsid w:val="32B24F2C"/>
    <w:rsid w:val="32D2384E"/>
    <w:rsid w:val="33117913"/>
    <w:rsid w:val="332B3F69"/>
    <w:rsid w:val="33723946"/>
    <w:rsid w:val="3392111C"/>
    <w:rsid w:val="33ED7A2D"/>
    <w:rsid w:val="33F51DC1"/>
    <w:rsid w:val="33F7090C"/>
    <w:rsid w:val="342655A2"/>
    <w:rsid w:val="343727B9"/>
    <w:rsid w:val="343A1627"/>
    <w:rsid w:val="34666D77"/>
    <w:rsid w:val="34BB18DF"/>
    <w:rsid w:val="34BC593E"/>
    <w:rsid w:val="34C172EE"/>
    <w:rsid w:val="35492DCC"/>
    <w:rsid w:val="35836DF6"/>
    <w:rsid w:val="358B0865"/>
    <w:rsid w:val="35984464"/>
    <w:rsid w:val="361D0069"/>
    <w:rsid w:val="36392E40"/>
    <w:rsid w:val="36410489"/>
    <w:rsid w:val="36600766"/>
    <w:rsid w:val="367932A1"/>
    <w:rsid w:val="36BB706D"/>
    <w:rsid w:val="36CD288E"/>
    <w:rsid w:val="377B7EDC"/>
    <w:rsid w:val="37C83251"/>
    <w:rsid w:val="37DE5A4E"/>
    <w:rsid w:val="38095824"/>
    <w:rsid w:val="38691290"/>
    <w:rsid w:val="38784439"/>
    <w:rsid w:val="3895798B"/>
    <w:rsid w:val="38EA4F9B"/>
    <w:rsid w:val="39022224"/>
    <w:rsid w:val="3958538C"/>
    <w:rsid w:val="39AD284D"/>
    <w:rsid w:val="39EC248F"/>
    <w:rsid w:val="39FB1F96"/>
    <w:rsid w:val="3A35183F"/>
    <w:rsid w:val="3AD6370D"/>
    <w:rsid w:val="3AFE45A9"/>
    <w:rsid w:val="3AFF4AFA"/>
    <w:rsid w:val="3B3C613D"/>
    <w:rsid w:val="3B4E6A46"/>
    <w:rsid w:val="3B9C1459"/>
    <w:rsid w:val="3BC822BA"/>
    <w:rsid w:val="3BED7720"/>
    <w:rsid w:val="3C0817F8"/>
    <w:rsid w:val="3C4E0CC8"/>
    <w:rsid w:val="3CD64F45"/>
    <w:rsid w:val="3CDD7527"/>
    <w:rsid w:val="3D2C1009"/>
    <w:rsid w:val="3D9425AC"/>
    <w:rsid w:val="3DAB63D2"/>
    <w:rsid w:val="3DC329AA"/>
    <w:rsid w:val="3DD1764D"/>
    <w:rsid w:val="3E2A3832"/>
    <w:rsid w:val="3E5C0C91"/>
    <w:rsid w:val="3E8B7504"/>
    <w:rsid w:val="3E924A3A"/>
    <w:rsid w:val="3EDB6353"/>
    <w:rsid w:val="3F8C5775"/>
    <w:rsid w:val="3FBC52EF"/>
    <w:rsid w:val="40087ED4"/>
    <w:rsid w:val="40122B01"/>
    <w:rsid w:val="40546445"/>
    <w:rsid w:val="407C5D89"/>
    <w:rsid w:val="40B27A77"/>
    <w:rsid w:val="41103EBE"/>
    <w:rsid w:val="4128697B"/>
    <w:rsid w:val="412A7AE4"/>
    <w:rsid w:val="416A65A4"/>
    <w:rsid w:val="4185309F"/>
    <w:rsid w:val="420978AD"/>
    <w:rsid w:val="421309EA"/>
    <w:rsid w:val="42240501"/>
    <w:rsid w:val="424D5666"/>
    <w:rsid w:val="427174BE"/>
    <w:rsid w:val="42AE2961"/>
    <w:rsid w:val="42F51E9D"/>
    <w:rsid w:val="43122A4F"/>
    <w:rsid w:val="436676EB"/>
    <w:rsid w:val="438B6993"/>
    <w:rsid w:val="43AB777A"/>
    <w:rsid w:val="448B5355"/>
    <w:rsid w:val="45084376"/>
    <w:rsid w:val="45EE1F1D"/>
    <w:rsid w:val="45F13F14"/>
    <w:rsid w:val="45FD2CF9"/>
    <w:rsid w:val="45FD6CFD"/>
    <w:rsid w:val="46AF1AC2"/>
    <w:rsid w:val="47501092"/>
    <w:rsid w:val="477A760E"/>
    <w:rsid w:val="477F0223"/>
    <w:rsid w:val="47874D28"/>
    <w:rsid w:val="47887784"/>
    <w:rsid w:val="47AA16A3"/>
    <w:rsid w:val="47C07F1D"/>
    <w:rsid w:val="47E464E1"/>
    <w:rsid w:val="489804DA"/>
    <w:rsid w:val="49530909"/>
    <w:rsid w:val="4A041EBB"/>
    <w:rsid w:val="4A0D7887"/>
    <w:rsid w:val="4A132597"/>
    <w:rsid w:val="4A22313A"/>
    <w:rsid w:val="4A6C0323"/>
    <w:rsid w:val="4B1E3E8D"/>
    <w:rsid w:val="4B545D45"/>
    <w:rsid w:val="4B800849"/>
    <w:rsid w:val="4B9D26F9"/>
    <w:rsid w:val="4BB328F5"/>
    <w:rsid w:val="4BB618E9"/>
    <w:rsid w:val="4BF90C50"/>
    <w:rsid w:val="4C800A2A"/>
    <w:rsid w:val="4C9F674F"/>
    <w:rsid w:val="4CA24E44"/>
    <w:rsid w:val="4D1C7CE2"/>
    <w:rsid w:val="4D3E287F"/>
    <w:rsid w:val="4D7C1694"/>
    <w:rsid w:val="4DC5384D"/>
    <w:rsid w:val="4E4A6596"/>
    <w:rsid w:val="4E586946"/>
    <w:rsid w:val="4E736C23"/>
    <w:rsid w:val="4E9844D8"/>
    <w:rsid w:val="4EEF40A5"/>
    <w:rsid w:val="4F351F9F"/>
    <w:rsid w:val="4F885092"/>
    <w:rsid w:val="4F8C3B89"/>
    <w:rsid w:val="4F9F1B0F"/>
    <w:rsid w:val="508E2130"/>
    <w:rsid w:val="509052E3"/>
    <w:rsid w:val="518A5EA7"/>
    <w:rsid w:val="51A3460B"/>
    <w:rsid w:val="51A52CE0"/>
    <w:rsid w:val="51D25A47"/>
    <w:rsid w:val="51D83680"/>
    <w:rsid w:val="520E24F1"/>
    <w:rsid w:val="524B1ADA"/>
    <w:rsid w:val="52C376E8"/>
    <w:rsid w:val="535624E4"/>
    <w:rsid w:val="5371638D"/>
    <w:rsid w:val="53F200E2"/>
    <w:rsid w:val="54793D50"/>
    <w:rsid w:val="547A0D72"/>
    <w:rsid w:val="54E52CDB"/>
    <w:rsid w:val="54EE5BBD"/>
    <w:rsid w:val="55396727"/>
    <w:rsid w:val="55532D28"/>
    <w:rsid w:val="55C3525E"/>
    <w:rsid w:val="55CA71B9"/>
    <w:rsid w:val="55EE796A"/>
    <w:rsid w:val="56FC234E"/>
    <w:rsid w:val="570478FE"/>
    <w:rsid w:val="576A00F7"/>
    <w:rsid w:val="57F16C7F"/>
    <w:rsid w:val="58082C12"/>
    <w:rsid w:val="584977FD"/>
    <w:rsid w:val="58511E7C"/>
    <w:rsid w:val="58984200"/>
    <w:rsid w:val="58E660B8"/>
    <w:rsid w:val="59BC6E5A"/>
    <w:rsid w:val="59E40804"/>
    <w:rsid w:val="59FB3DE5"/>
    <w:rsid w:val="5A27176C"/>
    <w:rsid w:val="5A2A085B"/>
    <w:rsid w:val="5A750890"/>
    <w:rsid w:val="5AB05476"/>
    <w:rsid w:val="5AC30E2E"/>
    <w:rsid w:val="5AFA0244"/>
    <w:rsid w:val="5B005A0A"/>
    <w:rsid w:val="5B9B691A"/>
    <w:rsid w:val="5BA3015F"/>
    <w:rsid w:val="5C43724B"/>
    <w:rsid w:val="5C682135"/>
    <w:rsid w:val="5CFA1019"/>
    <w:rsid w:val="5D1523DC"/>
    <w:rsid w:val="5D564D89"/>
    <w:rsid w:val="5D7D2FEA"/>
    <w:rsid w:val="5DB1283B"/>
    <w:rsid w:val="5DEF1EB3"/>
    <w:rsid w:val="5E364156"/>
    <w:rsid w:val="5E4E4F75"/>
    <w:rsid w:val="5F8D4FB7"/>
    <w:rsid w:val="5FB962D5"/>
    <w:rsid w:val="5FF616A2"/>
    <w:rsid w:val="60440664"/>
    <w:rsid w:val="604B2B9F"/>
    <w:rsid w:val="608139CC"/>
    <w:rsid w:val="608B4B9C"/>
    <w:rsid w:val="60B80169"/>
    <w:rsid w:val="60D618C6"/>
    <w:rsid w:val="6105535C"/>
    <w:rsid w:val="614E0E03"/>
    <w:rsid w:val="616D55C9"/>
    <w:rsid w:val="618A3466"/>
    <w:rsid w:val="618C5E3D"/>
    <w:rsid w:val="62067841"/>
    <w:rsid w:val="62290BAD"/>
    <w:rsid w:val="624D6221"/>
    <w:rsid w:val="625B3673"/>
    <w:rsid w:val="627C7AED"/>
    <w:rsid w:val="62ED6B99"/>
    <w:rsid w:val="62F64008"/>
    <w:rsid w:val="631D6B7A"/>
    <w:rsid w:val="633534E8"/>
    <w:rsid w:val="63517B56"/>
    <w:rsid w:val="63625F7D"/>
    <w:rsid w:val="63DA4A6C"/>
    <w:rsid w:val="63EC14BE"/>
    <w:rsid w:val="641C5C65"/>
    <w:rsid w:val="64373C6C"/>
    <w:rsid w:val="6446136F"/>
    <w:rsid w:val="64601415"/>
    <w:rsid w:val="646E7959"/>
    <w:rsid w:val="647D5E76"/>
    <w:rsid w:val="64D47053"/>
    <w:rsid w:val="651D1F50"/>
    <w:rsid w:val="653254F4"/>
    <w:rsid w:val="653B0AC5"/>
    <w:rsid w:val="65BC2F98"/>
    <w:rsid w:val="65CA4EE1"/>
    <w:rsid w:val="66592469"/>
    <w:rsid w:val="66C34FD2"/>
    <w:rsid w:val="67513297"/>
    <w:rsid w:val="67780823"/>
    <w:rsid w:val="67961104"/>
    <w:rsid w:val="67A27F96"/>
    <w:rsid w:val="67C21EE4"/>
    <w:rsid w:val="67E22141"/>
    <w:rsid w:val="688B35FB"/>
    <w:rsid w:val="68BB51BC"/>
    <w:rsid w:val="68C07218"/>
    <w:rsid w:val="696F71F1"/>
    <w:rsid w:val="69726D67"/>
    <w:rsid w:val="69AF0748"/>
    <w:rsid w:val="69BD315D"/>
    <w:rsid w:val="69D501AF"/>
    <w:rsid w:val="69E74060"/>
    <w:rsid w:val="6A3B2DC5"/>
    <w:rsid w:val="6A52585A"/>
    <w:rsid w:val="6A582B8E"/>
    <w:rsid w:val="6A72490A"/>
    <w:rsid w:val="6AAB1A1A"/>
    <w:rsid w:val="6AD00976"/>
    <w:rsid w:val="6B570E7E"/>
    <w:rsid w:val="6B7414E7"/>
    <w:rsid w:val="6B816AA3"/>
    <w:rsid w:val="6BEA3CBA"/>
    <w:rsid w:val="6C1379F3"/>
    <w:rsid w:val="6C23729E"/>
    <w:rsid w:val="6C2C3342"/>
    <w:rsid w:val="6D0C27FF"/>
    <w:rsid w:val="6DA57E98"/>
    <w:rsid w:val="6DC741A0"/>
    <w:rsid w:val="6DE02D21"/>
    <w:rsid w:val="6DF350A8"/>
    <w:rsid w:val="6E1A0886"/>
    <w:rsid w:val="6E781A51"/>
    <w:rsid w:val="6EC72CAC"/>
    <w:rsid w:val="6F420324"/>
    <w:rsid w:val="6FA06B69"/>
    <w:rsid w:val="6FF60E93"/>
    <w:rsid w:val="701E3F32"/>
    <w:rsid w:val="703A53FC"/>
    <w:rsid w:val="707E2326"/>
    <w:rsid w:val="717E3F4B"/>
    <w:rsid w:val="719C2A2E"/>
    <w:rsid w:val="71B633FC"/>
    <w:rsid w:val="71C0515B"/>
    <w:rsid w:val="72356C99"/>
    <w:rsid w:val="724C02E6"/>
    <w:rsid w:val="727B1B10"/>
    <w:rsid w:val="72AC5157"/>
    <w:rsid w:val="72C70371"/>
    <w:rsid w:val="733C1156"/>
    <w:rsid w:val="74336552"/>
    <w:rsid w:val="7456013E"/>
    <w:rsid w:val="748E3F2E"/>
    <w:rsid w:val="75155029"/>
    <w:rsid w:val="75356FAC"/>
    <w:rsid w:val="75587EE6"/>
    <w:rsid w:val="756C5068"/>
    <w:rsid w:val="764741F6"/>
    <w:rsid w:val="768935A6"/>
    <w:rsid w:val="76A72ED3"/>
    <w:rsid w:val="76FB6D7B"/>
    <w:rsid w:val="773504DF"/>
    <w:rsid w:val="77E70A98"/>
    <w:rsid w:val="77F547F3"/>
    <w:rsid w:val="78060B96"/>
    <w:rsid w:val="784F29CE"/>
    <w:rsid w:val="786D18CA"/>
    <w:rsid w:val="78A45B28"/>
    <w:rsid w:val="78AC1897"/>
    <w:rsid w:val="78D77A8A"/>
    <w:rsid w:val="79167E9C"/>
    <w:rsid w:val="79362FB2"/>
    <w:rsid w:val="79C21DD2"/>
    <w:rsid w:val="79C73309"/>
    <w:rsid w:val="79F61B8C"/>
    <w:rsid w:val="7A1054F4"/>
    <w:rsid w:val="7A1F6121"/>
    <w:rsid w:val="7A41719B"/>
    <w:rsid w:val="7A552EF7"/>
    <w:rsid w:val="7A9E45ED"/>
    <w:rsid w:val="7AAB520E"/>
    <w:rsid w:val="7AAF7060"/>
    <w:rsid w:val="7ABF6A78"/>
    <w:rsid w:val="7AFE5AFB"/>
    <w:rsid w:val="7B0A6295"/>
    <w:rsid w:val="7B6B2630"/>
    <w:rsid w:val="7B6C0247"/>
    <w:rsid w:val="7BB572E9"/>
    <w:rsid w:val="7BCC42E0"/>
    <w:rsid w:val="7C030CE9"/>
    <w:rsid w:val="7C2E19A1"/>
    <w:rsid w:val="7C7C3D2F"/>
    <w:rsid w:val="7CAF680C"/>
    <w:rsid w:val="7DB4751F"/>
    <w:rsid w:val="7E187791"/>
    <w:rsid w:val="7EC56E34"/>
    <w:rsid w:val="7F1B67EE"/>
    <w:rsid w:val="7F224D4A"/>
    <w:rsid w:val="7F4719DD"/>
    <w:rsid w:val="7F7818B1"/>
    <w:rsid w:val="7F9C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4"/>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0"/>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 + 首行缩进:  2 字符"/>
    <w:basedOn w:val="3"/>
    <w:qFormat/>
    <w:uiPriority w:val="0"/>
    <w:pPr>
      <w:spacing w:line="360" w:lineRule="auto"/>
      <w:ind w:firstLine="200"/>
    </w:pPr>
    <w:rPr>
      <w:rFonts w:ascii="Times New Roman" w:hAnsi="Times New Roman" w:eastAsia="宋体" w:cs="Times New Roman"/>
    </w:rPr>
  </w:style>
  <w:style w:type="paragraph" w:styleId="3">
    <w:name w:val="Normal Indent"/>
    <w:basedOn w:val="1"/>
    <w:next w:val="1"/>
    <w:qFormat/>
    <w:uiPriority w:val="99"/>
    <w:pPr>
      <w:widowControl w:val="0"/>
      <w:adjustRightInd w:val="0"/>
      <w:spacing w:line="360" w:lineRule="atLeast"/>
      <w:ind w:firstLine="482"/>
    </w:pPr>
    <w:rPr>
      <w:color w:val="auto"/>
      <w:sz w:val="24"/>
    </w:rPr>
  </w:style>
  <w:style w:type="paragraph" w:styleId="9">
    <w:name w:val="List 3"/>
    <w:basedOn w:val="1"/>
    <w:qFormat/>
    <w:uiPriority w:val="0"/>
    <w:pPr>
      <w:ind w:left="100" w:leftChars="400" w:hanging="200" w:hangingChars="200"/>
      <w:contextualSpacing/>
    </w:pPr>
  </w:style>
  <w:style w:type="paragraph" w:styleId="10">
    <w:name w:val="caption"/>
    <w:basedOn w:val="1"/>
    <w:next w:val="1"/>
    <w:semiHidden/>
    <w:unhideWhenUsed/>
    <w:qFormat/>
    <w:uiPriority w:val="0"/>
    <w:pPr>
      <w:spacing w:before="152" w:after="160"/>
    </w:pPr>
    <w:rPr>
      <w:rFonts w:ascii="Arial" w:hAnsi="Arial" w:eastAsia="黑体" w:cs="Arial"/>
      <w:sz w:val="20"/>
    </w:rPr>
  </w:style>
  <w:style w:type="paragraph" w:styleId="11">
    <w:name w:val="annotation text"/>
    <w:basedOn w:val="1"/>
    <w:link w:val="53"/>
    <w:qFormat/>
    <w:uiPriority w:val="0"/>
    <w:pPr>
      <w:adjustRightInd w:val="0"/>
      <w:spacing w:line="360" w:lineRule="atLeast"/>
      <w:jc w:val="left"/>
      <w:textAlignment w:val="baseline"/>
    </w:pPr>
    <w:rPr>
      <w:kern w:val="0"/>
      <w:sz w:val="24"/>
    </w:rPr>
  </w:style>
  <w:style w:type="paragraph" w:styleId="12">
    <w:name w:val="index 6"/>
    <w:next w:val="1"/>
    <w:qFormat/>
    <w:uiPriority w:val="99"/>
    <w:pPr>
      <w:widowControl w:val="0"/>
      <w:spacing w:after="200" w:line="276" w:lineRule="auto"/>
      <w:ind w:left="2100"/>
      <w:jc w:val="both"/>
    </w:pPr>
    <w:rPr>
      <w:rFonts w:ascii="Times New Roman" w:hAnsi="Times New Roman" w:eastAsia="宋体" w:cs="Times New Roman"/>
      <w:kern w:val="2"/>
      <w:sz w:val="21"/>
      <w:lang w:val="en-US" w:eastAsia="zh-CN" w:bidi="ar-SA"/>
    </w:rPr>
  </w:style>
  <w:style w:type="paragraph" w:styleId="13">
    <w:name w:val="Salutation"/>
    <w:basedOn w:val="1"/>
    <w:next w:val="1"/>
    <w:link w:val="50"/>
    <w:qFormat/>
    <w:uiPriority w:val="0"/>
    <w:rPr>
      <w:sz w:val="24"/>
    </w:rPr>
  </w:style>
  <w:style w:type="paragraph" w:styleId="14">
    <w:name w:val="Body Text"/>
    <w:basedOn w:val="1"/>
    <w:next w:val="1"/>
    <w:link w:val="57"/>
    <w:qFormat/>
    <w:uiPriority w:val="0"/>
    <w:pPr>
      <w:spacing w:after="120"/>
    </w:pPr>
    <w:rPr>
      <w:rFonts w:asciiTheme="minorHAnsi" w:hAnsiTheme="minorHAnsi" w:cstheme="minorBidi"/>
      <w:szCs w:val="24"/>
    </w:rPr>
  </w:style>
  <w:style w:type="paragraph" w:styleId="15">
    <w:name w:val="Body Text Indent"/>
    <w:basedOn w:val="1"/>
    <w:next w:val="16"/>
    <w:qFormat/>
    <w:uiPriority w:val="99"/>
    <w:pPr>
      <w:adjustRightInd w:val="0"/>
      <w:snapToGrid w:val="0"/>
      <w:spacing w:line="460" w:lineRule="exact"/>
      <w:ind w:firstLine="560" w:firstLineChars="200"/>
    </w:pPr>
    <w:rPr>
      <w:rFonts w:ascii="仿宋_GB2312" w:hAnsi="Tahoma" w:eastAsia="仿宋_GB2312"/>
      <w:sz w:val="28"/>
    </w:rPr>
  </w:style>
  <w:style w:type="paragraph" w:styleId="16">
    <w:name w:val="Body Text First Indent 2"/>
    <w:basedOn w:val="15"/>
    <w:next w:val="17"/>
    <w:unhideWhenUsed/>
    <w:qFormat/>
    <w:uiPriority w:val="0"/>
    <w:pPr>
      <w:adjustRightInd/>
      <w:snapToGrid/>
      <w:spacing w:after="120" w:line="360" w:lineRule="auto"/>
      <w:ind w:left="420" w:leftChars="200" w:firstLine="420"/>
    </w:pPr>
    <w:rPr>
      <w:rFonts w:ascii="Calibri" w:hAnsi="Calibri" w:eastAsia="宋体"/>
      <w:sz w:val="24"/>
      <w:szCs w:val="22"/>
    </w:rPr>
  </w:style>
  <w:style w:type="paragraph" w:styleId="17">
    <w:name w:val="Plain Text"/>
    <w:basedOn w:val="1"/>
    <w:next w:val="18"/>
    <w:link w:val="48"/>
    <w:qFormat/>
    <w:uiPriority w:val="0"/>
    <w:rPr>
      <w:rFonts w:ascii="宋体" w:hAnsi="Courier New"/>
    </w:rPr>
  </w:style>
  <w:style w:type="paragraph" w:styleId="18">
    <w:name w:val="List Number 5"/>
    <w:basedOn w:val="1"/>
    <w:qFormat/>
    <w:uiPriority w:val="0"/>
    <w:pPr>
      <w:numPr>
        <w:ilvl w:val="0"/>
        <w:numId w:val="1"/>
      </w:numPr>
    </w:pPr>
  </w:style>
  <w:style w:type="paragraph" w:styleId="19">
    <w:name w:val="List 2"/>
    <w:basedOn w:val="1"/>
    <w:qFormat/>
    <w:uiPriority w:val="0"/>
    <w:pPr>
      <w:ind w:left="100" w:leftChars="200" w:hanging="200" w:hangingChars="200"/>
    </w:pPr>
    <w:rPr>
      <w:szCs w:val="24"/>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right" w:leader="dot" w:pos="9628"/>
      </w:tabs>
      <w:spacing w:line="360" w:lineRule="auto"/>
    </w:pPr>
    <w:rPr>
      <w:szCs w:val="24"/>
    </w:rPr>
  </w:style>
  <w:style w:type="paragraph" w:styleId="23">
    <w:name w:val="footnote text"/>
    <w:basedOn w:val="1"/>
    <w:link w:val="38"/>
    <w:qFormat/>
    <w:uiPriority w:val="99"/>
    <w:pPr>
      <w:snapToGrid w:val="0"/>
      <w:jc w:val="left"/>
    </w:pPr>
    <w:rPr>
      <w:rFonts w:asciiTheme="minorHAnsi" w:hAnsiTheme="minorHAnsi" w:eastAsiaTheme="minorEastAsia" w:cstheme="minorBidi"/>
      <w:sz w:val="18"/>
      <w:szCs w:val="22"/>
    </w:rPr>
  </w:style>
  <w:style w:type="paragraph" w:styleId="24">
    <w:name w:val="toc 2"/>
    <w:basedOn w:val="1"/>
    <w:next w:val="1"/>
    <w:qFormat/>
    <w:uiPriority w:val="0"/>
    <w:pPr>
      <w:adjustRightInd w:val="0"/>
      <w:spacing w:line="360" w:lineRule="auto"/>
      <w:ind w:left="240" w:firstLine="425"/>
      <w:jc w:val="left"/>
      <w:textAlignment w:val="baseline"/>
    </w:pPr>
    <w:rPr>
      <w:smallCaps/>
      <w:sz w:val="20"/>
    </w:rPr>
  </w:style>
  <w:style w:type="paragraph" w:styleId="25">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link w:val="77"/>
    <w:qFormat/>
    <w:uiPriority w:val="0"/>
    <w:pPr>
      <w:adjustRightInd w:val="0"/>
      <w:snapToGrid w:val="0"/>
      <w:spacing w:before="120" w:after="120" w:line="520" w:lineRule="exact"/>
      <w:jc w:val="center"/>
      <w:outlineLvl w:val="0"/>
    </w:pPr>
    <w:rPr>
      <w:rFonts w:ascii="黑体" w:hAnsiTheme="minorHAnsi" w:eastAsiaTheme="minorEastAsia" w:cstheme="minorBidi"/>
      <w:b/>
      <w:snapToGrid w:val="0"/>
      <w:sz w:val="44"/>
      <w:szCs w:val="22"/>
    </w:rPr>
  </w:style>
  <w:style w:type="paragraph" w:styleId="29">
    <w:name w:val="Body Text First Indent"/>
    <w:basedOn w:val="14"/>
    <w:qFormat/>
    <w:uiPriority w:val="99"/>
    <w:pPr>
      <w:spacing w:after="120"/>
      <w:ind w:firstLine="420" w:firstLineChars="10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rFonts w:ascii="Calibri" w:hAnsi="Calibri" w:eastAsia="宋体" w:cs="Times New Roman"/>
      <w:b/>
      <w:bCs/>
    </w:rPr>
  </w:style>
  <w:style w:type="character" w:styleId="34">
    <w:name w:val="Hyperlink"/>
    <w:basedOn w:val="32"/>
    <w:qFormat/>
    <w:uiPriority w:val="0"/>
    <w:rPr>
      <w:color w:val="0000FF"/>
      <w:u w:val="single"/>
    </w:rPr>
  </w:style>
  <w:style w:type="paragraph" w:customStyle="1" w:styleId="35">
    <w:name w:val="首行缩进"/>
    <w:basedOn w:val="1"/>
    <w:qFormat/>
    <w:uiPriority w:val="99"/>
    <w:pPr>
      <w:ind w:firstLine="480" w:firstLineChars="200"/>
    </w:pPr>
    <w:rPr>
      <w:lang w:val="zh-CN"/>
    </w:rPr>
  </w:style>
  <w:style w:type="paragraph" w:customStyle="1" w:styleId="3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7">
    <w:name w:val="默认段落字体 Para Char Char Char Char Char Char Char Char Char Char"/>
    <w:basedOn w:val="1"/>
    <w:qFormat/>
    <w:uiPriority w:val="0"/>
    <w:rPr>
      <w:rFonts w:ascii="Tahoma" w:hAnsi="Tahoma"/>
      <w:sz w:val="24"/>
    </w:rPr>
  </w:style>
  <w:style w:type="character" w:customStyle="1" w:styleId="38">
    <w:name w:val="脚注文本 Char"/>
    <w:link w:val="23"/>
    <w:qFormat/>
    <w:uiPriority w:val="99"/>
    <w:rPr>
      <w:sz w:val="18"/>
    </w:rPr>
  </w:style>
  <w:style w:type="character" w:customStyle="1" w:styleId="39">
    <w:name w:val="标题 Char"/>
    <w:link w:val="28"/>
    <w:qFormat/>
    <w:uiPriority w:val="0"/>
    <w:rPr>
      <w:rFonts w:ascii="黑体"/>
      <w:b/>
      <w:snapToGrid w:val="0"/>
      <w:sz w:val="44"/>
    </w:rPr>
  </w:style>
  <w:style w:type="character" w:customStyle="1" w:styleId="40">
    <w:name w:val="标题 Char1"/>
    <w:basedOn w:val="32"/>
    <w:qFormat/>
    <w:uiPriority w:val="10"/>
    <w:rPr>
      <w:rFonts w:eastAsia="宋体" w:asciiTheme="majorHAnsi" w:hAnsiTheme="majorHAnsi" w:cstheme="majorBidi"/>
      <w:b/>
      <w:bCs/>
      <w:sz w:val="32"/>
      <w:szCs w:val="32"/>
    </w:rPr>
  </w:style>
  <w:style w:type="character" w:customStyle="1" w:styleId="41">
    <w:name w:val="脚注文本 Char1"/>
    <w:basedOn w:val="32"/>
    <w:semiHidden/>
    <w:qFormat/>
    <w:uiPriority w:val="99"/>
    <w:rPr>
      <w:rFonts w:ascii="Times New Roman" w:hAnsi="Times New Roman" w:eastAsia="宋体" w:cs="Times New Roman"/>
      <w:sz w:val="18"/>
      <w:szCs w:val="18"/>
    </w:rPr>
  </w:style>
  <w:style w:type="paragraph" w:customStyle="1" w:styleId="4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43">
    <w:name w:val="页脚 Char"/>
    <w:basedOn w:val="32"/>
    <w:link w:val="20"/>
    <w:qFormat/>
    <w:uiPriority w:val="0"/>
    <w:rPr>
      <w:rFonts w:ascii="Times New Roman" w:hAnsi="Times New Roman" w:eastAsia="宋体" w:cs="Times New Roman"/>
      <w:sz w:val="18"/>
      <w:szCs w:val="18"/>
    </w:rPr>
  </w:style>
  <w:style w:type="character" w:customStyle="1" w:styleId="44">
    <w:name w:val="页眉 Char"/>
    <w:basedOn w:val="32"/>
    <w:link w:val="21"/>
    <w:qFormat/>
    <w:uiPriority w:val="0"/>
    <w:rPr>
      <w:rFonts w:ascii="Times New Roman" w:hAnsi="Times New Roman" w:eastAsia="宋体" w:cs="Times New Roman"/>
      <w:sz w:val="18"/>
      <w:szCs w:val="18"/>
    </w:rPr>
  </w:style>
  <w:style w:type="character" w:customStyle="1" w:styleId="45">
    <w:name w:val="页脚 Char1"/>
    <w:basedOn w:val="32"/>
    <w:semiHidden/>
    <w:qFormat/>
    <w:uiPriority w:val="99"/>
    <w:rPr>
      <w:sz w:val="18"/>
      <w:szCs w:val="18"/>
    </w:rPr>
  </w:style>
  <w:style w:type="character" w:customStyle="1" w:styleId="46">
    <w:name w:val="Default Text Char Char"/>
    <w:link w:val="47"/>
    <w:qFormat/>
    <w:uiPriority w:val="0"/>
    <w:rPr>
      <w:color w:val="000000"/>
      <w:sz w:val="24"/>
    </w:rPr>
  </w:style>
  <w:style w:type="paragraph" w:customStyle="1" w:styleId="47">
    <w:name w:val="Default Text"/>
    <w:link w:val="46"/>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48">
    <w:name w:val="纯文本 Char1"/>
    <w:link w:val="17"/>
    <w:qFormat/>
    <w:uiPriority w:val="0"/>
    <w:rPr>
      <w:rFonts w:ascii="宋体" w:hAnsi="Courier New" w:eastAsia="宋体" w:cs="Times New Roman"/>
      <w:szCs w:val="20"/>
    </w:rPr>
  </w:style>
  <w:style w:type="character" w:customStyle="1" w:styleId="49">
    <w:name w:val="15"/>
    <w:qFormat/>
    <w:uiPriority w:val="0"/>
    <w:rPr>
      <w:rFonts w:hint="default" w:ascii="Times New Roman" w:hAnsi="Times New Roman" w:cs="Times New Roman"/>
    </w:rPr>
  </w:style>
  <w:style w:type="character" w:customStyle="1" w:styleId="50">
    <w:name w:val="称呼 Char"/>
    <w:link w:val="13"/>
    <w:qFormat/>
    <w:uiPriority w:val="0"/>
    <w:rPr>
      <w:rFonts w:ascii="Times New Roman" w:hAnsi="Times New Roman" w:eastAsia="宋体" w:cs="Times New Roman"/>
      <w:sz w:val="24"/>
      <w:szCs w:val="20"/>
    </w:rPr>
  </w:style>
  <w:style w:type="character" w:customStyle="1" w:styleId="51">
    <w:name w:val="称呼 Char1"/>
    <w:basedOn w:val="32"/>
    <w:semiHidden/>
    <w:qFormat/>
    <w:uiPriority w:val="99"/>
    <w:rPr>
      <w:rFonts w:ascii="Times New Roman" w:hAnsi="Times New Roman" w:eastAsia="宋体" w:cs="Times New Roman"/>
      <w:szCs w:val="20"/>
    </w:rPr>
  </w:style>
  <w:style w:type="character" w:customStyle="1" w:styleId="52">
    <w:name w:val="纯文本 Char"/>
    <w:basedOn w:val="32"/>
    <w:semiHidden/>
    <w:qFormat/>
    <w:uiPriority w:val="99"/>
    <w:rPr>
      <w:rFonts w:ascii="宋体" w:hAnsi="Courier New" w:eastAsia="宋体" w:cs="Courier New"/>
      <w:szCs w:val="21"/>
    </w:rPr>
  </w:style>
  <w:style w:type="character" w:customStyle="1" w:styleId="53">
    <w:name w:val="批注文字 Char"/>
    <w:link w:val="11"/>
    <w:qFormat/>
    <w:uiPriority w:val="0"/>
    <w:rPr>
      <w:rFonts w:ascii="Times New Roman" w:hAnsi="Times New Roman" w:eastAsia="宋体" w:cs="Times New Roman"/>
      <w:kern w:val="0"/>
      <w:sz w:val="24"/>
      <w:szCs w:val="20"/>
    </w:rPr>
  </w:style>
  <w:style w:type="character" w:customStyle="1" w:styleId="54">
    <w:name w:val="批注文字 Char1"/>
    <w:basedOn w:val="32"/>
    <w:semiHidden/>
    <w:qFormat/>
    <w:uiPriority w:val="99"/>
    <w:rPr>
      <w:rFonts w:ascii="Times New Roman" w:hAnsi="Times New Roman" w:eastAsia="宋体" w:cs="Times New Roman"/>
      <w:szCs w:val="20"/>
    </w:rPr>
  </w:style>
  <w:style w:type="character" w:customStyle="1" w:styleId="55">
    <w:name w:val="标题 1 Char"/>
    <w:basedOn w:val="32"/>
    <w:link w:val="4"/>
    <w:qFormat/>
    <w:uiPriority w:val="0"/>
    <w:rPr>
      <w:rFonts w:ascii="Times New Roman" w:hAnsi="Times New Roman" w:eastAsia="宋体" w:cs="Times New Roman"/>
      <w:b/>
      <w:bCs/>
      <w:kern w:val="44"/>
      <w:sz w:val="44"/>
      <w:szCs w:val="44"/>
    </w:rPr>
  </w:style>
  <w:style w:type="character" w:customStyle="1" w:styleId="56">
    <w:name w:val="标题 3 Char Char"/>
    <w:qFormat/>
    <w:uiPriority w:val="0"/>
    <w:rPr>
      <w:rFonts w:ascii="黑体" w:eastAsia="黑体"/>
      <w:bCs/>
      <w:sz w:val="30"/>
    </w:rPr>
  </w:style>
  <w:style w:type="character" w:customStyle="1" w:styleId="57">
    <w:name w:val="正文文本 Char"/>
    <w:link w:val="14"/>
    <w:qFormat/>
    <w:uiPriority w:val="0"/>
    <w:rPr>
      <w:rFonts w:eastAsia="宋体"/>
      <w:szCs w:val="24"/>
    </w:rPr>
  </w:style>
  <w:style w:type="character" w:customStyle="1" w:styleId="58">
    <w:name w:val="正文文本 Char1"/>
    <w:basedOn w:val="32"/>
    <w:semiHidden/>
    <w:qFormat/>
    <w:uiPriority w:val="99"/>
    <w:rPr>
      <w:rFonts w:ascii="Times New Roman" w:hAnsi="Times New Roman" w:eastAsia="宋体" w:cs="Times New Roman"/>
      <w:szCs w:val="20"/>
    </w:rPr>
  </w:style>
  <w:style w:type="paragraph" w:customStyle="1" w:styleId="59">
    <w:name w:val="列出段落1"/>
    <w:basedOn w:val="1"/>
    <w:qFormat/>
    <w:uiPriority w:val="34"/>
    <w:pPr>
      <w:ind w:firstLine="420" w:firstLineChars="200"/>
    </w:pPr>
  </w:style>
  <w:style w:type="character" w:customStyle="1" w:styleId="60">
    <w:name w:val="标题 2 Char"/>
    <w:basedOn w:val="32"/>
    <w:link w:val="5"/>
    <w:qFormat/>
    <w:uiPriority w:val="0"/>
    <w:rPr>
      <w:rFonts w:ascii="Arial" w:hAnsi="Arial" w:eastAsia="黑体" w:cs="Times New Roman"/>
      <w:b/>
      <w:bCs/>
      <w:sz w:val="32"/>
      <w:szCs w:val="32"/>
    </w:rPr>
  </w:style>
  <w:style w:type="paragraph" w:customStyle="1" w:styleId="61">
    <w:name w:val="_Style 2"/>
    <w:basedOn w:val="4"/>
    <w:next w:val="1"/>
    <w:qFormat/>
    <w:uiPriority w:val="39"/>
    <w:pPr>
      <w:widowControl/>
      <w:spacing w:before="480" w:line="276" w:lineRule="auto"/>
      <w:jc w:val="left"/>
      <w:outlineLvl w:val="9"/>
    </w:pPr>
    <w:rPr>
      <w:rFonts w:ascii="Cambria" w:hAnsi="Cambria"/>
      <w:b w:val="0"/>
      <w:color w:val="365F91"/>
      <w:kern w:val="0"/>
      <w:szCs w:val="28"/>
    </w:rPr>
  </w:style>
  <w:style w:type="character" w:customStyle="1" w:styleId="62">
    <w:name w:val="font61"/>
    <w:basedOn w:val="32"/>
    <w:qFormat/>
    <w:uiPriority w:val="0"/>
    <w:rPr>
      <w:rFonts w:hint="eastAsia" w:ascii="微软雅黑" w:hAnsi="微软雅黑" w:eastAsia="微软雅黑" w:cs="微软雅黑"/>
      <w:b/>
      <w:color w:val="000000"/>
      <w:sz w:val="21"/>
      <w:szCs w:val="21"/>
      <w:u w:val="none"/>
    </w:rPr>
  </w:style>
  <w:style w:type="paragraph" w:customStyle="1" w:styleId="63">
    <w:name w:val="5）标书正文 首行缩进2字符"/>
    <w:basedOn w:val="1"/>
    <w:qFormat/>
    <w:uiPriority w:val="99"/>
    <w:pPr>
      <w:spacing w:line="480" w:lineRule="exact"/>
      <w:ind w:firstLine="200" w:firstLineChars="200"/>
    </w:pPr>
    <w:rPr>
      <w:rFonts w:ascii="仿宋_GB2312" w:eastAsia="仿宋_GB2312"/>
      <w:sz w:val="28"/>
    </w:rPr>
  </w:style>
  <w:style w:type="character" w:customStyle="1" w:styleId="64">
    <w:name w:val="标题 3 Char"/>
    <w:qFormat/>
    <w:uiPriority w:val="0"/>
    <w:rPr>
      <w:rFonts w:eastAsia="宋体"/>
      <w:b/>
      <w:bCs/>
      <w:kern w:val="2"/>
      <w:sz w:val="32"/>
      <w:szCs w:val="32"/>
      <w:lang w:val="en-US" w:eastAsia="zh-CN" w:bidi="ar-SA"/>
    </w:rPr>
  </w:style>
  <w:style w:type="paragraph" w:customStyle="1" w:styleId="65">
    <w:name w:val="È¡ÀÊ¡ÎÄ¡À¾"/>
    <w:basedOn w:val="1"/>
    <w:qFormat/>
    <w:uiPriority w:val="99"/>
    <w:pPr>
      <w:overflowPunct w:val="0"/>
      <w:autoSpaceDE w:val="0"/>
      <w:autoSpaceDN w:val="0"/>
      <w:textAlignment w:val="baseline"/>
    </w:pPr>
    <w:rPr>
      <w:rFonts w:ascii="Calibri" w:hAnsi="Calibri"/>
      <w:sz w:val="24"/>
    </w:rPr>
  </w:style>
  <w:style w:type="character" w:customStyle="1" w:styleId="66">
    <w:name w:val="标题1"/>
    <w:qFormat/>
    <w:uiPriority w:val="0"/>
  </w:style>
  <w:style w:type="paragraph" w:customStyle="1" w:styleId="67">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68">
    <w:name w:val="List Paragraph"/>
    <w:basedOn w:val="1"/>
    <w:unhideWhenUsed/>
    <w:qFormat/>
    <w:uiPriority w:val="99"/>
    <w:pPr>
      <w:ind w:firstLine="420" w:firstLineChars="200"/>
    </w:pPr>
  </w:style>
  <w:style w:type="character" w:customStyle="1" w:styleId="69">
    <w:name w:val="正文缩进2格 Char"/>
    <w:link w:val="70"/>
    <w:qFormat/>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paragraph" w:customStyle="1" w:styleId="71">
    <w:name w:val="正文缩进1"/>
    <w:basedOn w:val="1"/>
    <w:qFormat/>
    <w:uiPriority w:val="0"/>
    <w:pPr>
      <w:ind w:firstLine="420" w:firstLineChars="200"/>
    </w:pPr>
  </w:style>
  <w:style w:type="paragraph" w:customStyle="1" w:styleId="72">
    <w:name w:val="索引 11"/>
    <w:basedOn w:val="1"/>
    <w:next w:val="1"/>
    <w:qFormat/>
    <w:uiPriority w:val="0"/>
    <w:pPr>
      <w:spacing w:line="360" w:lineRule="auto"/>
    </w:pPr>
    <w:rPr>
      <w:rFonts w:ascii="仿宋_GB2312" w:eastAsia="仿宋_GB2312"/>
      <w:sz w:val="24"/>
      <w:szCs w:val="20"/>
    </w:rPr>
  </w:style>
  <w:style w:type="paragraph" w:customStyle="1" w:styleId="73">
    <w:name w:val="纯文本1"/>
    <w:basedOn w:val="1"/>
    <w:qFormat/>
    <w:uiPriority w:val="0"/>
    <w:rPr>
      <w:rFonts w:ascii="宋体" w:hAnsi="Courier New" w:eastAsiaTheme="minorEastAsia" w:cstheme="minorBidi"/>
      <w:szCs w:val="22"/>
    </w:rPr>
  </w:style>
  <w:style w:type="character" w:customStyle="1" w:styleId="74">
    <w:name w:val="NormalCharacter"/>
    <w:link w:val="1"/>
    <w:qFormat/>
    <w:uiPriority w:val="0"/>
    <w:rPr>
      <w:rFonts w:ascii="Times New Roman" w:hAnsi="Times New Roman" w:eastAsia="宋体" w:cs="Times New Roman"/>
      <w:kern w:val="2"/>
      <w:sz w:val="21"/>
      <w:lang w:val="en-US" w:eastAsia="zh-CN" w:bidi="ar-SA"/>
    </w:rPr>
  </w:style>
  <w:style w:type="paragraph" w:customStyle="1" w:styleId="75">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 Char Char5"/>
    <w:link w:val="28"/>
    <w:qFormat/>
    <w:uiPriority w:val="10"/>
    <w:rPr>
      <w:rFonts w:ascii="Cambria" w:hAnsi="Cambria"/>
      <w:b/>
      <w:bCs/>
      <w:sz w:val="32"/>
      <w:szCs w:val="32"/>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79">
    <w:name w:val="font11"/>
    <w:basedOn w:val="32"/>
    <w:qFormat/>
    <w:uiPriority w:val="0"/>
    <w:rPr>
      <w:rFonts w:hint="eastAsia" w:ascii="宋体" w:hAnsi="宋体" w:eastAsia="宋体" w:cs="宋体"/>
      <w:color w:val="000000"/>
      <w:sz w:val="24"/>
      <w:szCs w:val="24"/>
      <w:u w:val="none"/>
    </w:rPr>
  </w:style>
  <w:style w:type="character" w:customStyle="1" w:styleId="80">
    <w:name w:val="font71"/>
    <w:basedOn w:val="32"/>
    <w:qFormat/>
    <w:uiPriority w:val="0"/>
    <w:rPr>
      <w:rFonts w:ascii="Wingdings 2" w:hAnsi="Wingdings 2" w:eastAsia="Wingdings 2" w:cs="Wingdings 2"/>
      <w:color w:val="000000"/>
      <w:sz w:val="20"/>
      <w:szCs w:val="20"/>
      <w:u w:val="none"/>
    </w:rPr>
  </w:style>
  <w:style w:type="character" w:customStyle="1" w:styleId="81">
    <w:name w:val="font41"/>
    <w:basedOn w:val="32"/>
    <w:qFormat/>
    <w:uiPriority w:val="0"/>
    <w:rPr>
      <w:rFonts w:hint="eastAsia" w:ascii="宋体" w:hAnsi="宋体" w:eastAsia="宋体" w:cs="宋体"/>
      <w:color w:val="000000"/>
      <w:sz w:val="20"/>
      <w:szCs w:val="20"/>
      <w:u w:val="none"/>
    </w:rPr>
  </w:style>
  <w:style w:type="character" w:customStyle="1" w:styleId="82">
    <w:name w:val="font81"/>
    <w:basedOn w:val="32"/>
    <w:qFormat/>
    <w:uiPriority w:val="0"/>
    <w:rPr>
      <w:rFonts w:hint="default" w:ascii="Wingdings 2" w:hAnsi="Wingdings 2" w:eastAsia="Wingdings 2" w:cs="Wingdings 2"/>
      <w:color w:val="000000"/>
      <w:sz w:val="20"/>
      <w:szCs w:val="20"/>
      <w:u w:val="none"/>
    </w:rPr>
  </w:style>
  <w:style w:type="paragraph" w:customStyle="1" w:styleId="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84">
    <w:name w:val="Table Normal"/>
    <w:semiHidden/>
    <w:unhideWhenUsed/>
    <w:qFormat/>
    <w:uiPriority w:val="0"/>
    <w:tblPr>
      <w:tblCellMar>
        <w:top w:w="0" w:type="dxa"/>
        <w:left w:w="0" w:type="dxa"/>
        <w:bottom w:w="0" w:type="dxa"/>
        <w:right w:w="0" w:type="dxa"/>
      </w:tblCellMar>
    </w:tblPr>
  </w:style>
  <w:style w:type="paragraph" w:customStyle="1" w:styleId="85">
    <w:name w:val="Table Text"/>
    <w:basedOn w:val="1"/>
    <w:semiHidden/>
    <w:qFormat/>
    <w:uiPriority w:val="0"/>
    <w:rPr>
      <w:rFonts w:ascii="仿宋" w:hAnsi="仿宋" w:eastAsia="仿宋" w:cs="仿宋"/>
      <w:sz w:val="28"/>
      <w:szCs w:val="28"/>
      <w:lang w:val="en-US" w:eastAsia="en-US" w:bidi="ar-SA"/>
    </w:rPr>
  </w:style>
  <w:style w:type="character" w:customStyle="1" w:styleId="86">
    <w:name w:val="font01"/>
    <w:basedOn w:val="32"/>
    <w:qFormat/>
    <w:uiPriority w:val="0"/>
    <w:rPr>
      <w:rFonts w:hint="eastAsia" w:ascii="宋体" w:hAnsi="宋体" w:eastAsia="宋体" w:cs="宋体"/>
      <w:color w:val="000000"/>
      <w:sz w:val="24"/>
      <w:szCs w:val="24"/>
      <w:u w:val="none"/>
    </w:rPr>
  </w:style>
  <w:style w:type="paragraph" w:customStyle="1" w:styleId="87">
    <w:name w:val="标题 1 New"/>
    <w:qFormat/>
    <w:uiPriority w:val="0"/>
    <w:pPr>
      <w:keepNext/>
      <w:jc w:val="center"/>
      <w:outlineLvl w:val="0"/>
    </w:pPr>
    <w:rPr>
      <w:rFonts w:ascii="Times New Roman" w:hAnsi="Times New Roman" w:eastAsia="宋体" w:cs="Times New Roman"/>
      <w:kern w:val="0"/>
      <w:sz w:val="28"/>
      <w:szCs w:val="28"/>
      <w:lang w:val="en-US" w:eastAsia="zh-CN" w:bidi="ar-SA"/>
    </w:rPr>
  </w:style>
  <w:style w:type="character" w:customStyle="1" w:styleId="88">
    <w:name w:val="标题 1 Char1"/>
    <w:qFormat/>
    <w:uiPriority w:val="0"/>
    <w:rPr>
      <w:rFonts w:ascii="Times New Roman" w:hAnsi="Times New Roman" w:eastAsia="宋体" w:cs="Times New Roman"/>
      <w:sz w:val="28"/>
      <w:szCs w:val="28"/>
    </w:rPr>
  </w:style>
  <w:style w:type="paragraph" w:styleId="89">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90">
    <w:name w:val="日期_0"/>
    <w:basedOn w:val="91"/>
    <w:next w:val="92"/>
    <w:qFormat/>
    <w:uiPriority w:val="0"/>
    <w:pPr>
      <w:ind w:left="100" w:leftChars="2500"/>
    </w:pPr>
    <w:rPr>
      <w:rFonts w:ascii="Times New Roman" w:hAnsi="Times New Roman"/>
      <w:szCs w:val="24"/>
    </w:rPr>
  </w:style>
  <w:style w:type="paragraph" w:customStyle="1" w:styleId="9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12"/>
    <w:semiHidden/>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110</Pages>
  <Words>1052</Words>
  <Characters>1346</Characters>
  <Lines>1</Lines>
  <Paragraphs>1</Paragraphs>
  <TotalTime>14</TotalTime>
  <ScaleCrop>false</ScaleCrop>
  <LinksUpToDate>false</LinksUpToDate>
  <CharactersWithSpaces>1502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2025-12-01T07:58:00Z</cp:lastPrinted>
  <dcterms:modified xsi:type="dcterms:W3CDTF">2026-03-26T09:57:18Z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8A98060C2E0A47258A85B9D01F83EDD0_13</vt:lpwstr>
  </property>
  <property fmtid="{D5CDD505-2E9C-101B-9397-08002B2CF9AE}" pid="4" name="KSOTemplateDocerSaveRecord">
    <vt:lpwstr>eyJoZGlkIjoiMmI3OGJjOGFkOTA0ZWQ5ZDQ3Yjg1ODBmMWRkYjA4MDQiLCJ1c2VySWQiOiIyNjk4Mzk3MDEifQ==</vt:lpwstr>
  </property>
</Properties>
</file>