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801D6">
      <w:pPr>
        <w:rPr>
          <w:rFonts w:hint="eastAsia" w:ascii="仿宋" w:hAnsi="仿宋" w:eastAsia="仿宋" w:cs="仿宋"/>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87" w:charSpace="0"/>
        </w:sectPr>
      </w:pPr>
      <w:bookmarkStart w:id="0" w:name="_Toc19487"/>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-1229360</wp:posOffset>
            </wp:positionH>
            <wp:positionV relativeFrom="paragraph">
              <wp:posOffset>-900430</wp:posOffset>
            </wp:positionV>
            <wp:extent cx="7769225" cy="10739755"/>
            <wp:effectExtent l="0" t="0" r="317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r>
        <w:rPr>
          <w:rFonts w:hint="eastAsia" w:ascii="仿宋" w:hAnsi="仿宋" w:eastAsia="仿宋" w:cs="仿宋"/>
          <w:highlight w:val="none"/>
        </w:rPr>
        <w:drawing>
          <wp:anchor distT="0" distB="0" distL="114300" distR="114300" simplePos="0" relativeHeight="251666432" behindDoc="0" locked="0" layoutInCell="1" allowOverlap="1">
            <wp:simplePos x="0" y="0"/>
            <wp:positionH relativeFrom="column">
              <wp:posOffset>3321685</wp:posOffset>
            </wp:positionH>
            <wp:positionV relativeFrom="paragraph">
              <wp:posOffset>6373495</wp:posOffset>
            </wp:positionV>
            <wp:extent cx="1417320" cy="1615440"/>
            <wp:effectExtent l="0" t="0" r="11430" b="381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9"/>
                    <a:srcRect l="22113" t="27840" r="21666" b="27110"/>
                    <a:stretch>
                      <a:fillRect/>
                    </a:stretch>
                  </pic:blipFill>
                  <pic:spPr>
                    <a:xfrm>
                      <a:off x="0" y="0"/>
                      <a:ext cx="1417320" cy="1615440"/>
                    </a:xfrm>
                    <a:prstGeom prst="rect">
                      <a:avLst/>
                    </a:prstGeom>
                  </pic:spPr>
                </pic:pic>
              </a:graphicData>
            </a:graphic>
          </wp:anchor>
        </w:drawing>
      </w: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-86360</wp:posOffset>
                </wp:positionH>
                <wp:positionV relativeFrom="paragraph">
                  <wp:posOffset>6074410</wp:posOffset>
                </wp:positionV>
                <wp:extent cx="5464175" cy="24549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54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128BA">
                            <w:pPr>
                              <w:jc w:val="left"/>
                            </w:pPr>
                            <w:r>
                              <w:rPr>
                                <w:rFonts w:hint="eastAsia" w:ascii="微软雅黑" w:hAnsi="微软雅黑" w:eastAsia="微软雅黑" w:cs="微软雅黑"/>
                                <w:b/>
                                <w:bCs/>
                                <w:color w:val="237085"/>
                                <w:sz w:val="32"/>
                                <w:szCs w:val="32"/>
                              </w:rPr>
                              <w:t>采购人：乌鲁木齐市燕儿窝风景区管理中心（盖章）</w:t>
                            </w:r>
                          </w:p>
                          <w:p w14:paraId="6CA95644">
                            <w:pPr>
                              <w:jc w:val="left"/>
                              <w:rPr>
                                <w:rFonts w:ascii="微软雅黑" w:hAnsi="微软雅黑" w:eastAsia="微软雅黑" w:cs="微软雅黑"/>
                                <w:b/>
                                <w:bCs/>
                                <w:color w:val="237085"/>
                                <w:sz w:val="32"/>
                                <w:szCs w:val="32"/>
                              </w:rPr>
                            </w:pPr>
                          </w:p>
                          <w:p w14:paraId="7AB7CE0F">
                            <w:pPr>
                              <w:jc w:val="left"/>
                              <w:rPr>
                                <w:rFonts w:ascii="微软雅黑" w:hAnsi="微软雅黑" w:eastAsia="微软雅黑" w:cs="微软雅黑"/>
                                <w:b/>
                                <w:bCs/>
                                <w:color w:val="237085"/>
                                <w:sz w:val="32"/>
                                <w:szCs w:val="32"/>
                              </w:rPr>
                            </w:pPr>
                          </w:p>
                          <w:p w14:paraId="423D17A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31FAC698">
                            <w:pPr>
                              <w:jc w:val="center"/>
                              <w:rPr>
                                <w:rFonts w:ascii="微软雅黑" w:hAnsi="微软雅黑" w:eastAsia="微软雅黑" w:cs="微软雅黑"/>
                                <w:b/>
                                <w:bCs/>
                                <w:color w:val="237085"/>
                                <w:sz w:val="32"/>
                                <w:szCs w:val="32"/>
                              </w:rPr>
                            </w:pPr>
                          </w:p>
                          <w:p w14:paraId="7359F86F">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p w14:paraId="7815DA95">
                            <w:pPr>
                              <w:jc w:val="both"/>
                              <w:rPr>
                                <w:rFonts w:hint="eastAsia" w:ascii="微软雅黑" w:hAnsi="微软雅黑" w:eastAsia="微软雅黑" w:cs="微软雅黑"/>
                                <w:b/>
                                <w:bCs/>
                                <w:color w:val="237085"/>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78.3pt;height:193.3pt;width:430.25pt;z-index:251665408;mso-width-relative:page;mso-height-relative:page;" filled="f" stroked="f" coordsize="21600,21600" o:gfxdata="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Y810N3QAAAAwBAAAPAAAAAAAAAAEAIAAAACIA&#10;AABkcnMvZG93bnJldi54bWxQSwECFAAUAAAACACHTuJAae0zAT0CAABnBAAADgAAAAAAAAABACAA&#10;AAAsAQAAZHJzL2Uyb0RvYy54bWxQSwUGAAAAAAYABgBZAQAA2wUAAAAA&#10;">
                <v:fill on="f" focussize="0,0"/>
                <v:stroke on="f" weight="0.5pt"/>
                <v:imagedata o:title=""/>
                <o:lock v:ext="edit" aspectratio="f"/>
                <v:textbox>
                  <w:txbxContent>
                    <w:p w14:paraId="255128BA">
                      <w:pPr>
                        <w:jc w:val="left"/>
                      </w:pPr>
                      <w:r>
                        <w:rPr>
                          <w:rFonts w:hint="eastAsia" w:ascii="微软雅黑" w:hAnsi="微软雅黑" w:eastAsia="微软雅黑" w:cs="微软雅黑"/>
                          <w:b/>
                          <w:bCs/>
                          <w:color w:val="237085"/>
                          <w:sz w:val="32"/>
                          <w:szCs w:val="32"/>
                        </w:rPr>
                        <w:t>采购人：乌鲁木齐市燕儿窝风景区管理中心（盖章）</w:t>
                      </w:r>
                    </w:p>
                    <w:p w14:paraId="6CA95644">
                      <w:pPr>
                        <w:jc w:val="left"/>
                        <w:rPr>
                          <w:rFonts w:ascii="微软雅黑" w:hAnsi="微软雅黑" w:eastAsia="微软雅黑" w:cs="微软雅黑"/>
                          <w:b/>
                          <w:bCs/>
                          <w:color w:val="237085"/>
                          <w:sz w:val="32"/>
                          <w:szCs w:val="32"/>
                        </w:rPr>
                      </w:pPr>
                    </w:p>
                    <w:p w14:paraId="7AB7CE0F">
                      <w:pPr>
                        <w:jc w:val="left"/>
                        <w:rPr>
                          <w:rFonts w:ascii="微软雅黑" w:hAnsi="微软雅黑" w:eastAsia="微软雅黑" w:cs="微软雅黑"/>
                          <w:b/>
                          <w:bCs/>
                          <w:color w:val="237085"/>
                          <w:sz w:val="32"/>
                          <w:szCs w:val="32"/>
                        </w:rPr>
                      </w:pPr>
                    </w:p>
                    <w:p w14:paraId="423D17A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31FAC698">
                      <w:pPr>
                        <w:jc w:val="center"/>
                        <w:rPr>
                          <w:rFonts w:ascii="微软雅黑" w:hAnsi="微软雅黑" w:eastAsia="微软雅黑" w:cs="微软雅黑"/>
                          <w:b/>
                          <w:bCs/>
                          <w:color w:val="237085"/>
                          <w:sz w:val="32"/>
                          <w:szCs w:val="32"/>
                        </w:rPr>
                      </w:pPr>
                    </w:p>
                    <w:p w14:paraId="7359F86F">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p w14:paraId="7815DA95">
                      <w:pPr>
                        <w:jc w:val="both"/>
                        <w:rPr>
                          <w:rFonts w:hint="eastAsia" w:ascii="微软雅黑" w:hAnsi="微软雅黑" w:eastAsia="微软雅黑" w:cs="微软雅黑"/>
                          <w:b/>
                          <w:bCs/>
                          <w:color w:val="237085"/>
                          <w:sz w:val="32"/>
                          <w:szCs w:val="32"/>
                          <w:lang w:val="en-US" w:eastAsia="zh-CN"/>
                        </w:rPr>
                      </w:pP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50398">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乌鲁木齐市燕儿窝风景区管理中心2026年市政府内外氛围营造项目（三次）</w:t>
                            </w:r>
                          </w:p>
                          <w:p w14:paraId="2590C4B2">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（项目编号：SJX-2026-065-03）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3360;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2AE50398">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乌鲁木齐市燕儿窝风景区管理中心2026年市政府内外氛围营造项目（三次）</w:t>
                      </w:r>
                    </w:p>
                    <w:p w14:paraId="2590C4B2">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（项目编号：SJX-2026-065-03）</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1344930</wp:posOffset>
                </wp:positionH>
                <wp:positionV relativeFrom="paragraph">
                  <wp:posOffset>3923665</wp:posOffset>
                </wp:positionV>
                <wp:extent cx="2648585" cy="99695"/>
                <wp:effectExtent l="0" t="0" r="18415" b="14605"/>
                <wp:wrapNone/>
                <wp:docPr id="4" name="矩形 4"/>
                <wp:cNvGraphicFramePr/>
                <a:graphic xmlns:a="http://schemas.openxmlformats.org/drawingml/2006/main">
                  <a:graphicData uri="http://schemas.microsoft.com/office/word/2010/wordprocessingShape">
                    <wps:wsp>
                      <wps:cNvSpPr/>
                      <wps:spPr>
                        <a:xfrm>
                          <a:off x="3005455" y="495427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9pt;margin-top:308.95pt;height:7.85pt;width:208.55pt;z-index:251662336;v-text-anchor:middle;mso-width-relative:page;mso-height-relative:page;" fillcolor="#2E93B0" filled="t" stroked="f" coordsize="21600,21600" o:gfxdata="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pNh0NgAAAALAQAADwAAAAAAAAABACAAAAAiAAAA&#10;ZHJzL2Rvd25yZXYueG1sUEsBAhQAFAAAAAgAh07iQCbb59p5AgAA1gQAAA4AAAAAAAAAAQAgAAAA&#10;JwEAAGRycy9lMm9Eb2MueG1sUEsFBgAAAAAGAAYAWQEAABI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2668905</wp:posOffset>
                </wp:positionV>
                <wp:extent cx="7130415" cy="12553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1255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612A8">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b/>
                                <w:bCs/>
                                <w:color w:val="2E93B0"/>
                                <w:sz w:val="72"/>
                                <w:szCs w:val="72"/>
                                <w:lang w:val="en-US" w:eastAsia="zh-CN"/>
                              </w:rPr>
                            </w:pPr>
                          </w:p>
                          <w:p w14:paraId="2BDCB0DC">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竞争性谈判采购文件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210.15pt;height:98.85pt;width:561.45pt;z-index:251664384;mso-width-relative:page;mso-height-relative:page;" filled="f" stroked="f" coordsize="21600,21600" o:gfxdata="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swI+3AAAAAwBAAAPAAAAAAAAAAEAIAAAACIA&#10;AABkcnMvZG93bnJldi54bWxQSwECFAAUAAAACACHTuJAkrJl9j4CAABpBAAADgAAAAAAAAABACAA&#10;AAArAQAAZHJzL2Uyb0RvYy54bWxQSwUGAAAAAAYABgBZAQAA2wUAAAAA&#10;">
                <v:fill on="f" focussize="0,0"/>
                <v:stroke on="f" weight="0.5pt"/>
                <v:imagedata o:title=""/>
                <o:lock v:ext="edit" aspectratio="f"/>
                <v:textbox>
                  <w:txbxContent>
                    <w:p w14:paraId="7D0612A8">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b/>
                          <w:bCs/>
                          <w:color w:val="2E93B0"/>
                          <w:sz w:val="72"/>
                          <w:szCs w:val="72"/>
                          <w:lang w:val="en-US" w:eastAsia="zh-CN"/>
                        </w:rPr>
                      </w:pPr>
                    </w:p>
                    <w:p w14:paraId="2BDCB0DC">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竞争性谈判采购文件</w:t>
                      </w:r>
                    </w:p>
                  </w:txbxContent>
                </v:textbox>
              </v:shape>
            </w:pict>
          </mc:Fallback>
        </mc:AlternateContent>
      </w:r>
    </w:p>
    <w:bookmarkEnd w:id="0"/>
    <w:sdt>
      <w:sdtPr>
        <w:rPr>
          <w:rFonts w:hint="eastAsia" w:ascii="仿宋" w:hAnsi="仿宋" w:eastAsia="仿宋" w:cs="仿宋"/>
          <w:kern w:val="2"/>
          <w:sz w:val="21"/>
          <w:szCs w:val="24"/>
          <w:highlight w:val="none"/>
          <w:lang w:val="en-US" w:eastAsia="zh-CN" w:bidi="ar-SA"/>
        </w:rPr>
        <w:id w:val="147454635"/>
        <w15:color w:val="DBDBDB"/>
        <w:docPartObj>
          <w:docPartGallery w:val="Table of Contents"/>
          <w:docPartUnique/>
        </w:docPartObj>
      </w:sdtPr>
      <w:sdtEndPr>
        <w:rPr>
          <w:rFonts w:hint="eastAsia" w:ascii="仿宋" w:hAnsi="仿宋" w:eastAsia="仿宋" w:cs="仿宋"/>
          <w:b/>
          <w:kern w:val="0"/>
          <w:sz w:val="21"/>
          <w:szCs w:val="24"/>
          <w:highlight w:val="none"/>
          <w:lang w:val="en-US" w:eastAsia="zh-CN" w:bidi="ar-SA"/>
        </w:rPr>
      </w:sdtEndPr>
      <w:sdtContent>
        <w:p w14:paraId="6F29FEF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 w:hAnsi="仿宋" w:eastAsia="仿宋" w:cs="仿宋"/>
              <w:highlight w:val="none"/>
            </w:rPr>
          </w:pPr>
          <w:r>
            <w:rPr>
              <w:rFonts w:hint="eastAsia" w:ascii="仿宋" w:hAnsi="仿宋" w:eastAsia="仿宋" w:cs="仿宋"/>
              <w:b/>
              <w:bCs/>
              <w:sz w:val="32"/>
              <w:szCs w:val="32"/>
              <w:highlight w:val="none"/>
            </w:rPr>
            <w:t>目录</w:t>
          </w:r>
        </w:p>
        <w:p w14:paraId="538A829D">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TOC \o "1-2" \h \u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_Toc21023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第一章 竞争性谈判采购公告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_Toc21023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1C4B91A9">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_Toc15067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rPr>
            <w:t>一、 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_Toc15067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2E04F465">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_Toc8955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rPr>
            <w:t>二、 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_Toc8955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6CA9EEF2">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_Toc3345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三、 获取采购文件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_Toc3345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75F7038B">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_Toc2849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四、 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_Toc2849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571903A5">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_Toc12527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rPr>
            <w:t xml:space="preserve">五、 </w:t>
          </w:r>
          <w:r>
            <w:rPr>
              <w:rFonts w:hint="eastAsia" w:ascii="仿宋" w:hAnsi="仿宋" w:eastAsia="仿宋" w:cs="仿宋"/>
              <w:bCs/>
              <w:szCs w:val="24"/>
              <w:highlight w:val="none"/>
              <w:lang w:val="en-US" w:eastAsia="zh-CN"/>
            </w:rPr>
            <w:t>响应文件开启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_Toc12527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434F87F8">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_Toc8376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六、 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_Toc8376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67E8184A">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_Toc10801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七、 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_Toc10801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6322FFA0">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_Toc19963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rPr>
            <w:t>八、 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_Toc19963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1C8AD53D">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_Toc488 </w:instrText>
          </w:r>
          <w:r>
            <w:rPr>
              <w:rFonts w:hint="eastAsia" w:ascii="仿宋" w:hAnsi="仿宋" w:eastAsia="仿宋" w:cs="仿宋"/>
              <w:highlight w:val="none"/>
              <w:lang w:val="en-US" w:eastAsia="zh-CN"/>
            </w:rPr>
            <w:fldChar w:fldCharType="separate"/>
          </w:r>
          <w:r>
            <w:rPr>
              <w:rFonts w:hint="eastAsia" w:ascii="仿宋" w:hAnsi="仿宋" w:eastAsia="仿宋" w:cs="仿宋"/>
              <w:szCs w:val="32"/>
              <w:highlight w:val="none"/>
              <w:lang w:val="en-US" w:eastAsia="zh-CN"/>
            </w:rPr>
            <w:t xml:space="preserve">第二章 </w:t>
          </w:r>
          <w:r>
            <w:rPr>
              <w:rFonts w:hint="eastAsia" w:ascii="仿宋" w:hAnsi="仿宋" w:eastAsia="仿宋" w:cs="仿宋"/>
              <w:highlight w:val="none"/>
              <w:lang w:val="en-US" w:eastAsia="zh-CN"/>
            </w:rPr>
            <w:t>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_Toc488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1767CFA1">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_Toc10355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第三章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_Toc10355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0AEB4F3B">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_Toc19791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rPr>
            <w:t>一、 说 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_Toc19791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3666AAB6">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_Toc14068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二、 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_Toc14068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0B9771EB">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_Toc19528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三、 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_Toc19528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73DDAF62">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_Toc17590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四、 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_Toc17590 \h </w:instrText>
          </w:r>
          <w:r>
            <w:rPr>
              <w:rFonts w:hint="eastAsia" w:ascii="仿宋" w:hAnsi="仿宋" w:eastAsia="仿宋" w:cs="仿宋"/>
              <w:highlight w:val="none"/>
            </w:rPr>
            <w:fldChar w:fldCharType="separate"/>
          </w:r>
          <w:r>
            <w:rPr>
              <w:rFonts w:hint="eastAsia" w:ascii="仿宋" w:hAnsi="仿宋" w:eastAsia="仿宋" w:cs="仿宋"/>
              <w:highlight w:val="none"/>
            </w:rPr>
            <w:t>20</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60734AE9">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_Toc25758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五、 开标及评标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_Toc25758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3B980BC4">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_Toc4605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六、 确定成交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_Toc4605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7F01B4E3">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_Toc10374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第四章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_Toc10374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28FD1A55">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_Toc30506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_Toc30506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783802D8">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_Toc18931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第六章 评标程序、评标方法和评标标准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_Toc18931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326EC15F">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_Toc29997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1. 评审方法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_Toc29997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15641C7C">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_Toc10676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2. 评审原则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_Toc10676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0CDB2FB6">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_Toc18094 </w:instrText>
          </w:r>
          <w:r>
            <w:rPr>
              <w:rFonts w:hint="eastAsia" w:ascii="仿宋" w:hAnsi="仿宋" w:eastAsia="仿宋" w:cs="仿宋"/>
              <w:highlight w:val="none"/>
              <w:lang w:val="en-US" w:eastAsia="zh-CN"/>
            </w:rPr>
            <w:fldChar w:fldCharType="separate"/>
          </w:r>
          <w:r>
            <w:rPr>
              <w:rFonts w:hint="eastAsia" w:ascii="仿宋" w:hAnsi="仿宋" w:eastAsia="仿宋" w:cs="仿宋"/>
              <w:bCs/>
              <w:szCs w:val="24"/>
              <w:highlight w:val="none"/>
              <w:lang w:val="en-US" w:eastAsia="zh-CN"/>
            </w:rPr>
            <w:t>3. 资格审查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_Toc18094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2F555758">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_Toc26755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bCs/>
              <w:szCs w:val="24"/>
              <w:highlight w:val="none"/>
              <w:lang w:val="en-US" w:eastAsia="zh-CN"/>
            </w:rPr>
            <w:t>符合性审查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_Toc26755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005BFBCC">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_Toc24429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5. 响应文件澄清</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_Toc24429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4C4875CB">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_Toc20831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6. 价格修正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_Toc20831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44579E91">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_Toc29606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9. 评审标准中应考虑下列因素：</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_Toc29606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3A9B70DB">
          <w:pPr>
            <w:pStyle w:val="24"/>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_Toc28653 </w:instrText>
          </w:r>
          <w:r>
            <w:rPr>
              <w:rFonts w:hint="eastAsia" w:ascii="仿宋" w:hAnsi="仿宋" w:eastAsia="仿宋" w:cs="仿宋"/>
              <w:highlight w:val="none"/>
              <w:lang w:val="en-US" w:eastAsia="zh-CN"/>
            </w:rPr>
            <w:fldChar w:fldCharType="separate"/>
          </w:r>
          <w:r>
            <w:rPr>
              <w:rFonts w:hint="eastAsia" w:ascii="仿宋" w:hAnsi="仿宋" w:eastAsia="仿宋" w:cs="仿宋"/>
              <w:bCs/>
              <w:highlight w:val="none"/>
              <w:lang w:val="en-US" w:eastAsia="zh-CN"/>
            </w:rPr>
            <w:t>10. 确定中标候选人名单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_Toc28653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35560AEF">
          <w:pPr>
            <w:pStyle w:val="2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_Toc12149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第七章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_Toc12149 \h </w:instrText>
          </w:r>
          <w:r>
            <w:rPr>
              <w:rFonts w:hint="eastAsia" w:ascii="仿宋" w:hAnsi="仿宋" w:eastAsia="仿宋" w:cs="仿宋"/>
              <w:highlight w:val="none"/>
            </w:rPr>
            <w:fldChar w:fldCharType="separate"/>
          </w:r>
          <w:r>
            <w:rPr>
              <w:rFonts w:hint="eastAsia" w:ascii="仿宋" w:hAnsi="仿宋" w:eastAsia="仿宋" w:cs="仿宋"/>
              <w:highlight w:val="none"/>
            </w:rPr>
            <w:t>37</w:t>
          </w:r>
          <w:r>
            <w:rPr>
              <w:rFonts w:hint="eastAsia" w:ascii="仿宋" w:hAnsi="仿宋" w:eastAsia="仿宋" w:cs="仿宋"/>
              <w:highlight w:val="none"/>
            </w:rPr>
            <w:fldChar w:fldCharType="end"/>
          </w:r>
          <w:r>
            <w:rPr>
              <w:rFonts w:hint="eastAsia" w:ascii="仿宋" w:hAnsi="仿宋" w:eastAsia="仿宋" w:cs="仿宋"/>
              <w:highlight w:val="none"/>
              <w:lang w:val="en-US" w:eastAsia="zh-CN"/>
            </w:rPr>
            <w:fldChar w:fldCharType="end"/>
          </w:r>
        </w:p>
        <w:p w14:paraId="6D189C1B">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fldChar w:fldCharType="end"/>
          </w:r>
        </w:p>
      </w:sdtContent>
    </w:sdt>
    <w:p w14:paraId="4D456F62">
      <w:pPr>
        <w:pStyle w:val="23"/>
        <w:rPr>
          <w:rFonts w:hint="eastAsia" w:ascii="仿宋" w:hAnsi="仿宋" w:eastAsia="仿宋" w:cs="仿宋"/>
          <w:highlight w:val="none"/>
          <w:lang w:val="en-US" w:eastAsia="zh-CN"/>
        </w:rPr>
      </w:pPr>
    </w:p>
    <w:p w14:paraId="7F9E81C1">
      <w:pPr>
        <w:rPr>
          <w:rFonts w:hint="eastAsia" w:ascii="仿宋" w:hAnsi="仿宋" w:eastAsia="仿宋" w:cs="仿宋"/>
          <w:highlight w:val="none"/>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87" w:charSpace="0"/>
        </w:sectPr>
      </w:pPr>
    </w:p>
    <w:p w14:paraId="479A7055">
      <w:pPr>
        <w:pStyle w:val="2"/>
        <w:numPr>
          <w:ilvl w:val="0"/>
          <w:numId w:val="1"/>
        </w:numPr>
        <w:bidi w:val="0"/>
        <w:jc w:val="center"/>
        <w:rPr>
          <w:rFonts w:hint="eastAsia" w:ascii="仿宋" w:hAnsi="仿宋" w:eastAsia="仿宋" w:cs="仿宋"/>
          <w:sz w:val="32"/>
          <w:szCs w:val="32"/>
          <w:highlight w:val="none"/>
          <w:lang w:val="en-US" w:eastAsia="zh-CN"/>
        </w:rPr>
      </w:pPr>
      <w:bookmarkStart w:id="1" w:name="_Toc21023"/>
      <w:r>
        <w:rPr>
          <w:rFonts w:hint="eastAsia" w:ascii="仿宋" w:hAnsi="仿宋" w:eastAsia="仿宋" w:cs="仿宋"/>
          <w:sz w:val="32"/>
          <w:szCs w:val="32"/>
          <w:highlight w:val="none"/>
          <w:lang w:val="en-US" w:eastAsia="zh-CN"/>
        </w:rPr>
        <w:t>竞争性谈判采购公告</w:t>
      </w:r>
      <w:bookmarkEnd w:id="1"/>
    </w:p>
    <w:p w14:paraId="6F3ECF0A">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both"/>
        <w:textAlignment w:val="auto"/>
        <w:outlineLvl w:val="1"/>
        <w:rPr>
          <w:rFonts w:hint="eastAsia" w:ascii="仿宋" w:hAnsi="仿宋" w:eastAsia="仿宋" w:cs="仿宋"/>
          <w:b/>
          <w:bCs/>
          <w:sz w:val="24"/>
          <w:szCs w:val="24"/>
          <w:highlight w:val="none"/>
        </w:rPr>
      </w:pPr>
      <w:bookmarkStart w:id="2" w:name="_Toc4529"/>
      <w:bookmarkStart w:id="3" w:name="_Toc15067"/>
      <w:r>
        <w:rPr>
          <w:rFonts w:hint="eastAsia" w:ascii="仿宋" w:hAnsi="仿宋" w:eastAsia="仿宋" w:cs="仿宋"/>
          <w:b/>
          <w:bCs/>
          <w:sz w:val="24"/>
          <w:szCs w:val="24"/>
          <w:highlight w:val="none"/>
        </w:rPr>
        <w:t>项目基本情况</w:t>
      </w:r>
      <w:bookmarkEnd w:id="2"/>
      <w:bookmarkEnd w:id="3"/>
    </w:p>
    <w:p w14:paraId="34691B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SJX-2026-065-0</w:t>
      </w:r>
      <w:r>
        <w:rPr>
          <w:rFonts w:hint="eastAsia" w:ascii="仿宋" w:hAnsi="仿宋" w:eastAsia="仿宋" w:cs="仿宋"/>
          <w:sz w:val="24"/>
          <w:szCs w:val="24"/>
          <w:highlight w:val="none"/>
          <w:lang w:val="en-US" w:eastAsia="zh-CN"/>
        </w:rPr>
        <w:t>3</w:t>
      </w:r>
    </w:p>
    <w:p w14:paraId="451722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乌鲁木齐市燕儿窝风景区管理中心2026年市政府内外氛围营造项目（三次）</w:t>
      </w:r>
    </w:p>
    <w:p w14:paraId="6BC93A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竞争性谈判</w:t>
      </w:r>
    </w:p>
    <w:p w14:paraId="4DE734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800000</w:t>
      </w:r>
    </w:p>
    <w:p w14:paraId="2BC70F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800000</w:t>
      </w:r>
    </w:p>
    <w:p w14:paraId="263446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5F471E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1FD542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eastAsia="zh-CN"/>
        </w:rPr>
        <w:t>乌鲁木齐市燕儿窝风景区管理中心2026年市政府内外氛围营造项目（三次）</w:t>
      </w:r>
    </w:p>
    <w:p w14:paraId="02F952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10C9AF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800000</w:t>
      </w:r>
    </w:p>
    <w:p w14:paraId="171788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lang w:eastAsia="zh-CN"/>
        </w:rPr>
        <w:t>乌鲁木齐市燕儿窝风景区管理中心</w:t>
      </w:r>
      <w:r>
        <w:rPr>
          <w:rFonts w:hint="eastAsia" w:ascii="仿宋" w:hAnsi="仿宋" w:eastAsia="仿宋" w:cs="仿宋"/>
          <w:sz w:val="24"/>
          <w:szCs w:val="24"/>
          <w:highlight w:val="none"/>
          <w:lang w:val="en-US" w:eastAsia="zh-CN"/>
        </w:rPr>
        <w:t>2026年市政府内外氛围营造采购花卉绿植，具体详见采购需求。</w:t>
      </w:r>
    </w:p>
    <w:p w14:paraId="2BDE5D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76307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合同履约期限：根据甲方要求在一年内供完。</w:t>
      </w:r>
    </w:p>
    <w:p w14:paraId="7E4DC4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1244099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8955"/>
      <w:bookmarkStart w:id="5" w:name="_Toc22225"/>
      <w:r>
        <w:rPr>
          <w:rFonts w:hint="eastAsia" w:ascii="仿宋" w:hAnsi="仿宋" w:eastAsia="仿宋" w:cs="仿宋"/>
          <w:b/>
          <w:bCs/>
          <w:sz w:val="24"/>
          <w:szCs w:val="24"/>
          <w:highlight w:val="none"/>
        </w:rPr>
        <w:t>申请人的资格要求：</w:t>
      </w:r>
      <w:bookmarkEnd w:id="4"/>
      <w:bookmarkEnd w:id="5"/>
    </w:p>
    <w:p w14:paraId="515727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671CF3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w:t>
      </w:r>
      <w:r>
        <w:rPr>
          <w:rFonts w:hint="eastAsia" w:ascii="仿宋" w:hAnsi="仿宋" w:eastAsia="仿宋" w:cs="仿宋"/>
          <w:sz w:val="24"/>
          <w:highlight w:val="none"/>
        </w:rPr>
        <w:t>本项目专门面向</w:t>
      </w:r>
      <w:r>
        <w:rPr>
          <w:rFonts w:hint="eastAsia" w:ascii="仿宋" w:hAnsi="仿宋" w:eastAsia="仿宋" w:cs="仿宋"/>
          <w:sz w:val="24"/>
          <w:highlight w:val="none"/>
          <w:lang w:val="en-US" w:eastAsia="zh-CN"/>
        </w:rPr>
        <w:t>小微</w:t>
      </w:r>
      <w:r>
        <w:rPr>
          <w:rFonts w:hint="eastAsia" w:ascii="仿宋" w:hAnsi="仿宋" w:eastAsia="仿宋" w:cs="仿宋"/>
          <w:sz w:val="24"/>
          <w:highlight w:val="none"/>
        </w:rPr>
        <w:t>企业，货物的制造商应</w:t>
      </w:r>
      <w:r>
        <w:rPr>
          <w:rFonts w:hint="eastAsia" w:ascii="仿宋" w:hAnsi="仿宋" w:eastAsia="仿宋" w:cs="仿宋_GB2312"/>
          <w:sz w:val="24"/>
          <w:highlight w:val="none"/>
        </w:rPr>
        <w:t>符合《政府采购促进中小企业发展管理办法》(财库〔2020〕46号) 第四条规定的情形，且应当提供《政府采购促进中小企业发展管理办法》(财库〔2020〕46号)规定的《中小企业声明函》。</w:t>
      </w:r>
    </w:p>
    <w:p w14:paraId="054B6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w:t>
      </w:r>
    </w:p>
    <w:p w14:paraId="056FFEE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6" w:name="_Toc21064"/>
      <w:bookmarkStart w:id="7" w:name="_Toc3345"/>
      <w:r>
        <w:rPr>
          <w:rFonts w:hint="eastAsia" w:ascii="仿宋" w:hAnsi="仿宋" w:eastAsia="仿宋" w:cs="仿宋"/>
          <w:b/>
          <w:bCs/>
          <w:sz w:val="24"/>
          <w:szCs w:val="24"/>
          <w:highlight w:val="none"/>
          <w:lang w:val="en-US" w:eastAsia="zh-CN"/>
        </w:rPr>
        <w:t>获取采购文件</w:t>
      </w:r>
      <w:bookmarkEnd w:id="6"/>
      <w:bookmarkEnd w:id="7"/>
    </w:p>
    <w:p w14:paraId="32C6DC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时间：2026年04月17日至2026年04月22日，每天上午00:00至14:00，下午14:00至23:59（北京时间，法定节假日除外）</w:t>
      </w:r>
    </w:p>
    <w:p w14:paraId="55AEC4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5EF885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方式：投标人登录政采云平台https://www.zcygov.cn/在线申请获取采购文件（进入“项目采购”应用，在获取采购文件菜单中选择项目，申请获取采购文件）本次招标不提供纸质版招标文件。</w:t>
      </w:r>
    </w:p>
    <w:p w14:paraId="437BCC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7A5F36E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2849"/>
      <w:bookmarkStart w:id="9" w:name="_Toc31756"/>
      <w:r>
        <w:rPr>
          <w:rFonts w:hint="eastAsia" w:ascii="仿宋" w:hAnsi="仿宋" w:eastAsia="仿宋" w:cs="仿宋"/>
          <w:b/>
          <w:bCs/>
          <w:sz w:val="24"/>
          <w:szCs w:val="24"/>
          <w:highlight w:val="none"/>
          <w:lang w:val="en-US" w:eastAsia="zh-CN"/>
        </w:rPr>
        <w:t>响应文件提交</w:t>
      </w:r>
      <w:bookmarkEnd w:id="8"/>
      <w:bookmarkEnd w:id="9"/>
      <w:r>
        <w:rPr>
          <w:rFonts w:hint="eastAsia" w:ascii="仿宋" w:hAnsi="仿宋" w:eastAsia="仿宋" w:cs="仿宋"/>
          <w:b/>
          <w:bCs/>
          <w:sz w:val="24"/>
          <w:szCs w:val="24"/>
          <w:highlight w:val="none"/>
          <w:lang w:val="en-US" w:eastAsia="zh-CN"/>
        </w:rPr>
        <w:t xml:space="preserve"> </w:t>
      </w:r>
    </w:p>
    <w:p w14:paraId="3D822E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截止时间：2026年04月23日16:00（北京时间）</w:t>
      </w:r>
    </w:p>
    <w:p w14:paraId="0AF753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1B50D75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10" w:name="_Toc29746"/>
      <w:bookmarkStart w:id="11" w:name="_Toc12527"/>
      <w:r>
        <w:rPr>
          <w:rFonts w:hint="eastAsia" w:ascii="仿宋" w:hAnsi="仿宋" w:eastAsia="仿宋" w:cs="仿宋"/>
          <w:b/>
          <w:bCs/>
          <w:sz w:val="24"/>
          <w:szCs w:val="24"/>
          <w:highlight w:val="none"/>
          <w:lang w:val="en-US" w:eastAsia="zh-CN"/>
        </w:rPr>
        <w:t>响应文件开启</w:t>
      </w:r>
      <w:bookmarkEnd w:id="10"/>
      <w:bookmarkEnd w:id="11"/>
    </w:p>
    <w:p w14:paraId="5B4EBA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开标时间：2026年04月23日16:00（北京时间）</w:t>
      </w:r>
    </w:p>
    <w:p w14:paraId="3F233A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20E6C80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12" w:name="_Toc8376"/>
      <w:bookmarkStart w:id="13" w:name="_Toc3480"/>
      <w:r>
        <w:rPr>
          <w:rFonts w:hint="eastAsia" w:ascii="仿宋" w:hAnsi="仿宋" w:eastAsia="仿宋" w:cs="仿宋"/>
          <w:b/>
          <w:bCs/>
          <w:sz w:val="24"/>
          <w:szCs w:val="24"/>
          <w:highlight w:val="none"/>
          <w:lang w:val="en-US" w:eastAsia="zh-CN"/>
        </w:rPr>
        <w:t>公告期限</w:t>
      </w:r>
      <w:bookmarkEnd w:id="12"/>
      <w:bookmarkEnd w:id="13"/>
      <w:r>
        <w:rPr>
          <w:rFonts w:hint="eastAsia" w:ascii="仿宋" w:hAnsi="仿宋" w:eastAsia="仿宋" w:cs="仿宋"/>
          <w:b/>
          <w:bCs/>
          <w:sz w:val="24"/>
          <w:szCs w:val="24"/>
          <w:highlight w:val="none"/>
          <w:lang w:val="en-US" w:eastAsia="zh-CN"/>
        </w:rPr>
        <w:t xml:space="preserve"> </w:t>
      </w:r>
    </w:p>
    <w:p w14:paraId="34AA9F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28C8D60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14" w:name="_Toc10801"/>
      <w:bookmarkStart w:id="15" w:name="_Toc21840"/>
      <w:r>
        <w:rPr>
          <w:rFonts w:hint="eastAsia" w:ascii="仿宋" w:hAnsi="仿宋" w:eastAsia="仿宋" w:cs="仿宋"/>
          <w:b/>
          <w:bCs/>
          <w:sz w:val="24"/>
          <w:szCs w:val="24"/>
          <w:highlight w:val="none"/>
          <w:lang w:val="en-US" w:eastAsia="zh-CN"/>
        </w:rPr>
        <w:t>其他补充事宜</w:t>
      </w:r>
      <w:bookmarkEnd w:id="14"/>
      <w:bookmarkEnd w:id="15"/>
      <w:r>
        <w:rPr>
          <w:rFonts w:hint="eastAsia" w:ascii="仿宋" w:hAnsi="仿宋" w:eastAsia="仿宋" w:cs="仿宋"/>
          <w:b/>
          <w:bCs/>
          <w:sz w:val="24"/>
          <w:szCs w:val="24"/>
          <w:highlight w:val="none"/>
          <w:lang w:val="en-US" w:eastAsia="zh-CN"/>
        </w:rPr>
        <w:t xml:space="preserve"> </w:t>
      </w:r>
    </w:p>
    <w:p w14:paraId="5583C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1、关于本项目所有公告、公示在新疆政府采购网（http://www.ccgp-xinjiang.gov.cn）发布。</w:t>
      </w:r>
    </w:p>
    <w:p w14:paraId="2E5962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2、请供应商随时关注本项目的澄清、答疑、变更事项。</w:t>
      </w:r>
    </w:p>
    <w:p w14:paraId="177108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3、本项目实行电子招投标，供应商须登录政采云平台申请获取招标文件，并通过政采云电子投标客户端制作响应文件，同时自行承担与投标有关的一切费用。</w:t>
      </w:r>
    </w:p>
    <w:p w14:paraId="034CA5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21C021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5C8C30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16" w:name="_Toc13852"/>
      <w:bookmarkStart w:id="17" w:name="_Toc19963"/>
      <w:r>
        <w:rPr>
          <w:rFonts w:hint="eastAsia" w:ascii="仿宋" w:hAnsi="仿宋" w:eastAsia="仿宋" w:cs="仿宋"/>
          <w:b/>
          <w:bCs/>
          <w:sz w:val="24"/>
          <w:szCs w:val="24"/>
          <w:highlight w:val="none"/>
        </w:rPr>
        <w:t>对本次采购提出询问，请按以下方式联系</w:t>
      </w:r>
      <w:bookmarkEnd w:id="16"/>
      <w:bookmarkEnd w:id="17"/>
    </w:p>
    <w:p w14:paraId="006727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28A5E8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称：乌鲁木齐市燕儿窝风景区管理中心</w:t>
      </w:r>
    </w:p>
    <w:p w14:paraId="753B09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址：乌鲁木齐市燕儿窝路811号</w:t>
      </w:r>
    </w:p>
    <w:p w14:paraId="6EDAD2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联系方式：13999276579</w:t>
      </w:r>
    </w:p>
    <w:p w14:paraId="56ACCB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2DC1CD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08B3EA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地址：乌鲁木齐市黄山街81号一品•九点阳光B座20楼</w:t>
      </w:r>
    </w:p>
    <w:p w14:paraId="650270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4D8B55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48300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项目联系人：李春雪、李航、杜萍、范艳娥</w:t>
      </w:r>
    </w:p>
    <w:p w14:paraId="453C28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0F8B9086">
      <w:pPr>
        <w:pStyle w:val="16"/>
        <w:rPr>
          <w:rFonts w:hint="eastAsia" w:ascii="仿宋" w:hAnsi="仿宋" w:eastAsia="仿宋" w:cs="仿宋"/>
          <w:highlight w:val="none"/>
          <w:lang w:val="en-US" w:eastAsia="zh-CN"/>
        </w:rPr>
      </w:pPr>
    </w:p>
    <w:p w14:paraId="1368F001">
      <w:pPr>
        <w:pStyle w:val="26"/>
        <w:rPr>
          <w:rFonts w:hint="eastAsia" w:ascii="仿宋" w:hAnsi="仿宋" w:eastAsia="仿宋" w:cs="仿宋"/>
          <w:highlight w:val="none"/>
          <w:lang w:val="en-US" w:eastAsia="zh-CN"/>
        </w:rPr>
      </w:pPr>
    </w:p>
    <w:p w14:paraId="0E7D8C4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4E946F1">
      <w:pPr>
        <w:pStyle w:val="2"/>
        <w:numPr>
          <w:ilvl w:val="0"/>
          <w:numId w:val="3"/>
        </w:numPr>
        <w:bidi w:val="0"/>
        <w:jc w:val="center"/>
        <w:rPr>
          <w:rFonts w:hint="eastAsia" w:ascii="仿宋" w:hAnsi="仿宋" w:eastAsia="仿宋" w:cs="仿宋"/>
          <w:sz w:val="32"/>
          <w:szCs w:val="32"/>
          <w:highlight w:val="none"/>
          <w:lang w:val="en-US" w:eastAsia="zh-CN"/>
        </w:rPr>
      </w:pPr>
      <w:bookmarkStart w:id="18" w:name="_Toc20682"/>
      <w:bookmarkStart w:id="19" w:name="_Toc488"/>
      <w:r>
        <w:rPr>
          <w:rFonts w:hint="eastAsia" w:ascii="仿宋" w:hAnsi="仿宋" w:eastAsia="仿宋" w:cs="仿宋"/>
          <w:sz w:val="32"/>
          <w:szCs w:val="32"/>
          <w:highlight w:val="none"/>
          <w:lang w:val="en-US" w:eastAsia="zh-CN"/>
        </w:rPr>
        <w:t>供应商须知前附表</w:t>
      </w:r>
      <w:bookmarkEnd w:id="18"/>
      <w:bookmarkEnd w:id="19"/>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94"/>
        <w:gridCol w:w="7428"/>
      </w:tblGrid>
      <w:tr w14:paraId="1054E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028177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7428" w:type="dxa"/>
            <w:tcBorders>
              <w:tl2br w:val="nil"/>
              <w:tr2bl w:val="nil"/>
            </w:tcBorders>
          </w:tcPr>
          <w:p w14:paraId="2E56E6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14:paraId="17256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577043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7428" w:type="dxa"/>
            <w:tcBorders>
              <w:tl2br w:val="nil"/>
              <w:tr2bl w:val="nil"/>
            </w:tcBorders>
            <w:vAlign w:val="center"/>
          </w:tcPr>
          <w:p w14:paraId="657C60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名 称：乌鲁木齐市燕儿窝风景区管理中心</w:t>
            </w:r>
          </w:p>
          <w:p w14:paraId="4EFA25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 址：乌鲁木齐市燕儿窝路811号</w:t>
            </w:r>
          </w:p>
          <w:p w14:paraId="06F770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联系人：冯工</w:t>
            </w:r>
          </w:p>
          <w:p w14:paraId="0670FD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联系方式：13999276579</w:t>
            </w:r>
          </w:p>
        </w:tc>
      </w:tr>
      <w:tr w14:paraId="6A9D8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56A55E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7428" w:type="dxa"/>
            <w:tcBorders>
              <w:tl2br w:val="nil"/>
              <w:tr2bl w:val="nil"/>
            </w:tcBorders>
            <w:vAlign w:val="center"/>
          </w:tcPr>
          <w:p w14:paraId="227A1B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采购代理机构：新疆世纪星工程咨询有限公司 </w:t>
            </w:r>
          </w:p>
          <w:p w14:paraId="5A90AC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地址：乌鲁木齐市黄山街81号一品•九点阳光B座20楼</w:t>
            </w:r>
          </w:p>
          <w:p w14:paraId="5B6B83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业务联系人：李春雪、李航、杜萍、范艳娥</w:t>
            </w:r>
          </w:p>
          <w:p w14:paraId="058A8F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电话：0991-3678303</w:t>
            </w:r>
          </w:p>
        </w:tc>
      </w:tr>
      <w:tr w14:paraId="598AA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68F756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7428" w:type="dxa"/>
            <w:tcBorders>
              <w:tl2br w:val="nil"/>
              <w:tr2bl w:val="nil"/>
            </w:tcBorders>
            <w:vAlign w:val="center"/>
          </w:tcPr>
          <w:p w14:paraId="0BD6A1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合格</w:t>
            </w:r>
            <w:r>
              <w:rPr>
                <w:rFonts w:hint="eastAsia" w:ascii="仿宋" w:hAnsi="仿宋" w:eastAsia="仿宋" w:cs="仿宋"/>
                <w:sz w:val="24"/>
                <w:szCs w:val="24"/>
                <w:highlight w:val="none"/>
                <w:vertAlign w:val="baseline"/>
                <w:lang w:val="en-US" w:eastAsia="zh-CN"/>
              </w:rPr>
              <w:t>供应商</w:t>
            </w:r>
            <w:r>
              <w:rPr>
                <w:rFonts w:hint="eastAsia" w:ascii="仿宋" w:hAnsi="仿宋" w:eastAsia="仿宋" w:cs="仿宋"/>
                <w:sz w:val="24"/>
                <w:szCs w:val="24"/>
                <w:highlight w:val="none"/>
                <w:vertAlign w:val="baseline"/>
              </w:rPr>
              <w:t>的其他资格要求：</w:t>
            </w:r>
            <w:r>
              <w:rPr>
                <w:rFonts w:hint="eastAsia" w:ascii="仿宋" w:hAnsi="仿宋" w:eastAsia="仿宋" w:cs="仿宋"/>
                <w:sz w:val="24"/>
                <w:szCs w:val="24"/>
                <w:highlight w:val="none"/>
                <w:vertAlign w:val="baseline"/>
                <w:lang w:val="en-US" w:eastAsia="zh-CN"/>
              </w:rPr>
              <w:t>/</w:t>
            </w:r>
          </w:p>
        </w:tc>
      </w:tr>
      <w:tr w14:paraId="024CE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7BA7A0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7428" w:type="dxa"/>
            <w:tcBorders>
              <w:tl2br w:val="nil"/>
              <w:tr2bl w:val="nil"/>
            </w:tcBorders>
            <w:vAlign w:val="center"/>
          </w:tcPr>
          <w:p w14:paraId="65FA41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是否允许采购进口产品：</w:t>
            </w:r>
          </w:p>
          <w:p w14:paraId="441165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☑不允许采购进口产品</w:t>
            </w:r>
          </w:p>
          <w:p w14:paraId="6D0E92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□允许采购进口产品</w:t>
            </w:r>
          </w:p>
          <w:p w14:paraId="542500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进口产品按照财政部文件《政府采购进口产品管理办法》(财库〔2007〕119号)、财政部文件《关于政府采购进口产品管理有关问题的通知》（财办库[2008]248 号）认定，整机设备内元器件不做限制。</w:t>
            </w:r>
          </w:p>
        </w:tc>
      </w:tr>
      <w:tr w14:paraId="4D89D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4E85FE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7428" w:type="dxa"/>
            <w:tcBorders>
              <w:tl2br w:val="nil"/>
              <w:tr2bl w:val="nil"/>
            </w:tcBorders>
            <w:vAlign w:val="center"/>
          </w:tcPr>
          <w:p w14:paraId="022651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本项目采购标的对应的中小企业划分标准所属行业：</w:t>
            </w:r>
          </w:p>
          <w:p w14:paraId="40355663">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 w:hAnsi="仿宋" w:eastAsia="仿宋" w:cs="仿宋"/>
                <w:b/>
                <w:sz w:val="24"/>
                <w:highlight w:val="none"/>
              </w:rPr>
            </w:pPr>
            <w:r>
              <w:rPr>
                <w:rFonts w:hint="eastAsia" w:ascii="仿宋" w:hAnsi="仿宋" w:eastAsia="仿宋" w:cs="仿宋"/>
                <w:sz w:val="24"/>
                <w:szCs w:val="24"/>
                <w:highlight w:val="none"/>
                <w:vertAlign w:val="baseline"/>
              </w:rPr>
              <w:t>根据工业和信息化部、国家统计局、国家发展 和改革委员会、财政部《关于印发中小企业划型标准规定的通知》 （工信部联企业〔2011〕300 号）</w:t>
            </w:r>
            <w:r>
              <w:rPr>
                <w:rFonts w:hint="eastAsia" w:ascii="仿宋" w:hAnsi="仿宋" w:eastAsia="仿宋" w:cs="仿宋"/>
                <w:b/>
                <w:sz w:val="24"/>
                <w:highlight w:val="none"/>
              </w:rPr>
              <w:t>本项目采购标的对应的中小企业划分标准所属行业：</w:t>
            </w:r>
          </w:p>
          <w:p w14:paraId="424B72D9">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请各投标人按照标的名称和所属行业逐一填写，否则资格审查不予通过。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667"/>
              <w:gridCol w:w="3335"/>
            </w:tblGrid>
            <w:tr w14:paraId="0A43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6" w:type="dxa"/>
                  <w:vAlign w:val="center"/>
                </w:tcPr>
                <w:p w14:paraId="23F5A1C2">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highlight w:val="none"/>
                      <w:vertAlign w:val="baseline"/>
                    </w:rPr>
                  </w:pPr>
                  <w:r>
                    <w:rPr>
                      <w:rFonts w:hint="eastAsia" w:ascii="仿宋" w:hAnsi="仿宋" w:eastAsia="仿宋" w:cs="仿宋"/>
                      <w:b/>
                      <w:sz w:val="24"/>
                      <w:highlight w:val="none"/>
                    </w:rPr>
                    <w:t>包号</w:t>
                  </w:r>
                </w:p>
              </w:tc>
              <w:tc>
                <w:tcPr>
                  <w:tcW w:w="2667" w:type="dxa"/>
                  <w:vAlign w:val="center"/>
                </w:tcPr>
                <w:p w14:paraId="2068688C">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highlight w:val="none"/>
                      <w:vertAlign w:val="baseline"/>
                    </w:rPr>
                  </w:pPr>
                  <w:r>
                    <w:rPr>
                      <w:rFonts w:hint="eastAsia" w:ascii="仿宋" w:hAnsi="仿宋" w:eastAsia="仿宋" w:cs="仿宋"/>
                      <w:b/>
                      <w:sz w:val="24"/>
                      <w:highlight w:val="none"/>
                    </w:rPr>
                    <w:t>标的名称</w:t>
                  </w:r>
                </w:p>
              </w:tc>
              <w:tc>
                <w:tcPr>
                  <w:tcW w:w="3335" w:type="dxa"/>
                  <w:vAlign w:val="center"/>
                </w:tcPr>
                <w:p w14:paraId="07BC851E">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highlight w:val="none"/>
                      <w:vertAlign w:val="baseline"/>
                    </w:rPr>
                  </w:pPr>
                  <w:r>
                    <w:rPr>
                      <w:rFonts w:hint="eastAsia" w:ascii="仿宋" w:hAnsi="仿宋" w:eastAsia="仿宋" w:cs="仿宋"/>
                      <w:b/>
                      <w:sz w:val="24"/>
                      <w:highlight w:val="none"/>
                    </w:rPr>
                    <w:t>中小企业划分标准所属行业</w:t>
                  </w:r>
                </w:p>
              </w:tc>
            </w:tr>
            <w:tr w14:paraId="650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62BC2488">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highlight w:val="none"/>
                      <w:vertAlign w:val="baseline"/>
                    </w:rPr>
                  </w:pPr>
                  <w:r>
                    <w:rPr>
                      <w:rFonts w:hint="eastAsia" w:ascii="仿宋" w:hAnsi="仿宋" w:eastAsia="仿宋" w:cs="仿宋"/>
                      <w:b/>
                      <w:sz w:val="24"/>
                      <w:highlight w:val="none"/>
                    </w:rPr>
                    <w:t>/</w:t>
                  </w:r>
                </w:p>
              </w:tc>
              <w:tc>
                <w:tcPr>
                  <w:tcW w:w="2667" w:type="dxa"/>
                  <w:vAlign w:val="center"/>
                </w:tcPr>
                <w:p w14:paraId="5615F7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highlight w:val="none"/>
                      <w:vertAlign w:val="baseline"/>
                      <w:lang w:val="en-US" w:eastAsia="zh-CN"/>
                    </w:rPr>
                  </w:pPr>
                  <w:r>
                    <w:rPr>
                      <w:rFonts w:hint="eastAsia" w:ascii="仿宋" w:hAnsi="仿宋" w:eastAsia="仿宋" w:cs="仿宋"/>
                      <w:b/>
                      <w:sz w:val="24"/>
                      <w:highlight w:val="none"/>
                      <w:lang w:val="en-US" w:eastAsia="zh-CN"/>
                    </w:rPr>
                    <w:t>详见采购需求</w:t>
                  </w:r>
                </w:p>
              </w:tc>
              <w:tc>
                <w:tcPr>
                  <w:tcW w:w="3335" w:type="dxa"/>
                  <w:vAlign w:val="center"/>
                </w:tcPr>
                <w:p w14:paraId="77D713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highlight w:val="none"/>
                      <w:vertAlign w:val="baseline"/>
                    </w:rPr>
                  </w:pPr>
                  <w:r>
                    <w:rPr>
                      <w:rFonts w:hint="eastAsia" w:ascii="仿宋" w:hAnsi="仿宋" w:eastAsia="仿宋" w:cs="仿宋"/>
                      <w:b/>
                      <w:sz w:val="24"/>
                      <w:highlight w:val="none"/>
                      <w:lang w:val="en-US" w:eastAsia="zh-CN"/>
                    </w:rPr>
                    <w:t>详见采购需求</w:t>
                  </w:r>
                </w:p>
              </w:tc>
            </w:tr>
          </w:tbl>
          <w:p w14:paraId="71AA12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rPr>
            </w:pPr>
          </w:p>
        </w:tc>
      </w:tr>
      <w:tr w14:paraId="03975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67" w:hRule="atLeast"/>
        </w:trPr>
        <w:tc>
          <w:tcPr>
            <w:tcW w:w="1094" w:type="dxa"/>
            <w:tcBorders>
              <w:bottom w:val="single" w:color="auto" w:sz="4" w:space="0"/>
              <w:tl2br w:val="nil"/>
              <w:tr2bl w:val="nil"/>
            </w:tcBorders>
            <w:vAlign w:val="center"/>
          </w:tcPr>
          <w:p w14:paraId="32AE21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7428" w:type="dxa"/>
            <w:tcBorders>
              <w:bottom w:val="single" w:color="auto" w:sz="4" w:space="0"/>
              <w:tl2br w:val="nil"/>
              <w:tr2bl w:val="nil"/>
            </w:tcBorders>
            <w:vAlign w:val="center"/>
          </w:tcPr>
          <w:p w14:paraId="6E8530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本项目面向中小企业采购预留份额、措施及比例：</w:t>
            </w:r>
          </w:p>
          <w:p w14:paraId="7DD51F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□本项目不专门面向中小企业预留采购份额。</w:t>
            </w:r>
          </w:p>
          <w:p w14:paraId="770367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提供的货物全部由符合政策要求的</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制造、服务全部由符合政策要求的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5BB825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szCs w:val="24"/>
                <w:highlight w:val="none"/>
                <w:u w:val="single"/>
                <w:vertAlign w:val="baseline"/>
                <w:lang w:val="en-US" w:eastAsia="zh-CN"/>
              </w:rPr>
              <w:t>要求获得采购合同的供应商将本采购项目预算金额的至少   %分包给一家或者多家中小企业，其中预留给小微企业的比例至少   %，须提供《拟分包情况说明》，监狱和戒毒企业、残疾人福利性单位视同小型、微型企业（格式详见采购文件）。</w:t>
            </w:r>
          </w:p>
        </w:tc>
      </w:tr>
      <w:tr w14:paraId="16B9A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3" w:hRule="atLeast"/>
        </w:trPr>
        <w:tc>
          <w:tcPr>
            <w:tcW w:w="1094" w:type="dxa"/>
            <w:tcBorders>
              <w:top w:val="single" w:color="auto" w:sz="4" w:space="0"/>
              <w:tl2br w:val="nil"/>
              <w:tr2bl w:val="nil"/>
            </w:tcBorders>
            <w:vAlign w:val="center"/>
          </w:tcPr>
          <w:p w14:paraId="5895BD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428" w:type="dxa"/>
            <w:tcBorders>
              <w:top w:val="single" w:color="auto" w:sz="4" w:space="0"/>
              <w:tl2br w:val="nil"/>
              <w:tr2bl w:val="nil"/>
            </w:tcBorders>
            <w:vAlign w:val="center"/>
          </w:tcPr>
          <w:p w14:paraId="46E130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本项目是否适用本国产品价格评审优惠政策：</w:t>
            </w:r>
          </w:p>
          <w:p w14:paraId="68D7A0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□本项目适用支持本国产品标准</w:t>
            </w:r>
          </w:p>
          <w:p w14:paraId="0BC3B6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☑本项目不适用</w:t>
            </w:r>
          </w:p>
          <w:p w14:paraId="47D206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4EB98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3656B6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1.12</w:t>
            </w:r>
          </w:p>
        </w:tc>
        <w:tc>
          <w:tcPr>
            <w:tcW w:w="7428" w:type="dxa"/>
            <w:tcBorders>
              <w:tl2br w:val="nil"/>
              <w:tr2bl w:val="nil"/>
            </w:tcBorders>
            <w:vAlign w:val="center"/>
          </w:tcPr>
          <w:p w14:paraId="4CB6AC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是否允许联合体参加</w:t>
            </w:r>
            <w:r>
              <w:rPr>
                <w:rFonts w:hint="eastAsia" w:ascii="仿宋" w:hAnsi="仿宋" w:eastAsia="仿宋" w:cs="仿宋"/>
                <w:b/>
                <w:bCs/>
                <w:sz w:val="24"/>
                <w:szCs w:val="24"/>
                <w:highlight w:val="none"/>
                <w:vertAlign w:val="baseline"/>
                <w:lang w:eastAsia="zh-CN"/>
              </w:rPr>
              <w:t>谈判</w:t>
            </w:r>
            <w:r>
              <w:rPr>
                <w:rFonts w:hint="eastAsia" w:ascii="仿宋" w:hAnsi="仿宋" w:eastAsia="仿宋" w:cs="仿宋"/>
                <w:b/>
                <w:bCs/>
                <w:sz w:val="24"/>
                <w:szCs w:val="24"/>
                <w:highlight w:val="none"/>
                <w:vertAlign w:val="baseline"/>
              </w:rPr>
              <w:t>：否</w:t>
            </w:r>
          </w:p>
          <w:p w14:paraId="3EEAD7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bCs/>
                <w:sz w:val="24"/>
                <w:szCs w:val="24"/>
                <w:highlight w:val="none"/>
                <w:vertAlign w:val="baseline"/>
              </w:rPr>
              <w:t>联合体的其他资格要求：</w:t>
            </w:r>
            <w:r>
              <w:rPr>
                <w:rFonts w:hint="eastAsia" w:ascii="仿宋" w:hAnsi="仿宋" w:eastAsia="仿宋" w:cs="仿宋"/>
                <w:b/>
                <w:bCs/>
                <w:sz w:val="24"/>
                <w:szCs w:val="24"/>
                <w:highlight w:val="none"/>
                <w:vertAlign w:val="baseline"/>
                <w:lang w:val="en-US" w:eastAsia="zh-CN"/>
              </w:rPr>
              <w:t>/</w:t>
            </w:r>
          </w:p>
        </w:tc>
      </w:tr>
      <w:tr w14:paraId="3BAEB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7D3ED1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7428" w:type="dxa"/>
            <w:tcBorders>
              <w:tl2br w:val="nil"/>
              <w:tr2bl w:val="nil"/>
            </w:tcBorders>
            <w:vAlign w:val="center"/>
          </w:tcPr>
          <w:p w14:paraId="10BEBC16">
            <w:pPr>
              <w:keepNext w:val="0"/>
              <w:keepLines w:val="0"/>
              <w:pageBreakBefore w:val="0"/>
              <w:widowControl w:val="0"/>
              <w:kinsoku/>
              <w:wordWrap/>
              <w:overflowPunct/>
              <w:topLinePunct w:val="0"/>
              <w:autoSpaceDE/>
              <w:autoSpaceDN/>
              <w:bidi w:val="0"/>
              <w:adjustRightInd/>
              <w:snapToGrid/>
              <w:spacing w:line="44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项目预算金额：80万元</w:t>
            </w:r>
          </w:p>
          <w:p w14:paraId="70C21445">
            <w:pPr>
              <w:keepNext w:val="0"/>
              <w:keepLines w:val="0"/>
              <w:pageBreakBefore w:val="0"/>
              <w:widowControl w:val="0"/>
              <w:kinsoku/>
              <w:wordWrap/>
              <w:overflowPunct/>
              <w:topLinePunct w:val="0"/>
              <w:autoSpaceDE/>
              <w:autoSpaceDN/>
              <w:bidi w:val="0"/>
              <w:adjustRightInd/>
              <w:snapToGrid/>
              <w:spacing w:line="44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最高限价：80万元</w:t>
            </w:r>
          </w:p>
          <w:p w14:paraId="62C87829">
            <w:pPr>
              <w:keepNext w:val="0"/>
              <w:keepLines w:val="0"/>
              <w:pageBreakBefore w:val="0"/>
              <w:widowControl w:val="0"/>
              <w:kinsoku/>
              <w:wordWrap/>
              <w:overflowPunct/>
              <w:topLinePunct w:val="0"/>
              <w:autoSpaceDE/>
              <w:autoSpaceDN/>
              <w:bidi w:val="0"/>
              <w:adjustRightInd/>
              <w:snapToGrid/>
              <w:spacing w:line="440" w:lineRule="atLeas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bCs/>
                <w:sz w:val="24"/>
                <w:highlight w:val="none"/>
              </w:rPr>
              <w:t>注：投标人投标总报价不得高于最高限价，投标人</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rPr>
              <w:t>清单（详见第</w:t>
            </w:r>
            <w:r>
              <w:rPr>
                <w:rFonts w:hint="eastAsia" w:ascii="仿宋" w:hAnsi="仿宋" w:eastAsia="仿宋" w:cs="仿宋"/>
                <w:b/>
                <w:bCs/>
                <w:sz w:val="24"/>
                <w:highlight w:val="none"/>
                <w:lang w:val="en-US" w:eastAsia="zh-CN"/>
              </w:rPr>
              <w:t>五</w:t>
            </w:r>
            <w:r>
              <w:rPr>
                <w:rFonts w:hint="eastAsia" w:ascii="仿宋" w:hAnsi="仿宋" w:eastAsia="仿宋" w:cs="仿宋"/>
                <w:b/>
                <w:bCs/>
                <w:sz w:val="24"/>
                <w:highlight w:val="none"/>
              </w:rPr>
              <w:t xml:space="preserve">章 </w:t>
            </w:r>
            <w:r>
              <w:rPr>
                <w:rFonts w:hint="eastAsia" w:ascii="仿宋" w:hAnsi="仿宋" w:eastAsia="仿宋" w:cs="仿宋"/>
                <w:b/>
                <w:bCs/>
                <w:sz w:val="24"/>
                <w:highlight w:val="none"/>
                <w:lang w:val="en-US" w:eastAsia="zh-CN"/>
              </w:rPr>
              <w:t>采购需求</w:t>
            </w:r>
            <w:r>
              <w:rPr>
                <w:rFonts w:hint="eastAsia" w:ascii="仿宋" w:hAnsi="仿宋" w:eastAsia="仿宋" w:cs="仿宋"/>
                <w:b/>
                <w:bCs/>
                <w:sz w:val="24"/>
                <w:highlight w:val="none"/>
              </w:rPr>
              <w:t>）中的</w:t>
            </w:r>
            <w:r>
              <w:rPr>
                <w:rFonts w:hint="eastAsia" w:ascii="仿宋" w:hAnsi="仿宋" w:eastAsia="仿宋" w:cs="仿宋"/>
                <w:b/>
                <w:bCs/>
                <w:sz w:val="24"/>
                <w:highlight w:val="none"/>
                <w:lang w:val="en-US" w:eastAsia="zh-CN"/>
              </w:rPr>
              <w:t>各项标的的</w:t>
            </w:r>
            <w:r>
              <w:rPr>
                <w:rFonts w:hint="eastAsia" w:ascii="仿宋" w:hAnsi="仿宋" w:eastAsia="仿宋" w:cs="仿宋"/>
                <w:b/>
                <w:bCs/>
                <w:sz w:val="24"/>
                <w:highlight w:val="none"/>
              </w:rPr>
              <w:t>投标报价均不能超过清单（详见第</w:t>
            </w:r>
            <w:r>
              <w:rPr>
                <w:rFonts w:hint="eastAsia" w:ascii="仿宋" w:hAnsi="仿宋" w:eastAsia="仿宋" w:cs="仿宋"/>
                <w:b/>
                <w:bCs/>
                <w:sz w:val="24"/>
                <w:highlight w:val="none"/>
                <w:lang w:val="en-US" w:eastAsia="zh-CN"/>
              </w:rPr>
              <w:t>五</w:t>
            </w:r>
            <w:r>
              <w:rPr>
                <w:rFonts w:hint="eastAsia" w:ascii="仿宋" w:hAnsi="仿宋" w:eastAsia="仿宋" w:cs="仿宋"/>
                <w:b/>
                <w:bCs/>
                <w:sz w:val="24"/>
                <w:highlight w:val="none"/>
              </w:rPr>
              <w:t xml:space="preserve">章 </w:t>
            </w:r>
            <w:r>
              <w:rPr>
                <w:rFonts w:hint="eastAsia" w:ascii="仿宋" w:hAnsi="仿宋" w:eastAsia="仿宋" w:cs="仿宋"/>
                <w:b/>
                <w:bCs/>
                <w:sz w:val="24"/>
                <w:highlight w:val="none"/>
                <w:lang w:val="en-US" w:eastAsia="zh-CN"/>
              </w:rPr>
              <w:t>采购需求</w:t>
            </w:r>
            <w:r>
              <w:rPr>
                <w:rFonts w:hint="eastAsia" w:ascii="仿宋" w:hAnsi="仿宋" w:eastAsia="仿宋" w:cs="仿宋"/>
                <w:b/>
                <w:bCs/>
                <w:sz w:val="24"/>
                <w:highlight w:val="none"/>
              </w:rPr>
              <w:t>）中的单价要求，如超过上述</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rPr>
              <w:t>清单（详见第六章 技术要求）中的单价</w:t>
            </w:r>
            <w:r>
              <w:rPr>
                <w:rFonts w:hint="eastAsia" w:ascii="仿宋" w:hAnsi="仿宋" w:eastAsia="仿宋" w:cs="仿宋"/>
                <w:b/>
                <w:bCs/>
                <w:sz w:val="24"/>
                <w:highlight w:val="none"/>
                <w:lang w:val="en-US" w:eastAsia="zh-CN"/>
              </w:rPr>
              <w:t>或</w:t>
            </w:r>
            <w:r>
              <w:rPr>
                <w:rFonts w:hint="eastAsia" w:ascii="仿宋" w:hAnsi="仿宋" w:eastAsia="仿宋" w:cs="仿宋"/>
                <w:b/>
                <w:bCs/>
                <w:sz w:val="24"/>
                <w:highlight w:val="none"/>
              </w:rPr>
              <w:t>高于最高限价作废标处理</w:t>
            </w:r>
            <w:r>
              <w:rPr>
                <w:rFonts w:hint="eastAsia" w:ascii="仿宋" w:hAnsi="仿宋" w:eastAsia="仿宋" w:cs="仿宋"/>
                <w:b/>
                <w:bCs/>
                <w:sz w:val="24"/>
                <w:highlight w:val="none"/>
                <w:lang w:eastAsia="zh-CN"/>
              </w:rPr>
              <w:t>。</w:t>
            </w:r>
          </w:p>
        </w:tc>
      </w:tr>
      <w:tr w14:paraId="3D879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6DD567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7428" w:type="dxa"/>
            <w:tcBorders>
              <w:tl2br w:val="nil"/>
              <w:tr2bl w:val="nil"/>
            </w:tcBorders>
            <w:vAlign w:val="center"/>
          </w:tcPr>
          <w:p w14:paraId="3B6CC0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79DF8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472F0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2B7CE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6.1</w:t>
            </w:r>
          </w:p>
        </w:tc>
        <w:tc>
          <w:tcPr>
            <w:tcW w:w="7428" w:type="dxa"/>
            <w:tcBorders>
              <w:tl2br w:val="nil"/>
              <w:tr2bl w:val="nil"/>
            </w:tcBorders>
            <w:vAlign w:val="center"/>
          </w:tcPr>
          <w:p w14:paraId="15729F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是否需要提供样品（演示）：否 </w:t>
            </w:r>
          </w:p>
          <w:p w14:paraId="50880F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提供样品（演示）要求包括：/</w:t>
            </w:r>
          </w:p>
        </w:tc>
      </w:tr>
      <w:tr w14:paraId="0F359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0BF39C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8.1 </w:t>
            </w:r>
          </w:p>
        </w:tc>
        <w:tc>
          <w:tcPr>
            <w:tcW w:w="7428" w:type="dxa"/>
            <w:tcBorders>
              <w:tl2br w:val="nil"/>
              <w:tr2bl w:val="nil"/>
            </w:tcBorders>
            <w:vAlign w:val="center"/>
          </w:tcPr>
          <w:p w14:paraId="4E81E7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如</w:t>
            </w:r>
            <w:r>
              <w:rPr>
                <w:rFonts w:hint="eastAsia" w:ascii="仿宋" w:hAnsi="仿宋" w:eastAsia="仿宋" w:cs="仿宋"/>
                <w:sz w:val="24"/>
                <w:szCs w:val="24"/>
                <w:highlight w:val="none"/>
                <w:vertAlign w:val="baseline"/>
                <w:lang w:val="en-US" w:eastAsia="zh-CN"/>
              </w:rPr>
              <w:t>供应商</w:t>
            </w:r>
            <w:r>
              <w:rPr>
                <w:rFonts w:hint="eastAsia" w:ascii="仿宋" w:hAnsi="仿宋" w:eastAsia="仿宋" w:cs="仿宋"/>
                <w:sz w:val="24"/>
                <w:szCs w:val="24"/>
                <w:highlight w:val="none"/>
                <w:vertAlign w:val="baseline"/>
              </w:rPr>
              <w:t>对</w:t>
            </w:r>
            <w:r>
              <w:rPr>
                <w:rFonts w:hint="eastAsia" w:ascii="仿宋" w:hAnsi="仿宋" w:eastAsia="仿宋" w:cs="仿宋"/>
                <w:b/>
                <w:bCs/>
                <w:sz w:val="24"/>
                <w:szCs w:val="24"/>
                <w:highlight w:val="none"/>
                <w:vertAlign w:val="baseline"/>
              </w:rPr>
              <w:t>多</w:t>
            </w:r>
            <w:r>
              <w:rPr>
                <w:rFonts w:hint="eastAsia" w:ascii="仿宋" w:hAnsi="仿宋" w:eastAsia="仿宋" w:cs="仿宋"/>
                <w:sz w:val="24"/>
                <w:szCs w:val="24"/>
                <w:highlight w:val="none"/>
                <w:vertAlign w:val="baseline"/>
              </w:rPr>
              <w:t>个包进行</w:t>
            </w:r>
            <w:r>
              <w:rPr>
                <w:rFonts w:hint="eastAsia" w:ascii="仿宋" w:hAnsi="仿宋" w:eastAsia="仿宋" w:cs="仿宋"/>
                <w:sz w:val="24"/>
                <w:szCs w:val="24"/>
                <w:highlight w:val="none"/>
                <w:vertAlign w:val="baseline"/>
                <w:lang w:val="en-US" w:eastAsia="zh-CN"/>
              </w:rPr>
              <w:t>响应</w:t>
            </w:r>
            <w:r>
              <w:rPr>
                <w:rFonts w:hint="eastAsia" w:ascii="仿宋" w:hAnsi="仿宋" w:eastAsia="仿宋" w:cs="仿宋"/>
                <w:sz w:val="24"/>
                <w:szCs w:val="24"/>
                <w:highlight w:val="none"/>
                <w:vertAlign w:val="baseline"/>
              </w:rPr>
              <w:t>，可以</w:t>
            </w:r>
            <w:r>
              <w:rPr>
                <w:rFonts w:hint="eastAsia" w:ascii="仿宋" w:hAnsi="仿宋" w:eastAsia="仿宋" w:cs="仿宋"/>
                <w:sz w:val="24"/>
                <w:szCs w:val="24"/>
                <w:highlight w:val="none"/>
                <w:vertAlign w:val="baseline"/>
                <w:lang w:val="en-US" w:eastAsia="zh-CN"/>
              </w:rPr>
              <w:t>成交</w:t>
            </w:r>
            <w:r>
              <w:rPr>
                <w:rFonts w:hint="eastAsia" w:ascii="仿宋" w:hAnsi="仿宋" w:eastAsia="仿宋" w:cs="仿宋"/>
                <w:b/>
                <w:bCs/>
                <w:sz w:val="24"/>
                <w:szCs w:val="24"/>
                <w:highlight w:val="none"/>
                <w:u w:val="single"/>
                <w:vertAlign w:val="baseline"/>
              </w:rPr>
              <w:t>多</w:t>
            </w:r>
            <w:r>
              <w:rPr>
                <w:rFonts w:hint="eastAsia" w:ascii="仿宋" w:hAnsi="仿宋" w:eastAsia="仿宋" w:cs="仿宋"/>
                <w:sz w:val="24"/>
                <w:szCs w:val="24"/>
                <w:highlight w:val="none"/>
                <w:vertAlign w:val="baseline"/>
              </w:rPr>
              <w:t>包（本项目不适用）</w:t>
            </w:r>
          </w:p>
        </w:tc>
      </w:tr>
      <w:tr w14:paraId="2E3C9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6E4B5C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7428" w:type="dxa"/>
            <w:tcBorders>
              <w:tl2br w:val="nil"/>
              <w:tr2bl w:val="nil"/>
            </w:tcBorders>
            <w:vAlign w:val="center"/>
          </w:tcPr>
          <w:p w14:paraId="396AEF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投标（响应）保证金金额及要求：</w:t>
            </w:r>
          </w:p>
          <w:p w14:paraId="54F710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rPr>
              <w:t>□本项目无需缴纳投标保证金。</w:t>
            </w:r>
          </w:p>
          <w:p w14:paraId="2F6AEE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rPr>
              <w:t>☑本项目需要缴纳投标保证金，具体要求：</w:t>
            </w:r>
          </w:p>
          <w:p w14:paraId="43D493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保证金形式：支票、汇票、本票、网上银行支付或者金融机构、担保机构出具的保函等政府采购法律法规中要求的非现金形式</w:t>
            </w:r>
          </w:p>
          <w:p w14:paraId="517B86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保证金数额：</w:t>
            </w:r>
            <w:r>
              <w:rPr>
                <w:rFonts w:hint="eastAsia" w:ascii="仿宋" w:hAnsi="仿宋" w:eastAsia="仿宋" w:cs="仿宋"/>
                <w:b/>
                <w:bCs/>
                <w:sz w:val="24"/>
                <w:szCs w:val="24"/>
                <w:highlight w:val="none"/>
                <w:vertAlign w:val="baseline"/>
                <w:lang w:val="en-US" w:eastAsia="zh-CN"/>
              </w:rPr>
              <w:t>7</w:t>
            </w:r>
            <w:r>
              <w:rPr>
                <w:rFonts w:hint="eastAsia" w:ascii="仿宋" w:hAnsi="仿宋" w:eastAsia="仿宋" w:cs="仿宋"/>
                <w:b/>
                <w:bCs/>
                <w:sz w:val="24"/>
                <w:szCs w:val="24"/>
                <w:highlight w:val="none"/>
                <w:vertAlign w:val="baseline"/>
              </w:rPr>
              <w:t xml:space="preserve">999元 </w:t>
            </w:r>
          </w:p>
          <w:p w14:paraId="5BD9A8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投标保证金递交方式：</w:t>
            </w:r>
          </w:p>
          <w:p w14:paraId="310A0C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14:paraId="4E2327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14:paraId="301012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14:paraId="527891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投标保证金到账（保函提交）截止时间同投标截止时间。</w:t>
            </w:r>
          </w:p>
          <w:p w14:paraId="1E5CAC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以支票、汇票、本票、网上银行支付等形式提交投标保证金的，应在投标截止时间前到账</w:t>
            </w:r>
            <w:r>
              <w:rPr>
                <w:rFonts w:hint="eastAsia" w:ascii="仿宋" w:hAnsi="仿宋" w:eastAsia="仿宋" w:cs="仿宋"/>
                <w:b/>
                <w:bCs/>
                <w:sz w:val="24"/>
                <w:szCs w:val="24"/>
                <w:highlight w:val="none"/>
                <w:vertAlign w:val="baseline"/>
              </w:rPr>
              <w:t>，投标保证金付款人必须与</w:t>
            </w:r>
            <w:r>
              <w:rPr>
                <w:rFonts w:hint="eastAsia" w:ascii="仿宋" w:hAnsi="仿宋" w:eastAsia="仿宋" w:cs="仿宋"/>
                <w:b/>
                <w:bCs/>
                <w:sz w:val="24"/>
                <w:szCs w:val="24"/>
                <w:highlight w:val="none"/>
                <w:vertAlign w:val="baseline"/>
                <w:lang w:eastAsia="zh-CN"/>
              </w:rPr>
              <w:t>供应商</w:t>
            </w:r>
            <w:r>
              <w:rPr>
                <w:rFonts w:hint="eastAsia" w:ascii="仿宋" w:hAnsi="仿宋" w:eastAsia="仿宋" w:cs="仿宋"/>
                <w:b/>
                <w:bCs/>
                <w:sz w:val="24"/>
                <w:szCs w:val="24"/>
                <w:highlight w:val="none"/>
                <w:vertAlign w:val="baseline"/>
              </w:rPr>
              <w:t>名称一致。</w:t>
            </w:r>
          </w:p>
          <w:p w14:paraId="04E5BC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投标保函提交方式：</w:t>
            </w:r>
          </w:p>
          <w:p w14:paraId="2A7F76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14A725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由于到账时间晚于投标截止时间的，或者票据错误、印鉴不清等原因导致不能到账的，其投标无效。</w:t>
            </w:r>
          </w:p>
          <w:p w14:paraId="00839A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投标保证金（投标保函）有效期与投标有效期一致。</w:t>
            </w:r>
          </w:p>
          <w:p w14:paraId="21454E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373D3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1094" w:type="dxa"/>
            <w:tcBorders>
              <w:tl2br w:val="nil"/>
              <w:tr2bl w:val="nil"/>
            </w:tcBorders>
            <w:vAlign w:val="center"/>
          </w:tcPr>
          <w:p w14:paraId="1AAC4F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12.1</w:t>
            </w:r>
          </w:p>
        </w:tc>
        <w:tc>
          <w:tcPr>
            <w:tcW w:w="7428" w:type="dxa"/>
            <w:tcBorders>
              <w:tl2br w:val="nil"/>
              <w:tr2bl w:val="nil"/>
            </w:tcBorders>
            <w:vAlign w:val="center"/>
          </w:tcPr>
          <w:p w14:paraId="32122F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响应</w:t>
            </w:r>
            <w:r>
              <w:rPr>
                <w:rFonts w:hint="eastAsia" w:ascii="仿宋" w:hAnsi="仿宋" w:eastAsia="仿宋" w:cs="仿宋"/>
                <w:b w:val="0"/>
                <w:bCs w:val="0"/>
                <w:sz w:val="24"/>
                <w:szCs w:val="24"/>
                <w:highlight w:val="none"/>
                <w:vertAlign w:val="baseline"/>
              </w:rPr>
              <w:t>有效期：从提交响应文件的截止之日起90日历天</w:t>
            </w:r>
          </w:p>
        </w:tc>
      </w:tr>
      <w:tr w14:paraId="26D74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2079B3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7428" w:type="dxa"/>
            <w:tcBorders>
              <w:tl2br w:val="nil"/>
              <w:tr2bl w:val="nil"/>
            </w:tcBorders>
            <w:vAlign w:val="center"/>
          </w:tcPr>
          <w:p w14:paraId="57A37A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响应截止时间：2024年04月23日16：00（北京时间）</w:t>
            </w:r>
          </w:p>
          <w:p w14:paraId="7D5262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vertAlign w:val="baseline"/>
                <w:lang w:val="en-US" w:eastAsia="zh-CN"/>
              </w:rPr>
              <w:t>供应商需在响应文件截止时间前，将加密响应文件上传至政采云平台（https://www.zcygov.cn/）项目采购系统中，逾期上传或错误方式投递送达将导致投标无效。</w:t>
            </w:r>
          </w:p>
        </w:tc>
      </w:tr>
      <w:tr w14:paraId="30A4A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242448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7428" w:type="dxa"/>
            <w:tcBorders>
              <w:tl2br w:val="nil"/>
              <w:tr2bl w:val="nil"/>
            </w:tcBorders>
            <w:vAlign w:val="center"/>
          </w:tcPr>
          <w:p w14:paraId="678120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开标时间：同响应截止时间 </w:t>
            </w:r>
          </w:p>
          <w:p w14:paraId="7ACF48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47AD4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1094" w:type="dxa"/>
            <w:tcBorders>
              <w:tl2br w:val="nil"/>
              <w:tr2bl w:val="nil"/>
            </w:tcBorders>
            <w:vAlign w:val="center"/>
          </w:tcPr>
          <w:p w14:paraId="773C9F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19.1</w:t>
            </w:r>
          </w:p>
        </w:tc>
        <w:tc>
          <w:tcPr>
            <w:tcW w:w="7428" w:type="dxa"/>
            <w:tcBorders>
              <w:tl2br w:val="nil"/>
              <w:tr2bl w:val="nil"/>
            </w:tcBorders>
            <w:vAlign w:val="center"/>
          </w:tcPr>
          <w:p w14:paraId="70492B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采购人是否委托谈判小组直接确定成交人：否 </w:t>
            </w:r>
          </w:p>
        </w:tc>
      </w:tr>
      <w:tr w14:paraId="2BBF6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 w:hRule="atLeast"/>
        </w:trPr>
        <w:tc>
          <w:tcPr>
            <w:tcW w:w="1094" w:type="dxa"/>
            <w:tcBorders>
              <w:tl2br w:val="nil"/>
              <w:tr2bl w:val="nil"/>
            </w:tcBorders>
            <w:vAlign w:val="center"/>
          </w:tcPr>
          <w:p w14:paraId="6E2DAD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22.4</w:t>
            </w:r>
          </w:p>
        </w:tc>
        <w:tc>
          <w:tcPr>
            <w:tcW w:w="7428" w:type="dxa"/>
            <w:tcBorders>
              <w:tl2br w:val="nil"/>
              <w:tr2bl w:val="nil"/>
            </w:tcBorders>
            <w:vAlign w:val="center"/>
          </w:tcPr>
          <w:p w14:paraId="1918E4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项目是否允许分包：</w:t>
            </w:r>
          </w:p>
          <w:p w14:paraId="2D6B45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w:t>
            </w:r>
          </w:p>
          <w:p w14:paraId="1D4485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□允许，具体要求：</w:t>
            </w:r>
          </w:p>
          <w:p w14:paraId="6F33F0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（1）可以分包履行的具体内容：</w:t>
            </w:r>
            <w:r>
              <w:rPr>
                <w:rFonts w:hint="eastAsia" w:ascii="仿宋" w:hAnsi="仿宋" w:eastAsia="仿宋" w:cs="仿宋"/>
                <w:b w:val="0"/>
                <w:bCs w:val="0"/>
                <w:sz w:val="24"/>
                <w:szCs w:val="24"/>
                <w:highlight w:val="none"/>
                <w:u w:val="single"/>
                <w:vertAlign w:val="baseline"/>
                <w:lang w:val="en-US" w:eastAsia="zh-CN"/>
              </w:rPr>
              <w:t xml:space="preserve">          ；</w:t>
            </w:r>
          </w:p>
          <w:p w14:paraId="40B4D3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（2）允许分包的金额或者比例：</w:t>
            </w:r>
            <w:r>
              <w:rPr>
                <w:rFonts w:hint="eastAsia" w:ascii="仿宋" w:hAnsi="仿宋" w:eastAsia="仿宋" w:cs="仿宋"/>
                <w:b w:val="0"/>
                <w:bCs w:val="0"/>
                <w:sz w:val="24"/>
                <w:szCs w:val="24"/>
                <w:highlight w:val="none"/>
                <w:u w:val="single"/>
                <w:vertAlign w:val="baseline"/>
                <w:lang w:val="en-US" w:eastAsia="zh-CN"/>
              </w:rPr>
              <w:t xml:space="preserve">          ；</w:t>
            </w:r>
          </w:p>
          <w:p w14:paraId="67A866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（3）其他要求：</w:t>
            </w:r>
            <w:r>
              <w:rPr>
                <w:rFonts w:hint="eastAsia" w:ascii="仿宋" w:hAnsi="仿宋" w:eastAsia="仿宋" w:cs="仿宋"/>
                <w:b w:val="0"/>
                <w:bCs w:val="0"/>
                <w:sz w:val="24"/>
                <w:szCs w:val="24"/>
                <w:highlight w:val="none"/>
                <w:u w:val="single"/>
                <w:vertAlign w:val="baseline"/>
                <w:lang w:val="en-US" w:eastAsia="zh-CN"/>
              </w:rPr>
              <w:t xml:space="preserve">              。</w:t>
            </w:r>
          </w:p>
        </w:tc>
      </w:tr>
      <w:tr w14:paraId="650C3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94" w:type="dxa"/>
            <w:tcBorders>
              <w:tl2br w:val="nil"/>
              <w:tr2bl w:val="nil"/>
            </w:tcBorders>
            <w:vAlign w:val="center"/>
          </w:tcPr>
          <w:p w14:paraId="2499D6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7428" w:type="dxa"/>
            <w:tcBorders>
              <w:tl2br w:val="nil"/>
              <w:tr2bl w:val="nil"/>
            </w:tcBorders>
            <w:vAlign w:val="center"/>
          </w:tcPr>
          <w:p w14:paraId="3B9983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sz w:val="24"/>
                <w:highlight w:val="none"/>
              </w:rPr>
              <w:t>本项目不要求履约保证金。</w:t>
            </w:r>
          </w:p>
        </w:tc>
      </w:tr>
      <w:tr w14:paraId="4514C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0" w:hRule="atLeast"/>
        </w:trPr>
        <w:tc>
          <w:tcPr>
            <w:tcW w:w="1094" w:type="dxa"/>
            <w:tcBorders>
              <w:tl2br w:val="nil"/>
              <w:tr2bl w:val="nil"/>
            </w:tcBorders>
            <w:vAlign w:val="center"/>
          </w:tcPr>
          <w:p w14:paraId="5C805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24.1</w:t>
            </w:r>
          </w:p>
        </w:tc>
        <w:tc>
          <w:tcPr>
            <w:tcW w:w="7428" w:type="dxa"/>
            <w:tcBorders>
              <w:tl2br w:val="nil"/>
              <w:tr2bl w:val="nil"/>
            </w:tcBorders>
            <w:vAlign w:val="center"/>
          </w:tcPr>
          <w:p w14:paraId="479976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 xml:space="preserve">是否由中标人缴纳招标代理费：是 </w:t>
            </w:r>
          </w:p>
          <w:p w14:paraId="327C3C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招标代理费：以采购包中标通知书中的中标金额作为采购代理服务费的计算基数。按照招标文件第三章投标须知24.2条收费标准规定</w:t>
            </w:r>
            <w:r>
              <w:rPr>
                <w:rFonts w:hint="eastAsia" w:ascii="仿宋" w:hAnsi="仿宋" w:eastAsia="仿宋" w:cs="仿宋"/>
                <w:b w:val="0"/>
                <w:bCs w:val="0"/>
                <w:sz w:val="24"/>
                <w:szCs w:val="24"/>
                <w:highlight w:val="none"/>
                <w:u w:val="single"/>
                <w:vertAlign w:val="baseline"/>
                <w:lang w:val="en-US" w:eastAsia="zh-CN"/>
              </w:rPr>
              <w:t>“货物类”计费标准，下浮35%计算</w:t>
            </w:r>
            <w:r>
              <w:rPr>
                <w:rFonts w:hint="eastAsia" w:ascii="仿宋" w:hAnsi="仿宋" w:eastAsia="仿宋" w:cs="仿宋"/>
                <w:b w:val="0"/>
                <w:bCs w:val="0"/>
                <w:sz w:val="24"/>
                <w:szCs w:val="24"/>
                <w:highlight w:val="none"/>
                <w:vertAlign w:val="baseline"/>
                <w:lang w:val="en-US" w:eastAsia="zh-CN"/>
              </w:rPr>
              <w:t xml:space="preserve">。  </w:t>
            </w:r>
          </w:p>
          <w:p w14:paraId="307BFA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支付形式：网上银行支付或电汇，并在用途栏内注明项目名称或项目编</w:t>
            </w:r>
          </w:p>
          <w:p w14:paraId="613C60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号。代理费到账后，经采购代理机构确认无误后开具增值税发票。 </w:t>
            </w:r>
          </w:p>
          <w:p w14:paraId="7F98C6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支付时间：在中标人领取中标通知书时，由中标人向采购代理机构一次性支付全部招标代理服务费</w:t>
            </w:r>
          </w:p>
          <w:p w14:paraId="51E0F0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招标代理服务费收款账户：</w:t>
            </w:r>
          </w:p>
          <w:p w14:paraId="469166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单位全称：新疆世纪星工程咨询有限公司</w:t>
            </w:r>
          </w:p>
          <w:p w14:paraId="756D54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 户 行：交通银行股份有限公司乌鲁木齐卫星路支行</w:t>
            </w:r>
          </w:p>
          <w:p w14:paraId="3A5F36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帐    号：651651056018800020157</w:t>
            </w:r>
          </w:p>
          <w:p w14:paraId="1567C7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行    号：301881000569</w:t>
            </w:r>
          </w:p>
        </w:tc>
      </w:tr>
      <w:tr w14:paraId="472FD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1094" w:type="dxa"/>
            <w:tcBorders>
              <w:tl2br w:val="nil"/>
              <w:tr2bl w:val="nil"/>
            </w:tcBorders>
            <w:vAlign w:val="center"/>
          </w:tcPr>
          <w:p w14:paraId="7C657E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c>
          <w:tcPr>
            <w:tcW w:w="7428" w:type="dxa"/>
            <w:tcBorders>
              <w:tl2br w:val="nil"/>
              <w:tr2bl w:val="nil"/>
            </w:tcBorders>
            <w:vAlign w:val="center"/>
          </w:tcPr>
          <w:p w14:paraId="729C1E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接收询问和质疑的联系事项：</w:t>
            </w:r>
          </w:p>
          <w:p w14:paraId="440200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1、询问</w:t>
            </w:r>
          </w:p>
          <w:p w14:paraId="7EDAF3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提出询问方式：电话、信函、电子邮件等方式</w:t>
            </w:r>
          </w:p>
          <w:p w14:paraId="21537D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联系部门、联系电话、通讯地址：见第一章《招标公告》中的采购代理机构信息和项目联系方式。</w:t>
            </w:r>
          </w:p>
          <w:p w14:paraId="64A391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2、质疑</w:t>
            </w:r>
          </w:p>
          <w:p w14:paraId="2B673A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质疑函递交方式：邮寄、快递、电子邮件或当面递交方式，通过邮寄、快递方式提出的，提出时间以邮寄件上的寄出邮戳时间、快递件上签注的寄出时间为准。</w:t>
            </w:r>
          </w:p>
          <w:p w14:paraId="7F7592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联系部门：新疆世纪星工程咨询有限公司招标部</w:t>
            </w:r>
          </w:p>
          <w:p w14:paraId="0130E7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联系人、联系电话：    0991-3678303</w:t>
            </w:r>
          </w:p>
          <w:p w14:paraId="45D16A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电子邮箱：1484134741@qq.com</w:t>
            </w:r>
          </w:p>
          <w:p w14:paraId="22F401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通讯地址：乌鲁木齐经济技术开发区二期黄山街一品九点阳光德港大厦B座20楼</w:t>
            </w:r>
          </w:p>
          <w:p w14:paraId="4B1864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其他要求：质疑书、授权委托书及报名成功截图PDF扫描件发送至代理机构邮箱，以上资料原件邮寄或送至代理机构。</w:t>
            </w:r>
          </w:p>
        </w:tc>
      </w:tr>
      <w:tr w14:paraId="4689F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l2br w:val="nil"/>
              <w:tr2bl w:val="nil"/>
            </w:tcBorders>
            <w:vAlign w:val="center"/>
          </w:tcPr>
          <w:p w14:paraId="19875C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适用于本供应商须知的额外增加的变动：</w:t>
            </w:r>
          </w:p>
        </w:tc>
      </w:tr>
      <w:tr w14:paraId="64C79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l2br w:val="nil"/>
              <w:tr2bl w:val="nil"/>
            </w:tcBorders>
            <w:vAlign w:val="center"/>
          </w:tcPr>
          <w:p w14:paraId="5B141F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核心产品：</w:t>
            </w:r>
          </w:p>
          <w:p w14:paraId="4368B0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□本项目为单一产品采购项目。</w:t>
            </w:r>
          </w:p>
          <w:p w14:paraId="729C0A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☑本项目为非单一产品采购项目，核心产品为：</w:t>
            </w:r>
            <w:r>
              <w:rPr>
                <w:rFonts w:hint="eastAsia" w:ascii="仿宋" w:hAnsi="仿宋" w:eastAsia="仿宋" w:cs="仿宋"/>
                <w:b w:val="0"/>
                <w:bCs w:val="0"/>
                <w:sz w:val="24"/>
                <w:szCs w:val="24"/>
                <w:highlight w:val="none"/>
                <w:u w:val="single"/>
                <w:vertAlign w:val="baseline"/>
                <w:lang w:val="en-US" w:eastAsia="zh-CN"/>
              </w:rPr>
              <w:t>蝴蝶兰</w:t>
            </w:r>
          </w:p>
          <w:p w14:paraId="03A313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vertAlign w:val="baseline"/>
                <w:lang w:val="en-US" w:eastAsia="zh-CN"/>
              </w:rPr>
              <w:t>注：若不单独标明核心产品则所有产品均被视为核心产品</w:t>
            </w:r>
          </w:p>
        </w:tc>
      </w:tr>
      <w:tr w14:paraId="603B1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l2br w:val="nil"/>
              <w:tr2bl w:val="nil"/>
            </w:tcBorders>
            <w:vAlign w:val="center"/>
          </w:tcPr>
          <w:p w14:paraId="47E602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评标方法：最低评审价法</w:t>
            </w:r>
          </w:p>
        </w:tc>
      </w:tr>
      <w:tr w14:paraId="04DC2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l2br w:val="nil"/>
              <w:tr2bl w:val="nil"/>
            </w:tcBorders>
            <w:vAlign w:val="center"/>
          </w:tcPr>
          <w:p w14:paraId="093900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项目属性：货物</w:t>
            </w:r>
          </w:p>
        </w:tc>
      </w:tr>
      <w:tr w14:paraId="39537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1FA377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适用于本供应商须知的额外增加的变动：</w:t>
            </w:r>
          </w:p>
          <w:p w14:paraId="23EDD9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1、关于本项目所有公告、公示在新疆政府采购网（http://www.ccgp-xinjiang.gov.cn）发布。</w:t>
            </w:r>
          </w:p>
          <w:p w14:paraId="22173D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2、请供应商随时关注本项目的澄清、答疑、变更事项。</w:t>
            </w:r>
          </w:p>
          <w:p w14:paraId="30E219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3、本项目实行电子招投标，供应商须登录政采云平台申请获取招标（采购）文件，并通过政采云电子投标客户端制作投标（响应）文件，同时自行承担与投标有关的一切费用。</w:t>
            </w:r>
          </w:p>
          <w:p w14:paraId="341762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0AA6C7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5、有意向参与本项目的供应商，可访问新疆数字证书认证中心官方网站（https://www.xjca.com.cn/）或下载“新疆政务通”APP自行进行申领CA锁。如需咨询，请联系新疆CA服务热线0991-2819290。</w:t>
            </w:r>
          </w:p>
          <w:p w14:paraId="1EF36C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09447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本项目采用不见面开标，供应商须在投标截止时间前通过CA在政采云平台上传加密的电子投标（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15076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4"/>
                <w:szCs w:val="24"/>
                <w:highlight w:val="none"/>
                <w:vertAlign w:val="baseline"/>
                <w:lang w:val="en-US" w:eastAsia="zh-CN"/>
              </w:rPr>
              <w:t>本项目投标（响应）文件解密时间定为30分钟，如供应商因自身原因导致在规定的时间未能成功解密的视为放弃投标（响应）。</w:t>
            </w:r>
          </w:p>
          <w:p w14:paraId="2178F5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9、供应商进行远程电子开标的，签到、解密及开标结果确认的操作均在开标过程中适时开启，请供应商务必密切关注开标进程，并应在政采云平台按时完成相应操作，否则产生的后果由供应商自行承担。</w:t>
            </w:r>
          </w:p>
          <w:p w14:paraId="1891AA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10、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400376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11、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4814A2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12、本须知前附表是对供应商须知正文部分对应条款的补充、细化，供应商阅读时应与正文部分一并阅读，供应商须知前附表与正文部分不一致处，应以供应商须知前附表为准。 </w:t>
            </w:r>
          </w:p>
          <w:p w14:paraId="3FB99A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符号表示本招标（采购）文件选定的内容；“□”符号表示本招标（采购）文件未选定的内容；空格中的“/”表示没有具体内容。供应商投标（响应）时请按“☑符号”选定的内容和要求参加投标（响应）。</w:t>
            </w:r>
          </w:p>
          <w:p w14:paraId="01FACC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14、与合同履行有关条款中注明的“甲方”、“买方”，在招标投标阶段按“采购人、招标人”理解；注明的“乙方”、“卖方”，按“投标人、供应商”理解。</w:t>
            </w:r>
          </w:p>
          <w:p w14:paraId="4B1757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15、供应商必须认真阅读招标（采购）文件中所有的事项、格式、条款和采购需求等。供应商没有按照招标（采购）文件要求提交全部资料，或者投标（响应）文件没有对招标（采购）文件在各方面都做出实质性响应的可能导致其投标（响应）无效或被拒绝。</w:t>
            </w:r>
          </w:p>
          <w:p w14:paraId="605768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16、异常低价审查：评审委员会认为投标人报价过低，有可能影响产品质量或者不能诚信履约的，评审委员会启动异常低价投标（响应）审查后，应当要求相关投标人在评审现场合理的时间内提供书面说明及必要的证明材料,证明材料包括（1）报价合理性说明，对项目包括人工、材料（如有）、利润、税金及其它成本的分析及测算。（2）以往项目同类产品的成交金额，如中标（成交）通知书或交易发票或合同。如未有同类产品交易的则无须提供（2）项的证明材料。被启动异常低价审查的投标人，如果不提供书面说明、证明材料，或者提供的书面说明、证明材料不能证明其报价合理性的，应当将其作为无效投标（响应）处理。</w:t>
            </w:r>
          </w:p>
        </w:tc>
      </w:tr>
    </w:tbl>
    <w:p w14:paraId="4ED1AA18">
      <w:pPr>
        <w:pStyle w:val="26"/>
        <w:rPr>
          <w:rFonts w:hint="eastAsia" w:ascii="仿宋" w:hAnsi="仿宋" w:eastAsia="仿宋" w:cs="仿宋"/>
          <w:highlight w:val="none"/>
          <w:lang w:val="en-US" w:eastAsia="zh-CN"/>
        </w:rPr>
      </w:pPr>
    </w:p>
    <w:p w14:paraId="1F7DE6D5">
      <w:pPr>
        <w:pStyle w:val="23"/>
        <w:rPr>
          <w:rFonts w:hint="eastAsia" w:ascii="仿宋" w:hAnsi="仿宋" w:eastAsia="仿宋" w:cs="仿宋"/>
          <w:highlight w:val="none"/>
          <w:lang w:val="en-US" w:eastAsia="zh-CN"/>
        </w:rPr>
      </w:pPr>
    </w:p>
    <w:p w14:paraId="0737301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3AD57C">
      <w:pPr>
        <w:pStyle w:val="2"/>
        <w:numPr>
          <w:ilvl w:val="0"/>
          <w:numId w:val="4"/>
        </w:numPr>
        <w:bidi w:val="0"/>
        <w:jc w:val="center"/>
        <w:rPr>
          <w:rFonts w:hint="eastAsia" w:ascii="仿宋" w:hAnsi="仿宋" w:eastAsia="仿宋" w:cs="仿宋"/>
          <w:highlight w:val="none"/>
          <w:lang w:val="en-US" w:eastAsia="zh-CN"/>
        </w:rPr>
      </w:pPr>
      <w:bookmarkStart w:id="20" w:name="_Toc10355"/>
      <w:bookmarkStart w:id="21" w:name="_Toc23225"/>
      <w:r>
        <w:rPr>
          <w:rFonts w:hint="eastAsia" w:ascii="仿宋" w:hAnsi="仿宋" w:eastAsia="仿宋" w:cs="仿宋"/>
          <w:highlight w:val="none"/>
          <w:lang w:val="en-US" w:eastAsia="zh-CN"/>
        </w:rPr>
        <w:t>供应商须知</w:t>
      </w:r>
      <w:bookmarkEnd w:id="20"/>
      <w:bookmarkEnd w:id="21"/>
    </w:p>
    <w:p w14:paraId="39B909BD">
      <w:pPr>
        <w:pStyle w:val="3"/>
        <w:pageBreakBefore w:val="0"/>
        <w:widowControl w:val="0"/>
        <w:numPr>
          <w:ilvl w:val="0"/>
          <w:numId w:val="5"/>
        </w:numPr>
        <w:kinsoku/>
        <w:wordWrap/>
        <w:overflowPunct/>
        <w:topLinePunct w:val="0"/>
        <w:autoSpaceDE/>
        <w:autoSpaceDN/>
        <w:bidi w:val="0"/>
        <w:adjustRightInd/>
        <w:snapToGrid/>
        <w:spacing w:line="420" w:lineRule="exact"/>
        <w:textAlignment w:val="auto"/>
        <w:rPr>
          <w:rFonts w:hint="eastAsia" w:ascii="仿宋" w:hAnsi="仿宋" w:eastAsia="仿宋" w:cs="仿宋"/>
          <w:highlight w:val="none"/>
        </w:rPr>
      </w:pPr>
      <w:bookmarkStart w:id="22" w:name="_Toc19791"/>
      <w:bookmarkStart w:id="23" w:name="_Toc15221"/>
      <w:r>
        <w:rPr>
          <w:rFonts w:hint="eastAsia" w:ascii="仿宋" w:hAnsi="仿宋" w:eastAsia="仿宋" w:cs="仿宋"/>
          <w:highlight w:val="none"/>
        </w:rPr>
        <w:t>说 明</w:t>
      </w:r>
      <w:bookmarkEnd w:id="22"/>
      <w:bookmarkEnd w:id="23"/>
    </w:p>
    <w:p w14:paraId="717E002D">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18F005F6">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19444285">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采购代理机构：本次招标的采购代理机构为新疆世纪星工程咨询有限公司，负责本次采购活动的组织实施，依法编制和发布采购文件，并依据法律法规及采购文件规定对相关内容进行解释。</w:t>
      </w:r>
    </w:p>
    <w:p w14:paraId="77694BD7">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供应商（也称“投标人”、“申请人”、“乙方”）：指向采购人提供货物、工程或者服务的法人、其他组织或者自然人。</w:t>
      </w:r>
    </w:p>
    <w:p w14:paraId="6D113FDB">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269FD10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077A64B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740839B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5F35DD60">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2FB722FE">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34A3140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16927D7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5DC7F88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C22508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56FDAB5D">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71EF3CFE">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30567045">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40BA665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22C5706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132857C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AA79F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78AA5B9D">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317AE81E">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26812276">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6C62B73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2CF7341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13F9924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7ABF0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58F7DB3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3265C94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424133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7797B97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2A8C53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58AE63A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3E4F394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3D3E6346">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0454176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1FBD06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E77C8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351C334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77CAF57A">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网络安全专用产品（如涉及）</w:t>
      </w:r>
    </w:p>
    <w:p w14:paraId="25BB293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A940E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5C89A2B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b w:val="0"/>
          <w:bCs w:val="0"/>
          <w:sz w:val="24"/>
          <w:szCs w:val="24"/>
          <w:highlight w:val="none"/>
          <w:u w:val="single"/>
          <w:lang w:val="en-US" w:eastAsia="zh-CN"/>
        </w:rPr>
        <w:t>见供应商须知前附表。</w:t>
      </w:r>
    </w:p>
    <w:p w14:paraId="50EFC51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227880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采购人、采购代理机构应当随中标、成交结果同时公告中标、成交供应商提供的《关于符合本国产品标准的声明函》或有关证明文件。</w:t>
      </w:r>
    </w:p>
    <w:p w14:paraId="2CAC8441">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08EFBEF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两个以上供应商可以组成一个投标联合体，以一个供应商的身份投标。  </w:t>
      </w:r>
    </w:p>
    <w:p w14:paraId="3765856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17F88F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3738BB6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4AF7984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谈判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7315F84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4E8519F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B325524">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54B83C3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65F9691C">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20B959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本项目的采购人已获得足以支付本次采购后所签订的合同项下的资金（包括财政性资金和本项目采购中无法与财政性资金分割的非财政性资金）。 </w:t>
      </w:r>
    </w:p>
    <w:p w14:paraId="407A1AE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30870B7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供应商最后报价超过采购文件规定的预算金额或者最高限价的，其响应文件将被认定为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05BD624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07A9113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401ACEB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5767545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谈判小组的相关行为均受《中华人民共和国政府采购法》、《中华人民共和国政府采购法实施条例》、和《政府采购非招标采购方式管理办法》（财政部令第74号）及本项目本级和上级财政部门政府采购有关规定的约束，其权利受到上述法律法规的保护。</w:t>
      </w:r>
    </w:p>
    <w:p w14:paraId="7AFD3D1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highlight w:val="none"/>
          <w:lang w:val="en-US" w:eastAsia="zh-CN"/>
        </w:rPr>
      </w:pPr>
    </w:p>
    <w:p w14:paraId="4C5F081A">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4" w:name="_Toc14068"/>
      <w:r>
        <w:rPr>
          <w:rFonts w:hint="eastAsia" w:ascii="仿宋" w:hAnsi="仿宋" w:eastAsia="仿宋" w:cs="仿宋"/>
          <w:b/>
          <w:bCs/>
          <w:sz w:val="24"/>
          <w:szCs w:val="24"/>
          <w:highlight w:val="none"/>
          <w:lang w:val="en-US" w:eastAsia="zh-CN"/>
        </w:rPr>
        <w:t>采购文件</w:t>
      </w:r>
      <w:bookmarkEnd w:id="24"/>
    </w:p>
    <w:p w14:paraId="07A8767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2185875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2206B4F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采购公告 </w:t>
      </w:r>
    </w:p>
    <w:p w14:paraId="709C265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019F25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4232D5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49801E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7E0C31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638F16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7E874DA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无效响应。</w:t>
      </w:r>
    </w:p>
    <w:p w14:paraId="5A0B5C8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796CB3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13B9972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采购人召开答疑会的，将在采购文件提供期限截止后以书面形式通知所有获取采购文件的潜在供应商。</w:t>
      </w:r>
    </w:p>
    <w:p w14:paraId="1EF9C64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样品（演示）</w:t>
      </w:r>
    </w:p>
    <w:p w14:paraId="3820CB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w:t>
      </w:r>
      <w:r>
        <w:rPr>
          <w:rFonts w:hint="eastAsia" w:ascii="仿宋" w:hAnsi="仿宋" w:eastAsia="仿宋" w:cs="仿宋"/>
          <w:b w:val="0"/>
          <w:bCs w:val="0"/>
          <w:sz w:val="24"/>
          <w:szCs w:val="24"/>
          <w:highlight w:val="none"/>
          <w:u w:val="single"/>
          <w:lang w:val="en-US" w:eastAsia="zh-CN"/>
        </w:rPr>
        <w:t>见供应商须知前附表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0329EAD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采购文件规定供应商提交样品的，样品属于响应文件的组成部分。样品的生产、运输、安装、保全等一切费用由供应商自理。</w:t>
      </w:r>
    </w:p>
    <w:p w14:paraId="6C1E91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响应截止时间前，供应商应将样品送达至指定地点。若需要现场演示的，供应商应提前做好演示准备（包括演示设备）。</w:t>
      </w:r>
    </w:p>
    <w:p w14:paraId="40E63E6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42FA3E2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采购人组织现场考察的，所有供应商应按《供应商须知前附表》规定的时间、地点前往参加现场考察活动。供应商如不参加，其风险由供应商自行承担，采购人不承担任何责任。</w:t>
      </w:r>
    </w:p>
    <w:p w14:paraId="335F545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现场考察中口头介绍的情况，除采购人事后形成书面记录、并以更正公告的形式发布、构成采购文件的组成部分以外，其他内容仅供供应商在编制投标（响应）文件时参考，采购人不对供应商据此作出的判断和决策负责。</w:t>
      </w:r>
    </w:p>
    <w:p w14:paraId="3FE41DE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供应商现场考察发生的费用由其自理。</w:t>
      </w:r>
    </w:p>
    <w:p w14:paraId="1F77648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66A8F05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72016BD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1F96D57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澄清或者修改的内容为采购文件的组成部分，并对所有获取采购文件的供应商具有约束力。澄清或者修改的内容可能影响采购文件编制的，将在响应截止时间至少 3 日前发布；不足 3 日的，将顺延提交响应文件的截止时间和开标时间。</w:t>
      </w:r>
    </w:p>
    <w:p w14:paraId="2B390B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为了保证对采购文件的澄清和修改满足法律的时限要求，任何要求对采购文件进行澄清的供应商，均应在响应截止期 3 日前，以书面形式将澄清要求通知采购人或采购代理机构。</w:t>
      </w:r>
    </w:p>
    <w:p w14:paraId="46A8EE2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如更正公告有重新发布采购文件的，供应商应登录电子招投标平台下载最新发布的采购文件制作响应文件。</w:t>
      </w:r>
    </w:p>
    <w:p w14:paraId="435CEF2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供应商在规定的时间内未对采购文件提出疑问、质疑或要求澄清的，将视其为无异议。对采购文件中描述有歧义或前后不一致的地方，谈判小组有权进行评判，但对同一条款的评判应适用于每个供应商。</w:t>
      </w:r>
    </w:p>
    <w:p w14:paraId="1ABD29F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3A86999C">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5" w:name="_Toc19528"/>
      <w:bookmarkStart w:id="26" w:name="_Toc21574"/>
      <w:r>
        <w:rPr>
          <w:rFonts w:hint="eastAsia" w:ascii="仿宋" w:hAnsi="仿宋" w:eastAsia="仿宋" w:cs="仿宋"/>
          <w:b/>
          <w:bCs/>
          <w:sz w:val="24"/>
          <w:szCs w:val="24"/>
          <w:highlight w:val="none"/>
          <w:lang w:val="en-US" w:eastAsia="zh-CN"/>
        </w:rPr>
        <w:t>响应文件的编制</w:t>
      </w:r>
      <w:bookmarkEnd w:id="25"/>
      <w:bookmarkEnd w:id="26"/>
    </w:p>
    <w:p w14:paraId="56D2412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响应范围、响应文件中计量单位的使用及语言</w:t>
      </w:r>
    </w:p>
    <w:p w14:paraId="74A07D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供应商可对采购文件中一个或几个分包（标项）进行响应，除非在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5ED319A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5015841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325B38C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除采购文件有特殊要求外，本项目谈判所使用的计量单位，应采用中华人民共和国法定计量单位。</w:t>
      </w:r>
    </w:p>
    <w:p w14:paraId="44098E8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4F1C4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4C89C93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6F0BD2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6DB5B6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5C6E89F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1857370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03F7CC6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3BE19E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供应商所提供的货物和服务均应以人民币报价，除在采购文件另有规定外（如：报折扣、报优惠率等）。</w:t>
      </w:r>
    </w:p>
    <w:p w14:paraId="1FE9A52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完成本次招标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49EB7D1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供应商所报的各分项响应单价在合同履行过程中是固定不变的，不得以任何理由予以变更。任何包含价格调整要求的响应或有选择性或可调整的报价（谈判文件另有规定的除外），将被认定为其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0F9EEEA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0A7A338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谈判保证金</w:t>
      </w:r>
    </w:p>
    <w:p w14:paraId="763CA35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中规定的金额及要求交纳保证金，并作为其响应文件的一部分。，任何未提交或提交无效的谈判保证金的响应，将按响应无效处理。</w:t>
      </w:r>
    </w:p>
    <w:p w14:paraId="373170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72C8C79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到账（保函提交）截止时间同首次响应文件提交截止时间。以支票、汇票、本票、网上银行支付等形式提交投标保证金的，应在首次响应文件提交截止时间前到账；以金融机构、担保机构出具的保函等形式提交保证金的，应在首次响应文件提交截止时间前将原件提交至采购代理机构。由于到账时间晚于于首次响应文件提交截止时间的，或者票据错误、印鉴不清等原因导致不能到账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6546817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02F3F88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74FAAE5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联合体谈判的，可以由联合体中的一方或者共同提交保证金，以一方名义提交保证金（保函）的，对联合体各方均具有约束力。</w:t>
      </w:r>
    </w:p>
    <w:p w14:paraId="768DCC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D4D62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个工作日内退还已收取的保证金。 </w:t>
      </w:r>
    </w:p>
    <w:p w14:paraId="3C18A07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成交人的保证金，自采购合同签订之日起 5 个工作日内退还成交人。 </w:t>
      </w:r>
    </w:p>
    <w:p w14:paraId="53E37F9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未成交人的保证金，自成交通知书发出之日起 5 个工作日内退还未成交人。</w:t>
      </w:r>
    </w:p>
    <w:p w14:paraId="6273725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终止采购活动的项目已经收取保证金的，自终止采购活动后 5 个工作日内退还已收取的保证金。</w:t>
      </w:r>
    </w:p>
    <w:p w14:paraId="5929C5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有下列情形之一的，采购人或采购代理机构可以不予退还保证金：</w:t>
      </w:r>
    </w:p>
    <w:p w14:paraId="543C0F1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1975C92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412239E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1C22AFE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1FB8C23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50A826C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6D1A9B5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61D0116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5D6CFB3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07B5835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谈判保证金的要求须在延长的有效期内继续有效。供应商也可以拒绝延长响应文件有效期的要求，退还其谈判保证金。上述要求和答复都应以书面形式提交。</w:t>
      </w:r>
    </w:p>
    <w:p w14:paraId="5B4DE24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27D74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2AC0FFD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268F96C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如有对多个采购包（标项）响应的，要对每个采购包（标项）独立制作电子响应文件。</w:t>
      </w:r>
    </w:p>
    <w:p w14:paraId="75A7A67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519FBFE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采购文件中，凡标有“※”的地方均为实质性响应条款，供应商若有一项带“※”的条款未响应或不满足，将按响应无效处理。</w:t>
      </w:r>
    </w:p>
    <w:p w14:paraId="17D0DED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5EC875B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7" w:name="_Toc17590"/>
      <w:bookmarkStart w:id="28" w:name="_Toc14556"/>
      <w:r>
        <w:rPr>
          <w:rFonts w:hint="eastAsia" w:ascii="仿宋" w:hAnsi="仿宋" w:eastAsia="仿宋" w:cs="仿宋"/>
          <w:b/>
          <w:bCs/>
          <w:sz w:val="24"/>
          <w:szCs w:val="24"/>
          <w:highlight w:val="none"/>
          <w:lang w:val="en-US" w:eastAsia="zh-CN"/>
        </w:rPr>
        <w:t>响应文件的提交</w:t>
      </w:r>
      <w:bookmarkEnd w:id="27"/>
      <w:bookmarkEnd w:id="28"/>
    </w:p>
    <w:p w14:paraId="18C12C2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6FF74F9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5984E8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595388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76237C0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73EA0E4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7590871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5215791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3C69ECC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69A687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651246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6899AB68">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9" w:name="_Toc20875"/>
      <w:bookmarkStart w:id="30" w:name="_Toc25758"/>
      <w:r>
        <w:rPr>
          <w:rFonts w:hint="eastAsia" w:ascii="仿宋" w:hAnsi="仿宋" w:eastAsia="仿宋" w:cs="仿宋"/>
          <w:b/>
          <w:bCs/>
          <w:sz w:val="24"/>
          <w:szCs w:val="24"/>
          <w:highlight w:val="none"/>
          <w:lang w:val="en-US" w:eastAsia="zh-CN"/>
        </w:rPr>
        <w:t>开标及评标</w:t>
      </w:r>
      <w:bookmarkEnd w:id="29"/>
      <w:bookmarkEnd w:id="30"/>
    </w:p>
    <w:p w14:paraId="207FA8B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09E67E9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采购人和采购代理机构将按供应商须知前附表中规定的开标时间和地点组织公开开标并邀请所有供应商代表参加。开标为远程电子开标。</w:t>
      </w:r>
    </w:p>
    <w:p w14:paraId="1CDDA6C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2D9B09C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开标程序在政采云平台进行，所有上传投标文件的投标人应登陆政采云平台参加开标。电子开标步骤均按照政采云平台的规定进行操作。</w:t>
      </w:r>
    </w:p>
    <w:p w14:paraId="024DCC4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49C9DD0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标项）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处理。（如采购云平台开标程序有变化的，以最新的操作程序为准）。</w:t>
      </w:r>
    </w:p>
    <w:p w14:paraId="3C72CE5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666BEF9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响应截止时间后，供应商不足3家的，不得开标。同时，本次采购活动结束。 </w:t>
      </w:r>
    </w:p>
    <w:p w14:paraId="3BE08E2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11D3D0A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3C4A29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谈判小组依据法律法规和采购文件中规定的内容，对供应商及其投标货物或服务的资格进行审查，未通过资格审查的供应商不进入评标；资格证明文件不按电子招投标平台要求编制导致系统无法检索、读取相关信息时，将被认定为未通过资格审查；通过资格审查的供应商少于三家的，不进行评标。 </w:t>
      </w:r>
    </w:p>
    <w:p w14:paraId="551FE38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387184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16AB2B5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谈判小组</w:t>
      </w:r>
    </w:p>
    <w:p w14:paraId="58BF5A4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谈判小组根据政府采购有关规定和本次采购项目的特点进行组建，并负责具体评标事务，独立履行职责。 </w:t>
      </w:r>
    </w:p>
    <w:p w14:paraId="37CFE4F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A18113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671D00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55F575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33D02ABA">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31" w:name="_Toc4605"/>
      <w:bookmarkStart w:id="32" w:name="_Toc9690"/>
      <w:r>
        <w:rPr>
          <w:rFonts w:hint="eastAsia" w:ascii="仿宋" w:hAnsi="仿宋" w:eastAsia="仿宋" w:cs="仿宋"/>
          <w:b/>
          <w:bCs/>
          <w:sz w:val="24"/>
          <w:szCs w:val="24"/>
          <w:highlight w:val="none"/>
          <w:lang w:val="en-US" w:eastAsia="zh-CN"/>
        </w:rPr>
        <w:t>确定成交</w:t>
      </w:r>
      <w:bookmarkEnd w:id="31"/>
      <w:bookmarkEnd w:id="32"/>
    </w:p>
    <w:p w14:paraId="78DD6E1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5B66116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采购人从评审报告提出的成交候选人中，根据质量和服务均能满足采购文件实质性响应要求且最后报价最低的原则确定成交供应商，采购人是否委托谈判小组直接确定成交人见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9F246C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74AFE3E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采购人或采购代理机构自成交人确定之日起 2 个工作日内，在公告发布媒体发布成交结果，同时向成交人发出成交通知书，成交公告期限为 1 个工作日。</w:t>
      </w:r>
    </w:p>
    <w:p w14:paraId="02D9F8C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68EDC57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CFE54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19.1在采购活动中，出现下列情形之一的，应予废标：</w:t>
      </w:r>
    </w:p>
    <w:p w14:paraId="7E2F545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在采购过程中符合要求的供应商或者报价未超过采购预算的供应商不足3家的；</w:t>
      </w:r>
    </w:p>
    <w:p w14:paraId="23878AE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73D1C98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2C613BF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6AD34B9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25F5272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4FC1AEB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4319BC9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w:t>
      </w:r>
    </w:p>
    <w:p w14:paraId="735F4B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3BED428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政府采购合同分包履行的，应当在响应文件中载明分包承担主体，分包承担主体应当具备相应资质条件且不得再次分包，否则响应无效。中标人就采购项目和分包项目向采购人负责，分包供应商就分包项目承担责任。</w:t>
      </w:r>
    </w:p>
    <w:p w14:paraId="70CDB9A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192CDB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2BDC96C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55D4BEA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如果成交人没有按照上述条款规定缴纳履约保证金，将视为放弃成交资格，成交人的谈判保证金将被没收。在此情况下，采购人可确定下一候选人为成交人，也可以重新开展政府采购活动。</w:t>
      </w:r>
    </w:p>
    <w:p w14:paraId="35E727A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1EADFD9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73C0B6B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7"/>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4D1FA365">
      <w:pPr>
        <w:pStyle w:val="16"/>
        <w:ind w:left="0" w:leftChars="0" w:firstLine="0" w:firstLineChars="0"/>
        <w:rPr>
          <w:rFonts w:hint="eastAsia" w:ascii="仿宋" w:hAnsi="仿宋" w:eastAsia="仿宋" w:cs="仿宋"/>
          <w:highlight w:val="none"/>
          <w:lang w:val="en-US" w:eastAsia="zh-CN"/>
        </w:rPr>
      </w:pPr>
    </w:p>
    <w:p w14:paraId="6AE1D33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6CCEBF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3E316B3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252B1E7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5513716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5809171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6A5BD3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287B8A9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5E16759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（3）对中标结果提出质疑的，为中标结果公告期限届满之日。</w:t>
      </w:r>
    </w:p>
    <w:p w14:paraId="5F2641F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97CBE6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质疑函须使用财政部制定的范本文件。供应商为自然人的，应当由本人签字；供应商为法人或者其他组织的，应当由法定代表人、主要负责人，或者其授权代表签字或者盖章，并加盖公章。</w:t>
      </w:r>
    </w:p>
    <w:p w14:paraId="626D76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67C5FFF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（1）供应商名称、地址、邮编、联系人及联系电话； </w:t>
      </w:r>
    </w:p>
    <w:p w14:paraId="37E2C4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02C43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46D4B72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1513DA8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5DCE98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7B3ACAC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176314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1F3C74A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2F917BB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非招标采购方式管理办法》（财政部令第74号）及本项目本级和上级财政部门政府采购有关规定。</w:t>
      </w:r>
    </w:p>
    <w:p w14:paraId="4CDB882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1BCBF3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C90E6E2">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27E026A3">
      <w:pPr>
        <w:pStyle w:val="2"/>
        <w:numPr>
          <w:ilvl w:val="0"/>
          <w:numId w:val="4"/>
        </w:numPr>
        <w:bidi w:val="0"/>
        <w:rPr>
          <w:rFonts w:hint="eastAsia" w:ascii="仿宋" w:hAnsi="仿宋" w:eastAsia="仿宋" w:cs="仿宋"/>
          <w:highlight w:val="none"/>
          <w:lang w:val="en-US" w:eastAsia="zh-CN"/>
        </w:rPr>
      </w:pPr>
      <w:bookmarkStart w:id="33" w:name="_Toc10374"/>
      <w:r>
        <w:rPr>
          <w:rFonts w:hint="eastAsia" w:ascii="仿宋" w:hAnsi="仿宋" w:eastAsia="仿宋" w:cs="仿宋"/>
          <w:highlight w:val="none"/>
          <w:lang w:val="en-US" w:eastAsia="zh-CN"/>
        </w:rPr>
        <w:t>政府采购合同</w:t>
      </w:r>
      <w:bookmarkEnd w:id="33"/>
    </w:p>
    <w:p w14:paraId="28B7A3A2">
      <w:pPr>
        <w:keepNext/>
        <w:keepLines/>
        <w:spacing w:line="440" w:lineRule="exact"/>
        <w:jc w:val="center"/>
        <w:outlineLvl w:val="1"/>
        <w:rPr>
          <w:rFonts w:hint="eastAsia" w:ascii="仿宋" w:hAnsi="仿宋" w:eastAsia="仿宋" w:cs="仿宋"/>
          <w:b/>
          <w:bCs/>
          <w:color w:val="000000"/>
          <w:sz w:val="24"/>
          <w:szCs w:val="21"/>
          <w:highlight w:val="none"/>
        </w:rPr>
      </w:pPr>
      <w:r>
        <w:rPr>
          <w:rFonts w:hint="eastAsia" w:ascii="仿宋" w:hAnsi="仿宋" w:eastAsia="仿宋" w:cs="仿宋"/>
          <w:b w:val="0"/>
          <w:bCs w:val="0"/>
          <w:sz w:val="24"/>
          <w:szCs w:val="24"/>
          <w:highlight w:val="none"/>
          <w:lang w:val="en-US" w:eastAsia="zh-CN"/>
        </w:rPr>
        <w:t xml:space="preserve"> </w:t>
      </w:r>
      <w:bookmarkStart w:id="34" w:name="_Toc155630082"/>
      <w:r>
        <w:rPr>
          <w:rFonts w:hint="eastAsia" w:ascii="仿宋" w:hAnsi="仿宋" w:eastAsia="仿宋" w:cs="仿宋"/>
          <w:b/>
          <w:bCs/>
          <w:color w:val="000000"/>
          <w:sz w:val="24"/>
          <w:szCs w:val="21"/>
          <w:highlight w:val="none"/>
        </w:rPr>
        <w:t>（本合同仅供参考，具体以实际签订为准）</w:t>
      </w:r>
      <w:bookmarkEnd w:id="34"/>
    </w:p>
    <w:p w14:paraId="46358C28">
      <w:pPr>
        <w:pStyle w:val="16"/>
        <w:rPr>
          <w:rFonts w:hint="eastAsia" w:ascii="仿宋" w:hAnsi="仿宋" w:eastAsia="仿宋" w:cs="仿宋"/>
          <w:b/>
          <w:bCs/>
          <w:color w:val="000000"/>
          <w:sz w:val="24"/>
          <w:szCs w:val="21"/>
          <w:highlight w:val="none"/>
        </w:rPr>
      </w:pPr>
    </w:p>
    <w:p w14:paraId="2E584DC2">
      <w:pPr>
        <w:pStyle w:val="12"/>
        <w:jc w:val="center"/>
        <w:rPr>
          <w:rFonts w:hint="eastAsia" w:ascii="仿宋" w:hAnsi="仿宋" w:eastAsia="仿宋" w:cs="仿宋"/>
          <w:b/>
          <w:bCs/>
          <w:spacing w:val="-20"/>
          <w:kern w:val="44"/>
          <w:sz w:val="48"/>
          <w:szCs w:val="48"/>
          <w:highlight w:val="none"/>
        </w:rPr>
      </w:pPr>
    </w:p>
    <w:p w14:paraId="5EB41531">
      <w:pPr>
        <w:pStyle w:val="12"/>
        <w:jc w:val="center"/>
        <w:rPr>
          <w:rFonts w:hint="eastAsia" w:ascii="仿宋" w:hAnsi="仿宋" w:eastAsia="仿宋" w:cs="仿宋"/>
          <w:b/>
          <w:bCs/>
          <w:spacing w:val="-20"/>
          <w:kern w:val="44"/>
          <w:sz w:val="48"/>
          <w:szCs w:val="48"/>
          <w:highlight w:val="none"/>
        </w:rPr>
      </w:pPr>
    </w:p>
    <w:p w14:paraId="5A02ABE0">
      <w:pPr>
        <w:pStyle w:val="12"/>
        <w:jc w:val="center"/>
        <w:rPr>
          <w:rFonts w:hint="eastAsia" w:ascii="仿宋" w:hAnsi="仿宋" w:eastAsia="仿宋" w:cs="仿宋"/>
          <w:b/>
          <w:bCs/>
          <w:spacing w:val="-20"/>
          <w:kern w:val="44"/>
          <w:sz w:val="48"/>
          <w:szCs w:val="48"/>
          <w:highlight w:val="none"/>
        </w:rPr>
      </w:pPr>
    </w:p>
    <w:p w14:paraId="11DF9961">
      <w:pPr>
        <w:pStyle w:val="12"/>
        <w:jc w:val="center"/>
        <w:rPr>
          <w:rFonts w:hint="eastAsia"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政府采购货物买卖合同</w:t>
      </w:r>
    </w:p>
    <w:p w14:paraId="38239A0B">
      <w:pPr>
        <w:pStyle w:val="12"/>
        <w:jc w:val="center"/>
        <w:rPr>
          <w:rFonts w:hint="eastAsia"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（试行）</w:t>
      </w:r>
    </w:p>
    <w:p w14:paraId="21ECBF42">
      <w:pPr>
        <w:rPr>
          <w:rFonts w:hint="eastAsia" w:ascii="仿宋" w:hAnsi="仿宋" w:eastAsia="仿宋" w:cs="仿宋"/>
          <w:b/>
          <w:bCs/>
          <w:spacing w:val="-20"/>
          <w:kern w:val="44"/>
          <w:sz w:val="40"/>
          <w:szCs w:val="40"/>
          <w:highlight w:val="none"/>
        </w:rPr>
      </w:pPr>
    </w:p>
    <w:p w14:paraId="12F36D74">
      <w:pPr>
        <w:rPr>
          <w:rFonts w:hint="eastAsia" w:ascii="仿宋" w:hAnsi="仿宋" w:eastAsia="仿宋" w:cs="仿宋"/>
          <w:b/>
          <w:bCs/>
          <w:spacing w:val="-20"/>
          <w:kern w:val="44"/>
          <w:sz w:val="40"/>
          <w:szCs w:val="40"/>
          <w:highlight w:val="none"/>
        </w:rPr>
      </w:pPr>
    </w:p>
    <w:p w14:paraId="34E7FCF5">
      <w:pPr>
        <w:rPr>
          <w:rFonts w:hint="eastAsia" w:ascii="仿宋" w:hAnsi="仿宋" w:eastAsia="仿宋" w:cs="仿宋"/>
          <w:b/>
          <w:bCs/>
          <w:spacing w:val="-20"/>
          <w:kern w:val="44"/>
          <w:sz w:val="40"/>
          <w:szCs w:val="40"/>
          <w:highlight w:val="none"/>
        </w:rPr>
      </w:pPr>
    </w:p>
    <w:p w14:paraId="27781BFC">
      <w:pPr>
        <w:spacing w:line="360" w:lineRule="auto"/>
        <w:ind w:left="480" w:left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项目名称：</w:t>
      </w:r>
      <w:r>
        <w:rPr>
          <w:rFonts w:hint="eastAsia" w:ascii="仿宋" w:hAnsi="仿宋" w:eastAsia="仿宋" w:cs="仿宋"/>
          <w:sz w:val="32"/>
          <w:szCs w:val="32"/>
          <w:highlight w:val="none"/>
          <w:u w:val="single"/>
        </w:rPr>
        <w:t xml:space="preserve">                             </w:t>
      </w:r>
    </w:p>
    <w:p w14:paraId="641697A7">
      <w:pPr>
        <w:spacing w:line="360" w:lineRule="auto"/>
        <w:ind w:left="48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u w:val="single"/>
        </w:rPr>
        <w:t xml:space="preserve">                             </w:t>
      </w:r>
    </w:p>
    <w:p w14:paraId="6A9B529A">
      <w:pPr>
        <w:spacing w:line="360" w:lineRule="auto"/>
        <w:ind w:left="48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w:t>
      </w:r>
      <w:r>
        <w:rPr>
          <w:rFonts w:hint="eastAsia" w:ascii="仿宋" w:hAnsi="仿宋" w:eastAsia="仿宋" w:cs="仿宋"/>
          <w:sz w:val="32"/>
          <w:szCs w:val="32"/>
          <w:highlight w:val="none"/>
          <w:u w:val="single"/>
        </w:rPr>
        <w:t xml:space="preserve">                             </w:t>
      </w:r>
    </w:p>
    <w:p w14:paraId="226D5BE7">
      <w:pPr>
        <w:spacing w:line="360" w:lineRule="auto"/>
        <w:ind w:left="48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u w:val="single"/>
        </w:rPr>
        <w:t xml:space="preserve">                             </w:t>
      </w:r>
    </w:p>
    <w:p w14:paraId="2DF13D62">
      <w:pPr>
        <w:spacing w:line="360" w:lineRule="auto"/>
        <w:ind w:left="48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签订时间：</w:t>
      </w:r>
      <w:r>
        <w:rPr>
          <w:rFonts w:hint="eastAsia" w:ascii="仿宋" w:hAnsi="仿宋" w:eastAsia="仿宋" w:cs="仿宋"/>
          <w:sz w:val="32"/>
          <w:szCs w:val="32"/>
          <w:highlight w:val="none"/>
          <w:u w:val="single"/>
        </w:rPr>
        <w:t xml:space="preserve">                             </w:t>
      </w:r>
    </w:p>
    <w:p w14:paraId="79A20ED6">
      <w:pPr>
        <w:pStyle w:val="26"/>
        <w:rPr>
          <w:highlight w:val="none"/>
        </w:rPr>
      </w:pPr>
    </w:p>
    <w:p w14:paraId="4B921A67">
      <w:pPr>
        <w:pStyle w:val="23"/>
        <w:rPr>
          <w:highlight w:val="none"/>
        </w:rPr>
      </w:pPr>
    </w:p>
    <w:p w14:paraId="6449F5E2">
      <w:pPr>
        <w:rPr>
          <w:highlight w:val="none"/>
        </w:rPr>
      </w:pPr>
    </w:p>
    <w:p w14:paraId="1474D23B">
      <w:pPr>
        <w:rPr>
          <w:highlight w:val="none"/>
        </w:rPr>
      </w:pPr>
    </w:p>
    <w:p w14:paraId="5F8499F0">
      <w:pPr>
        <w:rPr>
          <w:highlight w:val="none"/>
        </w:rPr>
      </w:pPr>
    </w:p>
    <w:p w14:paraId="606DD704">
      <w:pPr>
        <w:rPr>
          <w:highlight w:val="none"/>
        </w:rPr>
      </w:pPr>
    </w:p>
    <w:p w14:paraId="15FE1A23">
      <w:pPr>
        <w:rPr>
          <w:highlight w:val="none"/>
        </w:rPr>
      </w:pPr>
    </w:p>
    <w:p w14:paraId="47B9D658">
      <w:pPr>
        <w:pStyle w:val="3"/>
        <w:tabs>
          <w:tab w:val="left" w:pos="0"/>
          <w:tab w:val="left" w:pos="420"/>
        </w:tabs>
        <w:adjustRightInd w:val="0"/>
        <w:snapToGrid w:val="0"/>
        <w:spacing w:line="400" w:lineRule="exact"/>
        <w:jc w:val="center"/>
        <w:rPr>
          <w:rFonts w:hint="eastAsia" w:ascii="仿宋" w:hAnsi="仿宋" w:eastAsia="仿宋" w:cs="仿宋"/>
          <w:b w:val="0"/>
          <w:sz w:val="28"/>
          <w:szCs w:val="28"/>
          <w:highlight w:val="none"/>
        </w:rPr>
      </w:pPr>
      <w:bookmarkStart w:id="35" w:name="_Toc6651"/>
      <w:r>
        <w:rPr>
          <w:rFonts w:hint="eastAsia" w:ascii="仿宋" w:hAnsi="仿宋" w:eastAsia="仿宋" w:cs="仿宋"/>
          <w:b w:val="0"/>
          <w:sz w:val="28"/>
          <w:szCs w:val="28"/>
          <w:highlight w:val="none"/>
        </w:rPr>
        <w:t>第一节 政府采购合同协议书</w:t>
      </w:r>
      <w:bookmarkEnd w:id="35"/>
    </w:p>
    <w:p w14:paraId="3FF34BAC">
      <w:pPr>
        <w:rPr>
          <w:rFonts w:hint="eastAsia" w:ascii="仿宋" w:hAnsi="仿宋" w:eastAsia="仿宋" w:cs="仿宋"/>
          <w:highlight w:val="none"/>
        </w:rPr>
      </w:pPr>
    </w:p>
    <w:p w14:paraId="37320165">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（采购人、受采购人委托签订合同的单位或采购文件约定的合同甲方）</w:t>
      </w:r>
    </w:p>
    <w:p w14:paraId="51A9B51C">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乙方1（全称）：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w:t>
      </w:r>
    </w:p>
    <w:p w14:paraId="1375766C">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乙方2（全称）：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（联合体成员供应商或其他合同主体）（如有）</w:t>
      </w:r>
    </w:p>
    <w:p w14:paraId="05D8F885">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乙方3（全称）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（联合体成员供应商或其他合同主体）（如有）</w:t>
      </w:r>
    </w:p>
    <w:p w14:paraId="7001F477">
      <w:pPr>
        <w:rPr>
          <w:rFonts w:hint="eastAsia" w:ascii="仿宋" w:hAnsi="仿宋" w:eastAsia="仿宋" w:cs="仿宋"/>
          <w:sz w:val="24"/>
          <w:szCs w:val="24"/>
          <w:highlight w:val="none"/>
        </w:rPr>
      </w:pPr>
    </w:p>
    <w:p w14:paraId="5DB4DE93">
      <w:pPr>
        <w:pStyle w:val="13"/>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49B8D6E">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项目信息</w:t>
      </w:r>
    </w:p>
    <w:p w14:paraId="3DCB401B">
      <w:pPr>
        <w:pStyle w:val="13"/>
        <w:numPr>
          <w:ilvl w:val="0"/>
          <w:numId w:val="12"/>
        </w:numPr>
        <w:adjustRightInd w:val="0"/>
        <w:snapToGrid w:val="0"/>
        <w:spacing w:line="400" w:lineRule="exact"/>
        <w:ind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rPr>
        <w:t xml:space="preserve">                                          </w:t>
      </w:r>
    </w:p>
    <w:p w14:paraId="0CD3DACC">
      <w:pPr>
        <w:pStyle w:val="13"/>
        <w:tabs>
          <w:tab w:val="left" w:pos="999"/>
        </w:tabs>
        <w:adjustRightInd w:val="0"/>
        <w:snapToGrid w:val="0"/>
        <w:spacing w:line="4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采购项目编号：</w:t>
      </w:r>
      <w:r>
        <w:rPr>
          <w:rFonts w:hint="eastAsia" w:ascii="仿宋" w:hAnsi="仿宋" w:eastAsia="仿宋" w:cs="仿宋"/>
          <w:sz w:val="24"/>
          <w:szCs w:val="24"/>
          <w:highlight w:val="none"/>
          <w:u w:val="single"/>
        </w:rPr>
        <w:t xml:space="preserve">                                          </w:t>
      </w:r>
    </w:p>
    <w:p w14:paraId="71A5DEA5">
      <w:pPr>
        <w:pStyle w:val="13"/>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（2）采购计划编号：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D7E089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（3）项目内容：</w:t>
      </w:r>
    </w:p>
    <w:p w14:paraId="551AB822">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采购标的及数量（台/套</w:t>
      </w:r>
      <w:r>
        <w:rPr>
          <w:rFonts w:hint="eastAsia" w:ascii="仿宋" w:hAnsi="仿宋" w:eastAsia="仿宋" w:cs="仿宋"/>
          <w:sz w:val="24"/>
          <w:szCs w:val="24"/>
          <w:highlight w:val="none"/>
          <w:lang w:val="en"/>
        </w:rPr>
        <w:t>/个/架/组等</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4604756">
      <w:pPr>
        <w:adjustRightInd w:val="0"/>
        <w:snapToGrid w:val="0"/>
        <w:spacing w:line="400" w:lineRule="exact"/>
        <w:ind w:firstLine="480" w:firstLineChars="200"/>
        <w:rPr>
          <w:rFonts w:hint="eastAsia" w:ascii="仿宋" w:hAnsi="仿宋" w:eastAsia="仿宋" w:cs="仿宋"/>
          <w:sz w:val="24"/>
          <w:szCs w:val="24"/>
          <w:highlight w:val="none"/>
          <w:lang w:val="en"/>
        </w:rPr>
      </w:pP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en"/>
        </w:rPr>
        <w:t xml:space="preserve">     </w:t>
      </w:r>
      <w:r>
        <w:rPr>
          <w:rFonts w:hint="eastAsia" w:ascii="仿宋" w:hAnsi="仿宋" w:eastAsia="仿宋" w:cs="仿宋"/>
          <w:sz w:val="24"/>
          <w:szCs w:val="24"/>
          <w:highlight w:val="none"/>
        </w:rPr>
        <w:t>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p>
    <w:p w14:paraId="6B7D0013">
      <w:pPr>
        <w:adjustRightInd w:val="0"/>
        <w:snapToGrid w:val="0"/>
        <w:spacing w:line="4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采购标的的技术要求、商务要求具体见附件。</w:t>
      </w:r>
    </w:p>
    <w:p w14:paraId="26660328">
      <w:pPr>
        <w:adjustRightInd w:val="0"/>
        <w:snapToGrid w:val="0"/>
        <w:spacing w:line="400" w:lineRule="exact"/>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①涉及信息类产品，请填写该产品关键部件的品牌、型号：</w:t>
      </w:r>
    </w:p>
    <w:p w14:paraId="31C3249B">
      <w:pPr>
        <w:adjustRightInd w:val="0"/>
        <w:snapToGrid w:val="0"/>
        <w:spacing w:line="40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sz w:val="24"/>
          <w:szCs w:val="24"/>
          <w:highlight w:val="none"/>
        </w:rPr>
        <w:t xml:space="preserve">     标的名称：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
        </w:rPr>
        <w:t xml:space="preserve">               </w:t>
      </w:r>
      <w:r>
        <w:rPr>
          <w:rFonts w:hint="eastAsia" w:ascii="仿宋" w:hAnsi="仿宋" w:eastAsia="仿宋" w:cs="仿宋"/>
          <w:kern w:val="0"/>
          <w:sz w:val="24"/>
          <w:szCs w:val="24"/>
          <w:highlight w:val="none"/>
          <w:u w:val="single"/>
        </w:rPr>
        <w:t xml:space="preserve">    </w:t>
      </w:r>
    </w:p>
    <w:p w14:paraId="4EE2530B">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C6C6D13">
      <w:pPr>
        <w:pStyle w:val="3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关键部件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BE68794">
      <w:pPr>
        <w:pStyle w:val="3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p>
    <w:p w14:paraId="7E7BA505">
      <w:pPr>
        <w:pStyle w:val="3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ABFAC90">
      <w:pPr>
        <w:pStyle w:val="3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②涉及车辆采购，请填写是否属于新能源汽车：</w:t>
      </w:r>
    </w:p>
    <w:p w14:paraId="5A686AC8">
      <w:pPr>
        <w:pStyle w:val="3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数量：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9088CD5">
      <w:pPr>
        <w:pStyle w:val="3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16DAE846">
      <w:pPr>
        <w:pStyle w:val="3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4</w:t>
      </w:r>
      <w:r>
        <w:rPr>
          <w:rFonts w:hint="eastAsia" w:ascii="仿宋" w:hAnsi="仿宋" w:eastAsia="仿宋" w:cs="仿宋"/>
          <w:sz w:val="24"/>
          <w:szCs w:val="24"/>
          <w:highlight w:val="none"/>
        </w:rPr>
        <w:t>）政府采购组织形式：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政府集中采购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部门集中采购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分散采购</w:t>
      </w:r>
    </w:p>
    <w:p w14:paraId="5082A1E5">
      <w:pPr>
        <w:pStyle w:val="35"/>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5</w:t>
      </w:r>
      <w:r>
        <w:rPr>
          <w:rFonts w:hint="eastAsia" w:ascii="仿宋" w:hAnsi="仿宋" w:eastAsia="仿宋" w:cs="仿宋"/>
          <w:sz w:val="24"/>
          <w:szCs w:val="24"/>
          <w:highlight w:val="none"/>
        </w:rPr>
        <w:t>）政府采购方式：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公开招标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邀请招标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竞争性谈判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竞争性磋商</w:t>
      </w:r>
    </w:p>
    <w:p w14:paraId="1F8E8709">
      <w:pPr>
        <w:pStyle w:val="35"/>
        <w:snapToGrid w:val="0"/>
        <w:ind w:firstLine="42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询价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单一来源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框架协议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 xml:space="preserve">          </w:t>
      </w:r>
    </w:p>
    <w:p w14:paraId="052DB47C">
      <w:pPr>
        <w:pStyle w:val="35"/>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（注：在框架协议采购的第二阶段，可选择使用该合同文本）</w:t>
      </w:r>
    </w:p>
    <w:p w14:paraId="583DAE3C">
      <w:pPr>
        <w:pStyle w:val="35"/>
        <w:numPr>
          <w:ilvl w:val="0"/>
          <w:numId w:val="9"/>
        </w:numPr>
        <w:snapToGrid w:val="0"/>
        <w:ind w:left="0" w:leftChars="0"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中标（成交）采购标的制造商是否为中小企业：</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 xml:space="preserve">是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2B40354D">
      <w:pPr>
        <w:pStyle w:val="35"/>
        <w:numPr>
          <w:ilvl w:val="0"/>
          <w:numId w:val="0"/>
        </w:numPr>
        <w:snapToGrid w:val="0"/>
        <w:ind w:leftChars="0"/>
        <w:rPr>
          <w:rFonts w:hint="eastAsia" w:ascii="仿宋" w:hAnsi="仿宋" w:eastAsia="仿宋" w:cs="仿宋"/>
          <w:iCs/>
          <w:sz w:val="24"/>
          <w:szCs w:val="24"/>
          <w:highlight w:val="none"/>
        </w:rPr>
      </w:pPr>
      <w:r>
        <w:rPr>
          <w:rFonts w:hint="eastAsia" w:ascii="仿宋" w:hAnsi="仿宋" w:eastAsia="仿宋" w:cs="仿宋"/>
          <w:sz w:val="24"/>
          <w:szCs w:val="24"/>
          <w:highlight w:val="none"/>
        </w:rPr>
        <w:t>本合同是否为专门面向中小企业的采购合同（中小企业预留合同）：</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48DC6C8D">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若本项目不专门面向中小企业采购，是否给予小微企业评审优惠：</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508D95E">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中标（成交）采购标的制造商是否为残疾人福利性单位：</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374042A">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中标（成交）采购标的制造商是否为监狱企业：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6E84E931">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7</w:t>
      </w:r>
      <w:r>
        <w:rPr>
          <w:rFonts w:hint="eastAsia" w:ascii="仿宋" w:hAnsi="仿宋" w:eastAsia="仿宋" w:cs="仿宋"/>
          <w:sz w:val="24"/>
          <w:szCs w:val="24"/>
          <w:highlight w:val="none"/>
        </w:rPr>
        <w:t>）合同是否分包：</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4106435F">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分包主要内容：</w:t>
      </w:r>
      <w:r>
        <w:rPr>
          <w:rFonts w:hint="eastAsia" w:ascii="仿宋" w:hAnsi="仿宋" w:eastAsia="仿宋" w:cs="仿宋"/>
          <w:sz w:val="24"/>
          <w:szCs w:val="24"/>
          <w:highlight w:val="none"/>
          <w:u w:val="single"/>
        </w:rPr>
        <w:t xml:space="preserve">                                            </w:t>
      </w:r>
    </w:p>
    <w:p w14:paraId="5D89F808">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分包供应商/制造商名称（如供应商和制造商不同，请分别填写）：</w:t>
      </w:r>
    </w:p>
    <w:p w14:paraId="37CC7967">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71DEADF2">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分包供应商/制造商类型（如果供应商和制造商不同，只填写制造商类型）：</w:t>
      </w:r>
    </w:p>
    <w:p w14:paraId="1CB96595">
      <w:pPr>
        <w:adjustRightInd w:val="0"/>
        <w:snapToGrid w:val="0"/>
        <w:spacing w:line="400" w:lineRule="exact"/>
        <w:ind w:firstLine="960" w:firstLineChars="400"/>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大型企业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中型企业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小微型企业  </w:t>
      </w:r>
    </w:p>
    <w:p w14:paraId="154003FE">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残疾人福利性单位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监狱企业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p>
    <w:p w14:paraId="09DFDF29">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8</w:t>
      </w:r>
      <w:r>
        <w:rPr>
          <w:rFonts w:hint="eastAsia" w:ascii="仿宋" w:hAnsi="仿宋" w:eastAsia="仿宋" w:cs="仿宋"/>
          <w:sz w:val="24"/>
          <w:szCs w:val="24"/>
          <w:highlight w:val="none"/>
        </w:rPr>
        <w:t>）中标（成交）供应商是否为外商投资企业：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4352A18A">
      <w:pPr>
        <w:pStyle w:val="35"/>
        <w:tabs>
          <w:tab w:val="left" w:pos="1340"/>
        </w:tabs>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部分由外国投资者投资</w:t>
      </w:r>
    </w:p>
    <w:p w14:paraId="676817E6">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9</w:t>
      </w:r>
      <w:r>
        <w:rPr>
          <w:rFonts w:hint="eastAsia" w:ascii="仿宋" w:hAnsi="仿宋" w:eastAsia="仿宋" w:cs="仿宋"/>
          <w:sz w:val="24"/>
          <w:szCs w:val="24"/>
          <w:highlight w:val="none"/>
        </w:rPr>
        <w:t>）是否涉及进口产品：</w:t>
      </w:r>
    </w:p>
    <w:p w14:paraId="11DB23EF">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p>
    <w:p w14:paraId="2D2F5128">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国别：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451741D">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D5CF44B">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）是否涉及节能产品：</w:t>
      </w:r>
    </w:p>
    <w:p w14:paraId="62577F2C">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是，《节能产品政府采购品目清单》的底级品目名称：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63452702">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63369733">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364718BC">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是否涉及环境标志产品：</w:t>
      </w:r>
    </w:p>
    <w:p w14:paraId="1C7E36CD">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是，《环境标志产品政府采购品目清单》的底级品目名称：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533937C7">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346D8ADF">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AE23953">
      <w:pPr>
        <w:pStyle w:val="35"/>
        <w:snapToGrid w:val="0"/>
        <w:ind w:firstLine="0" w:firstLineChars="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是否涉及绿色产品： </w:t>
      </w:r>
    </w:p>
    <w:p w14:paraId="7A3AEE00">
      <w:pPr>
        <w:pStyle w:val="35"/>
        <w:ind w:firstLine="420" w:firstLineChars="0"/>
        <w:rPr>
          <w:rFonts w:hint="eastAsia" w:ascii="仿宋" w:hAnsi="仿宋" w:eastAsia="仿宋" w:cs="仿宋"/>
          <w:sz w:val="24"/>
          <w:szCs w:val="24"/>
          <w:highlight w:val="none"/>
          <w:u w:val="singl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是，绿色产品政府采购相关政策确定的底级品目名称：</w:t>
      </w:r>
      <w:r>
        <w:rPr>
          <w:rFonts w:hint="eastAsia" w:ascii="仿宋" w:hAnsi="仿宋" w:eastAsia="仿宋" w:cs="仿宋"/>
          <w:sz w:val="24"/>
          <w:szCs w:val="24"/>
          <w:highlight w:val="none"/>
          <w:u w:val="single"/>
        </w:rPr>
        <w:t xml:space="preserve">         </w:t>
      </w:r>
    </w:p>
    <w:p w14:paraId="46674D62">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12443BD2">
      <w:pPr>
        <w:pStyle w:val="35"/>
        <w:ind w:firstLine="42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21294A17">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1</w:t>
      </w:r>
      <w:r>
        <w:rPr>
          <w:rFonts w:hint="eastAsia" w:ascii="仿宋" w:hAnsi="仿宋" w:eastAsia="仿宋" w:cs="仿宋"/>
          <w:sz w:val="24"/>
          <w:szCs w:val="24"/>
          <w:highlight w:val="none"/>
        </w:rPr>
        <w:t>）涉及商品包装和快递包装的，是否参考《商品包装政府采购需求标准（试行）》、《快递包装政府采购需求标准（试行）》明确产品及相关快递服务的具体包装要求：</w:t>
      </w:r>
    </w:p>
    <w:p w14:paraId="5EFEEEA7">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否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不涉及</w:t>
      </w:r>
    </w:p>
    <w:p w14:paraId="5A803E90">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1B636A0A">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（1）合同金额小写：</w:t>
      </w:r>
      <w:r>
        <w:rPr>
          <w:rFonts w:hint="eastAsia" w:ascii="仿宋" w:hAnsi="仿宋" w:eastAsia="仿宋" w:cs="仿宋"/>
          <w:sz w:val="24"/>
          <w:szCs w:val="24"/>
          <w:highlight w:val="none"/>
          <w:u w:val="single"/>
        </w:rPr>
        <w:t xml:space="preserve">                           </w:t>
      </w:r>
    </w:p>
    <w:p w14:paraId="6B1494EB">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0B4C23EB">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分包金额（如有）小写：</w:t>
      </w:r>
      <w:r>
        <w:rPr>
          <w:rFonts w:hint="eastAsia" w:ascii="仿宋" w:hAnsi="仿宋" w:eastAsia="仿宋" w:cs="仿宋"/>
          <w:sz w:val="24"/>
          <w:szCs w:val="24"/>
          <w:highlight w:val="none"/>
          <w:u w:val="single"/>
        </w:rPr>
        <w:t xml:space="preserve">                   </w:t>
      </w:r>
    </w:p>
    <w:p w14:paraId="49DEE54D">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3C97C9A7">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（注：固定单价合同应填写单价和最高限价）</w:t>
      </w:r>
    </w:p>
    <w:p w14:paraId="159CF2B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（2）合同定价方式（采用组合定价方式的，可以勾选多项）：</w:t>
      </w:r>
    </w:p>
    <w:p w14:paraId="7893A2E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固定总价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固定单价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固定费率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成本补偿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绩效激励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r>
        <w:rPr>
          <w:rFonts w:hint="eastAsia" w:ascii="仿宋" w:hAnsi="仿宋" w:eastAsia="仿宋" w:cs="仿宋"/>
          <w:sz w:val="24"/>
          <w:szCs w:val="24"/>
          <w:highlight w:val="none"/>
          <w:u w:val="single"/>
        </w:rPr>
        <w:t xml:space="preserve">       </w:t>
      </w:r>
    </w:p>
    <w:p w14:paraId="14705FBF">
      <w:pPr>
        <w:pStyle w:val="36"/>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（3）付款方式（按项目实际勾选填写）：</w:t>
      </w:r>
    </w:p>
    <w:p w14:paraId="592EDF9D">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全额付款：</w:t>
      </w:r>
      <w:r>
        <w:rPr>
          <w:rFonts w:hint="eastAsia" w:ascii="仿宋" w:hAnsi="仿宋" w:eastAsia="仿宋" w:cs="仿宋"/>
          <w:sz w:val="24"/>
          <w:szCs w:val="24"/>
          <w:highlight w:val="none"/>
          <w:u w:val="single"/>
        </w:rPr>
        <w:t xml:space="preserve">  根据财政款项到单位账户后及时付款               </w:t>
      </w:r>
    </w:p>
    <w:p w14:paraId="53DC1442">
      <w:pPr>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分期付款：</w:t>
      </w:r>
      <w:r>
        <w:rPr>
          <w:rFonts w:hint="eastAsia" w:ascii="仿宋" w:hAnsi="仿宋" w:eastAsia="仿宋" w:cs="仿宋"/>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sz w:val="24"/>
          <w:szCs w:val="24"/>
          <w:highlight w:val="none"/>
        </w:rPr>
        <w:t>，其中涉及预付款的：</w:t>
      </w:r>
      <w:r>
        <w:rPr>
          <w:rFonts w:hint="eastAsia" w:ascii="仿宋" w:hAnsi="仿宋" w:eastAsia="仿宋" w:cs="仿宋"/>
          <w:sz w:val="24"/>
          <w:szCs w:val="24"/>
          <w:highlight w:val="none"/>
          <w:u w:val="single"/>
        </w:rPr>
        <w:t xml:space="preserve"> （应明确预付款的支付比例和支付条件） </w:t>
      </w:r>
    </w:p>
    <w:p w14:paraId="5761E39E">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成本补偿：</w:t>
      </w:r>
      <w:r>
        <w:rPr>
          <w:rFonts w:hint="eastAsia" w:ascii="仿宋" w:hAnsi="仿宋" w:eastAsia="仿宋" w:cs="仿宋"/>
          <w:sz w:val="24"/>
          <w:szCs w:val="24"/>
          <w:highlight w:val="none"/>
          <w:u w:val="single"/>
        </w:rPr>
        <w:t xml:space="preserve">      （应明确按照成本补偿方式的支付方式和支付条件）   </w:t>
      </w:r>
    </w:p>
    <w:p w14:paraId="1378B10E">
      <w:pPr>
        <w:adjustRightInd w:val="0"/>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绩效激励：</w:t>
      </w:r>
      <w:r>
        <w:rPr>
          <w:rFonts w:hint="eastAsia" w:ascii="仿宋" w:hAnsi="仿宋" w:eastAsia="仿宋" w:cs="仿宋"/>
          <w:sz w:val="24"/>
          <w:szCs w:val="24"/>
          <w:highlight w:val="none"/>
          <w:u w:val="single"/>
        </w:rPr>
        <w:t xml:space="preserve">      （应明确按照绩效激励方式的支付方式和支付条件）   </w:t>
      </w:r>
    </w:p>
    <w:p w14:paraId="558F4E71">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合同履行</w:t>
      </w:r>
    </w:p>
    <w:p w14:paraId="585FFFE1">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（1）起始日期：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日，完成日期：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91EE5DB">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（2）履约地点</w:t>
      </w:r>
      <w:r>
        <w:rPr>
          <w:rFonts w:hint="eastAsia" w:ascii="仿宋" w:hAnsi="仿宋" w:eastAsia="仿宋" w:cs="仿宋"/>
          <w:bCs/>
          <w:sz w:val="24"/>
          <w:szCs w:val="24"/>
          <w:highlight w:val="none"/>
        </w:rPr>
        <w:t>：</w:t>
      </w:r>
      <w:r>
        <w:rPr>
          <w:rFonts w:hint="eastAsia" w:ascii="仿宋" w:hAnsi="仿宋" w:eastAsia="仿宋" w:cs="仿宋"/>
          <w:sz w:val="24"/>
          <w:szCs w:val="24"/>
          <w:highlight w:val="none"/>
          <w:u w:val="single"/>
        </w:rPr>
        <w:t xml:space="preserve">                             </w:t>
      </w:r>
    </w:p>
    <w:p w14:paraId="3C3F69B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（3）履约担保：</w:t>
      </w:r>
      <w:r>
        <w:rPr>
          <w:rFonts w:hint="eastAsia" w:ascii="仿宋" w:hAnsi="仿宋" w:eastAsia="仿宋" w:cs="仿宋"/>
          <w:sz w:val="24"/>
          <w:szCs w:val="24"/>
          <w:highlight w:val="none"/>
        </w:rPr>
        <w:t>是否收取履约保证金：</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C30B7D7">
      <w:pPr>
        <w:pStyle w:val="35"/>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 xml:space="preserve">  收取履约保证金形式：</w:t>
      </w:r>
      <w:r>
        <w:rPr>
          <w:rFonts w:hint="eastAsia" w:ascii="仿宋" w:hAnsi="仿宋" w:eastAsia="仿宋" w:cs="仿宋"/>
          <w:bCs/>
          <w:sz w:val="24"/>
          <w:szCs w:val="24"/>
          <w:highlight w:val="none"/>
          <w:u w:val="single"/>
        </w:rPr>
        <w:t xml:space="preserve">                            </w:t>
      </w:r>
    </w:p>
    <w:p w14:paraId="26DEBEDF">
      <w:pPr>
        <w:pStyle w:val="3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收取履约保证金金额：</w:t>
      </w:r>
      <w:r>
        <w:rPr>
          <w:rFonts w:hint="eastAsia" w:ascii="仿宋" w:hAnsi="仿宋" w:eastAsia="仿宋" w:cs="仿宋"/>
          <w:bCs/>
          <w:sz w:val="24"/>
          <w:szCs w:val="24"/>
          <w:highlight w:val="none"/>
          <w:u w:val="single"/>
        </w:rPr>
        <w:t xml:space="preserve">                            </w:t>
      </w:r>
    </w:p>
    <w:p w14:paraId="23C8E67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履约担保期限：</w:t>
      </w:r>
      <w:r>
        <w:rPr>
          <w:rFonts w:hint="eastAsia" w:ascii="仿宋" w:hAnsi="仿宋" w:eastAsia="仿宋" w:cs="仿宋"/>
          <w:bCs/>
          <w:sz w:val="24"/>
          <w:szCs w:val="24"/>
          <w:highlight w:val="none"/>
          <w:u w:val="single"/>
        </w:rPr>
        <w:t xml:space="preserve">                                  </w:t>
      </w:r>
    </w:p>
    <w:p w14:paraId="4A846ED9">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（4）分期履行要求：</w:t>
      </w:r>
      <w:r>
        <w:rPr>
          <w:rFonts w:hint="eastAsia" w:ascii="仿宋" w:hAnsi="仿宋" w:eastAsia="仿宋" w:cs="仿宋"/>
          <w:bCs/>
          <w:sz w:val="24"/>
          <w:szCs w:val="24"/>
          <w:highlight w:val="none"/>
          <w:u w:val="single"/>
        </w:rPr>
        <w:t xml:space="preserve">                                                        </w:t>
      </w:r>
    </w:p>
    <w:p w14:paraId="503D637D">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（5）风险处置措施和替代方案：</w:t>
      </w:r>
      <w:r>
        <w:rPr>
          <w:rFonts w:hint="eastAsia" w:ascii="仿宋" w:hAnsi="仿宋" w:eastAsia="仿宋" w:cs="仿宋"/>
          <w:sz w:val="24"/>
          <w:szCs w:val="24"/>
          <w:highlight w:val="none"/>
          <w:u w:val="single"/>
        </w:rPr>
        <w:t xml:space="preserve">                                                               </w:t>
      </w:r>
    </w:p>
    <w:p w14:paraId="3169869E">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合同验收</w:t>
      </w:r>
    </w:p>
    <w:p w14:paraId="52109732">
      <w:pPr>
        <w:numPr>
          <w:ilvl w:val="0"/>
          <w:numId w:val="13"/>
        </w:num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验收组织方式：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自行组织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委托第三方组织</w:t>
      </w:r>
    </w:p>
    <w:p w14:paraId="01420C31">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验收主体：</w:t>
      </w:r>
      <w:r>
        <w:rPr>
          <w:rFonts w:hint="eastAsia" w:ascii="仿宋" w:hAnsi="仿宋" w:eastAsia="仿宋" w:cs="仿宋"/>
          <w:bCs/>
          <w:sz w:val="24"/>
          <w:szCs w:val="24"/>
          <w:highlight w:val="none"/>
          <w:u w:val="single"/>
        </w:rPr>
        <w:t xml:space="preserve">                  </w:t>
      </w:r>
    </w:p>
    <w:p w14:paraId="774693F3">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是否邀请本项目的其他供应商参加验收：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F11A585">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是否邀请专家参加验收：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88F671B">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是否邀请服务对象参加验收：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C9D19D0">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是否邀请第三方检测机构参加验收：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1DCE111A">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是否进行抽查检测：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是，抽查比例：</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21EE490A">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是否存在破坏性检测：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u w:val="single"/>
        </w:rPr>
        <w:t>（应明确对被破坏的检测产品的处理方式）</w:t>
      </w:r>
    </w:p>
    <w:p w14:paraId="315A12D8">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0F243DA3">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验收组织的其他事项：</w:t>
      </w:r>
      <w:r>
        <w:rPr>
          <w:rFonts w:hint="eastAsia" w:ascii="仿宋" w:hAnsi="仿宋" w:eastAsia="仿宋" w:cs="仿宋"/>
          <w:bCs/>
          <w:sz w:val="24"/>
          <w:szCs w:val="24"/>
          <w:highlight w:val="none"/>
          <w:u w:val="single"/>
        </w:rPr>
        <w:t xml:space="preserve">                </w:t>
      </w:r>
    </w:p>
    <w:p w14:paraId="175B5F7C">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（2）履约验收时间：</w:t>
      </w:r>
      <w:r>
        <w:rPr>
          <w:rFonts w:hint="eastAsia" w:ascii="仿宋" w:hAnsi="仿宋" w:eastAsia="仿宋" w:cs="仿宋"/>
          <w:bCs/>
          <w:sz w:val="24"/>
          <w:szCs w:val="24"/>
          <w:highlight w:val="none"/>
          <w:u w:val="single"/>
        </w:rPr>
        <w:t xml:space="preserve">（计划于何时验收/供应商提出验收申请之日起   日内组织验收） </w:t>
      </w:r>
    </w:p>
    <w:p w14:paraId="160CC863">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（3）履约验收方式：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一次性验收         </w:t>
      </w:r>
    </w:p>
    <w:p w14:paraId="0B0F7384">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分期/分项验收：</w:t>
      </w:r>
      <w:r>
        <w:rPr>
          <w:rFonts w:hint="eastAsia" w:ascii="仿宋" w:hAnsi="仿宋" w:eastAsia="仿宋" w:cs="仿宋"/>
          <w:bCs/>
          <w:sz w:val="24"/>
          <w:szCs w:val="24"/>
          <w:highlight w:val="none"/>
          <w:u w:val="single"/>
        </w:rPr>
        <w:t xml:space="preserve"> （应明确分期</w:t>
      </w:r>
      <w:r>
        <w:rPr>
          <w:rFonts w:hint="eastAsia" w:ascii="仿宋" w:hAnsi="仿宋" w:eastAsia="仿宋" w:cs="仿宋"/>
          <w:bCs/>
          <w:sz w:val="24"/>
          <w:szCs w:val="24"/>
          <w:highlight w:val="none"/>
          <w:u w:val="single"/>
          <w:lang w:val="en"/>
        </w:rPr>
        <w:t>/分项验收的工作安排</w:t>
      </w:r>
      <w:r>
        <w:rPr>
          <w:rFonts w:hint="eastAsia" w:ascii="仿宋" w:hAnsi="仿宋" w:eastAsia="仿宋" w:cs="仿宋"/>
          <w:bCs/>
          <w:sz w:val="24"/>
          <w:szCs w:val="24"/>
          <w:highlight w:val="none"/>
          <w:u w:val="single"/>
        </w:rPr>
        <w:t xml:space="preserve">）  </w:t>
      </w:r>
    </w:p>
    <w:p w14:paraId="5A5467BF">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（4）履约验收程序：</w:t>
      </w:r>
      <w:r>
        <w:rPr>
          <w:rFonts w:hint="eastAsia" w:ascii="仿宋" w:hAnsi="仿宋" w:eastAsia="仿宋" w:cs="仿宋"/>
          <w:bCs/>
          <w:sz w:val="24"/>
          <w:szCs w:val="24"/>
          <w:highlight w:val="none"/>
          <w:u w:val="single"/>
        </w:rPr>
        <w:t xml:space="preserve">                                         </w:t>
      </w:r>
    </w:p>
    <w:p w14:paraId="7A4E1CB7">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（5）履约验收的内容：</w:t>
      </w:r>
      <w:r>
        <w:rPr>
          <w:rFonts w:hint="eastAsia" w:ascii="仿宋" w:hAnsi="仿宋" w:eastAsia="仿宋" w:cs="仿宋"/>
          <w:bCs/>
          <w:sz w:val="24"/>
          <w:szCs w:val="24"/>
          <w:highlight w:val="none"/>
          <w:u w:val="single"/>
        </w:rPr>
        <w:t xml:space="preserve"> （应当包括每一项技术和商务要求的履约情况，特别是落实政府采购扶持中小企业，支持绿色发展和乡村振兴等政策情况）                                      </w:t>
      </w:r>
    </w:p>
    <w:p w14:paraId="2BBAC4DA">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（6）履约验收标准：</w:t>
      </w:r>
      <w:r>
        <w:rPr>
          <w:rFonts w:hint="eastAsia" w:ascii="仿宋" w:hAnsi="仿宋" w:eastAsia="仿宋" w:cs="仿宋"/>
          <w:bCs/>
          <w:sz w:val="24"/>
          <w:szCs w:val="24"/>
          <w:highlight w:val="none"/>
          <w:u w:val="single"/>
        </w:rPr>
        <w:t xml:space="preserve">                                         </w:t>
      </w:r>
    </w:p>
    <w:p w14:paraId="66FCFBB6">
      <w:pPr>
        <w:pStyle w:val="35"/>
        <w:ind w:firstLine="420"/>
        <w:rPr>
          <w:rFonts w:hint="eastAsia" w:ascii="仿宋" w:hAnsi="仿宋" w:eastAsia="仿宋" w:cs="仿宋"/>
          <w:sz w:val="24"/>
          <w:szCs w:val="24"/>
          <w:highlight w:val="none"/>
        </w:rPr>
      </w:pPr>
      <w:r>
        <w:rPr>
          <w:rFonts w:hint="eastAsia" w:ascii="仿宋" w:hAnsi="仿宋" w:eastAsia="仿宋" w:cs="仿宋"/>
          <w:bCs/>
          <w:sz w:val="24"/>
          <w:szCs w:val="24"/>
          <w:highlight w:val="none"/>
        </w:rPr>
        <w:t>（7）是否以采购活动中供应商提供的样品作为参考：</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AAEA61E">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（8）履约验收其他事项：</w:t>
      </w:r>
      <w:r>
        <w:rPr>
          <w:rFonts w:hint="eastAsia" w:ascii="仿宋" w:hAnsi="仿宋" w:eastAsia="仿宋" w:cs="仿宋"/>
          <w:bCs/>
          <w:sz w:val="24"/>
          <w:szCs w:val="24"/>
          <w:highlight w:val="none"/>
          <w:u w:val="single"/>
        </w:rPr>
        <w:t xml:space="preserve">      （产权过户登记等）          </w:t>
      </w:r>
    </w:p>
    <w:p w14:paraId="06493789">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组成合同的文件</w:t>
      </w:r>
    </w:p>
    <w:p w14:paraId="3FD5558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本协议书与下列文件一起构成合同文件，如下述文件之间有任何抵触、矛盾或歧义，应按以下顺序解释：</w:t>
      </w:r>
    </w:p>
    <w:p w14:paraId="7A122ED1">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（1）政府采购合同协议书及其变更、补充协议</w:t>
      </w:r>
    </w:p>
    <w:p w14:paraId="0F991822">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（2）政府采购合同专用条款</w:t>
      </w:r>
    </w:p>
    <w:p w14:paraId="621E9C6F">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（3）政府采购合同通用条款</w:t>
      </w:r>
    </w:p>
    <w:p w14:paraId="0F60EFF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（4）中标（成交）通知书</w:t>
      </w:r>
    </w:p>
    <w:p w14:paraId="24A18AEE">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（5）投标（响应）文件</w:t>
      </w:r>
    </w:p>
    <w:p w14:paraId="481EF229">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w:t>
      </w:r>
    </w:p>
    <w:p w14:paraId="45F0ADF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（7）有关技术文件，图纸</w:t>
      </w:r>
    </w:p>
    <w:p w14:paraId="2550241D">
      <w:pPr>
        <w:pStyle w:val="35"/>
        <w:ind w:firstLine="42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（8）</w:t>
      </w:r>
      <w:r>
        <w:rPr>
          <w:rFonts w:hint="eastAsia" w:ascii="仿宋" w:hAnsi="仿宋" w:eastAsia="仿宋" w:cs="仿宋"/>
          <w:kern w:val="2"/>
          <w:sz w:val="24"/>
          <w:szCs w:val="24"/>
          <w:highlight w:val="none"/>
        </w:rPr>
        <w:t>国家法律、行政法规和规章制度规定或合同约定的作为合同组成部分的其他文件</w:t>
      </w:r>
    </w:p>
    <w:p w14:paraId="22739B1E">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w:t>
      </w:r>
    </w:p>
    <w:p w14:paraId="5C870870">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生效。</w:t>
      </w:r>
    </w:p>
    <w:p w14:paraId="560133C9">
      <w:pPr>
        <w:numPr>
          <w:ilvl w:val="0"/>
          <w:numId w:val="11"/>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合同份数</w:t>
      </w:r>
    </w:p>
    <w:p w14:paraId="0EB7E895">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份，均具有同等法律效力。</w:t>
      </w:r>
    </w:p>
    <w:p w14:paraId="5C91680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974B2C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合同订立地点：</w:t>
      </w:r>
      <w:r>
        <w:rPr>
          <w:rFonts w:hint="eastAsia" w:ascii="仿宋" w:hAnsi="仿宋" w:eastAsia="仿宋" w:cs="仿宋"/>
          <w:sz w:val="24"/>
          <w:szCs w:val="24"/>
          <w:highlight w:val="none"/>
          <w:u w:val="single"/>
        </w:rPr>
        <w:t xml:space="preserve">                           </w:t>
      </w:r>
    </w:p>
    <w:p w14:paraId="30AE9145">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附件：具体标的及其技术要求和商务要求、联合协议、分包意向协议等。</w:t>
      </w:r>
    </w:p>
    <w:p w14:paraId="3E03D79A">
      <w:pPr>
        <w:pStyle w:val="36"/>
        <w:spacing w:line="400" w:lineRule="exact"/>
        <w:rPr>
          <w:rFonts w:hint="eastAsia" w:ascii="仿宋" w:hAnsi="仿宋" w:eastAsia="仿宋" w:cs="仿宋"/>
          <w:sz w:val="24"/>
          <w:szCs w:val="24"/>
          <w:highlight w:val="none"/>
        </w:rPr>
      </w:pP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19"/>
        <w:gridCol w:w="2445"/>
        <w:gridCol w:w="2006"/>
        <w:gridCol w:w="2150"/>
      </w:tblGrid>
      <w:tr w14:paraId="1E1E58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noWrap w:val="0"/>
            <w:vAlign w:val="center"/>
          </w:tcPr>
          <w:p w14:paraId="5369C81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noWrap w:val="0"/>
            <w:vAlign w:val="center"/>
          </w:tcPr>
          <w:p w14:paraId="476FF81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乙方（供应商）</w:t>
            </w:r>
          </w:p>
        </w:tc>
      </w:tr>
      <w:tr w14:paraId="4A79F7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F4F7F3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0FEE9F8">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4E77EA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260" w:type="pct"/>
            <w:tcBorders>
              <w:top w:val="single" w:color="auto" w:sz="2" w:space="0"/>
              <w:left w:val="single" w:color="auto" w:sz="2" w:space="0"/>
              <w:bottom w:val="single" w:color="auto" w:sz="2" w:space="0"/>
            </w:tcBorders>
            <w:noWrap w:val="0"/>
            <w:vAlign w:val="center"/>
          </w:tcPr>
          <w:p w14:paraId="725386BA">
            <w:pPr>
              <w:adjustRightInd w:val="0"/>
              <w:snapToGrid w:val="0"/>
              <w:spacing w:line="300" w:lineRule="exact"/>
              <w:jc w:val="center"/>
              <w:rPr>
                <w:rFonts w:hint="eastAsia" w:ascii="仿宋" w:hAnsi="仿宋" w:eastAsia="仿宋" w:cs="仿宋"/>
                <w:spacing w:val="20"/>
                <w:sz w:val="24"/>
                <w:szCs w:val="24"/>
                <w:highlight w:val="none"/>
              </w:rPr>
            </w:pPr>
          </w:p>
        </w:tc>
      </w:tr>
      <w:tr w14:paraId="36412F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96026E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7BA7094E">
            <w:pPr>
              <w:adjustRightInd w:val="0"/>
              <w:snapToGrid w:val="0"/>
              <w:spacing w:line="300" w:lineRule="exact"/>
              <w:ind w:firstLine="115" w:firstLineChars="4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435" w:type="pct"/>
            <w:vMerge w:val="restart"/>
            <w:tcBorders>
              <w:top w:val="single" w:color="auto" w:sz="2" w:space="0"/>
              <w:left w:val="single" w:color="auto" w:sz="2" w:space="0"/>
              <w:right w:val="single" w:color="auto" w:sz="2" w:space="0"/>
            </w:tcBorders>
            <w:noWrap w:val="0"/>
            <w:vAlign w:val="center"/>
          </w:tcPr>
          <w:p w14:paraId="43E10948">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right w:val="single" w:color="auto" w:sz="2" w:space="0"/>
            </w:tcBorders>
            <w:noWrap w:val="0"/>
            <w:vAlign w:val="center"/>
          </w:tcPr>
          <w:p w14:paraId="00C1A38A">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32B4007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260" w:type="pct"/>
            <w:tcBorders>
              <w:top w:val="single" w:color="auto" w:sz="2" w:space="0"/>
              <w:left w:val="single" w:color="auto" w:sz="2" w:space="0"/>
              <w:bottom w:val="single" w:color="auto" w:sz="2" w:space="0"/>
            </w:tcBorders>
            <w:noWrap w:val="0"/>
            <w:vAlign w:val="center"/>
          </w:tcPr>
          <w:p w14:paraId="5CAD5CAC">
            <w:pPr>
              <w:adjustRightInd w:val="0"/>
              <w:snapToGrid w:val="0"/>
              <w:spacing w:line="300" w:lineRule="exact"/>
              <w:jc w:val="center"/>
              <w:rPr>
                <w:rFonts w:hint="eastAsia" w:ascii="仿宋" w:hAnsi="仿宋" w:eastAsia="仿宋" w:cs="仿宋"/>
                <w:sz w:val="24"/>
                <w:szCs w:val="24"/>
                <w:highlight w:val="none"/>
              </w:rPr>
            </w:pPr>
          </w:p>
        </w:tc>
      </w:tr>
      <w:tr w14:paraId="7B6C23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2F68171">
            <w:pPr>
              <w:adjustRightInd w:val="0"/>
              <w:snapToGrid w:val="0"/>
              <w:spacing w:line="300" w:lineRule="exact"/>
              <w:jc w:val="center"/>
              <w:rPr>
                <w:rFonts w:hint="eastAsia" w:ascii="仿宋" w:hAnsi="仿宋" w:eastAsia="仿宋" w:cs="仿宋"/>
                <w:sz w:val="24"/>
                <w:szCs w:val="24"/>
                <w:highlight w:val="none"/>
              </w:rPr>
            </w:pPr>
          </w:p>
        </w:tc>
        <w:tc>
          <w:tcPr>
            <w:tcW w:w="1435" w:type="pct"/>
            <w:vMerge w:val="continue"/>
            <w:tcBorders>
              <w:left w:val="single" w:color="auto" w:sz="2" w:space="0"/>
              <w:bottom w:val="single" w:color="auto" w:sz="2" w:space="0"/>
              <w:right w:val="single" w:color="auto" w:sz="2" w:space="0"/>
            </w:tcBorders>
            <w:noWrap w:val="0"/>
            <w:vAlign w:val="center"/>
          </w:tcPr>
          <w:p w14:paraId="3E565A05">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04F90F1">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拥有者性别</w:t>
            </w:r>
          </w:p>
        </w:tc>
        <w:tc>
          <w:tcPr>
            <w:tcW w:w="1260" w:type="pct"/>
            <w:tcBorders>
              <w:top w:val="single" w:color="auto" w:sz="2" w:space="0"/>
              <w:left w:val="single" w:color="auto" w:sz="2" w:space="0"/>
              <w:bottom w:val="single" w:color="auto" w:sz="2" w:space="0"/>
            </w:tcBorders>
            <w:noWrap w:val="0"/>
            <w:vAlign w:val="center"/>
          </w:tcPr>
          <w:p w14:paraId="059A0E73">
            <w:pPr>
              <w:adjustRightInd w:val="0"/>
              <w:snapToGrid w:val="0"/>
              <w:spacing w:line="300" w:lineRule="exact"/>
              <w:jc w:val="center"/>
              <w:rPr>
                <w:rFonts w:hint="eastAsia" w:ascii="仿宋" w:hAnsi="仿宋" w:eastAsia="仿宋" w:cs="仿宋"/>
                <w:spacing w:val="20"/>
                <w:sz w:val="24"/>
                <w:szCs w:val="24"/>
                <w:highlight w:val="none"/>
              </w:rPr>
            </w:pPr>
          </w:p>
        </w:tc>
      </w:tr>
      <w:tr w14:paraId="48FC1D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F3D02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3D869F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7609A14">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260" w:type="pct"/>
            <w:tcBorders>
              <w:top w:val="single" w:color="auto" w:sz="2" w:space="0"/>
              <w:left w:val="single" w:color="auto" w:sz="2" w:space="0"/>
              <w:bottom w:val="single" w:color="auto" w:sz="2" w:space="0"/>
            </w:tcBorders>
            <w:noWrap w:val="0"/>
            <w:vAlign w:val="center"/>
          </w:tcPr>
          <w:p w14:paraId="1189BDD8">
            <w:pPr>
              <w:adjustRightInd w:val="0"/>
              <w:snapToGrid w:val="0"/>
              <w:spacing w:line="300" w:lineRule="exact"/>
              <w:jc w:val="center"/>
              <w:rPr>
                <w:rFonts w:hint="eastAsia" w:ascii="仿宋" w:hAnsi="仿宋" w:eastAsia="仿宋" w:cs="仿宋"/>
                <w:spacing w:val="20"/>
                <w:sz w:val="24"/>
                <w:szCs w:val="24"/>
                <w:highlight w:val="none"/>
              </w:rPr>
            </w:pPr>
          </w:p>
        </w:tc>
      </w:tr>
      <w:tr w14:paraId="3285D4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5A3B0B4">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B552E02">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6FAB3E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260" w:type="pct"/>
            <w:tcBorders>
              <w:top w:val="single" w:color="auto" w:sz="2" w:space="0"/>
              <w:left w:val="single" w:color="auto" w:sz="2" w:space="0"/>
              <w:bottom w:val="single" w:color="auto" w:sz="2" w:space="0"/>
            </w:tcBorders>
            <w:noWrap w:val="0"/>
            <w:vAlign w:val="center"/>
          </w:tcPr>
          <w:p w14:paraId="047E52C0">
            <w:pPr>
              <w:adjustRightInd w:val="0"/>
              <w:snapToGrid w:val="0"/>
              <w:spacing w:line="300" w:lineRule="exact"/>
              <w:jc w:val="center"/>
              <w:rPr>
                <w:rFonts w:hint="eastAsia" w:ascii="仿宋" w:hAnsi="仿宋" w:eastAsia="仿宋" w:cs="仿宋"/>
                <w:spacing w:val="20"/>
                <w:sz w:val="24"/>
                <w:szCs w:val="24"/>
                <w:highlight w:val="none"/>
              </w:rPr>
            </w:pPr>
          </w:p>
        </w:tc>
      </w:tr>
      <w:tr w14:paraId="0944FF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6F89AC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DC1C81C">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08B00A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260" w:type="pct"/>
            <w:tcBorders>
              <w:top w:val="single" w:color="auto" w:sz="2" w:space="0"/>
              <w:left w:val="single" w:color="auto" w:sz="2" w:space="0"/>
              <w:bottom w:val="single" w:color="auto" w:sz="2" w:space="0"/>
            </w:tcBorders>
            <w:noWrap w:val="0"/>
            <w:vAlign w:val="center"/>
          </w:tcPr>
          <w:p w14:paraId="23B35179">
            <w:pPr>
              <w:adjustRightInd w:val="0"/>
              <w:snapToGrid w:val="0"/>
              <w:spacing w:line="300" w:lineRule="exact"/>
              <w:jc w:val="center"/>
              <w:rPr>
                <w:rFonts w:hint="eastAsia" w:ascii="仿宋" w:hAnsi="仿宋" w:eastAsia="仿宋" w:cs="仿宋"/>
                <w:spacing w:val="20"/>
                <w:sz w:val="24"/>
                <w:szCs w:val="24"/>
                <w:highlight w:val="none"/>
              </w:rPr>
            </w:pPr>
          </w:p>
        </w:tc>
      </w:tr>
      <w:tr w14:paraId="1D8330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65E6B6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652149D">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8CB2314">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260" w:type="pct"/>
            <w:tcBorders>
              <w:top w:val="single" w:color="auto" w:sz="2" w:space="0"/>
              <w:left w:val="single" w:color="auto" w:sz="2" w:space="0"/>
              <w:bottom w:val="single" w:color="auto" w:sz="2" w:space="0"/>
            </w:tcBorders>
            <w:noWrap w:val="0"/>
            <w:vAlign w:val="center"/>
          </w:tcPr>
          <w:p w14:paraId="6877DC66">
            <w:pPr>
              <w:adjustRightInd w:val="0"/>
              <w:snapToGrid w:val="0"/>
              <w:spacing w:line="300" w:lineRule="exact"/>
              <w:jc w:val="center"/>
              <w:rPr>
                <w:rFonts w:hint="eastAsia" w:ascii="仿宋" w:hAnsi="仿宋" w:eastAsia="仿宋" w:cs="仿宋"/>
                <w:spacing w:val="20"/>
                <w:sz w:val="24"/>
                <w:szCs w:val="24"/>
                <w:highlight w:val="none"/>
              </w:rPr>
            </w:pPr>
          </w:p>
        </w:tc>
      </w:tr>
      <w:tr w14:paraId="390E67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84D620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1B5A727">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910364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260" w:type="pct"/>
            <w:tcBorders>
              <w:top w:val="single" w:color="auto" w:sz="2" w:space="0"/>
              <w:left w:val="single" w:color="auto" w:sz="2" w:space="0"/>
              <w:bottom w:val="single" w:color="auto" w:sz="2" w:space="0"/>
            </w:tcBorders>
            <w:noWrap w:val="0"/>
            <w:vAlign w:val="center"/>
          </w:tcPr>
          <w:p w14:paraId="0AECF04D">
            <w:pPr>
              <w:adjustRightInd w:val="0"/>
              <w:snapToGrid w:val="0"/>
              <w:spacing w:line="300" w:lineRule="exact"/>
              <w:jc w:val="center"/>
              <w:rPr>
                <w:rFonts w:hint="eastAsia" w:ascii="仿宋" w:hAnsi="仿宋" w:eastAsia="仿宋" w:cs="仿宋"/>
                <w:spacing w:val="20"/>
                <w:sz w:val="24"/>
                <w:szCs w:val="24"/>
                <w:highlight w:val="none"/>
              </w:rPr>
            </w:pPr>
          </w:p>
        </w:tc>
      </w:tr>
      <w:tr w14:paraId="7F1940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A297B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05B260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C905B7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260" w:type="pct"/>
            <w:tcBorders>
              <w:top w:val="single" w:color="auto" w:sz="2" w:space="0"/>
              <w:left w:val="single" w:color="auto" w:sz="2" w:space="0"/>
              <w:bottom w:val="single" w:color="auto" w:sz="2" w:space="0"/>
            </w:tcBorders>
            <w:noWrap w:val="0"/>
            <w:vAlign w:val="center"/>
          </w:tcPr>
          <w:p w14:paraId="79AECC11">
            <w:pPr>
              <w:adjustRightInd w:val="0"/>
              <w:snapToGrid w:val="0"/>
              <w:spacing w:line="300" w:lineRule="exact"/>
              <w:jc w:val="center"/>
              <w:rPr>
                <w:rFonts w:hint="eastAsia" w:ascii="仿宋" w:hAnsi="仿宋" w:eastAsia="仿宋" w:cs="仿宋"/>
                <w:spacing w:val="20"/>
                <w:sz w:val="24"/>
                <w:szCs w:val="24"/>
                <w:highlight w:val="none"/>
              </w:rPr>
            </w:pPr>
          </w:p>
        </w:tc>
      </w:tr>
      <w:tr w14:paraId="1FDFA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180A0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4EA0DC2">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4C04298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260" w:type="pct"/>
            <w:tcBorders>
              <w:top w:val="single" w:color="auto" w:sz="2" w:space="0"/>
              <w:left w:val="single" w:color="auto" w:sz="2" w:space="0"/>
              <w:bottom w:val="single" w:color="auto" w:sz="2" w:space="0"/>
            </w:tcBorders>
            <w:noWrap w:val="0"/>
            <w:vAlign w:val="center"/>
          </w:tcPr>
          <w:p w14:paraId="1E0D3D6B">
            <w:pPr>
              <w:adjustRightInd w:val="0"/>
              <w:snapToGrid w:val="0"/>
              <w:spacing w:line="300" w:lineRule="exact"/>
              <w:jc w:val="center"/>
              <w:rPr>
                <w:rFonts w:hint="eastAsia" w:ascii="仿宋" w:hAnsi="仿宋" w:eastAsia="仿宋" w:cs="仿宋"/>
                <w:spacing w:val="20"/>
                <w:sz w:val="24"/>
                <w:szCs w:val="24"/>
                <w:highlight w:val="none"/>
              </w:rPr>
            </w:pPr>
          </w:p>
        </w:tc>
      </w:tr>
      <w:tr w14:paraId="4AAA9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8DD6138">
            <w:pPr>
              <w:adjustRightInd w:val="0"/>
              <w:snapToGrid w:val="0"/>
              <w:spacing w:line="300" w:lineRule="exact"/>
              <w:jc w:val="center"/>
              <w:rPr>
                <w:rFonts w:hint="eastAsia" w:ascii="仿宋" w:hAnsi="仿宋" w:eastAsia="仿宋" w:cs="仿宋"/>
                <w:sz w:val="24"/>
                <w:szCs w:val="24"/>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927259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EC4DFC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开户名称</w:t>
            </w:r>
          </w:p>
        </w:tc>
        <w:tc>
          <w:tcPr>
            <w:tcW w:w="1260" w:type="pct"/>
            <w:tcBorders>
              <w:top w:val="single" w:color="auto" w:sz="2" w:space="0"/>
              <w:left w:val="single" w:color="auto" w:sz="2" w:space="0"/>
              <w:bottom w:val="single" w:color="auto" w:sz="2" w:space="0"/>
            </w:tcBorders>
            <w:noWrap w:val="0"/>
            <w:vAlign w:val="center"/>
          </w:tcPr>
          <w:p w14:paraId="6B7F5099">
            <w:pPr>
              <w:adjustRightInd w:val="0"/>
              <w:snapToGrid w:val="0"/>
              <w:spacing w:line="300" w:lineRule="exact"/>
              <w:jc w:val="center"/>
              <w:rPr>
                <w:rFonts w:hint="eastAsia" w:ascii="仿宋" w:hAnsi="仿宋" w:eastAsia="仿宋" w:cs="仿宋"/>
                <w:spacing w:val="20"/>
                <w:sz w:val="24"/>
                <w:szCs w:val="24"/>
                <w:highlight w:val="none"/>
              </w:rPr>
            </w:pPr>
          </w:p>
        </w:tc>
      </w:tr>
      <w:tr w14:paraId="765B17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42904B">
            <w:pPr>
              <w:adjustRightInd w:val="0"/>
              <w:snapToGrid w:val="0"/>
              <w:spacing w:line="300" w:lineRule="exact"/>
              <w:jc w:val="center"/>
              <w:rPr>
                <w:rFonts w:hint="eastAsia" w:ascii="仿宋" w:hAnsi="仿宋" w:eastAsia="仿宋" w:cs="仿宋"/>
                <w:sz w:val="24"/>
                <w:szCs w:val="24"/>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13834F85">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2F141E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1260" w:type="pct"/>
            <w:tcBorders>
              <w:top w:val="single" w:color="auto" w:sz="2" w:space="0"/>
              <w:left w:val="single" w:color="auto" w:sz="2" w:space="0"/>
              <w:bottom w:val="single" w:color="auto" w:sz="2" w:space="0"/>
            </w:tcBorders>
            <w:noWrap w:val="0"/>
            <w:vAlign w:val="center"/>
          </w:tcPr>
          <w:p w14:paraId="3F714643">
            <w:pPr>
              <w:adjustRightInd w:val="0"/>
              <w:snapToGrid w:val="0"/>
              <w:spacing w:line="300" w:lineRule="exact"/>
              <w:jc w:val="center"/>
              <w:rPr>
                <w:rFonts w:hint="eastAsia" w:ascii="仿宋" w:hAnsi="仿宋" w:eastAsia="仿宋" w:cs="仿宋"/>
                <w:spacing w:val="20"/>
                <w:sz w:val="24"/>
                <w:szCs w:val="24"/>
                <w:highlight w:val="none"/>
              </w:rPr>
            </w:pPr>
          </w:p>
        </w:tc>
      </w:tr>
      <w:tr w14:paraId="63F477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8547F6">
            <w:pPr>
              <w:adjustRightInd w:val="0"/>
              <w:snapToGrid w:val="0"/>
              <w:spacing w:line="300" w:lineRule="exact"/>
              <w:jc w:val="center"/>
              <w:rPr>
                <w:rFonts w:hint="eastAsia" w:ascii="仿宋" w:hAnsi="仿宋" w:eastAsia="仿宋" w:cs="仿宋"/>
                <w:sz w:val="24"/>
                <w:szCs w:val="24"/>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B1BF12E">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47192D5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1260" w:type="pct"/>
            <w:tcBorders>
              <w:top w:val="single" w:color="auto" w:sz="2" w:space="0"/>
              <w:left w:val="single" w:color="auto" w:sz="2" w:space="0"/>
              <w:bottom w:val="single" w:color="auto" w:sz="2" w:space="0"/>
            </w:tcBorders>
            <w:noWrap w:val="0"/>
            <w:vAlign w:val="center"/>
          </w:tcPr>
          <w:p w14:paraId="5FD0C72D">
            <w:pPr>
              <w:adjustRightInd w:val="0"/>
              <w:snapToGrid w:val="0"/>
              <w:spacing w:line="300" w:lineRule="exact"/>
              <w:jc w:val="center"/>
              <w:rPr>
                <w:rFonts w:hint="eastAsia" w:ascii="仿宋" w:hAnsi="仿宋" w:eastAsia="仿宋" w:cs="仿宋"/>
                <w:spacing w:val="20"/>
                <w:sz w:val="24"/>
                <w:szCs w:val="24"/>
                <w:highlight w:val="none"/>
              </w:rPr>
            </w:pPr>
          </w:p>
        </w:tc>
      </w:tr>
      <w:tr w14:paraId="53FBC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9701BEB">
            <w:pPr>
              <w:pStyle w:val="13"/>
              <w:adjustRightInd w:val="0"/>
              <w:snapToGrid w:val="0"/>
              <w:spacing w:before="204" w:beforeLines="50" w:line="360" w:lineRule="auto"/>
              <w:jc w:val="left"/>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注：涉及联合体或其他合同主体的信息应按上表格式加列。</w:t>
            </w:r>
          </w:p>
        </w:tc>
      </w:tr>
    </w:tbl>
    <w:p w14:paraId="54740077">
      <w:pPr>
        <w:pStyle w:val="3"/>
        <w:tabs>
          <w:tab w:val="left" w:pos="0"/>
          <w:tab w:val="left" w:pos="420"/>
        </w:tabs>
        <w:adjustRightInd w:val="0"/>
        <w:snapToGrid w:val="0"/>
        <w:spacing w:before="204" w:beforeLines="50"/>
        <w:jc w:val="center"/>
        <w:rPr>
          <w:rFonts w:hint="eastAsia" w:ascii="仿宋" w:hAnsi="仿宋" w:eastAsia="仿宋" w:cs="仿宋"/>
          <w:sz w:val="28"/>
          <w:szCs w:val="28"/>
          <w:highlight w:val="none"/>
        </w:rPr>
      </w:pPr>
      <w:r>
        <w:rPr>
          <w:rFonts w:hint="eastAsia" w:ascii="仿宋" w:hAnsi="仿宋" w:eastAsia="仿宋" w:cs="仿宋"/>
          <w:sz w:val="21"/>
          <w:szCs w:val="21"/>
          <w:highlight w:val="none"/>
          <w:u w:val="single"/>
        </w:rPr>
        <w:br w:type="page"/>
      </w:r>
      <w:bookmarkStart w:id="36" w:name="_Toc27624"/>
      <w:bookmarkStart w:id="37" w:name="_Toc15596"/>
      <w:r>
        <w:rPr>
          <w:rFonts w:hint="eastAsia" w:ascii="仿宋" w:hAnsi="仿宋" w:eastAsia="仿宋" w:cs="仿宋"/>
          <w:b w:val="0"/>
          <w:sz w:val="28"/>
          <w:szCs w:val="28"/>
          <w:highlight w:val="none"/>
        </w:rPr>
        <w:t>第二节 政府采购合同通用条款</w:t>
      </w:r>
      <w:bookmarkEnd w:id="36"/>
      <w:bookmarkEnd w:id="37"/>
    </w:p>
    <w:p w14:paraId="6D6E4B68">
      <w:pPr>
        <w:tabs>
          <w:tab w:val="left" w:pos="8820"/>
          <w:tab w:val="left" w:pos="9345"/>
          <w:tab w:val="left" w:pos="9765"/>
        </w:tabs>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sz w:val="24"/>
          <w:szCs w:val="24"/>
          <w:highlight w:val="none"/>
        </w:rPr>
        <w:t xml:space="preserve">1. </w:t>
      </w:r>
      <w:r>
        <w:rPr>
          <w:rFonts w:hint="eastAsia" w:ascii="仿宋" w:hAnsi="仿宋" w:eastAsia="仿宋" w:cs="仿宋"/>
          <w:b/>
          <w:bCs/>
          <w:sz w:val="24"/>
          <w:szCs w:val="24"/>
          <w:highlight w:val="none"/>
        </w:rPr>
        <w:t>定义</w:t>
      </w:r>
    </w:p>
    <w:p w14:paraId="4F63DD1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1.1合同当事人</w:t>
      </w:r>
    </w:p>
    <w:p w14:paraId="2143DF3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（1）采购人（以下称甲方）是指使用财政性资金，通过政府采购方式向供应商购买货物及其相关服务的国家机关、事业单位、团体组织。</w:t>
      </w:r>
    </w:p>
    <w:p w14:paraId="7F3815F0">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（2）供应商（以下称乙方）是指参加政府采购活动并且中标（成交），向采购人提供合同约定的货物及其相关服务的法人、非法人组织或者自然人。</w:t>
      </w:r>
    </w:p>
    <w:p w14:paraId="01913E8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（3）其他合同主体是指除采购人和供应商以外，</w:t>
      </w:r>
      <w:r>
        <w:rPr>
          <w:rFonts w:hint="eastAsia" w:ascii="仿宋" w:hAnsi="仿宋" w:eastAsia="仿宋" w:cs="仿宋"/>
          <w:bCs/>
          <w:sz w:val="24"/>
          <w:szCs w:val="24"/>
          <w:highlight w:val="none"/>
        </w:rPr>
        <w:t>依法参与合同缔结或履行，享有权利、承担义务的合同当事人</w:t>
      </w:r>
      <w:r>
        <w:rPr>
          <w:rFonts w:hint="eastAsia" w:ascii="仿宋" w:hAnsi="仿宋" w:eastAsia="仿宋" w:cs="仿宋"/>
          <w:sz w:val="24"/>
          <w:szCs w:val="24"/>
          <w:highlight w:val="none"/>
        </w:rPr>
        <w:t>。</w:t>
      </w:r>
    </w:p>
    <w:p w14:paraId="250DE94A">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1.2本合同下列术语应解释为：</w:t>
      </w:r>
    </w:p>
    <w:p w14:paraId="464ED9DD">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（1）“合同”系指</w:t>
      </w:r>
      <w:r>
        <w:rPr>
          <w:rFonts w:hint="eastAsia" w:ascii="仿宋" w:hAnsi="仿宋" w:eastAsia="仿宋" w:cs="仿宋"/>
          <w:bCs/>
          <w:sz w:val="24"/>
          <w:szCs w:val="24"/>
          <w:highlight w:val="none"/>
        </w:rPr>
        <w:t>合同当事人意思表示达成一致的任何协议，包括签署的</w:t>
      </w:r>
      <w:r>
        <w:rPr>
          <w:rFonts w:hint="eastAsia" w:ascii="仿宋" w:hAnsi="仿宋" w:eastAsia="仿宋" w:cs="仿宋"/>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1F09CA1">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（2）“合同价款”系指根据本合同规定乙方在全面履行合同义务后甲方应支付给乙方的价款。</w:t>
      </w:r>
    </w:p>
    <w:p w14:paraId="26B49A91">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sz w:val="24"/>
          <w:szCs w:val="24"/>
          <w:highlight w:val="none"/>
          <w:lang w:val="en"/>
        </w:rPr>
        <w:t>其他</w:t>
      </w:r>
      <w:r>
        <w:rPr>
          <w:rFonts w:hint="eastAsia" w:ascii="仿宋" w:hAnsi="仿宋" w:eastAsia="仿宋" w:cs="仿宋"/>
          <w:sz w:val="24"/>
          <w:szCs w:val="24"/>
          <w:highlight w:val="none"/>
        </w:rPr>
        <w:t>技术资料和材料等。</w:t>
      </w:r>
    </w:p>
    <w:p w14:paraId="0F05BCCB">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（4）“相关服务”系指根据合同规定，乙方应提供的与货物有关的技术、管理和</w:t>
      </w:r>
      <w:r>
        <w:rPr>
          <w:rFonts w:hint="eastAsia" w:ascii="仿宋" w:hAnsi="仿宋" w:eastAsia="仿宋" w:cs="仿宋"/>
          <w:sz w:val="24"/>
          <w:szCs w:val="24"/>
          <w:highlight w:val="none"/>
          <w:lang w:val="en"/>
        </w:rPr>
        <w:t>其他</w:t>
      </w:r>
      <w:r>
        <w:rPr>
          <w:rFonts w:hint="eastAsia" w:ascii="仿宋" w:hAnsi="仿宋" w:eastAsia="仿宋" w:cs="仿宋"/>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sz w:val="24"/>
          <w:szCs w:val="24"/>
          <w:highlight w:val="none"/>
          <w:lang w:val="en"/>
        </w:rPr>
        <w:t>其他</w:t>
      </w:r>
      <w:r>
        <w:rPr>
          <w:rFonts w:hint="eastAsia" w:ascii="仿宋" w:hAnsi="仿宋" w:eastAsia="仿宋" w:cs="仿宋"/>
          <w:sz w:val="24"/>
          <w:szCs w:val="24"/>
          <w:highlight w:val="none"/>
        </w:rPr>
        <w:t>义务。</w:t>
      </w:r>
    </w:p>
    <w:p w14:paraId="1D64EF4C">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346B43E">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w:t>
      </w:r>
    </w:p>
    <w:p w14:paraId="592AABC0">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（7）其他术语解释，见【</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w:t>
      </w:r>
    </w:p>
    <w:p w14:paraId="020820AC">
      <w:pPr>
        <w:numPr>
          <w:ilvl w:val="0"/>
          <w:numId w:val="14"/>
        </w:num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sz w:val="24"/>
          <w:szCs w:val="24"/>
          <w:highlight w:val="none"/>
        </w:rPr>
        <w:t>合同标的及金额</w:t>
      </w:r>
    </w:p>
    <w:p w14:paraId="6D3ADEDD">
      <w:pPr>
        <w:autoSpaceDE w:val="0"/>
        <w:autoSpaceDN w:val="0"/>
        <w:adjustRightInd w:val="0"/>
        <w:snapToGrid w:val="0"/>
        <w:spacing w:line="400" w:lineRule="exact"/>
        <w:ind w:firstLine="480" w:firstLineChars="200"/>
        <w:jc w:val="left"/>
        <w:rPr>
          <w:rFonts w:hint="eastAsia" w:ascii="仿宋" w:hAnsi="仿宋" w:eastAsia="仿宋" w:cs="仿宋"/>
          <w:b/>
          <w:bCs/>
          <w:i/>
          <w:iCs/>
          <w:sz w:val="24"/>
          <w:szCs w:val="24"/>
          <w:highlight w:val="none"/>
        </w:rPr>
      </w:pPr>
      <w:r>
        <w:rPr>
          <w:rFonts w:hint="eastAsia" w:ascii="仿宋" w:hAnsi="仿宋" w:eastAsia="仿宋" w:cs="仿宋"/>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sz w:val="24"/>
          <w:szCs w:val="24"/>
          <w:highlight w:val="none"/>
          <w:lang w:val="en"/>
        </w:rPr>
        <w:t>其他</w:t>
      </w:r>
      <w:r>
        <w:rPr>
          <w:rFonts w:hint="eastAsia" w:ascii="仿宋" w:hAnsi="仿宋" w:eastAsia="仿宋" w:cs="仿宋"/>
          <w:sz w:val="24"/>
          <w:szCs w:val="24"/>
          <w:highlight w:val="none"/>
        </w:rPr>
        <w:t>任何费用。</w:t>
      </w:r>
    </w:p>
    <w:p w14:paraId="3510C643">
      <w:pPr>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 履行合同的时间、地点和方式</w:t>
      </w:r>
    </w:p>
    <w:p w14:paraId="171F8C2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 乙方应当在约定的时间、地点，按照约定方式履行合同。</w:t>
      </w:r>
    </w:p>
    <w:p w14:paraId="14F3BE70">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 甲方的权利和义务</w:t>
      </w:r>
    </w:p>
    <w:p w14:paraId="44BC19E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E54A27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98E234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4.3 甲方有权要求乙方对缺陷部分予以修复，并按合同约定享有货物保修及其他合同约定的权利。</w:t>
      </w:r>
    </w:p>
    <w:p w14:paraId="59BDA102">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甲方应当按照合同约定及时对交付的货物进行验收，未在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约定的期限内对乙方履约提出任何异议或者向乙方作出任何说明的，视为验收通过。</w:t>
      </w:r>
    </w:p>
    <w:p w14:paraId="6710E58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4.5 甲方应当根据合同约定及时向乙方支付合同价款，不得以内部人员变更、履行内部付款流程等为由，拒绝或迟延支付。</w:t>
      </w:r>
    </w:p>
    <w:p w14:paraId="64248E8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4.6 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约定应由甲方承担的其他义务和责任。</w:t>
      </w:r>
    </w:p>
    <w:p w14:paraId="47D83013">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 乙方的权利和义务</w:t>
      </w:r>
    </w:p>
    <w:p w14:paraId="3B24022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 签署合同后，乙方应确定项目负责人（或项目联系人），负责与本合同有关的事务。</w:t>
      </w:r>
    </w:p>
    <w:p w14:paraId="537A1DC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6596318">
      <w:pPr>
        <w:pStyle w:val="12"/>
        <w:spacing w:line="400" w:lineRule="exact"/>
        <w:ind w:firstLine="422" w:firstLineChars="176"/>
        <w:rPr>
          <w:rFonts w:hint="eastAsia" w:ascii="仿宋" w:hAnsi="仿宋" w:eastAsia="仿宋" w:cs="仿宋"/>
          <w:sz w:val="24"/>
          <w:szCs w:val="24"/>
          <w:highlight w:val="none"/>
        </w:rPr>
      </w:pPr>
      <w:r>
        <w:rPr>
          <w:rFonts w:hint="eastAsia" w:ascii="仿宋" w:hAnsi="仿宋" w:eastAsia="仿宋" w:cs="仿宋"/>
          <w:sz w:val="24"/>
          <w:szCs w:val="24"/>
          <w:highlight w:val="none"/>
        </w:rPr>
        <w:t>5.3乙方有权根据合同约定向甲方收取合同价款。</w:t>
      </w:r>
    </w:p>
    <w:p w14:paraId="1CA0CD89">
      <w:pPr>
        <w:pStyle w:val="12"/>
        <w:spacing w:line="400" w:lineRule="exact"/>
        <w:ind w:firstLine="422" w:firstLineChars="176"/>
        <w:rPr>
          <w:rFonts w:hint="eastAsia" w:ascii="仿宋" w:hAnsi="仿宋" w:eastAsia="仿宋" w:cs="仿宋"/>
          <w:sz w:val="24"/>
          <w:szCs w:val="24"/>
          <w:highlight w:val="none"/>
        </w:rPr>
      </w:pPr>
      <w:r>
        <w:rPr>
          <w:rFonts w:hint="eastAsia" w:ascii="仿宋" w:hAnsi="仿宋" w:eastAsia="仿宋" w:cs="仿宋"/>
          <w:sz w:val="24"/>
          <w:szCs w:val="24"/>
          <w:highlight w:val="none"/>
        </w:rPr>
        <w:t>5.4国家法律法规规定及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约定应由乙方承担的其他义务和责任。</w:t>
      </w:r>
    </w:p>
    <w:p w14:paraId="3612D4E3">
      <w:pPr>
        <w:numPr>
          <w:ilvl w:val="0"/>
          <w:numId w:val="15"/>
        </w:num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合同履行</w:t>
      </w:r>
    </w:p>
    <w:p w14:paraId="62E95BD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约定顺序履行合同义务；如果没有先后顺序的，应当同时履行。</w:t>
      </w:r>
    </w:p>
    <w:p w14:paraId="035C739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4C592F9">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 货物包装、运输、保险和交付要求</w:t>
      </w:r>
    </w:p>
    <w:p w14:paraId="2852C89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 本合同</w:t>
      </w:r>
      <w:r>
        <w:rPr>
          <w:rFonts w:hint="eastAsia" w:ascii="仿宋" w:hAnsi="仿宋" w:eastAsia="仿宋" w:cs="仿宋"/>
          <w:bCs/>
          <w:sz w:val="24"/>
          <w:szCs w:val="24"/>
          <w:highlight w:val="none"/>
        </w:rPr>
        <w:t>涉及商品包装、快递包装的，</w:t>
      </w:r>
      <w:r>
        <w:rPr>
          <w:rFonts w:hint="eastAsia" w:ascii="仿宋" w:hAnsi="仿宋" w:eastAsia="仿宋" w:cs="仿宋"/>
          <w:sz w:val="24"/>
          <w:szCs w:val="24"/>
          <w:highlight w:val="none"/>
        </w:rPr>
        <w:t>除</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另有约定外，</w:t>
      </w:r>
      <w:r>
        <w:rPr>
          <w:rFonts w:hint="eastAsia" w:ascii="仿宋" w:hAnsi="仿宋" w:eastAsia="仿宋" w:cs="仿宋"/>
          <w:sz w:val="24"/>
          <w:szCs w:val="24"/>
          <w:highlight w:val="none"/>
        </w:rPr>
        <w:t>包装应适应远距离运输、防潮、防震、防锈和防野蛮装卸等要求，确保货物安全无损地运抵</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约定的</w:t>
      </w:r>
      <w:r>
        <w:rPr>
          <w:rFonts w:hint="eastAsia" w:ascii="仿宋" w:hAnsi="仿宋" w:eastAsia="仿宋" w:cs="仿宋"/>
          <w:sz w:val="24"/>
          <w:szCs w:val="24"/>
          <w:highlight w:val="none"/>
        </w:rPr>
        <w:t>指定现场。</w:t>
      </w:r>
    </w:p>
    <w:p w14:paraId="06721AD9">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 除</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另有约定外，</w:t>
      </w:r>
      <w:r>
        <w:rPr>
          <w:rFonts w:hint="eastAsia" w:ascii="仿宋" w:hAnsi="仿宋" w:eastAsia="仿宋" w:cs="仿宋"/>
          <w:sz w:val="24"/>
          <w:szCs w:val="24"/>
          <w:highlight w:val="none"/>
        </w:rPr>
        <w:t>乙方负责办理将货物运抵本合同规定的交货地点，并装卸、交付至甲方的一切运输事项，相关费用应包含在合同价款中。</w:t>
      </w:r>
    </w:p>
    <w:p w14:paraId="13000527">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7.3 货物保险要求按</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规定执行</w:t>
      </w:r>
      <w:r>
        <w:rPr>
          <w:rFonts w:hint="eastAsia" w:ascii="仿宋" w:hAnsi="仿宋" w:eastAsia="仿宋" w:cs="仿宋"/>
          <w:sz w:val="24"/>
          <w:szCs w:val="24"/>
          <w:highlight w:val="none"/>
        </w:rPr>
        <w:t>。</w:t>
      </w:r>
    </w:p>
    <w:p w14:paraId="5F1D464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C2D1E6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7.5 乙方在运输到达之前应提前通知甲方，并提示货物运输装卸的注意事项，甲方配合乙方做好货物的接收工作。</w:t>
      </w:r>
    </w:p>
    <w:p w14:paraId="761BB8A5">
      <w:pPr>
        <w:pStyle w:val="35"/>
        <w:ind w:firstLine="42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7.6 如因包装、运输问题导致货物损毁、丢失或者品质下降，甲方有权要求降价、换货、拒收部分或整批货物，由此产生的费用和损失，均由乙方承担。</w:t>
      </w:r>
    </w:p>
    <w:p w14:paraId="0A9C9B6A">
      <w:pPr>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8. 质量标准和保证</w:t>
      </w:r>
    </w:p>
    <w:p w14:paraId="3481187B">
      <w:pPr>
        <w:pStyle w:val="17"/>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 质量标准</w:t>
      </w:r>
    </w:p>
    <w:p w14:paraId="4DD7C91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9B547BF">
      <w:pPr>
        <w:pStyle w:val="17"/>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F279B15">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（3）乙方所提供的货物应符合国家有关安全、环保、卫生的规定。</w:t>
      </w:r>
    </w:p>
    <w:p w14:paraId="5F10ECE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774200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 保证</w:t>
      </w:r>
    </w:p>
    <w:p w14:paraId="2D30029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规定或乙方书面承诺（两者以较长的为准）的质量保证期内，本保证保持有效。</w:t>
      </w:r>
    </w:p>
    <w:p w14:paraId="2430998F">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（2）在质量保证期内所发现的缺陷，甲方应尽快以书面形式通知乙方。</w:t>
      </w:r>
    </w:p>
    <w:p w14:paraId="3F60CD6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（3）乙方收到通知后，应在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规定的响应时间内以合理的速度免费维修或更换有缺陷的货物或部件。</w:t>
      </w:r>
    </w:p>
    <w:p w14:paraId="48AECD4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14C8732">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（5）乙方在约定的时间内未能弥补缺陷，甲方可采取必要的补救措施，但其风险和费用将由乙方承担，甲方根据合同约定对乙方行使的其他权利不受影响。</w:t>
      </w:r>
    </w:p>
    <w:p w14:paraId="3175D2C8">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 权利瑕疵担保</w:t>
      </w:r>
    </w:p>
    <w:p w14:paraId="51324ED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 乙方保证对其出售的货物享有合法的权利。</w:t>
      </w:r>
    </w:p>
    <w:p w14:paraId="46975A3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 乙方保证在交付的货物上不存在抵押权等担保物权。</w:t>
      </w:r>
    </w:p>
    <w:p w14:paraId="45C55CC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9.3 如甲方使用上述货物构成对第三人侵权的，则由乙方承担全部责任。</w:t>
      </w:r>
    </w:p>
    <w:p w14:paraId="4D48E182">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 知识产权保护</w:t>
      </w:r>
    </w:p>
    <w:p w14:paraId="266BDA74">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 乙方对其所销售的货物应当享有知识产权或经权利人合法授权，保证没有侵犯任何第三人的知识产权等权利。</w:t>
      </w:r>
      <w:bookmarkStart w:id="38" w:name="_Hlk163047038"/>
      <w:r>
        <w:rPr>
          <w:rFonts w:hint="eastAsia" w:ascii="仿宋" w:hAnsi="仿宋" w:eastAsia="仿宋" w:cs="仿宋"/>
          <w:sz w:val="24"/>
          <w:szCs w:val="24"/>
          <w:highlight w:val="none"/>
        </w:rPr>
        <w:t>因违反前述约定对第三人构成侵权的，应当由乙方向第三人承担法律责任；甲方依法向第三人赔偿后，有权向乙方追偿。甲方有其他损失的，乙方应当赔偿</w:t>
      </w:r>
      <w:bookmarkEnd w:id="38"/>
      <w:r>
        <w:rPr>
          <w:rFonts w:hint="eastAsia" w:ascii="仿宋" w:hAnsi="仿宋" w:eastAsia="仿宋" w:cs="仿宋"/>
          <w:sz w:val="24"/>
          <w:szCs w:val="24"/>
          <w:highlight w:val="none"/>
        </w:rPr>
        <w:t>。</w:t>
      </w:r>
    </w:p>
    <w:p w14:paraId="45CB85A8">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保密义务</w:t>
      </w:r>
    </w:p>
    <w:p w14:paraId="4B0D548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中约定。</w:t>
      </w:r>
    </w:p>
    <w:p w14:paraId="79339403">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合同价款支付</w:t>
      </w:r>
    </w:p>
    <w:p w14:paraId="00BCEFC4">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12.1 合同价款支付按照国库集中支付制度及财政管理相关规定执行。</w:t>
      </w:r>
    </w:p>
    <w:p w14:paraId="6D9AD6ED">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27447595">
      <w:pPr>
        <w:pStyle w:val="12"/>
        <w:spacing w:line="4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 履约保证金</w:t>
      </w:r>
    </w:p>
    <w:p w14:paraId="38C06629">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13.1 乙方应当以支票、汇票、本票或者金融机构、担保机构出具的保函等非现金形式提交。</w:t>
      </w:r>
    </w:p>
    <w:p w14:paraId="6DA4944A">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 如果乙方出现</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61F8CE1">
      <w:pPr>
        <w:spacing w:line="40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13.3 甲方在项目通过验收后按照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规定的时间内将履约保证金退还乙方；逾期退还的，乙方可要求甲方支付违约金，违约金按照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规定支付。</w:t>
      </w:r>
    </w:p>
    <w:p w14:paraId="59DCA8AA">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 xml:space="preserve">14. </w:t>
      </w:r>
      <w:r>
        <w:rPr>
          <w:rFonts w:hint="eastAsia" w:ascii="仿宋" w:hAnsi="仿宋" w:eastAsia="仿宋" w:cs="仿宋"/>
          <w:b/>
          <w:sz w:val="24"/>
          <w:szCs w:val="24"/>
          <w:highlight w:val="none"/>
        </w:rPr>
        <w:t>售后服务</w:t>
      </w:r>
    </w:p>
    <w:p w14:paraId="16C4681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14.1 除项目不涉及或采购活动中明确约定无须承担外，乙方还应提供下列服务：</w:t>
      </w:r>
    </w:p>
    <w:p w14:paraId="221A0A1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（1）货物的现场移动、安装、调试、启动监督及技术支持；</w:t>
      </w:r>
    </w:p>
    <w:p w14:paraId="1CE7D89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（2）提供货物组装和维修所需的专用工具和辅助材料；</w:t>
      </w:r>
    </w:p>
    <w:p w14:paraId="2DE8A2BF">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约定的期限内对所有的货物实施运行监督、维修，但前提条件是该服务并不能免除乙方在质量保证期内所承担的义务；</w:t>
      </w:r>
    </w:p>
    <w:p w14:paraId="3D2E99F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（4）在制造商所在地或指定现场就货物的安装、启动、运营、维护、废弃处置等对甲方操作人员进行培训；</w:t>
      </w:r>
    </w:p>
    <w:p w14:paraId="3EA914DF">
      <w:pPr>
        <w:pStyle w:val="3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49916F0F">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规定由乙方提供的其他服务。</w:t>
      </w:r>
    </w:p>
    <w:p w14:paraId="6798C46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14.2 乙方提供的售后服务的费用已包含在合同价款中，甲方不再另行支付。</w:t>
      </w:r>
    </w:p>
    <w:p w14:paraId="19054FA2">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违约责任</w:t>
      </w:r>
    </w:p>
    <w:p w14:paraId="2620E4D5">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15.1质量瑕疵的违约责任</w:t>
      </w:r>
    </w:p>
    <w:p w14:paraId="48150EE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乙方提供的产品不符合合同约定的质量标准或存在产品质量缺陷，甲方有权要求乙方根据</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要求</w:t>
      </w:r>
      <w:r>
        <w:rPr>
          <w:rFonts w:hint="eastAsia" w:ascii="仿宋" w:hAnsi="仿宋" w:eastAsia="仿宋" w:cs="仿宋"/>
          <w:sz w:val="24"/>
          <w:szCs w:val="24"/>
          <w:highlight w:val="none"/>
        </w:rPr>
        <w:t>及时修理、重作、更换，并承担由此给甲方造成的损失。</w:t>
      </w:r>
    </w:p>
    <w:p w14:paraId="556A6418">
      <w:pPr>
        <w:autoSpaceDE w:val="0"/>
        <w:autoSpaceDN w:val="0"/>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15.2 迟延交货的违约责任</w:t>
      </w:r>
    </w:p>
    <w:p w14:paraId="22F155F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81052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规定执行。如果涉及公共利益，且赔偿金额无法弥补公共利益损失，甲方可要求继续履行或者采取其他补救措施。</w:t>
      </w:r>
    </w:p>
    <w:p w14:paraId="1BF83D9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15.3 迟延支付的违约责任</w:t>
      </w:r>
    </w:p>
    <w:p w14:paraId="65CDD244">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甲方存在迟延支付乙方合同款项的，应当承担</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规定的逾期付款利息。</w:t>
      </w:r>
    </w:p>
    <w:p w14:paraId="4BE7C434">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15.4其他违约责任根据项目实际需要按</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规定执行。</w:t>
      </w:r>
    </w:p>
    <w:p w14:paraId="32773513">
      <w:pPr>
        <w:numPr>
          <w:ilvl w:val="0"/>
          <w:numId w:val="16"/>
        </w:num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合同变更、中止与终止</w:t>
      </w:r>
    </w:p>
    <w:p w14:paraId="76DF77AF">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16.1合同的变更</w:t>
      </w:r>
    </w:p>
    <w:p w14:paraId="1570E2E0">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政府采购合同履行中，在不改变合同其他条款的前提下，甲方可以在合同价款10%的范围内追加与合同标的相同的货物，并就此与乙方协商一致后签订补充协议。</w:t>
      </w:r>
    </w:p>
    <w:p w14:paraId="19110E54">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16.2合同的中止</w:t>
      </w:r>
    </w:p>
    <w:p w14:paraId="32091F6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（1）合同履行过程中因供应商就采购文件、采购过程或结果提起投诉的，甲方认为有必要的，可以中止合同的履行。</w:t>
      </w:r>
    </w:p>
    <w:p w14:paraId="4D4C2DB4">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FB04FC8">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95239C8">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（4）甲方不得以行政区划调整、政府换届、机构或者职能调整以及相关责任人更替为由中止合同。</w:t>
      </w:r>
    </w:p>
    <w:p w14:paraId="7E7BB510">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16.3合同的终止</w:t>
      </w:r>
    </w:p>
    <w:p w14:paraId="0DA816E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（1）合同因有效期限届满而终止；</w:t>
      </w:r>
    </w:p>
    <w:p w14:paraId="61EB1EA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（2）乙方未按合同约定履行，构成根本性违约的，甲方有权终止合同，并追究乙方的违约责任。</w:t>
      </w:r>
    </w:p>
    <w:p w14:paraId="22CEBEDB">
      <w:pPr>
        <w:pStyle w:val="3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16.4 </w:t>
      </w:r>
      <w:r>
        <w:rPr>
          <w:rFonts w:hint="eastAsia" w:ascii="仿宋" w:hAnsi="仿宋" w:eastAsia="仿宋" w:cs="仿宋"/>
          <w:kern w:val="2"/>
          <w:sz w:val="24"/>
          <w:szCs w:val="24"/>
          <w:highlight w:val="none"/>
        </w:rPr>
        <w:t>涉及国家利益、社会公共利益的情形</w:t>
      </w:r>
    </w:p>
    <w:p w14:paraId="59459884">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0980D93B">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 合同分包</w:t>
      </w:r>
    </w:p>
    <w:p w14:paraId="23C620CF">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17.1 乙方不得将合同转包给其他供应商。涉及合同分包的，乙方应根据采购文件和投标（响应）文件规定进行合同分包。</w:t>
      </w:r>
    </w:p>
    <w:p w14:paraId="4DBF7AFF">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17.2 乙方执行政府采购政策向中小企业依法分包的，乙方应当按采购文件和投标（响应）文件签订分包意向协议，分包意向协议属于本合同组成部分。</w:t>
      </w:r>
    </w:p>
    <w:p w14:paraId="2BF4EABE">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 不可抗力</w:t>
      </w:r>
    </w:p>
    <w:p w14:paraId="557B601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18.1 不可抗力是指合同双方不能预见、不能避免且不能克服的客观情况。</w:t>
      </w:r>
    </w:p>
    <w:p w14:paraId="4E9AEA6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18.2 任何一方对由于不可抗力造成的部分或全部不能履行合同不承担违约责任。但迟延履行后发生不可抗力的，不能免除责任。</w:t>
      </w:r>
    </w:p>
    <w:p w14:paraId="6A5D4903">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E576C54">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 解决争议的方法</w:t>
      </w:r>
    </w:p>
    <w:p w14:paraId="03C3B2CD">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D3C1296">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19.2 选择仲裁的，应在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1F35DF0F">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19.3 如甲乙双方有争议的事项不影响合同其他部分的履行，在争议解决期间，合同其他部分应当继续履行。</w:t>
      </w:r>
    </w:p>
    <w:p w14:paraId="25761BE3">
      <w:pPr>
        <w:autoSpaceDE w:val="0"/>
        <w:autoSpaceDN w:val="0"/>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20. 政府采购政策</w:t>
      </w:r>
    </w:p>
    <w:p w14:paraId="753C184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20.1 </w:t>
      </w:r>
      <w:r>
        <w:rPr>
          <w:rFonts w:hint="eastAsia" w:ascii="仿宋" w:hAnsi="仿宋" w:eastAsia="仿宋" w:cs="仿宋"/>
          <w:sz w:val="24"/>
          <w:szCs w:val="24"/>
          <w:highlight w:val="none"/>
          <w:lang w:val="en-GB"/>
        </w:rPr>
        <w:t>本合同应当按照规定执行政府采购政策。</w:t>
      </w:r>
    </w:p>
    <w:p w14:paraId="5A6398B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 本合同依法执行政府采购政策的方式和内容，属于合同履约验收的范围。甲乙双方</w:t>
      </w:r>
      <w:r>
        <w:rPr>
          <w:rFonts w:hint="eastAsia" w:ascii="仿宋" w:hAnsi="仿宋" w:eastAsia="仿宋" w:cs="仿宋"/>
          <w:sz w:val="24"/>
          <w:szCs w:val="24"/>
          <w:highlight w:val="none"/>
          <w:lang w:val="en-GB"/>
        </w:rPr>
        <w:t>未按规定要求执行政府采购政策造成损失的</w:t>
      </w:r>
      <w:r>
        <w:rPr>
          <w:rFonts w:hint="eastAsia" w:ascii="仿宋" w:hAnsi="仿宋" w:eastAsia="仿宋" w:cs="仿宋"/>
          <w:sz w:val="24"/>
          <w:szCs w:val="24"/>
          <w:highlight w:val="none"/>
        </w:rPr>
        <w:t>，有过错的一方应当承担赔偿责任，双方都有过错的，各自承担相应的责任。</w:t>
      </w:r>
    </w:p>
    <w:p w14:paraId="39824FB7">
      <w:pPr>
        <w:pStyle w:val="12"/>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492685">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 法律适用</w:t>
      </w:r>
    </w:p>
    <w:p w14:paraId="398D9B74">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21.1 本合同的订立、生效、解释、履行及与本合同有关的争议解决，均适用法律、行政法规。</w:t>
      </w:r>
    </w:p>
    <w:p w14:paraId="32254222">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21.2 本合同条款与法律、行政法规的强制性规定不一致的，双方当事人应按照法律、行政法规的强制性规定修改本合同的相关条款。</w:t>
      </w:r>
    </w:p>
    <w:p w14:paraId="6CDC8C30">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22. 通知</w:t>
      </w:r>
    </w:p>
    <w:p w14:paraId="3E0B63FE">
      <w:pPr>
        <w:pStyle w:val="3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本合同任何一方向对方发出的通知、信件、数据电文等，应当发送至本合同第一部分《政府采购合同协议书》所约定的通讯地址、联系人、联系电话或电子邮箱。</w:t>
      </w:r>
    </w:p>
    <w:p w14:paraId="6A7604F6">
      <w:pPr>
        <w:pStyle w:val="35"/>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6D7E50B2">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22.3本合同一方给另一方的通知均应采用书面形式，传真或快递送到本合同中规定的对方的地址和办理签收手续。</w:t>
      </w:r>
    </w:p>
    <w:p w14:paraId="13598595">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22.4通知以送达之日或通知书中规定的生效之日起生效，两者中以较迟之日为准。</w:t>
      </w:r>
    </w:p>
    <w:p w14:paraId="5CCCEA7C">
      <w:pPr>
        <w:numPr>
          <w:ilvl w:val="0"/>
          <w:numId w:val="17"/>
        </w:num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合同未尽事项</w:t>
      </w:r>
    </w:p>
    <w:p w14:paraId="425E5AE8">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23.1合同未尽事项见</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w:t>
      </w:r>
    </w:p>
    <w:p w14:paraId="0D44DB31">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23.2 合同附件与合同正文具有同等的法律效力。</w:t>
      </w:r>
      <w:bookmarkStart w:id="39" w:name="_Toc20313"/>
    </w:p>
    <w:p w14:paraId="5EC54203">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B1DE302">
      <w:pPr>
        <w:pStyle w:val="3"/>
        <w:tabs>
          <w:tab w:val="left" w:pos="0"/>
          <w:tab w:val="left" w:pos="420"/>
        </w:tabs>
        <w:adjustRightInd w:val="0"/>
        <w:snapToGrid w:val="0"/>
        <w:jc w:val="center"/>
        <w:rPr>
          <w:rFonts w:hint="eastAsia" w:ascii="仿宋" w:hAnsi="仿宋" w:eastAsia="仿宋" w:cs="仿宋"/>
          <w:b w:val="0"/>
          <w:sz w:val="28"/>
          <w:szCs w:val="28"/>
          <w:highlight w:val="none"/>
        </w:rPr>
      </w:pPr>
      <w:bookmarkStart w:id="40" w:name="_Toc16831"/>
      <w:r>
        <w:rPr>
          <w:rFonts w:hint="eastAsia" w:ascii="仿宋" w:hAnsi="仿宋" w:eastAsia="仿宋" w:cs="仿宋"/>
          <w:b w:val="0"/>
          <w:sz w:val="28"/>
          <w:szCs w:val="28"/>
          <w:highlight w:val="none"/>
        </w:rPr>
        <w:t>第三节 政府采购合同专用条款</w:t>
      </w:r>
      <w:bookmarkEnd w:id="39"/>
      <w:bookmarkEnd w:id="40"/>
    </w:p>
    <w:tbl>
      <w:tblPr>
        <w:tblStyle w:val="27"/>
        <w:tblW w:w="85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12"/>
        <w:gridCol w:w="3587"/>
        <w:gridCol w:w="2959"/>
      </w:tblGrid>
      <w:tr w14:paraId="244E8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1AF65179">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6BA7F14B">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第1.2（6）项</w:t>
            </w:r>
          </w:p>
        </w:tc>
        <w:tc>
          <w:tcPr>
            <w:tcW w:w="3587" w:type="dxa"/>
            <w:noWrap w:val="0"/>
            <w:vAlign w:val="center"/>
          </w:tcPr>
          <w:p w14:paraId="7885D3CF">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联合体具体要求</w:t>
            </w:r>
          </w:p>
        </w:tc>
        <w:tc>
          <w:tcPr>
            <w:tcW w:w="2959" w:type="dxa"/>
            <w:noWrap w:val="0"/>
            <w:vAlign w:val="center"/>
          </w:tcPr>
          <w:p w14:paraId="408EBEA5">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5CD47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6DE3BF0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1E339808">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第1.2（7）项</w:t>
            </w:r>
          </w:p>
        </w:tc>
        <w:tc>
          <w:tcPr>
            <w:tcW w:w="3587" w:type="dxa"/>
            <w:noWrap w:val="0"/>
            <w:vAlign w:val="center"/>
          </w:tcPr>
          <w:p w14:paraId="5A049806">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其他术语解释</w:t>
            </w:r>
          </w:p>
        </w:tc>
        <w:tc>
          <w:tcPr>
            <w:tcW w:w="2959" w:type="dxa"/>
            <w:noWrap w:val="0"/>
            <w:vAlign w:val="center"/>
          </w:tcPr>
          <w:p w14:paraId="3BFCBAA9">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68A463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608853AE">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6CDFAA0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第4.4款</w:t>
            </w:r>
          </w:p>
        </w:tc>
        <w:tc>
          <w:tcPr>
            <w:tcW w:w="3587" w:type="dxa"/>
            <w:noWrap w:val="0"/>
            <w:vAlign w:val="center"/>
          </w:tcPr>
          <w:p w14:paraId="04BF8CA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履约验收中甲方提出异议或作出说明的期限</w:t>
            </w:r>
          </w:p>
        </w:tc>
        <w:tc>
          <w:tcPr>
            <w:tcW w:w="2959" w:type="dxa"/>
            <w:noWrap w:val="0"/>
            <w:vAlign w:val="center"/>
          </w:tcPr>
          <w:p w14:paraId="4AB9BEBC">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21539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04EC1474">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0CE03916">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第4.6款</w:t>
            </w:r>
          </w:p>
        </w:tc>
        <w:tc>
          <w:tcPr>
            <w:tcW w:w="3587" w:type="dxa"/>
            <w:noWrap w:val="0"/>
            <w:vAlign w:val="center"/>
          </w:tcPr>
          <w:p w14:paraId="4B5C74F3">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约定甲方承担的其他义务和责任</w:t>
            </w:r>
          </w:p>
        </w:tc>
        <w:tc>
          <w:tcPr>
            <w:tcW w:w="2959" w:type="dxa"/>
            <w:noWrap w:val="0"/>
            <w:vAlign w:val="center"/>
          </w:tcPr>
          <w:p w14:paraId="70CDC9B4">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4AFD6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76F1FC57">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1AB23AD1">
            <w:pPr>
              <w:keepNext w:val="0"/>
              <w:keepLines w:val="0"/>
              <w:pageBreakBefore w:val="0"/>
              <w:kinsoku/>
              <w:wordWrap/>
              <w:overflowPunct/>
              <w:topLinePunct w:val="0"/>
              <w:bidi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第5.4款</w:t>
            </w:r>
          </w:p>
        </w:tc>
        <w:tc>
          <w:tcPr>
            <w:tcW w:w="3587" w:type="dxa"/>
            <w:noWrap w:val="0"/>
            <w:vAlign w:val="center"/>
          </w:tcPr>
          <w:p w14:paraId="4EBA0D6C">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约定乙方承担的其他义务和责任</w:t>
            </w:r>
          </w:p>
        </w:tc>
        <w:tc>
          <w:tcPr>
            <w:tcW w:w="2959" w:type="dxa"/>
            <w:noWrap w:val="0"/>
            <w:vAlign w:val="center"/>
          </w:tcPr>
          <w:p w14:paraId="4EEC338E">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007E8D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35251F2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0C3E2FDB">
            <w:pPr>
              <w:keepNext w:val="0"/>
              <w:keepLines w:val="0"/>
              <w:pageBreakBefore w:val="0"/>
              <w:kinsoku/>
              <w:wordWrap/>
              <w:overflowPunct/>
              <w:topLinePunct w:val="0"/>
              <w:bidi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第6.1款</w:t>
            </w:r>
          </w:p>
        </w:tc>
        <w:tc>
          <w:tcPr>
            <w:tcW w:w="3587" w:type="dxa"/>
            <w:noWrap w:val="0"/>
            <w:vAlign w:val="center"/>
          </w:tcPr>
          <w:p w14:paraId="2A8DBA3D">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履行合同义务的顺序</w:t>
            </w:r>
          </w:p>
        </w:tc>
        <w:tc>
          <w:tcPr>
            <w:tcW w:w="2959" w:type="dxa"/>
            <w:noWrap w:val="0"/>
            <w:vAlign w:val="center"/>
          </w:tcPr>
          <w:p w14:paraId="11C5E115">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55CDE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vMerge w:val="restart"/>
            <w:noWrap w:val="0"/>
            <w:vAlign w:val="center"/>
          </w:tcPr>
          <w:p w14:paraId="7D0EEC2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D52984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第7.1款</w:t>
            </w:r>
          </w:p>
        </w:tc>
        <w:tc>
          <w:tcPr>
            <w:tcW w:w="3587" w:type="dxa"/>
            <w:noWrap w:val="0"/>
            <w:vAlign w:val="center"/>
          </w:tcPr>
          <w:p w14:paraId="79A28AEE">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包装特殊要求</w:t>
            </w:r>
          </w:p>
        </w:tc>
        <w:tc>
          <w:tcPr>
            <w:tcW w:w="2959" w:type="dxa"/>
            <w:noWrap w:val="0"/>
            <w:vAlign w:val="center"/>
          </w:tcPr>
          <w:p w14:paraId="6D5623C8">
            <w:pPr>
              <w:keepNext w:val="0"/>
              <w:keepLines w:val="0"/>
              <w:pageBreakBefore w:val="0"/>
              <w:kinsoku/>
              <w:wordWrap/>
              <w:overflowPunct/>
              <w:topLinePunct w:val="0"/>
              <w:bidi w:val="0"/>
              <w:spacing w:line="420" w:lineRule="exact"/>
              <w:textAlignment w:val="auto"/>
              <w:rPr>
                <w:rFonts w:hint="eastAsia" w:ascii="仿宋" w:hAnsi="仿宋" w:eastAsia="仿宋" w:cs="仿宋"/>
                <w:sz w:val="24"/>
                <w:szCs w:val="24"/>
                <w:highlight w:val="none"/>
              </w:rPr>
            </w:pPr>
          </w:p>
        </w:tc>
      </w:tr>
      <w:tr w14:paraId="5F16DC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vMerge w:val="continue"/>
            <w:noWrap w:val="0"/>
            <w:vAlign w:val="center"/>
          </w:tcPr>
          <w:p w14:paraId="35C95A27">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p>
        </w:tc>
        <w:tc>
          <w:tcPr>
            <w:tcW w:w="3587" w:type="dxa"/>
            <w:noWrap w:val="0"/>
            <w:vAlign w:val="center"/>
          </w:tcPr>
          <w:p w14:paraId="18F0B8C4">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指定现场</w:t>
            </w:r>
          </w:p>
        </w:tc>
        <w:tc>
          <w:tcPr>
            <w:tcW w:w="2959" w:type="dxa"/>
            <w:noWrap w:val="0"/>
            <w:vAlign w:val="center"/>
          </w:tcPr>
          <w:p w14:paraId="3D2DF84A">
            <w:pPr>
              <w:keepNext w:val="0"/>
              <w:keepLines w:val="0"/>
              <w:pageBreakBefore w:val="0"/>
              <w:kinsoku/>
              <w:wordWrap/>
              <w:overflowPunct/>
              <w:topLinePunct w:val="0"/>
              <w:bidi w:val="0"/>
              <w:spacing w:line="420" w:lineRule="exact"/>
              <w:textAlignment w:val="auto"/>
              <w:rPr>
                <w:rFonts w:hint="eastAsia" w:ascii="仿宋" w:hAnsi="仿宋" w:eastAsia="仿宋" w:cs="仿宋"/>
                <w:sz w:val="24"/>
                <w:szCs w:val="24"/>
                <w:highlight w:val="none"/>
              </w:rPr>
            </w:pPr>
          </w:p>
        </w:tc>
      </w:tr>
      <w:tr w14:paraId="5FB75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0B61719E">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47A2B1B6">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第7.2款</w:t>
            </w:r>
          </w:p>
        </w:tc>
        <w:tc>
          <w:tcPr>
            <w:tcW w:w="3587" w:type="dxa"/>
            <w:noWrap w:val="0"/>
            <w:vAlign w:val="center"/>
          </w:tcPr>
          <w:p w14:paraId="3D83AB07">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运输特殊要求</w:t>
            </w:r>
          </w:p>
        </w:tc>
        <w:tc>
          <w:tcPr>
            <w:tcW w:w="2959" w:type="dxa"/>
            <w:noWrap w:val="0"/>
            <w:vAlign w:val="center"/>
          </w:tcPr>
          <w:p w14:paraId="374513BD">
            <w:pPr>
              <w:keepNext w:val="0"/>
              <w:keepLines w:val="0"/>
              <w:pageBreakBefore w:val="0"/>
              <w:kinsoku/>
              <w:wordWrap/>
              <w:overflowPunct/>
              <w:topLinePunct w:val="0"/>
              <w:bidi w:val="0"/>
              <w:spacing w:line="420" w:lineRule="exact"/>
              <w:textAlignment w:val="auto"/>
              <w:rPr>
                <w:rFonts w:hint="eastAsia" w:ascii="仿宋" w:hAnsi="仿宋" w:eastAsia="仿宋" w:cs="仿宋"/>
                <w:sz w:val="24"/>
                <w:szCs w:val="24"/>
                <w:highlight w:val="none"/>
              </w:rPr>
            </w:pPr>
          </w:p>
        </w:tc>
      </w:tr>
      <w:tr w14:paraId="38D44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4C1EB288">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D3D1814">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第7.3款</w:t>
            </w:r>
          </w:p>
        </w:tc>
        <w:tc>
          <w:tcPr>
            <w:tcW w:w="3587" w:type="dxa"/>
            <w:noWrap w:val="0"/>
            <w:vAlign w:val="center"/>
          </w:tcPr>
          <w:p w14:paraId="47AB278A">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保险要求</w:t>
            </w:r>
          </w:p>
        </w:tc>
        <w:tc>
          <w:tcPr>
            <w:tcW w:w="2959" w:type="dxa"/>
            <w:noWrap w:val="0"/>
            <w:vAlign w:val="center"/>
          </w:tcPr>
          <w:p w14:paraId="2F96B5AC">
            <w:pPr>
              <w:keepNext w:val="0"/>
              <w:keepLines w:val="0"/>
              <w:pageBreakBefore w:val="0"/>
              <w:kinsoku/>
              <w:wordWrap/>
              <w:overflowPunct/>
              <w:topLinePunct w:val="0"/>
              <w:bidi w:val="0"/>
              <w:spacing w:line="420" w:lineRule="exact"/>
              <w:textAlignment w:val="auto"/>
              <w:rPr>
                <w:rFonts w:hint="eastAsia" w:ascii="仿宋" w:hAnsi="仿宋" w:eastAsia="仿宋" w:cs="仿宋"/>
                <w:sz w:val="24"/>
                <w:szCs w:val="24"/>
                <w:highlight w:val="none"/>
              </w:rPr>
            </w:pPr>
          </w:p>
        </w:tc>
      </w:tr>
      <w:tr w14:paraId="056E6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4929C49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48321ACF">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第8.2（1）项</w:t>
            </w:r>
          </w:p>
        </w:tc>
        <w:tc>
          <w:tcPr>
            <w:tcW w:w="3587" w:type="dxa"/>
            <w:noWrap w:val="0"/>
            <w:vAlign w:val="center"/>
          </w:tcPr>
          <w:p w14:paraId="1830B5B5">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质量保证期</w:t>
            </w:r>
          </w:p>
        </w:tc>
        <w:tc>
          <w:tcPr>
            <w:tcW w:w="2959" w:type="dxa"/>
            <w:noWrap w:val="0"/>
            <w:vAlign w:val="center"/>
          </w:tcPr>
          <w:p w14:paraId="645618CD">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558F2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2012" w:type="dxa"/>
            <w:noWrap w:val="0"/>
            <w:vAlign w:val="center"/>
          </w:tcPr>
          <w:p w14:paraId="6D740367">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030EDB6A">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第8.2（3）项</w:t>
            </w:r>
          </w:p>
        </w:tc>
        <w:tc>
          <w:tcPr>
            <w:tcW w:w="3587" w:type="dxa"/>
            <w:noWrap w:val="0"/>
            <w:vAlign w:val="center"/>
          </w:tcPr>
          <w:p w14:paraId="3D95979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货物质量缺陷</w:t>
            </w:r>
          </w:p>
          <w:p w14:paraId="12DA690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w:t>
            </w:r>
          </w:p>
        </w:tc>
        <w:tc>
          <w:tcPr>
            <w:tcW w:w="2959" w:type="dxa"/>
            <w:noWrap w:val="0"/>
            <w:vAlign w:val="center"/>
          </w:tcPr>
          <w:p w14:paraId="7897D9DE">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4E93B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6602B924">
            <w:pPr>
              <w:keepNext w:val="0"/>
              <w:keepLines w:val="0"/>
              <w:pageBreakBefore w:val="0"/>
              <w:kinsoku/>
              <w:wordWrap/>
              <w:overflowPunct/>
              <w:topLinePunct w:val="0"/>
              <w:bidi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00254580">
            <w:pPr>
              <w:pStyle w:val="35"/>
              <w:keepNext w:val="0"/>
              <w:keepLines w:val="0"/>
              <w:pageBreakBefore w:val="0"/>
              <w:kinsoku/>
              <w:wordWrap/>
              <w:overflowPunct/>
              <w:topLinePunct w:val="0"/>
              <w:bidi w:val="0"/>
              <w:spacing w:line="420" w:lineRule="exact"/>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第11.1款</w:t>
            </w:r>
          </w:p>
        </w:tc>
        <w:tc>
          <w:tcPr>
            <w:tcW w:w="3587" w:type="dxa"/>
            <w:noWrap w:val="0"/>
            <w:vAlign w:val="center"/>
          </w:tcPr>
          <w:p w14:paraId="275D2F25">
            <w:pPr>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其他应当保密的信息</w:t>
            </w:r>
          </w:p>
        </w:tc>
        <w:tc>
          <w:tcPr>
            <w:tcW w:w="2959" w:type="dxa"/>
            <w:noWrap w:val="0"/>
            <w:vAlign w:val="center"/>
          </w:tcPr>
          <w:p w14:paraId="2E64E30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3A28D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2012" w:type="dxa"/>
            <w:noWrap w:val="0"/>
            <w:vAlign w:val="center"/>
          </w:tcPr>
          <w:p w14:paraId="3BA9F87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1B6370FF">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第12.2款</w:t>
            </w:r>
          </w:p>
        </w:tc>
        <w:tc>
          <w:tcPr>
            <w:tcW w:w="3587" w:type="dxa"/>
            <w:noWrap w:val="0"/>
            <w:vAlign w:val="center"/>
          </w:tcPr>
          <w:p w14:paraId="050C9B61">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合同价款支付时间</w:t>
            </w:r>
          </w:p>
        </w:tc>
        <w:tc>
          <w:tcPr>
            <w:tcW w:w="2959" w:type="dxa"/>
            <w:noWrap w:val="0"/>
            <w:vAlign w:val="center"/>
          </w:tcPr>
          <w:p w14:paraId="24D1BEA0">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12401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5D8B2ADA">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4CF9FCB9">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第13.2款</w:t>
            </w:r>
          </w:p>
        </w:tc>
        <w:tc>
          <w:tcPr>
            <w:tcW w:w="3587" w:type="dxa"/>
            <w:noWrap w:val="0"/>
            <w:vAlign w:val="center"/>
          </w:tcPr>
          <w:p w14:paraId="3E3789BB">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履约保证金不予退还的情形</w:t>
            </w:r>
          </w:p>
        </w:tc>
        <w:tc>
          <w:tcPr>
            <w:tcW w:w="2959" w:type="dxa"/>
            <w:noWrap w:val="0"/>
            <w:vAlign w:val="center"/>
          </w:tcPr>
          <w:p w14:paraId="6935F7C3">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51B95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4496458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1D3AA08">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第13.3款</w:t>
            </w:r>
          </w:p>
        </w:tc>
        <w:tc>
          <w:tcPr>
            <w:tcW w:w="3587" w:type="dxa"/>
            <w:noWrap w:val="0"/>
            <w:vAlign w:val="center"/>
          </w:tcPr>
          <w:p w14:paraId="5C9B4F0A">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履约保证金退还时间及逾期退还的违约金</w:t>
            </w:r>
          </w:p>
        </w:tc>
        <w:tc>
          <w:tcPr>
            <w:tcW w:w="2959" w:type="dxa"/>
            <w:noWrap w:val="0"/>
            <w:vAlign w:val="center"/>
          </w:tcPr>
          <w:p w14:paraId="0A994D5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3D879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63A0E8F2">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51C5ED6">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第14.1（3）项</w:t>
            </w:r>
          </w:p>
        </w:tc>
        <w:tc>
          <w:tcPr>
            <w:tcW w:w="3587" w:type="dxa"/>
            <w:noWrap w:val="0"/>
            <w:vAlign w:val="center"/>
          </w:tcPr>
          <w:p w14:paraId="4DCD64EB">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运行监督、维修期限</w:t>
            </w:r>
          </w:p>
        </w:tc>
        <w:tc>
          <w:tcPr>
            <w:tcW w:w="2959" w:type="dxa"/>
            <w:noWrap w:val="0"/>
            <w:vAlign w:val="center"/>
          </w:tcPr>
          <w:p w14:paraId="38CCDB91">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39B4B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1D28D279">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4714BB8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第14.1（5）项</w:t>
            </w:r>
          </w:p>
        </w:tc>
        <w:tc>
          <w:tcPr>
            <w:tcW w:w="3587" w:type="dxa"/>
            <w:noWrap w:val="0"/>
            <w:vAlign w:val="center"/>
          </w:tcPr>
          <w:p w14:paraId="2B6913A3">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货物回收的约定</w:t>
            </w:r>
          </w:p>
        </w:tc>
        <w:tc>
          <w:tcPr>
            <w:tcW w:w="2959" w:type="dxa"/>
            <w:noWrap w:val="0"/>
            <w:vAlign w:val="center"/>
          </w:tcPr>
          <w:p w14:paraId="40DC9BD5">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40C4D1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3CAECBB7">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CECBBE9">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第14.1（6）项</w:t>
            </w:r>
          </w:p>
        </w:tc>
        <w:tc>
          <w:tcPr>
            <w:tcW w:w="3587" w:type="dxa"/>
            <w:noWrap w:val="0"/>
            <w:vAlign w:val="center"/>
          </w:tcPr>
          <w:p w14:paraId="6EBD6CF6">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乙方提供的其他服务</w:t>
            </w:r>
          </w:p>
        </w:tc>
        <w:tc>
          <w:tcPr>
            <w:tcW w:w="2959" w:type="dxa"/>
            <w:noWrap w:val="0"/>
            <w:vAlign w:val="center"/>
          </w:tcPr>
          <w:p w14:paraId="4D2FCF5F">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4D2EBB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052FC7DC">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689B180">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第15.1款</w:t>
            </w:r>
          </w:p>
        </w:tc>
        <w:tc>
          <w:tcPr>
            <w:tcW w:w="3587" w:type="dxa"/>
            <w:noWrap w:val="0"/>
            <w:vAlign w:val="center"/>
          </w:tcPr>
          <w:p w14:paraId="37DE667B">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修理、重作、更换相关具体规定</w:t>
            </w:r>
          </w:p>
        </w:tc>
        <w:tc>
          <w:tcPr>
            <w:tcW w:w="2959" w:type="dxa"/>
            <w:noWrap w:val="0"/>
            <w:vAlign w:val="center"/>
          </w:tcPr>
          <w:p w14:paraId="4ADABFDF">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r w14:paraId="07F68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7711B77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66893278">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第15.2（2）项</w:t>
            </w:r>
          </w:p>
        </w:tc>
        <w:tc>
          <w:tcPr>
            <w:tcW w:w="3587" w:type="dxa"/>
            <w:noWrap w:val="0"/>
            <w:vAlign w:val="center"/>
          </w:tcPr>
          <w:p w14:paraId="6C9934A5">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迟延交货赔偿费</w:t>
            </w:r>
          </w:p>
        </w:tc>
        <w:tc>
          <w:tcPr>
            <w:tcW w:w="2959" w:type="dxa"/>
            <w:noWrap w:val="0"/>
            <w:vAlign w:val="center"/>
          </w:tcPr>
          <w:p w14:paraId="22796048">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乙方延迟交货的，每逾期一天应按本合同总金额1%向甲方支付违约金，至本合同项下货物交付之日止，支付违约金后乙方仍需履行合同交付等义务。</w:t>
            </w:r>
          </w:p>
        </w:tc>
      </w:tr>
      <w:tr w14:paraId="233DE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72E7E771">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58E1A7AE">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第15.3款</w:t>
            </w:r>
          </w:p>
        </w:tc>
        <w:tc>
          <w:tcPr>
            <w:tcW w:w="3587" w:type="dxa"/>
            <w:noWrap w:val="0"/>
            <w:vAlign w:val="center"/>
          </w:tcPr>
          <w:p w14:paraId="7BB4FD18">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逾期付款利息</w:t>
            </w:r>
          </w:p>
        </w:tc>
        <w:tc>
          <w:tcPr>
            <w:tcW w:w="2959" w:type="dxa"/>
            <w:noWrap w:val="0"/>
            <w:vAlign w:val="center"/>
          </w:tcPr>
          <w:p w14:paraId="01415916">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u w:val="single"/>
              </w:rPr>
            </w:pPr>
          </w:p>
        </w:tc>
      </w:tr>
      <w:tr w14:paraId="1B194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tcBorders>
              <w:bottom w:val="single" w:color="auto" w:sz="2" w:space="0"/>
              <w:right w:val="single" w:color="auto" w:sz="2" w:space="0"/>
            </w:tcBorders>
            <w:noWrap w:val="0"/>
            <w:vAlign w:val="center"/>
          </w:tcPr>
          <w:p w14:paraId="18026763">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218AB0D0">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第15.4款</w:t>
            </w:r>
          </w:p>
        </w:tc>
        <w:tc>
          <w:tcPr>
            <w:tcW w:w="3587" w:type="dxa"/>
            <w:tcBorders>
              <w:left w:val="single" w:color="auto" w:sz="2" w:space="0"/>
              <w:bottom w:val="single" w:color="auto" w:sz="2" w:space="0"/>
              <w:right w:val="single" w:color="auto" w:sz="2" w:space="0"/>
            </w:tcBorders>
            <w:noWrap w:val="0"/>
            <w:vAlign w:val="center"/>
          </w:tcPr>
          <w:p w14:paraId="754FCB22">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其他违约责任</w:t>
            </w:r>
          </w:p>
        </w:tc>
        <w:tc>
          <w:tcPr>
            <w:tcW w:w="2959" w:type="dxa"/>
            <w:tcBorders>
              <w:left w:val="single" w:color="auto" w:sz="2" w:space="0"/>
              <w:bottom w:val="single" w:color="auto" w:sz="2" w:space="0"/>
            </w:tcBorders>
            <w:noWrap w:val="0"/>
            <w:vAlign w:val="center"/>
          </w:tcPr>
          <w:p w14:paraId="18757E29">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u w:val="single"/>
              </w:rPr>
            </w:pPr>
          </w:p>
        </w:tc>
      </w:tr>
      <w:tr w14:paraId="28836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tcBorders>
              <w:top w:val="single" w:color="auto" w:sz="2" w:space="0"/>
              <w:right w:val="single" w:color="auto" w:sz="2" w:space="0"/>
            </w:tcBorders>
            <w:noWrap w:val="0"/>
            <w:vAlign w:val="center"/>
          </w:tcPr>
          <w:p w14:paraId="58161442">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126311A8">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第19.2款</w:t>
            </w:r>
          </w:p>
        </w:tc>
        <w:tc>
          <w:tcPr>
            <w:tcW w:w="3587" w:type="dxa"/>
            <w:tcBorders>
              <w:top w:val="single" w:color="auto" w:sz="2" w:space="0"/>
              <w:left w:val="single" w:color="auto" w:sz="2" w:space="0"/>
              <w:right w:val="single" w:color="auto" w:sz="2" w:space="0"/>
            </w:tcBorders>
            <w:noWrap w:val="0"/>
            <w:vAlign w:val="center"/>
          </w:tcPr>
          <w:p w14:paraId="6134ACFF">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解决争议的方法</w:t>
            </w:r>
          </w:p>
        </w:tc>
        <w:tc>
          <w:tcPr>
            <w:tcW w:w="2959" w:type="dxa"/>
            <w:tcBorders>
              <w:top w:val="single" w:color="auto" w:sz="2" w:space="0"/>
              <w:left w:val="single" w:color="auto" w:sz="2" w:space="0"/>
            </w:tcBorders>
            <w:noWrap w:val="0"/>
            <w:vAlign w:val="center"/>
          </w:tcPr>
          <w:p w14:paraId="2F6D2B1E">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因本合同及合同有关事项发生的争议，按下列第</w:t>
            </w:r>
            <w:r>
              <w:rPr>
                <w:rFonts w:hint="eastAsia" w:ascii="仿宋" w:hAnsi="仿宋" w:eastAsia="仿宋" w:cs="仿宋"/>
                <w:iCs/>
                <w:sz w:val="24"/>
                <w:szCs w:val="24"/>
                <w:highlight w:val="none"/>
                <w:u w:val="single"/>
              </w:rPr>
              <w:t>（2）</w:t>
            </w:r>
            <w:r>
              <w:rPr>
                <w:rFonts w:hint="eastAsia" w:ascii="仿宋" w:hAnsi="仿宋" w:eastAsia="仿宋" w:cs="仿宋"/>
                <w:iCs/>
                <w:sz w:val="24"/>
                <w:szCs w:val="24"/>
                <w:highlight w:val="none"/>
              </w:rPr>
              <w:t>种方式解决：</w:t>
            </w:r>
          </w:p>
          <w:p w14:paraId="5CFBBF89">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（1）向</w:t>
            </w:r>
            <w:r>
              <w:rPr>
                <w:rFonts w:hint="eastAsia" w:ascii="仿宋" w:hAnsi="仿宋" w:eastAsia="仿宋" w:cs="仿宋"/>
                <w:iCs/>
                <w:sz w:val="24"/>
                <w:szCs w:val="24"/>
                <w:highlight w:val="none"/>
                <w:u w:val="single"/>
              </w:rPr>
              <w:t xml:space="preserve">                    </w:t>
            </w:r>
            <w:r>
              <w:rPr>
                <w:rFonts w:hint="eastAsia" w:ascii="仿宋" w:hAnsi="仿宋" w:eastAsia="仿宋" w:cs="仿宋"/>
                <w:iCs/>
                <w:sz w:val="24"/>
                <w:szCs w:val="24"/>
                <w:highlight w:val="none"/>
              </w:rPr>
              <w:t>仲裁委员会申请仲裁，仲裁地点为</w:t>
            </w:r>
            <w:r>
              <w:rPr>
                <w:rFonts w:hint="eastAsia" w:ascii="仿宋" w:hAnsi="仿宋" w:eastAsia="仿宋" w:cs="仿宋"/>
                <w:iCs/>
                <w:sz w:val="24"/>
                <w:szCs w:val="24"/>
                <w:highlight w:val="none"/>
                <w:u w:val="single"/>
              </w:rPr>
              <w:t xml:space="preserve">           </w:t>
            </w:r>
            <w:r>
              <w:rPr>
                <w:rFonts w:hint="eastAsia" w:ascii="仿宋" w:hAnsi="仿宋" w:eastAsia="仿宋" w:cs="仿宋"/>
                <w:iCs/>
                <w:sz w:val="24"/>
                <w:szCs w:val="24"/>
                <w:highlight w:val="none"/>
              </w:rPr>
              <w:t>；</w:t>
            </w:r>
          </w:p>
          <w:p w14:paraId="749825DE">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u w:val="single"/>
              </w:rPr>
            </w:pPr>
            <w:r>
              <w:rPr>
                <w:rFonts w:hint="eastAsia" w:ascii="仿宋" w:hAnsi="仿宋" w:eastAsia="仿宋" w:cs="仿宋"/>
                <w:iCs/>
                <w:sz w:val="24"/>
                <w:szCs w:val="24"/>
                <w:highlight w:val="none"/>
              </w:rPr>
              <w:t>（2）向</w:t>
            </w:r>
            <w:r>
              <w:rPr>
                <w:rFonts w:hint="eastAsia" w:ascii="仿宋" w:hAnsi="仿宋" w:eastAsia="仿宋" w:cs="仿宋"/>
                <w:iCs/>
                <w:sz w:val="24"/>
                <w:szCs w:val="24"/>
                <w:highlight w:val="none"/>
                <w:u w:val="single"/>
              </w:rPr>
              <w:t>双方所在地有权管辖的</w:t>
            </w:r>
            <w:r>
              <w:rPr>
                <w:rFonts w:hint="eastAsia" w:ascii="仿宋" w:hAnsi="仿宋" w:eastAsia="仿宋" w:cs="仿宋"/>
                <w:iCs/>
                <w:sz w:val="24"/>
                <w:szCs w:val="24"/>
                <w:highlight w:val="none"/>
              </w:rPr>
              <w:t>人民法院起诉。</w:t>
            </w:r>
          </w:p>
        </w:tc>
      </w:tr>
      <w:tr w14:paraId="46D7A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12" w:type="dxa"/>
            <w:noWrap w:val="0"/>
            <w:vAlign w:val="center"/>
          </w:tcPr>
          <w:p w14:paraId="1D620D9D">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第二节</w:t>
            </w:r>
          </w:p>
          <w:p w14:paraId="34E755EF">
            <w:pPr>
              <w:keepNext w:val="0"/>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第23.1款</w:t>
            </w:r>
          </w:p>
        </w:tc>
        <w:tc>
          <w:tcPr>
            <w:tcW w:w="3587" w:type="dxa"/>
            <w:noWrap w:val="0"/>
            <w:vAlign w:val="center"/>
          </w:tcPr>
          <w:p w14:paraId="2153F547">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其他专用条款</w:t>
            </w:r>
          </w:p>
        </w:tc>
        <w:tc>
          <w:tcPr>
            <w:tcW w:w="2959" w:type="dxa"/>
            <w:noWrap w:val="0"/>
            <w:vAlign w:val="center"/>
          </w:tcPr>
          <w:p w14:paraId="13625F0C">
            <w:pPr>
              <w:keepNext w:val="0"/>
              <w:keepLines w:val="0"/>
              <w:pageBreakBefore w:val="0"/>
              <w:kinsoku/>
              <w:wordWrap/>
              <w:overflowPunct/>
              <w:topLinePunct w:val="0"/>
              <w:bidi w:val="0"/>
              <w:adjustRightInd w:val="0"/>
              <w:snapToGrid w:val="0"/>
              <w:spacing w:line="420" w:lineRule="exact"/>
              <w:jc w:val="left"/>
              <w:textAlignment w:val="auto"/>
              <w:rPr>
                <w:rFonts w:hint="eastAsia" w:ascii="仿宋" w:hAnsi="仿宋" w:eastAsia="仿宋" w:cs="仿宋"/>
                <w:sz w:val="24"/>
                <w:szCs w:val="24"/>
                <w:highlight w:val="none"/>
              </w:rPr>
            </w:pPr>
          </w:p>
        </w:tc>
      </w:tr>
    </w:tbl>
    <w:p w14:paraId="4180115B">
      <w:pPr>
        <w:numPr>
          <w:ilvl w:val="0"/>
          <w:numId w:val="0"/>
        </w:numPr>
        <w:ind w:leftChars="0"/>
        <w:jc w:val="both"/>
        <w:rPr>
          <w:rFonts w:hint="eastAsia" w:ascii="仿宋" w:hAnsi="仿宋" w:eastAsia="仿宋" w:cs="仿宋"/>
          <w:b w:val="0"/>
          <w:bCs w:val="0"/>
          <w:sz w:val="32"/>
          <w:szCs w:val="32"/>
          <w:highlight w:val="none"/>
          <w:lang w:val="en-US" w:eastAsia="zh-CN"/>
        </w:rPr>
      </w:pPr>
    </w:p>
    <w:p w14:paraId="3A38539A">
      <w:pPr>
        <w:numPr>
          <w:ilvl w:val="0"/>
          <w:numId w:val="0"/>
        </w:numPr>
        <w:ind w:leftChars="0"/>
        <w:jc w:val="both"/>
        <w:rPr>
          <w:rFonts w:hint="eastAsia" w:ascii="仿宋" w:hAnsi="仿宋" w:eastAsia="仿宋" w:cs="仿宋"/>
          <w:b w:val="0"/>
          <w:bCs w:val="0"/>
          <w:sz w:val="32"/>
          <w:szCs w:val="32"/>
          <w:highlight w:val="none"/>
          <w:lang w:val="en-US" w:eastAsia="zh-CN"/>
        </w:rPr>
      </w:pPr>
    </w:p>
    <w:p w14:paraId="130B6641">
      <w:pPr>
        <w:numPr>
          <w:ilvl w:val="0"/>
          <w:numId w:val="0"/>
        </w:numPr>
        <w:ind w:leftChars="0"/>
        <w:jc w:val="both"/>
        <w:rPr>
          <w:rFonts w:hint="eastAsia" w:ascii="仿宋" w:hAnsi="仿宋" w:eastAsia="仿宋" w:cs="仿宋"/>
          <w:b w:val="0"/>
          <w:bCs w:val="0"/>
          <w:sz w:val="32"/>
          <w:szCs w:val="32"/>
          <w:highlight w:val="none"/>
          <w:lang w:val="en-US" w:eastAsia="zh-CN"/>
        </w:rPr>
      </w:pPr>
    </w:p>
    <w:p w14:paraId="0F3490BD">
      <w:pP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br w:type="page"/>
      </w:r>
    </w:p>
    <w:p w14:paraId="5076F736">
      <w:pPr>
        <w:pStyle w:val="2"/>
        <w:numPr>
          <w:ilvl w:val="0"/>
          <w:numId w:val="4"/>
        </w:numPr>
        <w:bidi w:val="0"/>
        <w:rPr>
          <w:rFonts w:hint="eastAsia" w:ascii="仿宋" w:hAnsi="仿宋" w:eastAsia="仿宋" w:cs="仿宋"/>
          <w:highlight w:val="none"/>
          <w:lang w:val="en-US" w:eastAsia="zh-CN"/>
        </w:rPr>
      </w:pPr>
      <w:bookmarkStart w:id="41" w:name="_Toc30506"/>
      <w:r>
        <w:rPr>
          <w:rFonts w:hint="eastAsia" w:ascii="仿宋" w:hAnsi="仿宋" w:eastAsia="仿宋" w:cs="仿宋"/>
          <w:highlight w:val="none"/>
          <w:lang w:val="en-US" w:eastAsia="zh-CN"/>
        </w:rPr>
        <w:t>采购需求</w:t>
      </w:r>
      <w:bookmarkEnd w:id="41"/>
    </w:p>
    <w:tbl>
      <w:tblPr>
        <w:tblStyle w:val="27"/>
        <w:tblW w:w="50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255"/>
        <w:gridCol w:w="2450"/>
        <w:gridCol w:w="966"/>
        <w:gridCol w:w="1145"/>
        <w:gridCol w:w="2238"/>
      </w:tblGrid>
      <w:tr w14:paraId="3A35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B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E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标的名称</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B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规格（高m）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6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数量（棵）</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最高单价（元）</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3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sz w:val="24"/>
                <w:szCs w:val="24"/>
                <w:highlight w:val="none"/>
                <w:u w:val="none"/>
              </w:rPr>
              <w:t>中小企业划分标准所属行业</w:t>
            </w:r>
          </w:p>
        </w:tc>
      </w:tr>
      <w:tr w14:paraId="0F1C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3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E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  钻</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0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0.6-0.7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B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7C01">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1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442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7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0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绿  钻</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0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0.6-0.7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D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643">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9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29C0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8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2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青叶藤</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E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2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E7BF">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C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1979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4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9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金钱树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2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0.7-0.9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8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F917">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F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7D1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4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2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福禄桐</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C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D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99A0">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4B4E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3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绿萝柱</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0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cs="仿宋" w:eastAsiaTheme="minorEastAsia"/>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highlight w:val="none"/>
                <w:u w:val="none"/>
                <w:lang w:val="en-US" w:eastAsia="zh-CN" w:bidi="ar"/>
              </w:rPr>
              <w:t>≥1.5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E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E167">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1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AFF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0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F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君子兰</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7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0.4-0.6（和尚头带花苞)</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D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76CB">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A8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2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A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非洲茉莉</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F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6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49B9">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220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F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6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白  掌</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2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0.15-0.3(花苞未开)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B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A252">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7552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F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B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小绿萝</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A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1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A178">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A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EE2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F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1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平安树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9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1.2-1.4（冠幅0.6）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8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BFA">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140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0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D1F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D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龙血树（多头）</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3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1.4-1.6（6头以上）</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1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29EC">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E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2632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9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A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  掌</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5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≥0.6（掌大，颜色正红）</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F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C38F">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5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479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C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1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蝴蝶兰</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0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0.3-0.6（大红色为主花苞未开)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7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6B6F">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9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833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8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5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榕树盆景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D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0.3-0.6（带原盆）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7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068D">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140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9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B98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4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6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夏威夷椰子</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8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3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7665">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4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5A5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9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6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碧玉</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3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1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14D5">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7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14A0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B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5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如意</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2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≥0.3（中国红）</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0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6A9D">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8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115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E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F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青苹果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7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2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B13C">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9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AB9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6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6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多  肉</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5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6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70EF">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D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4665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F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5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发财树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6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1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23E8">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2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B2C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2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E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龟背竹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D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3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8EE4">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A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27D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7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0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马尾铁</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F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A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9CCC">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2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063C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7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0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铁树盆景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4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≥0.6（带原盆）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6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D398">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B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553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C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幸福树（大）</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7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8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6205">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6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D70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B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C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散尾葵</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0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0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3D72">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147A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1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3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万年青</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A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E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94B5">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A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1F97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0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9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一品红</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E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D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3079">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2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6B6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E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F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九里香</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E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0.4-0.6(花苞未开)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A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0B57">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E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015F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3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2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三杆发财树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E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8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775F">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220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9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2159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F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1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造型琴叶榕</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A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F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9D52">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C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A6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3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E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大榕树盆景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5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≥1.5（带原盆）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D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3C4">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5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796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7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7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大独杆发财树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4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D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2700">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8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C9B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F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8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三角梅</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D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0.6-0.8（大红色为主花苞未开)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8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EBF1">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130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C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2F5F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7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B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步步高发财树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D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D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23D">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A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4F17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5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墨兰</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B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0.4-0.5(花苞未开)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4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214">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140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5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378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2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F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造型龙血树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E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2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732A">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780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4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7DEE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0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E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黄杨盆景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7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≥0.6（带原盆造型美观）</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0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0949">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360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F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2774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F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大富贵树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6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2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B36E">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632B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2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9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竹子</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0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7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9034">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9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5C60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B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1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长寿花</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A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≥0.25(花苞未开不要黄色)</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A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0EBD">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F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3F96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3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3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造型孟加拉榕</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4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1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9A97">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2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sz w:val="24"/>
                <w:szCs w:val="24"/>
                <w:highlight w:val="none"/>
              </w:rPr>
              <w:t>农、林、牧、渔业</w:t>
            </w:r>
          </w:p>
        </w:tc>
      </w:tr>
      <w:tr w14:paraId="1991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2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04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D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8000</w:t>
            </w:r>
          </w:p>
        </w:tc>
        <w:tc>
          <w:tcPr>
            <w:tcW w:w="1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w:t>
            </w:r>
          </w:p>
        </w:tc>
      </w:tr>
    </w:tbl>
    <w:p w14:paraId="16A340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63DC66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b/>
          <w:bCs/>
          <w:sz w:val="24"/>
          <w:highlight w:val="none"/>
          <w:lang w:val="en-US" w:eastAsia="zh-CN"/>
        </w:rPr>
        <w:t>注：</w:t>
      </w:r>
      <w:r>
        <w:rPr>
          <w:rFonts w:hint="eastAsia" w:ascii="仿宋" w:hAnsi="仿宋" w:eastAsia="仿宋" w:cs="仿宋"/>
          <w:b/>
          <w:bCs/>
          <w:sz w:val="24"/>
          <w:highlight w:val="none"/>
        </w:rPr>
        <w:t>投标人投标总报价不得高于最高限价，投标人</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rPr>
        <w:t>清单（详见第</w:t>
      </w:r>
      <w:r>
        <w:rPr>
          <w:rFonts w:hint="eastAsia" w:ascii="仿宋" w:hAnsi="仿宋" w:eastAsia="仿宋" w:cs="仿宋"/>
          <w:b/>
          <w:bCs/>
          <w:sz w:val="24"/>
          <w:highlight w:val="none"/>
          <w:lang w:val="en-US" w:eastAsia="zh-CN"/>
        </w:rPr>
        <w:t>五</w:t>
      </w:r>
      <w:r>
        <w:rPr>
          <w:rFonts w:hint="eastAsia" w:ascii="仿宋" w:hAnsi="仿宋" w:eastAsia="仿宋" w:cs="仿宋"/>
          <w:b/>
          <w:bCs/>
          <w:sz w:val="24"/>
          <w:highlight w:val="none"/>
        </w:rPr>
        <w:t xml:space="preserve">章 </w:t>
      </w:r>
      <w:r>
        <w:rPr>
          <w:rFonts w:hint="eastAsia" w:ascii="仿宋" w:hAnsi="仿宋" w:eastAsia="仿宋" w:cs="仿宋"/>
          <w:b/>
          <w:bCs/>
          <w:sz w:val="24"/>
          <w:highlight w:val="none"/>
          <w:lang w:val="en-US" w:eastAsia="zh-CN"/>
        </w:rPr>
        <w:t>采购需求</w:t>
      </w:r>
      <w:r>
        <w:rPr>
          <w:rFonts w:hint="eastAsia" w:ascii="仿宋" w:hAnsi="仿宋" w:eastAsia="仿宋" w:cs="仿宋"/>
          <w:b/>
          <w:bCs/>
          <w:sz w:val="24"/>
          <w:highlight w:val="none"/>
        </w:rPr>
        <w:t>）中的</w:t>
      </w:r>
      <w:r>
        <w:rPr>
          <w:rFonts w:hint="eastAsia" w:ascii="仿宋" w:hAnsi="仿宋" w:eastAsia="仿宋" w:cs="仿宋"/>
          <w:b/>
          <w:bCs/>
          <w:sz w:val="24"/>
          <w:highlight w:val="none"/>
          <w:lang w:val="en-US" w:eastAsia="zh-CN"/>
        </w:rPr>
        <w:t>各项标的的</w:t>
      </w:r>
      <w:r>
        <w:rPr>
          <w:rFonts w:hint="eastAsia" w:ascii="仿宋" w:hAnsi="仿宋" w:eastAsia="仿宋" w:cs="仿宋"/>
          <w:b/>
          <w:bCs/>
          <w:sz w:val="24"/>
          <w:highlight w:val="none"/>
        </w:rPr>
        <w:t>投标</w:t>
      </w:r>
      <w:r>
        <w:rPr>
          <w:rFonts w:hint="eastAsia" w:ascii="仿宋" w:hAnsi="仿宋" w:eastAsia="仿宋" w:cs="仿宋"/>
          <w:b/>
          <w:bCs/>
          <w:sz w:val="24"/>
          <w:highlight w:val="none"/>
          <w:lang w:val="en-US" w:eastAsia="zh-CN"/>
        </w:rPr>
        <w:t>单项</w:t>
      </w:r>
      <w:r>
        <w:rPr>
          <w:rFonts w:hint="eastAsia" w:ascii="仿宋" w:hAnsi="仿宋" w:eastAsia="仿宋" w:cs="仿宋"/>
          <w:b/>
          <w:bCs/>
          <w:sz w:val="24"/>
          <w:highlight w:val="none"/>
        </w:rPr>
        <w:t>报价均不能超过清单（详见第</w:t>
      </w:r>
      <w:r>
        <w:rPr>
          <w:rFonts w:hint="eastAsia" w:ascii="仿宋" w:hAnsi="仿宋" w:eastAsia="仿宋" w:cs="仿宋"/>
          <w:b/>
          <w:bCs/>
          <w:sz w:val="24"/>
          <w:highlight w:val="none"/>
          <w:lang w:val="en-US" w:eastAsia="zh-CN"/>
        </w:rPr>
        <w:t>五</w:t>
      </w:r>
      <w:r>
        <w:rPr>
          <w:rFonts w:hint="eastAsia" w:ascii="仿宋" w:hAnsi="仿宋" w:eastAsia="仿宋" w:cs="仿宋"/>
          <w:b/>
          <w:bCs/>
          <w:sz w:val="24"/>
          <w:highlight w:val="none"/>
        </w:rPr>
        <w:t xml:space="preserve">章 </w:t>
      </w:r>
      <w:r>
        <w:rPr>
          <w:rFonts w:hint="eastAsia" w:ascii="仿宋" w:hAnsi="仿宋" w:eastAsia="仿宋" w:cs="仿宋"/>
          <w:b/>
          <w:bCs/>
          <w:sz w:val="24"/>
          <w:highlight w:val="none"/>
          <w:lang w:val="en-US" w:eastAsia="zh-CN"/>
        </w:rPr>
        <w:t>采购需求</w:t>
      </w:r>
      <w:r>
        <w:rPr>
          <w:rFonts w:hint="eastAsia" w:ascii="仿宋" w:hAnsi="仿宋" w:eastAsia="仿宋" w:cs="仿宋"/>
          <w:b/>
          <w:bCs/>
          <w:sz w:val="24"/>
          <w:highlight w:val="none"/>
        </w:rPr>
        <w:t>）中的</w:t>
      </w:r>
      <w:r>
        <w:rPr>
          <w:rFonts w:hint="eastAsia" w:ascii="仿宋" w:hAnsi="仿宋" w:eastAsia="仿宋" w:cs="仿宋"/>
          <w:b/>
          <w:bCs/>
          <w:sz w:val="24"/>
          <w:highlight w:val="none"/>
          <w:lang w:val="en-US" w:eastAsia="zh-CN"/>
        </w:rPr>
        <w:t>最高</w:t>
      </w:r>
      <w:r>
        <w:rPr>
          <w:rFonts w:hint="eastAsia" w:ascii="仿宋" w:hAnsi="仿宋" w:eastAsia="仿宋" w:cs="仿宋"/>
          <w:b/>
          <w:bCs/>
          <w:sz w:val="24"/>
          <w:highlight w:val="none"/>
        </w:rPr>
        <w:t>单价要求，如超过上述</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rPr>
        <w:t>清单（详见第六章 技术要求）中的</w:t>
      </w:r>
      <w:r>
        <w:rPr>
          <w:rFonts w:hint="eastAsia" w:ascii="仿宋" w:hAnsi="仿宋" w:eastAsia="仿宋" w:cs="仿宋"/>
          <w:b/>
          <w:bCs/>
          <w:sz w:val="24"/>
          <w:highlight w:val="none"/>
          <w:lang w:val="en-US" w:eastAsia="zh-CN"/>
        </w:rPr>
        <w:t>最高</w:t>
      </w:r>
      <w:r>
        <w:rPr>
          <w:rFonts w:hint="eastAsia" w:ascii="仿宋" w:hAnsi="仿宋" w:eastAsia="仿宋" w:cs="仿宋"/>
          <w:b/>
          <w:bCs/>
          <w:sz w:val="24"/>
          <w:highlight w:val="none"/>
        </w:rPr>
        <w:t>单价</w:t>
      </w:r>
      <w:r>
        <w:rPr>
          <w:rFonts w:hint="eastAsia" w:ascii="仿宋" w:hAnsi="仿宋" w:eastAsia="仿宋" w:cs="仿宋"/>
          <w:b/>
          <w:bCs/>
          <w:sz w:val="24"/>
          <w:highlight w:val="none"/>
          <w:lang w:val="en-US" w:eastAsia="zh-CN"/>
        </w:rPr>
        <w:t>或</w:t>
      </w:r>
      <w:r>
        <w:rPr>
          <w:rFonts w:hint="eastAsia" w:ascii="仿宋" w:hAnsi="仿宋" w:eastAsia="仿宋" w:cs="仿宋"/>
          <w:b/>
          <w:bCs/>
          <w:sz w:val="24"/>
          <w:highlight w:val="none"/>
        </w:rPr>
        <w:t>高于最高限价作废标处理。</w:t>
      </w:r>
      <w:r>
        <w:rPr>
          <w:rFonts w:hint="eastAsia" w:ascii="仿宋" w:hAnsi="仿宋" w:eastAsia="仿宋" w:cs="仿宋"/>
          <w:highlight w:val="none"/>
          <w:lang w:val="en-US" w:eastAsia="zh-CN"/>
        </w:rPr>
        <w:br w:type="page"/>
      </w:r>
    </w:p>
    <w:p w14:paraId="7530A892">
      <w:pPr>
        <w:pStyle w:val="2"/>
        <w:numPr>
          <w:ilvl w:val="0"/>
          <w:numId w:val="4"/>
        </w:numPr>
        <w:bidi w:val="0"/>
        <w:rPr>
          <w:rFonts w:hint="eastAsia" w:ascii="仿宋" w:hAnsi="仿宋" w:eastAsia="仿宋" w:cs="仿宋"/>
          <w:highlight w:val="none"/>
          <w:lang w:val="en-US" w:eastAsia="zh-CN"/>
        </w:rPr>
      </w:pPr>
      <w:bookmarkStart w:id="42" w:name="_Toc18931"/>
      <w:r>
        <w:rPr>
          <w:rFonts w:hint="eastAsia" w:ascii="仿宋" w:hAnsi="仿宋" w:eastAsia="仿宋" w:cs="仿宋"/>
          <w:highlight w:val="none"/>
          <w:lang w:val="en-US" w:eastAsia="zh-CN"/>
        </w:rPr>
        <w:t>评标程序、评标方法和评标标准</w:t>
      </w:r>
      <w:bookmarkEnd w:id="42"/>
    </w:p>
    <w:p w14:paraId="44E84F50">
      <w:pPr>
        <w:keepNext w:val="0"/>
        <w:keepLines w:val="0"/>
        <w:pageBreakBefore w:val="0"/>
        <w:widowControl w:val="0"/>
        <w:numPr>
          <w:ilvl w:val="0"/>
          <w:numId w:val="18"/>
        </w:numPr>
        <w:kinsoku/>
        <w:wordWrap/>
        <w:overflowPunct/>
        <w:topLinePunct w:val="0"/>
        <w:autoSpaceDE/>
        <w:autoSpaceDN/>
        <w:bidi w:val="0"/>
        <w:adjustRightInd/>
        <w:snapToGrid/>
        <w:spacing w:line="420" w:lineRule="exact"/>
        <w:textAlignment w:val="auto"/>
        <w:outlineLvl w:val="1"/>
        <w:rPr>
          <w:rFonts w:hint="eastAsia" w:ascii="仿宋" w:hAnsi="仿宋" w:eastAsia="仿宋" w:cs="仿宋"/>
          <w:b/>
          <w:bCs/>
          <w:highlight w:val="none"/>
          <w:lang w:val="en-US" w:eastAsia="zh-CN"/>
        </w:rPr>
      </w:pPr>
      <w:bookmarkStart w:id="43" w:name="_Toc29997"/>
      <w:r>
        <w:rPr>
          <w:rFonts w:hint="eastAsia" w:ascii="仿宋" w:hAnsi="仿宋" w:eastAsia="仿宋" w:cs="仿宋"/>
          <w:b/>
          <w:bCs/>
          <w:highlight w:val="none"/>
          <w:lang w:val="en-US" w:eastAsia="zh-CN"/>
        </w:rPr>
        <w:t>评审方法</w:t>
      </w:r>
      <w:bookmarkEnd w:id="43"/>
      <w:r>
        <w:rPr>
          <w:rFonts w:hint="eastAsia" w:ascii="仿宋" w:hAnsi="仿宋" w:eastAsia="仿宋" w:cs="仿宋"/>
          <w:b/>
          <w:bCs/>
          <w:highlight w:val="none"/>
          <w:lang w:val="en-US" w:eastAsia="zh-CN"/>
        </w:rPr>
        <w:t xml:space="preserve"> </w:t>
      </w:r>
    </w:p>
    <w:p w14:paraId="7764B5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本次评标最低评审价法,是指响应文件满足采购文件全部实质性要求，且谈判最后报价最低的供应商为成交候选人的评审方法。</w:t>
      </w:r>
    </w:p>
    <w:p w14:paraId="439D9C8A">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highlight w:val="none"/>
          <w:lang w:val="en-US" w:eastAsia="zh-CN"/>
        </w:rPr>
      </w:pPr>
      <w:bookmarkStart w:id="44" w:name="_Toc10676"/>
      <w:r>
        <w:rPr>
          <w:rFonts w:hint="eastAsia" w:ascii="仿宋" w:hAnsi="仿宋" w:eastAsia="仿宋" w:cs="仿宋"/>
          <w:b/>
          <w:bCs/>
          <w:highlight w:val="none"/>
          <w:lang w:val="en-US" w:eastAsia="zh-CN"/>
        </w:rPr>
        <w:t>评审原则</w:t>
      </w:r>
      <w:bookmarkEnd w:id="44"/>
    </w:p>
    <w:p w14:paraId="48B0BC3C">
      <w:pPr>
        <w:keepNext w:val="0"/>
        <w:keepLines w:val="0"/>
        <w:pageBreakBefore w:val="0"/>
        <w:widowControl w:val="0"/>
        <w:numPr>
          <w:ilvl w:val="1"/>
          <w:numId w:val="18"/>
        </w:numPr>
        <w:kinsoku/>
        <w:wordWrap/>
        <w:overflowPunct/>
        <w:topLinePunct w:val="0"/>
        <w:autoSpaceDE/>
        <w:autoSpaceDN/>
        <w:bidi w:val="0"/>
        <w:adjustRightInd/>
        <w:snapToGrid/>
        <w:spacing w:line="42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评标活动遵循公平、公正、科学和择优的原则，以采购文件和响应文件为评标的基本依据，并按照采购文件规定的评标方法和评标标准进行评标。</w:t>
      </w:r>
    </w:p>
    <w:p w14:paraId="25DB2777">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具体评标事项由谈判小组负责，并按采购文件的规定办法进行评审。对采购文件中描述有歧义或前后不一致的地方，谈判小组有权按法律法规的规定进行评判，但对同一条款的评判应适用于每个响应供应商。</w:t>
      </w:r>
    </w:p>
    <w:p w14:paraId="05775A31">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评标应遵守下列评标纪律：</w:t>
      </w:r>
    </w:p>
    <w:p w14:paraId="7B81197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（1）评标情况不得私自外泄，有关信息由采购人、代理机构统一对外发布。</w:t>
      </w:r>
    </w:p>
    <w:p w14:paraId="42DAE2F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（2）对采购人或代理机构或供应商提供的要求保密的资料，不得摘记翻印和外传。</w:t>
      </w:r>
    </w:p>
    <w:p w14:paraId="1A9235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（3）不得收受投标供应商或有关人员的任何礼物，不得串联鼓动其他人袒护某供应商。若与供应商存在利害关系，则应主动声明并回避。</w:t>
      </w:r>
    </w:p>
    <w:p w14:paraId="58D675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（4）全体评委应按照采购文件规定进行评标，一切认定事项应查有实据且不得弄虚作假。</w:t>
      </w:r>
    </w:p>
    <w:p w14:paraId="62A0238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（5）谈判小组各成员应当独立对每个供应商的响应文件进行评价，并对评价意见承担个人责任。评审过程中，不得发表倾向性言论。</w:t>
      </w:r>
    </w:p>
    <w:p w14:paraId="21AFBB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（6）法律法规及采购文件规定的其他情形。</w:t>
      </w:r>
    </w:p>
    <w:p w14:paraId="0F981D1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对违反评标纪律的评委，将取消其评委资格，对评标工作造成严重损失者将予以通报批评乃至追究法律责任。</w:t>
      </w:r>
    </w:p>
    <w:p w14:paraId="46E66C5B">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45" w:name="_Toc7134"/>
      <w:bookmarkStart w:id="46" w:name="_Toc18094"/>
      <w:r>
        <w:rPr>
          <w:rFonts w:hint="eastAsia" w:ascii="仿宋" w:hAnsi="仿宋" w:eastAsia="仿宋" w:cs="仿宋"/>
          <w:b/>
          <w:bCs/>
          <w:sz w:val="24"/>
          <w:szCs w:val="24"/>
          <w:highlight w:val="none"/>
          <w:lang w:val="en-US" w:eastAsia="zh-CN"/>
        </w:rPr>
        <w:t>资格审查</w:t>
      </w:r>
      <w:bookmarkEnd w:id="45"/>
      <w:bookmarkEnd w:id="46"/>
    </w:p>
    <w:p w14:paraId="417356CA">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谈判小组依据采购文件，对响应文件中的资格证明文件等进行审查，以确定供应商是否具备参加谈判采购活动资格。资格性审查中凡有其中任意一项未通过的，评审结果为未通过，未通过资格性审查的供应商按无效响应处理，不进入符合性审查。审查内容如下：</w:t>
      </w:r>
    </w:p>
    <w:p w14:paraId="2005BA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25"/>
        <w:gridCol w:w="5939"/>
      </w:tblGrid>
      <w:tr w14:paraId="2FF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l2br w:val="nil"/>
              <w:tr2bl w:val="nil"/>
            </w:tcBorders>
            <w:vAlign w:val="center"/>
          </w:tcPr>
          <w:p w14:paraId="5A1AAC6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color w:val="000000"/>
                <w:spacing w:val="0"/>
                <w:kern w:val="2"/>
                <w:sz w:val="21"/>
                <w:szCs w:val="21"/>
                <w:highlight w:val="none"/>
                <w:u w:val="none"/>
                <w:vertAlign w:val="baseline"/>
                <w:lang w:val="en-US" w:eastAsia="zh-CN" w:bidi="ar"/>
              </w:rPr>
              <w:t>序号</w:t>
            </w:r>
          </w:p>
        </w:tc>
        <w:tc>
          <w:tcPr>
            <w:tcW w:w="1825" w:type="dxa"/>
            <w:tcBorders>
              <w:tl2br w:val="nil"/>
              <w:tr2bl w:val="nil"/>
            </w:tcBorders>
            <w:vAlign w:val="center"/>
          </w:tcPr>
          <w:p w14:paraId="197554C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color w:val="000000"/>
                <w:spacing w:val="0"/>
                <w:kern w:val="2"/>
                <w:sz w:val="21"/>
                <w:szCs w:val="21"/>
                <w:highlight w:val="none"/>
                <w:u w:val="none"/>
                <w:vertAlign w:val="baseline"/>
                <w:lang w:val="en-US" w:eastAsia="zh-CN" w:bidi="ar"/>
              </w:rPr>
              <w:t>审查因素</w:t>
            </w:r>
          </w:p>
        </w:tc>
        <w:tc>
          <w:tcPr>
            <w:tcW w:w="5939" w:type="dxa"/>
            <w:tcBorders>
              <w:tl2br w:val="nil"/>
              <w:tr2bl w:val="nil"/>
            </w:tcBorders>
            <w:vAlign w:val="center"/>
          </w:tcPr>
          <w:p w14:paraId="2A2F2E5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color w:val="000000"/>
                <w:spacing w:val="0"/>
                <w:kern w:val="2"/>
                <w:sz w:val="21"/>
                <w:szCs w:val="21"/>
                <w:highlight w:val="none"/>
                <w:u w:val="none"/>
                <w:vertAlign w:val="baseline"/>
                <w:lang w:val="en-US" w:eastAsia="zh-CN" w:bidi="ar"/>
              </w:rPr>
              <w:t>审查内容</w:t>
            </w:r>
          </w:p>
        </w:tc>
      </w:tr>
      <w:tr w14:paraId="235C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l2br w:val="nil"/>
              <w:tr2bl w:val="nil"/>
            </w:tcBorders>
            <w:vAlign w:val="center"/>
          </w:tcPr>
          <w:p w14:paraId="7E3A5A9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1825" w:type="dxa"/>
            <w:tcBorders>
              <w:tl2br w:val="nil"/>
              <w:tr2bl w:val="nil"/>
            </w:tcBorders>
            <w:vAlign w:val="center"/>
          </w:tcPr>
          <w:p w14:paraId="11C47B7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939" w:type="dxa"/>
            <w:tcBorders>
              <w:tl2br w:val="nil"/>
              <w:tr2bl w:val="nil"/>
            </w:tcBorders>
            <w:vAlign w:val="center"/>
          </w:tcPr>
          <w:p w14:paraId="6D81D69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扫描件加盖电子公章）</w:t>
            </w:r>
          </w:p>
          <w:p w14:paraId="258AEF4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576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l2br w:val="nil"/>
              <w:tr2bl w:val="nil"/>
            </w:tcBorders>
            <w:vAlign w:val="center"/>
          </w:tcPr>
          <w:p w14:paraId="313D06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1825" w:type="dxa"/>
            <w:tcBorders>
              <w:tl2br w:val="nil"/>
              <w:tr2bl w:val="nil"/>
            </w:tcBorders>
            <w:vAlign w:val="center"/>
          </w:tcPr>
          <w:p w14:paraId="339895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939" w:type="dxa"/>
            <w:tcBorders>
              <w:tl2br w:val="nil"/>
              <w:tr2bl w:val="nil"/>
            </w:tcBorders>
            <w:vAlign w:val="center"/>
          </w:tcPr>
          <w:p w14:paraId="03D4AFC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供应商注册成立不足六个月的则提供供应商资格声明书作为证明材料。</w:t>
            </w:r>
          </w:p>
        </w:tc>
      </w:tr>
      <w:tr w14:paraId="229B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l2br w:val="nil"/>
              <w:tr2bl w:val="nil"/>
            </w:tcBorders>
            <w:vAlign w:val="center"/>
          </w:tcPr>
          <w:p w14:paraId="00CA8B1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1825" w:type="dxa"/>
            <w:tcBorders>
              <w:tl2br w:val="nil"/>
              <w:tr2bl w:val="nil"/>
            </w:tcBorders>
            <w:vAlign w:val="center"/>
          </w:tcPr>
          <w:p w14:paraId="1A5D7F1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939" w:type="dxa"/>
            <w:tcBorders>
              <w:tl2br w:val="nil"/>
              <w:tr2bl w:val="nil"/>
            </w:tcBorders>
            <w:vAlign w:val="center"/>
          </w:tcPr>
          <w:p w14:paraId="4932E35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须提供具备履行合同所必需的设备和专业技术能力的书面声明原件</w:t>
            </w:r>
          </w:p>
        </w:tc>
      </w:tr>
      <w:tr w14:paraId="212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l2br w:val="nil"/>
              <w:tr2bl w:val="nil"/>
            </w:tcBorders>
            <w:vAlign w:val="center"/>
          </w:tcPr>
          <w:p w14:paraId="57746E6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1825" w:type="dxa"/>
            <w:tcBorders>
              <w:tl2br w:val="nil"/>
              <w:tr2bl w:val="nil"/>
            </w:tcBorders>
            <w:vAlign w:val="center"/>
          </w:tcPr>
          <w:p w14:paraId="5D6F7E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939" w:type="dxa"/>
            <w:tcBorders>
              <w:tl2br w:val="nil"/>
              <w:tr2bl w:val="nil"/>
            </w:tcBorders>
            <w:vAlign w:val="center"/>
          </w:tcPr>
          <w:p w14:paraId="1A09A1F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18F235C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555D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758" w:type="dxa"/>
            <w:tcBorders>
              <w:tl2br w:val="nil"/>
              <w:tr2bl w:val="nil"/>
            </w:tcBorders>
            <w:vAlign w:val="center"/>
          </w:tcPr>
          <w:p w14:paraId="2157AD8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1825" w:type="dxa"/>
            <w:tcBorders>
              <w:tl2br w:val="nil"/>
              <w:tr2bl w:val="nil"/>
            </w:tcBorders>
            <w:vAlign w:val="center"/>
          </w:tcPr>
          <w:p w14:paraId="0EC8539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939" w:type="dxa"/>
            <w:tcBorders>
              <w:tl2br w:val="nil"/>
              <w:tr2bl w:val="nil"/>
            </w:tcBorders>
            <w:vAlign w:val="center"/>
          </w:tcPr>
          <w:p w14:paraId="03DAEF0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667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58" w:type="dxa"/>
            <w:tcBorders>
              <w:tl2br w:val="nil"/>
              <w:tr2bl w:val="nil"/>
            </w:tcBorders>
            <w:vAlign w:val="center"/>
          </w:tcPr>
          <w:p w14:paraId="6582A94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1825" w:type="dxa"/>
            <w:tcBorders>
              <w:tl2br w:val="nil"/>
              <w:tr2bl w:val="nil"/>
            </w:tcBorders>
            <w:vAlign w:val="center"/>
          </w:tcPr>
          <w:p w14:paraId="4167FB0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939" w:type="dxa"/>
            <w:tcBorders>
              <w:tl2br w:val="nil"/>
              <w:tr2bl w:val="nil"/>
            </w:tcBorders>
            <w:vAlign w:val="center"/>
          </w:tcPr>
          <w:p w14:paraId="6A37322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75E4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58" w:type="dxa"/>
            <w:tcBorders>
              <w:tl2br w:val="nil"/>
              <w:tr2bl w:val="nil"/>
            </w:tcBorders>
            <w:vAlign w:val="center"/>
          </w:tcPr>
          <w:p w14:paraId="500AD51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1825" w:type="dxa"/>
            <w:tcBorders>
              <w:tl2br w:val="nil"/>
              <w:tr2bl w:val="nil"/>
            </w:tcBorders>
            <w:vAlign w:val="center"/>
          </w:tcPr>
          <w:p w14:paraId="7604EC9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投标保证金</w:t>
            </w:r>
          </w:p>
        </w:tc>
        <w:tc>
          <w:tcPr>
            <w:tcW w:w="5939" w:type="dxa"/>
            <w:tcBorders>
              <w:tl2br w:val="nil"/>
              <w:tr2bl w:val="nil"/>
            </w:tcBorders>
            <w:vAlign w:val="center"/>
          </w:tcPr>
          <w:p w14:paraId="5D0F3C0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按照采购文件的规定提交投标保证金</w:t>
            </w:r>
          </w:p>
        </w:tc>
      </w:tr>
      <w:tr w14:paraId="3BC4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58" w:type="dxa"/>
            <w:tcBorders>
              <w:tl2br w:val="nil"/>
              <w:tr2bl w:val="nil"/>
            </w:tcBorders>
            <w:vAlign w:val="center"/>
          </w:tcPr>
          <w:p w14:paraId="1B571F9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1825" w:type="dxa"/>
            <w:tcBorders>
              <w:tl2br w:val="nil"/>
              <w:tr2bl w:val="nil"/>
            </w:tcBorders>
            <w:vAlign w:val="center"/>
          </w:tcPr>
          <w:p w14:paraId="61AAFF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sz w:val="21"/>
                <w:szCs w:val="21"/>
                <w:highlight w:val="none"/>
                <w:vertAlign w:val="baseline"/>
                <w:lang w:val="en-US" w:eastAsia="zh-CN"/>
              </w:rPr>
              <w:t>本项目专门面向小微企业，货物的制造商应符合《政府采购促进中小企业发展管理办法》(财库〔2020〕46号) 第四条规定的情形，且应当提供《政府采购促进中小企业发展管理办法》(财库〔2020〕46号)规定的《中小企业声明函》。</w:t>
            </w:r>
          </w:p>
        </w:tc>
        <w:tc>
          <w:tcPr>
            <w:tcW w:w="5939" w:type="dxa"/>
            <w:tcBorders>
              <w:tl2br w:val="nil"/>
              <w:tr2bl w:val="nil"/>
            </w:tcBorders>
            <w:vAlign w:val="center"/>
          </w:tcPr>
          <w:p w14:paraId="73250CE0">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highlight w:val="none"/>
                <w:lang w:val="en-US" w:eastAsia="zh-CN"/>
              </w:rPr>
              <w:t>本项目专门面向小微企业，货物的制造商应符合《政府采购促进中小企业发展管理办法》(财库〔2020〕46号) 第四条规定的情形，且应当提供《政府采购促进中小企业发展管理办法》(财库〔2020〕46号)规定的《中小企业声明函》。</w:t>
            </w:r>
          </w:p>
        </w:tc>
      </w:tr>
    </w:tbl>
    <w:p w14:paraId="1DD1E90B">
      <w:pPr>
        <w:pStyle w:val="26"/>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68C93997">
      <w:pPr>
        <w:pStyle w:val="26"/>
        <w:keepNext w:val="0"/>
        <w:keepLines w:val="0"/>
        <w:pageBreakBefore w:val="0"/>
        <w:widowControl w:val="0"/>
        <w:numPr>
          <w:ilvl w:val="0"/>
          <w:numId w:val="18"/>
        </w:numPr>
        <w:kinsoku/>
        <w:wordWrap/>
        <w:overflowPunct/>
        <w:topLinePunct w:val="0"/>
        <w:autoSpaceDE w:val="0"/>
        <w:autoSpaceDN w:val="0"/>
        <w:bidi w:val="0"/>
        <w:adjustRightInd/>
        <w:snapToGrid/>
        <w:spacing w:before="0" w:after="0" w:line="420" w:lineRule="exact"/>
        <w:ind w:left="0" w:leftChars="0" w:right="0" w:rightChars="0" w:firstLine="0" w:firstLineChars="0"/>
        <w:jc w:val="left"/>
        <w:textAlignment w:val="auto"/>
        <w:outlineLvl w:val="1"/>
        <w:rPr>
          <w:rFonts w:hint="eastAsia" w:ascii="仿宋" w:hAnsi="仿宋" w:eastAsia="仿宋" w:cs="仿宋"/>
          <w:highlight w:val="none"/>
          <w:lang w:val="en-US" w:eastAsia="zh-CN"/>
        </w:rPr>
      </w:pPr>
      <w:bookmarkStart w:id="47" w:name="_Toc31406"/>
      <w:bookmarkStart w:id="48" w:name="_Toc26755"/>
      <w:r>
        <w:rPr>
          <w:rFonts w:hint="eastAsia" w:ascii="仿宋" w:hAnsi="仿宋" w:eastAsia="仿宋" w:cs="仿宋"/>
          <w:b/>
          <w:bCs/>
          <w:sz w:val="24"/>
          <w:szCs w:val="24"/>
          <w:highlight w:val="none"/>
          <w:lang w:val="en-US" w:eastAsia="zh-CN"/>
        </w:rPr>
        <w:t>符合性审查</w:t>
      </w:r>
      <w:bookmarkEnd w:id="47"/>
      <w:bookmarkEnd w:id="48"/>
    </w:p>
    <w:p w14:paraId="0DC723D3">
      <w:pPr>
        <w:keepNext w:val="0"/>
        <w:keepLines w:val="0"/>
        <w:pageBreakBefore w:val="0"/>
        <w:widowControl w:val="0"/>
        <w:numPr>
          <w:ilvl w:val="1"/>
          <w:numId w:val="18"/>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按无效响应处理，不进入详细评审。审查内容如下：</w:t>
      </w:r>
    </w:p>
    <w:p w14:paraId="23154DBE">
      <w:pPr>
        <w:pStyle w:val="26"/>
        <w:jc w:val="center"/>
        <w:rPr>
          <w:rFonts w:hint="eastAsia" w:ascii="仿宋" w:hAnsi="仿宋" w:eastAsia="仿宋" w:cs="仿宋"/>
          <w:b/>
          <w:bCs/>
          <w:highlight w:val="none"/>
          <w:lang w:val="en-US" w:eastAsia="zh-CN"/>
        </w:rPr>
      </w:pPr>
    </w:p>
    <w:p w14:paraId="37040870">
      <w:pPr>
        <w:pStyle w:val="26"/>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符合性审查要求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284"/>
        <w:gridCol w:w="6444"/>
      </w:tblGrid>
      <w:tr w14:paraId="7D37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6CEB4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284" w:type="dxa"/>
            <w:vAlign w:val="center"/>
          </w:tcPr>
          <w:p w14:paraId="11BAF0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6444" w:type="dxa"/>
            <w:vAlign w:val="center"/>
          </w:tcPr>
          <w:p w14:paraId="76C1C9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C8D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4630DA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284" w:type="dxa"/>
            <w:vAlign w:val="center"/>
          </w:tcPr>
          <w:p w14:paraId="101F248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6444" w:type="dxa"/>
            <w:vAlign w:val="center"/>
          </w:tcPr>
          <w:p w14:paraId="6B73DFE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44EF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73EB4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284" w:type="dxa"/>
            <w:vAlign w:val="center"/>
          </w:tcPr>
          <w:p w14:paraId="34FF08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响应完整性</w:t>
            </w:r>
          </w:p>
        </w:tc>
        <w:tc>
          <w:tcPr>
            <w:tcW w:w="6444" w:type="dxa"/>
            <w:vAlign w:val="center"/>
          </w:tcPr>
          <w:p w14:paraId="2CE52A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03B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4C4345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284" w:type="dxa"/>
            <w:vAlign w:val="center"/>
          </w:tcPr>
          <w:p w14:paraId="1A49C9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w:t>
            </w:r>
          </w:p>
        </w:tc>
        <w:tc>
          <w:tcPr>
            <w:tcW w:w="6444" w:type="dxa"/>
            <w:vAlign w:val="center"/>
          </w:tcPr>
          <w:p w14:paraId="17847A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响应报价未超过谈判文件中规定的项目预算金额或者项目最高限价或者最高单价限价；</w:t>
            </w:r>
          </w:p>
        </w:tc>
      </w:tr>
      <w:tr w14:paraId="3DB2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7D4E0B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284" w:type="dxa"/>
            <w:vAlign w:val="center"/>
          </w:tcPr>
          <w:p w14:paraId="1616A0F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6444" w:type="dxa"/>
            <w:vAlign w:val="center"/>
          </w:tcPr>
          <w:p w14:paraId="1B414B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响应文件未出现可选择性或可调整的报价（谈判文件另有规定的除外）</w:t>
            </w:r>
            <w:bookmarkStart w:id="91" w:name="_GoBack"/>
            <w:bookmarkEnd w:id="91"/>
          </w:p>
        </w:tc>
      </w:tr>
      <w:tr w14:paraId="34B5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58729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284" w:type="dxa"/>
            <w:vAlign w:val="center"/>
          </w:tcPr>
          <w:p w14:paraId="65A7CD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响应有效期</w:t>
            </w:r>
          </w:p>
        </w:tc>
        <w:tc>
          <w:tcPr>
            <w:tcW w:w="6444" w:type="dxa"/>
            <w:vAlign w:val="center"/>
          </w:tcPr>
          <w:p w14:paraId="666271C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响应文件中承诺的响应有效期满足谈判文件中载明的响应有效期的</w:t>
            </w:r>
          </w:p>
        </w:tc>
      </w:tr>
      <w:tr w14:paraId="5D85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94" w:type="dxa"/>
            <w:vAlign w:val="center"/>
          </w:tcPr>
          <w:p w14:paraId="2B455F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284" w:type="dxa"/>
            <w:vAlign w:val="center"/>
          </w:tcPr>
          <w:p w14:paraId="7009283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6444" w:type="dxa"/>
            <w:vAlign w:val="center"/>
          </w:tcPr>
          <w:p w14:paraId="306045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按照谈判文件要求签署、盖章的</w:t>
            </w:r>
          </w:p>
        </w:tc>
      </w:tr>
      <w:tr w14:paraId="4703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4" w:type="dxa"/>
            <w:vAlign w:val="center"/>
          </w:tcPr>
          <w:p w14:paraId="671461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284" w:type="dxa"/>
            <w:vAlign w:val="center"/>
          </w:tcPr>
          <w:p w14:paraId="3BDD80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Cs w:val="21"/>
                <w:highlight w:val="none"/>
              </w:rPr>
              <w:t>实质性响应</w:t>
            </w:r>
          </w:p>
        </w:tc>
        <w:tc>
          <w:tcPr>
            <w:tcW w:w="6444" w:type="dxa"/>
            <w:vAlign w:val="center"/>
          </w:tcPr>
          <w:p w14:paraId="15FE57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Cs w:val="21"/>
                <w:highlight w:val="none"/>
                <w:lang w:val="en-US" w:eastAsia="zh-CN"/>
              </w:rPr>
              <w:t>响应</w:t>
            </w:r>
            <w:r>
              <w:rPr>
                <w:rFonts w:hint="eastAsia" w:ascii="仿宋" w:hAnsi="仿宋" w:eastAsia="仿宋" w:cs="仿宋"/>
                <w:szCs w:val="21"/>
                <w:highlight w:val="none"/>
              </w:rPr>
              <w:t>文件满足</w:t>
            </w:r>
            <w:r>
              <w:rPr>
                <w:rFonts w:hint="eastAsia" w:ascii="仿宋" w:hAnsi="仿宋" w:eastAsia="仿宋" w:cs="仿宋"/>
                <w:szCs w:val="21"/>
                <w:highlight w:val="none"/>
                <w:lang w:val="en-US" w:eastAsia="zh-CN"/>
              </w:rPr>
              <w:t>谈判</w:t>
            </w:r>
            <w:r>
              <w:rPr>
                <w:rFonts w:hint="eastAsia" w:ascii="仿宋" w:hAnsi="仿宋" w:eastAsia="仿宋" w:cs="仿宋"/>
                <w:szCs w:val="21"/>
                <w:highlight w:val="none"/>
              </w:rPr>
              <w:t>文件中实质性条款的要求和明确的采购需求。</w:t>
            </w:r>
          </w:p>
        </w:tc>
      </w:tr>
      <w:tr w14:paraId="189A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20CD49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284" w:type="dxa"/>
            <w:vAlign w:val="center"/>
          </w:tcPr>
          <w:p w14:paraId="15BB85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6444" w:type="dxa"/>
            <w:vAlign w:val="center"/>
          </w:tcPr>
          <w:p w14:paraId="1E3ECC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_GB2312"/>
                <w:szCs w:val="21"/>
                <w:highlight w:val="none"/>
              </w:rPr>
              <w:t>报价合理，或报价通过评标委员会异常低价投标（响应）审查</w:t>
            </w:r>
          </w:p>
        </w:tc>
      </w:tr>
      <w:tr w14:paraId="72D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4" w:type="dxa"/>
            <w:vAlign w:val="center"/>
          </w:tcPr>
          <w:p w14:paraId="50A9C0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284" w:type="dxa"/>
            <w:vAlign w:val="center"/>
          </w:tcPr>
          <w:p w14:paraId="212420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6444" w:type="dxa"/>
            <w:vAlign w:val="center"/>
          </w:tcPr>
          <w:p w14:paraId="1B5BA20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响应文件未含有采购人不能接受的附加条件的</w:t>
            </w:r>
          </w:p>
        </w:tc>
      </w:tr>
      <w:tr w14:paraId="57E4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1D778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284" w:type="dxa"/>
            <w:vAlign w:val="center"/>
          </w:tcPr>
          <w:p w14:paraId="3A3CEA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6444" w:type="dxa"/>
            <w:vAlign w:val="center"/>
          </w:tcPr>
          <w:p w14:paraId="0BCEBD4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响应文件中不存在违反国家法律、法规和谈判文件规定的其他无效情形</w:t>
            </w:r>
          </w:p>
        </w:tc>
      </w:tr>
    </w:tbl>
    <w:p w14:paraId="6D7D5A62">
      <w:pPr>
        <w:bidi w:val="0"/>
        <w:rPr>
          <w:rFonts w:hint="eastAsia" w:ascii="仿宋" w:hAnsi="仿宋" w:eastAsia="仿宋" w:cs="仿宋"/>
          <w:highlight w:val="none"/>
          <w:lang w:val="en-US" w:eastAsia="zh-CN"/>
        </w:rPr>
      </w:pPr>
    </w:p>
    <w:p w14:paraId="0B4EBB72">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highlight w:val="none"/>
          <w:lang w:val="en-US" w:eastAsia="zh-CN"/>
        </w:rPr>
      </w:pPr>
      <w:bookmarkStart w:id="49" w:name="_Toc24429"/>
      <w:r>
        <w:rPr>
          <w:rFonts w:hint="eastAsia" w:ascii="仿宋" w:hAnsi="仿宋" w:eastAsia="仿宋" w:cs="仿宋"/>
          <w:b/>
          <w:bCs/>
          <w:highlight w:val="none"/>
          <w:lang w:val="en-US" w:eastAsia="zh-CN"/>
        </w:rPr>
        <w:t>响应文件澄清</w:t>
      </w:r>
      <w:bookmarkEnd w:id="49"/>
    </w:p>
    <w:p w14:paraId="15D7AC77">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评审过程中，谈判小组会将以书面形式要求供应商对其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响应文件的范围或者改变响应文件的实质性内容。澄清文件将作为响应文件内容的一部分。</w:t>
      </w:r>
    </w:p>
    <w:p w14:paraId="56AA0AAC">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谈判小组不接受供应商主动提出的澄清、说明或补正。</w:t>
      </w:r>
    </w:p>
    <w:p w14:paraId="799EBF2F">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谈判小组对供应商提交的澄清、说明或补正有疑问的，可以要求供应商进一步澄清、说明或补正。 </w:t>
      </w:r>
    </w:p>
    <w:p w14:paraId="760D3141">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754C5EE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（1）投标（响应）报价低于全部通过符合性审查供应商投标（响应）报价平均值50%的，即投标（响应）报价＜全部通过符合性审查供应商投标（响应）报价平均值×50%；</w:t>
      </w:r>
    </w:p>
    <w:p w14:paraId="2137830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（2）投标（响应）报价低于通过符合性审查的次低报价供应商投标（响应）报价50%的，即投标（响应）报价＜通过符合性审查的次低报价供应商投标（响应）报价×50%；</w:t>
      </w:r>
    </w:p>
    <w:p w14:paraId="675F2F5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（3）投标（响应）报价低于采购项目最高限价45%的，即投标（响应）报价＜采购项目最高限价×45%；</w:t>
      </w:r>
    </w:p>
    <w:p w14:paraId="1681145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（4）评审委员会基于专业判断，认为供应商报价过低，有可能影响产品质量或者不能诚信履约的其他情形。</w:t>
      </w:r>
    </w:p>
    <w:p w14:paraId="4A6AE8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谈判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159FB0">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A6AB7C">
      <w:pPr>
        <w:keepNext w:val="0"/>
        <w:keepLines w:val="0"/>
        <w:pageBreakBefore w:val="0"/>
        <w:widowControl w:val="0"/>
        <w:numPr>
          <w:ilvl w:val="0"/>
          <w:numId w:val="18"/>
        </w:numPr>
        <w:kinsoku/>
        <w:wordWrap/>
        <w:overflowPunct/>
        <w:topLinePunct w:val="0"/>
        <w:autoSpaceDE/>
        <w:autoSpaceDN/>
        <w:bidi w:val="0"/>
        <w:adjustRightInd/>
        <w:snapToGrid/>
        <w:spacing w:line="42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谈判</w:t>
      </w:r>
    </w:p>
    <w:p w14:paraId="1202D5FC">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谈判小组所有成员应当集中与单一供应商分别进行谈判，并给予所有参加谈判的供应商平等的谈判机会。</w:t>
      </w:r>
    </w:p>
    <w:p w14:paraId="3F8F4C46">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在谈判过程中，谈判小组可以根据采购文件和谈判情况实质性变动采购需求中的技术、服务要求以及合同草案条款，但不得变动采购文件中的其他内容。实质性变动的内容，须经采购人代表确认。</w:t>
      </w:r>
    </w:p>
    <w:p w14:paraId="71B973A5">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对采购文件作出的实质性变动是采购文件的有效组成部分，谈判小组应当及时、同时通知所有参加谈判的供应商。</w:t>
      </w:r>
    </w:p>
    <w:p w14:paraId="5E7A5CAA">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b w:val="0"/>
          <w:bCs w:val="0"/>
          <w:highlight w:val="none"/>
          <w:lang w:val="en-US" w:eastAsia="zh-CN"/>
        </w:rPr>
        <w:t xml:space="preserve">供应商应当按照采购文件的变动情况和谈判小组的要求进行最后报价或重新提交响应文件，并由其法定代表人或授权代表签字或者加盖公章。由授权代表签字的，应当附法定代表人授权书。供应商为自然人的，应当由本人签字并附身份证明。 </w:t>
      </w:r>
    </w:p>
    <w:p w14:paraId="0F351F09">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最后报价</w:t>
      </w:r>
    </w:p>
    <w:p w14:paraId="7A50D581">
      <w:pPr>
        <w:pStyle w:val="16"/>
        <w:keepNext w:val="0"/>
        <w:keepLines w:val="0"/>
        <w:pageBreakBefore w:val="0"/>
        <w:widowControl w:val="0"/>
        <w:numPr>
          <w:ilvl w:val="1"/>
          <w:numId w:val="18"/>
        </w:numPr>
        <w:kinsoku/>
        <w:wordWrap/>
        <w:overflowPunct/>
        <w:topLinePunct w:val="0"/>
        <w:autoSpaceDE/>
        <w:autoSpaceDN/>
        <w:bidi w:val="0"/>
        <w:adjustRightInd/>
        <w:snapToGrid/>
        <w:spacing w:after="0" w:line="420" w:lineRule="exact"/>
        <w:ind w:left="0" w:leftChars="0" w:firstLine="0" w:firstLineChars="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谈判结束后，谈判小组应当要求所有实质性响应的供应商在规定时间内提交最后报价。最后报价是供应商响应文件的有效组成部分。</w:t>
      </w:r>
      <w:r>
        <w:rPr>
          <w:rFonts w:hint="eastAsia" w:ascii="仿宋" w:hAnsi="仿宋" w:eastAsia="仿宋" w:cs="仿宋"/>
          <w:b/>
          <w:bCs/>
          <w:kern w:val="2"/>
          <w:sz w:val="24"/>
          <w:szCs w:val="24"/>
          <w:highlight w:val="none"/>
          <w:lang w:val="en-US" w:eastAsia="zh-CN" w:bidi="ar-SA"/>
        </w:rPr>
        <w:t>最后报价时间为谈判小组指定的时间，具体时间根据谈判进度另行通知。</w:t>
      </w:r>
    </w:p>
    <w:p w14:paraId="55A5AC0D">
      <w:pPr>
        <w:pStyle w:val="16"/>
        <w:keepNext w:val="0"/>
        <w:keepLines w:val="0"/>
        <w:pageBreakBefore w:val="0"/>
        <w:widowControl w:val="0"/>
        <w:numPr>
          <w:ilvl w:val="1"/>
          <w:numId w:val="18"/>
        </w:numPr>
        <w:kinsoku/>
        <w:wordWrap/>
        <w:overflowPunct/>
        <w:topLinePunct w:val="0"/>
        <w:autoSpaceDE/>
        <w:autoSpaceDN/>
        <w:bidi w:val="0"/>
        <w:adjustRightInd/>
        <w:snapToGrid/>
        <w:spacing w:after="0" w:line="420" w:lineRule="exact"/>
        <w:ind w:left="0" w:leftChars="0" w:firstLine="0" w:firstLineChars="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已提交响应文件的供应商，在提交最后报价之前，可以根据谈判情况退出谈判。</w:t>
      </w:r>
    </w:p>
    <w:p w14:paraId="2954AD57">
      <w:pPr>
        <w:keepNext w:val="0"/>
        <w:keepLines w:val="0"/>
        <w:pageBreakBefore w:val="0"/>
        <w:widowControl w:val="0"/>
        <w:numPr>
          <w:ilvl w:val="0"/>
          <w:numId w:val="18"/>
        </w:numPr>
        <w:kinsoku/>
        <w:wordWrap/>
        <w:overflowPunct/>
        <w:topLinePunct w:val="0"/>
        <w:autoSpaceDE/>
        <w:autoSpaceDN/>
        <w:bidi w:val="0"/>
        <w:adjustRightInd/>
        <w:snapToGrid/>
        <w:spacing w:line="420" w:lineRule="exact"/>
        <w:textAlignment w:val="auto"/>
        <w:outlineLvl w:val="1"/>
        <w:rPr>
          <w:rFonts w:hint="eastAsia" w:ascii="仿宋" w:hAnsi="仿宋" w:eastAsia="仿宋" w:cs="仿宋"/>
          <w:b/>
          <w:bCs/>
          <w:highlight w:val="none"/>
          <w:lang w:val="en-US" w:eastAsia="zh-CN"/>
        </w:rPr>
      </w:pPr>
      <w:bookmarkStart w:id="50" w:name="_Toc29606"/>
      <w:r>
        <w:rPr>
          <w:rFonts w:hint="eastAsia" w:ascii="仿宋" w:hAnsi="仿宋" w:eastAsia="仿宋" w:cs="仿宋"/>
          <w:b/>
          <w:bCs/>
          <w:highlight w:val="none"/>
          <w:lang w:val="en-US" w:eastAsia="zh-CN"/>
        </w:rPr>
        <w:t>落实中小企业政府采购政策的价格调整：</w:t>
      </w:r>
      <w:bookmarkEnd w:id="50"/>
    </w:p>
    <w:p w14:paraId="3F37B22C">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highlight w:val="none"/>
          <w:u w:val="single"/>
          <w:lang w:val="en-US" w:eastAsia="zh-CN"/>
        </w:rPr>
        <w:t xml:space="preserve"> 10 % </w:t>
      </w:r>
      <w:r>
        <w:rPr>
          <w:rFonts w:hint="eastAsia" w:ascii="仿宋" w:hAnsi="仿宋" w:eastAsia="仿宋" w:cs="仿宋"/>
          <w:highlight w:val="none"/>
          <w:lang w:val="en-US" w:eastAsia="zh-CN"/>
        </w:rPr>
        <w:t>后参与评审。对于同时属于小微企业、监狱企业或残疾人福利性单位的，不重复进行最后报价扣除。</w:t>
      </w:r>
    </w:p>
    <w:p w14:paraId="614F2AD9">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highlight w:val="none"/>
          <w:u w:val="single"/>
          <w:lang w:val="en-US" w:eastAsia="zh-CN"/>
        </w:rPr>
        <w:t xml:space="preserve"> 30 %</w:t>
      </w:r>
      <w:r>
        <w:rPr>
          <w:rFonts w:hint="eastAsia" w:ascii="仿宋" w:hAnsi="仿宋" w:eastAsia="仿宋" w:cs="仿宋"/>
          <w:highlight w:val="none"/>
          <w:lang w:val="en-US" w:eastAsia="zh-CN"/>
        </w:rPr>
        <w:t>以上的联合体或者大中型企业的报价给予</w:t>
      </w:r>
      <w:r>
        <w:rPr>
          <w:rFonts w:hint="eastAsia" w:ascii="仿宋" w:hAnsi="仿宋" w:eastAsia="仿宋" w:cs="仿宋"/>
          <w:highlight w:val="none"/>
          <w:u w:val="single"/>
          <w:lang w:val="en-US" w:eastAsia="zh-CN"/>
        </w:rPr>
        <w:t xml:space="preserve"> 4% </w:t>
      </w:r>
      <w:r>
        <w:rPr>
          <w:rFonts w:hint="eastAsia" w:ascii="仿宋" w:hAnsi="仿宋" w:eastAsia="仿宋" w:cs="仿宋"/>
          <w:highlight w:val="none"/>
          <w:lang w:val="en-US" w:eastAsia="zh-CN"/>
        </w:rPr>
        <w:t>的扣除，用扣除后的价格参加评审。</w:t>
      </w:r>
    </w:p>
    <w:p w14:paraId="603B29C4">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组成联合体或者接受分包的小微企业与联合体内其他企业、分包企业之间存在直接控股、管理关系的，不享受价格扣除优惠政策。</w:t>
      </w:r>
    </w:p>
    <w:p w14:paraId="5F1F5D06">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价格扣除比例对小型企业和微型企业同等对待，不作区分。</w:t>
      </w:r>
    </w:p>
    <w:p w14:paraId="2D32783D">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中小企业参加政府采购活动，应当按照招标文件给定的格式出具《中小企业声明函》，否则不得享受相关中小企业扶持政策。</w:t>
      </w:r>
    </w:p>
    <w:p w14:paraId="41BD31B9">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监狱企业提供了由省级以上监狱管理局、戒毒管理局（含新疆生产建设兵团）出具的属于监狱企业的证明文件的，视同小微企业。</w:t>
      </w:r>
    </w:p>
    <w:p w14:paraId="394B166E">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残疾人福利性单位按招标文件要求提供了《残疾人福利性单位声明函》（见附件）的，视同小微企业。</w:t>
      </w:r>
    </w:p>
    <w:p w14:paraId="7A0B4209">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若供应商同时属于小型或微型企业、监狱企业、残疾人福利性单位中的两种及以上，将不重复享受小微企业价格扣减的优惠政策。</w:t>
      </w:r>
    </w:p>
    <w:p w14:paraId="2D14B21A">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落实对本国产品的支持政策的价格调整：</w:t>
      </w:r>
    </w:p>
    <w:p w14:paraId="4EE70132">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0E5C58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DC86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406ECE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4429DB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085987F">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78CB54E">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highlight w:val="none"/>
          <w:u w:val="single"/>
          <w:lang w:val="en-US" w:eastAsia="zh-CN"/>
        </w:rPr>
        <w:t>报价相同时排名优先。</w:t>
      </w:r>
    </w:p>
    <w:p w14:paraId="1F490C20">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供应商所投产品列入无线局域网产品清单，应提供相关证明，在评标时予以优先采购，具体优惠措施为：</w:t>
      </w:r>
      <w:r>
        <w:rPr>
          <w:rFonts w:hint="eastAsia" w:ascii="仿宋" w:hAnsi="仿宋" w:eastAsia="仿宋" w:cs="仿宋"/>
          <w:highlight w:val="none"/>
          <w:u w:val="single"/>
          <w:lang w:val="en-US" w:eastAsia="zh-CN"/>
        </w:rPr>
        <w:t>报价相同时排名优先。</w:t>
      </w:r>
    </w:p>
    <w:p w14:paraId="3E488D5D">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bCs/>
          <w:highlight w:val="none"/>
          <w:lang w:val="en-US" w:eastAsia="zh-CN"/>
        </w:rPr>
        <w:t>无效响应</w:t>
      </w:r>
      <w:r>
        <w:rPr>
          <w:rFonts w:hint="eastAsia" w:ascii="仿宋" w:hAnsi="仿宋" w:eastAsia="仿宋" w:cs="仿宋"/>
          <w:highlight w:val="none"/>
          <w:lang w:val="en-US" w:eastAsia="zh-CN"/>
        </w:rPr>
        <w:t>被拒绝。</w:t>
      </w:r>
    </w:p>
    <w:p w14:paraId="56D2344F">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highlight w:val="none"/>
          <w:u w:val="single"/>
          <w:lang w:val="en-US" w:eastAsia="zh-CN"/>
        </w:rPr>
        <w:t>：报价相同时排名优先。</w:t>
      </w:r>
    </w:p>
    <w:p w14:paraId="02A08E2D">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同品牌同型号处理办法：</w:t>
      </w:r>
    </w:p>
    <w:p w14:paraId="0003E5EE">
      <w:pPr>
        <w:keepNext w:val="0"/>
        <w:keepLines w:val="0"/>
        <w:pageBreakBefore w:val="0"/>
        <w:widowControl w:val="0"/>
        <w:numPr>
          <w:ilvl w:val="2"/>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用最低评标办法，则：提供相同品牌相同型号产品的不同供应商以其中通过资格审查、符合性审查且报价最低的获得成交候选人推荐资格；报价相同的，由谈判小组采取随机抽取方式确定，其他同品牌同型号供应商不作为成交候选人。</w:t>
      </w:r>
    </w:p>
    <w:p w14:paraId="1020830B">
      <w:pPr>
        <w:keepNext w:val="0"/>
        <w:keepLines w:val="0"/>
        <w:pageBreakBefore w:val="0"/>
        <w:widowControl w:val="0"/>
        <w:numPr>
          <w:ilvl w:val="2"/>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如一个分包内包含多种产品的，采购人或采购代理机构将在供应商须知前附表中载明核心产品，多家供应商提供的所有核心产品品牌型号均相同的，按前款规定处理。 </w:t>
      </w:r>
    </w:p>
    <w:p w14:paraId="1FEE0D82">
      <w:pPr>
        <w:keepNext w:val="0"/>
        <w:keepLines w:val="0"/>
        <w:pageBreakBefore w:val="0"/>
        <w:widowControl w:val="0"/>
        <w:numPr>
          <w:ilvl w:val="0"/>
          <w:numId w:val="18"/>
        </w:numPr>
        <w:kinsoku/>
        <w:wordWrap/>
        <w:overflowPunct/>
        <w:topLinePunct w:val="0"/>
        <w:autoSpaceDE/>
        <w:autoSpaceDN/>
        <w:bidi w:val="0"/>
        <w:adjustRightInd/>
        <w:snapToGrid/>
        <w:spacing w:line="420" w:lineRule="exact"/>
        <w:textAlignment w:val="auto"/>
        <w:outlineLvl w:val="1"/>
        <w:rPr>
          <w:rFonts w:hint="eastAsia" w:ascii="仿宋" w:hAnsi="仿宋" w:eastAsia="仿宋" w:cs="仿宋"/>
          <w:b/>
          <w:bCs/>
          <w:highlight w:val="none"/>
          <w:lang w:val="en-US" w:eastAsia="zh-CN"/>
        </w:rPr>
      </w:pPr>
      <w:bookmarkStart w:id="51" w:name="_Toc28653"/>
      <w:r>
        <w:rPr>
          <w:rFonts w:hint="eastAsia" w:ascii="仿宋" w:hAnsi="仿宋" w:eastAsia="仿宋" w:cs="仿宋"/>
          <w:b/>
          <w:bCs/>
          <w:highlight w:val="none"/>
          <w:lang w:val="en-US" w:eastAsia="zh-CN"/>
        </w:rPr>
        <w:t>确定成交候选人名单</w:t>
      </w:r>
      <w:bookmarkEnd w:id="51"/>
    </w:p>
    <w:p w14:paraId="1B431C4B">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谈判小组将从质量和服务均能满足谈判文件实质性响应要求的供应商中，按照最后报价（如有按本章节进行算术修正或政策调整的，以修正或调整后的最后报价计算）由低到高的顺序提出3名成交候选人，并编写评审报告。</w:t>
      </w:r>
    </w:p>
    <w:p w14:paraId="387A46EB">
      <w:pPr>
        <w:keepNext w:val="0"/>
        <w:keepLines w:val="0"/>
        <w:pageBreakBefore w:val="0"/>
        <w:widowControl w:val="0"/>
        <w:numPr>
          <w:ilvl w:val="1"/>
          <w:numId w:val="18"/>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谈判小组要对评审情况进行复核，特别是对排名第一的、报价最低的、响应文件被认定为无效的情形进行重点复核。</w:t>
      </w:r>
    </w:p>
    <w:p w14:paraId="261273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BC9D00D">
      <w:pPr>
        <w:pStyle w:val="2"/>
        <w:numPr>
          <w:ilvl w:val="0"/>
          <w:numId w:val="4"/>
        </w:numPr>
        <w:bidi w:val="0"/>
        <w:rPr>
          <w:rFonts w:hint="eastAsia" w:ascii="仿宋" w:hAnsi="仿宋" w:eastAsia="仿宋" w:cs="仿宋"/>
          <w:highlight w:val="none"/>
          <w:lang w:val="en-US" w:eastAsia="zh-CN"/>
        </w:rPr>
      </w:pPr>
      <w:bookmarkStart w:id="52" w:name="_Toc12149"/>
      <w:bookmarkStart w:id="53" w:name="_Toc8937"/>
      <w:r>
        <w:rPr>
          <w:rFonts w:hint="eastAsia" w:ascii="仿宋" w:hAnsi="仿宋" w:eastAsia="仿宋" w:cs="仿宋"/>
          <w:highlight w:val="none"/>
          <w:lang w:val="en-US" w:eastAsia="zh-CN"/>
        </w:rPr>
        <w:t>响应文件格式</w:t>
      </w:r>
      <w:bookmarkEnd w:id="52"/>
      <w:bookmarkEnd w:id="53"/>
    </w:p>
    <w:p w14:paraId="4D4D892A">
      <w:pPr>
        <w:pStyle w:val="26"/>
        <w:rPr>
          <w:rFonts w:hint="eastAsia" w:ascii="仿宋" w:hAnsi="仿宋" w:eastAsia="仿宋" w:cs="仿宋"/>
          <w:highlight w:val="none"/>
          <w:lang w:val="en-US" w:eastAsia="zh-CN"/>
        </w:rPr>
      </w:pPr>
    </w:p>
    <w:p w14:paraId="2371F857">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012A6AC1">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68698E36">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5C8F3AF0">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764E66F7">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4.“法定代表人（单位负责人）”指供应商营业执照或登记证书载明的“法定代表人”、“负责人”、“执行事务合伙人”、“投资人”等。</w:t>
      </w:r>
    </w:p>
    <w:p w14:paraId="30DEAE5E">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5.全部声明和问题的回答及所附材料必须是真实的、准确的和完整的。</w:t>
      </w:r>
    </w:p>
    <w:p w14:paraId="16986A93">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6.以联合体参加的，除采购文件格式中要求外，采购文件要求的供应商盖章处应按加盖联合体协议中约定的联合体牵头人公章或所有联合体成员公章。</w:t>
      </w:r>
    </w:p>
    <w:p w14:paraId="2C89AEB2">
      <w:pPr>
        <w:spacing w:line="240" w:lineRule="auto"/>
        <w:rPr>
          <w:rFonts w:hint="eastAsia" w:ascii="仿宋" w:hAnsi="仿宋" w:eastAsia="仿宋" w:cs="仿宋"/>
          <w:sz w:val="21"/>
          <w:highlight w:val="none"/>
          <w:lang w:val="en-US" w:eastAsia="zh-CN"/>
        </w:rPr>
      </w:pPr>
    </w:p>
    <w:p w14:paraId="74B38D11">
      <w:pPr>
        <w:pStyle w:val="26"/>
        <w:rPr>
          <w:rFonts w:hint="eastAsia" w:ascii="仿宋" w:hAnsi="仿宋" w:eastAsia="仿宋" w:cs="仿宋"/>
          <w:highlight w:val="none"/>
          <w:lang w:val="en-US" w:eastAsia="zh-CN"/>
        </w:rPr>
      </w:pPr>
    </w:p>
    <w:p w14:paraId="6586284C">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20DB1681">
      <w:pPr>
        <w:keepNext w:val="0"/>
        <w:keepLines w:val="0"/>
        <w:widowControl/>
        <w:suppressLineNumbers w:val="0"/>
        <w:spacing w:line="240" w:lineRule="auto"/>
        <w:jc w:val="left"/>
        <w:outlineLvl w:val="1"/>
        <w:rPr>
          <w:rFonts w:hint="eastAsia" w:ascii="仿宋" w:hAnsi="仿宋" w:eastAsia="仿宋" w:cs="仿宋"/>
          <w:b/>
          <w:bCs/>
          <w:color w:val="000000"/>
          <w:kern w:val="0"/>
          <w:sz w:val="24"/>
          <w:szCs w:val="24"/>
          <w:highlight w:val="none"/>
          <w:lang w:val="en-US" w:eastAsia="zh-CN" w:bidi="ar"/>
        </w:rPr>
      </w:pPr>
      <w:bookmarkStart w:id="54" w:name="_Toc4675"/>
      <w:bookmarkStart w:id="55" w:name="_Toc31415"/>
      <w:bookmarkStart w:id="56" w:name="_Toc24875"/>
      <w:r>
        <w:rPr>
          <w:rFonts w:hint="eastAsia" w:ascii="仿宋" w:hAnsi="仿宋" w:eastAsia="仿宋" w:cs="仿宋"/>
          <w:b/>
          <w:bCs/>
          <w:color w:val="000000"/>
          <w:kern w:val="0"/>
          <w:sz w:val="24"/>
          <w:szCs w:val="24"/>
          <w:highlight w:val="none"/>
          <w:lang w:val="en-US" w:eastAsia="zh-CN" w:bidi="ar"/>
        </w:rPr>
        <w:t>响应文件封面（参考格式）</w:t>
      </w:r>
      <w:bookmarkEnd w:id="54"/>
      <w:bookmarkEnd w:id="55"/>
      <w:bookmarkEnd w:id="56"/>
    </w:p>
    <w:p w14:paraId="72E9772E">
      <w:pPr>
        <w:keepNext w:val="0"/>
        <w:keepLines w:val="0"/>
        <w:widowControl/>
        <w:suppressLineNumbers w:val="0"/>
        <w:spacing w:line="240" w:lineRule="auto"/>
        <w:jc w:val="left"/>
        <w:rPr>
          <w:rFonts w:hint="eastAsia" w:ascii="仿宋" w:hAnsi="仿宋" w:eastAsia="仿宋" w:cs="仿宋"/>
          <w:b/>
          <w:bCs/>
          <w:color w:val="000000"/>
          <w:kern w:val="0"/>
          <w:sz w:val="84"/>
          <w:szCs w:val="84"/>
          <w:highlight w:val="none"/>
          <w:lang w:val="en-US" w:eastAsia="zh-CN" w:bidi="ar"/>
        </w:rPr>
      </w:pPr>
    </w:p>
    <w:p w14:paraId="22850C5F">
      <w:pPr>
        <w:pStyle w:val="16"/>
        <w:rPr>
          <w:rFonts w:hint="eastAsia" w:ascii="仿宋" w:hAnsi="仿宋" w:eastAsia="仿宋" w:cs="仿宋"/>
          <w:highlight w:val="none"/>
          <w:lang w:val="en-US" w:eastAsia="zh-CN"/>
        </w:rPr>
      </w:pPr>
    </w:p>
    <w:p w14:paraId="4DB2823B">
      <w:pPr>
        <w:keepNext w:val="0"/>
        <w:keepLines w:val="0"/>
        <w:widowControl/>
        <w:suppressLineNumbers w:val="0"/>
        <w:spacing w:line="240" w:lineRule="auto"/>
        <w:jc w:val="center"/>
        <w:rPr>
          <w:rFonts w:hint="eastAsia" w:ascii="仿宋" w:hAnsi="仿宋" w:eastAsia="仿宋" w:cs="仿宋"/>
          <w:sz w:val="21"/>
          <w:highlight w:val="none"/>
        </w:rPr>
      </w:pPr>
      <w:r>
        <w:rPr>
          <w:rFonts w:hint="eastAsia" w:ascii="仿宋" w:hAnsi="仿宋" w:eastAsia="仿宋" w:cs="仿宋"/>
          <w:b/>
          <w:bCs/>
          <w:color w:val="000000"/>
          <w:kern w:val="0"/>
          <w:sz w:val="84"/>
          <w:szCs w:val="84"/>
          <w:highlight w:val="none"/>
          <w:lang w:val="en-US" w:eastAsia="zh-CN" w:bidi="ar"/>
        </w:rPr>
        <w:t>响应文件</w:t>
      </w:r>
    </w:p>
    <w:p w14:paraId="4F3344DB">
      <w:pPr>
        <w:keepNext w:val="0"/>
        <w:keepLines w:val="0"/>
        <w:widowControl/>
        <w:suppressLineNumbers w:val="0"/>
        <w:spacing w:line="240" w:lineRule="auto"/>
        <w:jc w:val="left"/>
        <w:rPr>
          <w:rFonts w:hint="eastAsia" w:ascii="仿宋" w:hAnsi="仿宋" w:eastAsia="仿宋" w:cs="仿宋"/>
          <w:b/>
          <w:bCs/>
          <w:color w:val="000000"/>
          <w:kern w:val="0"/>
          <w:sz w:val="52"/>
          <w:szCs w:val="52"/>
          <w:highlight w:val="none"/>
          <w:lang w:val="en-US" w:eastAsia="zh-CN" w:bidi="ar"/>
        </w:rPr>
      </w:pPr>
    </w:p>
    <w:p w14:paraId="5B907026">
      <w:pPr>
        <w:keepNext w:val="0"/>
        <w:keepLines w:val="0"/>
        <w:widowControl/>
        <w:suppressLineNumbers w:val="0"/>
        <w:spacing w:line="240" w:lineRule="auto"/>
        <w:jc w:val="left"/>
        <w:rPr>
          <w:rFonts w:hint="eastAsia" w:ascii="仿宋" w:hAnsi="仿宋" w:eastAsia="仿宋" w:cs="仿宋"/>
          <w:sz w:val="21"/>
          <w:highlight w:val="none"/>
        </w:rPr>
      </w:pPr>
      <w:r>
        <w:rPr>
          <w:rFonts w:hint="eastAsia" w:ascii="仿宋" w:hAnsi="仿宋" w:eastAsia="仿宋" w:cs="仿宋"/>
          <w:b/>
          <w:bCs/>
          <w:color w:val="000000"/>
          <w:kern w:val="0"/>
          <w:sz w:val="52"/>
          <w:szCs w:val="52"/>
          <w:highlight w:val="none"/>
          <w:lang w:val="en-US" w:eastAsia="zh-CN" w:bidi="ar"/>
        </w:rPr>
        <w:t xml:space="preserve"> </w:t>
      </w:r>
    </w:p>
    <w:p w14:paraId="60CC810C">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4C6FADC0">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02AC6292">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4003530D">
      <w:pPr>
        <w:keepNext w:val="0"/>
        <w:keepLines w:val="0"/>
        <w:widowControl/>
        <w:suppressLineNumbers w:val="0"/>
        <w:spacing w:line="240" w:lineRule="auto"/>
        <w:jc w:val="left"/>
        <w:rPr>
          <w:rFonts w:hint="eastAsia" w:ascii="仿宋" w:hAnsi="仿宋" w:eastAsia="仿宋" w:cs="仿宋"/>
          <w:sz w:val="21"/>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0436231F">
      <w:pPr>
        <w:keepNext w:val="0"/>
        <w:keepLines w:val="0"/>
        <w:widowControl/>
        <w:suppressLineNumbers w:val="0"/>
        <w:spacing w:line="240" w:lineRule="auto"/>
        <w:jc w:val="left"/>
        <w:rPr>
          <w:rFonts w:hint="eastAsia" w:ascii="仿宋" w:hAnsi="仿宋" w:eastAsia="仿宋" w:cs="仿宋"/>
          <w:sz w:val="21"/>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4A46AF35">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25D0A240">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24CE90CB">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583252AC">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3FC0534D">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3A96E00E">
      <w:pPr>
        <w:keepNext w:val="0"/>
        <w:keepLines w:val="0"/>
        <w:widowControl/>
        <w:suppressLineNumbers w:val="0"/>
        <w:spacing w:line="240" w:lineRule="auto"/>
        <w:jc w:val="left"/>
        <w:rPr>
          <w:rFonts w:hint="eastAsia" w:ascii="仿宋" w:hAnsi="仿宋" w:eastAsia="仿宋" w:cs="仿宋"/>
          <w:b/>
          <w:bCs/>
          <w:color w:val="000000"/>
          <w:kern w:val="0"/>
          <w:sz w:val="31"/>
          <w:szCs w:val="31"/>
          <w:highlight w:val="none"/>
          <w:lang w:val="en-US" w:eastAsia="zh-CN" w:bidi="ar"/>
        </w:rPr>
      </w:pPr>
    </w:p>
    <w:p w14:paraId="217F1F50">
      <w:pPr>
        <w:spacing w:line="240" w:lineRule="auto"/>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083F73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411291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0B46883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法人或者其他组织的营业执照等证明文件或自然人的身份证明扫描件并加盖本单位公章;</w:t>
      </w:r>
    </w:p>
    <w:p w14:paraId="0D473CF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3DCA31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04B5905">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FEBB1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1430D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694E2F1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1、扫描件并加盖本单位公章。</w:t>
      </w:r>
    </w:p>
    <w:p w14:paraId="312EF68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346256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61DC9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F63CD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07142D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0D0074B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57" w:name="_Toc27172"/>
      <w:bookmarkStart w:id="58" w:name="_Toc11599"/>
      <w:bookmarkStart w:id="59" w:name="_Toc239"/>
      <w:r>
        <w:rPr>
          <w:rFonts w:hint="eastAsia" w:ascii="仿宋" w:hAnsi="仿宋" w:eastAsia="仿宋" w:cs="仿宋"/>
          <w:color w:val="000000"/>
          <w:kern w:val="0"/>
          <w:sz w:val="24"/>
          <w:highlight w:val="none"/>
          <w:u w:val="none"/>
          <w:lang w:bidi="ar"/>
        </w:rPr>
        <w:t>1、扫描件并加盖本单位公章。</w:t>
      </w:r>
    </w:p>
    <w:p w14:paraId="7CF591A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08F5BC5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57"/>
      <w:bookmarkEnd w:id="58"/>
      <w:bookmarkEnd w:id="59"/>
    </w:p>
    <w:p w14:paraId="5C101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503C86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57FC02A5">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1、扫描件并加盖本单位公章。</w:t>
      </w:r>
    </w:p>
    <w:p w14:paraId="302403C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29D5A1AF">
      <w:pPr>
        <w:spacing w:line="240" w:lineRule="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144CDB6E">
      <w:pPr>
        <w:spacing w:line="240" w:lineRule="auto"/>
        <w:rPr>
          <w:rFonts w:hint="eastAsia" w:ascii="仿宋" w:hAnsi="仿宋" w:eastAsia="仿宋" w:cs="仿宋"/>
          <w:color w:val="000000"/>
          <w:kern w:val="0"/>
          <w:sz w:val="24"/>
          <w:szCs w:val="24"/>
          <w:highlight w:val="none"/>
          <w:u w:val="none"/>
          <w:lang w:bidi="ar"/>
        </w:rPr>
      </w:pPr>
      <w:r>
        <w:rPr>
          <w:rFonts w:hint="eastAsia" w:ascii="仿宋" w:hAnsi="仿宋" w:eastAsia="仿宋" w:cs="仿宋"/>
          <w:color w:val="000000"/>
          <w:kern w:val="0"/>
          <w:sz w:val="24"/>
          <w:szCs w:val="24"/>
          <w:highlight w:val="none"/>
          <w:u w:val="none"/>
          <w:lang w:bidi="ar"/>
        </w:rPr>
        <w:t xml:space="preserve">附件 </w:t>
      </w:r>
      <w:r>
        <w:rPr>
          <w:rFonts w:hint="eastAsia" w:ascii="仿宋" w:hAnsi="仿宋" w:eastAsia="仿宋" w:cs="仿宋"/>
          <w:color w:val="000000"/>
          <w:kern w:val="0"/>
          <w:sz w:val="24"/>
          <w:szCs w:val="24"/>
          <w:highlight w:val="none"/>
          <w:u w:val="none"/>
          <w:lang w:val="en-US" w:eastAsia="zh-CN" w:bidi="ar"/>
        </w:rPr>
        <w:t>1</w:t>
      </w:r>
      <w:r>
        <w:rPr>
          <w:rFonts w:hint="eastAsia" w:ascii="仿宋" w:hAnsi="仿宋" w:eastAsia="仿宋" w:cs="仿宋"/>
          <w:color w:val="000000"/>
          <w:kern w:val="0"/>
          <w:sz w:val="24"/>
          <w:szCs w:val="24"/>
          <w:highlight w:val="none"/>
          <w:u w:val="none"/>
          <w:lang w:bidi="ar"/>
        </w:rPr>
        <w:t>-</w:t>
      </w:r>
      <w:r>
        <w:rPr>
          <w:rFonts w:hint="eastAsia" w:ascii="仿宋" w:hAnsi="仿宋" w:eastAsia="仿宋" w:cs="仿宋"/>
          <w:color w:val="000000"/>
          <w:kern w:val="0"/>
          <w:sz w:val="24"/>
          <w:szCs w:val="24"/>
          <w:highlight w:val="none"/>
          <w:u w:val="none"/>
          <w:lang w:val="en-US" w:eastAsia="zh-CN" w:bidi="ar"/>
        </w:rPr>
        <w:t>5</w:t>
      </w:r>
      <w:r>
        <w:rPr>
          <w:rFonts w:hint="eastAsia" w:ascii="仿宋" w:hAnsi="仿宋" w:eastAsia="仿宋" w:cs="仿宋"/>
          <w:color w:val="000000"/>
          <w:kern w:val="0"/>
          <w:sz w:val="24"/>
          <w:szCs w:val="24"/>
          <w:highlight w:val="none"/>
          <w:u w:val="none"/>
          <w:lang w:bidi="ar"/>
        </w:rPr>
        <w:t xml:space="preserve"> </w:t>
      </w:r>
      <w:r>
        <w:rPr>
          <w:rFonts w:hint="eastAsia" w:ascii="仿宋" w:hAnsi="仿宋" w:eastAsia="仿宋" w:cs="仿宋"/>
          <w:color w:val="000000"/>
          <w:kern w:val="0"/>
          <w:sz w:val="24"/>
          <w:szCs w:val="24"/>
          <w:highlight w:val="none"/>
          <w:u w:val="none"/>
          <w:lang w:eastAsia="zh-CN" w:bidi="ar"/>
        </w:rPr>
        <w:t>供应商</w:t>
      </w:r>
      <w:r>
        <w:rPr>
          <w:rFonts w:hint="eastAsia" w:ascii="仿宋" w:hAnsi="仿宋" w:eastAsia="仿宋" w:cs="仿宋"/>
          <w:color w:val="000000"/>
          <w:kern w:val="0"/>
          <w:sz w:val="24"/>
          <w:szCs w:val="24"/>
          <w:highlight w:val="none"/>
          <w:u w:val="none"/>
          <w:lang w:bidi="ar"/>
        </w:rPr>
        <w:t>资格声明书</w:t>
      </w:r>
    </w:p>
    <w:p w14:paraId="5A111DF4">
      <w:pPr>
        <w:spacing w:line="240" w:lineRule="auto"/>
        <w:rPr>
          <w:rFonts w:hint="eastAsia" w:ascii="仿宋" w:hAnsi="仿宋" w:eastAsia="仿宋" w:cs="仿宋"/>
          <w:color w:val="000000"/>
          <w:kern w:val="0"/>
          <w:sz w:val="24"/>
          <w:highlight w:val="none"/>
          <w:u w:val="none"/>
          <w:lang w:bidi="ar"/>
        </w:rPr>
      </w:pPr>
    </w:p>
    <w:p w14:paraId="13421DAB">
      <w:pPr>
        <w:keepNext w:val="0"/>
        <w:keepLines w:val="0"/>
        <w:widowControl/>
        <w:suppressLineNumbers w:val="0"/>
        <w:spacing w:line="240" w:lineRule="auto"/>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410BAB59">
      <w:pPr>
        <w:keepNext w:val="0"/>
        <w:keepLines w:val="0"/>
        <w:widowControl/>
        <w:suppressLineNumbers w:val="0"/>
        <w:spacing w:line="240" w:lineRule="auto"/>
        <w:jc w:val="left"/>
        <w:rPr>
          <w:rFonts w:hint="eastAsia" w:ascii="仿宋" w:hAnsi="仿宋" w:eastAsia="仿宋" w:cs="仿宋"/>
          <w:color w:val="000000"/>
          <w:kern w:val="0"/>
          <w:sz w:val="24"/>
          <w:szCs w:val="24"/>
          <w:highlight w:val="none"/>
          <w:lang w:val="en-US" w:eastAsia="zh-CN" w:bidi="ar"/>
        </w:rPr>
      </w:pPr>
    </w:p>
    <w:p w14:paraId="2976DF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0670C3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3FDD04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6FB2C9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12E8D5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5195C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18CEE8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3549E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57C92D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534DD8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C8CE5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62C97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61E18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5BD65F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2316F4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29AD0832">
      <w:pPr>
        <w:spacing w:line="240" w:lineRule="auto"/>
        <w:rPr>
          <w:rFonts w:hint="eastAsia" w:ascii="仿宋" w:hAnsi="仿宋" w:eastAsia="仿宋" w:cs="仿宋"/>
          <w:color w:val="000000"/>
          <w:kern w:val="0"/>
          <w:sz w:val="24"/>
          <w:szCs w:val="24"/>
          <w:highlight w:val="none"/>
          <w:lang w:val="en-US" w:eastAsia="zh-CN" w:bidi="ar"/>
        </w:rPr>
      </w:pPr>
    </w:p>
    <w:p w14:paraId="39F499A0">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C6AD2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60" w:name="_Toc21978"/>
      <w:bookmarkStart w:id="61" w:name="_Toc28185"/>
      <w:bookmarkStart w:id="62" w:name="_Toc31768"/>
      <w:r>
        <w:rPr>
          <w:rFonts w:hint="eastAsia" w:ascii="仿宋" w:hAnsi="仿宋" w:eastAsia="仿宋" w:cs="仿宋"/>
          <w:color w:val="000000"/>
          <w:kern w:val="0"/>
          <w:sz w:val="24"/>
          <w:szCs w:val="24"/>
          <w:highlight w:val="none"/>
          <w:lang w:val="en-US" w:eastAsia="zh-CN" w:bidi="ar"/>
        </w:rPr>
        <w:t>2 落实政府采购政策需满足的资格要求</w:t>
      </w:r>
      <w:bookmarkEnd w:id="60"/>
      <w:bookmarkEnd w:id="61"/>
      <w:bookmarkEnd w:id="62"/>
      <w:r>
        <w:rPr>
          <w:rFonts w:hint="eastAsia" w:ascii="仿宋" w:hAnsi="仿宋" w:eastAsia="仿宋" w:cs="仿宋"/>
          <w:color w:val="000000"/>
          <w:kern w:val="0"/>
          <w:sz w:val="24"/>
          <w:szCs w:val="24"/>
          <w:highlight w:val="none"/>
          <w:lang w:val="en-US" w:eastAsia="zh-CN" w:bidi="ar"/>
        </w:rPr>
        <w:t xml:space="preserve"> </w:t>
      </w:r>
    </w:p>
    <w:p w14:paraId="3779E8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56709D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1E8C15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0A3A4A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7284F5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3484F9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701C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383558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1）中小企业参加政府采购活动，应当出具此格式文件。《中小企业声明函》由参加政府采购活动的供应商出具。联合体投标的，《中小企业声明函》由牵头人出具。 </w:t>
      </w:r>
    </w:p>
    <w:p w14:paraId="192714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2）对于联合体中由中小企业承担的部分，或者分包给中小企业的部分，必须全</w:t>
      </w:r>
    </w:p>
    <w:p w14:paraId="018290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部由中小企业制造、承建或者承接。供应商应当在声明函“标的名称”部分标明</w:t>
      </w:r>
    </w:p>
    <w:p w14:paraId="25771A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联合体中中小企业承担的具体内容或者中小企业的具体分包内容。 </w:t>
      </w:r>
    </w:p>
    <w:p w14:paraId="178671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4362F8B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75CF2994">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875384B">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rPr>
          <w:rStyle w:val="30"/>
          <w:rFonts w:hint="eastAsia" w:ascii="仿宋" w:hAnsi="仿宋" w:eastAsia="仿宋" w:cs="仿宋"/>
          <w:i w:val="0"/>
          <w:iCs w:val="0"/>
          <w:caps w:val="0"/>
          <w:color w:val="000000"/>
          <w:spacing w:val="0"/>
          <w:sz w:val="32"/>
          <w:szCs w:val="32"/>
          <w:highlight w:val="none"/>
        </w:rPr>
      </w:pPr>
      <w:r>
        <w:rPr>
          <w:rStyle w:val="30"/>
          <w:rFonts w:hint="eastAsia" w:ascii="仿宋" w:hAnsi="仿宋" w:eastAsia="仿宋" w:cs="仿宋"/>
          <w:i w:val="0"/>
          <w:iCs w:val="0"/>
          <w:caps w:val="0"/>
          <w:color w:val="000000"/>
          <w:spacing w:val="0"/>
          <w:kern w:val="2"/>
          <w:sz w:val="24"/>
          <w:szCs w:val="24"/>
          <w:highlight w:val="none"/>
          <w:lang w:bidi="ar-SA"/>
        </w:rPr>
        <w:t>（所投产品制造商为中小企业时提交本函，所属行业应符合采购文件中明确的本项目所属行业）</w:t>
      </w:r>
    </w:p>
    <w:p w14:paraId="4FE7975F">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Style w:val="30"/>
          <w:rFonts w:hint="eastAsia" w:ascii="仿宋" w:hAnsi="仿宋" w:eastAsia="仿宋" w:cs="仿宋"/>
          <w:i w:val="0"/>
          <w:iCs w:val="0"/>
          <w:caps w:val="0"/>
          <w:color w:val="000000"/>
          <w:spacing w:val="0"/>
          <w:sz w:val="32"/>
          <w:szCs w:val="32"/>
          <w:highlight w:val="none"/>
        </w:rPr>
      </w:pPr>
    </w:p>
    <w:p w14:paraId="70F17634">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30"/>
          <w:rFonts w:hint="eastAsia" w:ascii="仿宋" w:hAnsi="仿宋" w:eastAsia="仿宋" w:cs="仿宋"/>
          <w:i w:val="0"/>
          <w:iCs w:val="0"/>
          <w:caps w:val="0"/>
          <w:color w:val="000000"/>
          <w:spacing w:val="0"/>
          <w:sz w:val="32"/>
          <w:szCs w:val="32"/>
          <w:highlight w:val="none"/>
        </w:rPr>
        <w:t>中小企业声明函</w:t>
      </w:r>
      <w:r>
        <w:rPr>
          <w:rStyle w:val="30"/>
          <w:rFonts w:hint="eastAsia" w:ascii="仿宋" w:hAnsi="仿宋" w:eastAsia="仿宋" w:cs="仿宋"/>
          <w:i w:val="0"/>
          <w:iCs w:val="0"/>
          <w:caps w:val="0"/>
          <w:color w:val="000000"/>
          <w:spacing w:val="0"/>
          <w:sz w:val="32"/>
          <w:szCs w:val="32"/>
          <w:highlight w:val="none"/>
          <w:lang w:eastAsia="zh-CN"/>
        </w:rPr>
        <w:t>（</w:t>
      </w:r>
      <w:r>
        <w:rPr>
          <w:rStyle w:val="30"/>
          <w:rFonts w:hint="eastAsia" w:ascii="仿宋" w:hAnsi="仿宋" w:eastAsia="仿宋" w:cs="仿宋"/>
          <w:i w:val="0"/>
          <w:iCs w:val="0"/>
          <w:caps w:val="0"/>
          <w:color w:val="000000"/>
          <w:spacing w:val="0"/>
          <w:sz w:val="32"/>
          <w:szCs w:val="32"/>
          <w:highlight w:val="none"/>
        </w:rPr>
        <w:t>货物</w:t>
      </w:r>
      <w:r>
        <w:rPr>
          <w:rStyle w:val="30"/>
          <w:rFonts w:hint="eastAsia" w:ascii="仿宋" w:hAnsi="仿宋" w:eastAsia="仿宋" w:cs="仿宋"/>
          <w:i w:val="0"/>
          <w:iCs w:val="0"/>
          <w:caps w:val="0"/>
          <w:color w:val="000000"/>
          <w:spacing w:val="0"/>
          <w:sz w:val="32"/>
          <w:szCs w:val="32"/>
          <w:highlight w:val="none"/>
          <w:lang w:eastAsia="zh-CN"/>
        </w:rPr>
        <w:t>）</w:t>
      </w:r>
    </w:p>
    <w:p w14:paraId="41A23C3C">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408C45D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2A00BCD9">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1B692CC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62757752">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0C30827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91BF83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0A287C7E">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00596CF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2762910F">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698457C">
      <w:pPr>
        <w:spacing w:line="240" w:lineRule="auto"/>
        <w:rPr>
          <w:rFonts w:hint="eastAsia" w:ascii="仿宋" w:hAnsi="仿宋" w:eastAsia="仿宋" w:cs="仿宋"/>
          <w:b w:val="0"/>
          <w:bCs w:val="0"/>
          <w:color w:val="000000"/>
          <w:kern w:val="0"/>
          <w:sz w:val="21"/>
          <w:szCs w:val="21"/>
          <w:highlight w:val="none"/>
          <w:lang w:val="en-US" w:eastAsia="zh-CN" w:bidi="ar"/>
        </w:rPr>
      </w:pPr>
    </w:p>
    <w:p w14:paraId="0D53D173">
      <w:pPr>
        <w:spacing w:line="240" w:lineRule="auto"/>
        <w:rPr>
          <w:rFonts w:hint="eastAsia" w:ascii="仿宋" w:hAnsi="仿宋" w:eastAsia="仿宋" w:cs="仿宋"/>
          <w:b w:val="0"/>
          <w:bCs w:val="0"/>
          <w:color w:val="000000"/>
          <w:kern w:val="0"/>
          <w:sz w:val="21"/>
          <w:szCs w:val="21"/>
          <w:highlight w:val="none"/>
          <w:lang w:val="en-US" w:eastAsia="zh-CN" w:bidi="ar"/>
        </w:rPr>
      </w:pPr>
    </w:p>
    <w:p w14:paraId="05A8BF07">
      <w:pPr>
        <w:spacing w:line="240" w:lineRule="auto"/>
        <w:rPr>
          <w:rFonts w:hint="eastAsia" w:ascii="仿宋" w:hAnsi="仿宋" w:eastAsia="仿宋" w:cs="仿宋"/>
          <w:b w:val="0"/>
          <w:bCs w:val="0"/>
          <w:color w:val="000000"/>
          <w:kern w:val="0"/>
          <w:sz w:val="21"/>
          <w:szCs w:val="21"/>
          <w:highlight w:val="none"/>
          <w:lang w:val="en-US" w:eastAsia="zh-CN" w:bidi="ar"/>
        </w:rPr>
      </w:pPr>
    </w:p>
    <w:p w14:paraId="39A1E3D9">
      <w:pPr>
        <w:spacing w:line="240" w:lineRule="auto"/>
        <w:rPr>
          <w:rFonts w:hint="eastAsia" w:ascii="仿宋" w:hAnsi="仿宋" w:eastAsia="仿宋" w:cs="仿宋"/>
          <w:b w:val="0"/>
          <w:bCs w:val="0"/>
          <w:color w:val="000000"/>
          <w:kern w:val="0"/>
          <w:sz w:val="21"/>
          <w:szCs w:val="21"/>
          <w:highlight w:val="none"/>
          <w:lang w:val="en-US" w:eastAsia="zh-CN" w:bidi="ar"/>
        </w:rPr>
      </w:pPr>
    </w:p>
    <w:p w14:paraId="2DA6A60C">
      <w:pPr>
        <w:spacing w:line="240" w:lineRule="auto"/>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60628328">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B472260">
      <w:pPr>
        <w:keepNext w:val="0"/>
        <w:keepLines w:val="0"/>
        <w:widowControl/>
        <w:suppressLineNumbers w:val="0"/>
        <w:spacing w:line="240" w:lineRule="auto"/>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6450314">
      <w:pPr>
        <w:keepNext w:val="0"/>
        <w:keepLines w:val="0"/>
        <w:widowControl/>
        <w:suppressLineNumbers w:val="0"/>
        <w:spacing w:line="240" w:lineRule="auto"/>
        <w:jc w:val="center"/>
        <w:rPr>
          <w:rFonts w:hint="eastAsia" w:ascii="仿宋" w:hAnsi="仿宋" w:eastAsia="仿宋" w:cs="仿宋"/>
          <w:b/>
          <w:bCs/>
          <w:color w:val="000000"/>
          <w:kern w:val="0"/>
          <w:sz w:val="32"/>
          <w:szCs w:val="32"/>
          <w:highlight w:val="none"/>
          <w:lang w:val="en-US" w:eastAsia="zh-CN" w:bidi="ar"/>
        </w:rPr>
      </w:pPr>
    </w:p>
    <w:p w14:paraId="002AA3A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3C8B6F8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01AFF9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B3842E3">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612AD7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0B14E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6290C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5D54B1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2FCF49DE">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E660325">
      <w:pPr>
        <w:keepNext w:val="0"/>
        <w:keepLines w:val="0"/>
        <w:widowControl/>
        <w:suppressLineNumbers w:val="0"/>
        <w:spacing w:line="24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41C5B10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B25EA8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666220E">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BB973F9">
      <w:pPr>
        <w:keepNext w:val="0"/>
        <w:keepLines w:val="0"/>
        <w:widowControl/>
        <w:suppressLineNumbers w:val="0"/>
        <w:spacing w:line="24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7D826A8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3-1供应商无直接控股、管理关系书面声明函</w:t>
      </w:r>
    </w:p>
    <w:p w14:paraId="78EC6A54">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spacing w:line="360" w:lineRule="auto"/>
        <w:ind w:firstLine="480" w:firstLineChars="200"/>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2B4B00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C7E4FAF">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b w:val="0"/>
          <w:bCs w:val="0"/>
          <w:color w:val="000000"/>
          <w:kern w:val="0"/>
          <w:sz w:val="24"/>
          <w:szCs w:val="24"/>
          <w:highlight w:val="none"/>
          <w:lang w:val="en-US" w:eastAsia="zh-CN" w:bidi="ar"/>
        </w:rPr>
        <w:br w:type="page"/>
      </w:r>
    </w:p>
    <w:p w14:paraId="4C0EB57D">
      <w:pPr>
        <w:keepNext w:val="0"/>
        <w:keepLines w:val="0"/>
        <w:widowControl/>
        <w:suppressLineNumbers w:val="0"/>
        <w:spacing w:line="24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保证金凭证/交款单据电子件</w:t>
      </w:r>
    </w:p>
    <w:p w14:paraId="3482D0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ED5846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96DD2C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BE3EBF1">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0C7F480">
      <w:pPr>
        <w:keepNext w:val="0"/>
        <w:keepLines w:val="0"/>
        <w:widowControl/>
        <w:suppressLineNumbers w:val="0"/>
        <w:spacing w:line="240" w:lineRule="auto"/>
        <w:jc w:val="left"/>
        <w:rPr>
          <w:rFonts w:hint="eastAsia" w:ascii="仿宋" w:hAnsi="仿宋" w:eastAsia="仿宋" w:cs="仿宋"/>
          <w:sz w:val="21"/>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6B2402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73344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4B2902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39862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46F753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组织的采购活动，并对此项目进行谈判响应。 </w:t>
      </w:r>
    </w:p>
    <w:p w14:paraId="1D6A59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63" w:name="_Toc6184"/>
      <w:bookmarkStart w:id="64" w:name="_Toc8232"/>
      <w:bookmarkStart w:id="65" w:name="_Toc31541"/>
      <w:r>
        <w:rPr>
          <w:rFonts w:hint="eastAsia" w:ascii="仿宋" w:hAnsi="仿宋" w:eastAsia="仿宋" w:cs="仿宋"/>
          <w:color w:val="000000"/>
          <w:kern w:val="0"/>
          <w:sz w:val="24"/>
          <w:szCs w:val="24"/>
          <w:highlight w:val="none"/>
          <w:lang w:val="en-US" w:eastAsia="zh-CN" w:bidi="ar"/>
        </w:rPr>
        <w:t>1. 我方已详细审查全部采购文件，自愿参与谈判响应并承诺如下：</w:t>
      </w:r>
      <w:bookmarkEnd w:id="63"/>
      <w:bookmarkEnd w:id="64"/>
      <w:bookmarkEnd w:id="65"/>
      <w:r>
        <w:rPr>
          <w:rFonts w:hint="eastAsia" w:ascii="仿宋" w:hAnsi="仿宋" w:eastAsia="仿宋" w:cs="仿宋"/>
          <w:color w:val="000000"/>
          <w:kern w:val="0"/>
          <w:sz w:val="24"/>
          <w:szCs w:val="24"/>
          <w:highlight w:val="none"/>
          <w:lang w:val="en-US" w:eastAsia="zh-CN" w:bidi="ar"/>
        </w:rPr>
        <w:t xml:space="preserve"> </w:t>
      </w:r>
    </w:p>
    <w:p w14:paraId="4B182A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2DEB70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7315CA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6F1AB9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470F89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66" w:name="_Toc30568"/>
      <w:bookmarkStart w:id="67" w:name="_Toc19414"/>
      <w:bookmarkStart w:id="68" w:name="_Toc21344"/>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66"/>
      <w:bookmarkEnd w:id="67"/>
      <w:bookmarkEnd w:id="68"/>
      <w:r>
        <w:rPr>
          <w:rFonts w:hint="eastAsia" w:ascii="仿宋" w:hAnsi="仿宋" w:eastAsia="仿宋" w:cs="仿宋"/>
          <w:color w:val="000000"/>
          <w:kern w:val="0"/>
          <w:sz w:val="24"/>
          <w:szCs w:val="24"/>
          <w:highlight w:val="none"/>
          <w:lang w:val="en-US" w:eastAsia="zh-CN" w:bidi="ar"/>
        </w:rPr>
        <w:t xml:space="preserve"> </w:t>
      </w:r>
    </w:p>
    <w:p w14:paraId="55889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32EE9B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EBA37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0EFF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EC91F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供应商名称（加盖公章）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660D4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5F0E2F14">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59A23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69" w:name="_Toc30909"/>
      <w:bookmarkStart w:id="70" w:name="_Toc26890"/>
      <w:bookmarkStart w:id="71" w:name="_Toc19241"/>
      <w:r>
        <w:rPr>
          <w:rFonts w:hint="eastAsia" w:ascii="仿宋" w:hAnsi="仿宋" w:eastAsia="仿宋" w:cs="仿宋"/>
          <w:color w:val="000000"/>
          <w:kern w:val="0"/>
          <w:sz w:val="24"/>
          <w:szCs w:val="24"/>
          <w:highlight w:val="none"/>
          <w:lang w:val="en-US" w:eastAsia="zh-CN" w:bidi="ar"/>
        </w:rPr>
        <w:t>6  授权委托书</w:t>
      </w:r>
      <w:bookmarkEnd w:id="69"/>
      <w:bookmarkEnd w:id="70"/>
      <w:bookmarkEnd w:id="71"/>
      <w:r>
        <w:rPr>
          <w:rFonts w:hint="eastAsia" w:ascii="仿宋" w:hAnsi="仿宋" w:eastAsia="仿宋" w:cs="仿宋"/>
          <w:color w:val="000000"/>
          <w:kern w:val="0"/>
          <w:sz w:val="24"/>
          <w:szCs w:val="24"/>
          <w:highlight w:val="none"/>
          <w:lang w:val="en-US" w:eastAsia="zh-CN" w:bidi="ar"/>
        </w:rPr>
        <w:t xml:space="preserve"> </w:t>
      </w:r>
    </w:p>
    <w:p w14:paraId="0E70AD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21753B9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1AB544B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04CF177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24BB9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383C5F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75F5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28032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59F703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D805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09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3EE994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7B64BB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3BC5D3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D17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trPr>
        <w:tc>
          <w:tcPr>
            <w:tcW w:w="4261" w:type="dxa"/>
          </w:tcPr>
          <w:p w14:paraId="6DB65F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0A11F5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786E66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6A3036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612516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72" w:name="_Toc30217"/>
      <w:bookmarkStart w:id="73" w:name="_Toc30794"/>
      <w:bookmarkStart w:id="74"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72"/>
      <w:bookmarkEnd w:id="73"/>
      <w:bookmarkEnd w:id="74"/>
    </w:p>
    <w:p w14:paraId="50987789">
      <w:pPr>
        <w:spacing w:line="240" w:lineRule="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0D3C3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1D1E6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A551C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156C533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297DF4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03E7BD7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555EBA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3A04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8A80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182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4703C5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330B64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8F6A0A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626916F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357B2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FE880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0BB0D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1C3365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40C37DA">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32D4B374">
      <w:pPr>
        <w:spacing w:line="240" w:lineRule="auto"/>
        <w:outlineLvl w:val="1"/>
        <w:rPr>
          <w:rFonts w:hint="eastAsia" w:ascii="仿宋" w:hAnsi="仿宋" w:eastAsia="仿宋" w:cs="仿宋"/>
          <w:sz w:val="24"/>
          <w:szCs w:val="24"/>
          <w:highlight w:val="none"/>
          <w:lang w:val="en-US" w:eastAsia="zh-CN"/>
        </w:rPr>
      </w:pPr>
      <w:bookmarkStart w:id="75" w:name="_Toc26817"/>
      <w:bookmarkStart w:id="76" w:name="_Toc25764"/>
      <w:bookmarkStart w:id="77" w:name="_Toc21265"/>
      <w:r>
        <w:rPr>
          <w:rFonts w:hint="eastAsia" w:ascii="仿宋" w:hAnsi="仿宋" w:eastAsia="仿宋" w:cs="仿宋"/>
          <w:sz w:val="24"/>
          <w:szCs w:val="24"/>
          <w:highlight w:val="none"/>
          <w:lang w:val="en-US" w:eastAsia="zh-CN"/>
        </w:rPr>
        <w:t>7  报价一览表</w:t>
      </w:r>
      <w:bookmarkEnd w:id="75"/>
      <w:bookmarkEnd w:id="76"/>
      <w:bookmarkEnd w:id="77"/>
    </w:p>
    <w:p w14:paraId="77940725">
      <w:pPr>
        <w:spacing w:line="240" w:lineRule="auto"/>
        <w:rPr>
          <w:rFonts w:hint="eastAsia" w:ascii="仿宋" w:hAnsi="仿宋" w:eastAsia="仿宋" w:cs="仿宋"/>
          <w:sz w:val="21"/>
          <w:highlight w:val="none"/>
          <w:lang w:val="en-US" w:eastAsia="zh-CN"/>
        </w:rPr>
      </w:pPr>
    </w:p>
    <w:p w14:paraId="1826073B">
      <w:pPr>
        <w:spacing w:line="240" w:lineRule="auto"/>
        <w:jc w:val="center"/>
        <w:rPr>
          <w:rFonts w:hint="eastAsia" w:ascii="仿宋" w:hAnsi="仿宋" w:eastAsia="仿宋" w:cs="仿宋"/>
          <w:sz w:val="21"/>
          <w:highlight w:val="none"/>
          <w:lang w:val="en-US" w:eastAsia="zh-CN"/>
        </w:rPr>
      </w:pPr>
      <w:r>
        <w:rPr>
          <w:rFonts w:hint="eastAsia" w:ascii="仿宋" w:hAnsi="仿宋" w:eastAsia="仿宋" w:cs="仿宋"/>
          <w:b/>
          <w:bCs/>
          <w:sz w:val="32"/>
          <w:szCs w:val="32"/>
          <w:highlight w:val="none"/>
          <w:lang w:val="en-US" w:eastAsia="zh-CN"/>
        </w:rPr>
        <w:t>首次响应报价</w:t>
      </w:r>
    </w:p>
    <w:p w14:paraId="1DBB524C">
      <w:pPr>
        <w:spacing w:line="240" w:lineRule="auto"/>
        <w:rPr>
          <w:rFonts w:hint="eastAsia" w:ascii="仿宋" w:hAnsi="仿宋" w:eastAsia="仿宋" w:cs="仿宋"/>
          <w:sz w:val="21"/>
          <w:highlight w:val="none"/>
          <w:lang w:val="en-US" w:eastAsia="zh-CN"/>
        </w:rPr>
      </w:pPr>
    </w:p>
    <w:p w14:paraId="73D58595">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项目编号：</w:t>
      </w:r>
      <w:r>
        <w:rPr>
          <w:rFonts w:hint="eastAsia" w:ascii="仿宋" w:hAnsi="仿宋" w:eastAsia="仿宋" w:cs="仿宋"/>
          <w:sz w:val="21"/>
          <w:highlight w:val="none"/>
          <w:u w:val="single"/>
          <w:lang w:val="en-US" w:eastAsia="zh-CN"/>
        </w:rPr>
        <w:t xml:space="preserve">                          </w:t>
      </w:r>
      <w:r>
        <w:rPr>
          <w:rFonts w:hint="eastAsia" w:ascii="仿宋" w:hAnsi="仿宋" w:eastAsia="仿宋" w:cs="仿宋"/>
          <w:sz w:val="21"/>
          <w:highlight w:val="none"/>
          <w:u w:val="none"/>
          <w:lang w:val="en-US" w:eastAsia="zh-CN"/>
        </w:rPr>
        <w:t xml:space="preserve">      </w:t>
      </w:r>
      <w:r>
        <w:rPr>
          <w:rFonts w:hint="eastAsia" w:ascii="仿宋" w:hAnsi="仿宋" w:eastAsia="仿宋" w:cs="仿宋"/>
          <w:sz w:val="21"/>
          <w:highlight w:val="none"/>
          <w:lang w:val="en-US" w:eastAsia="zh-CN"/>
        </w:rPr>
        <w:t>项目名称：</w:t>
      </w:r>
      <w:r>
        <w:rPr>
          <w:rFonts w:hint="eastAsia" w:ascii="仿宋" w:hAnsi="仿宋" w:eastAsia="仿宋" w:cs="仿宋"/>
          <w:sz w:val="21"/>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CAB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38101C6">
            <w:pPr>
              <w:pStyle w:val="16"/>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序号</w:t>
            </w:r>
          </w:p>
        </w:tc>
        <w:tc>
          <w:tcPr>
            <w:tcW w:w="2130" w:type="dxa"/>
            <w:vMerge w:val="restart"/>
            <w:vAlign w:val="center"/>
          </w:tcPr>
          <w:p w14:paraId="58AC800C">
            <w:pPr>
              <w:pStyle w:val="16"/>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供应商名称</w:t>
            </w:r>
          </w:p>
        </w:tc>
        <w:tc>
          <w:tcPr>
            <w:tcW w:w="4262" w:type="dxa"/>
            <w:gridSpan w:val="2"/>
            <w:vAlign w:val="center"/>
          </w:tcPr>
          <w:p w14:paraId="7921C94F">
            <w:pPr>
              <w:pStyle w:val="16"/>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响应报价（元）</w:t>
            </w:r>
          </w:p>
        </w:tc>
      </w:tr>
      <w:tr w14:paraId="0C40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F448F96">
            <w:pPr>
              <w:pStyle w:val="16"/>
              <w:jc w:val="center"/>
              <w:rPr>
                <w:rFonts w:hint="eastAsia" w:ascii="仿宋" w:hAnsi="仿宋" w:eastAsia="仿宋" w:cs="仿宋"/>
                <w:b/>
                <w:bCs/>
                <w:highlight w:val="none"/>
                <w:vertAlign w:val="baseline"/>
                <w:lang w:val="en-US" w:eastAsia="zh-CN"/>
              </w:rPr>
            </w:pPr>
          </w:p>
        </w:tc>
        <w:tc>
          <w:tcPr>
            <w:tcW w:w="2130" w:type="dxa"/>
            <w:vMerge w:val="continue"/>
            <w:vAlign w:val="center"/>
          </w:tcPr>
          <w:p w14:paraId="3D7816A8">
            <w:pPr>
              <w:pStyle w:val="16"/>
              <w:jc w:val="center"/>
              <w:rPr>
                <w:rFonts w:hint="eastAsia" w:ascii="仿宋" w:hAnsi="仿宋" w:eastAsia="仿宋" w:cs="仿宋"/>
                <w:b/>
                <w:bCs/>
                <w:highlight w:val="none"/>
                <w:vertAlign w:val="baseline"/>
                <w:lang w:val="en-US" w:eastAsia="zh-CN"/>
              </w:rPr>
            </w:pPr>
          </w:p>
        </w:tc>
        <w:tc>
          <w:tcPr>
            <w:tcW w:w="2131" w:type="dxa"/>
            <w:vAlign w:val="center"/>
          </w:tcPr>
          <w:p w14:paraId="70ACEFAD">
            <w:pPr>
              <w:pStyle w:val="16"/>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大写</w:t>
            </w:r>
          </w:p>
        </w:tc>
        <w:tc>
          <w:tcPr>
            <w:tcW w:w="2131" w:type="dxa"/>
            <w:vAlign w:val="center"/>
          </w:tcPr>
          <w:p w14:paraId="352CC2AA">
            <w:pPr>
              <w:pStyle w:val="16"/>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小写</w:t>
            </w:r>
          </w:p>
        </w:tc>
      </w:tr>
      <w:tr w14:paraId="2857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40EA397D">
            <w:pPr>
              <w:pStyle w:val="16"/>
              <w:jc w:val="center"/>
              <w:rPr>
                <w:rFonts w:hint="eastAsia" w:ascii="仿宋" w:hAnsi="仿宋" w:eastAsia="仿宋" w:cs="仿宋"/>
                <w:highlight w:val="none"/>
                <w:vertAlign w:val="baseline"/>
                <w:lang w:val="en-US" w:eastAsia="zh-CN"/>
              </w:rPr>
            </w:pPr>
          </w:p>
        </w:tc>
        <w:tc>
          <w:tcPr>
            <w:tcW w:w="2130" w:type="dxa"/>
            <w:vAlign w:val="center"/>
          </w:tcPr>
          <w:p w14:paraId="35121E03">
            <w:pPr>
              <w:pStyle w:val="16"/>
              <w:jc w:val="center"/>
              <w:rPr>
                <w:rFonts w:hint="eastAsia" w:ascii="仿宋" w:hAnsi="仿宋" w:eastAsia="仿宋" w:cs="仿宋"/>
                <w:highlight w:val="none"/>
                <w:vertAlign w:val="baseline"/>
                <w:lang w:val="en-US" w:eastAsia="zh-CN"/>
              </w:rPr>
            </w:pPr>
          </w:p>
        </w:tc>
        <w:tc>
          <w:tcPr>
            <w:tcW w:w="2131" w:type="dxa"/>
            <w:vAlign w:val="center"/>
          </w:tcPr>
          <w:p w14:paraId="7EE57406">
            <w:pPr>
              <w:pStyle w:val="16"/>
              <w:jc w:val="center"/>
              <w:rPr>
                <w:rFonts w:hint="eastAsia" w:ascii="仿宋" w:hAnsi="仿宋" w:eastAsia="仿宋" w:cs="仿宋"/>
                <w:highlight w:val="none"/>
                <w:vertAlign w:val="baseline"/>
                <w:lang w:val="en-US" w:eastAsia="zh-CN"/>
              </w:rPr>
            </w:pPr>
          </w:p>
        </w:tc>
        <w:tc>
          <w:tcPr>
            <w:tcW w:w="2131" w:type="dxa"/>
            <w:vAlign w:val="center"/>
          </w:tcPr>
          <w:p w14:paraId="1BA4AC81">
            <w:pPr>
              <w:pStyle w:val="16"/>
              <w:jc w:val="center"/>
              <w:rPr>
                <w:rFonts w:hint="eastAsia" w:ascii="仿宋" w:hAnsi="仿宋" w:eastAsia="仿宋" w:cs="仿宋"/>
                <w:highlight w:val="none"/>
                <w:vertAlign w:val="baseline"/>
                <w:lang w:val="en-US" w:eastAsia="zh-CN"/>
              </w:rPr>
            </w:pPr>
          </w:p>
        </w:tc>
      </w:tr>
    </w:tbl>
    <w:p w14:paraId="73312107">
      <w:pPr>
        <w:pStyle w:val="16"/>
        <w:ind w:left="0" w:leftChars="0" w:firstLine="0" w:firstLineChars="0"/>
        <w:rPr>
          <w:rFonts w:hint="eastAsia" w:ascii="仿宋" w:hAnsi="仿宋" w:eastAsia="仿宋" w:cs="仿宋"/>
          <w:sz w:val="24"/>
          <w:szCs w:val="24"/>
          <w:highlight w:val="none"/>
          <w:lang w:val="en-US" w:eastAsia="zh-CN"/>
        </w:rPr>
      </w:pPr>
    </w:p>
    <w:p w14:paraId="0D375245">
      <w:pPr>
        <w:widowControl w:val="0"/>
        <w:spacing w:line="360" w:lineRule="auto"/>
        <w:ind w:firstLine="210" w:firstLineChars="100"/>
        <w:jc w:val="both"/>
        <w:outlineLvl w:val="1"/>
        <w:rPr>
          <w:rFonts w:hint="eastAsia" w:ascii="仿宋" w:hAnsi="仿宋" w:eastAsia="仿宋" w:cs="仿宋"/>
          <w:kern w:val="2"/>
          <w:sz w:val="21"/>
          <w:szCs w:val="21"/>
          <w:highlight w:val="none"/>
          <w:lang w:val="en-US" w:eastAsia="zh-CN" w:bidi="zh-CN"/>
        </w:rPr>
      </w:pPr>
      <w:r>
        <w:rPr>
          <w:rFonts w:hint="eastAsia" w:ascii="仿宋" w:hAnsi="仿宋" w:eastAsia="仿宋" w:cs="仿宋"/>
          <w:kern w:val="2"/>
          <w:sz w:val="21"/>
          <w:szCs w:val="21"/>
          <w:highlight w:val="none"/>
          <w:lang w:val="en-US" w:eastAsia="zh-CN" w:bidi="zh-CN"/>
        </w:rPr>
        <w:t>注：此表中，响应报价应和《分项报价表》中的总价相一致。</w:t>
      </w:r>
    </w:p>
    <w:p w14:paraId="1EFE8F4B">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4C72689">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79B29FF1">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 xml:space="preserve">供应商名称（加盖公章）： </w:t>
      </w:r>
      <w:r>
        <w:rPr>
          <w:rFonts w:hint="eastAsia" w:ascii="仿宋" w:hAnsi="仿宋" w:eastAsia="仿宋" w:cs="仿宋"/>
          <w:kern w:val="2"/>
          <w:sz w:val="24"/>
          <w:szCs w:val="24"/>
          <w:highlight w:val="none"/>
          <w:u w:val="single"/>
          <w:lang w:val="en-US" w:eastAsia="zh-CN" w:bidi="zh-CN"/>
        </w:rPr>
        <w:t xml:space="preserve">                </w:t>
      </w:r>
    </w:p>
    <w:p w14:paraId="4ABA3903">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36C80823">
      <w:pPr>
        <w:pStyle w:val="23"/>
        <w:rPr>
          <w:rFonts w:hint="eastAsia" w:ascii="仿宋" w:hAnsi="仿宋" w:eastAsia="仿宋" w:cs="仿宋"/>
          <w:highlight w:val="none"/>
          <w:lang w:val="en-US" w:eastAsia="zh-CN"/>
        </w:rPr>
      </w:pPr>
    </w:p>
    <w:p w14:paraId="70C7B7AC">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774A1C53">
      <w:pPr>
        <w:pStyle w:val="16"/>
        <w:ind w:left="0" w:leftChars="0" w:firstLine="0" w:firstLineChars="0"/>
        <w:outlineLvl w:val="1"/>
        <w:rPr>
          <w:rFonts w:hint="eastAsia" w:ascii="仿宋" w:hAnsi="仿宋" w:eastAsia="仿宋" w:cs="仿宋"/>
          <w:sz w:val="24"/>
          <w:szCs w:val="24"/>
          <w:highlight w:val="none"/>
          <w:lang w:val="en-US" w:eastAsia="zh-CN"/>
        </w:rPr>
      </w:pPr>
      <w:bookmarkStart w:id="78" w:name="_Toc652"/>
      <w:bookmarkStart w:id="79" w:name="_Toc32732"/>
      <w:bookmarkStart w:id="80" w:name="_Toc25135"/>
      <w:r>
        <w:rPr>
          <w:rFonts w:hint="eastAsia" w:ascii="仿宋" w:hAnsi="仿宋" w:eastAsia="仿宋" w:cs="仿宋"/>
          <w:sz w:val="24"/>
          <w:szCs w:val="24"/>
          <w:highlight w:val="none"/>
          <w:lang w:val="en-US" w:eastAsia="zh-CN"/>
        </w:rPr>
        <w:t>7  分项报价表</w:t>
      </w:r>
      <w:bookmarkEnd w:id="78"/>
      <w:bookmarkEnd w:id="79"/>
      <w:bookmarkEnd w:id="80"/>
    </w:p>
    <w:p w14:paraId="00398A5D">
      <w:pPr>
        <w:pStyle w:val="16"/>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分项报价表（货物）</w:t>
      </w:r>
    </w:p>
    <w:p w14:paraId="0103F1EB">
      <w:pPr>
        <w:pStyle w:val="16"/>
        <w:ind w:left="0" w:leftChars="0" w:firstLine="0" w:firstLineChars="0"/>
        <w:jc w:val="center"/>
        <w:rPr>
          <w:rFonts w:hint="eastAsia" w:ascii="仿宋" w:hAnsi="仿宋" w:eastAsia="仿宋" w:cs="仿宋"/>
          <w:highlight w:val="none"/>
          <w:lang w:val="en-US" w:eastAsia="zh-CN"/>
        </w:rPr>
      </w:pPr>
    </w:p>
    <w:p w14:paraId="2502CC12">
      <w:pPr>
        <w:pStyle w:val="16"/>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报价单位：人民币元</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95"/>
        <w:gridCol w:w="842"/>
        <w:gridCol w:w="595"/>
        <w:gridCol w:w="801"/>
        <w:gridCol w:w="1249"/>
        <w:gridCol w:w="884"/>
        <w:gridCol w:w="983"/>
        <w:gridCol w:w="767"/>
        <w:gridCol w:w="891"/>
      </w:tblGrid>
      <w:tr w14:paraId="5650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9" w:type="pct"/>
            <w:vAlign w:val="center"/>
          </w:tcPr>
          <w:p w14:paraId="556D5220">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584" w:type="pct"/>
            <w:vAlign w:val="center"/>
          </w:tcPr>
          <w:p w14:paraId="4B851B9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分项名称</w:t>
            </w:r>
          </w:p>
        </w:tc>
        <w:tc>
          <w:tcPr>
            <w:tcW w:w="494" w:type="pct"/>
            <w:vAlign w:val="center"/>
          </w:tcPr>
          <w:p w14:paraId="1F2F0B95">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制造商</w:t>
            </w:r>
          </w:p>
        </w:tc>
        <w:tc>
          <w:tcPr>
            <w:tcW w:w="349" w:type="pct"/>
            <w:vAlign w:val="center"/>
          </w:tcPr>
          <w:p w14:paraId="6325A534">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品牌</w:t>
            </w:r>
          </w:p>
        </w:tc>
        <w:tc>
          <w:tcPr>
            <w:tcW w:w="470" w:type="pct"/>
            <w:vAlign w:val="center"/>
          </w:tcPr>
          <w:p w14:paraId="4BF66223">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产地/国别</w:t>
            </w:r>
          </w:p>
        </w:tc>
        <w:tc>
          <w:tcPr>
            <w:tcW w:w="733" w:type="pct"/>
            <w:vAlign w:val="center"/>
          </w:tcPr>
          <w:p w14:paraId="4E73973F">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规格、型号</w:t>
            </w:r>
          </w:p>
        </w:tc>
        <w:tc>
          <w:tcPr>
            <w:tcW w:w="518" w:type="pct"/>
            <w:vAlign w:val="center"/>
          </w:tcPr>
          <w:p w14:paraId="202A9DBE">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单价（元）</w:t>
            </w:r>
          </w:p>
        </w:tc>
        <w:tc>
          <w:tcPr>
            <w:tcW w:w="577" w:type="pct"/>
            <w:vAlign w:val="center"/>
          </w:tcPr>
          <w:p w14:paraId="5C8BD4B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数量（棵）</w:t>
            </w:r>
          </w:p>
        </w:tc>
        <w:tc>
          <w:tcPr>
            <w:tcW w:w="450" w:type="pct"/>
            <w:vAlign w:val="center"/>
          </w:tcPr>
          <w:p w14:paraId="6681E8A4">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合价（元）</w:t>
            </w:r>
          </w:p>
        </w:tc>
        <w:tc>
          <w:tcPr>
            <w:tcW w:w="523" w:type="pct"/>
            <w:vAlign w:val="center"/>
          </w:tcPr>
          <w:p w14:paraId="48A8A311">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备注/说明</w:t>
            </w:r>
          </w:p>
        </w:tc>
      </w:tr>
      <w:tr w14:paraId="3169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9" w:type="pct"/>
            <w:vAlign w:val="center"/>
          </w:tcPr>
          <w:p w14:paraId="3F3195E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84" w:type="pct"/>
            <w:vAlign w:val="center"/>
          </w:tcPr>
          <w:p w14:paraId="1900A44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94" w:type="pct"/>
            <w:vAlign w:val="center"/>
          </w:tcPr>
          <w:p w14:paraId="57C2898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349" w:type="pct"/>
            <w:vAlign w:val="center"/>
          </w:tcPr>
          <w:p w14:paraId="196FCEA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70" w:type="pct"/>
            <w:vAlign w:val="center"/>
          </w:tcPr>
          <w:p w14:paraId="47D85B7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3" w:type="pct"/>
            <w:vAlign w:val="center"/>
          </w:tcPr>
          <w:p w14:paraId="2558A87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18" w:type="pct"/>
            <w:vAlign w:val="center"/>
          </w:tcPr>
          <w:p w14:paraId="5279D1E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77" w:type="pct"/>
            <w:vAlign w:val="center"/>
          </w:tcPr>
          <w:p w14:paraId="3E125F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50" w:type="pct"/>
            <w:vAlign w:val="center"/>
          </w:tcPr>
          <w:p w14:paraId="5E22B5F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23" w:type="pct"/>
            <w:vAlign w:val="center"/>
          </w:tcPr>
          <w:p w14:paraId="613C1BD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589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9" w:type="pct"/>
            <w:vAlign w:val="center"/>
          </w:tcPr>
          <w:p w14:paraId="7341241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84" w:type="pct"/>
            <w:vAlign w:val="center"/>
          </w:tcPr>
          <w:p w14:paraId="42B9A10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94" w:type="pct"/>
            <w:vAlign w:val="center"/>
          </w:tcPr>
          <w:p w14:paraId="421E661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349" w:type="pct"/>
            <w:vAlign w:val="center"/>
          </w:tcPr>
          <w:p w14:paraId="78536E02">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70" w:type="pct"/>
            <w:vAlign w:val="center"/>
          </w:tcPr>
          <w:p w14:paraId="237E3C2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3" w:type="pct"/>
            <w:vAlign w:val="center"/>
          </w:tcPr>
          <w:p w14:paraId="2BFF749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18" w:type="pct"/>
            <w:vAlign w:val="center"/>
          </w:tcPr>
          <w:p w14:paraId="0A0D76A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77" w:type="pct"/>
            <w:vAlign w:val="center"/>
          </w:tcPr>
          <w:p w14:paraId="3EE9D40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50" w:type="pct"/>
            <w:vAlign w:val="center"/>
          </w:tcPr>
          <w:p w14:paraId="67B287A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23" w:type="pct"/>
            <w:vAlign w:val="center"/>
          </w:tcPr>
          <w:p w14:paraId="285D9E0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133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9" w:type="pct"/>
            <w:vAlign w:val="center"/>
          </w:tcPr>
          <w:p w14:paraId="44136F9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84" w:type="pct"/>
            <w:vAlign w:val="center"/>
          </w:tcPr>
          <w:p w14:paraId="6EDF591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94" w:type="pct"/>
            <w:vAlign w:val="center"/>
          </w:tcPr>
          <w:p w14:paraId="33CF171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349" w:type="pct"/>
            <w:vAlign w:val="center"/>
          </w:tcPr>
          <w:p w14:paraId="1C6C5B8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70" w:type="pct"/>
            <w:vAlign w:val="center"/>
          </w:tcPr>
          <w:p w14:paraId="4ABF1512">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3" w:type="pct"/>
            <w:vAlign w:val="center"/>
          </w:tcPr>
          <w:p w14:paraId="7E68277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18" w:type="pct"/>
            <w:vAlign w:val="center"/>
          </w:tcPr>
          <w:p w14:paraId="401BC50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77" w:type="pct"/>
            <w:vAlign w:val="center"/>
          </w:tcPr>
          <w:p w14:paraId="04D5EDE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50" w:type="pct"/>
            <w:vAlign w:val="center"/>
          </w:tcPr>
          <w:p w14:paraId="27D44AA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23" w:type="pct"/>
            <w:vAlign w:val="center"/>
          </w:tcPr>
          <w:p w14:paraId="15C9620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626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9" w:type="pct"/>
            <w:vAlign w:val="center"/>
          </w:tcPr>
          <w:p w14:paraId="54B7DC1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84" w:type="pct"/>
            <w:vAlign w:val="center"/>
          </w:tcPr>
          <w:p w14:paraId="6370E2C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94" w:type="pct"/>
            <w:vAlign w:val="center"/>
          </w:tcPr>
          <w:p w14:paraId="1ACD3372">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349" w:type="pct"/>
            <w:vAlign w:val="center"/>
          </w:tcPr>
          <w:p w14:paraId="0179BA5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70" w:type="pct"/>
            <w:vAlign w:val="center"/>
          </w:tcPr>
          <w:p w14:paraId="17705C92">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3" w:type="pct"/>
            <w:vAlign w:val="center"/>
          </w:tcPr>
          <w:p w14:paraId="4D505B6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18" w:type="pct"/>
            <w:vAlign w:val="center"/>
          </w:tcPr>
          <w:p w14:paraId="4CF0AE8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77" w:type="pct"/>
            <w:vAlign w:val="center"/>
          </w:tcPr>
          <w:p w14:paraId="4822FC1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450" w:type="pct"/>
            <w:vAlign w:val="center"/>
          </w:tcPr>
          <w:p w14:paraId="4D9B2C2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23" w:type="pct"/>
            <w:vAlign w:val="center"/>
          </w:tcPr>
          <w:p w14:paraId="0C3F6AA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688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026" w:type="pct"/>
            <w:gridSpan w:val="8"/>
            <w:vAlign w:val="center"/>
          </w:tcPr>
          <w:p w14:paraId="5D344E4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总价（元）</w:t>
            </w:r>
          </w:p>
        </w:tc>
        <w:tc>
          <w:tcPr>
            <w:tcW w:w="450" w:type="pct"/>
            <w:vAlign w:val="center"/>
          </w:tcPr>
          <w:p w14:paraId="192B5FB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523" w:type="pct"/>
            <w:vAlign w:val="center"/>
          </w:tcPr>
          <w:p w14:paraId="3D7F63C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bl>
    <w:p w14:paraId="7F9D8558">
      <w:pPr>
        <w:pStyle w:val="23"/>
        <w:rPr>
          <w:rFonts w:hint="eastAsia" w:ascii="仿宋" w:hAnsi="仿宋" w:eastAsia="仿宋" w:cs="仿宋"/>
          <w:highlight w:val="none"/>
          <w:lang w:val="en-US" w:eastAsia="zh-CN"/>
        </w:rPr>
      </w:pPr>
    </w:p>
    <w:p w14:paraId="157D2501">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注：1.请各供应商按照谈判文件第五章采购需求内产品逐一提供，不得漏项。</w:t>
      </w:r>
    </w:p>
    <w:p w14:paraId="704BEC6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2.如果不提供分项报价或存在漏项将视为没有实质性响应谈判文件。</w:t>
      </w:r>
    </w:p>
    <w:p w14:paraId="618874FA">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3.供应商投标总报价不得高于最高限价，供应商采购清单（详见第五章 采购需求）中的各项标的的投标单项报价均不能超过清单（详见第五章 采购需求）中的最高单价要求，如超过上述采购清单（详见第六章 技术要求）中的最高单价或高于最高限价作废标处理。</w:t>
      </w:r>
    </w:p>
    <w:p w14:paraId="0810ADD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4.上述各项的详细规格（如有），可另页描述。</w:t>
      </w:r>
    </w:p>
    <w:p w14:paraId="1FEE82B6">
      <w:pPr>
        <w:spacing w:line="360" w:lineRule="auto"/>
        <w:rPr>
          <w:rFonts w:hint="eastAsia" w:ascii="仿宋" w:hAnsi="仿宋" w:eastAsia="仿宋" w:cs="仿宋"/>
          <w:sz w:val="24"/>
          <w:szCs w:val="24"/>
          <w:highlight w:val="none"/>
          <w:lang w:val="en-US" w:eastAsia="zh-CN"/>
        </w:rPr>
      </w:pPr>
    </w:p>
    <w:p w14:paraId="281CF73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供应商名称（加盖公章）：____________</w:t>
      </w:r>
    </w:p>
    <w:p w14:paraId="714181F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F06D44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C2FFDB6">
      <w:pPr>
        <w:pStyle w:val="23"/>
        <w:ind w:left="0" w:leftChars="0" w:firstLine="0" w:firstLineChars="0"/>
        <w:jc w:val="left"/>
        <w:outlineLvl w:val="1"/>
        <w:rPr>
          <w:rFonts w:hint="eastAsia" w:ascii="仿宋" w:hAnsi="仿宋" w:eastAsia="仿宋" w:cs="仿宋"/>
          <w:sz w:val="24"/>
          <w:szCs w:val="24"/>
          <w:highlight w:val="none"/>
          <w:lang w:val="en-US" w:eastAsia="zh-CN"/>
        </w:rPr>
      </w:pPr>
      <w:bookmarkStart w:id="81" w:name="_Toc17009"/>
      <w:bookmarkStart w:id="82" w:name="_Toc28719"/>
      <w:bookmarkStart w:id="83" w:name="_Toc27376"/>
      <w:r>
        <w:rPr>
          <w:rFonts w:hint="eastAsia" w:ascii="仿宋" w:hAnsi="仿宋" w:eastAsia="仿宋" w:cs="仿宋"/>
          <w:sz w:val="24"/>
          <w:szCs w:val="24"/>
          <w:highlight w:val="none"/>
          <w:lang w:val="en-US" w:eastAsia="zh-CN"/>
        </w:rPr>
        <w:t>8  合同条款偏离表</w:t>
      </w:r>
      <w:bookmarkEnd w:id="81"/>
      <w:bookmarkEnd w:id="82"/>
      <w:bookmarkEnd w:id="83"/>
    </w:p>
    <w:p w14:paraId="1669E99C">
      <w:pPr>
        <w:pStyle w:val="23"/>
        <w:ind w:left="0" w:leftChars="0" w:firstLine="0" w:firstLineChars="0"/>
        <w:jc w:val="center"/>
        <w:rPr>
          <w:rFonts w:hint="eastAsia" w:ascii="仿宋" w:hAnsi="仿宋" w:eastAsia="仿宋" w:cs="仿宋"/>
          <w:sz w:val="32"/>
          <w:szCs w:val="32"/>
          <w:highlight w:val="none"/>
          <w:lang w:val="en-US" w:eastAsia="zh-CN"/>
        </w:rPr>
      </w:pPr>
    </w:p>
    <w:p w14:paraId="7642176B">
      <w:pPr>
        <w:pStyle w:val="23"/>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2B23B201">
      <w:pPr>
        <w:spacing w:line="240" w:lineRule="auto"/>
        <w:rPr>
          <w:rFonts w:hint="eastAsia" w:ascii="仿宋" w:hAnsi="仿宋" w:eastAsia="仿宋" w:cs="仿宋"/>
          <w:sz w:val="21"/>
          <w:highlight w:val="none"/>
          <w:lang w:val="en-US" w:eastAsia="zh-CN"/>
        </w:rPr>
      </w:pPr>
    </w:p>
    <w:p w14:paraId="6CD80AA1">
      <w:pPr>
        <w:pStyle w:val="23"/>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项目编号/包号：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项目名称：</w:t>
      </w:r>
      <w:r>
        <w:rPr>
          <w:rFonts w:hint="eastAsia" w:ascii="仿宋" w:hAnsi="仿宋" w:eastAsia="仿宋" w:cs="仿宋"/>
          <w:sz w:val="24"/>
          <w:szCs w:val="24"/>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0533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A1B2583">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7BDFA384">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03F69D5A">
            <w:pPr>
              <w:spacing w:line="24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7B91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4C5793">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12FFAAE8">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6CFF94ED">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5C8CE9EE">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6E69043B">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696F0300">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272BEF17">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44E4C6B5">
            <w:pPr>
              <w:spacing w:line="240" w:lineRule="auto"/>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6E8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6CFFA32">
            <w:pPr>
              <w:spacing w:line="240" w:lineRule="auto"/>
              <w:rPr>
                <w:rFonts w:hint="eastAsia" w:ascii="仿宋" w:hAnsi="仿宋" w:eastAsia="仿宋" w:cs="仿宋"/>
                <w:sz w:val="21"/>
                <w:szCs w:val="21"/>
                <w:highlight w:val="none"/>
                <w:vertAlign w:val="baseline"/>
                <w:lang w:val="en-US" w:eastAsia="zh-CN"/>
              </w:rPr>
            </w:pPr>
          </w:p>
        </w:tc>
        <w:tc>
          <w:tcPr>
            <w:tcW w:w="1421" w:type="dxa"/>
          </w:tcPr>
          <w:p w14:paraId="241AF4DE">
            <w:pPr>
              <w:spacing w:line="240" w:lineRule="auto"/>
              <w:rPr>
                <w:rFonts w:hint="eastAsia" w:ascii="仿宋" w:hAnsi="仿宋" w:eastAsia="仿宋" w:cs="仿宋"/>
                <w:sz w:val="21"/>
                <w:szCs w:val="21"/>
                <w:highlight w:val="none"/>
                <w:vertAlign w:val="baseline"/>
                <w:lang w:val="en-US" w:eastAsia="zh-CN"/>
              </w:rPr>
            </w:pPr>
          </w:p>
        </w:tc>
        <w:tc>
          <w:tcPr>
            <w:tcW w:w="1901" w:type="dxa"/>
          </w:tcPr>
          <w:p w14:paraId="526F8EDA">
            <w:pPr>
              <w:spacing w:line="240" w:lineRule="auto"/>
              <w:rPr>
                <w:rFonts w:hint="eastAsia" w:ascii="仿宋" w:hAnsi="仿宋" w:eastAsia="仿宋" w:cs="仿宋"/>
                <w:sz w:val="21"/>
                <w:szCs w:val="21"/>
                <w:highlight w:val="none"/>
                <w:vertAlign w:val="baseline"/>
                <w:lang w:val="en-US" w:eastAsia="zh-CN"/>
              </w:rPr>
            </w:pPr>
          </w:p>
        </w:tc>
        <w:tc>
          <w:tcPr>
            <w:tcW w:w="1753" w:type="dxa"/>
          </w:tcPr>
          <w:p w14:paraId="15457640">
            <w:pPr>
              <w:spacing w:line="240" w:lineRule="auto"/>
              <w:rPr>
                <w:rFonts w:hint="eastAsia" w:ascii="仿宋" w:hAnsi="仿宋" w:eastAsia="仿宋" w:cs="仿宋"/>
                <w:sz w:val="21"/>
                <w:szCs w:val="21"/>
                <w:highlight w:val="none"/>
                <w:vertAlign w:val="baseline"/>
                <w:lang w:val="en-US" w:eastAsia="zh-CN"/>
              </w:rPr>
            </w:pPr>
          </w:p>
        </w:tc>
        <w:tc>
          <w:tcPr>
            <w:tcW w:w="1561" w:type="dxa"/>
          </w:tcPr>
          <w:p w14:paraId="1A2AB801">
            <w:pPr>
              <w:spacing w:line="240" w:lineRule="auto"/>
              <w:rPr>
                <w:rFonts w:hint="eastAsia" w:ascii="仿宋" w:hAnsi="仿宋" w:eastAsia="仿宋" w:cs="仿宋"/>
                <w:sz w:val="21"/>
                <w:szCs w:val="21"/>
                <w:highlight w:val="none"/>
                <w:vertAlign w:val="baseline"/>
                <w:lang w:val="en-US" w:eastAsia="zh-CN"/>
              </w:rPr>
            </w:pPr>
          </w:p>
        </w:tc>
        <w:tc>
          <w:tcPr>
            <w:tcW w:w="1052" w:type="dxa"/>
          </w:tcPr>
          <w:p w14:paraId="26D5DCB0">
            <w:pPr>
              <w:spacing w:line="240" w:lineRule="auto"/>
              <w:rPr>
                <w:rFonts w:hint="eastAsia" w:ascii="仿宋" w:hAnsi="仿宋" w:eastAsia="仿宋" w:cs="仿宋"/>
                <w:sz w:val="21"/>
                <w:szCs w:val="21"/>
                <w:highlight w:val="none"/>
                <w:vertAlign w:val="baseline"/>
                <w:lang w:val="en-US" w:eastAsia="zh-CN"/>
              </w:rPr>
            </w:pPr>
          </w:p>
        </w:tc>
      </w:tr>
      <w:tr w14:paraId="247C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9DAF6E">
            <w:pPr>
              <w:spacing w:line="240" w:lineRule="auto"/>
              <w:rPr>
                <w:rFonts w:hint="eastAsia" w:ascii="仿宋" w:hAnsi="仿宋" w:eastAsia="仿宋" w:cs="仿宋"/>
                <w:sz w:val="21"/>
                <w:szCs w:val="21"/>
                <w:highlight w:val="none"/>
                <w:vertAlign w:val="baseline"/>
                <w:lang w:val="en-US" w:eastAsia="zh-CN"/>
              </w:rPr>
            </w:pPr>
          </w:p>
        </w:tc>
        <w:tc>
          <w:tcPr>
            <w:tcW w:w="1421" w:type="dxa"/>
          </w:tcPr>
          <w:p w14:paraId="7F82941E">
            <w:pPr>
              <w:spacing w:line="240" w:lineRule="auto"/>
              <w:rPr>
                <w:rFonts w:hint="eastAsia" w:ascii="仿宋" w:hAnsi="仿宋" w:eastAsia="仿宋" w:cs="仿宋"/>
                <w:sz w:val="21"/>
                <w:szCs w:val="21"/>
                <w:highlight w:val="none"/>
                <w:vertAlign w:val="baseline"/>
                <w:lang w:val="en-US" w:eastAsia="zh-CN"/>
              </w:rPr>
            </w:pPr>
          </w:p>
        </w:tc>
        <w:tc>
          <w:tcPr>
            <w:tcW w:w="1901" w:type="dxa"/>
          </w:tcPr>
          <w:p w14:paraId="49FC2C5C">
            <w:pPr>
              <w:spacing w:line="240" w:lineRule="auto"/>
              <w:rPr>
                <w:rFonts w:hint="eastAsia" w:ascii="仿宋" w:hAnsi="仿宋" w:eastAsia="仿宋" w:cs="仿宋"/>
                <w:sz w:val="21"/>
                <w:szCs w:val="21"/>
                <w:highlight w:val="none"/>
                <w:vertAlign w:val="baseline"/>
                <w:lang w:val="en-US" w:eastAsia="zh-CN"/>
              </w:rPr>
            </w:pPr>
          </w:p>
        </w:tc>
        <w:tc>
          <w:tcPr>
            <w:tcW w:w="1753" w:type="dxa"/>
          </w:tcPr>
          <w:p w14:paraId="23EA49F3">
            <w:pPr>
              <w:spacing w:line="240" w:lineRule="auto"/>
              <w:rPr>
                <w:rFonts w:hint="eastAsia" w:ascii="仿宋" w:hAnsi="仿宋" w:eastAsia="仿宋" w:cs="仿宋"/>
                <w:sz w:val="21"/>
                <w:szCs w:val="21"/>
                <w:highlight w:val="none"/>
                <w:vertAlign w:val="baseline"/>
                <w:lang w:val="en-US" w:eastAsia="zh-CN"/>
              </w:rPr>
            </w:pPr>
          </w:p>
        </w:tc>
        <w:tc>
          <w:tcPr>
            <w:tcW w:w="1561" w:type="dxa"/>
          </w:tcPr>
          <w:p w14:paraId="728E0FB5">
            <w:pPr>
              <w:spacing w:line="240" w:lineRule="auto"/>
              <w:rPr>
                <w:rFonts w:hint="eastAsia" w:ascii="仿宋" w:hAnsi="仿宋" w:eastAsia="仿宋" w:cs="仿宋"/>
                <w:sz w:val="21"/>
                <w:szCs w:val="21"/>
                <w:highlight w:val="none"/>
                <w:vertAlign w:val="baseline"/>
                <w:lang w:val="en-US" w:eastAsia="zh-CN"/>
              </w:rPr>
            </w:pPr>
          </w:p>
        </w:tc>
        <w:tc>
          <w:tcPr>
            <w:tcW w:w="1052" w:type="dxa"/>
          </w:tcPr>
          <w:p w14:paraId="6D1A8586">
            <w:pPr>
              <w:spacing w:line="240" w:lineRule="auto"/>
              <w:rPr>
                <w:rFonts w:hint="eastAsia" w:ascii="仿宋" w:hAnsi="仿宋" w:eastAsia="仿宋" w:cs="仿宋"/>
                <w:sz w:val="21"/>
                <w:szCs w:val="21"/>
                <w:highlight w:val="none"/>
                <w:vertAlign w:val="baseline"/>
                <w:lang w:val="en-US" w:eastAsia="zh-CN"/>
              </w:rPr>
            </w:pPr>
          </w:p>
        </w:tc>
      </w:tr>
      <w:tr w14:paraId="3993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4444D894">
            <w:pPr>
              <w:spacing w:line="240" w:lineRule="auto"/>
              <w:rPr>
                <w:rFonts w:hint="eastAsia" w:ascii="仿宋" w:hAnsi="仿宋" w:eastAsia="仿宋" w:cs="仿宋"/>
                <w:sz w:val="21"/>
                <w:szCs w:val="21"/>
                <w:highlight w:val="none"/>
                <w:vertAlign w:val="baseline"/>
                <w:lang w:val="en-US" w:eastAsia="zh-CN"/>
              </w:rPr>
            </w:pPr>
          </w:p>
        </w:tc>
        <w:tc>
          <w:tcPr>
            <w:tcW w:w="1421" w:type="dxa"/>
          </w:tcPr>
          <w:p w14:paraId="29CE699F">
            <w:pPr>
              <w:spacing w:line="240" w:lineRule="auto"/>
              <w:rPr>
                <w:rFonts w:hint="eastAsia" w:ascii="仿宋" w:hAnsi="仿宋" w:eastAsia="仿宋" w:cs="仿宋"/>
                <w:sz w:val="21"/>
                <w:szCs w:val="21"/>
                <w:highlight w:val="none"/>
                <w:vertAlign w:val="baseline"/>
                <w:lang w:val="en-US" w:eastAsia="zh-CN"/>
              </w:rPr>
            </w:pPr>
          </w:p>
        </w:tc>
        <w:tc>
          <w:tcPr>
            <w:tcW w:w="1901" w:type="dxa"/>
          </w:tcPr>
          <w:p w14:paraId="7C2772D2">
            <w:pPr>
              <w:spacing w:line="240" w:lineRule="auto"/>
              <w:rPr>
                <w:rFonts w:hint="eastAsia" w:ascii="仿宋" w:hAnsi="仿宋" w:eastAsia="仿宋" w:cs="仿宋"/>
                <w:sz w:val="21"/>
                <w:szCs w:val="21"/>
                <w:highlight w:val="none"/>
                <w:vertAlign w:val="baseline"/>
                <w:lang w:val="en-US" w:eastAsia="zh-CN"/>
              </w:rPr>
            </w:pPr>
          </w:p>
        </w:tc>
        <w:tc>
          <w:tcPr>
            <w:tcW w:w="1753" w:type="dxa"/>
          </w:tcPr>
          <w:p w14:paraId="0A9C22E3">
            <w:pPr>
              <w:spacing w:line="240" w:lineRule="auto"/>
              <w:rPr>
                <w:rFonts w:hint="eastAsia" w:ascii="仿宋" w:hAnsi="仿宋" w:eastAsia="仿宋" w:cs="仿宋"/>
                <w:sz w:val="21"/>
                <w:szCs w:val="21"/>
                <w:highlight w:val="none"/>
                <w:vertAlign w:val="baseline"/>
                <w:lang w:val="en-US" w:eastAsia="zh-CN"/>
              </w:rPr>
            </w:pPr>
          </w:p>
        </w:tc>
        <w:tc>
          <w:tcPr>
            <w:tcW w:w="1561" w:type="dxa"/>
          </w:tcPr>
          <w:p w14:paraId="511C98B4">
            <w:pPr>
              <w:spacing w:line="240" w:lineRule="auto"/>
              <w:rPr>
                <w:rFonts w:hint="eastAsia" w:ascii="仿宋" w:hAnsi="仿宋" w:eastAsia="仿宋" w:cs="仿宋"/>
                <w:sz w:val="21"/>
                <w:szCs w:val="21"/>
                <w:highlight w:val="none"/>
                <w:vertAlign w:val="baseline"/>
                <w:lang w:val="en-US" w:eastAsia="zh-CN"/>
              </w:rPr>
            </w:pPr>
          </w:p>
        </w:tc>
        <w:tc>
          <w:tcPr>
            <w:tcW w:w="1052" w:type="dxa"/>
          </w:tcPr>
          <w:p w14:paraId="0EBC37EB">
            <w:pPr>
              <w:spacing w:line="240" w:lineRule="auto"/>
              <w:rPr>
                <w:rFonts w:hint="eastAsia" w:ascii="仿宋" w:hAnsi="仿宋" w:eastAsia="仿宋" w:cs="仿宋"/>
                <w:sz w:val="21"/>
                <w:szCs w:val="21"/>
                <w:highlight w:val="none"/>
                <w:vertAlign w:val="baseline"/>
                <w:lang w:val="en-US" w:eastAsia="zh-CN"/>
              </w:rPr>
            </w:pPr>
          </w:p>
        </w:tc>
      </w:tr>
      <w:tr w14:paraId="2886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2F452627">
            <w:pPr>
              <w:spacing w:line="240" w:lineRule="auto"/>
              <w:rPr>
                <w:rFonts w:hint="eastAsia" w:ascii="仿宋" w:hAnsi="仿宋" w:eastAsia="仿宋" w:cs="仿宋"/>
                <w:sz w:val="21"/>
                <w:szCs w:val="21"/>
                <w:highlight w:val="none"/>
                <w:vertAlign w:val="baseline"/>
                <w:lang w:val="en-US" w:eastAsia="zh-CN"/>
              </w:rPr>
            </w:pPr>
          </w:p>
        </w:tc>
        <w:tc>
          <w:tcPr>
            <w:tcW w:w="1421" w:type="dxa"/>
          </w:tcPr>
          <w:p w14:paraId="519734EF">
            <w:pPr>
              <w:spacing w:line="240" w:lineRule="auto"/>
              <w:rPr>
                <w:rFonts w:hint="eastAsia" w:ascii="仿宋" w:hAnsi="仿宋" w:eastAsia="仿宋" w:cs="仿宋"/>
                <w:sz w:val="21"/>
                <w:szCs w:val="21"/>
                <w:highlight w:val="none"/>
                <w:vertAlign w:val="baseline"/>
                <w:lang w:val="en-US" w:eastAsia="zh-CN"/>
              </w:rPr>
            </w:pPr>
          </w:p>
        </w:tc>
        <w:tc>
          <w:tcPr>
            <w:tcW w:w="1901" w:type="dxa"/>
          </w:tcPr>
          <w:p w14:paraId="47D27089">
            <w:pPr>
              <w:spacing w:line="240" w:lineRule="auto"/>
              <w:rPr>
                <w:rFonts w:hint="eastAsia" w:ascii="仿宋" w:hAnsi="仿宋" w:eastAsia="仿宋" w:cs="仿宋"/>
                <w:sz w:val="21"/>
                <w:szCs w:val="21"/>
                <w:highlight w:val="none"/>
                <w:vertAlign w:val="baseline"/>
                <w:lang w:val="en-US" w:eastAsia="zh-CN"/>
              </w:rPr>
            </w:pPr>
          </w:p>
        </w:tc>
        <w:tc>
          <w:tcPr>
            <w:tcW w:w="1753" w:type="dxa"/>
          </w:tcPr>
          <w:p w14:paraId="04CD9C25">
            <w:pPr>
              <w:spacing w:line="240" w:lineRule="auto"/>
              <w:rPr>
                <w:rFonts w:hint="eastAsia" w:ascii="仿宋" w:hAnsi="仿宋" w:eastAsia="仿宋" w:cs="仿宋"/>
                <w:sz w:val="21"/>
                <w:szCs w:val="21"/>
                <w:highlight w:val="none"/>
                <w:vertAlign w:val="baseline"/>
                <w:lang w:val="en-US" w:eastAsia="zh-CN"/>
              </w:rPr>
            </w:pPr>
          </w:p>
        </w:tc>
        <w:tc>
          <w:tcPr>
            <w:tcW w:w="1561" w:type="dxa"/>
          </w:tcPr>
          <w:p w14:paraId="09CC81DF">
            <w:pPr>
              <w:spacing w:line="240" w:lineRule="auto"/>
              <w:rPr>
                <w:rFonts w:hint="eastAsia" w:ascii="仿宋" w:hAnsi="仿宋" w:eastAsia="仿宋" w:cs="仿宋"/>
                <w:sz w:val="21"/>
                <w:szCs w:val="21"/>
                <w:highlight w:val="none"/>
                <w:vertAlign w:val="baseline"/>
                <w:lang w:val="en-US" w:eastAsia="zh-CN"/>
              </w:rPr>
            </w:pPr>
          </w:p>
        </w:tc>
        <w:tc>
          <w:tcPr>
            <w:tcW w:w="1052" w:type="dxa"/>
          </w:tcPr>
          <w:p w14:paraId="324D6AAB">
            <w:pPr>
              <w:spacing w:line="240" w:lineRule="auto"/>
              <w:rPr>
                <w:rFonts w:hint="eastAsia" w:ascii="仿宋" w:hAnsi="仿宋" w:eastAsia="仿宋" w:cs="仿宋"/>
                <w:sz w:val="21"/>
                <w:szCs w:val="21"/>
                <w:highlight w:val="none"/>
                <w:vertAlign w:val="baseline"/>
                <w:lang w:val="en-US" w:eastAsia="zh-CN"/>
              </w:rPr>
            </w:pPr>
          </w:p>
        </w:tc>
      </w:tr>
      <w:tr w14:paraId="3532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70FCC285">
            <w:pPr>
              <w:spacing w:line="240" w:lineRule="auto"/>
              <w:rPr>
                <w:rFonts w:hint="eastAsia" w:ascii="仿宋" w:hAnsi="仿宋" w:eastAsia="仿宋" w:cs="仿宋"/>
                <w:sz w:val="21"/>
                <w:szCs w:val="21"/>
                <w:highlight w:val="none"/>
                <w:vertAlign w:val="baseline"/>
                <w:lang w:val="en-US" w:eastAsia="zh-CN"/>
              </w:rPr>
            </w:pPr>
          </w:p>
        </w:tc>
        <w:tc>
          <w:tcPr>
            <w:tcW w:w="1421" w:type="dxa"/>
          </w:tcPr>
          <w:p w14:paraId="3562B7C7">
            <w:pPr>
              <w:spacing w:line="240" w:lineRule="auto"/>
              <w:rPr>
                <w:rFonts w:hint="eastAsia" w:ascii="仿宋" w:hAnsi="仿宋" w:eastAsia="仿宋" w:cs="仿宋"/>
                <w:sz w:val="21"/>
                <w:szCs w:val="21"/>
                <w:highlight w:val="none"/>
                <w:vertAlign w:val="baseline"/>
                <w:lang w:val="en-US" w:eastAsia="zh-CN"/>
              </w:rPr>
            </w:pPr>
          </w:p>
        </w:tc>
        <w:tc>
          <w:tcPr>
            <w:tcW w:w="1901" w:type="dxa"/>
          </w:tcPr>
          <w:p w14:paraId="1DC1986F">
            <w:pPr>
              <w:spacing w:line="240" w:lineRule="auto"/>
              <w:rPr>
                <w:rFonts w:hint="eastAsia" w:ascii="仿宋" w:hAnsi="仿宋" w:eastAsia="仿宋" w:cs="仿宋"/>
                <w:sz w:val="21"/>
                <w:szCs w:val="21"/>
                <w:highlight w:val="none"/>
                <w:vertAlign w:val="baseline"/>
                <w:lang w:val="en-US" w:eastAsia="zh-CN"/>
              </w:rPr>
            </w:pPr>
          </w:p>
        </w:tc>
        <w:tc>
          <w:tcPr>
            <w:tcW w:w="1753" w:type="dxa"/>
          </w:tcPr>
          <w:p w14:paraId="1EAAE004">
            <w:pPr>
              <w:spacing w:line="240" w:lineRule="auto"/>
              <w:rPr>
                <w:rFonts w:hint="eastAsia" w:ascii="仿宋" w:hAnsi="仿宋" w:eastAsia="仿宋" w:cs="仿宋"/>
                <w:sz w:val="21"/>
                <w:szCs w:val="21"/>
                <w:highlight w:val="none"/>
                <w:vertAlign w:val="baseline"/>
                <w:lang w:val="en-US" w:eastAsia="zh-CN"/>
              </w:rPr>
            </w:pPr>
          </w:p>
        </w:tc>
        <w:tc>
          <w:tcPr>
            <w:tcW w:w="1561" w:type="dxa"/>
          </w:tcPr>
          <w:p w14:paraId="1D92253A">
            <w:pPr>
              <w:spacing w:line="240" w:lineRule="auto"/>
              <w:rPr>
                <w:rFonts w:hint="eastAsia" w:ascii="仿宋" w:hAnsi="仿宋" w:eastAsia="仿宋" w:cs="仿宋"/>
                <w:sz w:val="21"/>
                <w:szCs w:val="21"/>
                <w:highlight w:val="none"/>
                <w:vertAlign w:val="baseline"/>
                <w:lang w:val="en-US" w:eastAsia="zh-CN"/>
              </w:rPr>
            </w:pPr>
          </w:p>
        </w:tc>
        <w:tc>
          <w:tcPr>
            <w:tcW w:w="1052" w:type="dxa"/>
          </w:tcPr>
          <w:p w14:paraId="6C79909B">
            <w:pPr>
              <w:spacing w:line="240" w:lineRule="auto"/>
              <w:rPr>
                <w:rFonts w:hint="eastAsia" w:ascii="仿宋" w:hAnsi="仿宋" w:eastAsia="仿宋" w:cs="仿宋"/>
                <w:sz w:val="21"/>
                <w:szCs w:val="21"/>
                <w:highlight w:val="none"/>
                <w:vertAlign w:val="baseline"/>
                <w:lang w:val="en-US" w:eastAsia="zh-CN"/>
              </w:rPr>
            </w:pPr>
          </w:p>
        </w:tc>
      </w:tr>
    </w:tbl>
    <w:p w14:paraId="7650B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56B03C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66BEB57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84" w:name="_Toc16740"/>
      <w:bookmarkStart w:id="85" w:name="_Toc30559"/>
      <w:bookmarkStart w:id="86" w:name="_Toc29837"/>
      <w:r>
        <w:rPr>
          <w:rFonts w:hint="eastAsia" w:ascii="仿宋" w:hAnsi="仿宋" w:eastAsia="仿宋" w:cs="仿宋"/>
          <w:sz w:val="24"/>
          <w:szCs w:val="24"/>
          <w:highlight w:val="none"/>
          <w:lang w:val="en-US" w:eastAsia="zh-CN"/>
        </w:rPr>
        <w:t>2. “偏离情况”列应据实填写“正偏离”或“负偏离”。</w:t>
      </w:r>
      <w:bookmarkEnd w:id="84"/>
      <w:bookmarkEnd w:id="85"/>
      <w:bookmarkEnd w:id="86"/>
    </w:p>
    <w:p w14:paraId="62F770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92BB3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613F4F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w:t>
      </w:r>
      <w:r>
        <w:rPr>
          <w:rFonts w:hint="eastAsia" w:ascii="仿宋" w:hAnsi="仿宋" w:eastAsia="仿宋" w:cs="仿宋"/>
          <w:sz w:val="24"/>
          <w:szCs w:val="24"/>
          <w:highlight w:val="none"/>
          <w:u w:val="single"/>
          <w:lang w:val="en-US" w:eastAsia="zh-CN"/>
        </w:rPr>
        <w:t xml:space="preserve">                 </w:t>
      </w:r>
    </w:p>
    <w:p w14:paraId="368C56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79486A3F">
      <w:pPr>
        <w:pStyle w:val="16"/>
        <w:rPr>
          <w:rFonts w:hint="eastAsia" w:ascii="仿宋" w:hAnsi="仿宋" w:eastAsia="仿宋" w:cs="仿宋"/>
          <w:sz w:val="24"/>
          <w:szCs w:val="24"/>
          <w:highlight w:val="none"/>
          <w:lang w:val="en-US" w:eastAsia="zh-CN"/>
        </w:rPr>
      </w:pPr>
    </w:p>
    <w:p w14:paraId="77E38F4F">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000DA781">
      <w:pPr>
        <w:pStyle w:val="23"/>
        <w:ind w:left="0" w:leftChars="0" w:firstLine="0" w:firstLineChars="0"/>
        <w:outlineLvl w:val="1"/>
        <w:rPr>
          <w:rFonts w:hint="eastAsia" w:ascii="仿宋" w:hAnsi="仿宋" w:eastAsia="仿宋" w:cs="仿宋"/>
          <w:sz w:val="24"/>
          <w:szCs w:val="24"/>
          <w:highlight w:val="none"/>
          <w:lang w:val="en-US" w:eastAsia="zh-CN"/>
        </w:rPr>
      </w:pPr>
      <w:bookmarkStart w:id="87" w:name="_Toc7558"/>
      <w:bookmarkStart w:id="88" w:name="_Toc4890"/>
      <w:bookmarkStart w:id="89" w:name="_Toc12415"/>
      <w:r>
        <w:rPr>
          <w:rFonts w:hint="eastAsia" w:ascii="仿宋" w:hAnsi="仿宋" w:eastAsia="仿宋" w:cs="仿宋"/>
          <w:sz w:val="24"/>
          <w:szCs w:val="24"/>
          <w:highlight w:val="none"/>
          <w:lang w:val="en-US" w:eastAsia="zh-CN"/>
        </w:rPr>
        <w:t>9  采购需求偏离表</w:t>
      </w:r>
      <w:bookmarkEnd w:id="87"/>
      <w:bookmarkEnd w:id="88"/>
      <w:bookmarkEnd w:id="89"/>
    </w:p>
    <w:p w14:paraId="1CABE6FE">
      <w:pPr>
        <w:pStyle w:val="23"/>
        <w:ind w:left="0" w:leftChars="0" w:firstLine="0" w:firstLineChars="0"/>
        <w:rPr>
          <w:rFonts w:hint="eastAsia" w:ascii="仿宋" w:hAnsi="仿宋" w:eastAsia="仿宋" w:cs="仿宋"/>
          <w:sz w:val="24"/>
          <w:szCs w:val="24"/>
          <w:highlight w:val="none"/>
          <w:lang w:val="en-US" w:eastAsia="zh-CN"/>
        </w:rPr>
      </w:pPr>
    </w:p>
    <w:p w14:paraId="09E6D5AF">
      <w:pPr>
        <w:pStyle w:val="23"/>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75714D51">
      <w:pPr>
        <w:pStyle w:val="23"/>
        <w:ind w:left="0" w:leftChars="0" w:firstLine="0" w:firstLineChars="0"/>
        <w:rPr>
          <w:rFonts w:hint="eastAsia" w:ascii="仿宋" w:hAnsi="仿宋" w:eastAsia="仿宋" w:cs="仿宋"/>
          <w:sz w:val="24"/>
          <w:szCs w:val="24"/>
          <w:highlight w:val="none"/>
          <w:lang w:val="en-US" w:eastAsia="zh-CN"/>
        </w:rPr>
      </w:pPr>
    </w:p>
    <w:p w14:paraId="1395DAD0">
      <w:pPr>
        <w:pStyle w:val="23"/>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1"/>
          <w:szCs w:val="21"/>
          <w:highlight w:val="none"/>
          <w:lang w:val="en-US" w:eastAsia="zh-CN"/>
        </w:rPr>
        <w:t>项目编号/包号：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项目名称：</w:t>
      </w:r>
      <w:r>
        <w:rPr>
          <w:rFonts w:hint="eastAsia" w:ascii="仿宋" w:hAnsi="仿宋" w:eastAsia="仿宋" w:cs="仿宋"/>
          <w:sz w:val="21"/>
          <w:szCs w:val="21"/>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0E3D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DEE7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0E6921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529B22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6B204E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4C7810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643E76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0D57F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475C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A7F02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36A4C6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3C9309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E01C7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F9675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2E251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AB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81B2C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3C7DBA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7FF8CC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FE844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C7379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3829C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468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140F9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1DEFE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782B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800C6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EB871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9394B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2DCF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94F9F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92EF7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2476F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6536A1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8CE9C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0AE01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484A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3BF6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1CA455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9E0EA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2A8C41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BE03D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013A2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53A7B64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A1B1B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1.供应商应对采购文件第五章采购需求的内容给予逐条响应，以投标产品和服务所能达到的内容予以填写，有具体参数的应填写具体参数。</w:t>
      </w:r>
    </w:p>
    <w:p w14:paraId="2DC822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在本表中未对采购文件第五章采购需求的内容给予逐条响应的视为没有实质上响应采购文件的要求，响应无效。此表中仅标注“全部满足”、“全部响应”等，无法体现供应商实质性响应或者偏离技术要求的；或无任何文字说明，内容为空白的，其响应无效。</w:t>
      </w:r>
    </w:p>
    <w:p w14:paraId="1C41371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3.供应商应按照采购文件第五章采购需求中要求提供投标产品技术支持资料（或证明材料），并在采购需求响应及偏离表中给予文件名称、所处响应文件页码或位置等必要说明。</w:t>
      </w:r>
    </w:p>
    <w:p w14:paraId="506FD6F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4.“偏离情况”列应据实填写“正偏离”、“负偏离”或“无偏离”。</w:t>
      </w:r>
    </w:p>
    <w:p w14:paraId="3F54AE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p>
    <w:p w14:paraId="785FD8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5D4C2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1E1442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17DA4356">
      <w:pPr>
        <w:spacing w:line="240" w:lineRule="auto"/>
        <w:rPr>
          <w:rFonts w:hint="eastAsia" w:ascii="仿宋" w:hAnsi="仿宋" w:eastAsia="仿宋" w:cs="仿宋"/>
          <w:kern w:val="2"/>
          <w:sz w:val="24"/>
          <w:szCs w:val="24"/>
          <w:highlight w:val="none"/>
          <w:lang w:val="en-US" w:eastAsia="zh-CN" w:bidi="zh-CN"/>
        </w:rPr>
      </w:pPr>
      <w:r>
        <w:rPr>
          <w:rFonts w:hint="eastAsia" w:ascii="仿宋" w:hAnsi="仿宋" w:eastAsia="仿宋" w:cs="仿宋"/>
          <w:sz w:val="21"/>
          <w:highlight w:val="none"/>
          <w:lang w:val="en-US" w:eastAsia="zh-CN"/>
        </w:rPr>
        <w:br w:type="page"/>
      </w:r>
    </w:p>
    <w:p w14:paraId="5F8226AA">
      <w:pPr>
        <w:widowControl w:val="0"/>
        <w:numPr>
          <w:ilvl w:val="0"/>
          <w:numId w:val="0"/>
        </w:numPr>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10、业绩一览表（格式）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5"/>
        <w:gridCol w:w="1414"/>
        <w:gridCol w:w="1062"/>
        <w:gridCol w:w="1062"/>
        <w:gridCol w:w="1062"/>
        <w:gridCol w:w="1063"/>
        <w:gridCol w:w="1063"/>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115"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订货时间</w:t>
            </w:r>
          </w:p>
        </w:tc>
        <w:tc>
          <w:tcPr>
            <w:tcW w:w="1414"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型号（规格）</w:t>
            </w:r>
          </w:p>
        </w:tc>
        <w:tc>
          <w:tcPr>
            <w:tcW w:w="1062" w:type="dxa"/>
            <w:vAlign w:val="center"/>
          </w:tcPr>
          <w:p w14:paraId="627AB2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w:t>
            </w:r>
          </w:p>
        </w:tc>
        <w:tc>
          <w:tcPr>
            <w:tcW w:w="1062" w:type="dxa"/>
            <w:vAlign w:val="center"/>
          </w:tcPr>
          <w:p w14:paraId="2F6D24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062"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063" w:type="dxa"/>
            <w:vAlign w:val="center"/>
          </w:tcPr>
          <w:p w14:paraId="17DD25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w:t>
            </w:r>
          </w:p>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电话</w:t>
            </w:r>
          </w:p>
        </w:tc>
        <w:tc>
          <w:tcPr>
            <w:tcW w:w="1063"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5"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414"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604E46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79D371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5"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414"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43C12B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26D62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5"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414"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22BF51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7692F6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2"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063"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pStyle w:val="16"/>
        <w:rPr>
          <w:rFonts w:hint="eastAsia" w:ascii="仿宋" w:hAnsi="仿宋" w:eastAsia="仿宋" w:cs="仿宋"/>
          <w:highlight w:val="none"/>
          <w:lang w:val="en-US" w:eastAsia="zh-CN"/>
        </w:rPr>
      </w:pPr>
    </w:p>
    <w:p w14:paraId="4B7DBE15">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7746A76">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11、采购文件要求提供或供应商认为应附的其他材料</w:t>
      </w:r>
    </w:p>
    <w:p w14:paraId="74EC9DAD">
      <w:pPr>
        <w:pStyle w:val="23"/>
        <w:rPr>
          <w:rFonts w:hint="eastAsia" w:ascii="仿宋" w:hAnsi="仿宋" w:eastAsia="仿宋" w:cs="仿宋"/>
          <w:highlight w:val="none"/>
          <w:lang w:val="en-US" w:eastAsia="zh-CN"/>
        </w:rPr>
      </w:pPr>
    </w:p>
    <w:p w14:paraId="4902779E">
      <w:pPr>
        <w:spacing w:line="240" w:lineRule="auto"/>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90" w:name="_Toc522"/>
      <w:r>
        <w:rPr>
          <w:rFonts w:hint="eastAsia" w:ascii="仿宋" w:hAnsi="仿宋" w:eastAsia="仿宋" w:cs="仿宋"/>
          <w:b/>
          <w:bCs/>
          <w:kern w:val="2"/>
          <w:sz w:val="24"/>
          <w:szCs w:val="32"/>
          <w:highlight w:val="none"/>
          <w:lang w:val="en-US" w:eastAsia="zh-CN" w:bidi="ar-SA"/>
        </w:rPr>
        <w:t>13   中标服务费承诺书</w:t>
      </w:r>
      <w:bookmarkEnd w:id="90"/>
    </w:p>
    <w:p w14:paraId="4E67CB56">
      <w:pPr>
        <w:spacing w:line="240" w:lineRule="atLeast"/>
        <w:ind w:left="1157" w:leftChars="257" w:hanging="540"/>
        <w:rPr>
          <w:rFonts w:hint="eastAsia" w:ascii="仿宋" w:hAnsi="仿宋" w:eastAsia="仿宋" w:cs="仿宋"/>
          <w:b/>
          <w:sz w:val="24"/>
          <w:highlight w:val="none"/>
        </w:rPr>
      </w:pPr>
    </w:p>
    <w:p w14:paraId="51D19976">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157"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157" w:leftChars="257" w:hanging="540"/>
        <w:rPr>
          <w:rFonts w:hint="eastAsia" w:ascii="仿宋" w:hAnsi="仿宋" w:eastAsia="仿宋" w:cs="仿宋"/>
          <w:sz w:val="24"/>
          <w:highlight w:val="none"/>
        </w:rPr>
      </w:pPr>
    </w:p>
    <w:p w14:paraId="58630916">
      <w:pPr>
        <w:spacing w:line="440" w:lineRule="exact"/>
        <w:ind w:left="1157" w:leftChars="257" w:hanging="540"/>
        <w:rPr>
          <w:rFonts w:hint="eastAsia" w:ascii="仿宋" w:hAnsi="仿宋" w:eastAsia="仿宋" w:cs="仿宋"/>
          <w:sz w:val="24"/>
          <w:highlight w:val="none"/>
        </w:rPr>
      </w:pPr>
    </w:p>
    <w:p w14:paraId="436BA01B">
      <w:pPr>
        <w:spacing w:line="440" w:lineRule="exact"/>
        <w:ind w:left="1157" w:leftChars="257" w:hanging="540"/>
        <w:rPr>
          <w:rFonts w:hint="eastAsia" w:ascii="仿宋" w:hAnsi="仿宋" w:eastAsia="仿宋" w:cs="仿宋"/>
          <w:sz w:val="24"/>
          <w:highlight w:val="none"/>
        </w:rPr>
      </w:pPr>
    </w:p>
    <w:p w14:paraId="574B7AFD">
      <w:pPr>
        <w:spacing w:line="440" w:lineRule="exact"/>
        <w:ind w:left="1157"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0F5F0768">
      <w:pPr>
        <w:spacing w:line="240" w:lineRule="auto"/>
        <w:rPr>
          <w:rFonts w:hint="eastAsia" w:ascii="仿宋" w:hAnsi="仿宋" w:eastAsia="仿宋" w:cs="仿宋"/>
          <w:b w:val="0"/>
          <w:bCs w:val="0"/>
          <w:color w:val="000000"/>
          <w:kern w:val="0"/>
          <w:sz w:val="24"/>
          <w:szCs w:val="24"/>
          <w:highlight w:val="none"/>
          <w:lang w:val="en-US" w:eastAsia="zh-CN" w:bidi="ar"/>
        </w:rPr>
      </w:pPr>
    </w:p>
    <w:p w14:paraId="7A789FBE">
      <w:pPr>
        <w:pStyle w:val="23"/>
        <w:ind w:left="0" w:leftChars="0" w:firstLine="0" w:firstLineChars="0"/>
        <w:rPr>
          <w:rFonts w:hint="eastAsia" w:ascii="仿宋" w:hAnsi="仿宋" w:eastAsia="仿宋" w:cs="仿宋"/>
          <w:highlight w:val="none"/>
          <w:lang w:val="en-US" w:eastAsia="zh-CN"/>
        </w:rPr>
      </w:pPr>
    </w:p>
    <w:p w14:paraId="54E50149">
      <w:pPr>
        <w:spacing w:line="240" w:lineRule="auto"/>
        <w:rPr>
          <w:rFonts w:hint="eastAsia" w:ascii="仿宋" w:hAnsi="仿宋" w:eastAsia="仿宋" w:cs="仿宋"/>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96A536-CEA7-4B03-A444-2859E6B57F7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B57BC97-8090-4B26-B986-9AFD0A24DD0D}"/>
  </w:font>
  <w:font w:name="微软雅黑">
    <w:panose1 w:val="020B0503020204020204"/>
    <w:charset w:val="86"/>
    <w:family w:val="auto"/>
    <w:pitch w:val="default"/>
    <w:sig w:usb0="80000287" w:usb1="2ACF3C50" w:usb2="00000016" w:usb3="00000000" w:csb0="0004001F" w:csb1="00000000"/>
    <w:embedRegular r:id="rId3" w:fontKey="{E76717D0-EE8F-4C3A-B330-96A4D059ADE9}"/>
  </w:font>
  <w:font w:name="方正黑体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4" w:fontKey="{1A5A195D-39EA-4AFF-BE70-078E2981751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75BE">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166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16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FEA7D">
                          <w:pPr>
                            <w:pStyle w:val="2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5.8pt;mso-position-horizontal:center;mso-position-horizontal-relative:margin;z-index:251659264;mso-width-relative:page;mso-height-relative:page;" filled="f" stroked="f" coordsize="21600,21600" o:gfxdata="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goOJfTAAAABAEAAA8AAAAAAAAAAQAgAAAAIgAAAGRycy9kb3ducmV2Lnht&#10;bFBLAQIUABQAAAAIAIdO4kA1aFsKNwIAAGIEAAAOAAAAAAAAAAEAIAAAACIBAABkcnMvZTJvRG9j&#10;LnhtbFBLBQYAAAAABgAGAFkBAADLBQAAAAA=&#10;">
              <v:fill on="f" focussize="0,0"/>
              <v:stroke on="f" weight="0.5pt"/>
              <v:imagedata o:title=""/>
              <o:lock v:ext="edit" aspectratio="f"/>
              <v:textbox inset="0mm,0mm,0mm,0mm" style="mso-fit-shape-to-text:t;">
                <w:txbxContent>
                  <w:p w14:paraId="4DEFEA7D">
                    <w:pPr>
                      <w:pStyle w:val="2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1D0AF">
    <w:pPr>
      <w:widowControl w:val="0"/>
      <w:pBdr>
        <w:top w:val="none" w:color="auto" w:sz="0" w:space="1"/>
        <w:left w:val="none" w:color="auto" w:sz="0" w:space="4"/>
        <w:bottom w:val="none" w:color="auto" w:sz="0" w:space="1"/>
        <w:right w:val="none" w:color="auto" w:sz="0" w:space="4"/>
      </w:pBdr>
      <w:bidi w:val="0"/>
      <w:snapToGrid w:val="0"/>
      <w:spacing w:line="240" w:lineRule="auto"/>
      <w:ind w:firstLine="840" w:firstLineChars="300"/>
      <w:jc w:val="both"/>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8"/>
        <w:szCs w:val="28"/>
        <w:lang w:val="en-US" w:eastAsia="zh-CN" w:bidi="ar-SA"/>
      </w:rPr>
      <w:drawing>
        <wp:anchor distT="0" distB="0" distL="114300" distR="114300" simplePos="0" relativeHeight="251660288" behindDoc="1" locked="0" layoutInCell="1" allowOverlap="1">
          <wp:simplePos x="0" y="0"/>
          <wp:positionH relativeFrom="column">
            <wp:posOffset>14605</wp:posOffset>
          </wp:positionH>
          <wp:positionV relativeFrom="paragraph">
            <wp:posOffset>-6985</wp:posOffset>
          </wp:positionV>
          <wp:extent cx="427355" cy="413385"/>
          <wp:effectExtent l="0" t="0" r="10795" b="5715"/>
          <wp:wrapTight wrapText="bothSides">
            <wp:wrapPolygon>
              <wp:start x="0" y="0"/>
              <wp:lineTo x="0" y="20903"/>
              <wp:lineTo x="20894" y="20903"/>
              <wp:lineTo x="20894" y="0"/>
              <wp:lineTo x="0" y="0"/>
            </wp:wrapPolygon>
          </wp:wrapTight>
          <wp:docPr id="3" name="图片 3"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 w:hAnsi="仿宋" w:eastAsia="仿宋" w:cs="仿宋"/>
        <w:kern w:val="2"/>
        <w:sz w:val="28"/>
        <w:szCs w:val="28"/>
        <w:lang w:val="en-US" w:eastAsia="zh-CN" w:bidi="ar-SA"/>
      </w:rPr>
      <w:t>新疆世纪星工程咨询有限公司</w:t>
    </w: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21"/>
        <w:szCs w:val="21"/>
        <w:lang w:val="en-US" w:eastAsia="zh-CN" w:bidi="ar-SA"/>
      </w:rPr>
      <w:t>新疆乌鲁木齐市黄山街德港大厦20层</w:t>
    </w:r>
  </w:p>
  <w:p w14:paraId="35E4A2D8">
    <w:pPr>
      <w:widowControl w:val="0"/>
      <w:pBdr>
        <w:top w:val="none" w:color="auto" w:sz="0" w:space="1"/>
        <w:left w:val="none" w:color="auto" w:sz="0" w:space="4"/>
        <w:bottom w:val="single" w:color="auto" w:sz="4" w:space="1"/>
        <w:right w:val="none" w:color="auto" w:sz="0" w:space="4"/>
      </w:pBdr>
      <w:bidi w:val="0"/>
      <w:snapToGrid w:val="0"/>
      <w:spacing w:line="240" w:lineRule="auto"/>
      <w:ind w:firstLine="910" w:firstLineChars="700"/>
      <w:jc w:val="both"/>
      <w:outlineLvl w:val="9"/>
      <w:rPr>
        <w:rFonts w:hint="eastAsia" w:ascii="仿宋" w:hAnsi="仿宋" w:eastAsia="仿宋" w:cs="仿宋"/>
        <w:kern w:val="2"/>
        <w:sz w:val="15"/>
        <w:szCs w:val="15"/>
        <w:lang w:val="en-US" w:eastAsia="zh-CN" w:bidi="ar-SA"/>
      </w:rPr>
    </w:pPr>
    <w:r>
      <w:rPr>
        <w:rFonts w:hint="eastAsia" w:ascii="仿宋" w:hAnsi="仿宋" w:eastAsia="仿宋" w:cs="仿宋"/>
        <w:kern w:val="2"/>
        <w:sz w:val="13"/>
        <w:szCs w:val="13"/>
        <w:lang w:val="en-US" w:eastAsia="zh-CN" w:bidi="ar-SA"/>
      </w:rPr>
      <w:t xml:space="preserve">Xinjiang Century Star Engineering Consulting Co., Ltd.          </w:t>
    </w:r>
    <w:r>
      <w:rPr>
        <w:rFonts w:hint="eastAsia" w:ascii="仿宋" w:hAnsi="仿宋" w:eastAsia="仿宋" w:cs="仿宋"/>
        <w:kern w:val="2"/>
        <w:sz w:val="16"/>
        <w:szCs w:val="16"/>
        <w:lang w:val="en-US" w:eastAsia="zh-CN" w:bidi="ar-SA"/>
      </w:rPr>
      <w:t>TEL：0991-3678303</w:t>
    </w:r>
  </w:p>
  <w:p w14:paraId="5D501A4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2028C"/>
    <w:multiLevelType w:val="multilevel"/>
    <w:tmpl w:val="9542028C"/>
    <w:lvl w:ilvl="0" w:tentative="0">
      <w:start w:val="1"/>
      <w:numFmt w:val="decimal"/>
      <w:suff w:val="space"/>
      <w:lvlText w:val="%1."/>
      <w:lvlJc w:val="left"/>
      <w:rPr>
        <w:rFonts w:hint="default" w:ascii="仿宋" w:hAnsi="仿宋" w:eastAsia="仿宋" w:cs="仿宋"/>
      </w:rPr>
    </w:lvl>
    <w:lvl w:ilvl="1" w:tentative="0">
      <w:start w:val="1"/>
      <w:numFmt w:val="decimal"/>
      <w:suff w:val="space"/>
      <w:lvlText w:val="%1.%2"/>
      <w:lvlJc w:val="left"/>
      <w:pPr>
        <w:ind w:left="0" w:leftChars="0" w:firstLine="0" w:firstLineChars="0"/>
      </w:pPr>
      <w:rPr>
        <w:rFonts w:hint="default" w:ascii="仿宋" w:hAnsi="仿宋" w:eastAsia="仿宋" w:cs="仿宋"/>
        <w:sz w:val="24"/>
        <w:szCs w:val="24"/>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54B0E084"/>
    <w:multiLevelType w:val="singleLevel"/>
    <w:tmpl w:val="54B0E084"/>
    <w:lvl w:ilvl="0" w:tentative="0">
      <w:start w:val="2"/>
      <w:numFmt w:val="chineseCounting"/>
      <w:suff w:val="space"/>
      <w:lvlText w:val="第%1章"/>
      <w:lvlJc w:val="left"/>
      <w:rPr>
        <w:rFonts w:hint="eastAsia"/>
        <w:sz w:val="32"/>
        <w:szCs w:val="32"/>
      </w:r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3E6972B"/>
    <w:multiLevelType w:val="singleLevel"/>
    <w:tmpl w:val="73E6972B"/>
    <w:lvl w:ilvl="0" w:tentative="0">
      <w:start w:val="1"/>
      <w:numFmt w:val="chineseCounting"/>
      <w:suff w:val="space"/>
      <w:lvlText w:val="%1、"/>
      <w:lvlJc w:val="left"/>
      <w:rPr>
        <w:rFonts w:hint="eastAsia"/>
      </w:rPr>
    </w:lvl>
  </w:abstractNum>
  <w:abstractNum w:abstractNumId="15">
    <w:nsid w:val="7633D9B6"/>
    <w:multiLevelType w:val="singleLevel"/>
    <w:tmpl w:val="7633D9B6"/>
    <w:lvl w:ilvl="0" w:tentative="0">
      <w:start w:val="3"/>
      <w:numFmt w:val="chineseCounting"/>
      <w:suff w:val="space"/>
      <w:lvlText w:val="第%1章"/>
      <w:lvlJc w:val="left"/>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abstractNum w:abstractNumId="17">
    <w:nsid w:val="7A0F6431"/>
    <w:multiLevelType w:val="singleLevel"/>
    <w:tmpl w:val="7A0F6431"/>
    <w:lvl w:ilvl="0" w:tentative="0">
      <w:start w:val="1"/>
      <w:numFmt w:val="decimal"/>
      <w:suff w:val="space"/>
      <w:lvlText w:val="%1."/>
      <w:lvlJc w:val="left"/>
    </w:lvl>
  </w:abstractNum>
  <w:num w:numId="1">
    <w:abstractNumId w:val="1"/>
  </w:num>
  <w:num w:numId="2">
    <w:abstractNumId w:val="14"/>
  </w:num>
  <w:num w:numId="3">
    <w:abstractNumId w:val="11"/>
  </w:num>
  <w:num w:numId="4">
    <w:abstractNumId w:val="15"/>
  </w:num>
  <w:num w:numId="5">
    <w:abstractNumId w:val="16"/>
  </w:num>
  <w:num w:numId="6">
    <w:abstractNumId w:val="13"/>
  </w:num>
  <w:num w:numId="7">
    <w:abstractNumId w:val="10"/>
  </w:num>
  <w:num w:numId="8">
    <w:abstractNumId w:val="3"/>
  </w:num>
  <w:num w:numId="9">
    <w:abstractNumId w:val="12"/>
  </w:num>
  <w:num w:numId="10">
    <w:abstractNumId w:val="9"/>
  </w:num>
  <w:num w:numId="11">
    <w:abstractNumId w:val="17"/>
  </w:num>
  <w:num w:numId="12">
    <w:abstractNumId w:val="4"/>
  </w:num>
  <w:num w:numId="13">
    <w:abstractNumId w:val="8"/>
  </w:num>
  <w:num w:numId="14">
    <w:abstractNumId w:val="6"/>
  </w:num>
  <w:num w:numId="15">
    <w:abstractNumId w:val="5"/>
  </w:num>
  <w:num w:numId="16">
    <w:abstractNumId w:val="2"/>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OWU4Y2M4YzYxYjVjNTg1ZmZjZjViM2QwZmVlMjgifQ=="/>
  </w:docVars>
  <w:rsids>
    <w:rsidRoot w:val="1AA24D9F"/>
    <w:rsid w:val="01260E98"/>
    <w:rsid w:val="01A56261"/>
    <w:rsid w:val="046049D3"/>
    <w:rsid w:val="046C12B8"/>
    <w:rsid w:val="05DB4947"/>
    <w:rsid w:val="07011CC2"/>
    <w:rsid w:val="07644792"/>
    <w:rsid w:val="078F47DD"/>
    <w:rsid w:val="07E02D3C"/>
    <w:rsid w:val="09284798"/>
    <w:rsid w:val="0A7D7D7B"/>
    <w:rsid w:val="0AA277E2"/>
    <w:rsid w:val="0C006EB6"/>
    <w:rsid w:val="0C0A1EA4"/>
    <w:rsid w:val="0CA02447"/>
    <w:rsid w:val="0E1158A2"/>
    <w:rsid w:val="0F11369E"/>
    <w:rsid w:val="0F1E1598"/>
    <w:rsid w:val="0F2B6FD9"/>
    <w:rsid w:val="0FA1275E"/>
    <w:rsid w:val="10160EE0"/>
    <w:rsid w:val="10B35B77"/>
    <w:rsid w:val="110411F6"/>
    <w:rsid w:val="119A02EF"/>
    <w:rsid w:val="12A543B7"/>
    <w:rsid w:val="137155C7"/>
    <w:rsid w:val="183C240D"/>
    <w:rsid w:val="1AA24D9F"/>
    <w:rsid w:val="1B666609"/>
    <w:rsid w:val="1BE063BC"/>
    <w:rsid w:val="1C136791"/>
    <w:rsid w:val="1C6E39C8"/>
    <w:rsid w:val="1CA43482"/>
    <w:rsid w:val="1E147935"/>
    <w:rsid w:val="1F1D16D5"/>
    <w:rsid w:val="1FB3368F"/>
    <w:rsid w:val="218F3F36"/>
    <w:rsid w:val="22F10EAE"/>
    <w:rsid w:val="242B6638"/>
    <w:rsid w:val="24EC4023"/>
    <w:rsid w:val="260E7FC9"/>
    <w:rsid w:val="267267AA"/>
    <w:rsid w:val="28DA2E89"/>
    <w:rsid w:val="29447120"/>
    <w:rsid w:val="29781250"/>
    <w:rsid w:val="2A4254F9"/>
    <w:rsid w:val="2B39080C"/>
    <w:rsid w:val="2C163734"/>
    <w:rsid w:val="2D1F32F4"/>
    <w:rsid w:val="2D4654A3"/>
    <w:rsid w:val="2D677A87"/>
    <w:rsid w:val="2E49395F"/>
    <w:rsid w:val="2F416D1A"/>
    <w:rsid w:val="314B3E80"/>
    <w:rsid w:val="31DE38B7"/>
    <w:rsid w:val="31E16592"/>
    <w:rsid w:val="323B4D81"/>
    <w:rsid w:val="32CA434B"/>
    <w:rsid w:val="345179FF"/>
    <w:rsid w:val="34B70380"/>
    <w:rsid w:val="356B689E"/>
    <w:rsid w:val="38F64BEB"/>
    <w:rsid w:val="394D3259"/>
    <w:rsid w:val="3A1E75BC"/>
    <w:rsid w:val="3AE174A3"/>
    <w:rsid w:val="3AFE771F"/>
    <w:rsid w:val="3C666012"/>
    <w:rsid w:val="407D798C"/>
    <w:rsid w:val="43446334"/>
    <w:rsid w:val="443864E5"/>
    <w:rsid w:val="44A84E71"/>
    <w:rsid w:val="46D5626E"/>
    <w:rsid w:val="471E7C15"/>
    <w:rsid w:val="471F3F7A"/>
    <w:rsid w:val="4773380C"/>
    <w:rsid w:val="477DCE1E"/>
    <w:rsid w:val="49627B61"/>
    <w:rsid w:val="4AD351BA"/>
    <w:rsid w:val="4B4E2A92"/>
    <w:rsid w:val="4D2E2B7B"/>
    <w:rsid w:val="4D41762E"/>
    <w:rsid w:val="4E7736AC"/>
    <w:rsid w:val="4F8B6063"/>
    <w:rsid w:val="4F8C5937"/>
    <w:rsid w:val="536B3DC3"/>
    <w:rsid w:val="53F341D7"/>
    <w:rsid w:val="54BE31C5"/>
    <w:rsid w:val="55FF3307"/>
    <w:rsid w:val="56737851"/>
    <w:rsid w:val="573E1E21"/>
    <w:rsid w:val="57792C45"/>
    <w:rsid w:val="5858416E"/>
    <w:rsid w:val="58E12FEA"/>
    <w:rsid w:val="59975042"/>
    <w:rsid w:val="5AE41C62"/>
    <w:rsid w:val="5AF52032"/>
    <w:rsid w:val="5AF64D7D"/>
    <w:rsid w:val="5B487E91"/>
    <w:rsid w:val="5BE10DB9"/>
    <w:rsid w:val="5CF9550F"/>
    <w:rsid w:val="5DC0337C"/>
    <w:rsid w:val="5EFEBDE8"/>
    <w:rsid w:val="61706241"/>
    <w:rsid w:val="62D22B7B"/>
    <w:rsid w:val="64C64FF0"/>
    <w:rsid w:val="68556DB7"/>
    <w:rsid w:val="68CA2609"/>
    <w:rsid w:val="68CC1AED"/>
    <w:rsid w:val="696D7362"/>
    <w:rsid w:val="69BB0F42"/>
    <w:rsid w:val="6A637494"/>
    <w:rsid w:val="6ADD46D5"/>
    <w:rsid w:val="6BCF62E6"/>
    <w:rsid w:val="6BE97F42"/>
    <w:rsid w:val="6CD3A16D"/>
    <w:rsid w:val="6D417657"/>
    <w:rsid w:val="6D535020"/>
    <w:rsid w:val="6E5F49A6"/>
    <w:rsid w:val="6FFF37D2"/>
    <w:rsid w:val="70DE2EF1"/>
    <w:rsid w:val="733A5527"/>
    <w:rsid w:val="73691968"/>
    <w:rsid w:val="74626AE3"/>
    <w:rsid w:val="777C7EBC"/>
    <w:rsid w:val="779C055E"/>
    <w:rsid w:val="77B05DB7"/>
    <w:rsid w:val="7C5F4108"/>
    <w:rsid w:val="7F79C282"/>
    <w:rsid w:val="7F7B6CAE"/>
    <w:rsid w:val="7FBF6DD0"/>
    <w:rsid w:val="7FCD17FE"/>
    <w:rsid w:val="7FD7E9A0"/>
    <w:rsid w:val="7FE9630A"/>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jc w:val="both"/>
    </w:pPr>
    <w:rPr>
      <w:rFonts w:ascii="Arial" w:hAnsi="Arial"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jc w:val="center"/>
      <w:outlineLvl w:val="0"/>
    </w:pPr>
    <w:rPr>
      <w:b/>
      <w:kern w:val="44"/>
      <w:sz w:val="32"/>
    </w:rPr>
  </w:style>
  <w:style w:type="paragraph" w:styleId="3">
    <w:name w:val="heading 2"/>
    <w:basedOn w:val="4"/>
    <w:next w:val="1"/>
    <w:autoRedefine/>
    <w:semiHidden/>
    <w:unhideWhenUsed/>
    <w:qFormat/>
    <w:uiPriority w:val="0"/>
    <w:pPr>
      <w:keepNext/>
      <w:keepLines/>
      <w:tabs>
        <w:tab w:val="left" w:pos="1152"/>
      </w:tabs>
      <w:spacing w:before="260" w:beforeLines="0" w:beforeAutospacing="0" w:after="200" w:afterLines="0" w:afterAutospacing="0" w:line="240" w:lineRule="auto"/>
      <w:jc w:val="center"/>
      <w:outlineLvl w:val="1"/>
    </w:pPr>
    <w:rPr>
      <w:sz w:val="24"/>
    </w:rPr>
  </w:style>
  <w:style w:type="paragraph" w:styleId="6">
    <w:name w:val="heading 3"/>
    <w:basedOn w:val="1"/>
    <w:next w:val="1"/>
    <w:autoRedefine/>
    <w:semiHidden/>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semiHidden/>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semiHidden/>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semiHidden/>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semiHidden/>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semiHidden/>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9">
    <w:name w:val="Default Paragraph Font"/>
    <w:autoRedefine/>
    <w:semiHidden/>
    <w:qFormat/>
    <w:uiPriority w:val="0"/>
    <w:rPr>
      <w:rFonts w:eastAsia="微软雅黑" w:asciiTheme="minorAscii" w:hAnsiTheme="minorAscii"/>
    </w:rPr>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4">
    <w:name w:val="标题 55"/>
    <w:basedOn w:val="5"/>
    <w:qFormat/>
    <w:uiPriority w:val="0"/>
    <w:pPr>
      <w:tabs>
        <w:tab w:val="left" w:pos="1152"/>
      </w:tabs>
    </w:pPr>
    <w:rPr>
      <w:rFonts w:ascii="方正黑体简体" w:eastAsia="方正黑体简体"/>
    </w:rPr>
  </w:style>
  <w:style w:type="paragraph" w:styleId="12">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13">
    <w:name w:val="Body Text Indent"/>
    <w:basedOn w:val="14"/>
    <w:next w:val="16"/>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customStyle="1" w:styleId="14">
    <w:name w:val="正文文本11"/>
    <w:basedOn w:val="15"/>
    <w:unhideWhenUsed/>
    <w:qFormat/>
    <w:uiPriority w:val="0"/>
    <w:rPr>
      <w:rFonts w:ascii="Arial" w:hAnsi="Arial"/>
      <w:sz w:val="24"/>
    </w:rPr>
  </w:style>
  <w:style w:type="paragraph" w:customStyle="1" w:styleId="15">
    <w:name w:val="正文112"/>
    <w:next w:val="13"/>
    <w:qFormat/>
    <w:uiPriority w:val="0"/>
    <w:pPr>
      <w:widowControl w:val="0"/>
      <w:jc w:val="both"/>
    </w:pPr>
    <w:rPr>
      <w:rFonts w:ascii="Calibri" w:hAnsi="Calibri" w:eastAsia="宋体" w:cs="Times New Roman"/>
      <w:sz w:val="21"/>
      <w:szCs w:val="22"/>
      <w:lang w:val="en-US" w:eastAsia="zh-CN" w:bidi="ar-SA"/>
    </w:rPr>
  </w:style>
  <w:style w:type="paragraph" w:styleId="16">
    <w:name w:val="Body Text First Indent 2"/>
    <w:basedOn w:val="13"/>
    <w:autoRedefine/>
    <w:qFormat/>
    <w:uiPriority w:val="0"/>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paragraph" w:styleId="17">
    <w:name w:val="Plain Text"/>
    <w:basedOn w:val="18"/>
    <w:qFormat/>
    <w:uiPriority w:val="0"/>
    <w:rPr>
      <w:rFonts w:ascii="宋体" w:hAnsi="Courier New"/>
    </w:rPr>
  </w:style>
  <w:style w:type="paragraph" w:customStyle="1" w:styleId="18">
    <w:name w:val="正文1"/>
    <w:basedOn w:val="1"/>
    <w:next w:val="19"/>
    <w:qFormat/>
    <w:uiPriority w:val="0"/>
    <w:pPr>
      <w:spacing w:line="312" w:lineRule="auto"/>
      <w:ind w:firstLine="480" w:firstLineChars="200"/>
    </w:pPr>
    <w:rPr>
      <w:rFonts w:ascii="宋体" w:hAnsi="宋体"/>
      <w:color w:val="000000"/>
      <w:kern w:val="0"/>
      <w:sz w:val="24"/>
      <w:szCs w:val="24"/>
    </w:rPr>
  </w:style>
  <w:style w:type="paragraph" w:customStyle="1" w:styleId="19">
    <w:name w:val="正文文本1"/>
    <w:basedOn w:val="1"/>
    <w:qFormat/>
    <w:uiPriority w:val="0"/>
    <w:pPr>
      <w:autoSpaceDE w:val="0"/>
      <w:autoSpaceDN w:val="0"/>
      <w:jc w:val="left"/>
    </w:pPr>
    <w:rPr>
      <w:rFonts w:hint="eastAsia" w:ascii="宋体"/>
      <w:kern w:val="0"/>
      <w:sz w:val="28"/>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autoRedefine/>
    <w:qFormat/>
    <w:uiPriority w:val="0"/>
  </w:style>
  <w:style w:type="paragraph" w:styleId="23">
    <w:name w:val="toc 6"/>
    <w:next w:val="1"/>
    <w:autoRedefine/>
    <w:qFormat/>
    <w:uiPriority w:val="0"/>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4">
    <w:name w:val="toc 2"/>
    <w:basedOn w:val="1"/>
    <w:next w:val="1"/>
    <w:autoRedefine/>
    <w:qFormat/>
    <w:uiPriority w:val="0"/>
    <w:pPr>
      <w:ind w:left="420" w:leftChars="200"/>
    </w:pPr>
  </w:style>
  <w:style w:type="paragraph" w:styleId="25">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6">
    <w:name w:val="Body Text First Indent"/>
    <w:next w:val="23"/>
    <w:autoRedefine/>
    <w:qFormat/>
    <w:uiPriority w:val="0"/>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table" w:styleId="28">
    <w:name w:val="Table Grid"/>
    <w:basedOn w:val="27"/>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rPr>
  </w:style>
  <w:style w:type="character" w:styleId="31">
    <w:name w:val="Emphasis"/>
    <w:qFormat/>
    <w:uiPriority w:val="0"/>
    <w:rPr>
      <w:i/>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商务求职简历2"/>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1457</Words>
  <Characters>1783</Characters>
  <Lines>0</Lines>
  <Paragraphs>0</Paragraphs>
  <TotalTime>1</TotalTime>
  <ScaleCrop>false</ScaleCrop>
  <LinksUpToDate>false</LinksUpToDate>
  <CharactersWithSpaces>1918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李春雪</cp:lastModifiedBy>
  <dcterms:modified xsi:type="dcterms:W3CDTF">2026-04-17T05:36:16Z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BF677158A2334D8BA3D52A00C4960EEA_13</vt:lpwstr>
  </property>
  <property fmtid="{D5CDD505-2E9C-101B-9397-08002B2CF9AE}" pid="6" name="KSOTemplateDocerSaveRecord">
    <vt:lpwstr>eyJoZGlkIjoiMjhjYmY3NTM3NmQzODU0MmRhODk2Njk1YjhkNWRmZDAiLCJ1c2VySWQiOiIxNDU3NjQ1NjQ3In0=</vt:lpwstr>
  </property>
</Properties>
</file>