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56577">
      <w:pPr>
        <w:pStyle w:val="3"/>
        <w:spacing w:line="305" w:lineRule="auto"/>
        <w:jc w:val="center"/>
        <w:rPr>
          <w:rFonts w:hint="eastAsia"/>
          <w:b/>
          <w:bCs/>
          <w:color w:val="auto"/>
          <w:sz w:val="48"/>
          <w:szCs w:val="48"/>
          <w:highlight w:val="none"/>
          <w:lang w:eastAsia="zh-CN"/>
        </w:rPr>
      </w:pPr>
    </w:p>
    <w:p w14:paraId="0E38E8B2">
      <w:pPr>
        <w:pStyle w:val="3"/>
        <w:spacing w:line="305" w:lineRule="auto"/>
        <w:jc w:val="center"/>
        <w:rPr>
          <w:b/>
          <w:bCs/>
          <w:color w:val="auto"/>
          <w:sz w:val="48"/>
          <w:szCs w:val="48"/>
          <w:highlight w:val="none"/>
        </w:rPr>
      </w:pPr>
      <w:r>
        <w:rPr>
          <w:rFonts w:hint="eastAsia"/>
          <w:b/>
          <w:bCs/>
          <w:color w:val="auto"/>
          <w:sz w:val="48"/>
          <w:szCs w:val="48"/>
          <w:highlight w:val="none"/>
          <w:lang w:eastAsia="zh-CN"/>
        </w:rPr>
        <w:t>乌什县阿合雅镇托万克阿合亚（15）村2026年防渗渠以工代赈防渗渠建设项目</w:t>
      </w:r>
    </w:p>
    <w:p w14:paraId="652AE2A2">
      <w:pPr>
        <w:pStyle w:val="3"/>
        <w:spacing w:line="305" w:lineRule="auto"/>
        <w:rPr>
          <w:color w:val="auto"/>
          <w:highlight w:val="none"/>
        </w:rPr>
      </w:pPr>
    </w:p>
    <w:p w14:paraId="7F7CA2C7">
      <w:pPr>
        <w:spacing w:before="98" w:line="221" w:lineRule="auto"/>
        <w:ind w:left="2310"/>
        <w:rPr>
          <w:rFonts w:ascii="黑体" w:hAnsi="黑体" w:eastAsia="黑体" w:cs="黑体"/>
          <w:color w:val="auto"/>
          <w:sz w:val="30"/>
          <w:szCs w:val="30"/>
          <w:highlight w:val="none"/>
        </w:rPr>
      </w:pPr>
      <w:r>
        <w:rPr>
          <w:rFonts w:ascii="黑体" w:hAnsi="黑体" w:eastAsia="黑体" w:cs="黑体"/>
          <w:color w:val="auto"/>
          <w:spacing w:val="7"/>
          <w:sz w:val="30"/>
          <w:szCs w:val="30"/>
          <w:highlight w:val="none"/>
        </w:rPr>
        <w:t>项目编号</w:t>
      </w:r>
      <w:r>
        <w:rPr>
          <w:rFonts w:ascii="黑体" w:hAnsi="黑体" w:eastAsia="黑体" w:cs="黑体"/>
          <w:color w:val="auto"/>
          <w:spacing w:val="-76"/>
          <w:sz w:val="30"/>
          <w:szCs w:val="30"/>
          <w:highlight w:val="none"/>
        </w:rPr>
        <w:t xml:space="preserve"> </w:t>
      </w:r>
      <w:r>
        <w:rPr>
          <w:rFonts w:ascii="黑体" w:hAnsi="黑体" w:eastAsia="黑体" w:cs="黑体"/>
          <w:color w:val="auto"/>
          <w:spacing w:val="7"/>
          <w:sz w:val="30"/>
          <w:szCs w:val="30"/>
          <w:highlight w:val="none"/>
        </w:rPr>
        <w:t>：</w:t>
      </w:r>
      <w:r>
        <w:rPr>
          <w:rFonts w:hint="eastAsia" w:ascii="黑体" w:hAnsi="黑体" w:eastAsia="黑体" w:cs="黑体"/>
          <w:color w:val="auto"/>
          <w:spacing w:val="7"/>
          <w:sz w:val="30"/>
          <w:szCs w:val="30"/>
          <w:highlight w:val="none"/>
          <w:lang w:eastAsia="zh-CN"/>
        </w:rPr>
        <w:t>WSX[2026]-087</w:t>
      </w:r>
    </w:p>
    <w:p w14:paraId="79F33237">
      <w:pPr>
        <w:pStyle w:val="3"/>
        <w:spacing w:line="245" w:lineRule="auto"/>
        <w:rPr>
          <w:color w:val="auto"/>
          <w:highlight w:val="none"/>
        </w:rPr>
      </w:pPr>
    </w:p>
    <w:p w14:paraId="438C9DDA">
      <w:pPr>
        <w:pStyle w:val="3"/>
        <w:spacing w:line="245" w:lineRule="auto"/>
        <w:rPr>
          <w:color w:val="auto"/>
          <w:highlight w:val="none"/>
        </w:rPr>
      </w:pPr>
    </w:p>
    <w:p w14:paraId="49D75172">
      <w:pPr>
        <w:pStyle w:val="3"/>
        <w:spacing w:line="245" w:lineRule="auto"/>
        <w:rPr>
          <w:color w:val="auto"/>
          <w:highlight w:val="none"/>
        </w:rPr>
      </w:pPr>
    </w:p>
    <w:p w14:paraId="0934B9FF">
      <w:pPr>
        <w:pStyle w:val="3"/>
        <w:spacing w:line="245" w:lineRule="auto"/>
        <w:rPr>
          <w:color w:val="auto"/>
          <w:highlight w:val="none"/>
        </w:rPr>
      </w:pPr>
    </w:p>
    <w:p w14:paraId="2DD65606">
      <w:pPr>
        <w:pStyle w:val="3"/>
        <w:spacing w:line="245" w:lineRule="auto"/>
        <w:rPr>
          <w:color w:val="auto"/>
          <w:highlight w:val="none"/>
        </w:rPr>
      </w:pPr>
    </w:p>
    <w:p w14:paraId="690C596E">
      <w:pPr>
        <w:pStyle w:val="3"/>
        <w:spacing w:line="245" w:lineRule="auto"/>
        <w:rPr>
          <w:color w:val="auto"/>
          <w:highlight w:val="none"/>
        </w:rPr>
      </w:pPr>
    </w:p>
    <w:p w14:paraId="09EB9BBE">
      <w:pPr>
        <w:pStyle w:val="3"/>
        <w:spacing w:line="245" w:lineRule="auto"/>
        <w:rPr>
          <w:color w:val="auto"/>
          <w:highlight w:val="none"/>
        </w:rPr>
      </w:pPr>
    </w:p>
    <w:p w14:paraId="40EA81B3">
      <w:pPr>
        <w:pStyle w:val="3"/>
        <w:spacing w:line="246" w:lineRule="auto"/>
        <w:rPr>
          <w:color w:val="auto"/>
          <w:highlight w:val="none"/>
        </w:rPr>
      </w:pPr>
    </w:p>
    <w:p w14:paraId="2CA92A40">
      <w:pPr>
        <w:pStyle w:val="3"/>
        <w:spacing w:line="246" w:lineRule="auto"/>
        <w:rPr>
          <w:color w:val="auto"/>
          <w:highlight w:val="none"/>
        </w:rPr>
      </w:pPr>
    </w:p>
    <w:p w14:paraId="0463083F">
      <w:pPr>
        <w:pStyle w:val="3"/>
        <w:spacing w:line="246" w:lineRule="auto"/>
        <w:rPr>
          <w:color w:val="auto"/>
          <w:highlight w:val="none"/>
        </w:rPr>
      </w:pPr>
    </w:p>
    <w:p w14:paraId="219FF32A">
      <w:pPr>
        <w:pStyle w:val="3"/>
        <w:spacing w:line="246" w:lineRule="auto"/>
        <w:rPr>
          <w:color w:val="auto"/>
          <w:highlight w:val="none"/>
        </w:rPr>
      </w:pPr>
    </w:p>
    <w:p w14:paraId="5637BFCC">
      <w:pPr>
        <w:pStyle w:val="3"/>
        <w:spacing w:line="246" w:lineRule="auto"/>
        <w:rPr>
          <w:color w:val="auto"/>
          <w:highlight w:val="none"/>
        </w:rPr>
      </w:pPr>
    </w:p>
    <w:p w14:paraId="00C067C7">
      <w:pPr>
        <w:pStyle w:val="3"/>
        <w:spacing w:line="246" w:lineRule="auto"/>
        <w:rPr>
          <w:color w:val="auto"/>
          <w:highlight w:val="none"/>
        </w:rPr>
      </w:pPr>
    </w:p>
    <w:p w14:paraId="58E0B687">
      <w:pPr>
        <w:spacing w:before="227" w:line="222" w:lineRule="auto"/>
        <w:ind w:left="1798"/>
        <w:outlineLvl w:val="0"/>
        <w:rPr>
          <w:rFonts w:ascii="黑体" w:hAnsi="黑体" w:eastAsia="黑体" w:cs="黑体"/>
          <w:color w:val="auto"/>
          <w:sz w:val="70"/>
          <w:szCs w:val="70"/>
          <w:highlight w:val="none"/>
        </w:rPr>
      </w:pPr>
      <w:bookmarkStart w:id="0" w:name="bookmark2"/>
      <w:bookmarkEnd w:id="0"/>
      <w:r>
        <w:rPr>
          <w:rFonts w:ascii="黑体" w:hAnsi="黑体" w:eastAsia="黑体" w:cs="黑体"/>
          <w:color w:val="auto"/>
          <w:spacing w:val="-9"/>
          <w:sz w:val="70"/>
          <w:szCs w:val="70"/>
          <w:highlight w:val="none"/>
        </w:rPr>
        <w:t>竞争性磋商文件</w:t>
      </w:r>
    </w:p>
    <w:p w14:paraId="7A3D353D">
      <w:pPr>
        <w:pStyle w:val="3"/>
        <w:spacing w:line="248" w:lineRule="auto"/>
        <w:rPr>
          <w:color w:val="auto"/>
          <w:highlight w:val="none"/>
        </w:rPr>
      </w:pPr>
    </w:p>
    <w:p w14:paraId="0DB6B670">
      <w:pPr>
        <w:pStyle w:val="3"/>
        <w:spacing w:line="248" w:lineRule="auto"/>
        <w:rPr>
          <w:color w:val="auto"/>
          <w:highlight w:val="none"/>
        </w:rPr>
      </w:pPr>
    </w:p>
    <w:p w14:paraId="7B2F5390">
      <w:pPr>
        <w:pStyle w:val="3"/>
        <w:spacing w:line="248" w:lineRule="auto"/>
        <w:rPr>
          <w:color w:val="auto"/>
          <w:highlight w:val="none"/>
        </w:rPr>
      </w:pPr>
    </w:p>
    <w:p w14:paraId="20F77798">
      <w:pPr>
        <w:pStyle w:val="3"/>
        <w:spacing w:line="248" w:lineRule="auto"/>
        <w:rPr>
          <w:color w:val="auto"/>
          <w:highlight w:val="none"/>
        </w:rPr>
      </w:pPr>
    </w:p>
    <w:p w14:paraId="26113697">
      <w:pPr>
        <w:pStyle w:val="3"/>
        <w:spacing w:line="248" w:lineRule="auto"/>
        <w:rPr>
          <w:color w:val="auto"/>
          <w:highlight w:val="none"/>
        </w:rPr>
      </w:pPr>
    </w:p>
    <w:p w14:paraId="1BD1CE10">
      <w:pPr>
        <w:pStyle w:val="3"/>
        <w:spacing w:line="248" w:lineRule="auto"/>
        <w:rPr>
          <w:color w:val="auto"/>
          <w:highlight w:val="none"/>
        </w:rPr>
      </w:pPr>
    </w:p>
    <w:p w14:paraId="0D786A0B">
      <w:pPr>
        <w:pStyle w:val="3"/>
        <w:spacing w:line="248" w:lineRule="auto"/>
        <w:rPr>
          <w:color w:val="auto"/>
          <w:highlight w:val="none"/>
        </w:rPr>
      </w:pPr>
    </w:p>
    <w:p w14:paraId="72BCFD39">
      <w:pPr>
        <w:pStyle w:val="3"/>
        <w:spacing w:line="248" w:lineRule="auto"/>
        <w:rPr>
          <w:color w:val="auto"/>
          <w:highlight w:val="none"/>
        </w:rPr>
      </w:pPr>
    </w:p>
    <w:p w14:paraId="04BD6D10">
      <w:pPr>
        <w:pStyle w:val="3"/>
        <w:spacing w:line="248" w:lineRule="auto"/>
        <w:rPr>
          <w:color w:val="auto"/>
          <w:highlight w:val="none"/>
        </w:rPr>
      </w:pPr>
    </w:p>
    <w:p w14:paraId="757525DC">
      <w:pPr>
        <w:pStyle w:val="3"/>
        <w:spacing w:line="248" w:lineRule="auto"/>
        <w:rPr>
          <w:color w:val="auto"/>
          <w:highlight w:val="none"/>
        </w:rPr>
      </w:pPr>
    </w:p>
    <w:p w14:paraId="5580620B">
      <w:pPr>
        <w:pStyle w:val="3"/>
        <w:spacing w:line="248" w:lineRule="auto"/>
        <w:rPr>
          <w:color w:val="auto"/>
          <w:highlight w:val="none"/>
        </w:rPr>
      </w:pPr>
    </w:p>
    <w:p w14:paraId="48FBA344">
      <w:pPr>
        <w:pStyle w:val="3"/>
        <w:spacing w:line="248" w:lineRule="auto"/>
        <w:rPr>
          <w:color w:val="auto"/>
          <w:highlight w:val="none"/>
        </w:rPr>
      </w:pPr>
    </w:p>
    <w:p w14:paraId="31065287">
      <w:pPr>
        <w:pStyle w:val="3"/>
        <w:spacing w:line="249" w:lineRule="auto"/>
        <w:rPr>
          <w:color w:val="auto"/>
          <w:highlight w:val="none"/>
        </w:rPr>
      </w:pPr>
    </w:p>
    <w:p w14:paraId="6A37A81C">
      <w:pPr>
        <w:pStyle w:val="3"/>
        <w:spacing w:line="249" w:lineRule="auto"/>
        <w:rPr>
          <w:color w:val="auto"/>
          <w:highlight w:val="none"/>
        </w:rPr>
      </w:pPr>
    </w:p>
    <w:p w14:paraId="2C65E7E4">
      <w:pPr>
        <w:keepNext w:val="0"/>
        <w:keepLines w:val="0"/>
        <w:pageBreakBefore w:val="0"/>
        <w:widowControl/>
        <w:kinsoku w:val="0"/>
        <w:wordWrap/>
        <w:overflowPunct/>
        <w:topLinePunct w:val="0"/>
        <w:autoSpaceDE w:val="0"/>
        <w:autoSpaceDN w:val="0"/>
        <w:bidi w:val="0"/>
        <w:adjustRightInd w:val="0"/>
        <w:snapToGrid w:val="0"/>
        <w:spacing w:before="98" w:line="222" w:lineRule="auto"/>
        <w:ind w:left="40" w:firstLine="1176" w:firstLineChars="400"/>
        <w:jc w:val="left"/>
        <w:textAlignment w:val="baseline"/>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采 购 人：乌什县阿合雅镇人民政府</w:t>
      </w:r>
    </w:p>
    <w:p w14:paraId="2E9BE632">
      <w:pPr>
        <w:keepNext w:val="0"/>
        <w:keepLines w:val="0"/>
        <w:pageBreakBefore w:val="0"/>
        <w:widowControl/>
        <w:kinsoku w:val="0"/>
        <w:wordWrap/>
        <w:overflowPunct/>
        <w:topLinePunct w:val="0"/>
        <w:autoSpaceDE w:val="0"/>
        <w:autoSpaceDN w:val="0"/>
        <w:bidi w:val="0"/>
        <w:adjustRightInd w:val="0"/>
        <w:snapToGrid w:val="0"/>
        <w:spacing w:before="260" w:line="221" w:lineRule="auto"/>
        <w:ind w:left="40" w:firstLine="1176" w:firstLineChars="400"/>
        <w:jc w:val="left"/>
        <w:textAlignment w:val="baseline"/>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采购代理机构：</w:t>
      </w:r>
      <w:r>
        <w:rPr>
          <w:rFonts w:hint="eastAsia" w:ascii="黑体" w:hAnsi="黑体" w:eastAsia="黑体" w:cs="黑体"/>
          <w:color w:val="auto"/>
          <w:spacing w:val="-3"/>
          <w:sz w:val="30"/>
          <w:szCs w:val="30"/>
          <w:highlight w:val="none"/>
          <w:lang w:eastAsia="zh-CN"/>
        </w:rPr>
        <w:t>新疆鑫盛联项目管理有限公司</w:t>
      </w:r>
    </w:p>
    <w:p w14:paraId="74AEF601">
      <w:pPr>
        <w:pStyle w:val="3"/>
        <w:spacing w:line="267" w:lineRule="auto"/>
        <w:rPr>
          <w:color w:val="auto"/>
          <w:highlight w:val="none"/>
        </w:rPr>
      </w:pPr>
    </w:p>
    <w:p w14:paraId="4DD3C331">
      <w:pPr>
        <w:pStyle w:val="3"/>
        <w:spacing w:line="267" w:lineRule="auto"/>
        <w:rPr>
          <w:color w:val="auto"/>
          <w:highlight w:val="none"/>
        </w:rPr>
      </w:pPr>
    </w:p>
    <w:p w14:paraId="2F0A547C">
      <w:pPr>
        <w:pStyle w:val="3"/>
        <w:spacing w:line="267" w:lineRule="auto"/>
        <w:rPr>
          <w:color w:val="auto"/>
          <w:highlight w:val="none"/>
        </w:rPr>
      </w:pPr>
    </w:p>
    <w:p w14:paraId="3138557F">
      <w:pPr>
        <w:pStyle w:val="3"/>
        <w:spacing w:line="267" w:lineRule="auto"/>
        <w:rPr>
          <w:color w:val="auto"/>
          <w:highlight w:val="none"/>
        </w:rPr>
      </w:pPr>
    </w:p>
    <w:p w14:paraId="17F0E2B0">
      <w:pPr>
        <w:pStyle w:val="3"/>
        <w:spacing w:line="267" w:lineRule="auto"/>
        <w:rPr>
          <w:color w:val="auto"/>
          <w:highlight w:val="none"/>
        </w:rPr>
      </w:pPr>
    </w:p>
    <w:p w14:paraId="091FD406">
      <w:pPr>
        <w:pStyle w:val="3"/>
        <w:spacing w:line="268" w:lineRule="auto"/>
        <w:rPr>
          <w:color w:val="auto"/>
          <w:highlight w:val="none"/>
        </w:rPr>
      </w:pPr>
    </w:p>
    <w:p w14:paraId="454FD6DC">
      <w:pPr>
        <w:spacing w:before="91" w:line="224" w:lineRule="auto"/>
        <w:ind w:left="3231"/>
        <w:rPr>
          <w:rFonts w:ascii="黑体" w:hAnsi="黑体" w:eastAsia="黑体" w:cs="黑体"/>
          <w:color w:val="auto"/>
          <w:sz w:val="28"/>
          <w:szCs w:val="28"/>
          <w:highlight w:val="none"/>
        </w:rPr>
      </w:pPr>
      <w:r>
        <w:rPr>
          <w:rFonts w:ascii="黑体" w:hAnsi="黑体" w:eastAsia="黑体" w:cs="黑体"/>
          <w:color w:val="auto"/>
          <w:spacing w:val="-6"/>
          <w:sz w:val="28"/>
          <w:szCs w:val="28"/>
          <w:highlight w:val="none"/>
        </w:rPr>
        <w:t>二〇二六年</w:t>
      </w:r>
      <w:r>
        <w:rPr>
          <w:rFonts w:hint="eastAsia" w:ascii="黑体" w:hAnsi="黑体" w:eastAsia="黑体" w:cs="黑体"/>
          <w:color w:val="auto"/>
          <w:spacing w:val="-6"/>
          <w:sz w:val="28"/>
          <w:szCs w:val="28"/>
          <w:highlight w:val="none"/>
          <w:lang w:val="en-US" w:eastAsia="zh-CN"/>
        </w:rPr>
        <w:t>四</w:t>
      </w:r>
      <w:r>
        <w:rPr>
          <w:rFonts w:ascii="黑体" w:hAnsi="黑体" w:eastAsia="黑体" w:cs="黑体"/>
          <w:color w:val="auto"/>
          <w:spacing w:val="-6"/>
          <w:sz w:val="28"/>
          <w:szCs w:val="28"/>
          <w:highlight w:val="none"/>
        </w:rPr>
        <w:t>月</w:t>
      </w:r>
    </w:p>
    <w:p w14:paraId="0A024217">
      <w:pPr>
        <w:spacing w:line="224" w:lineRule="auto"/>
        <w:rPr>
          <w:rFonts w:ascii="黑体" w:hAnsi="黑体" w:eastAsia="黑体" w:cs="黑体"/>
          <w:color w:val="auto"/>
          <w:sz w:val="28"/>
          <w:szCs w:val="28"/>
          <w:highlight w:val="none"/>
        </w:rPr>
        <w:sectPr>
          <w:footerReference r:id="rId5" w:type="default"/>
          <w:pgSz w:w="11906" w:h="16840"/>
          <w:pgMar w:top="1431" w:right="1785" w:bottom="1094" w:left="1785" w:header="0" w:footer="924" w:gutter="0"/>
          <w:cols w:space="720" w:num="1"/>
        </w:sectPr>
      </w:pPr>
    </w:p>
    <w:p w14:paraId="106968E5">
      <w:pPr>
        <w:pStyle w:val="3"/>
        <w:spacing w:line="407" w:lineRule="auto"/>
        <w:rPr>
          <w:color w:val="auto"/>
          <w:highlight w:val="none"/>
        </w:rPr>
      </w:pPr>
    </w:p>
    <w:p w14:paraId="40AF65F1">
      <w:pPr>
        <w:spacing w:before="97" w:line="222" w:lineRule="auto"/>
        <w:ind w:left="3411"/>
        <w:rPr>
          <w:rFonts w:ascii="黑体" w:hAnsi="黑体" w:eastAsia="黑体" w:cs="黑体"/>
          <w:color w:val="auto"/>
          <w:sz w:val="30"/>
          <w:szCs w:val="30"/>
          <w:highlight w:val="none"/>
        </w:rPr>
      </w:pPr>
      <w:r>
        <w:rPr>
          <w:rFonts w:ascii="黑体" w:hAnsi="黑体" w:eastAsia="黑体" w:cs="黑体"/>
          <w:color w:val="auto"/>
          <w:spacing w:val="11"/>
          <w:sz w:val="30"/>
          <w:szCs w:val="30"/>
          <w:highlight w:val="none"/>
        </w:rPr>
        <w:t>竞争性磋商文件</w:t>
      </w:r>
    </w:p>
    <w:p w14:paraId="59862540">
      <w:pPr>
        <w:pStyle w:val="3"/>
        <w:spacing w:line="241" w:lineRule="auto"/>
        <w:rPr>
          <w:color w:val="auto"/>
          <w:highlight w:val="none"/>
        </w:rPr>
      </w:pPr>
    </w:p>
    <w:p w14:paraId="6653D4AE">
      <w:pPr>
        <w:pStyle w:val="3"/>
        <w:spacing w:line="241" w:lineRule="auto"/>
        <w:rPr>
          <w:color w:val="auto"/>
          <w:highlight w:val="none"/>
        </w:rPr>
      </w:pPr>
    </w:p>
    <w:p w14:paraId="4B8047CA">
      <w:pPr>
        <w:pStyle w:val="3"/>
        <w:spacing w:line="241" w:lineRule="auto"/>
        <w:rPr>
          <w:color w:val="auto"/>
          <w:highlight w:val="none"/>
        </w:rPr>
      </w:pPr>
    </w:p>
    <w:p w14:paraId="4B95D974">
      <w:pPr>
        <w:pStyle w:val="3"/>
        <w:spacing w:line="242" w:lineRule="auto"/>
        <w:rPr>
          <w:color w:val="auto"/>
          <w:highlight w:val="none"/>
        </w:rPr>
      </w:pPr>
    </w:p>
    <w:p w14:paraId="67840519">
      <w:pPr>
        <w:spacing w:before="91" w:line="330" w:lineRule="auto"/>
        <w:ind w:left="21" w:right="159" w:hanging="17"/>
        <w:rPr>
          <w:rFonts w:ascii="仿宋" w:hAnsi="仿宋" w:eastAsia="仿宋" w:cs="仿宋"/>
          <w:color w:val="auto"/>
          <w:sz w:val="28"/>
          <w:szCs w:val="28"/>
          <w:highlight w:val="none"/>
        </w:rPr>
      </w:pPr>
      <w:r>
        <w:rPr>
          <w:rFonts w:ascii="仿宋" w:hAnsi="仿宋" w:eastAsia="仿宋" w:cs="仿宋"/>
          <w:color w:val="auto"/>
          <w:spacing w:val="-18"/>
          <w:sz w:val="28"/>
          <w:szCs w:val="28"/>
          <w:highlight w:val="none"/>
        </w:rPr>
        <w:t>项  目 名 称：</w:t>
      </w:r>
      <w:r>
        <w:rPr>
          <w:rFonts w:hint="eastAsia" w:ascii="仿宋" w:hAnsi="仿宋" w:eastAsia="仿宋" w:cs="仿宋"/>
          <w:color w:val="auto"/>
          <w:spacing w:val="-18"/>
          <w:sz w:val="28"/>
          <w:szCs w:val="28"/>
          <w:highlight w:val="none"/>
          <w:lang w:eastAsia="zh-CN"/>
        </w:rPr>
        <w:t>乌什县阿合雅镇托万克阿合亚（15）村2026年防渗渠以工代赈防渗渠建设项目</w:t>
      </w:r>
    </w:p>
    <w:p w14:paraId="200AB218">
      <w:pPr>
        <w:spacing w:before="2" w:line="329" w:lineRule="auto"/>
        <w:ind w:left="11" w:right="2814" w:hanging="6"/>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采  购  人（公章</w:t>
      </w:r>
      <w:r>
        <w:rPr>
          <w:rFonts w:ascii="仿宋" w:hAnsi="仿宋" w:eastAsia="仿宋" w:cs="仿宋"/>
          <w:color w:val="auto"/>
          <w:spacing w:val="33"/>
          <w:sz w:val="28"/>
          <w:szCs w:val="28"/>
          <w:highlight w:val="none"/>
        </w:rPr>
        <w:t>）：</w:t>
      </w:r>
      <w:r>
        <w:rPr>
          <w:rFonts w:ascii="仿宋" w:hAnsi="仿宋" w:eastAsia="仿宋" w:cs="仿宋"/>
          <w:color w:val="auto"/>
          <w:spacing w:val="-5"/>
          <w:sz w:val="28"/>
          <w:szCs w:val="28"/>
          <w:highlight w:val="none"/>
        </w:rPr>
        <w:t>乌什县阿合雅镇人民政府</w:t>
      </w:r>
      <w:r>
        <w:rPr>
          <w:rFonts w:ascii="仿宋" w:hAnsi="仿宋" w:eastAsia="仿宋" w:cs="仿宋"/>
          <w:color w:val="auto"/>
          <w:spacing w:val="-4"/>
          <w:sz w:val="28"/>
          <w:szCs w:val="28"/>
          <w:highlight w:val="none"/>
        </w:rPr>
        <w:t>法定代表人（签字或盖章</w:t>
      </w:r>
      <w:r>
        <w:rPr>
          <w:rFonts w:ascii="仿宋" w:hAnsi="仿宋" w:eastAsia="仿宋" w:cs="仿宋"/>
          <w:color w:val="auto"/>
          <w:spacing w:val="7"/>
          <w:sz w:val="28"/>
          <w:szCs w:val="28"/>
          <w:highlight w:val="none"/>
        </w:rPr>
        <w:t>）：</w:t>
      </w:r>
    </w:p>
    <w:p w14:paraId="412EC83D">
      <w:pPr>
        <w:spacing w:before="1" w:line="223" w:lineRule="auto"/>
        <w:rPr>
          <w:rFonts w:ascii="仿宋" w:hAnsi="仿宋" w:eastAsia="仿宋" w:cs="仿宋"/>
          <w:color w:val="auto"/>
          <w:sz w:val="28"/>
          <w:szCs w:val="28"/>
          <w:highlight w:val="none"/>
        </w:rPr>
      </w:pPr>
      <w:r>
        <w:rPr>
          <w:rFonts w:ascii="仿宋" w:hAnsi="仿宋" w:eastAsia="仿宋" w:cs="仿宋"/>
          <w:color w:val="auto"/>
          <w:spacing w:val="-12"/>
          <w:sz w:val="28"/>
          <w:szCs w:val="28"/>
          <w:highlight w:val="none"/>
        </w:rPr>
        <w:t>联</w:t>
      </w:r>
      <w:r>
        <w:rPr>
          <w:rFonts w:ascii="仿宋" w:hAnsi="仿宋" w:eastAsia="仿宋" w:cs="仿宋"/>
          <w:color w:val="auto"/>
          <w:spacing w:val="22"/>
          <w:sz w:val="28"/>
          <w:szCs w:val="28"/>
          <w:highlight w:val="none"/>
        </w:rPr>
        <w:t xml:space="preserve">  </w:t>
      </w:r>
      <w:r>
        <w:rPr>
          <w:rFonts w:ascii="仿宋" w:hAnsi="仿宋" w:eastAsia="仿宋" w:cs="仿宋"/>
          <w:color w:val="auto"/>
          <w:spacing w:val="-12"/>
          <w:sz w:val="28"/>
          <w:szCs w:val="28"/>
          <w:highlight w:val="none"/>
        </w:rPr>
        <w:t>系</w:t>
      </w:r>
      <w:r>
        <w:rPr>
          <w:rFonts w:ascii="仿宋" w:hAnsi="仿宋" w:eastAsia="仿宋" w:cs="仿宋"/>
          <w:color w:val="auto"/>
          <w:spacing w:val="15"/>
          <w:sz w:val="28"/>
          <w:szCs w:val="28"/>
          <w:highlight w:val="none"/>
        </w:rPr>
        <w:t xml:space="preserve">  </w:t>
      </w:r>
      <w:r>
        <w:rPr>
          <w:rFonts w:ascii="仿宋" w:hAnsi="仿宋" w:eastAsia="仿宋" w:cs="仿宋"/>
          <w:color w:val="auto"/>
          <w:spacing w:val="-12"/>
          <w:sz w:val="28"/>
          <w:szCs w:val="28"/>
          <w:highlight w:val="none"/>
        </w:rPr>
        <w:t>人：陈嘉豪</w:t>
      </w:r>
    </w:p>
    <w:p w14:paraId="6F7FCC9E">
      <w:pPr>
        <w:spacing w:before="159" w:line="224" w:lineRule="auto"/>
        <w:ind w:left="34"/>
        <w:rPr>
          <w:rFonts w:ascii="仿宋" w:hAnsi="仿宋" w:eastAsia="仿宋" w:cs="仿宋"/>
          <w:color w:val="auto"/>
          <w:sz w:val="28"/>
          <w:szCs w:val="28"/>
          <w:highlight w:val="none"/>
        </w:rPr>
      </w:pPr>
      <w:r>
        <w:rPr>
          <w:rFonts w:ascii="仿宋" w:hAnsi="仿宋" w:eastAsia="仿宋" w:cs="仿宋"/>
          <w:color w:val="auto"/>
          <w:spacing w:val="-9"/>
          <w:sz w:val="28"/>
          <w:szCs w:val="28"/>
          <w:highlight w:val="none"/>
        </w:rPr>
        <w:t>电</w:t>
      </w:r>
      <w:r>
        <w:rPr>
          <w:rFonts w:ascii="仿宋" w:hAnsi="仿宋" w:eastAsia="仿宋" w:cs="仿宋"/>
          <w:color w:val="auto"/>
          <w:spacing w:val="3"/>
          <w:sz w:val="28"/>
          <w:szCs w:val="28"/>
          <w:highlight w:val="none"/>
        </w:rPr>
        <w:t xml:space="preserve">      </w:t>
      </w:r>
      <w:r>
        <w:rPr>
          <w:rFonts w:ascii="仿宋" w:hAnsi="仿宋" w:eastAsia="仿宋" w:cs="仿宋"/>
          <w:color w:val="auto"/>
          <w:spacing w:val="-9"/>
          <w:sz w:val="28"/>
          <w:szCs w:val="28"/>
          <w:highlight w:val="none"/>
        </w:rPr>
        <w:t>话：</w:t>
      </w:r>
      <w:r>
        <w:rPr>
          <w:rFonts w:ascii="仿宋" w:hAnsi="仿宋" w:eastAsia="仿宋" w:cs="仿宋"/>
          <w:color w:val="auto"/>
          <w:spacing w:val="28"/>
          <w:sz w:val="28"/>
          <w:szCs w:val="28"/>
          <w:highlight w:val="none"/>
        </w:rPr>
        <w:t xml:space="preserve"> </w:t>
      </w:r>
      <w:r>
        <w:rPr>
          <w:rFonts w:ascii="仿宋" w:hAnsi="仿宋" w:eastAsia="仿宋" w:cs="仿宋"/>
          <w:color w:val="auto"/>
          <w:spacing w:val="-9"/>
          <w:sz w:val="28"/>
          <w:szCs w:val="28"/>
          <w:highlight w:val="none"/>
        </w:rPr>
        <w:t>18599215101</w:t>
      </w:r>
    </w:p>
    <w:p w14:paraId="26D8D664">
      <w:pPr>
        <w:pStyle w:val="3"/>
        <w:spacing w:line="254" w:lineRule="auto"/>
        <w:rPr>
          <w:color w:val="auto"/>
          <w:highlight w:val="none"/>
        </w:rPr>
      </w:pPr>
    </w:p>
    <w:p w14:paraId="0E1961A1">
      <w:pPr>
        <w:pStyle w:val="3"/>
        <w:spacing w:line="254" w:lineRule="auto"/>
        <w:rPr>
          <w:color w:val="auto"/>
          <w:highlight w:val="none"/>
        </w:rPr>
      </w:pPr>
    </w:p>
    <w:p w14:paraId="661EA289">
      <w:pPr>
        <w:pStyle w:val="3"/>
        <w:spacing w:line="254" w:lineRule="auto"/>
        <w:rPr>
          <w:color w:val="auto"/>
          <w:highlight w:val="none"/>
        </w:rPr>
      </w:pPr>
    </w:p>
    <w:p w14:paraId="332CFDC7">
      <w:pPr>
        <w:pStyle w:val="3"/>
        <w:spacing w:line="254" w:lineRule="auto"/>
        <w:rPr>
          <w:color w:val="auto"/>
          <w:highlight w:val="none"/>
        </w:rPr>
      </w:pPr>
    </w:p>
    <w:p w14:paraId="78F4D943">
      <w:pPr>
        <w:pStyle w:val="3"/>
        <w:spacing w:line="254" w:lineRule="auto"/>
        <w:rPr>
          <w:color w:val="auto"/>
          <w:highlight w:val="none"/>
        </w:rPr>
      </w:pPr>
    </w:p>
    <w:p w14:paraId="792AB265">
      <w:pPr>
        <w:pStyle w:val="3"/>
        <w:spacing w:line="254" w:lineRule="auto"/>
        <w:rPr>
          <w:color w:val="auto"/>
          <w:highlight w:val="none"/>
        </w:rPr>
      </w:pPr>
    </w:p>
    <w:p w14:paraId="7F2B45F3">
      <w:pPr>
        <w:pStyle w:val="3"/>
        <w:spacing w:line="254" w:lineRule="auto"/>
        <w:rPr>
          <w:color w:val="auto"/>
          <w:highlight w:val="none"/>
        </w:rPr>
      </w:pPr>
    </w:p>
    <w:p w14:paraId="71298078">
      <w:pPr>
        <w:pStyle w:val="3"/>
        <w:spacing w:line="254" w:lineRule="auto"/>
        <w:rPr>
          <w:color w:val="auto"/>
          <w:highlight w:val="none"/>
        </w:rPr>
      </w:pPr>
    </w:p>
    <w:p w14:paraId="310C7E2A">
      <w:pPr>
        <w:pStyle w:val="3"/>
        <w:spacing w:line="254" w:lineRule="auto"/>
        <w:rPr>
          <w:color w:val="auto"/>
          <w:highlight w:val="none"/>
        </w:rPr>
      </w:pPr>
    </w:p>
    <w:p w14:paraId="4C006739">
      <w:pPr>
        <w:pStyle w:val="3"/>
        <w:spacing w:line="254" w:lineRule="auto"/>
        <w:rPr>
          <w:color w:val="auto"/>
          <w:highlight w:val="none"/>
        </w:rPr>
      </w:pPr>
    </w:p>
    <w:p w14:paraId="25702E03">
      <w:pPr>
        <w:pStyle w:val="3"/>
        <w:spacing w:line="254" w:lineRule="auto"/>
        <w:rPr>
          <w:color w:val="auto"/>
          <w:highlight w:val="none"/>
        </w:rPr>
      </w:pPr>
    </w:p>
    <w:p w14:paraId="19DF9BF9">
      <w:pPr>
        <w:pStyle w:val="3"/>
        <w:spacing w:line="255" w:lineRule="auto"/>
        <w:rPr>
          <w:color w:val="auto"/>
          <w:highlight w:val="none"/>
        </w:rPr>
      </w:pPr>
    </w:p>
    <w:p w14:paraId="2CDE2883">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 w:right="1127" w:hanging="6"/>
        <w:textAlignment w:val="baseline"/>
        <w:rPr>
          <w:rFonts w:hint="eastAsia" w:ascii="仿宋" w:hAnsi="仿宋" w:eastAsia="仿宋" w:cs="仿宋"/>
          <w:color w:val="auto"/>
          <w:spacing w:val="21"/>
          <w:sz w:val="28"/>
          <w:szCs w:val="28"/>
          <w:highlight w:val="none"/>
          <w:lang w:eastAsia="zh-CN"/>
        </w:rPr>
      </w:pPr>
      <w:r>
        <w:rPr>
          <w:rFonts w:ascii="仿宋" w:hAnsi="仿宋" w:eastAsia="仿宋" w:cs="仿宋"/>
          <w:color w:val="auto"/>
          <w:spacing w:val="-3"/>
          <w:sz w:val="28"/>
          <w:szCs w:val="28"/>
          <w:highlight w:val="none"/>
        </w:rPr>
        <w:t>采购代理机构（公章</w:t>
      </w:r>
      <w:r>
        <w:rPr>
          <w:rFonts w:ascii="仿宋" w:hAnsi="仿宋" w:eastAsia="仿宋" w:cs="仿宋"/>
          <w:color w:val="auto"/>
          <w:spacing w:val="21"/>
          <w:sz w:val="28"/>
          <w:szCs w:val="28"/>
          <w:highlight w:val="none"/>
        </w:rPr>
        <w:t>）：</w:t>
      </w:r>
      <w:r>
        <w:rPr>
          <w:rFonts w:hint="eastAsia" w:ascii="仿宋" w:hAnsi="仿宋" w:eastAsia="仿宋" w:cs="仿宋"/>
          <w:color w:val="auto"/>
          <w:spacing w:val="21"/>
          <w:sz w:val="28"/>
          <w:szCs w:val="28"/>
          <w:highlight w:val="none"/>
          <w:lang w:eastAsia="zh-CN"/>
        </w:rPr>
        <w:t>新疆鑫盛联项目管理有限公司</w:t>
      </w:r>
    </w:p>
    <w:p w14:paraId="62ABEA18">
      <w:pPr>
        <w:keepNext w:val="0"/>
        <w:keepLines w:val="0"/>
        <w:pageBreakBefore w:val="0"/>
        <w:widowControl/>
        <w:kinsoku w:val="0"/>
        <w:wordWrap/>
        <w:overflowPunct/>
        <w:topLinePunct w:val="0"/>
        <w:autoSpaceDE w:val="0"/>
        <w:autoSpaceDN w:val="0"/>
        <w:bidi w:val="0"/>
        <w:adjustRightInd w:val="0"/>
        <w:snapToGrid w:val="0"/>
        <w:spacing w:before="92" w:line="360" w:lineRule="auto"/>
        <w:ind w:left="11" w:right="1127" w:hanging="6"/>
        <w:textAlignment w:val="baseline"/>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法定代表人（签字或盖章</w:t>
      </w:r>
      <w:r>
        <w:rPr>
          <w:rFonts w:ascii="仿宋" w:hAnsi="仿宋" w:eastAsia="仿宋" w:cs="仿宋"/>
          <w:color w:val="auto"/>
          <w:spacing w:val="2"/>
          <w:sz w:val="28"/>
          <w:szCs w:val="28"/>
          <w:highlight w:val="none"/>
        </w:rPr>
        <w:t>）：</w:t>
      </w:r>
    </w:p>
    <w:p w14:paraId="001FAFDF">
      <w:pPr>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ascii="仿宋" w:hAnsi="仿宋" w:eastAsia="仿宋" w:cs="仿宋"/>
          <w:color w:val="auto"/>
          <w:sz w:val="28"/>
          <w:szCs w:val="28"/>
          <w:highlight w:val="none"/>
        </w:rPr>
      </w:pPr>
      <w:r>
        <w:rPr>
          <w:rFonts w:ascii="仿宋" w:hAnsi="仿宋" w:eastAsia="仿宋" w:cs="仿宋"/>
          <w:color w:val="auto"/>
          <w:spacing w:val="-12"/>
          <w:sz w:val="28"/>
          <w:szCs w:val="28"/>
          <w:highlight w:val="none"/>
        </w:rPr>
        <w:t>联</w:t>
      </w:r>
      <w:r>
        <w:rPr>
          <w:rFonts w:ascii="仿宋" w:hAnsi="仿宋" w:eastAsia="仿宋" w:cs="仿宋"/>
          <w:color w:val="auto"/>
          <w:spacing w:val="20"/>
          <w:sz w:val="28"/>
          <w:szCs w:val="28"/>
          <w:highlight w:val="none"/>
        </w:rPr>
        <w:t xml:space="preserve">  </w:t>
      </w:r>
      <w:r>
        <w:rPr>
          <w:rFonts w:ascii="仿宋" w:hAnsi="仿宋" w:eastAsia="仿宋" w:cs="仿宋"/>
          <w:color w:val="auto"/>
          <w:spacing w:val="-12"/>
          <w:sz w:val="28"/>
          <w:szCs w:val="28"/>
          <w:highlight w:val="none"/>
        </w:rPr>
        <w:t>系</w:t>
      </w:r>
      <w:r>
        <w:rPr>
          <w:rFonts w:ascii="仿宋" w:hAnsi="仿宋" w:eastAsia="仿宋" w:cs="仿宋"/>
          <w:color w:val="auto"/>
          <w:spacing w:val="7"/>
          <w:sz w:val="28"/>
          <w:szCs w:val="28"/>
          <w:highlight w:val="none"/>
        </w:rPr>
        <w:t xml:space="preserve">  </w:t>
      </w:r>
      <w:r>
        <w:rPr>
          <w:rFonts w:ascii="仿宋" w:hAnsi="仿宋" w:eastAsia="仿宋" w:cs="仿宋"/>
          <w:color w:val="auto"/>
          <w:spacing w:val="-12"/>
          <w:sz w:val="28"/>
          <w:szCs w:val="28"/>
          <w:highlight w:val="none"/>
        </w:rPr>
        <w:t>人：</w:t>
      </w:r>
      <w:r>
        <w:rPr>
          <w:rFonts w:hint="eastAsia" w:ascii="仿宋" w:hAnsi="仿宋" w:eastAsia="仿宋" w:cs="仿宋"/>
          <w:color w:val="auto"/>
          <w:spacing w:val="-12"/>
          <w:sz w:val="28"/>
          <w:szCs w:val="28"/>
          <w:highlight w:val="none"/>
          <w:lang w:val="en-US" w:eastAsia="zh-CN"/>
        </w:rPr>
        <w:t>田国盛</w:t>
      </w:r>
    </w:p>
    <w:p w14:paraId="7207F4E3">
      <w:pPr>
        <w:keepNext w:val="0"/>
        <w:keepLines w:val="0"/>
        <w:pageBreakBefore w:val="0"/>
        <w:widowControl/>
        <w:kinsoku w:val="0"/>
        <w:wordWrap/>
        <w:overflowPunct/>
        <w:topLinePunct w:val="0"/>
        <w:autoSpaceDE w:val="0"/>
        <w:autoSpaceDN w:val="0"/>
        <w:bidi w:val="0"/>
        <w:adjustRightInd w:val="0"/>
        <w:snapToGrid w:val="0"/>
        <w:spacing w:before="160" w:line="360" w:lineRule="auto"/>
        <w:ind w:left="34"/>
        <w:textAlignment w:val="baseline"/>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电</w:t>
      </w:r>
      <w:r>
        <w:rPr>
          <w:rFonts w:ascii="仿宋" w:hAnsi="仿宋" w:eastAsia="仿宋" w:cs="仿宋"/>
          <w:color w:val="auto"/>
          <w:spacing w:val="6"/>
          <w:sz w:val="28"/>
          <w:szCs w:val="28"/>
          <w:highlight w:val="none"/>
        </w:rPr>
        <w:t xml:space="preserve">      </w:t>
      </w:r>
      <w:r>
        <w:rPr>
          <w:rFonts w:ascii="仿宋" w:hAnsi="仿宋" w:eastAsia="仿宋" w:cs="仿宋"/>
          <w:color w:val="auto"/>
          <w:spacing w:val="-8"/>
          <w:sz w:val="28"/>
          <w:szCs w:val="28"/>
          <w:highlight w:val="none"/>
        </w:rPr>
        <w:t>话：</w:t>
      </w:r>
      <w:r>
        <w:rPr>
          <w:rFonts w:hint="eastAsia" w:ascii="仿宋" w:hAnsi="仿宋" w:eastAsia="仿宋" w:cs="仿宋"/>
          <w:color w:val="auto"/>
          <w:spacing w:val="-8"/>
          <w:sz w:val="28"/>
          <w:szCs w:val="28"/>
          <w:highlight w:val="none"/>
          <w:lang w:val="en-US" w:eastAsia="zh-CN"/>
        </w:rPr>
        <w:t>17560676812</w:t>
      </w:r>
    </w:p>
    <w:p w14:paraId="50310E45">
      <w:pPr>
        <w:pStyle w:val="3"/>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highlight w:val="none"/>
        </w:rPr>
      </w:pPr>
      <w:r>
        <w:rPr>
          <w:rFonts w:ascii="仿宋" w:hAnsi="仿宋" w:eastAsia="仿宋" w:cs="仿宋"/>
          <w:color w:val="auto"/>
          <w:spacing w:val="-4"/>
          <w:sz w:val="28"/>
          <w:szCs w:val="28"/>
          <w:highlight w:val="none"/>
        </w:rPr>
        <w:t>联系地址：</w:t>
      </w:r>
      <w:r>
        <w:rPr>
          <w:rFonts w:hint="eastAsia" w:ascii="仿宋" w:hAnsi="仿宋" w:eastAsia="仿宋" w:cs="仿宋"/>
          <w:color w:val="auto"/>
          <w:spacing w:val="-4"/>
          <w:sz w:val="28"/>
          <w:szCs w:val="28"/>
          <w:highlight w:val="none"/>
          <w:lang w:eastAsia="zh-CN"/>
        </w:rPr>
        <w:t>新疆喀什地区喀什市恰萨街道班超路社区帕依纳普路251号（唐城国际商业步行街）1栋商务大厦07号商铺709、710、711、712房</w:t>
      </w:r>
    </w:p>
    <w:p w14:paraId="4DD56A55">
      <w:pPr>
        <w:pStyle w:val="3"/>
        <w:spacing w:line="250" w:lineRule="auto"/>
        <w:rPr>
          <w:color w:val="auto"/>
          <w:highlight w:val="none"/>
        </w:rPr>
      </w:pPr>
    </w:p>
    <w:p w14:paraId="7C072D54">
      <w:pPr>
        <w:pStyle w:val="3"/>
        <w:spacing w:line="250" w:lineRule="auto"/>
        <w:rPr>
          <w:color w:val="auto"/>
          <w:highlight w:val="none"/>
        </w:rPr>
      </w:pPr>
    </w:p>
    <w:p w14:paraId="038EC468">
      <w:pPr>
        <w:pStyle w:val="3"/>
        <w:spacing w:line="250" w:lineRule="auto"/>
        <w:rPr>
          <w:color w:val="auto"/>
          <w:highlight w:val="none"/>
        </w:rPr>
      </w:pPr>
    </w:p>
    <w:p w14:paraId="59245604">
      <w:pPr>
        <w:pStyle w:val="3"/>
        <w:spacing w:line="251" w:lineRule="auto"/>
        <w:rPr>
          <w:color w:val="auto"/>
          <w:highlight w:val="none"/>
        </w:rPr>
      </w:pPr>
    </w:p>
    <w:p w14:paraId="26790574">
      <w:pPr>
        <w:pStyle w:val="3"/>
        <w:spacing w:line="251" w:lineRule="auto"/>
        <w:rPr>
          <w:color w:val="auto"/>
          <w:highlight w:val="none"/>
        </w:rPr>
      </w:pPr>
    </w:p>
    <w:p w14:paraId="60A34AF1">
      <w:pPr>
        <w:pStyle w:val="3"/>
        <w:spacing w:line="251" w:lineRule="auto"/>
        <w:rPr>
          <w:color w:val="auto"/>
          <w:highlight w:val="none"/>
        </w:rPr>
      </w:pPr>
    </w:p>
    <w:p w14:paraId="5AE577CB">
      <w:pPr>
        <w:spacing w:before="78" w:line="222" w:lineRule="auto"/>
        <w:ind w:left="3835"/>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2026年</w:t>
      </w:r>
      <w:r>
        <w:rPr>
          <w:rFonts w:hint="eastAsia" w:ascii="仿宋" w:hAnsi="仿宋" w:eastAsia="仿宋" w:cs="仿宋"/>
          <w:color w:val="auto"/>
          <w:spacing w:val="-6"/>
          <w:sz w:val="24"/>
          <w:szCs w:val="24"/>
          <w:highlight w:val="none"/>
          <w:lang w:val="en-US" w:eastAsia="zh-CN"/>
        </w:rPr>
        <w:t>4</w:t>
      </w:r>
      <w:r>
        <w:rPr>
          <w:rFonts w:ascii="仿宋" w:hAnsi="仿宋" w:eastAsia="仿宋" w:cs="仿宋"/>
          <w:color w:val="auto"/>
          <w:spacing w:val="-6"/>
          <w:sz w:val="24"/>
          <w:szCs w:val="24"/>
          <w:highlight w:val="none"/>
        </w:rPr>
        <w:t>月</w:t>
      </w:r>
    </w:p>
    <w:p w14:paraId="5935C877">
      <w:pPr>
        <w:spacing w:line="222" w:lineRule="auto"/>
        <w:rPr>
          <w:rFonts w:ascii="仿宋" w:hAnsi="仿宋" w:eastAsia="仿宋" w:cs="仿宋"/>
          <w:color w:val="auto"/>
          <w:sz w:val="24"/>
          <w:szCs w:val="24"/>
          <w:highlight w:val="none"/>
        </w:rPr>
        <w:sectPr>
          <w:footerReference r:id="rId6" w:type="default"/>
          <w:pgSz w:w="11906" w:h="16840"/>
          <w:pgMar w:top="1431" w:right="1785" w:bottom="1094" w:left="1457" w:header="0" w:footer="924" w:gutter="0"/>
          <w:cols w:space="720" w:num="1"/>
        </w:sectPr>
      </w:pPr>
    </w:p>
    <w:p w14:paraId="6BFD9597">
      <w:pPr>
        <w:spacing w:before="195" w:line="222" w:lineRule="auto"/>
        <w:ind w:left="4181"/>
        <w:outlineLvl w:val="1"/>
        <w:rPr>
          <w:rFonts w:ascii="黑体" w:hAnsi="黑体" w:eastAsia="黑体" w:cs="黑体"/>
          <w:color w:val="auto"/>
          <w:sz w:val="30"/>
          <w:szCs w:val="30"/>
          <w:highlight w:val="none"/>
        </w:rPr>
      </w:pPr>
      <w:bookmarkStart w:id="1" w:name="bookmark3"/>
      <w:bookmarkEnd w:id="1"/>
      <w:r>
        <w:rPr>
          <w:rFonts w:ascii="黑体" w:hAnsi="黑体" w:eastAsia="黑体" w:cs="黑体"/>
          <w:color w:val="auto"/>
          <w:spacing w:val="-25"/>
          <w:sz w:val="30"/>
          <w:szCs w:val="30"/>
          <w:highlight w:val="none"/>
        </w:rPr>
        <w:t>目</w:t>
      </w:r>
      <w:r>
        <w:rPr>
          <w:rFonts w:ascii="黑体" w:hAnsi="黑体" w:eastAsia="黑体" w:cs="黑体"/>
          <w:color w:val="auto"/>
          <w:spacing w:val="10"/>
          <w:sz w:val="30"/>
          <w:szCs w:val="30"/>
          <w:highlight w:val="none"/>
        </w:rPr>
        <w:t xml:space="preserve">  </w:t>
      </w:r>
      <w:r>
        <w:rPr>
          <w:rFonts w:ascii="黑体" w:hAnsi="黑体" w:eastAsia="黑体" w:cs="黑体"/>
          <w:color w:val="auto"/>
          <w:spacing w:val="-25"/>
          <w:sz w:val="30"/>
          <w:szCs w:val="30"/>
          <w:highlight w:val="none"/>
        </w:rPr>
        <w:t>录</w:t>
      </w:r>
    </w:p>
    <w:p w14:paraId="3E3451C8">
      <w:pPr>
        <w:pStyle w:val="3"/>
        <w:spacing w:line="438" w:lineRule="auto"/>
        <w:rPr>
          <w:color w:val="auto"/>
          <w:highlight w:val="none"/>
        </w:rPr>
      </w:pPr>
    </w:p>
    <w:sdt>
      <w:sdtPr>
        <w:rPr>
          <w:rFonts w:ascii="黑体" w:hAnsi="黑体" w:eastAsia="黑体" w:cs="黑体"/>
          <w:color w:val="auto"/>
          <w:sz w:val="18"/>
          <w:szCs w:val="18"/>
          <w:highlight w:val="none"/>
        </w:rPr>
        <w:id w:val="147482605"/>
        <w:docPartObj>
          <w:docPartGallery w:val="Table of Contents"/>
          <w:docPartUnique/>
        </w:docPartObj>
      </w:sdtPr>
      <w:sdtEndPr>
        <w:rPr>
          <w:rFonts w:ascii="Times New Roman" w:hAnsi="Times New Roman" w:eastAsia="Times New Roman" w:cs="Times New Roman"/>
          <w:color w:val="auto"/>
          <w:sz w:val="18"/>
          <w:szCs w:val="18"/>
          <w:highlight w:val="none"/>
        </w:rPr>
      </w:sdtEndPr>
      <w:sdtContent>
        <w:p w14:paraId="2C022566">
          <w:pPr>
            <w:tabs>
              <w:tab w:val="right" w:leader="dot" w:pos="9082"/>
            </w:tabs>
            <w:spacing w:before="59" w:line="232" w:lineRule="auto"/>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黑体" w:hAnsi="黑体" w:eastAsia="黑体" w:cs="黑体"/>
              <w:color w:val="auto"/>
              <w:spacing w:val="20"/>
              <w:sz w:val="18"/>
              <w:szCs w:val="18"/>
              <w:highlight w:val="none"/>
            </w:rPr>
            <w:t xml:space="preserve">竞争性磋商文件 </w:t>
          </w:r>
          <w:r>
            <w:rPr>
              <w:rFonts w:ascii="黑体" w:hAnsi="黑体" w:eastAsia="黑体" w:cs="黑体"/>
              <w:color w:val="auto"/>
              <w:sz w:val="18"/>
              <w:szCs w:val="18"/>
              <w:highlight w:val="none"/>
            </w:rPr>
            <w:tab/>
          </w:r>
          <w:r>
            <w:rPr>
              <w:rFonts w:ascii="黑体" w:hAnsi="黑体" w:eastAsia="黑体" w:cs="黑体"/>
              <w:color w:val="auto"/>
              <w:spacing w:val="22"/>
              <w:sz w:val="18"/>
              <w:szCs w:val="18"/>
              <w:highlight w:val="none"/>
            </w:rPr>
            <w:t xml:space="preserve">  </w:t>
          </w:r>
          <w:r>
            <w:rPr>
              <w:rFonts w:ascii="黑体" w:hAnsi="黑体" w:eastAsia="黑体" w:cs="黑体"/>
              <w:color w:val="auto"/>
              <w:spacing w:val="22"/>
              <w:sz w:val="18"/>
              <w:szCs w:val="18"/>
              <w:highlight w:val="none"/>
            </w:rPr>
            <w:fldChar w:fldCharType="end"/>
          </w:r>
          <w:r>
            <w:rPr>
              <w:rFonts w:ascii="Times New Roman" w:hAnsi="Times New Roman" w:eastAsia="Times New Roman" w:cs="Times New Roman"/>
              <w:color w:val="auto"/>
              <w:spacing w:val="-15"/>
              <w:w w:val="36"/>
              <w:sz w:val="18"/>
              <w:szCs w:val="18"/>
              <w:highlight w:val="none"/>
            </w:rPr>
            <w:t>1</w:t>
          </w:r>
        </w:p>
        <w:p w14:paraId="41D8546A">
          <w:pPr>
            <w:tabs>
              <w:tab w:val="right" w:leader="dot" w:pos="9049"/>
            </w:tabs>
            <w:spacing w:before="150" w:line="232" w:lineRule="auto"/>
            <w:ind w:left="74"/>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rFonts w:ascii="黑体" w:hAnsi="黑体" w:eastAsia="黑体" w:cs="黑体"/>
              <w:color w:val="auto"/>
              <w:spacing w:val="-11"/>
              <w:sz w:val="18"/>
              <w:szCs w:val="18"/>
              <w:highlight w:val="none"/>
            </w:rPr>
            <w:t>目</w:t>
          </w:r>
          <w:r>
            <w:rPr>
              <w:rFonts w:ascii="黑体" w:hAnsi="黑体" w:eastAsia="黑体" w:cs="黑体"/>
              <w:color w:val="auto"/>
              <w:spacing w:val="16"/>
              <w:sz w:val="18"/>
              <w:szCs w:val="18"/>
              <w:highlight w:val="none"/>
            </w:rPr>
            <w:t xml:space="preserve">  </w:t>
          </w:r>
          <w:r>
            <w:rPr>
              <w:rFonts w:ascii="黑体" w:hAnsi="黑体" w:eastAsia="黑体" w:cs="黑体"/>
              <w:color w:val="auto"/>
              <w:spacing w:val="-11"/>
              <w:sz w:val="18"/>
              <w:szCs w:val="18"/>
              <w:highlight w:val="none"/>
            </w:rPr>
            <w:t>录</w:t>
          </w:r>
          <w:r>
            <w:rPr>
              <w:rFonts w:ascii="黑体" w:hAnsi="黑体" w:eastAsia="黑体" w:cs="黑体"/>
              <w:color w:val="auto"/>
              <w:sz w:val="18"/>
              <w:szCs w:val="18"/>
              <w:highlight w:val="none"/>
            </w:rPr>
            <w:tab/>
          </w:r>
          <w:r>
            <w:rPr>
              <w:rFonts w:ascii="黑体" w:hAnsi="黑体" w:eastAsia="黑体" w:cs="黑体"/>
              <w:color w:val="auto"/>
              <w:spacing w:val="2"/>
              <w:sz w:val="18"/>
              <w:szCs w:val="18"/>
              <w:highlight w:val="none"/>
            </w:rPr>
            <w:t xml:space="preserve"> </w:t>
          </w:r>
          <w:r>
            <w:rPr>
              <w:rFonts w:ascii="Times New Roman" w:hAnsi="Times New Roman" w:eastAsia="Times New Roman" w:cs="Times New Roman"/>
              <w:color w:val="auto"/>
              <w:sz w:val="18"/>
              <w:szCs w:val="18"/>
              <w:highlight w:val="none"/>
            </w:rPr>
            <w:t>3</w:t>
          </w:r>
          <w:r>
            <w:rPr>
              <w:rFonts w:ascii="Times New Roman" w:hAnsi="Times New Roman" w:eastAsia="Times New Roman" w:cs="Times New Roman"/>
              <w:color w:val="auto"/>
              <w:sz w:val="18"/>
              <w:szCs w:val="18"/>
              <w:highlight w:val="none"/>
            </w:rPr>
            <w:fldChar w:fldCharType="end"/>
          </w:r>
        </w:p>
        <w:p w14:paraId="0272F372">
          <w:pPr>
            <w:tabs>
              <w:tab w:val="right" w:leader="dot" w:pos="9040"/>
            </w:tabs>
            <w:spacing w:before="150" w:line="232" w:lineRule="auto"/>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黑体" w:hAnsi="黑体" w:eastAsia="黑体" w:cs="黑体"/>
              <w:color w:val="auto"/>
              <w:spacing w:val="15"/>
              <w:sz w:val="18"/>
              <w:szCs w:val="18"/>
              <w:highlight w:val="none"/>
            </w:rPr>
            <w:t>第一章</w:t>
          </w:r>
          <w:r>
            <w:rPr>
              <w:rFonts w:ascii="黑体" w:hAnsi="黑体" w:eastAsia="黑体" w:cs="黑体"/>
              <w:color w:val="auto"/>
              <w:spacing w:val="35"/>
              <w:sz w:val="18"/>
              <w:szCs w:val="18"/>
              <w:highlight w:val="none"/>
            </w:rPr>
            <w:t xml:space="preserve">  </w:t>
          </w:r>
          <w:r>
            <w:rPr>
              <w:rFonts w:ascii="黑体" w:hAnsi="黑体" w:eastAsia="黑体" w:cs="黑体"/>
              <w:color w:val="auto"/>
              <w:spacing w:val="15"/>
              <w:sz w:val="18"/>
              <w:szCs w:val="18"/>
              <w:highlight w:val="none"/>
            </w:rPr>
            <w:t xml:space="preserve">磋商公告 </w:t>
          </w:r>
          <w:r>
            <w:rPr>
              <w:rFonts w:ascii="黑体" w:hAnsi="黑体" w:eastAsia="黑体" w:cs="黑体"/>
              <w:color w:val="auto"/>
              <w:sz w:val="18"/>
              <w:szCs w:val="18"/>
              <w:highlight w:val="none"/>
            </w:rPr>
            <w:tab/>
          </w:r>
          <w:r>
            <w:rPr>
              <w:rFonts w:ascii="黑体" w:hAnsi="黑体" w:eastAsia="黑体" w:cs="黑体"/>
              <w:color w:val="auto"/>
              <w:sz w:val="18"/>
              <w:szCs w:val="18"/>
              <w:highlight w:val="none"/>
            </w:rPr>
            <w:t xml:space="preserve"> </w:t>
          </w:r>
          <w:r>
            <w:rPr>
              <w:rFonts w:ascii="Times New Roman" w:hAnsi="Times New Roman" w:eastAsia="Times New Roman" w:cs="Times New Roman"/>
              <w:color w:val="auto"/>
              <w:spacing w:val="1"/>
              <w:sz w:val="18"/>
              <w:szCs w:val="18"/>
              <w:highlight w:val="none"/>
            </w:rPr>
            <w:t>4</w:t>
          </w:r>
          <w:r>
            <w:rPr>
              <w:rFonts w:ascii="Times New Roman" w:hAnsi="Times New Roman" w:eastAsia="Times New Roman" w:cs="Times New Roman"/>
              <w:color w:val="auto"/>
              <w:spacing w:val="1"/>
              <w:sz w:val="18"/>
              <w:szCs w:val="18"/>
              <w:highlight w:val="none"/>
            </w:rPr>
            <w:fldChar w:fldCharType="end"/>
          </w:r>
        </w:p>
        <w:p w14:paraId="745527B1">
          <w:pPr>
            <w:tabs>
              <w:tab w:val="right" w:leader="dot" w:pos="9045"/>
            </w:tabs>
            <w:spacing w:before="150" w:line="231" w:lineRule="auto"/>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rFonts w:ascii="黑体" w:hAnsi="黑体" w:eastAsia="黑体" w:cs="黑体"/>
              <w:color w:val="auto"/>
              <w:spacing w:val="16"/>
              <w:sz w:val="18"/>
              <w:szCs w:val="18"/>
              <w:highlight w:val="none"/>
            </w:rPr>
            <w:t>第二章</w:t>
          </w:r>
          <w:r>
            <w:rPr>
              <w:rFonts w:ascii="黑体" w:hAnsi="黑体" w:eastAsia="黑体" w:cs="黑体"/>
              <w:color w:val="auto"/>
              <w:spacing w:val="37"/>
              <w:w w:val="101"/>
              <w:sz w:val="18"/>
              <w:szCs w:val="18"/>
              <w:highlight w:val="none"/>
            </w:rPr>
            <w:t xml:space="preserve">  </w:t>
          </w:r>
          <w:r>
            <w:rPr>
              <w:rFonts w:ascii="黑体" w:hAnsi="黑体" w:eastAsia="黑体" w:cs="黑体"/>
              <w:color w:val="auto"/>
              <w:spacing w:val="16"/>
              <w:sz w:val="18"/>
              <w:szCs w:val="18"/>
              <w:highlight w:val="none"/>
            </w:rPr>
            <w:t xml:space="preserve">供应商须知 </w:t>
          </w:r>
          <w:r>
            <w:rPr>
              <w:rFonts w:ascii="黑体" w:hAnsi="黑体" w:eastAsia="黑体" w:cs="黑体"/>
              <w:color w:val="auto"/>
              <w:sz w:val="18"/>
              <w:szCs w:val="18"/>
              <w:highlight w:val="none"/>
            </w:rPr>
            <w:tab/>
          </w:r>
          <w:r>
            <w:rPr>
              <w:rFonts w:ascii="黑体" w:hAnsi="黑体" w:eastAsia="黑体" w:cs="黑体"/>
              <w:color w:val="auto"/>
              <w:spacing w:val="-3"/>
              <w:sz w:val="18"/>
              <w:szCs w:val="18"/>
              <w:highlight w:val="none"/>
            </w:rPr>
            <w:t xml:space="preserve"> </w:t>
          </w:r>
          <w:r>
            <w:rPr>
              <w:rFonts w:ascii="Times New Roman" w:hAnsi="Times New Roman" w:eastAsia="Times New Roman" w:cs="Times New Roman"/>
              <w:color w:val="auto"/>
              <w:sz w:val="18"/>
              <w:szCs w:val="18"/>
              <w:highlight w:val="none"/>
            </w:rPr>
            <w:t>8</w:t>
          </w:r>
          <w:r>
            <w:rPr>
              <w:rFonts w:ascii="Times New Roman" w:hAnsi="Times New Roman" w:eastAsia="Times New Roman" w:cs="Times New Roman"/>
              <w:color w:val="auto"/>
              <w:sz w:val="18"/>
              <w:szCs w:val="18"/>
              <w:highlight w:val="none"/>
            </w:rPr>
            <w:fldChar w:fldCharType="end"/>
          </w:r>
        </w:p>
        <w:p w14:paraId="45B4B6F5">
          <w:pPr>
            <w:tabs>
              <w:tab w:val="right" w:leader="dot" w:pos="9045"/>
            </w:tabs>
            <w:spacing w:before="154" w:line="231" w:lineRule="auto"/>
            <w:ind w:left="419"/>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黑体" w:hAnsi="黑体" w:eastAsia="黑体" w:cs="黑体"/>
              <w:color w:val="auto"/>
              <w:spacing w:val="21"/>
              <w:sz w:val="18"/>
              <w:szCs w:val="18"/>
              <w:highlight w:val="none"/>
            </w:rPr>
            <w:t xml:space="preserve">供应商须知前附表 </w:t>
          </w:r>
          <w:r>
            <w:rPr>
              <w:rFonts w:ascii="黑体" w:hAnsi="黑体" w:eastAsia="黑体" w:cs="黑体"/>
              <w:color w:val="auto"/>
              <w:sz w:val="18"/>
              <w:szCs w:val="18"/>
              <w:highlight w:val="none"/>
            </w:rPr>
            <w:tab/>
          </w:r>
          <w:r>
            <w:rPr>
              <w:rFonts w:ascii="黑体" w:hAnsi="黑体" w:eastAsia="黑体" w:cs="黑体"/>
              <w:color w:val="auto"/>
              <w:spacing w:val="25"/>
              <w:sz w:val="18"/>
              <w:szCs w:val="18"/>
              <w:highlight w:val="none"/>
            </w:rPr>
            <w:t xml:space="preserve"> </w:t>
          </w:r>
          <w:r>
            <w:rPr>
              <w:rFonts w:ascii="Times New Roman" w:hAnsi="Times New Roman" w:eastAsia="Times New Roman" w:cs="Times New Roman"/>
              <w:color w:val="auto"/>
              <w:sz w:val="18"/>
              <w:szCs w:val="18"/>
              <w:highlight w:val="none"/>
            </w:rPr>
            <w:t>8</w:t>
          </w:r>
          <w:r>
            <w:rPr>
              <w:rFonts w:ascii="Times New Roman" w:hAnsi="Times New Roman" w:eastAsia="Times New Roman" w:cs="Times New Roman"/>
              <w:color w:val="auto"/>
              <w:sz w:val="18"/>
              <w:szCs w:val="18"/>
              <w:highlight w:val="none"/>
            </w:rPr>
            <w:fldChar w:fldCharType="end"/>
          </w:r>
        </w:p>
        <w:p w14:paraId="6E58A1AA">
          <w:pPr>
            <w:tabs>
              <w:tab w:val="right" w:leader="dot" w:pos="9029"/>
            </w:tabs>
            <w:spacing w:before="163" w:line="237" w:lineRule="auto"/>
            <w:ind w:left="868"/>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"bookmark7" </w:instrText>
          </w:r>
          <w:r>
            <w:rPr>
              <w:color w:val="auto"/>
              <w:highlight w:val="none"/>
            </w:rPr>
            <w:fldChar w:fldCharType="separate"/>
          </w:r>
          <w:r>
            <w:rPr>
              <w:rFonts w:ascii="楷体" w:hAnsi="楷体" w:eastAsia="楷体" w:cs="楷体"/>
              <w:color w:val="auto"/>
              <w:spacing w:val="17"/>
              <w:sz w:val="18"/>
              <w:szCs w:val="18"/>
              <w:highlight w:val="none"/>
            </w:rPr>
            <w:t xml:space="preserve">1.采购依据以及原则 </w:t>
          </w:r>
          <w:r>
            <w:rPr>
              <w:rFonts w:ascii="楷体" w:hAnsi="楷体" w:eastAsia="楷体" w:cs="楷体"/>
              <w:color w:val="auto"/>
              <w:sz w:val="18"/>
              <w:szCs w:val="18"/>
              <w:highlight w:val="none"/>
            </w:rPr>
            <w:tab/>
          </w:r>
          <w:r>
            <w:rPr>
              <w:rFonts w:ascii="楷体" w:hAnsi="楷体" w:eastAsia="楷体" w:cs="楷体"/>
              <w:color w:val="auto"/>
              <w:spacing w:val="17"/>
              <w:sz w:val="18"/>
              <w:szCs w:val="18"/>
              <w:highlight w:val="none"/>
            </w:rPr>
            <w:t xml:space="preserve"> </w:t>
          </w:r>
          <w:r>
            <w:rPr>
              <w:rFonts w:ascii="Times New Roman" w:hAnsi="Times New Roman" w:eastAsia="Times New Roman" w:cs="Times New Roman"/>
              <w:color w:val="auto"/>
              <w:spacing w:val="-7"/>
              <w:sz w:val="18"/>
              <w:szCs w:val="18"/>
              <w:highlight w:val="none"/>
            </w:rPr>
            <w:t>14</w:t>
          </w:r>
          <w:r>
            <w:rPr>
              <w:rFonts w:ascii="Times New Roman" w:hAnsi="Times New Roman" w:eastAsia="Times New Roman" w:cs="Times New Roman"/>
              <w:color w:val="auto"/>
              <w:spacing w:val="-7"/>
              <w:sz w:val="18"/>
              <w:szCs w:val="18"/>
              <w:highlight w:val="none"/>
            </w:rPr>
            <w:fldChar w:fldCharType="end"/>
          </w:r>
        </w:p>
        <w:p w14:paraId="7EEB1362">
          <w:pPr>
            <w:tabs>
              <w:tab w:val="right" w:leader="dot" w:pos="9062"/>
            </w:tabs>
            <w:spacing w:before="146" w:line="235" w:lineRule="auto"/>
            <w:ind w:left="833"/>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rFonts w:ascii="楷体" w:hAnsi="楷体" w:eastAsia="楷体" w:cs="楷体"/>
              <w:color w:val="auto"/>
              <w:spacing w:val="18"/>
              <w:sz w:val="18"/>
              <w:szCs w:val="18"/>
              <w:highlight w:val="none"/>
            </w:rPr>
            <w:t xml:space="preserve">2.合格的供应商 </w:t>
          </w:r>
          <w:r>
            <w:rPr>
              <w:rFonts w:ascii="楷体" w:hAnsi="楷体" w:eastAsia="楷体" w:cs="楷体"/>
              <w:color w:val="auto"/>
              <w:sz w:val="18"/>
              <w:szCs w:val="18"/>
              <w:highlight w:val="none"/>
            </w:rPr>
            <w:tab/>
          </w:r>
          <w:r>
            <w:rPr>
              <w:rFonts w:ascii="楷体" w:hAnsi="楷体" w:eastAsia="楷体" w:cs="楷体"/>
              <w:color w:val="auto"/>
              <w:spacing w:val="44"/>
              <w:sz w:val="18"/>
              <w:szCs w:val="18"/>
              <w:highlight w:val="none"/>
            </w:rPr>
            <w:t xml:space="preserve"> </w:t>
          </w:r>
          <w:r>
            <w:rPr>
              <w:rFonts w:ascii="Times New Roman" w:hAnsi="Times New Roman" w:eastAsia="Times New Roman" w:cs="Times New Roman"/>
              <w:color w:val="auto"/>
              <w:spacing w:val="-9"/>
              <w:sz w:val="18"/>
              <w:szCs w:val="18"/>
              <w:highlight w:val="none"/>
            </w:rPr>
            <w:t>14</w:t>
          </w:r>
          <w:r>
            <w:rPr>
              <w:rFonts w:ascii="Times New Roman" w:hAnsi="Times New Roman" w:eastAsia="Times New Roman" w:cs="Times New Roman"/>
              <w:color w:val="auto"/>
              <w:spacing w:val="-9"/>
              <w:sz w:val="18"/>
              <w:szCs w:val="18"/>
              <w:highlight w:val="none"/>
            </w:rPr>
            <w:fldChar w:fldCharType="end"/>
          </w:r>
        </w:p>
        <w:p w14:paraId="59105129">
          <w:pPr>
            <w:tabs>
              <w:tab w:val="right" w:leader="dot" w:pos="9065"/>
            </w:tabs>
            <w:spacing w:before="155" w:line="241" w:lineRule="auto"/>
            <w:ind w:left="840"/>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"bookmark9" </w:instrText>
          </w:r>
          <w:r>
            <w:rPr>
              <w:color w:val="auto"/>
              <w:highlight w:val="none"/>
            </w:rPr>
            <w:fldChar w:fldCharType="separate"/>
          </w:r>
          <w:r>
            <w:rPr>
              <w:rFonts w:ascii="楷体" w:hAnsi="楷体" w:eastAsia="楷体" w:cs="楷体"/>
              <w:color w:val="auto"/>
              <w:spacing w:val="11"/>
              <w:sz w:val="18"/>
              <w:szCs w:val="18"/>
              <w:highlight w:val="none"/>
            </w:rPr>
            <w:t>3.保密</w:t>
          </w:r>
          <w:r>
            <w:rPr>
              <w:rFonts w:ascii="楷体" w:hAnsi="楷体" w:eastAsia="楷体" w:cs="楷体"/>
              <w:color w:val="auto"/>
              <w:spacing w:val="-5"/>
              <w:sz w:val="18"/>
              <w:szCs w:val="18"/>
              <w:highlight w:val="none"/>
            </w:rPr>
            <w:t xml:space="preserve"> </w:t>
          </w:r>
          <w:r>
            <w:rPr>
              <w:rFonts w:ascii="楷体" w:hAnsi="楷体" w:eastAsia="楷体" w:cs="楷体"/>
              <w:color w:val="auto"/>
              <w:sz w:val="18"/>
              <w:szCs w:val="18"/>
              <w:highlight w:val="none"/>
            </w:rPr>
            <w:tab/>
          </w:r>
          <w:r>
            <w:rPr>
              <w:rFonts w:ascii="楷体" w:hAnsi="楷体" w:eastAsia="楷体" w:cs="楷体"/>
              <w:color w:val="auto"/>
              <w:spacing w:val="70"/>
              <w:sz w:val="18"/>
              <w:szCs w:val="18"/>
              <w:highlight w:val="none"/>
            </w:rPr>
            <w:t xml:space="preserve"> </w:t>
          </w:r>
          <w:r>
            <w:rPr>
              <w:rFonts w:ascii="Times New Roman" w:hAnsi="Times New Roman" w:eastAsia="Times New Roman" w:cs="Times New Roman"/>
              <w:color w:val="auto"/>
              <w:spacing w:val="-9"/>
              <w:sz w:val="18"/>
              <w:szCs w:val="18"/>
              <w:highlight w:val="none"/>
            </w:rPr>
            <w:t>15</w:t>
          </w:r>
          <w:r>
            <w:rPr>
              <w:rFonts w:ascii="Times New Roman" w:hAnsi="Times New Roman" w:eastAsia="Times New Roman" w:cs="Times New Roman"/>
              <w:color w:val="auto"/>
              <w:spacing w:val="-9"/>
              <w:sz w:val="18"/>
              <w:szCs w:val="18"/>
              <w:highlight w:val="none"/>
            </w:rPr>
            <w:fldChar w:fldCharType="end"/>
          </w:r>
        </w:p>
        <w:p w14:paraId="03C8FEBA">
          <w:pPr>
            <w:tabs>
              <w:tab w:val="right" w:leader="dot" w:pos="9065"/>
            </w:tabs>
            <w:spacing w:before="137" w:line="234" w:lineRule="auto"/>
            <w:ind w:left="822"/>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rFonts w:ascii="楷体" w:hAnsi="楷体" w:eastAsia="楷体" w:cs="楷体"/>
              <w:color w:val="auto"/>
              <w:spacing w:val="21"/>
              <w:sz w:val="18"/>
              <w:szCs w:val="18"/>
              <w:highlight w:val="none"/>
            </w:rPr>
            <w:t>4.语言文字</w:t>
          </w:r>
          <w:r>
            <w:rPr>
              <w:rFonts w:ascii="楷体" w:hAnsi="楷体" w:eastAsia="楷体" w:cs="楷体"/>
              <w:color w:val="auto"/>
              <w:spacing w:val="-50"/>
              <w:sz w:val="18"/>
              <w:szCs w:val="18"/>
              <w:highlight w:val="none"/>
            </w:rPr>
            <w:t xml:space="preserve"> </w:t>
          </w:r>
          <w:r>
            <w:rPr>
              <w:rFonts w:ascii="楷体" w:hAnsi="楷体" w:eastAsia="楷体" w:cs="楷体"/>
              <w:color w:val="auto"/>
              <w:spacing w:val="21"/>
              <w:sz w:val="18"/>
              <w:szCs w:val="18"/>
              <w:highlight w:val="none"/>
            </w:rPr>
            <w:t>、计量单位</w:t>
          </w:r>
          <w:r>
            <w:rPr>
              <w:rFonts w:ascii="楷体" w:hAnsi="楷体" w:eastAsia="楷体" w:cs="楷体"/>
              <w:color w:val="auto"/>
              <w:spacing w:val="-51"/>
              <w:sz w:val="18"/>
              <w:szCs w:val="18"/>
              <w:highlight w:val="none"/>
            </w:rPr>
            <w:t xml:space="preserve"> </w:t>
          </w:r>
          <w:r>
            <w:rPr>
              <w:rFonts w:ascii="楷体" w:hAnsi="楷体" w:eastAsia="楷体" w:cs="楷体"/>
              <w:color w:val="auto"/>
              <w:spacing w:val="21"/>
              <w:sz w:val="18"/>
              <w:szCs w:val="18"/>
              <w:highlight w:val="none"/>
            </w:rPr>
            <w:t>、</w:t>
          </w:r>
          <w:r>
            <w:rPr>
              <w:rFonts w:ascii="楷体" w:hAnsi="楷体" w:eastAsia="楷体" w:cs="楷体"/>
              <w:color w:val="auto"/>
              <w:spacing w:val="-45"/>
              <w:sz w:val="18"/>
              <w:szCs w:val="18"/>
              <w:highlight w:val="none"/>
            </w:rPr>
            <w:t xml:space="preserve"> </w:t>
          </w:r>
          <w:r>
            <w:rPr>
              <w:rFonts w:ascii="楷体" w:hAnsi="楷体" w:eastAsia="楷体" w:cs="楷体"/>
              <w:color w:val="auto"/>
              <w:spacing w:val="21"/>
              <w:sz w:val="18"/>
              <w:szCs w:val="18"/>
              <w:highlight w:val="none"/>
            </w:rPr>
            <w:t>时间单位</w:t>
          </w:r>
          <w:r>
            <w:rPr>
              <w:rFonts w:ascii="楷体" w:hAnsi="楷体" w:eastAsia="楷体" w:cs="楷体"/>
              <w:color w:val="auto"/>
              <w:spacing w:val="-53"/>
              <w:sz w:val="18"/>
              <w:szCs w:val="18"/>
              <w:highlight w:val="none"/>
            </w:rPr>
            <w:t xml:space="preserve"> </w:t>
          </w:r>
          <w:r>
            <w:rPr>
              <w:rFonts w:ascii="楷体" w:hAnsi="楷体" w:eastAsia="楷体" w:cs="楷体"/>
              <w:color w:val="auto"/>
              <w:spacing w:val="21"/>
              <w:sz w:val="18"/>
              <w:szCs w:val="18"/>
              <w:highlight w:val="none"/>
            </w:rPr>
            <w:t>、报价有效期以及参与采购活</w:t>
          </w:r>
          <w:r>
            <w:rPr>
              <w:rFonts w:ascii="楷体" w:hAnsi="楷体" w:eastAsia="楷体" w:cs="楷体"/>
              <w:color w:val="auto"/>
              <w:spacing w:val="20"/>
              <w:sz w:val="18"/>
              <w:szCs w:val="18"/>
              <w:highlight w:val="none"/>
            </w:rPr>
            <w:t>动</w:t>
          </w:r>
          <w:r>
            <w:rPr>
              <w:rFonts w:ascii="楷体" w:hAnsi="楷体" w:eastAsia="楷体" w:cs="楷体"/>
              <w:color w:val="auto"/>
              <w:spacing w:val="-43"/>
              <w:sz w:val="18"/>
              <w:szCs w:val="18"/>
              <w:highlight w:val="none"/>
            </w:rPr>
            <w:t xml:space="preserve"> </w:t>
          </w:r>
          <w:r>
            <w:rPr>
              <w:rFonts w:ascii="楷体" w:hAnsi="楷体" w:eastAsia="楷体" w:cs="楷体"/>
              <w:color w:val="auto"/>
              <w:spacing w:val="20"/>
              <w:sz w:val="18"/>
              <w:szCs w:val="18"/>
              <w:highlight w:val="none"/>
            </w:rPr>
            <w:t xml:space="preserve">费用 </w:t>
          </w:r>
          <w:r>
            <w:rPr>
              <w:rFonts w:ascii="楷体" w:hAnsi="楷体" w:eastAsia="楷体" w:cs="楷体"/>
              <w:color w:val="auto"/>
              <w:sz w:val="18"/>
              <w:szCs w:val="18"/>
              <w:highlight w:val="none"/>
            </w:rPr>
            <w:tab/>
          </w:r>
          <w:r>
            <w:rPr>
              <w:rFonts w:ascii="楷体" w:hAnsi="楷体" w:eastAsia="楷体" w:cs="楷体"/>
              <w:color w:val="auto"/>
              <w:spacing w:val="2"/>
              <w:sz w:val="18"/>
              <w:szCs w:val="18"/>
              <w:highlight w:val="none"/>
            </w:rPr>
            <w:t xml:space="preserve">  </w:t>
          </w:r>
          <w:r>
            <w:rPr>
              <w:rFonts w:ascii="Times New Roman" w:hAnsi="Times New Roman" w:eastAsia="Times New Roman" w:cs="Times New Roman"/>
              <w:color w:val="auto"/>
              <w:spacing w:val="-9"/>
              <w:sz w:val="18"/>
              <w:szCs w:val="18"/>
              <w:highlight w:val="none"/>
            </w:rPr>
            <w:t>15</w:t>
          </w:r>
          <w:r>
            <w:rPr>
              <w:rFonts w:ascii="Times New Roman" w:hAnsi="Times New Roman" w:eastAsia="Times New Roman" w:cs="Times New Roman"/>
              <w:color w:val="auto"/>
              <w:spacing w:val="-9"/>
              <w:sz w:val="18"/>
              <w:szCs w:val="18"/>
              <w:highlight w:val="none"/>
            </w:rPr>
            <w:fldChar w:fldCharType="end"/>
          </w:r>
        </w:p>
        <w:p w14:paraId="22D2DC64">
          <w:pPr>
            <w:tabs>
              <w:tab w:val="right" w:leader="dot" w:pos="9065"/>
            </w:tabs>
            <w:spacing w:before="154" w:line="234" w:lineRule="auto"/>
            <w:ind w:left="826"/>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"bookmark11" </w:instrText>
          </w:r>
          <w:r>
            <w:rPr>
              <w:color w:val="auto"/>
              <w:highlight w:val="none"/>
            </w:rPr>
            <w:fldChar w:fldCharType="separate"/>
          </w:r>
          <w:r>
            <w:rPr>
              <w:rFonts w:ascii="楷体" w:hAnsi="楷体" w:eastAsia="楷体" w:cs="楷体"/>
              <w:color w:val="auto"/>
              <w:spacing w:val="18"/>
              <w:sz w:val="18"/>
              <w:szCs w:val="18"/>
              <w:highlight w:val="none"/>
            </w:rPr>
            <w:t>5.踏勘现场</w:t>
          </w:r>
          <w:r>
            <w:rPr>
              <w:rFonts w:ascii="楷体" w:hAnsi="楷体" w:eastAsia="楷体" w:cs="楷体"/>
              <w:color w:val="auto"/>
              <w:spacing w:val="5"/>
              <w:sz w:val="18"/>
              <w:szCs w:val="18"/>
              <w:highlight w:val="none"/>
            </w:rPr>
            <w:t xml:space="preserve"> </w:t>
          </w:r>
          <w:r>
            <w:rPr>
              <w:rFonts w:ascii="楷体" w:hAnsi="楷体" w:eastAsia="楷体" w:cs="楷体"/>
              <w:color w:val="auto"/>
              <w:sz w:val="18"/>
              <w:szCs w:val="18"/>
              <w:highlight w:val="none"/>
            </w:rPr>
            <w:tab/>
          </w:r>
          <w:r>
            <w:rPr>
              <w:rFonts w:ascii="楷体" w:hAnsi="楷体" w:eastAsia="楷体" w:cs="楷体"/>
              <w:color w:val="auto"/>
              <w:spacing w:val="34"/>
              <w:sz w:val="18"/>
              <w:szCs w:val="18"/>
              <w:highlight w:val="none"/>
            </w:rPr>
            <w:t xml:space="preserve"> </w:t>
          </w:r>
          <w:r>
            <w:rPr>
              <w:rFonts w:ascii="Times New Roman" w:hAnsi="Times New Roman" w:eastAsia="Times New Roman" w:cs="Times New Roman"/>
              <w:color w:val="auto"/>
              <w:spacing w:val="-9"/>
              <w:sz w:val="18"/>
              <w:szCs w:val="18"/>
              <w:highlight w:val="none"/>
            </w:rPr>
            <w:t>15</w:t>
          </w:r>
          <w:r>
            <w:rPr>
              <w:rFonts w:ascii="Times New Roman" w:hAnsi="Times New Roman" w:eastAsia="Times New Roman" w:cs="Times New Roman"/>
              <w:color w:val="auto"/>
              <w:spacing w:val="-9"/>
              <w:sz w:val="18"/>
              <w:szCs w:val="18"/>
              <w:highlight w:val="none"/>
            </w:rPr>
            <w:fldChar w:fldCharType="end"/>
          </w:r>
        </w:p>
        <w:p w14:paraId="49A9B5F7">
          <w:pPr>
            <w:tabs>
              <w:tab w:val="right" w:leader="dot" w:pos="9065"/>
            </w:tabs>
            <w:spacing w:before="150" w:line="238" w:lineRule="auto"/>
            <w:ind w:left="839"/>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rFonts w:ascii="楷体" w:hAnsi="楷体" w:eastAsia="楷体" w:cs="楷体"/>
              <w:color w:val="auto"/>
              <w:spacing w:val="11"/>
              <w:sz w:val="18"/>
              <w:szCs w:val="18"/>
              <w:highlight w:val="none"/>
            </w:rPr>
            <w:t>6.询问</w:t>
          </w:r>
          <w:r>
            <w:rPr>
              <w:rFonts w:ascii="楷体" w:hAnsi="楷体" w:eastAsia="楷体" w:cs="楷体"/>
              <w:color w:val="auto"/>
              <w:spacing w:val="-3"/>
              <w:sz w:val="18"/>
              <w:szCs w:val="18"/>
              <w:highlight w:val="none"/>
            </w:rPr>
            <w:t xml:space="preserve"> </w:t>
          </w:r>
          <w:r>
            <w:rPr>
              <w:rFonts w:ascii="楷体" w:hAnsi="楷体" w:eastAsia="楷体" w:cs="楷体"/>
              <w:color w:val="auto"/>
              <w:sz w:val="18"/>
              <w:szCs w:val="18"/>
              <w:highlight w:val="none"/>
            </w:rPr>
            <w:tab/>
          </w:r>
          <w:r>
            <w:rPr>
              <w:rFonts w:ascii="楷体" w:hAnsi="楷体" w:eastAsia="楷体" w:cs="楷体"/>
              <w:color w:val="auto"/>
              <w:spacing w:val="70"/>
              <w:sz w:val="18"/>
              <w:szCs w:val="18"/>
              <w:highlight w:val="none"/>
            </w:rPr>
            <w:t xml:space="preserve"> </w:t>
          </w:r>
          <w:r>
            <w:rPr>
              <w:rFonts w:ascii="Times New Roman" w:hAnsi="Times New Roman" w:eastAsia="Times New Roman" w:cs="Times New Roman"/>
              <w:color w:val="auto"/>
              <w:spacing w:val="-9"/>
              <w:sz w:val="18"/>
              <w:szCs w:val="18"/>
              <w:highlight w:val="none"/>
            </w:rPr>
            <w:t>16</w:t>
          </w:r>
          <w:r>
            <w:rPr>
              <w:rFonts w:ascii="Times New Roman" w:hAnsi="Times New Roman" w:eastAsia="Times New Roman" w:cs="Times New Roman"/>
              <w:color w:val="auto"/>
              <w:spacing w:val="-9"/>
              <w:sz w:val="18"/>
              <w:szCs w:val="18"/>
              <w:highlight w:val="none"/>
            </w:rPr>
            <w:fldChar w:fldCharType="end"/>
          </w:r>
        </w:p>
        <w:p w14:paraId="01730DDB">
          <w:pPr>
            <w:tabs>
              <w:tab w:val="right" w:leader="dot" w:pos="9065"/>
            </w:tabs>
            <w:spacing w:before="148" w:line="237" w:lineRule="auto"/>
            <w:ind w:left="840"/>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"bookmark13" </w:instrText>
          </w:r>
          <w:r>
            <w:rPr>
              <w:color w:val="auto"/>
              <w:highlight w:val="none"/>
            </w:rPr>
            <w:fldChar w:fldCharType="separate"/>
          </w:r>
          <w:r>
            <w:rPr>
              <w:rFonts w:ascii="楷体" w:hAnsi="楷体" w:eastAsia="楷体" w:cs="楷体"/>
              <w:color w:val="auto"/>
              <w:spacing w:val="11"/>
              <w:sz w:val="18"/>
              <w:szCs w:val="18"/>
              <w:highlight w:val="none"/>
            </w:rPr>
            <w:t>7.偏离</w:t>
          </w:r>
          <w:r>
            <w:rPr>
              <w:rFonts w:ascii="楷体" w:hAnsi="楷体" w:eastAsia="楷体" w:cs="楷体"/>
              <w:color w:val="auto"/>
              <w:spacing w:val="-5"/>
              <w:sz w:val="18"/>
              <w:szCs w:val="18"/>
              <w:highlight w:val="none"/>
            </w:rPr>
            <w:t xml:space="preserve"> </w:t>
          </w:r>
          <w:r>
            <w:rPr>
              <w:rFonts w:ascii="楷体" w:hAnsi="楷体" w:eastAsia="楷体" w:cs="楷体"/>
              <w:color w:val="auto"/>
              <w:sz w:val="18"/>
              <w:szCs w:val="18"/>
              <w:highlight w:val="none"/>
            </w:rPr>
            <w:tab/>
          </w:r>
          <w:r>
            <w:rPr>
              <w:rFonts w:ascii="楷体" w:hAnsi="楷体" w:eastAsia="楷体" w:cs="楷体"/>
              <w:color w:val="auto"/>
              <w:spacing w:val="70"/>
              <w:sz w:val="18"/>
              <w:szCs w:val="18"/>
              <w:highlight w:val="none"/>
            </w:rPr>
            <w:t xml:space="preserve"> </w:t>
          </w:r>
          <w:r>
            <w:rPr>
              <w:rFonts w:ascii="Times New Roman" w:hAnsi="Times New Roman" w:eastAsia="Times New Roman" w:cs="Times New Roman"/>
              <w:color w:val="auto"/>
              <w:spacing w:val="-9"/>
              <w:sz w:val="18"/>
              <w:szCs w:val="18"/>
              <w:highlight w:val="none"/>
            </w:rPr>
            <w:t>16</w:t>
          </w:r>
          <w:r>
            <w:rPr>
              <w:rFonts w:ascii="Times New Roman" w:hAnsi="Times New Roman" w:eastAsia="Times New Roman" w:cs="Times New Roman"/>
              <w:color w:val="auto"/>
              <w:spacing w:val="-9"/>
              <w:sz w:val="18"/>
              <w:szCs w:val="18"/>
              <w:highlight w:val="none"/>
            </w:rPr>
            <w:fldChar w:fldCharType="end"/>
          </w:r>
        </w:p>
        <w:p w14:paraId="59F8FE13">
          <w:pPr>
            <w:tabs>
              <w:tab w:val="right" w:leader="dot" w:pos="9065"/>
            </w:tabs>
            <w:spacing w:before="148" w:line="237" w:lineRule="auto"/>
            <w:ind w:left="832"/>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rFonts w:ascii="楷体" w:hAnsi="楷体" w:eastAsia="楷体" w:cs="楷体"/>
              <w:color w:val="auto"/>
              <w:spacing w:val="15"/>
              <w:sz w:val="18"/>
              <w:szCs w:val="18"/>
              <w:highlight w:val="none"/>
            </w:rPr>
            <w:t xml:space="preserve">8.履约担保 </w:t>
          </w:r>
          <w:r>
            <w:rPr>
              <w:rFonts w:ascii="楷体" w:hAnsi="楷体" w:eastAsia="楷体" w:cs="楷体"/>
              <w:color w:val="auto"/>
              <w:sz w:val="18"/>
              <w:szCs w:val="18"/>
              <w:highlight w:val="none"/>
            </w:rPr>
            <w:tab/>
          </w:r>
          <w:r>
            <w:rPr>
              <w:rFonts w:ascii="楷体" w:hAnsi="楷体" w:eastAsia="楷体" w:cs="楷体"/>
              <w:color w:val="auto"/>
              <w:spacing w:val="34"/>
              <w:sz w:val="18"/>
              <w:szCs w:val="18"/>
              <w:highlight w:val="none"/>
            </w:rPr>
            <w:t xml:space="preserve"> </w:t>
          </w:r>
          <w:r>
            <w:rPr>
              <w:rFonts w:ascii="Times New Roman" w:hAnsi="Times New Roman" w:eastAsia="Times New Roman" w:cs="Times New Roman"/>
              <w:color w:val="auto"/>
              <w:spacing w:val="-9"/>
              <w:sz w:val="18"/>
              <w:szCs w:val="18"/>
              <w:highlight w:val="none"/>
            </w:rPr>
            <w:t>16</w:t>
          </w:r>
          <w:r>
            <w:rPr>
              <w:rFonts w:ascii="Times New Roman" w:hAnsi="Times New Roman" w:eastAsia="Times New Roman" w:cs="Times New Roman"/>
              <w:color w:val="auto"/>
              <w:spacing w:val="-9"/>
              <w:sz w:val="18"/>
              <w:szCs w:val="18"/>
              <w:highlight w:val="none"/>
            </w:rPr>
            <w:fldChar w:fldCharType="end"/>
          </w:r>
        </w:p>
        <w:p w14:paraId="4769E75C">
          <w:pPr>
            <w:tabs>
              <w:tab w:val="right" w:leader="dot" w:pos="9065"/>
            </w:tabs>
            <w:spacing w:before="145" w:line="236" w:lineRule="auto"/>
            <w:ind w:left="822"/>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rFonts w:ascii="楷体" w:hAnsi="楷体" w:eastAsia="楷体" w:cs="楷体"/>
              <w:color w:val="auto"/>
              <w:spacing w:val="20"/>
              <w:sz w:val="18"/>
              <w:szCs w:val="18"/>
              <w:highlight w:val="none"/>
            </w:rPr>
            <w:t xml:space="preserve">9.采购代理服务费 </w:t>
          </w:r>
          <w:r>
            <w:rPr>
              <w:rFonts w:ascii="楷体" w:hAnsi="楷体" w:eastAsia="楷体" w:cs="楷体"/>
              <w:color w:val="auto"/>
              <w:sz w:val="18"/>
              <w:szCs w:val="18"/>
              <w:highlight w:val="none"/>
            </w:rPr>
            <w:tab/>
          </w:r>
          <w:r>
            <w:rPr>
              <w:rFonts w:ascii="楷体" w:hAnsi="楷体" w:eastAsia="楷体" w:cs="楷体"/>
              <w:color w:val="auto"/>
              <w:spacing w:val="74"/>
              <w:sz w:val="18"/>
              <w:szCs w:val="18"/>
              <w:highlight w:val="none"/>
            </w:rPr>
            <w:t xml:space="preserve"> </w:t>
          </w:r>
          <w:r>
            <w:rPr>
              <w:rFonts w:ascii="Times New Roman" w:hAnsi="Times New Roman" w:eastAsia="Times New Roman" w:cs="Times New Roman"/>
              <w:color w:val="auto"/>
              <w:spacing w:val="-9"/>
              <w:sz w:val="18"/>
              <w:szCs w:val="18"/>
              <w:highlight w:val="none"/>
            </w:rPr>
            <w:t>16</w:t>
          </w:r>
          <w:r>
            <w:rPr>
              <w:rFonts w:ascii="Times New Roman" w:hAnsi="Times New Roman" w:eastAsia="Times New Roman" w:cs="Times New Roman"/>
              <w:color w:val="auto"/>
              <w:spacing w:val="-9"/>
              <w:sz w:val="18"/>
              <w:szCs w:val="18"/>
              <w:highlight w:val="none"/>
            </w:rPr>
            <w:fldChar w:fldCharType="end"/>
          </w:r>
        </w:p>
        <w:p w14:paraId="291BBA63">
          <w:pPr>
            <w:tabs>
              <w:tab w:val="right" w:leader="dot" w:pos="9029"/>
            </w:tabs>
            <w:spacing w:before="145" w:line="232" w:lineRule="auto"/>
            <w:ind w:left="861"/>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rFonts w:ascii="仿宋" w:hAnsi="仿宋" w:eastAsia="仿宋" w:cs="仿宋"/>
              <w:color w:val="auto"/>
              <w:spacing w:val="14"/>
              <w:sz w:val="18"/>
              <w:szCs w:val="18"/>
              <w:highlight w:val="none"/>
            </w:rPr>
            <w:t>见供应商须知前附表</w:t>
          </w:r>
          <w:r>
            <w:rPr>
              <w:rFonts w:ascii="仿宋" w:hAnsi="仿宋" w:eastAsia="仿宋" w:cs="仿宋"/>
              <w:color w:val="auto"/>
              <w:spacing w:val="-52"/>
              <w:sz w:val="18"/>
              <w:szCs w:val="18"/>
              <w:highlight w:val="none"/>
            </w:rPr>
            <w:t xml:space="preserve"> </w:t>
          </w:r>
          <w:r>
            <w:rPr>
              <w:rFonts w:ascii="仿宋" w:hAnsi="仿宋" w:eastAsia="仿宋" w:cs="仿宋"/>
              <w:color w:val="auto"/>
              <w:spacing w:val="14"/>
              <w:sz w:val="18"/>
              <w:szCs w:val="18"/>
              <w:highlight w:val="none"/>
            </w:rPr>
            <w:t>。</w:t>
          </w:r>
          <w:r>
            <w:rPr>
              <w:rFonts w:ascii="仿宋" w:hAnsi="仿宋" w:eastAsia="仿宋" w:cs="仿宋"/>
              <w:color w:val="auto"/>
              <w:spacing w:val="47"/>
              <w:sz w:val="18"/>
              <w:szCs w:val="18"/>
              <w:highlight w:val="none"/>
            </w:rPr>
            <w:t xml:space="preserve"> </w:t>
          </w:r>
          <w:r>
            <w:rPr>
              <w:rFonts w:ascii="仿宋" w:hAnsi="仿宋" w:eastAsia="仿宋" w:cs="仿宋"/>
              <w:color w:val="auto"/>
              <w:sz w:val="18"/>
              <w:szCs w:val="18"/>
              <w:highlight w:val="none"/>
            </w:rPr>
            <w:tab/>
          </w:r>
          <w:r>
            <w:rPr>
              <w:rFonts w:ascii="仿宋" w:hAnsi="仿宋" w:eastAsia="仿宋" w:cs="仿宋"/>
              <w:color w:val="auto"/>
              <w:spacing w:val="2"/>
              <w:sz w:val="18"/>
              <w:szCs w:val="18"/>
              <w:highlight w:val="none"/>
            </w:rPr>
            <w:t xml:space="preserve"> </w:t>
          </w:r>
          <w:r>
            <w:rPr>
              <w:rFonts w:ascii="Times New Roman" w:hAnsi="Times New Roman" w:eastAsia="Times New Roman" w:cs="Times New Roman"/>
              <w:color w:val="auto"/>
              <w:spacing w:val="-7"/>
              <w:sz w:val="18"/>
              <w:szCs w:val="18"/>
              <w:highlight w:val="none"/>
            </w:rPr>
            <w:t>16</w:t>
          </w:r>
          <w:r>
            <w:rPr>
              <w:rFonts w:ascii="Times New Roman" w:hAnsi="Times New Roman" w:eastAsia="Times New Roman" w:cs="Times New Roman"/>
              <w:color w:val="auto"/>
              <w:spacing w:val="-7"/>
              <w:sz w:val="18"/>
              <w:szCs w:val="18"/>
              <w:highlight w:val="none"/>
            </w:rPr>
            <w:fldChar w:fldCharType="end"/>
          </w:r>
        </w:p>
        <w:p w14:paraId="7DDB5E81">
          <w:pPr>
            <w:tabs>
              <w:tab w:val="right" w:leader="dot" w:pos="9065"/>
            </w:tabs>
            <w:spacing w:before="155" w:line="235" w:lineRule="auto"/>
            <w:ind w:left="868"/>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"bookmark17" </w:instrText>
          </w:r>
          <w:r>
            <w:rPr>
              <w:color w:val="auto"/>
              <w:highlight w:val="none"/>
            </w:rPr>
            <w:fldChar w:fldCharType="separate"/>
          </w:r>
          <w:r>
            <w:rPr>
              <w:rFonts w:ascii="楷体" w:hAnsi="楷体" w:eastAsia="楷体" w:cs="楷体"/>
              <w:color w:val="auto"/>
              <w:spacing w:val="10"/>
              <w:sz w:val="18"/>
              <w:szCs w:val="18"/>
              <w:highlight w:val="none"/>
            </w:rPr>
            <w:t xml:space="preserve">10.磋商文件 </w:t>
          </w:r>
          <w:r>
            <w:rPr>
              <w:rFonts w:ascii="楷体" w:hAnsi="楷体" w:eastAsia="楷体" w:cs="楷体"/>
              <w:color w:val="auto"/>
              <w:sz w:val="18"/>
              <w:szCs w:val="18"/>
              <w:highlight w:val="none"/>
            </w:rPr>
            <w:tab/>
          </w:r>
          <w:r>
            <w:rPr>
              <w:rFonts w:ascii="楷体" w:hAnsi="楷体" w:eastAsia="楷体" w:cs="楷体"/>
              <w:color w:val="auto"/>
              <w:spacing w:val="24"/>
              <w:sz w:val="18"/>
              <w:szCs w:val="18"/>
              <w:highlight w:val="none"/>
            </w:rPr>
            <w:t xml:space="preserve"> </w:t>
          </w:r>
          <w:r>
            <w:rPr>
              <w:rFonts w:ascii="Times New Roman" w:hAnsi="Times New Roman" w:eastAsia="Times New Roman" w:cs="Times New Roman"/>
              <w:color w:val="auto"/>
              <w:spacing w:val="-9"/>
              <w:sz w:val="18"/>
              <w:szCs w:val="18"/>
              <w:highlight w:val="none"/>
            </w:rPr>
            <w:t>16</w:t>
          </w:r>
          <w:r>
            <w:rPr>
              <w:rFonts w:ascii="Times New Roman" w:hAnsi="Times New Roman" w:eastAsia="Times New Roman" w:cs="Times New Roman"/>
              <w:color w:val="auto"/>
              <w:spacing w:val="-9"/>
              <w:sz w:val="18"/>
              <w:szCs w:val="18"/>
              <w:highlight w:val="none"/>
            </w:rPr>
            <w:fldChar w:fldCharType="end"/>
          </w:r>
        </w:p>
        <w:p w14:paraId="242AA2E4">
          <w:pPr>
            <w:tabs>
              <w:tab w:val="right" w:leader="dot" w:pos="9065"/>
            </w:tabs>
            <w:spacing w:before="155" w:line="238" w:lineRule="auto"/>
            <w:ind w:left="868"/>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"bookmark18" </w:instrText>
          </w:r>
          <w:r>
            <w:rPr>
              <w:color w:val="auto"/>
              <w:highlight w:val="none"/>
            </w:rPr>
            <w:fldChar w:fldCharType="separate"/>
          </w:r>
          <w:r>
            <w:rPr>
              <w:rFonts w:ascii="楷体" w:hAnsi="楷体" w:eastAsia="楷体" w:cs="楷体"/>
              <w:color w:val="auto"/>
              <w:spacing w:val="16"/>
              <w:sz w:val="18"/>
              <w:szCs w:val="18"/>
              <w:highlight w:val="none"/>
            </w:rPr>
            <w:t xml:space="preserve">11.响应文件的组成 </w:t>
          </w:r>
          <w:r>
            <w:rPr>
              <w:rFonts w:ascii="楷体" w:hAnsi="楷体" w:eastAsia="楷体" w:cs="楷体"/>
              <w:color w:val="auto"/>
              <w:sz w:val="18"/>
              <w:szCs w:val="18"/>
              <w:highlight w:val="none"/>
            </w:rPr>
            <w:tab/>
          </w:r>
          <w:r>
            <w:rPr>
              <w:rFonts w:ascii="楷体" w:hAnsi="楷体" w:eastAsia="楷体" w:cs="楷体"/>
              <w:color w:val="auto"/>
              <w:spacing w:val="67"/>
              <w:sz w:val="18"/>
              <w:szCs w:val="18"/>
              <w:highlight w:val="none"/>
            </w:rPr>
            <w:t xml:space="preserve"> </w:t>
          </w:r>
          <w:r>
            <w:rPr>
              <w:rFonts w:ascii="Times New Roman" w:hAnsi="Times New Roman" w:eastAsia="Times New Roman" w:cs="Times New Roman"/>
              <w:color w:val="auto"/>
              <w:spacing w:val="-9"/>
              <w:sz w:val="18"/>
              <w:szCs w:val="18"/>
              <w:highlight w:val="none"/>
            </w:rPr>
            <w:t>17</w:t>
          </w:r>
          <w:r>
            <w:rPr>
              <w:rFonts w:ascii="Times New Roman" w:hAnsi="Times New Roman" w:eastAsia="Times New Roman" w:cs="Times New Roman"/>
              <w:color w:val="auto"/>
              <w:spacing w:val="-9"/>
              <w:sz w:val="18"/>
              <w:szCs w:val="18"/>
              <w:highlight w:val="none"/>
            </w:rPr>
            <w:fldChar w:fldCharType="end"/>
          </w:r>
        </w:p>
        <w:p w14:paraId="5272ACCD">
          <w:pPr>
            <w:tabs>
              <w:tab w:val="right" w:leader="dot" w:pos="9065"/>
            </w:tabs>
            <w:spacing w:before="150"/>
            <w:ind w:left="868"/>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"bookmark19" </w:instrText>
          </w:r>
          <w:r>
            <w:rPr>
              <w:color w:val="auto"/>
              <w:highlight w:val="none"/>
            </w:rPr>
            <w:fldChar w:fldCharType="separate"/>
          </w:r>
          <w:r>
            <w:rPr>
              <w:rFonts w:ascii="楷体" w:hAnsi="楷体" w:eastAsia="楷体" w:cs="楷体"/>
              <w:color w:val="auto"/>
              <w:spacing w:val="10"/>
              <w:sz w:val="18"/>
              <w:szCs w:val="18"/>
              <w:highlight w:val="none"/>
            </w:rPr>
            <w:t xml:space="preserve">12.响应报价 </w:t>
          </w:r>
          <w:r>
            <w:rPr>
              <w:rFonts w:ascii="楷体" w:hAnsi="楷体" w:eastAsia="楷体" w:cs="楷体"/>
              <w:color w:val="auto"/>
              <w:sz w:val="18"/>
              <w:szCs w:val="18"/>
              <w:highlight w:val="none"/>
            </w:rPr>
            <w:tab/>
          </w:r>
          <w:r>
            <w:rPr>
              <w:rFonts w:ascii="楷体" w:hAnsi="楷体" w:eastAsia="楷体" w:cs="楷体"/>
              <w:color w:val="auto"/>
              <w:spacing w:val="24"/>
              <w:sz w:val="18"/>
              <w:szCs w:val="18"/>
              <w:highlight w:val="none"/>
            </w:rPr>
            <w:t xml:space="preserve"> </w:t>
          </w:r>
          <w:r>
            <w:rPr>
              <w:rFonts w:ascii="Times New Roman" w:hAnsi="Times New Roman" w:eastAsia="Times New Roman" w:cs="Times New Roman"/>
              <w:color w:val="auto"/>
              <w:spacing w:val="-9"/>
              <w:sz w:val="18"/>
              <w:szCs w:val="18"/>
              <w:highlight w:val="none"/>
            </w:rPr>
            <w:t>17</w:t>
          </w:r>
          <w:r>
            <w:rPr>
              <w:rFonts w:ascii="Times New Roman" w:hAnsi="Times New Roman" w:eastAsia="Times New Roman" w:cs="Times New Roman"/>
              <w:color w:val="auto"/>
              <w:spacing w:val="-9"/>
              <w:sz w:val="18"/>
              <w:szCs w:val="18"/>
              <w:highlight w:val="none"/>
            </w:rPr>
            <w:fldChar w:fldCharType="end"/>
          </w:r>
        </w:p>
        <w:p w14:paraId="4A0743BC">
          <w:pPr>
            <w:tabs>
              <w:tab w:val="right" w:leader="dot" w:pos="9029"/>
            </w:tabs>
            <w:spacing w:before="142" w:line="238" w:lineRule="auto"/>
            <w:ind w:left="868"/>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"bookmark20" </w:instrText>
          </w:r>
          <w:r>
            <w:rPr>
              <w:color w:val="auto"/>
              <w:highlight w:val="none"/>
            </w:rPr>
            <w:fldChar w:fldCharType="separate"/>
          </w:r>
          <w:r>
            <w:rPr>
              <w:rFonts w:ascii="楷体" w:hAnsi="楷体" w:eastAsia="楷体" w:cs="楷体"/>
              <w:color w:val="auto"/>
              <w:spacing w:val="17"/>
              <w:sz w:val="18"/>
              <w:szCs w:val="18"/>
              <w:highlight w:val="none"/>
            </w:rPr>
            <w:t xml:space="preserve">13.响应文件编制要求 </w:t>
          </w:r>
          <w:r>
            <w:rPr>
              <w:rFonts w:ascii="楷体" w:hAnsi="楷体" w:eastAsia="楷体" w:cs="楷体"/>
              <w:color w:val="auto"/>
              <w:sz w:val="18"/>
              <w:szCs w:val="18"/>
              <w:highlight w:val="none"/>
            </w:rPr>
            <w:tab/>
          </w:r>
          <w:r>
            <w:rPr>
              <w:rFonts w:ascii="楷体" w:hAnsi="楷体" w:eastAsia="楷体" w:cs="楷体"/>
              <w:color w:val="auto"/>
              <w:spacing w:val="7"/>
              <w:sz w:val="18"/>
              <w:szCs w:val="18"/>
              <w:highlight w:val="none"/>
            </w:rPr>
            <w:t xml:space="preserve"> </w:t>
          </w:r>
          <w:r>
            <w:rPr>
              <w:rFonts w:ascii="Times New Roman" w:hAnsi="Times New Roman" w:eastAsia="Times New Roman" w:cs="Times New Roman"/>
              <w:color w:val="auto"/>
              <w:spacing w:val="-7"/>
              <w:sz w:val="18"/>
              <w:szCs w:val="18"/>
              <w:highlight w:val="none"/>
            </w:rPr>
            <w:t>19</w:t>
          </w:r>
          <w:r>
            <w:rPr>
              <w:rFonts w:ascii="Times New Roman" w:hAnsi="Times New Roman" w:eastAsia="Times New Roman" w:cs="Times New Roman"/>
              <w:color w:val="auto"/>
              <w:spacing w:val="-7"/>
              <w:sz w:val="18"/>
              <w:szCs w:val="18"/>
              <w:highlight w:val="none"/>
            </w:rPr>
            <w:fldChar w:fldCharType="end"/>
          </w:r>
        </w:p>
        <w:p w14:paraId="6499FABB">
          <w:pPr>
            <w:tabs>
              <w:tab w:val="right" w:leader="dot" w:pos="9015"/>
            </w:tabs>
            <w:spacing w:before="148" w:line="238" w:lineRule="auto"/>
            <w:ind w:left="868"/>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"bookmark21" </w:instrText>
          </w:r>
          <w:r>
            <w:rPr>
              <w:color w:val="auto"/>
              <w:highlight w:val="none"/>
            </w:rPr>
            <w:fldChar w:fldCharType="separate"/>
          </w:r>
          <w:r>
            <w:rPr>
              <w:rFonts w:ascii="楷体" w:hAnsi="楷体" w:eastAsia="楷体" w:cs="楷体"/>
              <w:color w:val="auto"/>
              <w:spacing w:val="19"/>
              <w:sz w:val="18"/>
              <w:szCs w:val="18"/>
              <w:highlight w:val="none"/>
            </w:rPr>
            <w:t xml:space="preserve">14.响应文件的密封和标记 </w:t>
          </w:r>
          <w:r>
            <w:rPr>
              <w:rFonts w:ascii="楷体" w:hAnsi="楷体" w:eastAsia="楷体" w:cs="楷体"/>
              <w:color w:val="auto"/>
              <w:sz w:val="18"/>
              <w:szCs w:val="18"/>
              <w:highlight w:val="none"/>
            </w:rPr>
            <w:tab/>
          </w:r>
          <w:r>
            <w:rPr>
              <w:rFonts w:ascii="楷体" w:hAnsi="楷体" w:eastAsia="楷体" w:cs="楷体"/>
              <w:color w:val="auto"/>
              <w:spacing w:val="-50"/>
              <w:sz w:val="18"/>
              <w:szCs w:val="18"/>
              <w:highlight w:val="none"/>
            </w:rPr>
            <w:t xml:space="preserve"> </w:t>
          </w:r>
          <w:r>
            <w:rPr>
              <w:rFonts w:ascii="Times New Roman" w:hAnsi="Times New Roman" w:eastAsia="Times New Roman" w:cs="Times New Roman"/>
              <w:color w:val="auto"/>
              <w:spacing w:val="-4"/>
              <w:sz w:val="18"/>
              <w:szCs w:val="18"/>
              <w:highlight w:val="none"/>
            </w:rPr>
            <w:t>19</w:t>
          </w:r>
          <w:r>
            <w:rPr>
              <w:rFonts w:ascii="Times New Roman" w:hAnsi="Times New Roman" w:eastAsia="Times New Roman" w:cs="Times New Roman"/>
              <w:color w:val="auto"/>
              <w:spacing w:val="-4"/>
              <w:sz w:val="18"/>
              <w:szCs w:val="18"/>
              <w:highlight w:val="none"/>
            </w:rPr>
            <w:fldChar w:fldCharType="end"/>
          </w:r>
        </w:p>
        <w:p w14:paraId="04BDF893">
          <w:pPr>
            <w:tabs>
              <w:tab w:val="right" w:leader="dot" w:pos="9065"/>
            </w:tabs>
            <w:spacing w:before="147" w:line="238" w:lineRule="auto"/>
            <w:ind w:left="868"/>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"bookmark22" </w:instrText>
          </w:r>
          <w:r>
            <w:rPr>
              <w:color w:val="auto"/>
              <w:highlight w:val="none"/>
            </w:rPr>
            <w:fldChar w:fldCharType="separate"/>
          </w:r>
          <w:r>
            <w:rPr>
              <w:rFonts w:ascii="楷体" w:hAnsi="楷体" w:eastAsia="楷体" w:cs="楷体"/>
              <w:color w:val="auto"/>
              <w:spacing w:val="16"/>
              <w:sz w:val="18"/>
              <w:szCs w:val="18"/>
              <w:highlight w:val="none"/>
            </w:rPr>
            <w:t xml:space="preserve">15.响应文件的递交 </w:t>
          </w:r>
          <w:r>
            <w:rPr>
              <w:rFonts w:ascii="楷体" w:hAnsi="楷体" w:eastAsia="楷体" w:cs="楷体"/>
              <w:color w:val="auto"/>
              <w:sz w:val="18"/>
              <w:szCs w:val="18"/>
              <w:highlight w:val="none"/>
            </w:rPr>
            <w:tab/>
          </w:r>
          <w:r>
            <w:rPr>
              <w:rFonts w:ascii="楷体" w:hAnsi="楷体" w:eastAsia="楷体" w:cs="楷体"/>
              <w:color w:val="auto"/>
              <w:spacing w:val="67"/>
              <w:sz w:val="18"/>
              <w:szCs w:val="18"/>
              <w:highlight w:val="none"/>
            </w:rPr>
            <w:t xml:space="preserve"> </w:t>
          </w:r>
          <w:r>
            <w:rPr>
              <w:rFonts w:ascii="Times New Roman" w:hAnsi="Times New Roman" w:eastAsia="Times New Roman" w:cs="Times New Roman"/>
              <w:color w:val="auto"/>
              <w:spacing w:val="-9"/>
              <w:sz w:val="18"/>
              <w:szCs w:val="18"/>
              <w:highlight w:val="none"/>
            </w:rPr>
            <w:t>19</w:t>
          </w:r>
          <w:r>
            <w:rPr>
              <w:rFonts w:ascii="Times New Roman" w:hAnsi="Times New Roman" w:eastAsia="Times New Roman" w:cs="Times New Roman"/>
              <w:color w:val="auto"/>
              <w:spacing w:val="-9"/>
              <w:sz w:val="18"/>
              <w:szCs w:val="18"/>
              <w:highlight w:val="none"/>
            </w:rPr>
            <w:fldChar w:fldCharType="end"/>
          </w:r>
        </w:p>
        <w:p w14:paraId="63759B4F">
          <w:pPr>
            <w:tabs>
              <w:tab w:val="right" w:leader="dot" w:pos="9015"/>
            </w:tabs>
            <w:spacing w:before="147" w:line="238" w:lineRule="auto"/>
            <w:ind w:left="868"/>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"bookmark23" </w:instrText>
          </w:r>
          <w:r>
            <w:rPr>
              <w:color w:val="auto"/>
              <w:highlight w:val="none"/>
            </w:rPr>
            <w:fldChar w:fldCharType="separate"/>
          </w:r>
          <w:r>
            <w:rPr>
              <w:rFonts w:ascii="楷体" w:hAnsi="楷体" w:eastAsia="楷体" w:cs="楷体"/>
              <w:color w:val="auto"/>
              <w:spacing w:val="19"/>
              <w:sz w:val="18"/>
              <w:szCs w:val="18"/>
              <w:highlight w:val="none"/>
            </w:rPr>
            <w:t xml:space="preserve">16.响应文件的修改与撤回 </w:t>
          </w:r>
          <w:r>
            <w:rPr>
              <w:rFonts w:ascii="楷体" w:hAnsi="楷体" w:eastAsia="楷体" w:cs="楷体"/>
              <w:color w:val="auto"/>
              <w:sz w:val="18"/>
              <w:szCs w:val="18"/>
              <w:highlight w:val="none"/>
            </w:rPr>
            <w:tab/>
          </w:r>
          <w:r>
            <w:rPr>
              <w:rFonts w:ascii="楷体" w:hAnsi="楷体" w:eastAsia="楷体" w:cs="楷体"/>
              <w:color w:val="auto"/>
              <w:spacing w:val="-50"/>
              <w:sz w:val="18"/>
              <w:szCs w:val="18"/>
              <w:highlight w:val="none"/>
            </w:rPr>
            <w:t xml:space="preserve"> </w:t>
          </w:r>
          <w:r>
            <w:rPr>
              <w:rFonts w:ascii="Times New Roman" w:hAnsi="Times New Roman" w:eastAsia="Times New Roman" w:cs="Times New Roman"/>
              <w:color w:val="auto"/>
              <w:spacing w:val="-4"/>
              <w:sz w:val="18"/>
              <w:szCs w:val="18"/>
              <w:highlight w:val="none"/>
            </w:rPr>
            <w:t>19</w:t>
          </w:r>
          <w:r>
            <w:rPr>
              <w:rFonts w:ascii="Times New Roman" w:hAnsi="Times New Roman" w:eastAsia="Times New Roman" w:cs="Times New Roman"/>
              <w:color w:val="auto"/>
              <w:spacing w:val="-4"/>
              <w:sz w:val="18"/>
              <w:szCs w:val="18"/>
              <w:highlight w:val="none"/>
            </w:rPr>
            <w:fldChar w:fldCharType="end"/>
          </w:r>
        </w:p>
        <w:p w14:paraId="04CDB8AA">
          <w:pPr>
            <w:tabs>
              <w:tab w:val="right" w:leader="dot" w:pos="9034"/>
            </w:tabs>
            <w:spacing w:before="147" w:line="238" w:lineRule="exact"/>
            <w:ind w:left="868"/>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"bookmark24" </w:instrText>
          </w:r>
          <w:r>
            <w:rPr>
              <w:color w:val="auto"/>
              <w:highlight w:val="none"/>
            </w:rPr>
            <w:fldChar w:fldCharType="separate"/>
          </w:r>
          <w:r>
            <w:rPr>
              <w:rFonts w:ascii="楷体" w:hAnsi="楷体" w:eastAsia="楷体" w:cs="楷体"/>
              <w:color w:val="auto"/>
              <w:spacing w:val="10"/>
              <w:position w:val="1"/>
              <w:sz w:val="18"/>
              <w:szCs w:val="18"/>
              <w:highlight w:val="none"/>
            </w:rPr>
            <w:t>17.保证金</w:t>
          </w:r>
          <w:r>
            <w:rPr>
              <w:rFonts w:ascii="楷体" w:hAnsi="楷体" w:eastAsia="楷体" w:cs="楷体"/>
              <w:color w:val="auto"/>
              <w:spacing w:val="-5"/>
              <w:position w:val="1"/>
              <w:sz w:val="18"/>
              <w:szCs w:val="18"/>
              <w:highlight w:val="none"/>
            </w:rPr>
            <w:t xml:space="preserve"> </w:t>
          </w:r>
          <w:r>
            <w:rPr>
              <w:rFonts w:ascii="楷体" w:hAnsi="楷体" w:eastAsia="楷体" w:cs="楷体"/>
              <w:color w:val="auto"/>
              <w:position w:val="1"/>
              <w:sz w:val="18"/>
              <w:szCs w:val="18"/>
              <w:highlight w:val="none"/>
            </w:rPr>
            <w:tab/>
          </w:r>
          <w:r>
            <w:rPr>
              <w:rFonts w:ascii="楷体" w:hAnsi="楷体" w:eastAsia="楷体" w:cs="楷体"/>
              <w:color w:val="auto"/>
              <w:spacing w:val="-14"/>
              <w:position w:val="1"/>
              <w:sz w:val="18"/>
              <w:szCs w:val="18"/>
              <w:highlight w:val="none"/>
            </w:rPr>
            <w:t xml:space="preserve"> </w:t>
          </w:r>
          <w:r>
            <w:rPr>
              <w:rFonts w:ascii="Times New Roman" w:hAnsi="Times New Roman" w:eastAsia="Times New Roman" w:cs="Times New Roman"/>
              <w:color w:val="auto"/>
              <w:spacing w:val="3"/>
              <w:position w:val="1"/>
              <w:sz w:val="18"/>
              <w:szCs w:val="18"/>
              <w:highlight w:val="none"/>
            </w:rPr>
            <w:t>20</w:t>
          </w:r>
          <w:r>
            <w:rPr>
              <w:rFonts w:ascii="Times New Roman" w:hAnsi="Times New Roman" w:eastAsia="Times New Roman" w:cs="Times New Roman"/>
              <w:color w:val="auto"/>
              <w:spacing w:val="3"/>
              <w:position w:val="1"/>
              <w:sz w:val="18"/>
              <w:szCs w:val="18"/>
              <w:highlight w:val="none"/>
            </w:rPr>
            <w:fldChar w:fldCharType="end"/>
          </w:r>
        </w:p>
        <w:p w14:paraId="5FE61DDE">
          <w:pPr>
            <w:tabs>
              <w:tab w:val="right" w:leader="dot" w:pos="9015"/>
            </w:tabs>
            <w:spacing w:before="137" w:line="235" w:lineRule="auto"/>
            <w:ind w:left="868"/>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"bookmark25" </w:instrText>
          </w:r>
          <w:r>
            <w:rPr>
              <w:color w:val="auto"/>
              <w:highlight w:val="none"/>
            </w:rPr>
            <w:fldChar w:fldCharType="separate"/>
          </w:r>
          <w:r>
            <w:rPr>
              <w:rFonts w:ascii="楷体" w:hAnsi="楷体" w:eastAsia="楷体" w:cs="楷体"/>
              <w:color w:val="auto"/>
              <w:spacing w:val="17"/>
              <w:sz w:val="18"/>
              <w:szCs w:val="18"/>
              <w:highlight w:val="none"/>
            </w:rPr>
            <w:t xml:space="preserve">18.开标、磋商、成交 </w:t>
          </w:r>
          <w:r>
            <w:rPr>
              <w:rFonts w:ascii="楷体" w:hAnsi="楷体" w:eastAsia="楷体" w:cs="楷体"/>
              <w:color w:val="auto"/>
              <w:sz w:val="18"/>
              <w:szCs w:val="18"/>
              <w:highlight w:val="none"/>
            </w:rPr>
            <w:tab/>
          </w:r>
          <w:r>
            <w:rPr>
              <w:rFonts w:ascii="楷体" w:hAnsi="楷体" w:eastAsia="楷体" w:cs="楷体"/>
              <w:color w:val="auto"/>
              <w:spacing w:val="-30"/>
              <w:sz w:val="18"/>
              <w:szCs w:val="18"/>
              <w:highlight w:val="none"/>
            </w:rPr>
            <w:t xml:space="preserve"> </w:t>
          </w:r>
          <w:r>
            <w:rPr>
              <w:rFonts w:ascii="Times New Roman" w:hAnsi="Times New Roman" w:eastAsia="Times New Roman" w:cs="Times New Roman"/>
              <w:color w:val="auto"/>
              <w:spacing w:val="4"/>
              <w:sz w:val="18"/>
              <w:szCs w:val="18"/>
              <w:highlight w:val="none"/>
            </w:rPr>
            <w:t>20</w:t>
          </w:r>
          <w:r>
            <w:rPr>
              <w:rFonts w:ascii="Times New Roman" w:hAnsi="Times New Roman" w:eastAsia="Times New Roman" w:cs="Times New Roman"/>
              <w:color w:val="auto"/>
              <w:spacing w:val="4"/>
              <w:sz w:val="18"/>
              <w:szCs w:val="18"/>
              <w:highlight w:val="none"/>
            </w:rPr>
            <w:fldChar w:fldCharType="end"/>
          </w:r>
        </w:p>
        <w:p w14:paraId="59885925">
          <w:pPr>
            <w:tabs>
              <w:tab w:val="right" w:leader="dot" w:pos="9034"/>
            </w:tabs>
            <w:spacing w:before="152" w:line="238" w:lineRule="auto"/>
            <w:ind w:left="868"/>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"bookmark26" </w:instrText>
          </w:r>
          <w:r>
            <w:rPr>
              <w:color w:val="auto"/>
              <w:highlight w:val="none"/>
            </w:rPr>
            <w:fldChar w:fldCharType="separate"/>
          </w:r>
          <w:r>
            <w:rPr>
              <w:rFonts w:ascii="楷体" w:hAnsi="楷体" w:eastAsia="楷体" w:cs="楷体"/>
              <w:color w:val="auto"/>
              <w:spacing w:val="7"/>
              <w:sz w:val="18"/>
              <w:szCs w:val="18"/>
              <w:highlight w:val="none"/>
            </w:rPr>
            <w:t>19.质疑</w:t>
          </w:r>
          <w:r>
            <w:rPr>
              <w:rFonts w:ascii="楷体" w:hAnsi="楷体" w:eastAsia="楷体" w:cs="楷体"/>
              <w:color w:val="auto"/>
              <w:spacing w:val="-9"/>
              <w:sz w:val="18"/>
              <w:szCs w:val="18"/>
              <w:highlight w:val="none"/>
            </w:rPr>
            <w:t xml:space="preserve"> </w:t>
          </w:r>
          <w:r>
            <w:rPr>
              <w:rFonts w:ascii="楷体" w:hAnsi="楷体" w:eastAsia="楷体" w:cs="楷体"/>
              <w:color w:val="auto"/>
              <w:sz w:val="18"/>
              <w:szCs w:val="18"/>
              <w:highlight w:val="none"/>
            </w:rPr>
            <w:tab/>
          </w:r>
          <w:r>
            <w:rPr>
              <w:rFonts w:ascii="楷体" w:hAnsi="楷体" w:eastAsia="楷体" w:cs="楷体"/>
              <w:color w:val="auto"/>
              <w:spacing w:val="3"/>
              <w:sz w:val="18"/>
              <w:szCs w:val="18"/>
              <w:highlight w:val="none"/>
            </w:rPr>
            <w:t xml:space="preserve"> </w:t>
          </w:r>
          <w:r>
            <w:rPr>
              <w:rFonts w:ascii="Times New Roman" w:hAnsi="Times New Roman" w:eastAsia="Times New Roman" w:cs="Times New Roman"/>
              <w:color w:val="auto"/>
              <w:spacing w:val="3"/>
              <w:sz w:val="18"/>
              <w:szCs w:val="18"/>
              <w:highlight w:val="none"/>
            </w:rPr>
            <w:t>29</w:t>
          </w:r>
          <w:r>
            <w:rPr>
              <w:rFonts w:ascii="Times New Roman" w:hAnsi="Times New Roman" w:eastAsia="Times New Roman" w:cs="Times New Roman"/>
              <w:color w:val="auto"/>
              <w:spacing w:val="3"/>
              <w:sz w:val="18"/>
              <w:szCs w:val="18"/>
              <w:highlight w:val="none"/>
            </w:rPr>
            <w:fldChar w:fldCharType="end"/>
          </w:r>
        </w:p>
        <w:p w14:paraId="52E12667">
          <w:pPr>
            <w:tabs>
              <w:tab w:val="right" w:leader="dot" w:pos="9044"/>
            </w:tabs>
            <w:spacing w:before="143" w:line="234" w:lineRule="auto"/>
            <w:ind w:left="833"/>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"bookmark27" </w:instrText>
          </w:r>
          <w:r>
            <w:rPr>
              <w:color w:val="auto"/>
              <w:highlight w:val="none"/>
            </w:rPr>
            <w:fldChar w:fldCharType="separate"/>
          </w:r>
          <w:r>
            <w:rPr>
              <w:rFonts w:ascii="楷体" w:hAnsi="楷体" w:eastAsia="楷体" w:cs="楷体"/>
              <w:color w:val="auto"/>
              <w:spacing w:val="13"/>
              <w:sz w:val="18"/>
              <w:szCs w:val="18"/>
              <w:highlight w:val="none"/>
            </w:rPr>
            <w:t>20.投诉</w:t>
          </w:r>
          <w:r>
            <w:rPr>
              <w:rFonts w:ascii="楷体" w:hAnsi="楷体" w:eastAsia="楷体" w:cs="楷体"/>
              <w:color w:val="auto"/>
              <w:spacing w:val="-5"/>
              <w:sz w:val="18"/>
              <w:szCs w:val="18"/>
              <w:highlight w:val="none"/>
            </w:rPr>
            <w:t xml:space="preserve"> </w:t>
          </w:r>
          <w:r>
            <w:rPr>
              <w:rFonts w:ascii="楷体" w:hAnsi="楷体" w:eastAsia="楷体" w:cs="楷体"/>
              <w:color w:val="auto"/>
              <w:sz w:val="18"/>
              <w:szCs w:val="18"/>
              <w:highlight w:val="none"/>
            </w:rPr>
            <w:tab/>
          </w:r>
          <w:r>
            <w:rPr>
              <w:rFonts w:ascii="楷体" w:hAnsi="楷体" w:eastAsia="楷体" w:cs="楷体"/>
              <w:color w:val="auto"/>
              <w:spacing w:val="19"/>
              <w:sz w:val="18"/>
              <w:szCs w:val="18"/>
              <w:highlight w:val="none"/>
            </w:rPr>
            <w:t xml:space="preserve"> </w:t>
          </w:r>
          <w:r>
            <w:rPr>
              <w:rFonts w:ascii="Times New Roman" w:hAnsi="Times New Roman" w:eastAsia="Times New Roman" w:cs="Times New Roman"/>
              <w:color w:val="auto"/>
              <w:spacing w:val="1"/>
              <w:sz w:val="18"/>
              <w:szCs w:val="18"/>
              <w:highlight w:val="none"/>
            </w:rPr>
            <w:t>30</w:t>
          </w:r>
          <w:r>
            <w:rPr>
              <w:rFonts w:ascii="Times New Roman" w:hAnsi="Times New Roman" w:eastAsia="Times New Roman" w:cs="Times New Roman"/>
              <w:color w:val="auto"/>
              <w:spacing w:val="1"/>
              <w:sz w:val="18"/>
              <w:szCs w:val="18"/>
              <w:highlight w:val="none"/>
            </w:rPr>
            <w:fldChar w:fldCharType="end"/>
          </w:r>
        </w:p>
        <w:p w14:paraId="5F0E42AF">
          <w:pPr>
            <w:tabs>
              <w:tab w:val="right" w:leader="dot" w:pos="9020"/>
            </w:tabs>
            <w:spacing w:before="153" w:line="234" w:lineRule="auto"/>
            <w:ind w:left="833"/>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"bookmark28" </w:instrText>
          </w:r>
          <w:r>
            <w:rPr>
              <w:color w:val="auto"/>
              <w:highlight w:val="none"/>
            </w:rPr>
            <w:fldChar w:fldCharType="separate"/>
          </w:r>
          <w:r>
            <w:rPr>
              <w:rFonts w:ascii="楷体" w:hAnsi="楷体" w:eastAsia="楷体" w:cs="楷体"/>
              <w:color w:val="auto"/>
              <w:spacing w:val="20"/>
              <w:sz w:val="18"/>
              <w:szCs w:val="18"/>
              <w:highlight w:val="none"/>
            </w:rPr>
            <w:t xml:space="preserve">21.其他需补充的内容 </w:t>
          </w:r>
          <w:r>
            <w:rPr>
              <w:rFonts w:ascii="楷体" w:hAnsi="楷体" w:eastAsia="楷体" w:cs="楷体"/>
              <w:color w:val="auto"/>
              <w:sz w:val="18"/>
              <w:szCs w:val="18"/>
              <w:highlight w:val="none"/>
            </w:rPr>
            <w:tab/>
          </w:r>
          <w:r>
            <w:rPr>
              <w:rFonts w:ascii="楷体" w:hAnsi="楷体" w:eastAsia="楷体" w:cs="楷体"/>
              <w:color w:val="auto"/>
              <w:spacing w:val="-19"/>
              <w:sz w:val="18"/>
              <w:szCs w:val="18"/>
              <w:highlight w:val="none"/>
            </w:rPr>
            <w:t xml:space="preserve"> </w:t>
          </w:r>
          <w:r>
            <w:rPr>
              <w:rFonts w:ascii="Times New Roman" w:hAnsi="Times New Roman" w:eastAsia="Times New Roman" w:cs="Times New Roman"/>
              <w:color w:val="auto"/>
              <w:spacing w:val="2"/>
              <w:sz w:val="18"/>
              <w:szCs w:val="18"/>
              <w:highlight w:val="none"/>
            </w:rPr>
            <w:t>31</w:t>
          </w:r>
          <w:r>
            <w:rPr>
              <w:rFonts w:ascii="Times New Roman" w:hAnsi="Times New Roman" w:eastAsia="Times New Roman" w:cs="Times New Roman"/>
              <w:color w:val="auto"/>
              <w:spacing w:val="2"/>
              <w:sz w:val="18"/>
              <w:szCs w:val="18"/>
              <w:highlight w:val="none"/>
            </w:rPr>
            <w:fldChar w:fldCharType="end"/>
          </w:r>
        </w:p>
        <w:p w14:paraId="4C83AF8D">
          <w:pPr>
            <w:tabs>
              <w:tab w:val="right" w:leader="dot" w:pos="9044"/>
            </w:tabs>
            <w:spacing w:before="144" w:line="232" w:lineRule="auto"/>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"bookmark29" </w:instrText>
          </w:r>
          <w:r>
            <w:rPr>
              <w:color w:val="auto"/>
              <w:highlight w:val="none"/>
            </w:rPr>
            <w:fldChar w:fldCharType="separate"/>
          </w:r>
          <w:r>
            <w:rPr>
              <w:rFonts w:ascii="黑体" w:hAnsi="黑体" w:eastAsia="黑体" w:cs="黑体"/>
              <w:color w:val="auto"/>
              <w:spacing w:val="15"/>
              <w:sz w:val="18"/>
              <w:szCs w:val="18"/>
              <w:highlight w:val="none"/>
            </w:rPr>
            <w:t>第三章</w:t>
          </w:r>
          <w:r>
            <w:rPr>
              <w:rFonts w:ascii="黑体" w:hAnsi="黑体" w:eastAsia="黑体" w:cs="黑体"/>
              <w:color w:val="auto"/>
              <w:spacing w:val="35"/>
              <w:sz w:val="18"/>
              <w:szCs w:val="18"/>
              <w:highlight w:val="none"/>
            </w:rPr>
            <w:t xml:space="preserve">  </w:t>
          </w:r>
          <w:r>
            <w:rPr>
              <w:rFonts w:ascii="黑体" w:hAnsi="黑体" w:eastAsia="黑体" w:cs="黑体"/>
              <w:color w:val="auto"/>
              <w:spacing w:val="15"/>
              <w:sz w:val="18"/>
              <w:szCs w:val="18"/>
              <w:highlight w:val="none"/>
            </w:rPr>
            <w:t xml:space="preserve">采购需求 </w:t>
          </w:r>
          <w:r>
            <w:rPr>
              <w:rFonts w:ascii="黑体" w:hAnsi="黑体" w:eastAsia="黑体" w:cs="黑体"/>
              <w:color w:val="auto"/>
              <w:sz w:val="18"/>
              <w:szCs w:val="18"/>
              <w:highlight w:val="none"/>
            </w:rPr>
            <w:tab/>
          </w:r>
          <w:r>
            <w:rPr>
              <w:rFonts w:ascii="黑体" w:hAnsi="黑体" w:eastAsia="黑体" w:cs="黑体"/>
              <w:color w:val="auto"/>
              <w:spacing w:val="7"/>
              <w:sz w:val="18"/>
              <w:szCs w:val="18"/>
              <w:highlight w:val="none"/>
            </w:rPr>
            <w:t xml:space="preserve"> </w:t>
          </w:r>
          <w:r>
            <w:rPr>
              <w:rFonts w:ascii="Times New Roman" w:hAnsi="Times New Roman" w:eastAsia="Times New Roman" w:cs="Times New Roman"/>
              <w:color w:val="auto"/>
              <w:spacing w:val="1"/>
              <w:sz w:val="18"/>
              <w:szCs w:val="18"/>
              <w:highlight w:val="none"/>
            </w:rPr>
            <w:t>32</w:t>
          </w:r>
          <w:r>
            <w:rPr>
              <w:rFonts w:ascii="Times New Roman" w:hAnsi="Times New Roman" w:eastAsia="Times New Roman" w:cs="Times New Roman"/>
              <w:color w:val="auto"/>
              <w:spacing w:val="1"/>
              <w:sz w:val="18"/>
              <w:szCs w:val="18"/>
              <w:highlight w:val="none"/>
            </w:rPr>
            <w:fldChar w:fldCharType="end"/>
          </w:r>
        </w:p>
        <w:p w14:paraId="1B807498">
          <w:pPr>
            <w:tabs>
              <w:tab w:val="right" w:leader="dot" w:pos="9044"/>
            </w:tabs>
            <w:spacing w:before="150" w:line="231" w:lineRule="auto"/>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"bookmark30" </w:instrText>
          </w:r>
          <w:r>
            <w:rPr>
              <w:color w:val="auto"/>
              <w:highlight w:val="none"/>
            </w:rPr>
            <w:fldChar w:fldCharType="separate"/>
          </w:r>
          <w:r>
            <w:rPr>
              <w:rFonts w:ascii="黑体" w:hAnsi="黑体" w:eastAsia="黑体" w:cs="黑体"/>
              <w:color w:val="auto"/>
              <w:spacing w:val="15"/>
              <w:sz w:val="18"/>
              <w:szCs w:val="18"/>
              <w:highlight w:val="none"/>
            </w:rPr>
            <w:t>第四章</w:t>
          </w:r>
          <w:r>
            <w:rPr>
              <w:rFonts w:ascii="黑体" w:hAnsi="黑体" w:eastAsia="黑体" w:cs="黑体"/>
              <w:color w:val="auto"/>
              <w:spacing w:val="35"/>
              <w:sz w:val="18"/>
              <w:szCs w:val="18"/>
              <w:highlight w:val="none"/>
            </w:rPr>
            <w:t xml:space="preserve">  </w:t>
          </w:r>
          <w:r>
            <w:rPr>
              <w:rFonts w:ascii="黑体" w:hAnsi="黑体" w:eastAsia="黑体" w:cs="黑体"/>
              <w:color w:val="auto"/>
              <w:spacing w:val="15"/>
              <w:sz w:val="18"/>
              <w:szCs w:val="18"/>
              <w:highlight w:val="none"/>
            </w:rPr>
            <w:t xml:space="preserve">评审办法 </w:t>
          </w:r>
          <w:r>
            <w:rPr>
              <w:rFonts w:ascii="黑体" w:hAnsi="黑体" w:eastAsia="黑体" w:cs="黑体"/>
              <w:color w:val="auto"/>
              <w:sz w:val="18"/>
              <w:szCs w:val="18"/>
              <w:highlight w:val="none"/>
            </w:rPr>
            <w:tab/>
          </w:r>
          <w:r>
            <w:rPr>
              <w:rFonts w:ascii="黑体" w:hAnsi="黑体" w:eastAsia="黑体" w:cs="黑体"/>
              <w:color w:val="auto"/>
              <w:spacing w:val="7"/>
              <w:sz w:val="18"/>
              <w:szCs w:val="18"/>
              <w:highlight w:val="none"/>
            </w:rPr>
            <w:t xml:space="preserve"> </w:t>
          </w:r>
          <w:r>
            <w:rPr>
              <w:rFonts w:ascii="Times New Roman" w:hAnsi="Times New Roman" w:eastAsia="Times New Roman" w:cs="Times New Roman"/>
              <w:color w:val="auto"/>
              <w:spacing w:val="1"/>
              <w:sz w:val="18"/>
              <w:szCs w:val="18"/>
              <w:highlight w:val="none"/>
            </w:rPr>
            <w:t>33</w:t>
          </w:r>
          <w:r>
            <w:rPr>
              <w:rFonts w:ascii="Times New Roman" w:hAnsi="Times New Roman" w:eastAsia="Times New Roman" w:cs="Times New Roman"/>
              <w:color w:val="auto"/>
              <w:spacing w:val="1"/>
              <w:sz w:val="18"/>
              <w:szCs w:val="18"/>
              <w:highlight w:val="none"/>
            </w:rPr>
            <w:fldChar w:fldCharType="end"/>
          </w:r>
        </w:p>
        <w:p w14:paraId="564D8A72">
          <w:pPr>
            <w:tabs>
              <w:tab w:val="right" w:leader="dot" w:pos="9017"/>
            </w:tabs>
            <w:spacing w:before="159" w:line="232" w:lineRule="auto"/>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"bookmark31" </w:instrText>
          </w:r>
          <w:r>
            <w:rPr>
              <w:color w:val="auto"/>
              <w:highlight w:val="none"/>
            </w:rPr>
            <w:fldChar w:fldCharType="separate"/>
          </w:r>
          <w:r>
            <w:rPr>
              <w:rFonts w:ascii="黑体" w:hAnsi="黑体" w:eastAsia="黑体" w:cs="黑体"/>
              <w:color w:val="auto"/>
              <w:spacing w:val="18"/>
              <w:sz w:val="18"/>
              <w:szCs w:val="18"/>
              <w:highlight w:val="none"/>
            </w:rPr>
            <w:t>第五章</w:t>
          </w:r>
          <w:r>
            <w:rPr>
              <w:rFonts w:ascii="黑体" w:hAnsi="黑体" w:eastAsia="黑体" w:cs="黑体"/>
              <w:color w:val="auto"/>
              <w:spacing w:val="42"/>
              <w:w w:val="101"/>
              <w:sz w:val="18"/>
              <w:szCs w:val="18"/>
              <w:highlight w:val="none"/>
            </w:rPr>
            <w:t xml:space="preserve">  </w:t>
          </w:r>
          <w:r>
            <w:rPr>
              <w:rFonts w:ascii="黑体" w:hAnsi="黑体" w:eastAsia="黑体" w:cs="黑体"/>
              <w:color w:val="auto"/>
              <w:spacing w:val="18"/>
              <w:sz w:val="18"/>
              <w:szCs w:val="18"/>
              <w:highlight w:val="none"/>
            </w:rPr>
            <w:t>签订合同</w:t>
          </w:r>
          <w:r>
            <w:rPr>
              <w:rFonts w:ascii="黑体" w:hAnsi="黑体" w:eastAsia="黑体" w:cs="黑体"/>
              <w:color w:val="auto"/>
              <w:spacing w:val="-46"/>
              <w:sz w:val="18"/>
              <w:szCs w:val="18"/>
              <w:highlight w:val="none"/>
            </w:rPr>
            <w:t xml:space="preserve"> </w:t>
          </w:r>
          <w:r>
            <w:rPr>
              <w:rFonts w:ascii="黑体" w:hAnsi="黑体" w:eastAsia="黑体" w:cs="黑体"/>
              <w:color w:val="auto"/>
              <w:spacing w:val="18"/>
              <w:sz w:val="18"/>
              <w:szCs w:val="18"/>
              <w:highlight w:val="none"/>
            </w:rPr>
            <w:t xml:space="preserve">、合同主要条款 </w:t>
          </w:r>
          <w:r>
            <w:rPr>
              <w:rFonts w:ascii="黑体" w:hAnsi="黑体" w:eastAsia="黑体" w:cs="黑体"/>
              <w:color w:val="auto"/>
              <w:sz w:val="18"/>
              <w:szCs w:val="18"/>
              <w:highlight w:val="none"/>
            </w:rPr>
            <w:tab/>
          </w:r>
          <w:r>
            <w:rPr>
              <w:rFonts w:ascii="黑体" w:hAnsi="黑体" w:eastAsia="黑体" w:cs="黑体"/>
              <w:color w:val="auto"/>
              <w:spacing w:val="-55"/>
              <w:sz w:val="18"/>
              <w:szCs w:val="18"/>
              <w:highlight w:val="none"/>
            </w:rPr>
            <w:t xml:space="preserve"> </w:t>
          </w:r>
          <w:r>
            <w:rPr>
              <w:rFonts w:ascii="Times New Roman" w:hAnsi="Times New Roman" w:eastAsia="Times New Roman" w:cs="Times New Roman"/>
              <w:color w:val="auto"/>
              <w:spacing w:val="5"/>
              <w:sz w:val="18"/>
              <w:szCs w:val="18"/>
              <w:highlight w:val="none"/>
            </w:rPr>
            <w:t>40</w:t>
          </w:r>
          <w:r>
            <w:rPr>
              <w:rFonts w:ascii="Times New Roman" w:hAnsi="Times New Roman" w:eastAsia="Times New Roman" w:cs="Times New Roman"/>
              <w:color w:val="auto"/>
              <w:spacing w:val="5"/>
              <w:sz w:val="18"/>
              <w:szCs w:val="18"/>
              <w:highlight w:val="none"/>
            </w:rPr>
            <w:fldChar w:fldCharType="end"/>
          </w:r>
        </w:p>
        <w:p w14:paraId="038B2913">
          <w:pPr>
            <w:tabs>
              <w:tab w:val="right" w:leader="dot" w:pos="9032"/>
            </w:tabs>
            <w:spacing w:before="148" w:line="232" w:lineRule="auto"/>
            <w:ind w:left="420"/>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"bookmark32" </w:instrText>
          </w:r>
          <w:r>
            <w:rPr>
              <w:color w:val="auto"/>
              <w:highlight w:val="none"/>
            </w:rPr>
            <w:fldChar w:fldCharType="separate"/>
          </w:r>
          <w:r>
            <w:rPr>
              <w:rFonts w:ascii="黑体" w:hAnsi="黑体" w:eastAsia="黑体" w:cs="黑体"/>
              <w:color w:val="auto"/>
              <w:spacing w:val="17"/>
              <w:sz w:val="18"/>
              <w:szCs w:val="18"/>
              <w:highlight w:val="none"/>
            </w:rPr>
            <w:t>第一节</w:t>
          </w:r>
          <w:r>
            <w:rPr>
              <w:rFonts w:ascii="黑体" w:hAnsi="黑体" w:eastAsia="黑体" w:cs="黑体"/>
              <w:color w:val="auto"/>
              <w:spacing w:val="40"/>
              <w:sz w:val="18"/>
              <w:szCs w:val="18"/>
              <w:highlight w:val="none"/>
            </w:rPr>
            <w:t xml:space="preserve">  </w:t>
          </w:r>
          <w:r>
            <w:rPr>
              <w:rFonts w:ascii="黑体" w:hAnsi="黑体" w:eastAsia="黑体" w:cs="黑体"/>
              <w:color w:val="auto"/>
              <w:spacing w:val="17"/>
              <w:sz w:val="18"/>
              <w:szCs w:val="18"/>
              <w:highlight w:val="none"/>
            </w:rPr>
            <w:t xml:space="preserve">通用合同条款 </w:t>
          </w:r>
          <w:r>
            <w:rPr>
              <w:rFonts w:ascii="黑体" w:hAnsi="黑体" w:eastAsia="黑体" w:cs="黑体"/>
              <w:color w:val="auto"/>
              <w:sz w:val="18"/>
              <w:szCs w:val="18"/>
              <w:highlight w:val="none"/>
            </w:rPr>
            <w:tab/>
          </w:r>
          <w:r>
            <w:rPr>
              <w:rFonts w:ascii="黑体" w:hAnsi="黑体" w:eastAsia="黑体" w:cs="黑体"/>
              <w:color w:val="auto"/>
              <w:spacing w:val="15"/>
              <w:sz w:val="18"/>
              <w:szCs w:val="18"/>
              <w:highlight w:val="none"/>
            </w:rPr>
            <w:t xml:space="preserve"> </w:t>
          </w:r>
          <w:r>
            <w:rPr>
              <w:rFonts w:ascii="Times New Roman" w:hAnsi="Times New Roman" w:eastAsia="Times New Roman" w:cs="Times New Roman"/>
              <w:color w:val="auto"/>
              <w:spacing w:val="3"/>
              <w:sz w:val="18"/>
              <w:szCs w:val="18"/>
              <w:highlight w:val="none"/>
            </w:rPr>
            <w:t>40</w:t>
          </w:r>
          <w:r>
            <w:rPr>
              <w:rFonts w:ascii="Times New Roman" w:hAnsi="Times New Roman" w:eastAsia="Times New Roman" w:cs="Times New Roman"/>
              <w:color w:val="auto"/>
              <w:spacing w:val="3"/>
              <w:sz w:val="18"/>
              <w:szCs w:val="18"/>
              <w:highlight w:val="none"/>
            </w:rPr>
            <w:fldChar w:fldCharType="end"/>
          </w:r>
        </w:p>
        <w:p w14:paraId="0BFE436A">
          <w:pPr>
            <w:tabs>
              <w:tab w:val="right" w:leader="dot" w:pos="9032"/>
            </w:tabs>
            <w:spacing w:before="153" w:line="232" w:lineRule="auto"/>
            <w:ind w:left="420"/>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"bookmark33" </w:instrText>
          </w:r>
          <w:r>
            <w:rPr>
              <w:color w:val="auto"/>
              <w:highlight w:val="none"/>
            </w:rPr>
            <w:fldChar w:fldCharType="separate"/>
          </w:r>
          <w:r>
            <w:rPr>
              <w:rFonts w:ascii="黑体" w:hAnsi="黑体" w:eastAsia="黑体" w:cs="黑体"/>
              <w:color w:val="auto"/>
              <w:spacing w:val="16"/>
              <w:sz w:val="18"/>
              <w:szCs w:val="18"/>
              <w:highlight w:val="none"/>
            </w:rPr>
            <w:t>第二节</w:t>
          </w:r>
          <w:r>
            <w:rPr>
              <w:rFonts w:ascii="黑体" w:hAnsi="黑体" w:eastAsia="黑体" w:cs="黑体"/>
              <w:color w:val="auto"/>
              <w:spacing w:val="45"/>
              <w:sz w:val="18"/>
              <w:szCs w:val="18"/>
              <w:highlight w:val="none"/>
            </w:rPr>
            <w:t xml:space="preserve">  </w:t>
          </w:r>
          <w:r>
            <w:rPr>
              <w:rFonts w:ascii="黑体" w:hAnsi="黑体" w:eastAsia="黑体" w:cs="黑体"/>
              <w:color w:val="auto"/>
              <w:spacing w:val="16"/>
              <w:sz w:val="18"/>
              <w:szCs w:val="18"/>
              <w:highlight w:val="none"/>
            </w:rPr>
            <w:t xml:space="preserve">专用合同条款 </w:t>
          </w:r>
          <w:r>
            <w:rPr>
              <w:rFonts w:ascii="黑体" w:hAnsi="黑体" w:eastAsia="黑体" w:cs="黑体"/>
              <w:color w:val="auto"/>
              <w:sz w:val="18"/>
              <w:szCs w:val="18"/>
              <w:highlight w:val="none"/>
            </w:rPr>
            <w:tab/>
          </w:r>
          <w:r>
            <w:rPr>
              <w:rFonts w:ascii="黑体" w:hAnsi="黑体" w:eastAsia="黑体" w:cs="黑体"/>
              <w:color w:val="auto"/>
              <w:spacing w:val="15"/>
              <w:sz w:val="18"/>
              <w:szCs w:val="18"/>
              <w:highlight w:val="none"/>
            </w:rPr>
            <w:t xml:space="preserve"> </w:t>
          </w:r>
          <w:r>
            <w:rPr>
              <w:rFonts w:ascii="Times New Roman" w:hAnsi="Times New Roman" w:eastAsia="Times New Roman" w:cs="Times New Roman"/>
              <w:color w:val="auto"/>
              <w:spacing w:val="3"/>
              <w:sz w:val="18"/>
              <w:szCs w:val="18"/>
              <w:highlight w:val="none"/>
            </w:rPr>
            <w:t>41</w:t>
          </w:r>
          <w:r>
            <w:rPr>
              <w:rFonts w:ascii="Times New Roman" w:hAnsi="Times New Roman" w:eastAsia="Times New Roman" w:cs="Times New Roman"/>
              <w:color w:val="auto"/>
              <w:spacing w:val="3"/>
              <w:sz w:val="18"/>
              <w:szCs w:val="18"/>
              <w:highlight w:val="none"/>
            </w:rPr>
            <w:fldChar w:fldCharType="end"/>
          </w:r>
        </w:p>
        <w:p w14:paraId="7A28CD6F">
          <w:pPr>
            <w:tabs>
              <w:tab w:val="right" w:leader="dot" w:pos="9045"/>
            </w:tabs>
            <w:spacing w:before="184" w:line="232" w:lineRule="auto"/>
            <w:rPr>
              <w:rFonts w:ascii="Times New Roman" w:hAnsi="Times New Roman" w:eastAsia="Times New Roman" w:cs="Times New Roman"/>
              <w:color w:val="auto"/>
              <w:sz w:val="18"/>
              <w:szCs w:val="18"/>
              <w:highlight w:val="none"/>
            </w:rPr>
          </w:pPr>
          <w:r>
            <w:rPr>
              <w:color w:val="auto"/>
              <w:highlight w:val="none"/>
            </w:rPr>
            <w:fldChar w:fldCharType="begin"/>
          </w:r>
          <w:r>
            <w:rPr>
              <w:color w:val="auto"/>
              <w:highlight w:val="none"/>
            </w:rPr>
            <w:instrText xml:space="preserve"> HYPERLINK \l "bookmark34" </w:instrText>
          </w:r>
          <w:r>
            <w:rPr>
              <w:color w:val="auto"/>
              <w:highlight w:val="none"/>
            </w:rPr>
            <w:fldChar w:fldCharType="separate"/>
          </w:r>
          <w:r>
            <w:rPr>
              <w:rFonts w:ascii="黑体" w:hAnsi="黑体" w:eastAsia="黑体" w:cs="黑体"/>
              <w:color w:val="auto"/>
              <w:spacing w:val="14"/>
              <w:sz w:val="18"/>
              <w:szCs w:val="18"/>
              <w:highlight w:val="none"/>
            </w:rPr>
            <w:t>第六章</w:t>
          </w:r>
          <w:r>
            <w:rPr>
              <w:rFonts w:ascii="黑体" w:hAnsi="黑体" w:eastAsia="黑体" w:cs="黑体"/>
              <w:color w:val="auto"/>
              <w:spacing w:val="7"/>
              <w:sz w:val="18"/>
              <w:szCs w:val="18"/>
              <w:highlight w:val="none"/>
            </w:rPr>
            <w:t xml:space="preserve">   </w:t>
          </w:r>
          <w:r>
            <w:rPr>
              <w:rFonts w:ascii="黑体" w:hAnsi="黑体" w:eastAsia="黑体" w:cs="黑体"/>
              <w:color w:val="auto"/>
              <w:spacing w:val="14"/>
              <w:sz w:val="18"/>
              <w:szCs w:val="18"/>
              <w:highlight w:val="none"/>
            </w:rPr>
            <w:t xml:space="preserve">响应文件格式 </w:t>
          </w:r>
          <w:r>
            <w:rPr>
              <w:rFonts w:ascii="黑体" w:hAnsi="黑体" w:eastAsia="黑体" w:cs="黑体"/>
              <w:color w:val="auto"/>
              <w:sz w:val="18"/>
              <w:szCs w:val="18"/>
              <w:highlight w:val="none"/>
            </w:rPr>
            <w:tab/>
          </w:r>
          <w:r>
            <w:rPr>
              <w:rFonts w:ascii="黑体" w:hAnsi="黑体" w:eastAsia="黑体" w:cs="黑体"/>
              <w:color w:val="auto"/>
              <w:sz w:val="18"/>
              <w:szCs w:val="18"/>
              <w:highlight w:val="none"/>
            </w:rPr>
            <w:fldChar w:fldCharType="end"/>
          </w:r>
          <w:r>
            <w:rPr>
              <w:rFonts w:ascii="Times New Roman" w:hAnsi="Times New Roman" w:eastAsia="Times New Roman" w:cs="Times New Roman"/>
              <w:color w:val="auto"/>
              <w:spacing w:val="34"/>
              <w:w w:val="125"/>
              <w:sz w:val="18"/>
              <w:szCs w:val="18"/>
              <w:highlight w:val="none"/>
            </w:rPr>
            <w:t>58</w:t>
          </w:r>
        </w:p>
      </w:sdtContent>
    </w:sdt>
    <w:p w14:paraId="74BDBB7E">
      <w:pPr>
        <w:spacing w:line="232" w:lineRule="auto"/>
        <w:rPr>
          <w:rFonts w:ascii="Times New Roman" w:hAnsi="Times New Roman" w:eastAsia="Times New Roman" w:cs="Times New Roman"/>
          <w:color w:val="auto"/>
          <w:sz w:val="18"/>
          <w:szCs w:val="18"/>
          <w:highlight w:val="none"/>
        </w:rPr>
        <w:sectPr>
          <w:footerReference r:id="rId7" w:type="default"/>
          <w:pgSz w:w="11906" w:h="16840"/>
          <w:pgMar w:top="1431" w:right="1382" w:bottom="1174" w:left="1440" w:header="0" w:footer="928" w:gutter="0"/>
          <w:cols w:space="720" w:num="1"/>
        </w:sectPr>
      </w:pPr>
    </w:p>
    <w:p w14:paraId="6122E449">
      <w:pPr>
        <w:spacing w:before="195" w:line="222" w:lineRule="auto"/>
        <w:ind w:left="2748"/>
        <w:outlineLvl w:val="0"/>
        <w:rPr>
          <w:rFonts w:ascii="黑体" w:hAnsi="黑体" w:eastAsia="黑体" w:cs="黑体"/>
          <w:color w:val="auto"/>
          <w:sz w:val="30"/>
          <w:szCs w:val="30"/>
          <w:highlight w:val="none"/>
        </w:rPr>
      </w:pPr>
      <w:bookmarkStart w:id="2" w:name="bookmark4"/>
      <w:bookmarkEnd w:id="2"/>
      <w:r>
        <w:rPr>
          <w:rFonts w:ascii="黑体" w:hAnsi="黑体" w:eastAsia="黑体" w:cs="黑体"/>
          <w:color w:val="auto"/>
          <w:spacing w:val="4"/>
          <w:sz w:val="30"/>
          <w:szCs w:val="30"/>
          <w:highlight w:val="none"/>
        </w:rPr>
        <w:t>第一章</w:t>
      </w:r>
      <w:r>
        <w:rPr>
          <w:rFonts w:ascii="黑体" w:hAnsi="黑体" w:eastAsia="黑体" w:cs="黑体"/>
          <w:color w:val="auto"/>
          <w:spacing w:val="34"/>
          <w:sz w:val="30"/>
          <w:szCs w:val="30"/>
          <w:highlight w:val="none"/>
        </w:rPr>
        <w:t xml:space="preserve">  </w:t>
      </w:r>
      <w:r>
        <w:rPr>
          <w:rFonts w:ascii="黑体" w:hAnsi="黑体" w:eastAsia="黑体" w:cs="黑体"/>
          <w:color w:val="auto"/>
          <w:spacing w:val="4"/>
          <w:sz w:val="30"/>
          <w:szCs w:val="30"/>
          <w:highlight w:val="none"/>
        </w:rPr>
        <w:t>磋商公告</w:t>
      </w:r>
    </w:p>
    <w:p w14:paraId="5E4C4D5B">
      <w:pPr>
        <w:pStyle w:val="3"/>
        <w:spacing w:line="270" w:lineRule="auto"/>
        <w:rPr>
          <w:color w:val="auto"/>
          <w:highlight w:val="none"/>
        </w:rPr>
      </w:pPr>
    </w:p>
    <w:p w14:paraId="2B627AE4">
      <w:pPr>
        <w:spacing w:before="58" w:line="224" w:lineRule="auto"/>
        <w:ind w:left="4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乌什县阿合雅镇托万克阿合亚（15）村2026年防渗渠以工代赈防渗渠建设项目</w:t>
      </w:r>
      <w:r>
        <w:rPr>
          <w:rFonts w:ascii="仿宋" w:hAnsi="仿宋" w:eastAsia="仿宋" w:cs="仿宋"/>
          <w:b/>
          <w:bCs/>
          <w:color w:val="auto"/>
          <w:sz w:val="28"/>
          <w:szCs w:val="28"/>
          <w:highlight w:val="none"/>
        </w:rPr>
        <w:t>的竞争性磋商公告</w:t>
      </w:r>
    </w:p>
    <w:tbl>
      <w:tblPr>
        <w:tblStyle w:val="11"/>
        <w:tblW w:w="9244" w:type="dxa"/>
        <w:tblInd w:w="5"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0" w:type="dxa"/>
          <w:left w:w="0" w:type="dxa"/>
          <w:bottom w:w="0" w:type="dxa"/>
          <w:right w:w="0" w:type="dxa"/>
        </w:tblCellMar>
      </w:tblPr>
      <w:tblGrid>
        <w:gridCol w:w="9244"/>
      </w:tblGrid>
      <w:tr w14:paraId="402450B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1929" w:hRule="atLeast"/>
        </w:trPr>
        <w:tc>
          <w:tcPr>
            <w:tcW w:w="9244" w:type="dxa"/>
            <w:vAlign w:val="top"/>
          </w:tcPr>
          <w:p w14:paraId="6A937A4E">
            <w:pPr>
              <w:spacing w:before="58" w:line="224" w:lineRule="auto"/>
              <w:ind w:left="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项目概况：</w:t>
            </w:r>
          </w:p>
          <w:p w14:paraId="0267F0AB">
            <w:pPr>
              <w:spacing w:before="58" w:line="224" w:lineRule="auto"/>
              <w:ind w:left="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乌什县阿合雅镇托万克阿合亚（15）村2026年防渗渠以工代赈防渗渠建设项目的潜在供应商应在政采云平台报名成功后获取采购文件，</w:t>
            </w:r>
            <w:r>
              <w:rPr>
                <w:rFonts w:hint="eastAsia" w:ascii="仿宋" w:hAnsi="仿宋" w:eastAsia="仿宋" w:cs="仿宋"/>
                <w:color w:val="auto"/>
                <w:sz w:val="28"/>
                <w:szCs w:val="28"/>
                <w:highlight w:val="none"/>
                <w:lang w:val="en-US" w:eastAsia="zh-CN"/>
              </w:rPr>
              <w:t>并于2026 年05月09日10点30分</w:t>
            </w:r>
            <w:r>
              <w:rPr>
                <w:rFonts w:hint="eastAsia" w:ascii="仿宋" w:hAnsi="仿宋" w:eastAsia="仿宋" w:cs="仿宋"/>
                <w:color w:val="auto"/>
                <w:sz w:val="28"/>
                <w:szCs w:val="28"/>
                <w:highlight w:val="none"/>
                <w:lang w:val="en-US" w:eastAsia="zh-CN"/>
              </w:rPr>
              <w:t>（北京时间）前提交响应文件。</w:t>
            </w:r>
          </w:p>
        </w:tc>
      </w:tr>
    </w:tbl>
    <w:p w14:paraId="341C6682">
      <w:pPr>
        <w:spacing w:before="58" w:line="224" w:lineRule="auto"/>
        <w:ind w:left="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一、项目基本情况</w:t>
      </w:r>
    </w:p>
    <w:p w14:paraId="77191A90">
      <w:pPr>
        <w:spacing w:before="58" w:line="224" w:lineRule="auto"/>
        <w:ind w:left="4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项目编号：WSX[2026]-087</w:t>
      </w:r>
    </w:p>
    <w:p w14:paraId="09A97BD6">
      <w:pPr>
        <w:spacing w:before="58" w:line="224" w:lineRule="auto"/>
        <w:ind w:left="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项目名称：乌什县阿合雅镇托万克阿合亚（15）村2026年防渗渠以工代赈防渗渠建设项目</w:t>
      </w:r>
    </w:p>
    <w:p w14:paraId="7E9805E4">
      <w:pPr>
        <w:spacing w:before="58" w:line="224" w:lineRule="auto"/>
        <w:ind w:left="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采购方式：竞争性磋商</w:t>
      </w:r>
    </w:p>
    <w:p w14:paraId="610D88EA">
      <w:pPr>
        <w:spacing w:before="58" w:line="224" w:lineRule="auto"/>
        <w:ind w:left="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预算金额（元）：7740000.00</w:t>
      </w:r>
    </w:p>
    <w:p w14:paraId="608FCC08">
      <w:pPr>
        <w:spacing w:before="58" w:line="224" w:lineRule="auto"/>
        <w:ind w:left="4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最高限价（元）：7740000.00</w:t>
      </w:r>
    </w:p>
    <w:p w14:paraId="38E0243E">
      <w:pPr>
        <w:spacing w:before="58" w:line="224" w:lineRule="auto"/>
        <w:ind w:left="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采购需求：改扩建托万克阿合亚(15)村防渗渠8.6公里，设计流量0.2-0.8m2/s，上宽0.8-1米，下宽0.6-1.0米，渠深0.6-1.0米;配套渠系建筑物170座及相关配套附属设施。（详见工程量清单及图纸包含的全部内容）</w:t>
      </w:r>
    </w:p>
    <w:p w14:paraId="38E7C887">
      <w:pPr>
        <w:spacing w:before="58" w:line="224" w:lineRule="auto"/>
        <w:ind w:left="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合同履行期限：</w:t>
      </w:r>
      <w:r>
        <w:rPr>
          <w:rFonts w:hint="eastAsia" w:ascii="仿宋" w:hAnsi="仿宋" w:eastAsia="仿宋" w:cs="仿宋"/>
          <w:color w:val="auto"/>
          <w:sz w:val="28"/>
          <w:szCs w:val="28"/>
          <w:highlight w:val="none"/>
          <w:lang w:val="en-US" w:eastAsia="zh-CN"/>
        </w:rPr>
        <w:t>合同签订后 210 日历天。（以合同签订时间为准）</w:t>
      </w:r>
    </w:p>
    <w:p w14:paraId="55688E30">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本项目不接受联合体</w:t>
      </w:r>
    </w:p>
    <w:p w14:paraId="3A5BBD49">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二、 申请人的资格要求：</w:t>
      </w:r>
    </w:p>
    <w:p w14:paraId="6A1C4BE6">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1.满足《中华人民共和国政府采购法》第二十二条规定；</w:t>
      </w:r>
    </w:p>
    <w:p w14:paraId="5B059B4B">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2.落实政府采购政策需满足的资格要求：</w:t>
      </w:r>
    </w:p>
    <w:p w14:paraId="05586E85">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（1）财政部、国家发展改革委、生态环境部、市场监管总局《关于调整优化节能产品、环境标志产品政府采购执行机制的通知》（财库[2019]9 号文；</w:t>
      </w:r>
    </w:p>
    <w:p w14:paraId="2F3F1CDC">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（2）财政部、生态环境部《关于印发环境标志产品政府采购品目清单的通知》（财库[2019]18 号文）；</w:t>
      </w:r>
    </w:p>
    <w:p w14:paraId="745D1FCA">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（3）财政部、发展改革委《关于印发节能产品政府采购品目清单的通知》 （财库[2019]19 号文）；</w:t>
      </w:r>
    </w:p>
    <w:p w14:paraId="505FB21B">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（4）市场监管总局《市场监管总局关于发布参与实施政府采购节能产品、环境标志产品认证机构名录的公告》（2019 年第 16 号）；</w:t>
      </w:r>
    </w:p>
    <w:p w14:paraId="5158C222">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（5）财政部、工业和信息化部《关于印发《政府采购促进中小企业发展管理办法》的通知》（财库[2020]46 号文）；</w:t>
      </w:r>
    </w:p>
    <w:p w14:paraId="6AC4D357">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（6）财政部、 民政部、中国残疾人联合会《关于促进残疾人就业政府采购政策的通知》（财库[2017]141 号）；</w:t>
      </w:r>
    </w:p>
    <w:p w14:paraId="1F9074B9">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（7）本项目专门面向中小企业。</w:t>
      </w:r>
    </w:p>
    <w:p w14:paraId="2ADC388C">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3.本项目的特定资格要求：[水利水电工程施工总承包</w:t>
      </w:r>
      <w:r>
        <w:rPr>
          <w:rFonts w:hint="eastAsia" w:ascii="仿宋" w:hAnsi="仿宋" w:eastAsia="仿宋" w:cs="仿宋"/>
          <w:color w:val="auto"/>
          <w:sz w:val="28"/>
          <w:szCs w:val="28"/>
          <w:highlight w:val="none"/>
          <w:lang w:val="en-US" w:eastAsia="zh-CN"/>
        </w:rPr>
        <w:t>贰</w:t>
      </w:r>
      <w:r>
        <w:rPr>
          <w:rFonts w:ascii="仿宋" w:hAnsi="仿宋" w:eastAsia="仿宋" w:cs="仿宋"/>
          <w:color w:val="auto"/>
          <w:sz w:val="28"/>
          <w:szCs w:val="28"/>
          <w:highlight w:val="none"/>
        </w:rPr>
        <w:t>级]（含）及以上资质和安全生产许可证；项目负责人须具备水利水电工程专业二级（含）以上注册建造师执业资格和安全生产考核合格证书，近3个月有效的社保证明，且未担任其他在施建设项目的项目负责人；（需提供无在建承诺书，格式自拟）</w:t>
      </w:r>
    </w:p>
    <w:p w14:paraId="6B22DD10">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4.其他要求：</w:t>
      </w:r>
      <w:r>
        <w:rPr>
          <w:rFonts w:hint="eastAsia" w:ascii="仿宋" w:hAnsi="仿宋" w:eastAsia="仿宋" w:cs="仿宋"/>
          <w:color w:val="auto"/>
          <w:sz w:val="28"/>
          <w:szCs w:val="28"/>
          <w:highlight w:val="none"/>
        </w:rPr>
        <w:t>严格按照《国家以工代赈管理办法》《自治区以工代赈管理实施细则》等相关规定，按照“先有群众、后有项目”“能用人工尽量不使用机械，能用当地群众尽量不使用专业施工队伍”的要求，加强当地群众务工组织，及时足额发放劳务报酬。本项目计划带动就业210人(其中，返乡农民工123人，脱贫人口和防返贫监测对象82人，其他农村低收入人口1人，家庭经济困难高校毕业生4人)，本地群众发放劳务报酬340万元，</w:t>
      </w:r>
      <w:r>
        <w:rPr>
          <w:rFonts w:hint="eastAsia" w:ascii="仿宋" w:hAnsi="仿宋" w:eastAsia="仿宋" w:cs="仿宋"/>
          <w:color w:val="auto"/>
          <w:sz w:val="28"/>
          <w:szCs w:val="28"/>
          <w:highlight w:val="none"/>
        </w:rPr>
        <w:t>占中央预算内资金的45.09%。</w:t>
      </w:r>
      <w:r>
        <w:rPr>
          <w:rFonts w:hint="eastAsia" w:ascii="仿宋" w:hAnsi="仿宋" w:eastAsia="仿宋" w:cs="仿宋"/>
          <w:color w:val="auto"/>
          <w:sz w:val="28"/>
          <w:szCs w:val="28"/>
          <w:highlight w:val="none"/>
        </w:rPr>
        <w:t>劳务报酬通过“新薪通”平台统一发放。本项目采用赈济模式为“公益性基础设施建设+劳务报酬发放+就业技能培训+公益性岗位设置”;务工组织方式采用“乡镇+通过竞争性磋商委托施工企业+村委会+当地群众”的方式，要切实发挥本项目赈济作用，促进当地群众就地就近就业增收。</w:t>
      </w:r>
      <w:r>
        <w:rPr>
          <w:rFonts w:ascii="仿宋" w:hAnsi="仿宋" w:eastAsia="仿宋" w:cs="仿宋"/>
          <w:color w:val="auto"/>
          <w:sz w:val="28"/>
          <w:szCs w:val="28"/>
          <w:highlight w:val="none"/>
        </w:rPr>
        <w:t>投标人需作出相应承诺。</w:t>
      </w:r>
    </w:p>
    <w:p w14:paraId="460C0111">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三、获取采购文件</w:t>
      </w:r>
    </w:p>
    <w:p w14:paraId="2E4F255A">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时 间 ：</w:t>
      </w:r>
      <w:r>
        <w:rPr>
          <w:rFonts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6</w:t>
      </w:r>
      <w:r>
        <w:rPr>
          <w:rFonts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04</w:t>
      </w:r>
      <w:r>
        <w:rPr>
          <w:rFonts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28</w:t>
      </w:r>
      <w:r>
        <w:rPr>
          <w:rFonts w:ascii="仿宋" w:hAnsi="仿宋" w:eastAsia="仿宋" w:cs="仿宋"/>
          <w:color w:val="auto"/>
          <w:sz w:val="28"/>
          <w:szCs w:val="28"/>
          <w:highlight w:val="none"/>
        </w:rPr>
        <w:t>日至202</w:t>
      </w:r>
      <w:r>
        <w:rPr>
          <w:rFonts w:hint="eastAsia" w:ascii="仿宋" w:hAnsi="仿宋" w:eastAsia="仿宋" w:cs="仿宋"/>
          <w:color w:val="auto"/>
          <w:sz w:val="28"/>
          <w:szCs w:val="28"/>
          <w:highlight w:val="none"/>
          <w:lang w:val="en-US" w:eastAsia="zh-CN"/>
        </w:rPr>
        <w:t>6</w:t>
      </w:r>
      <w:r>
        <w:rPr>
          <w:rFonts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05</w:t>
      </w:r>
      <w:r>
        <w:rPr>
          <w:rFonts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08</w:t>
      </w:r>
      <w:r>
        <w:rPr>
          <w:rFonts w:ascii="仿宋" w:hAnsi="仿宋" w:eastAsia="仿宋" w:cs="仿宋"/>
          <w:color w:val="auto"/>
          <w:sz w:val="28"/>
          <w:szCs w:val="28"/>
          <w:highlight w:val="none"/>
        </w:rPr>
        <w:t xml:space="preserve">日 ，每天上午10:00 至 14:00，下午 </w:t>
      </w:r>
      <w:r>
        <w:rPr>
          <w:rFonts w:hint="eastAsia" w:ascii="仿宋" w:hAnsi="仿宋" w:eastAsia="仿宋" w:cs="仿宋"/>
          <w:color w:val="auto"/>
          <w:sz w:val="28"/>
          <w:szCs w:val="28"/>
          <w:highlight w:val="none"/>
          <w:lang w:val="en-US" w:eastAsia="zh-CN"/>
        </w:rPr>
        <w:t>15</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30 </w:t>
      </w:r>
      <w:r>
        <w:rPr>
          <w:rFonts w:ascii="仿宋" w:hAnsi="仿宋" w:eastAsia="仿宋" w:cs="仿宋"/>
          <w:color w:val="auto"/>
          <w:sz w:val="28"/>
          <w:szCs w:val="28"/>
          <w:highlight w:val="none"/>
        </w:rPr>
        <w:t xml:space="preserve">至 </w:t>
      </w:r>
      <w:r>
        <w:rPr>
          <w:rFonts w:hint="eastAsia" w:ascii="仿宋" w:hAnsi="仿宋" w:eastAsia="仿宋" w:cs="仿宋"/>
          <w:color w:val="auto"/>
          <w:sz w:val="28"/>
          <w:szCs w:val="28"/>
          <w:highlight w:val="none"/>
          <w:lang w:val="en-US" w:eastAsia="zh-CN"/>
        </w:rPr>
        <w:t>19</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30</w:t>
      </w:r>
      <w:r>
        <w:rPr>
          <w:rFonts w:ascii="仿宋" w:hAnsi="仿宋" w:eastAsia="仿宋" w:cs="仿宋"/>
          <w:color w:val="auto"/>
          <w:sz w:val="28"/>
          <w:szCs w:val="28"/>
          <w:highlight w:val="none"/>
        </w:rPr>
        <w:t>（北京时间，法定节假日除外）</w:t>
      </w:r>
    </w:p>
    <w:p w14:paraId="1D20A256">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地点：政采云平台报名成功后获取</w:t>
      </w:r>
    </w:p>
    <w:p w14:paraId="31397A3F">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方式：政采云报名成功后自行下载采购文件</w:t>
      </w:r>
    </w:p>
    <w:p w14:paraId="6BF0E8BE">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售价：0</w:t>
      </w:r>
    </w:p>
    <w:p w14:paraId="1E87F84E">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四、响应文件提交</w:t>
      </w:r>
    </w:p>
    <w:p w14:paraId="4047CC91">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val="en-US" w:eastAsia="zh-CN"/>
        </w:rPr>
        <w:t>2026 年05月09日10点30分</w:t>
      </w:r>
      <w:r>
        <w:rPr>
          <w:rFonts w:ascii="仿宋" w:hAnsi="仿宋" w:eastAsia="仿宋" w:cs="仿宋"/>
          <w:color w:val="auto"/>
          <w:sz w:val="28"/>
          <w:szCs w:val="28"/>
          <w:highlight w:val="none"/>
        </w:rPr>
        <w:t>（北京时间）</w:t>
      </w:r>
    </w:p>
    <w:p w14:paraId="1CBEB5A0">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 xml:space="preserve">地点：政采云平台 </w:t>
      </w:r>
      <w:r>
        <w:rPr>
          <w:rFonts w:ascii="仿宋" w:hAnsi="仿宋" w:eastAsia="仿宋" w:cs="仿宋"/>
          <w:color w:val="auto"/>
          <w:sz w:val="28"/>
          <w:szCs w:val="28"/>
          <w:highlight w:val="none"/>
        </w:rPr>
        <w:fldChar w:fldCharType="begin"/>
      </w:r>
      <w:r>
        <w:rPr>
          <w:rFonts w:ascii="仿宋" w:hAnsi="仿宋" w:eastAsia="仿宋" w:cs="仿宋"/>
          <w:color w:val="auto"/>
          <w:sz w:val="28"/>
          <w:szCs w:val="28"/>
          <w:highlight w:val="none"/>
        </w:rPr>
        <w:instrText xml:space="preserve"> HYPERLINK "http://www.zcygov.cn/" </w:instrText>
      </w:r>
      <w:r>
        <w:rPr>
          <w:rFonts w:ascii="仿宋" w:hAnsi="仿宋" w:eastAsia="仿宋" w:cs="仿宋"/>
          <w:color w:val="auto"/>
          <w:sz w:val="28"/>
          <w:szCs w:val="28"/>
          <w:highlight w:val="none"/>
        </w:rPr>
        <w:fldChar w:fldCharType="separate"/>
      </w:r>
      <w:r>
        <w:rPr>
          <w:rFonts w:ascii="仿宋" w:hAnsi="仿宋" w:eastAsia="仿宋" w:cs="仿宋"/>
          <w:color w:val="auto"/>
          <w:sz w:val="28"/>
          <w:szCs w:val="28"/>
          <w:highlight w:val="none"/>
        </w:rPr>
        <w:t>http://www.zcygov.cn/</w:t>
      </w:r>
      <w:r>
        <w:rPr>
          <w:rFonts w:ascii="仿宋" w:hAnsi="仿宋" w:eastAsia="仿宋" w:cs="仿宋"/>
          <w:color w:val="auto"/>
          <w:sz w:val="28"/>
          <w:szCs w:val="28"/>
          <w:highlight w:val="none"/>
        </w:rPr>
        <w:fldChar w:fldCharType="end"/>
      </w:r>
    </w:p>
    <w:p w14:paraId="4FA3F89E">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五、响应文件开启</w:t>
      </w:r>
    </w:p>
    <w:p w14:paraId="48A39EC5">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2026 年05月09日10点30分</w:t>
      </w:r>
      <w:r>
        <w:rPr>
          <w:rFonts w:ascii="仿宋" w:hAnsi="仿宋" w:eastAsia="仿宋" w:cs="仿宋"/>
          <w:color w:val="auto"/>
          <w:sz w:val="28"/>
          <w:szCs w:val="28"/>
          <w:highlight w:val="none"/>
        </w:rPr>
        <w:t>（北京时间）</w:t>
      </w:r>
    </w:p>
    <w:p w14:paraId="4B57BF80">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 xml:space="preserve">地点：政采云平台 </w:t>
      </w:r>
      <w:r>
        <w:rPr>
          <w:rFonts w:ascii="仿宋" w:hAnsi="仿宋" w:eastAsia="仿宋" w:cs="仿宋"/>
          <w:color w:val="auto"/>
          <w:sz w:val="28"/>
          <w:szCs w:val="28"/>
          <w:highlight w:val="none"/>
        </w:rPr>
        <w:fldChar w:fldCharType="begin"/>
      </w:r>
      <w:r>
        <w:rPr>
          <w:rFonts w:ascii="仿宋" w:hAnsi="仿宋" w:eastAsia="仿宋" w:cs="仿宋"/>
          <w:color w:val="auto"/>
          <w:sz w:val="28"/>
          <w:szCs w:val="28"/>
          <w:highlight w:val="none"/>
        </w:rPr>
        <w:instrText xml:space="preserve"> HYPERLINK "http://www.zcygov.cn/" </w:instrText>
      </w:r>
      <w:r>
        <w:rPr>
          <w:rFonts w:ascii="仿宋" w:hAnsi="仿宋" w:eastAsia="仿宋" w:cs="仿宋"/>
          <w:color w:val="auto"/>
          <w:sz w:val="28"/>
          <w:szCs w:val="28"/>
          <w:highlight w:val="none"/>
        </w:rPr>
        <w:fldChar w:fldCharType="separate"/>
      </w:r>
      <w:r>
        <w:rPr>
          <w:rFonts w:ascii="仿宋" w:hAnsi="仿宋" w:eastAsia="仿宋" w:cs="仿宋"/>
          <w:color w:val="auto"/>
          <w:sz w:val="28"/>
          <w:szCs w:val="28"/>
          <w:highlight w:val="none"/>
        </w:rPr>
        <w:t>http://www.zcygov.cn/</w:t>
      </w:r>
      <w:r>
        <w:rPr>
          <w:rFonts w:ascii="仿宋" w:hAnsi="仿宋" w:eastAsia="仿宋" w:cs="仿宋"/>
          <w:color w:val="auto"/>
          <w:sz w:val="28"/>
          <w:szCs w:val="28"/>
          <w:highlight w:val="none"/>
        </w:rPr>
        <w:fldChar w:fldCharType="end"/>
      </w:r>
    </w:p>
    <w:p w14:paraId="66D3395A">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六、公告期限</w:t>
      </w:r>
    </w:p>
    <w:p w14:paraId="6661354A">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自本公告发布之日起 5 个工作日。</w:t>
      </w:r>
    </w:p>
    <w:p w14:paraId="27B16AA2">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七、其他补充事宜</w:t>
      </w:r>
    </w:p>
    <w:p w14:paraId="25215386">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1、本项目实行网上投标，采用电子投标文件。</w:t>
      </w:r>
    </w:p>
    <w:p w14:paraId="553B3F8E">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2、各供应商应在开标前确保成为正式注册入库供应商，并完成CA 数字证书(符合国密标准)申领。因未注册入库、未办理 CA 数字证书等原因造成无法投标或投标失败等后果由供应商自行承担。如需咨询，请联系新疆-安信CA 服务热线 18399999326；翔晟 CA 服务热线 025-66085508；新疆 CA 服务热线 4000921999。</w:t>
      </w:r>
    </w:p>
    <w:p w14:paraId="066CC13C">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3、供应商将政采云电子交易客户端下载、安装完成后，可通过账号密码或 CA 登录客户端进行投标文件的制作。在使用政采云投标客户端时，建议使用 WIN7 及以上操作系统。</w:t>
      </w:r>
    </w:p>
    <w:p w14:paraId="62101DD2">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 xml:space="preserve">4、其他事项：（1）本次公告在新疆政府采购网、阿克苏地区行政公署网、乌什县人民政府网同时发布；（2）请投标单位随时关注本项目的变更、答疑、澄清文件；（3）本项目实行电子招投标，供应商须登录政采云平台申请获取招标文件，并通过政采云电子投标客户端制作响应文件， 同时自行承担与投标有关的一切费用；（4）供应商须在投标截止时间前通过 CA 在政采云平台上传加密的电子响应文件 。备注： 供应商对不见面开评标系统的技术操作咨询 ，可通过 </w:t>
      </w:r>
      <w:r>
        <w:rPr>
          <w:rFonts w:ascii="仿宋" w:hAnsi="仿宋" w:eastAsia="仿宋" w:cs="仿宋"/>
          <w:color w:val="auto"/>
          <w:sz w:val="28"/>
          <w:szCs w:val="28"/>
          <w:highlight w:val="none"/>
        </w:rPr>
        <w:fldChar w:fldCharType="begin"/>
      </w:r>
      <w:r>
        <w:rPr>
          <w:rFonts w:ascii="仿宋" w:hAnsi="仿宋" w:eastAsia="仿宋" w:cs="仿宋"/>
          <w:color w:val="auto"/>
          <w:sz w:val="28"/>
          <w:szCs w:val="28"/>
          <w:highlight w:val="none"/>
        </w:rPr>
        <w:instrText xml:space="preserve"> HYPERLINK "https://edu.zcygov.cn/luban/xinjiang-e-biding" </w:instrText>
      </w:r>
      <w:r>
        <w:rPr>
          <w:rFonts w:ascii="仿宋" w:hAnsi="仿宋" w:eastAsia="仿宋" w:cs="仿宋"/>
          <w:color w:val="auto"/>
          <w:sz w:val="28"/>
          <w:szCs w:val="28"/>
          <w:highlight w:val="none"/>
        </w:rPr>
        <w:fldChar w:fldCharType="separate"/>
      </w:r>
      <w:r>
        <w:rPr>
          <w:rFonts w:ascii="仿宋" w:hAnsi="仿宋" w:eastAsia="仿宋" w:cs="仿宋"/>
          <w:color w:val="auto"/>
          <w:sz w:val="28"/>
          <w:szCs w:val="28"/>
          <w:highlight w:val="none"/>
        </w:rPr>
        <w:t>https://edu.zcygov.cn/luban/xinjiang-e-biding</w:t>
      </w:r>
      <w:r>
        <w:rPr>
          <w:rFonts w:ascii="仿宋" w:hAnsi="仿宋" w:eastAsia="仿宋" w:cs="仿宋"/>
          <w:color w:val="auto"/>
          <w:sz w:val="28"/>
          <w:szCs w:val="28"/>
          <w:highlight w:val="none"/>
        </w:rPr>
        <w:fldChar w:fldCharType="end"/>
      </w:r>
      <w:r>
        <w:rPr>
          <w:rFonts w:ascii="仿宋" w:hAnsi="仿宋" w:eastAsia="仿宋" w:cs="仿宋"/>
          <w:color w:val="auto"/>
          <w:sz w:val="28"/>
          <w:szCs w:val="28"/>
          <w:highlight w:val="none"/>
        </w:rPr>
        <w:t xml:space="preserve"> 自助查询 ，也可在政采云帮助中心常见问题解答和操作流程讲解 视 频 中 自 助 查 询 ， 网 址 为 ：</w:t>
      </w:r>
    </w:p>
    <w:p w14:paraId="6242A9A3">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fldChar w:fldCharType="begin"/>
      </w:r>
      <w:r>
        <w:rPr>
          <w:rFonts w:ascii="仿宋" w:hAnsi="仿宋" w:eastAsia="仿宋" w:cs="仿宋"/>
          <w:color w:val="auto"/>
          <w:sz w:val="28"/>
          <w:szCs w:val="28"/>
          <w:highlight w:val="none"/>
        </w:rPr>
        <w:instrText xml:space="preserve"> HYPERLINK "https://service.zcygov.cn/" </w:instrText>
      </w:r>
      <w:r>
        <w:rPr>
          <w:rFonts w:ascii="仿宋" w:hAnsi="仿宋" w:eastAsia="仿宋" w:cs="仿宋"/>
          <w:color w:val="auto"/>
          <w:sz w:val="28"/>
          <w:szCs w:val="28"/>
          <w:highlight w:val="none"/>
        </w:rPr>
        <w:fldChar w:fldCharType="separate"/>
      </w:r>
      <w:r>
        <w:rPr>
          <w:rFonts w:ascii="仿宋" w:hAnsi="仿宋" w:eastAsia="仿宋" w:cs="仿宋"/>
          <w:color w:val="auto"/>
          <w:sz w:val="28"/>
          <w:szCs w:val="28"/>
          <w:highlight w:val="none"/>
        </w:rPr>
        <w:t>https://service.zcygov.cn/#/help</w:t>
      </w:r>
      <w:r>
        <w:rPr>
          <w:rFonts w:ascii="仿宋" w:hAnsi="仿宋" w:eastAsia="仿宋" w:cs="仿宋"/>
          <w:color w:val="auto"/>
          <w:sz w:val="28"/>
          <w:szCs w:val="28"/>
          <w:highlight w:val="none"/>
        </w:rPr>
        <w:fldChar w:fldCharType="end"/>
      </w:r>
      <w:r>
        <w:rPr>
          <w:rFonts w:ascii="仿宋" w:hAnsi="仿宋" w:eastAsia="仿宋" w:cs="仿宋"/>
          <w:color w:val="auto"/>
          <w:sz w:val="28"/>
          <w:szCs w:val="28"/>
          <w:highlight w:val="none"/>
        </w:rPr>
        <w:t>，“项目采购 ”— “操作流程—电子招投标 ”—“政 府采购项目电子交易管理操作指南-供应商 ”版面获取操作指南，同时对自助查询无法 解决的问题可通过钉钉群及政采云在线客服获取服务支持；（5）供应商在开标前须提前配置好电脑浏览器（建议使用 360 浏览器或谷歌浏览器）， 开标时请使用制作加密电子响应文件的 CA 锁进行解密及报价确认。本项目响应文件解密时间定为 30 分钟，如因自身原因导致无法正常解密，后果由供应商自行承担。</w:t>
      </w:r>
    </w:p>
    <w:p w14:paraId="336E07A0">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特别提示：</w:t>
      </w:r>
    </w:p>
    <w:p w14:paraId="02FE3D10">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1、采购限额标准以上，200 万元以下的货物和服务采购项目、400 万元以下的工程采购项目，适宜由中小企业提供的，采购人应当专门面向中小企业采购。</w:t>
      </w:r>
    </w:p>
    <w:p w14:paraId="162735A9">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2、超过200 万元的货物和服务采购项目，预留该部分采购项目预算总额的 30%以上专门面向中小企业采购，其中预留给小微企业的比例不低于60%。</w:t>
      </w:r>
    </w:p>
    <w:p w14:paraId="7E5C9355">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3、超过400 万元的工程采购项目中适宜由中小企业提供的，预留该部分采购项目预算总额的40%以上专门面向中小企业采购，其中预留给小微企业的比例不低于 60%。</w:t>
      </w:r>
    </w:p>
    <w:p w14:paraId="6B340128">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4、对于未预留份额专门面向中小企业的采购项目，以及预留份额项目中的非预留部分采购包，采购人、采购代理机构应当对符合规定的小微企业报价给予 10%~20%（工程项目为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1D230905">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30%以上的，采购人、采购代理机构应当对联合体或者大中型企业的报价给予4%~6%（工程项目为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w:t>
      </w:r>
    </w:p>
    <w:p w14:paraId="1BDE2809">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八、凡对本次采购提出询问，请按以下方式联系。</w:t>
      </w:r>
    </w:p>
    <w:p w14:paraId="6B0EC7E0">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1.采购人信息</w:t>
      </w:r>
    </w:p>
    <w:p w14:paraId="77F7349F">
      <w:pPr>
        <w:spacing w:before="58" w:line="224" w:lineRule="auto"/>
        <w:ind w:left="40"/>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乌什县阿合雅镇人民政府</w:t>
      </w:r>
    </w:p>
    <w:p w14:paraId="60BE658C">
      <w:pPr>
        <w:spacing w:before="58" w:line="224" w:lineRule="auto"/>
        <w:ind w:left="4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地  址：乌什县阿合雅镇</w:t>
      </w:r>
    </w:p>
    <w:p w14:paraId="43A509BF">
      <w:pPr>
        <w:spacing w:before="58" w:line="224" w:lineRule="auto"/>
        <w:ind w:left="4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联系方式：15909976996</w:t>
      </w:r>
    </w:p>
    <w:p w14:paraId="6BB3A577">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2.采购代理机构信息</w:t>
      </w:r>
    </w:p>
    <w:p w14:paraId="23CB45FE">
      <w:pPr>
        <w:spacing w:before="58" w:line="224" w:lineRule="auto"/>
        <w:ind w:left="40"/>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新疆鑫盛联项目管理有限公司</w:t>
      </w:r>
    </w:p>
    <w:p w14:paraId="6DAA3791">
      <w:pPr>
        <w:spacing w:before="58" w:line="224" w:lineRule="auto"/>
        <w:ind w:left="40"/>
        <w:rPr>
          <w:rFonts w:hint="eastAsia" w:ascii="仿宋" w:hAnsi="仿宋" w:eastAsia="仿宋" w:cs="仿宋"/>
          <w:color w:val="auto"/>
          <w:sz w:val="28"/>
          <w:szCs w:val="28"/>
          <w:highlight w:val="none"/>
          <w:lang w:val="en-US" w:eastAsia="zh-CN"/>
        </w:rPr>
      </w:pPr>
      <w:r>
        <w:rPr>
          <w:rFonts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新疆喀什地区喀什市恰萨街道班超路社区帕依纳普路251号（唐城国际商业步行街）1栋商务大厦07号商铺709、710、711、712房</w:t>
      </w:r>
    </w:p>
    <w:p w14:paraId="1A483753">
      <w:pPr>
        <w:spacing w:before="58" w:line="224" w:lineRule="auto"/>
        <w:ind w:left="40"/>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17560676812</w:t>
      </w:r>
    </w:p>
    <w:p w14:paraId="2E96696F">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3.项目联系方式</w:t>
      </w:r>
    </w:p>
    <w:p w14:paraId="2CA5D272">
      <w:pPr>
        <w:spacing w:before="58" w:line="224" w:lineRule="auto"/>
        <w:ind w:left="40"/>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田国盛</w:t>
      </w:r>
    </w:p>
    <w:p w14:paraId="10E03FEF">
      <w:pPr>
        <w:spacing w:before="58" w:line="224" w:lineRule="auto"/>
        <w:ind w:left="40"/>
        <w:rPr>
          <w:rFonts w:ascii="仿宋" w:hAnsi="仿宋" w:eastAsia="仿宋" w:cs="仿宋"/>
          <w:color w:val="auto"/>
          <w:sz w:val="28"/>
          <w:szCs w:val="28"/>
          <w:highlight w:val="none"/>
        </w:rPr>
      </w:pPr>
      <w:r>
        <w:rPr>
          <w:rFonts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val="en-US" w:eastAsia="zh-CN"/>
        </w:rPr>
        <w:t>17560676812</w:t>
      </w:r>
    </w:p>
    <w:p w14:paraId="32695FEC">
      <w:pPr>
        <w:spacing w:before="61" w:line="222" w:lineRule="auto"/>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4、监督单位信息</w:t>
      </w:r>
    </w:p>
    <w:p w14:paraId="01754CA2">
      <w:pPr>
        <w:spacing w:before="64" w:line="222" w:lineRule="auto"/>
        <w:ind w:left="10"/>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名称：乌什县财政局采购办</w:t>
      </w:r>
    </w:p>
    <w:p w14:paraId="4FC4277F">
      <w:pPr>
        <w:spacing w:before="62" w:line="224" w:lineRule="auto"/>
        <w:ind w:left="6"/>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联系电话：</w:t>
      </w:r>
      <w:r>
        <w:rPr>
          <w:rFonts w:ascii="仿宋" w:hAnsi="仿宋" w:eastAsia="仿宋" w:cs="仿宋"/>
          <w:color w:val="auto"/>
          <w:spacing w:val="-4"/>
          <w:sz w:val="28"/>
          <w:szCs w:val="28"/>
          <w:highlight w:val="none"/>
        </w:rPr>
        <w:t>18909977536</w:t>
      </w:r>
    </w:p>
    <w:p w14:paraId="794D4087">
      <w:pPr>
        <w:spacing w:line="224" w:lineRule="auto"/>
        <w:rPr>
          <w:rFonts w:ascii="仿宋" w:hAnsi="仿宋" w:eastAsia="仿宋" w:cs="仿宋"/>
          <w:color w:val="auto"/>
          <w:sz w:val="28"/>
          <w:szCs w:val="28"/>
          <w:highlight w:val="none"/>
        </w:rPr>
        <w:sectPr>
          <w:footerReference r:id="rId8" w:type="default"/>
          <w:pgSz w:w="11906" w:h="16840"/>
          <w:pgMar w:top="1431" w:right="1199" w:bottom="1103" w:left="1095" w:header="0" w:footer="935" w:gutter="0"/>
          <w:pgNumType w:fmt="decimal" w:start="1"/>
          <w:cols w:space="720" w:num="1"/>
        </w:sectPr>
      </w:pPr>
    </w:p>
    <w:p w14:paraId="6B8534DF">
      <w:pPr>
        <w:spacing w:before="166" w:line="221" w:lineRule="auto"/>
        <w:ind w:left="3244"/>
        <w:outlineLvl w:val="0"/>
        <w:rPr>
          <w:rFonts w:ascii="黑体" w:hAnsi="黑体" w:eastAsia="黑体" w:cs="黑体"/>
          <w:color w:val="auto"/>
          <w:sz w:val="30"/>
          <w:szCs w:val="30"/>
          <w:highlight w:val="none"/>
        </w:rPr>
      </w:pPr>
      <w:bookmarkStart w:id="3" w:name="bookmark35"/>
      <w:bookmarkEnd w:id="3"/>
      <w:r>
        <w:rPr>
          <w:rFonts w:ascii="黑体" w:hAnsi="黑体" w:eastAsia="黑体" w:cs="黑体"/>
          <w:color w:val="auto"/>
          <w:spacing w:val="6"/>
          <w:sz w:val="30"/>
          <w:szCs w:val="30"/>
          <w:highlight w:val="none"/>
        </w:rPr>
        <w:t>第二章</w:t>
      </w:r>
      <w:r>
        <w:rPr>
          <w:rFonts w:ascii="黑体" w:hAnsi="黑体" w:eastAsia="黑体" w:cs="黑体"/>
          <w:color w:val="auto"/>
          <w:spacing w:val="32"/>
          <w:sz w:val="30"/>
          <w:szCs w:val="30"/>
          <w:highlight w:val="none"/>
        </w:rPr>
        <w:t xml:space="preserve">  </w:t>
      </w:r>
      <w:r>
        <w:rPr>
          <w:rFonts w:ascii="黑体" w:hAnsi="黑体" w:eastAsia="黑体" w:cs="黑体"/>
          <w:color w:val="auto"/>
          <w:spacing w:val="6"/>
          <w:sz w:val="30"/>
          <w:szCs w:val="30"/>
          <w:highlight w:val="none"/>
        </w:rPr>
        <w:t>供应商须知</w:t>
      </w:r>
    </w:p>
    <w:p w14:paraId="625406C0">
      <w:pPr>
        <w:pStyle w:val="3"/>
        <w:spacing w:line="319" w:lineRule="auto"/>
        <w:rPr>
          <w:color w:val="auto"/>
          <w:highlight w:val="none"/>
        </w:rPr>
      </w:pPr>
    </w:p>
    <w:p w14:paraId="0DFD28A0">
      <w:pPr>
        <w:spacing w:before="91" w:line="222" w:lineRule="auto"/>
        <w:ind w:left="143"/>
        <w:outlineLvl w:val="1"/>
        <w:rPr>
          <w:rFonts w:ascii="黑体" w:hAnsi="黑体" w:eastAsia="黑体" w:cs="黑体"/>
          <w:color w:val="auto"/>
          <w:sz w:val="28"/>
          <w:szCs w:val="28"/>
          <w:highlight w:val="none"/>
        </w:rPr>
      </w:pPr>
      <w:bookmarkStart w:id="4" w:name="bookmark36"/>
      <w:bookmarkEnd w:id="4"/>
      <w:r>
        <w:rPr>
          <w:rFonts w:ascii="黑体" w:hAnsi="黑体" w:eastAsia="黑体" w:cs="黑体"/>
          <w:color w:val="auto"/>
          <w:spacing w:val="-4"/>
          <w:sz w:val="28"/>
          <w:szCs w:val="28"/>
          <w:highlight w:val="none"/>
        </w:rPr>
        <w:t>供应商须知前附表</w:t>
      </w:r>
    </w:p>
    <w:p w14:paraId="2F58A5CA">
      <w:pPr>
        <w:spacing w:line="80" w:lineRule="exact"/>
        <w:rPr>
          <w:color w:val="auto"/>
          <w:highlight w:val="none"/>
        </w:rPr>
      </w:pPr>
    </w:p>
    <w:tbl>
      <w:tblPr>
        <w:tblStyle w:val="11"/>
        <w:tblW w:w="96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2137"/>
        <w:gridCol w:w="6773"/>
      </w:tblGrid>
      <w:tr w14:paraId="3B72C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701" w:type="dxa"/>
            <w:vAlign w:val="center"/>
          </w:tcPr>
          <w:p w14:paraId="1014741A">
            <w:pPr>
              <w:pStyle w:val="12"/>
              <w:spacing w:before="187" w:line="206" w:lineRule="auto"/>
              <w:ind w:left="128"/>
              <w:rPr>
                <w:color w:val="auto"/>
                <w:highlight w:val="none"/>
              </w:rPr>
            </w:pPr>
            <w:r>
              <w:rPr>
                <w:b/>
                <w:bCs/>
                <w:color w:val="auto"/>
                <w:spacing w:val="-11"/>
                <w:highlight w:val="none"/>
              </w:rPr>
              <w:t>序号</w:t>
            </w:r>
          </w:p>
        </w:tc>
        <w:tc>
          <w:tcPr>
            <w:tcW w:w="2137" w:type="dxa"/>
            <w:vAlign w:val="center"/>
          </w:tcPr>
          <w:p w14:paraId="34DF7FFC">
            <w:pPr>
              <w:pStyle w:val="12"/>
              <w:spacing w:before="187" w:line="206" w:lineRule="auto"/>
              <w:ind w:left="617"/>
              <w:rPr>
                <w:color w:val="auto"/>
                <w:highlight w:val="none"/>
              </w:rPr>
            </w:pPr>
            <w:r>
              <w:rPr>
                <w:b/>
                <w:bCs/>
                <w:color w:val="auto"/>
                <w:spacing w:val="-11"/>
                <w:highlight w:val="none"/>
              </w:rPr>
              <w:t>条款名称</w:t>
            </w:r>
          </w:p>
        </w:tc>
        <w:tc>
          <w:tcPr>
            <w:tcW w:w="6773" w:type="dxa"/>
            <w:vAlign w:val="center"/>
          </w:tcPr>
          <w:p w14:paraId="40050C58">
            <w:pPr>
              <w:pStyle w:val="12"/>
              <w:spacing w:before="187" w:line="206" w:lineRule="auto"/>
              <w:ind w:left="2931"/>
              <w:rPr>
                <w:color w:val="auto"/>
                <w:highlight w:val="none"/>
              </w:rPr>
            </w:pPr>
            <w:r>
              <w:rPr>
                <w:b/>
                <w:bCs/>
                <w:color w:val="auto"/>
                <w:spacing w:val="-10"/>
                <w:highlight w:val="none"/>
              </w:rPr>
              <w:t>编列内容</w:t>
            </w:r>
          </w:p>
        </w:tc>
      </w:tr>
      <w:tr w14:paraId="4B813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jc w:val="center"/>
        </w:trPr>
        <w:tc>
          <w:tcPr>
            <w:tcW w:w="701" w:type="dxa"/>
            <w:vAlign w:val="center"/>
          </w:tcPr>
          <w:p w14:paraId="349F730E">
            <w:pPr>
              <w:spacing w:line="261" w:lineRule="auto"/>
              <w:rPr>
                <w:rFonts w:ascii="Arial"/>
                <w:color w:val="auto"/>
                <w:sz w:val="21"/>
                <w:highlight w:val="none"/>
              </w:rPr>
            </w:pPr>
          </w:p>
          <w:p w14:paraId="419680BE">
            <w:pPr>
              <w:spacing w:line="261" w:lineRule="auto"/>
              <w:rPr>
                <w:rFonts w:ascii="Arial"/>
                <w:color w:val="auto"/>
                <w:sz w:val="21"/>
                <w:highlight w:val="none"/>
              </w:rPr>
            </w:pPr>
          </w:p>
          <w:p w14:paraId="04BB64A1">
            <w:pPr>
              <w:pStyle w:val="12"/>
              <w:spacing w:before="78" w:line="315" w:lineRule="exact"/>
              <w:ind w:left="313"/>
              <w:rPr>
                <w:color w:val="auto"/>
                <w:highlight w:val="none"/>
              </w:rPr>
            </w:pPr>
            <w:r>
              <w:rPr>
                <w:color w:val="auto"/>
                <w:position w:val="1"/>
                <w:highlight w:val="none"/>
              </w:rPr>
              <w:t>1</w:t>
            </w:r>
          </w:p>
        </w:tc>
        <w:tc>
          <w:tcPr>
            <w:tcW w:w="2137" w:type="dxa"/>
            <w:vAlign w:val="center"/>
          </w:tcPr>
          <w:p w14:paraId="1F875060">
            <w:pPr>
              <w:spacing w:line="261" w:lineRule="auto"/>
              <w:rPr>
                <w:rFonts w:ascii="Arial"/>
                <w:color w:val="auto"/>
                <w:sz w:val="21"/>
                <w:highlight w:val="none"/>
              </w:rPr>
            </w:pPr>
          </w:p>
          <w:p w14:paraId="09CC4FE7">
            <w:pPr>
              <w:spacing w:line="261" w:lineRule="auto"/>
              <w:rPr>
                <w:rFonts w:ascii="Arial"/>
                <w:color w:val="auto"/>
                <w:sz w:val="21"/>
                <w:highlight w:val="none"/>
              </w:rPr>
            </w:pPr>
          </w:p>
          <w:p w14:paraId="26DDEFD5">
            <w:pPr>
              <w:pStyle w:val="12"/>
              <w:spacing w:before="78" w:line="222" w:lineRule="auto"/>
              <w:ind w:left="734"/>
              <w:rPr>
                <w:color w:val="auto"/>
                <w:highlight w:val="none"/>
              </w:rPr>
            </w:pPr>
            <w:r>
              <w:rPr>
                <w:color w:val="auto"/>
                <w:spacing w:val="-10"/>
                <w:highlight w:val="none"/>
              </w:rPr>
              <w:t>采购人</w:t>
            </w:r>
          </w:p>
        </w:tc>
        <w:tc>
          <w:tcPr>
            <w:tcW w:w="6773" w:type="dxa"/>
            <w:vAlign w:val="center"/>
          </w:tcPr>
          <w:p w14:paraId="4D5204B5">
            <w:pPr>
              <w:pStyle w:val="12"/>
              <w:spacing w:before="178" w:line="221" w:lineRule="auto"/>
              <w:ind w:left="14"/>
              <w:rPr>
                <w:color w:val="auto"/>
                <w:highlight w:val="none"/>
              </w:rPr>
            </w:pPr>
            <w:r>
              <w:rPr>
                <w:color w:val="auto"/>
                <w:spacing w:val="-5"/>
                <w:highlight w:val="none"/>
              </w:rPr>
              <w:t>名称：乌什县阿合雅镇人民政府</w:t>
            </w:r>
          </w:p>
          <w:p w14:paraId="7CAD8C9E">
            <w:pPr>
              <w:pStyle w:val="12"/>
              <w:spacing w:before="173" w:line="221" w:lineRule="auto"/>
              <w:ind w:left="14"/>
              <w:rPr>
                <w:color w:val="auto"/>
                <w:highlight w:val="none"/>
              </w:rPr>
            </w:pPr>
            <w:r>
              <w:rPr>
                <w:color w:val="auto"/>
                <w:spacing w:val="-5"/>
                <w:highlight w:val="none"/>
              </w:rPr>
              <w:t>地址：</w:t>
            </w:r>
            <w:r>
              <w:rPr>
                <w:rFonts w:hint="eastAsia"/>
                <w:color w:val="auto"/>
                <w:spacing w:val="-5"/>
                <w:highlight w:val="none"/>
                <w:lang w:eastAsia="zh-CN"/>
              </w:rPr>
              <w:t>乌什县阿合雅镇</w:t>
            </w:r>
          </w:p>
          <w:p w14:paraId="44CE270A">
            <w:pPr>
              <w:pStyle w:val="12"/>
              <w:spacing w:before="169" w:line="205" w:lineRule="auto"/>
              <w:ind w:left="11"/>
              <w:rPr>
                <w:color w:val="auto"/>
                <w:highlight w:val="none"/>
              </w:rPr>
            </w:pPr>
            <w:r>
              <w:rPr>
                <w:color w:val="auto"/>
                <w:spacing w:val="-8"/>
                <w:highlight w:val="none"/>
              </w:rPr>
              <w:t>联系人：陈嘉豪</w:t>
            </w:r>
            <w:r>
              <w:rPr>
                <w:color w:val="auto"/>
                <w:spacing w:val="38"/>
                <w:highlight w:val="none"/>
              </w:rPr>
              <w:t xml:space="preserve"> </w:t>
            </w:r>
            <w:r>
              <w:rPr>
                <w:color w:val="auto"/>
                <w:spacing w:val="-8"/>
                <w:highlight w:val="none"/>
              </w:rPr>
              <w:t>电话：18599215101</w:t>
            </w:r>
          </w:p>
        </w:tc>
      </w:tr>
      <w:tr w14:paraId="47BC6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jc w:val="center"/>
        </w:trPr>
        <w:tc>
          <w:tcPr>
            <w:tcW w:w="701" w:type="dxa"/>
            <w:vAlign w:val="center"/>
          </w:tcPr>
          <w:p w14:paraId="2DACE798">
            <w:pPr>
              <w:spacing w:line="342" w:lineRule="auto"/>
              <w:rPr>
                <w:rFonts w:ascii="Arial"/>
                <w:color w:val="auto"/>
                <w:sz w:val="21"/>
                <w:highlight w:val="none"/>
              </w:rPr>
            </w:pPr>
          </w:p>
          <w:p w14:paraId="3E2008ED">
            <w:pPr>
              <w:spacing w:line="342" w:lineRule="auto"/>
              <w:rPr>
                <w:rFonts w:ascii="Arial"/>
                <w:color w:val="auto"/>
                <w:sz w:val="21"/>
                <w:highlight w:val="none"/>
              </w:rPr>
            </w:pPr>
          </w:p>
          <w:p w14:paraId="78664A80">
            <w:pPr>
              <w:pStyle w:val="12"/>
              <w:spacing w:before="78" w:line="316" w:lineRule="exact"/>
              <w:ind w:left="298"/>
              <w:rPr>
                <w:color w:val="auto"/>
                <w:highlight w:val="none"/>
              </w:rPr>
            </w:pPr>
            <w:r>
              <w:rPr>
                <w:color w:val="auto"/>
                <w:position w:val="1"/>
                <w:highlight w:val="none"/>
              </w:rPr>
              <w:t>2</w:t>
            </w:r>
          </w:p>
        </w:tc>
        <w:tc>
          <w:tcPr>
            <w:tcW w:w="2137" w:type="dxa"/>
            <w:vAlign w:val="center"/>
          </w:tcPr>
          <w:p w14:paraId="3A5A761A">
            <w:pPr>
              <w:spacing w:line="342" w:lineRule="auto"/>
              <w:rPr>
                <w:rFonts w:ascii="Arial"/>
                <w:color w:val="auto"/>
                <w:sz w:val="21"/>
                <w:highlight w:val="none"/>
              </w:rPr>
            </w:pPr>
          </w:p>
          <w:p w14:paraId="1A547A33">
            <w:pPr>
              <w:spacing w:line="343" w:lineRule="auto"/>
              <w:rPr>
                <w:rFonts w:ascii="Arial"/>
                <w:color w:val="auto"/>
                <w:sz w:val="21"/>
                <w:highlight w:val="none"/>
              </w:rPr>
            </w:pPr>
          </w:p>
          <w:p w14:paraId="4E1DF4D7">
            <w:pPr>
              <w:pStyle w:val="12"/>
              <w:spacing w:before="78" w:line="222" w:lineRule="auto"/>
              <w:ind w:left="376"/>
              <w:rPr>
                <w:color w:val="auto"/>
                <w:highlight w:val="none"/>
              </w:rPr>
            </w:pPr>
            <w:r>
              <w:rPr>
                <w:color w:val="auto"/>
                <w:spacing w:val="-7"/>
                <w:highlight w:val="none"/>
              </w:rPr>
              <w:t>采购代理机构</w:t>
            </w:r>
          </w:p>
        </w:tc>
        <w:tc>
          <w:tcPr>
            <w:tcW w:w="6773" w:type="dxa"/>
            <w:vAlign w:val="center"/>
          </w:tcPr>
          <w:p w14:paraId="44D57455">
            <w:pPr>
              <w:spacing w:line="257"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新疆鑫盛联项目管理有限公司</w:t>
            </w:r>
          </w:p>
          <w:p w14:paraId="40907F13">
            <w:pPr>
              <w:spacing w:line="257"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新疆喀什地区喀什市恰萨街道班超路社区帕依纳普路251号（唐城国际商业步行街）1栋商务大厦07号商铺709、710、711、712房</w:t>
            </w:r>
          </w:p>
          <w:p w14:paraId="752D9C6B">
            <w:pPr>
              <w:spacing w:line="257" w:lineRule="auto"/>
              <w:rPr>
                <w:color w:val="auto"/>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田国盛</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lang w:val="en-US" w:eastAsia="zh-CN"/>
              </w:rPr>
              <w:t>17560676812</w:t>
            </w:r>
          </w:p>
        </w:tc>
      </w:tr>
      <w:tr w14:paraId="64933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701" w:type="dxa"/>
            <w:vAlign w:val="center"/>
          </w:tcPr>
          <w:p w14:paraId="6E8594E9">
            <w:pPr>
              <w:spacing w:line="278" w:lineRule="auto"/>
              <w:rPr>
                <w:rFonts w:ascii="Arial"/>
                <w:color w:val="auto"/>
                <w:sz w:val="21"/>
                <w:highlight w:val="none"/>
              </w:rPr>
            </w:pPr>
          </w:p>
          <w:p w14:paraId="43F22668">
            <w:pPr>
              <w:pStyle w:val="12"/>
              <w:spacing w:before="78" w:line="241" w:lineRule="auto"/>
              <w:ind w:left="300"/>
              <w:rPr>
                <w:color w:val="auto"/>
                <w:highlight w:val="none"/>
              </w:rPr>
            </w:pPr>
            <w:r>
              <w:rPr>
                <w:color w:val="auto"/>
                <w:highlight w:val="none"/>
              </w:rPr>
              <w:t>3</w:t>
            </w:r>
          </w:p>
        </w:tc>
        <w:tc>
          <w:tcPr>
            <w:tcW w:w="2137" w:type="dxa"/>
            <w:vAlign w:val="center"/>
          </w:tcPr>
          <w:p w14:paraId="2BE8520A">
            <w:pPr>
              <w:spacing w:line="257" w:lineRule="auto"/>
              <w:rPr>
                <w:rFonts w:ascii="Arial"/>
                <w:color w:val="auto"/>
                <w:sz w:val="21"/>
                <w:highlight w:val="none"/>
              </w:rPr>
            </w:pPr>
          </w:p>
          <w:p w14:paraId="0BF2FD21">
            <w:pPr>
              <w:pStyle w:val="12"/>
              <w:spacing w:before="78" w:line="221" w:lineRule="auto"/>
              <w:ind w:left="615"/>
              <w:rPr>
                <w:color w:val="auto"/>
                <w:highlight w:val="none"/>
              </w:rPr>
            </w:pPr>
            <w:r>
              <w:rPr>
                <w:color w:val="auto"/>
                <w:spacing w:val="-8"/>
                <w:highlight w:val="none"/>
              </w:rPr>
              <w:t>项目名称</w:t>
            </w:r>
          </w:p>
        </w:tc>
        <w:tc>
          <w:tcPr>
            <w:tcW w:w="6773" w:type="dxa"/>
            <w:vAlign w:val="center"/>
          </w:tcPr>
          <w:p w14:paraId="2179BEC9">
            <w:pPr>
              <w:pStyle w:val="12"/>
              <w:spacing w:before="183" w:line="222" w:lineRule="auto"/>
              <w:ind w:right="169"/>
              <w:rPr>
                <w:color w:val="auto"/>
                <w:highlight w:val="none"/>
              </w:rPr>
            </w:pPr>
            <w:r>
              <w:rPr>
                <w:rFonts w:hint="eastAsia"/>
                <w:color w:val="auto"/>
                <w:highlight w:val="none"/>
                <w:lang w:val="en-US" w:eastAsia="zh-CN"/>
              </w:rPr>
              <w:t>乌什县阿合雅镇托万克阿合亚（15）村2026年防渗渠以工代赈防渗渠建设项目</w:t>
            </w:r>
          </w:p>
        </w:tc>
      </w:tr>
      <w:tr w14:paraId="5D7BE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701" w:type="dxa"/>
            <w:vAlign w:val="center"/>
          </w:tcPr>
          <w:p w14:paraId="0B3DD323">
            <w:pPr>
              <w:pStyle w:val="12"/>
              <w:spacing w:before="225" w:line="204" w:lineRule="auto"/>
              <w:ind w:left="294"/>
              <w:rPr>
                <w:color w:val="auto"/>
                <w:highlight w:val="none"/>
              </w:rPr>
            </w:pPr>
            <w:r>
              <w:rPr>
                <w:color w:val="auto"/>
                <w:highlight w:val="none"/>
              </w:rPr>
              <w:t>4</w:t>
            </w:r>
          </w:p>
        </w:tc>
        <w:tc>
          <w:tcPr>
            <w:tcW w:w="2137" w:type="dxa"/>
            <w:vAlign w:val="center"/>
          </w:tcPr>
          <w:p w14:paraId="5F43C042">
            <w:pPr>
              <w:pStyle w:val="12"/>
              <w:spacing w:before="206" w:line="219" w:lineRule="auto"/>
              <w:ind w:left="615"/>
              <w:rPr>
                <w:color w:val="auto"/>
                <w:highlight w:val="none"/>
              </w:rPr>
            </w:pPr>
            <w:r>
              <w:rPr>
                <w:color w:val="auto"/>
                <w:spacing w:val="-8"/>
                <w:highlight w:val="none"/>
              </w:rPr>
              <w:t>项目编号</w:t>
            </w:r>
          </w:p>
        </w:tc>
        <w:tc>
          <w:tcPr>
            <w:tcW w:w="6773" w:type="dxa"/>
            <w:vAlign w:val="center"/>
          </w:tcPr>
          <w:p w14:paraId="11612DB6">
            <w:pPr>
              <w:pStyle w:val="12"/>
              <w:spacing w:before="203" w:line="221" w:lineRule="auto"/>
              <w:ind w:left="116"/>
              <w:rPr>
                <w:color w:val="auto"/>
                <w:highlight w:val="none"/>
              </w:rPr>
            </w:pPr>
            <w:r>
              <w:rPr>
                <w:rFonts w:hint="eastAsia"/>
                <w:color w:val="auto"/>
                <w:highlight w:val="none"/>
                <w:lang w:eastAsia="zh-CN"/>
              </w:rPr>
              <w:t>WSX[2026]-087</w:t>
            </w:r>
          </w:p>
        </w:tc>
      </w:tr>
      <w:tr w14:paraId="65455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701" w:type="dxa"/>
            <w:vAlign w:val="center"/>
          </w:tcPr>
          <w:p w14:paraId="7D867FC4">
            <w:pPr>
              <w:pStyle w:val="12"/>
              <w:spacing w:before="223" w:line="206" w:lineRule="auto"/>
              <w:ind w:left="300"/>
              <w:rPr>
                <w:color w:val="auto"/>
                <w:highlight w:val="none"/>
              </w:rPr>
            </w:pPr>
            <w:r>
              <w:rPr>
                <w:color w:val="auto"/>
                <w:highlight w:val="none"/>
              </w:rPr>
              <w:t>5</w:t>
            </w:r>
          </w:p>
        </w:tc>
        <w:tc>
          <w:tcPr>
            <w:tcW w:w="2137" w:type="dxa"/>
            <w:vAlign w:val="center"/>
          </w:tcPr>
          <w:p w14:paraId="5B4F3B04">
            <w:pPr>
              <w:pStyle w:val="12"/>
              <w:spacing w:before="204" w:line="220" w:lineRule="auto"/>
              <w:ind w:left="636"/>
              <w:rPr>
                <w:color w:val="auto"/>
                <w:highlight w:val="none"/>
              </w:rPr>
            </w:pPr>
            <w:r>
              <w:rPr>
                <w:color w:val="auto"/>
                <w:spacing w:val="-14"/>
                <w:highlight w:val="none"/>
              </w:rPr>
              <w:t>资金来源</w:t>
            </w:r>
          </w:p>
        </w:tc>
        <w:tc>
          <w:tcPr>
            <w:tcW w:w="6773" w:type="dxa"/>
            <w:vAlign w:val="center"/>
          </w:tcPr>
          <w:p w14:paraId="78AAE4D5">
            <w:pPr>
              <w:pStyle w:val="12"/>
              <w:spacing w:before="204" w:line="220" w:lineRule="auto"/>
              <w:ind w:left="14"/>
              <w:rPr>
                <w:color w:val="auto"/>
                <w:highlight w:val="none"/>
              </w:rPr>
            </w:pPr>
            <w:r>
              <w:rPr>
                <w:rFonts w:hint="eastAsia"/>
                <w:color w:val="auto"/>
                <w:highlight w:val="none"/>
              </w:rPr>
              <w:t>项目总投资</w:t>
            </w:r>
            <w:r>
              <w:rPr>
                <w:rFonts w:hint="eastAsia"/>
                <w:color w:val="auto"/>
                <w:highlight w:val="none"/>
                <w:lang w:val="en-US" w:eastAsia="zh-CN"/>
              </w:rPr>
              <w:t>774</w:t>
            </w:r>
            <w:r>
              <w:rPr>
                <w:rFonts w:hint="eastAsia"/>
                <w:color w:val="auto"/>
                <w:highlight w:val="none"/>
              </w:rPr>
              <w:t>万元，其中:中央预算内投资资金754万元，其他地方财政性建设资金资金20万元。</w:t>
            </w:r>
          </w:p>
        </w:tc>
      </w:tr>
      <w:tr w14:paraId="028CD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jc w:val="center"/>
        </w:trPr>
        <w:tc>
          <w:tcPr>
            <w:tcW w:w="701" w:type="dxa"/>
            <w:vAlign w:val="center"/>
          </w:tcPr>
          <w:p w14:paraId="62382AB5">
            <w:pPr>
              <w:spacing w:line="448" w:lineRule="auto"/>
              <w:rPr>
                <w:rFonts w:ascii="Arial"/>
                <w:color w:val="auto"/>
                <w:sz w:val="21"/>
                <w:highlight w:val="none"/>
              </w:rPr>
            </w:pPr>
          </w:p>
          <w:p w14:paraId="408E6EAF">
            <w:pPr>
              <w:pStyle w:val="12"/>
              <w:spacing w:before="78" w:line="241" w:lineRule="auto"/>
              <w:ind w:left="297"/>
              <w:rPr>
                <w:color w:val="auto"/>
                <w:highlight w:val="none"/>
              </w:rPr>
            </w:pPr>
            <w:r>
              <w:rPr>
                <w:color w:val="auto"/>
                <w:highlight w:val="none"/>
              </w:rPr>
              <w:t>6</w:t>
            </w:r>
          </w:p>
        </w:tc>
        <w:tc>
          <w:tcPr>
            <w:tcW w:w="2137" w:type="dxa"/>
            <w:vAlign w:val="center"/>
          </w:tcPr>
          <w:p w14:paraId="42D0CA75">
            <w:pPr>
              <w:spacing w:line="429" w:lineRule="auto"/>
              <w:rPr>
                <w:rFonts w:ascii="Arial"/>
                <w:color w:val="auto"/>
                <w:sz w:val="21"/>
                <w:highlight w:val="none"/>
              </w:rPr>
            </w:pPr>
          </w:p>
          <w:p w14:paraId="1B94F0D3">
            <w:pPr>
              <w:pStyle w:val="12"/>
              <w:spacing w:before="78" w:line="222" w:lineRule="auto"/>
              <w:ind w:left="616"/>
              <w:rPr>
                <w:color w:val="auto"/>
                <w:highlight w:val="none"/>
              </w:rPr>
            </w:pPr>
            <w:r>
              <w:rPr>
                <w:color w:val="auto"/>
                <w:spacing w:val="-9"/>
                <w:highlight w:val="none"/>
              </w:rPr>
              <w:t>采购内容</w:t>
            </w:r>
          </w:p>
        </w:tc>
        <w:tc>
          <w:tcPr>
            <w:tcW w:w="6773" w:type="dxa"/>
            <w:vAlign w:val="center"/>
          </w:tcPr>
          <w:p w14:paraId="1409F18C">
            <w:pPr>
              <w:pStyle w:val="12"/>
              <w:spacing w:before="197" w:line="228" w:lineRule="auto"/>
              <w:ind w:left="13" w:right="167"/>
              <w:jc w:val="both"/>
              <w:rPr>
                <w:rFonts w:hint="eastAsia"/>
                <w:color w:val="auto"/>
                <w:highlight w:val="none"/>
                <w:lang w:val="en-US" w:eastAsia="zh-CN"/>
              </w:rPr>
            </w:pPr>
            <w:r>
              <w:rPr>
                <w:rFonts w:hint="eastAsia"/>
                <w:color w:val="auto"/>
                <w:highlight w:val="none"/>
                <w:lang w:val="en-US" w:eastAsia="zh-CN"/>
              </w:rPr>
              <w:t>改扩建托万克阿合亚(15)村防渗渠8.6公里，设计流量0.2-0.8m2/s，上宽0.8-1米，下宽0.6-1.0米，渠深0.6-1.0米;配套渠系建筑物170座及相关配套附属设施。（详见工程量清单及图纸包含的全部内容）</w:t>
            </w:r>
          </w:p>
          <w:p w14:paraId="498756C2">
            <w:pPr>
              <w:pStyle w:val="12"/>
              <w:spacing w:before="197" w:line="228" w:lineRule="auto"/>
              <w:ind w:left="13" w:right="167"/>
              <w:jc w:val="both"/>
              <w:rPr>
                <w:color w:val="auto"/>
                <w:highlight w:val="none"/>
              </w:rPr>
            </w:pPr>
            <w:r>
              <w:rPr>
                <w:rFonts w:hint="eastAsia"/>
                <w:color w:val="auto"/>
                <w:highlight w:val="none"/>
              </w:rPr>
              <w:t>严格按照《国家以工代赈管理办法》《自治区以工代赈管理实施细则》等相关规定，按照“先有群众、后有项目”“能用人工尽量不使用机械，能用当地群众尽量不使用专业施工队伍”的要求，加强当地群众务工组织，及时足额发放劳务报酬。本项目计划带动就业210人(其中，返乡农民工123人，脱贫人口和防返贫监测对象82人，其他农村低收入人口1人，家庭经济困难高校毕业生4人)，本地群众发放劳务报酬340万元，</w:t>
            </w:r>
            <w:r>
              <w:rPr>
                <w:rFonts w:hint="eastAsia"/>
                <w:color w:val="auto"/>
                <w:highlight w:val="none"/>
              </w:rPr>
              <w:t>占中央预算内资金的45.09%。</w:t>
            </w:r>
            <w:r>
              <w:rPr>
                <w:rFonts w:hint="eastAsia"/>
                <w:color w:val="auto"/>
                <w:highlight w:val="none"/>
              </w:rPr>
              <w:t>劳务报酬通过“新薪通”平台统一发放。本项目采用赈济模式为“公益性基础设施建设+劳务报酬发放+就业技能培训+公益性岗位设置”;务工组织方式采用“乡镇+通过竞争性磋商委托施工企业+村委会+当地群众”的方式，要切实发挥本项目赈济作用，促进当地群众就地就近就业增收。</w:t>
            </w:r>
            <w:r>
              <w:rPr>
                <w:color w:val="auto"/>
                <w:highlight w:val="none"/>
              </w:rPr>
              <w:t>投标人需作出相应承诺。</w:t>
            </w:r>
          </w:p>
        </w:tc>
      </w:tr>
      <w:tr w14:paraId="46B2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701" w:type="dxa"/>
            <w:vAlign w:val="center"/>
          </w:tcPr>
          <w:p w14:paraId="0EEAAF4D">
            <w:pPr>
              <w:pStyle w:val="12"/>
              <w:spacing w:before="223" w:line="205" w:lineRule="auto"/>
              <w:ind w:left="301"/>
              <w:rPr>
                <w:color w:val="auto"/>
                <w:highlight w:val="none"/>
              </w:rPr>
            </w:pPr>
            <w:r>
              <w:rPr>
                <w:color w:val="auto"/>
                <w:highlight w:val="none"/>
              </w:rPr>
              <w:t>7</w:t>
            </w:r>
          </w:p>
        </w:tc>
        <w:tc>
          <w:tcPr>
            <w:tcW w:w="2137" w:type="dxa"/>
            <w:vAlign w:val="center"/>
          </w:tcPr>
          <w:p w14:paraId="3926A0F2">
            <w:pPr>
              <w:pStyle w:val="12"/>
              <w:spacing w:before="203" w:line="220" w:lineRule="auto"/>
              <w:ind w:left="733"/>
              <w:rPr>
                <w:color w:val="auto"/>
                <w:highlight w:val="none"/>
              </w:rPr>
            </w:pPr>
            <w:r>
              <w:rPr>
                <w:color w:val="auto"/>
                <w:spacing w:val="-9"/>
                <w:highlight w:val="none"/>
              </w:rPr>
              <w:t>控制价</w:t>
            </w:r>
          </w:p>
        </w:tc>
        <w:tc>
          <w:tcPr>
            <w:tcW w:w="6773" w:type="dxa"/>
            <w:vAlign w:val="center"/>
          </w:tcPr>
          <w:p w14:paraId="354BF9CA">
            <w:pPr>
              <w:pStyle w:val="12"/>
              <w:spacing w:before="206" w:line="218" w:lineRule="auto"/>
              <w:ind w:left="129"/>
              <w:rPr>
                <w:color w:val="auto"/>
                <w:highlight w:val="none"/>
              </w:rPr>
            </w:pPr>
            <w:r>
              <w:rPr>
                <w:rFonts w:hint="eastAsia"/>
                <w:color w:val="auto"/>
                <w:highlight w:val="none"/>
                <w:lang w:val="en-US" w:eastAsia="zh-CN"/>
              </w:rPr>
              <w:t>7740000.00</w:t>
            </w:r>
            <w:r>
              <w:rPr>
                <w:color w:val="auto"/>
                <w:highlight w:val="none"/>
              </w:rPr>
              <w:t>元（大写：</w:t>
            </w:r>
            <w:r>
              <w:rPr>
                <w:rFonts w:hint="eastAsia"/>
                <w:color w:val="auto"/>
                <w:highlight w:val="none"/>
                <w:lang w:val="en-US" w:eastAsia="zh-CN"/>
              </w:rPr>
              <w:t>柒佰柒拾肆万元整</w:t>
            </w:r>
            <w:r>
              <w:rPr>
                <w:color w:val="auto"/>
                <w:highlight w:val="none"/>
              </w:rPr>
              <w:t>）；</w:t>
            </w:r>
          </w:p>
        </w:tc>
      </w:tr>
      <w:tr w14:paraId="39389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701" w:type="dxa"/>
            <w:vAlign w:val="center"/>
          </w:tcPr>
          <w:p w14:paraId="79ECE488">
            <w:pPr>
              <w:pStyle w:val="12"/>
              <w:spacing w:before="222" w:line="205" w:lineRule="auto"/>
              <w:ind w:left="296"/>
              <w:rPr>
                <w:color w:val="auto"/>
                <w:highlight w:val="none"/>
              </w:rPr>
            </w:pPr>
            <w:r>
              <w:rPr>
                <w:color w:val="auto"/>
                <w:highlight w:val="none"/>
              </w:rPr>
              <w:t>8</w:t>
            </w:r>
          </w:p>
        </w:tc>
        <w:tc>
          <w:tcPr>
            <w:tcW w:w="2137" w:type="dxa"/>
            <w:vAlign w:val="center"/>
          </w:tcPr>
          <w:p w14:paraId="073AA12A">
            <w:pPr>
              <w:pStyle w:val="12"/>
              <w:spacing w:before="205" w:line="218" w:lineRule="auto"/>
              <w:ind w:left="623"/>
              <w:rPr>
                <w:color w:val="auto"/>
                <w:highlight w:val="none"/>
              </w:rPr>
            </w:pPr>
            <w:r>
              <w:rPr>
                <w:color w:val="auto"/>
                <w:spacing w:val="-11"/>
                <w:highlight w:val="none"/>
              </w:rPr>
              <w:t>质量目标</w:t>
            </w:r>
          </w:p>
        </w:tc>
        <w:tc>
          <w:tcPr>
            <w:tcW w:w="6773" w:type="dxa"/>
            <w:vAlign w:val="center"/>
          </w:tcPr>
          <w:p w14:paraId="0A3F4F29">
            <w:pPr>
              <w:pStyle w:val="12"/>
              <w:spacing w:before="203" w:line="220" w:lineRule="auto"/>
              <w:ind w:left="19"/>
              <w:rPr>
                <w:color w:val="auto"/>
                <w:highlight w:val="none"/>
              </w:rPr>
            </w:pPr>
            <w:r>
              <w:rPr>
                <w:color w:val="auto"/>
                <w:spacing w:val="-7"/>
                <w:highlight w:val="none"/>
              </w:rPr>
              <w:t>符合国家和地方标准</w:t>
            </w:r>
          </w:p>
        </w:tc>
      </w:tr>
      <w:tr w14:paraId="25AE6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701" w:type="dxa"/>
            <w:vAlign w:val="center"/>
          </w:tcPr>
          <w:p w14:paraId="42B37940">
            <w:pPr>
              <w:pStyle w:val="12"/>
              <w:spacing w:before="239" w:line="203" w:lineRule="auto"/>
              <w:ind w:left="296"/>
              <w:rPr>
                <w:color w:val="auto"/>
                <w:highlight w:val="none"/>
              </w:rPr>
            </w:pPr>
            <w:r>
              <w:rPr>
                <w:color w:val="auto"/>
                <w:highlight w:val="none"/>
              </w:rPr>
              <w:t>9</w:t>
            </w:r>
          </w:p>
        </w:tc>
        <w:tc>
          <w:tcPr>
            <w:tcW w:w="2137" w:type="dxa"/>
            <w:vAlign w:val="center"/>
          </w:tcPr>
          <w:p w14:paraId="03949674">
            <w:pPr>
              <w:pStyle w:val="12"/>
              <w:spacing w:before="219" w:line="218" w:lineRule="auto"/>
              <w:ind w:left="612"/>
              <w:rPr>
                <w:color w:val="auto"/>
                <w:highlight w:val="none"/>
              </w:rPr>
            </w:pPr>
            <w:r>
              <w:rPr>
                <w:color w:val="auto"/>
                <w:spacing w:val="-7"/>
                <w:highlight w:val="none"/>
              </w:rPr>
              <w:t>计划工期</w:t>
            </w:r>
          </w:p>
        </w:tc>
        <w:tc>
          <w:tcPr>
            <w:tcW w:w="6773" w:type="dxa"/>
            <w:vAlign w:val="center"/>
          </w:tcPr>
          <w:p w14:paraId="2563ED3C">
            <w:pPr>
              <w:pStyle w:val="12"/>
              <w:spacing w:before="203" w:line="222" w:lineRule="auto"/>
              <w:ind w:left="7"/>
              <w:rPr>
                <w:color w:val="auto"/>
                <w:highlight w:val="none"/>
              </w:rPr>
            </w:pPr>
            <w:r>
              <w:rPr>
                <w:rFonts w:hint="eastAsia"/>
                <w:color w:val="auto"/>
                <w:spacing w:val="-6"/>
                <w:highlight w:val="none"/>
                <w:lang w:val="en-US" w:eastAsia="zh-CN"/>
              </w:rPr>
              <w:t>合同签订后 210 日历天</w:t>
            </w:r>
            <w:r>
              <w:rPr>
                <w:color w:val="auto"/>
                <w:spacing w:val="-6"/>
                <w:highlight w:val="none"/>
              </w:rPr>
              <w:t>（具体时间以签订合同为准）</w:t>
            </w:r>
          </w:p>
        </w:tc>
      </w:tr>
      <w:tr w14:paraId="0E286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jc w:val="center"/>
        </w:trPr>
        <w:tc>
          <w:tcPr>
            <w:tcW w:w="701" w:type="dxa"/>
            <w:vAlign w:val="center"/>
          </w:tcPr>
          <w:p w14:paraId="332EF23D">
            <w:pPr>
              <w:pStyle w:val="12"/>
              <w:spacing w:before="222" w:line="204" w:lineRule="auto"/>
              <w:ind w:left="265"/>
              <w:rPr>
                <w:color w:val="auto"/>
                <w:highlight w:val="none"/>
              </w:rPr>
            </w:pPr>
            <w:r>
              <w:rPr>
                <w:color w:val="auto"/>
                <w:spacing w:val="-14"/>
                <w:highlight w:val="none"/>
              </w:rPr>
              <w:t>10</w:t>
            </w:r>
          </w:p>
        </w:tc>
        <w:tc>
          <w:tcPr>
            <w:tcW w:w="2137" w:type="dxa"/>
            <w:vAlign w:val="center"/>
          </w:tcPr>
          <w:p w14:paraId="7C63D8E5">
            <w:pPr>
              <w:pStyle w:val="12"/>
              <w:spacing w:before="203" w:line="219" w:lineRule="auto"/>
              <w:ind w:left="612"/>
              <w:rPr>
                <w:color w:val="auto"/>
                <w:highlight w:val="none"/>
              </w:rPr>
            </w:pPr>
            <w:r>
              <w:rPr>
                <w:color w:val="auto"/>
                <w:spacing w:val="-7"/>
                <w:highlight w:val="none"/>
              </w:rPr>
              <w:t>建设地点</w:t>
            </w:r>
          </w:p>
        </w:tc>
        <w:tc>
          <w:tcPr>
            <w:tcW w:w="6773" w:type="dxa"/>
            <w:vAlign w:val="center"/>
          </w:tcPr>
          <w:p w14:paraId="545552E6">
            <w:pPr>
              <w:pStyle w:val="12"/>
              <w:spacing w:before="203" w:line="219" w:lineRule="auto"/>
              <w:ind w:left="26"/>
              <w:rPr>
                <w:color w:val="auto"/>
                <w:highlight w:val="none"/>
              </w:rPr>
            </w:pPr>
            <w:r>
              <w:rPr>
                <w:rFonts w:hint="eastAsia"/>
                <w:color w:val="auto"/>
                <w:highlight w:val="none"/>
                <w:lang w:val="en-US" w:eastAsia="zh-CN"/>
              </w:rPr>
              <w:t>乌什县阿合雅镇托万克阿合亚（15）村</w:t>
            </w:r>
          </w:p>
        </w:tc>
      </w:tr>
      <w:tr w14:paraId="4FDA5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01" w:type="dxa"/>
            <w:vAlign w:val="center"/>
          </w:tcPr>
          <w:p w14:paraId="4A1115D8">
            <w:pPr>
              <w:spacing w:line="333" w:lineRule="auto"/>
              <w:rPr>
                <w:rFonts w:ascii="Arial"/>
                <w:color w:val="auto"/>
                <w:sz w:val="21"/>
                <w:highlight w:val="none"/>
              </w:rPr>
            </w:pPr>
          </w:p>
          <w:p w14:paraId="2B84EBA1">
            <w:pPr>
              <w:pStyle w:val="12"/>
              <w:spacing w:before="78" w:line="315" w:lineRule="exact"/>
              <w:ind w:left="265"/>
              <w:rPr>
                <w:color w:val="auto"/>
                <w:highlight w:val="none"/>
              </w:rPr>
            </w:pPr>
            <w:r>
              <w:rPr>
                <w:color w:val="auto"/>
                <w:spacing w:val="-14"/>
                <w:position w:val="1"/>
                <w:highlight w:val="none"/>
              </w:rPr>
              <w:t>11</w:t>
            </w:r>
          </w:p>
        </w:tc>
        <w:tc>
          <w:tcPr>
            <w:tcW w:w="2137" w:type="dxa"/>
            <w:vAlign w:val="center"/>
          </w:tcPr>
          <w:p w14:paraId="10F97F25">
            <w:pPr>
              <w:pStyle w:val="12"/>
              <w:spacing w:before="295" w:line="246" w:lineRule="auto"/>
              <w:ind w:left="778" w:right="95" w:hanging="674"/>
              <w:rPr>
                <w:color w:val="auto"/>
                <w:highlight w:val="none"/>
              </w:rPr>
            </w:pPr>
            <w:r>
              <w:rPr>
                <w:color w:val="auto"/>
                <w:spacing w:val="1"/>
                <w:highlight w:val="none"/>
              </w:rPr>
              <w:t>是否专门面向中小</w:t>
            </w:r>
            <w:r>
              <w:rPr>
                <w:color w:val="auto"/>
                <w:spacing w:val="-9"/>
                <w:highlight w:val="none"/>
              </w:rPr>
              <w:t>企</w:t>
            </w:r>
            <w:r>
              <w:rPr>
                <w:color w:val="auto"/>
                <w:spacing w:val="20"/>
                <w:highlight w:val="none"/>
              </w:rPr>
              <w:t xml:space="preserve"> </w:t>
            </w:r>
            <w:r>
              <w:rPr>
                <w:color w:val="auto"/>
                <w:spacing w:val="-9"/>
                <w:highlight w:val="none"/>
              </w:rPr>
              <w:t>业</w:t>
            </w:r>
          </w:p>
        </w:tc>
        <w:tc>
          <w:tcPr>
            <w:tcW w:w="6773" w:type="dxa"/>
            <w:vAlign w:val="center"/>
          </w:tcPr>
          <w:p w14:paraId="512AD1C4">
            <w:pPr>
              <w:pStyle w:val="12"/>
              <w:spacing w:before="71"/>
              <w:ind w:left="34" w:right="49" w:hanging="18"/>
              <w:rPr>
                <w:color w:val="auto"/>
                <w:highlight w:val="none"/>
              </w:rPr>
            </w:pPr>
            <w:r>
              <w:rPr>
                <w:rFonts w:ascii="MS UI Gothic" w:hAnsi="MS UI Gothic" w:eastAsia="MS UI Gothic" w:cs="MS UI Gothic"/>
                <w:color w:val="auto"/>
                <w:spacing w:val="-3"/>
                <w:highlight w:val="none"/>
              </w:rPr>
              <w:t>☑</w:t>
            </w:r>
            <w:r>
              <w:rPr>
                <w:rFonts w:ascii="MS UI Gothic" w:hAnsi="MS UI Gothic" w:eastAsia="MS UI Gothic" w:cs="MS UI Gothic"/>
                <w:color w:val="auto"/>
                <w:spacing w:val="23"/>
                <w:highlight w:val="none"/>
              </w:rPr>
              <w:t xml:space="preserve">  </w:t>
            </w:r>
            <w:r>
              <w:rPr>
                <w:color w:val="auto"/>
                <w:spacing w:val="-3"/>
                <w:highlight w:val="none"/>
              </w:rPr>
              <w:t>是 （本项目专门面向中小企业，供应商</w:t>
            </w:r>
            <w:r>
              <w:rPr>
                <w:color w:val="auto"/>
                <w:spacing w:val="-4"/>
                <w:highlight w:val="none"/>
              </w:rPr>
              <w:t>需提供中小企业申明</w:t>
            </w:r>
            <w:r>
              <w:rPr>
                <w:color w:val="auto"/>
                <w:spacing w:val="-19"/>
                <w:highlight w:val="none"/>
              </w:rPr>
              <w:t>函）</w:t>
            </w:r>
          </w:p>
          <w:p w14:paraId="45775715">
            <w:pPr>
              <w:pStyle w:val="12"/>
              <w:spacing w:before="20" w:line="204" w:lineRule="auto"/>
              <w:ind w:left="32"/>
              <w:rPr>
                <w:color w:val="auto"/>
                <w:highlight w:val="none"/>
              </w:rPr>
            </w:pPr>
            <w:r>
              <w:rPr>
                <w:color w:val="auto"/>
                <w:spacing w:val="-17"/>
                <w:highlight w:val="none"/>
              </w:rPr>
              <w:t>□</w:t>
            </w:r>
            <w:r>
              <w:rPr>
                <w:color w:val="auto"/>
                <w:spacing w:val="19"/>
                <w:highlight w:val="none"/>
              </w:rPr>
              <w:t xml:space="preserve"> </w:t>
            </w:r>
            <w:r>
              <w:rPr>
                <w:color w:val="auto"/>
                <w:spacing w:val="-17"/>
                <w:highlight w:val="none"/>
              </w:rPr>
              <w:t>否</w:t>
            </w:r>
          </w:p>
        </w:tc>
      </w:tr>
      <w:tr w14:paraId="2E00B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jc w:val="center"/>
        </w:trPr>
        <w:tc>
          <w:tcPr>
            <w:tcW w:w="701" w:type="dxa"/>
            <w:vAlign w:val="center"/>
          </w:tcPr>
          <w:p w14:paraId="036A9E92">
            <w:pPr>
              <w:spacing w:line="297" w:lineRule="auto"/>
              <w:rPr>
                <w:rFonts w:ascii="Arial"/>
                <w:color w:val="auto"/>
                <w:sz w:val="21"/>
                <w:highlight w:val="none"/>
              </w:rPr>
            </w:pPr>
          </w:p>
          <w:p w14:paraId="1128A89B">
            <w:pPr>
              <w:pStyle w:val="12"/>
              <w:spacing w:before="78" w:line="316" w:lineRule="exact"/>
              <w:ind w:left="265"/>
              <w:rPr>
                <w:color w:val="auto"/>
                <w:highlight w:val="none"/>
              </w:rPr>
            </w:pPr>
            <w:r>
              <w:rPr>
                <w:color w:val="auto"/>
                <w:spacing w:val="-14"/>
                <w:position w:val="1"/>
                <w:highlight w:val="none"/>
              </w:rPr>
              <w:t>12</w:t>
            </w:r>
          </w:p>
        </w:tc>
        <w:tc>
          <w:tcPr>
            <w:tcW w:w="2137" w:type="dxa"/>
            <w:vAlign w:val="center"/>
          </w:tcPr>
          <w:p w14:paraId="3CC6D1F8">
            <w:pPr>
              <w:spacing w:line="298" w:lineRule="auto"/>
              <w:rPr>
                <w:rFonts w:ascii="Arial"/>
                <w:color w:val="auto"/>
                <w:sz w:val="21"/>
                <w:highlight w:val="none"/>
              </w:rPr>
            </w:pPr>
          </w:p>
          <w:p w14:paraId="45AE195B">
            <w:pPr>
              <w:pStyle w:val="12"/>
              <w:spacing w:before="78" w:line="222" w:lineRule="auto"/>
              <w:jc w:val="right"/>
              <w:rPr>
                <w:color w:val="auto"/>
                <w:highlight w:val="none"/>
              </w:rPr>
            </w:pPr>
            <w:r>
              <w:rPr>
                <w:color w:val="auto"/>
                <w:spacing w:val="-6"/>
                <w:highlight w:val="none"/>
              </w:rPr>
              <w:t>是否接受联合体报价</w:t>
            </w:r>
          </w:p>
        </w:tc>
        <w:tc>
          <w:tcPr>
            <w:tcW w:w="6773" w:type="dxa"/>
            <w:vAlign w:val="center"/>
          </w:tcPr>
          <w:p w14:paraId="605858AA">
            <w:pPr>
              <w:pStyle w:val="12"/>
              <w:spacing w:before="188" w:line="223" w:lineRule="auto"/>
              <w:ind w:left="16"/>
              <w:rPr>
                <w:color w:val="auto"/>
                <w:highlight w:val="none"/>
              </w:rPr>
            </w:pPr>
            <w:r>
              <w:rPr>
                <w:rFonts w:ascii="MS UI Gothic" w:hAnsi="MS UI Gothic" w:eastAsia="MS UI Gothic" w:cs="MS UI Gothic"/>
                <w:color w:val="auto"/>
                <w:spacing w:val="-13"/>
                <w:highlight w:val="none"/>
              </w:rPr>
              <w:t>☑</w:t>
            </w:r>
            <w:r>
              <w:rPr>
                <w:rFonts w:ascii="MS UI Gothic" w:hAnsi="MS UI Gothic" w:eastAsia="MS UI Gothic" w:cs="MS UI Gothic"/>
                <w:color w:val="auto"/>
                <w:spacing w:val="11"/>
                <w:highlight w:val="none"/>
              </w:rPr>
              <w:t xml:space="preserve">   </w:t>
            </w:r>
            <w:r>
              <w:rPr>
                <w:color w:val="auto"/>
                <w:spacing w:val="-13"/>
                <w:highlight w:val="none"/>
              </w:rPr>
              <w:t>不接受</w:t>
            </w:r>
          </w:p>
          <w:p w14:paraId="5434FBAE">
            <w:pPr>
              <w:pStyle w:val="12"/>
              <w:spacing w:before="163" w:line="203" w:lineRule="auto"/>
              <w:ind w:left="32"/>
              <w:rPr>
                <w:color w:val="auto"/>
                <w:highlight w:val="none"/>
              </w:rPr>
            </w:pPr>
            <w:r>
              <w:rPr>
                <w:color w:val="auto"/>
                <w:spacing w:val="-8"/>
                <w:highlight w:val="none"/>
              </w:rPr>
              <w:t>□ 接受，应满足下列要求：</w:t>
            </w:r>
          </w:p>
        </w:tc>
      </w:tr>
      <w:tr w14:paraId="743D7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701" w:type="dxa"/>
            <w:vAlign w:val="center"/>
          </w:tcPr>
          <w:p w14:paraId="68AF60AD">
            <w:pPr>
              <w:pStyle w:val="12"/>
              <w:spacing w:before="241" w:line="204" w:lineRule="auto"/>
              <w:ind w:left="265"/>
              <w:rPr>
                <w:color w:val="auto"/>
                <w:highlight w:val="none"/>
              </w:rPr>
            </w:pPr>
            <w:r>
              <w:rPr>
                <w:color w:val="auto"/>
                <w:spacing w:val="-14"/>
                <w:highlight w:val="none"/>
              </w:rPr>
              <w:t>13</w:t>
            </w:r>
          </w:p>
        </w:tc>
        <w:tc>
          <w:tcPr>
            <w:tcW w:w="2137" w:type="dxa"/>
            <w:vAlign w:val="center"/>
          </w:tcPr>
          <w:p w14:paraId="2CFF17D4">
            <w:pPr>
              <w:pStyle w:val="12"/>
              <w:spacing w:before="223" w:line="218" w:lineRule="auto"/>
              <w:ind w:left="495"/>
              <w:rPr>
                <w:color w:val="auto"/>
                <w:highlight w:val="none"/>
              </w:rPr>
            </w:pPr>
            <w:r>
              <w:rPr>
                <w:color w:val="auto"/>
                <w:spacing w:val="-8"/>
                <w:highlight w:val="none"/>
              </w:rPr>
              <w:t>报价有效期</w:t>
            </w:r>
          </w:p>
        </w:tc>
        <w:tc>
          <w:tcPr>
            <w:tcW w:w="6773" w:type="dxa"/>
            <w:vAlign w:val="center"/>
          </w:tcPr>
          <w:p w14:paraId="2B29710F">
            <w:pPr>
              <w:pStyle w:val="12"/>
              <w:spacing w:before="223" w:line="218" w:lineRule="auto"/>
              <w:ind w:left="59"/>
              <w:rPr>
                <w:color w:val="auto"/>
                <w:highlight w:val="none"/>
              </w:rPr>
            </w:pPr>
            <w:r>
              <w:rPr>
                <w:color w:val="auto"/>
                <w:spacing w:val="-13"/>
                <w:highlight w:val="none"/>
              </w:rPr>
              <w:t>自报价截止之日起 60</w:t>
            </w:r>
            <w:r>
              <w:rPr>
                <w:color w:val="auto"/>
                <w:spacing w:val="49"/>
                <w:highlight w:val="none"/>
              </w:rPr>
              <w:t xml:space="preserve"> </w:t>
            </w:r>
            <w:r>
              <w:rPr>
                <w:color w:val="auto"/>
                <w:spacing w:val="-13"/>
                <w:highlight w:val="none"/>
              </w:rPr>
              <w:t>个日历天。</w:t>
            </w:r>
          </w:p>
        </w:tc>
      </w:tr>
      <w:tr w14:paraId="538D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701" w:type="dxa"/>
            <w:vAlign w:val="center"/>
          </w:tcPr>
          <w:p w14:paraId="17FD1ED9">
            <w:pPr>
              <w:spacing w:line="310" w:lineRule="auto"/>
              <w:rPr>
                <w:rFonts w:ascii="Arial"/>
                <w:color w:val="auto"/>
                <w:sz w:val="21"/>
                <w:highlight w:val="none"/>
              </w:rPr>
            </w:pPr>
          </w:p>
          <w:p w14:paraId="78872536">
            <w:pPr>
              <w:pStyle w:val="12"/>
              <w:spacing w:before="78" w:line="315" w:lineRule="exact"/>
              <w:ind w:left="265"/>
              <w:rPr>
                <w:color w:val="auto"/>
                <w:highlight w:val="none"/>
              </w:rPr>
            </w:pPr>
            <w:r>
              <w:rPr>
                <w:color w:val="auto"/>
                <w:spacing w:val="-14"/>
                <w:position w:val="1"/>
                <w:highlight w:val="none"/>
              </w:rPr>
              <w:t>14</w:t>
            </w:r>
          </w:p>
        </w:tc>
        <w:tc>
          <w:tcPr>
            <w:tcW w:w="2137" w:type="dxa"/>
            <w:vAlign w:val="center"/>
          </w:tcPr>
          <w:p w14:paraId="443432E8">
            <w:pPr>
              <w:spacing w:line="310" w:lineRule="auto"/>
              <w:rPr>
                <w:rFonts w:ascii="Arial"/>
                <w:color w:val="auto"/>
                <w:sz w:val="21"/>
                <w:highlight w:val="none"/>
              </w:rPr>
            </w:pPr>
          </w:p>
          <w:p w14:paraId="23F388B7">
            <w:pPr>
              <w:pStyle w:val="12"/>
              <w:spacing w:before="78" w:line="223" w:lineRule="auto"/>
              <w:ind w:left="616"/>
              <w:rPr>
                <w:color w:val="auto"/>
                <w:highlight w:val="none"/>
              </w:rPr>
            </w:pPr>
            <w:r>
              <w:rPr>
                <w:color w:val="auto"/>
                <w:spacing w:val="-9"/>
                <w:highlight w:val="none"/>
              </w:rPr>
              <w:t>踏勘现场</w:t>
            </w:r>
          </w:p>
        </w:tc>
        <w:tc>
          <w:tcPr>
            <w:tcW w:w="6773" w:type="dxa"/>
            <w:vAlign w:val="center"/>
          </w:tcPr>
          <w:p w14:paraId="66E489FB">
            <w:pPr>
              <w:pStyle w:val="12"/>
              <w:spacing w:before="207" w:line="221" w:lineRule="auto"/>
              <w:ind w:left="16"/>
              <w:rPr>
                <w:color w:val="auto"/>
                <w:highlight w:val="none"/>
              </w:rPr>
            </w:pPr>
            <w:r>
              <w:rPr>
                <w:rFonts w:ascii="MS UI Gothic" w:hAnsi="MS UI Gothic" w:eastAsia="MS UI Gothic" w:cs="MS UI Gothic"/>
                <w:color w:val="auto"/>
                <w:spacing w:val="-20"/>
                <w:highlight w:val="none"/>
              </w:rPr>
              <w:t>☑</w:t>
            </w:r>
            <w:r>
              <w:rPr>
                <w:rFonts w:ascii="MS UI Gothic" w:hAnsi="MS UI Gothic" w:eastAsia="MS UI Gothic" w:cs="MS UI Gothic"/>
                <w:color w:val="auto"/>
                <w:spacing w:val="22"/>
                <w:highlight w:val="none"/>
              </w:rPr>
              <w:t xml:space="preserve">  </w:t>
            </w:r>
            <w:r>
              <w:rPr>
                <w:color w:val="auto"/>
                <w:spacing w:val="-20"/>
                <w:highlight w:val="none"/>
              </w:rPr>
              <w:t>不组织，</w:t>
            </w:r>
            <w:r>
              <w:rPr>
                <w:color w:val="auto"/>
                <w:spacing w:val="30"/>
                <w:highlight w:val="none"/>
              </w:rPr>
              <w:t xml:space="preserve"> </w:t>
            </w:r>
            <w:r>
              <w:rPr>
                <w:color w:val="auto"/>
                <w:spacing w:val="-20"/>
                <w:highlight w:val="none"/>
              </w:rPr>
              <w:t>自行踏勘</w:t>
            </w:r>
          </w:p>
          <w:p w14:paraId="73179173">
            <w:pPr>
              <w:pStyle w:val="12"/>
              <w:spacing w:before="173" w:line="202" w:lineRule="auto"/>
              <w:ind w:left="32"/>
              <w:rPr>
                <w:color w:val="auto"/>
                <w:highlight w:val="none"/>
              </w:rPr>
            </w:pPr>
            <w:r>
              <w:rPr>
                <w:color w:val="auto"/>
                <w:spacing w:val="-11"/>
                <w:highlight w:val="none"/>
              </w:rPr>
              <w:t>□ 组织，踏勘时间：</w:t>
            </w:r>
            <w:r>
              <w:rPr>
                <w:color w:val="auto"/>
                <w:highlight w:val="none"/>
                <w:u w:val="single" w:color="auto"/>
              </w:rPr>
              <w:t xml:space="preserve">               </w:t>
            </w:r>
            <w:r>
              <w:rPr>
                <w:color w:val="auto"/>
                <w:spacing w:val="36"/>
                <w:highlight w:val="none"/>
              </w:rPr>
              <w:t xml:space="preserve"> </w:t>
            </w:r>
            <w:r>
              <w:rPr>
                <w:color w:val="auto"/>
                <w:spacing w:val="-11"/>
                <w:highlight w:val="none"/>
              </w:rPr>
              <w:t>踏勘地点：</w:t>
            </w:r>
          </w:p>
        </w:tc>
      </w:tr>
      <w:tr w14:paraId="5F0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701" w:type="dxa"/>
            <w:vAlign w:val="center"/>
          </w:tcPr>
          <w:p w14:paraId="411108F3">
            <w:pPr>
              <w:pStyle w:val="12"/>
              <w:spacing w:before="317" w:line="241" w:lineRule="auto"/>
              <w:ind w:left="265"/>
              <w:rPr>
                <w:color w:val="auto"/>
                <w:highlight w:val="none"/>
              </w:rPr>
            </w:pPr>
            <w:r>
              <w:rPr>
                <w:color w:val="auto"/>
                <w:spacing w:val="-14"/>
                <w:highlight w:val="none"/>
              </w:rPr>
              <w:t>15</w:t>
            </w:r>
          </w:p>
        </w:tc>
        <w:tc>
          <w:tcPr>
            <w:tcW w:w="2137" w:type="dxa"/>
            <w:vAlign w:val="center"/>
          </w:tcPr>
          <w:p w14:paraId="478DA7B4">
            <w:pPr>
              <w:pStyle w:val="12"/>
              <w:spacing w:before="317" w:line="221" w:lineRule="auto"/>
              <w:ind w:left="504"/>
              <w:rPr>
                <w:color w:val="auto"/>
                <w:highlight w:val="none"/>
              </w:rPr>
            </w:pPr>
            <w:r>
              <w:rPr>
                <w:color w:val="auto"/>
                <w:spacing w:val="-9"/>
                <w:highlight w:val="none"/>
              </w:rPr>
              <w:t>履约保证金</w:t>
            </w:r>
          </w:p>
        </w:tc>
        <w:tc>
          <w:tcPr>
            <w:tcW w:w="6773" w:type="dxa"/>
            <w:vAlign w:val="center"/>
          </w:tcPr>
          <w:p w14:paraId="55963CCA">
            <w:pPr>
              <w:pStyle w:val="12"/>
              <w:spacing w:before="210" w:line="222" w:lineRule="auto"/>
              <w:ind w:left="32"/>
              <w:rPr>
                <w:color w:val="auto"/>
                <w:highlight w:val="none"/>
              </w:rPr>
            </w:pPr>
            <w:r>
              <w:rPr>
                <w:rFonts w:ascii="宋体" w:hAnsi="宋体" w:eastAsia="宋体" w:cs="宋体"/>
                <w:color w:val="auto"/>
                <w:spacing w:val="-19"/>
                <w:highlight w:val="none"/>
              </w:rPr>
              <w:t>□</w:t>
            </w:r>
            <w:r>
              <w:rPr>
                <w:rFonts w:ascii="宋体" w:hAnsi="宋体" w:eastAsia="宋体" w:cs="宋体"/>
                <w:color w:val="auto"/>
                <w:spacing w:val="41"/>
                <w:highlight w:val="none"/>
              </w:rPr>
              <w:t xml:space="preserve"> </w:t>
            </w:r>
            <w:r>
              <w:rPr>
                <w:color w:val="auto"/>
                <w:spacing w:val="-19"/>
                <w:highlight w:val="none"/>
              </w:rPr>
              <w:t>不需要</w:t>
            </w:r>
          </w:p>
          <w:p w14:paraId="19F573E3">
            <w:pPr>
              <w:pStyle w:val="12"/>
              <w:spacing w:before="34" w:line="239" w:lineRule="auto"/>
              <w:ind w:left="13" w:right="153" w:firstLine="1"/>
              <w:rPr>
                <w:color w:val="auto"/>
                <w:highlight w:val="none"/>
              </w:rPr>
            </w:pPr>
            <w:r>
              <w:rPr>
                <w:rFonts w:ascii="MS UI Gothic" w:hAnsi="MS UI Gothic" w:eastAsia="MS UI Gothic" w:cs="MS UI Gothic"/>
                <w:color w:val="auto"/>
                <w:spacing w:val="-1"/>
                <w:highlight w:val="none"/>
              </w:rPr>
              <w:t xml:space="preserve">☑   </w:t>
            </w:r>
            <w:r>
              <w:rPr>
                <w:color w:val="auto"/>
                <w:spacing w:val="-1"/>
                <w:highlight w:val="none"/>
              </w:rPr>
              <w:t>需要，履约保证金的金额：成交价</w:t>
            </w:r>
            <w:r>
              <w:rPr>
                <w:color w:val="auto"/>
                <w:spacing w:val="-1"/>
                <w:highlight w:val="none"/>
              </w:rPr>
              <w:t>金额的</w:t>
            </w:r>
            <w:r>
              <w:rPr>
                <w:color w:val="auto"/>
                <w:spacing w:val="-1"/>
                <w:highlight w:val="none"/>
                <w:u w:val="single" w:color="auto"/>
              </w:rPr>
              <w:t xml:space="preserve"> 3 </w:t>
            </w:r>
            <w:r>
              <w:rPr>
                <w:color w:val="auto"/>
                <w:spacing w:val="-1"/>
                <w:highlight w:val="none"/>
              </w:rPr>
              <w:t>%</w:t>
            </w:r>
            <w:r>
              <w:rPr>
                <w:color w:val="auto"/>
                <w:spacing w:val="-1"/>
                <w:highlight w:val="none"/>
              </w:rPr>
              <w:t>（履约保证金</w:t>
            </w:r>
            <w:r>
              <w:rPr>
                <w:color w:val="auto"/>
                <w:spacing w:val="-5"/>
                <w:highlight w:val="none"/>
              </w:rPr>
              <w:t>须以支票、汇票、本票或者金融机构、担保机构出具的保函等非现金形式提交）</w:t>
            </w:r>
          </w:p>
          <w:p w14:paraId="5AC39843">
            <w:pPr>
              <w:pStyle w:val="12"/>
              <w:spacing w:before="22" w:line="203" w:lineRule="auto"/>
              <w:ind w:left="16"/>
              <w:rPr>
                <w:color w:val="auto"/>
                <w:highlight w:val="none"/>
              </w:rPr>
            </w:pPr>
            <w:r>
              <w:rPr>
                <w:color w:val="auto"/>
                <w:spacing w:val="-2"/>
                <w:highlight w:val="none"/>
              </w:rPr>
              <w:t>提交履约保证金的时间：合同签订前</w:t>
            </w:r>
          </w:p>
        </w:tc>
      </w:tr>
      <w:tr w14:paraId="73865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jc w:val="center"/>
        </w:trPr>
        <w:tc>
          <w:tcPr>
            <w:tcW w:w="701" w:type="dxa"/>
            <w:vAlign w:val="center"/>
          </w:tcPr>
          <w:p w14:paraId="039AE7FA">
            <w:pPr>
              <w:spacing w:line="346" w:lineRule="auto"/>
              <w:rPr>
                <w:rFonts w:ascii="Arial"/>
                <w:color w:val="auto"/>
                <w:sz w:val="21"/>
                <w:highlight w:val="none"/>
              </w:rPr>
            </w:pPr>
          </w:p>
          <w:p w14:paraId="760C40F5">
            <w:pPr>
              <w:pStyle w:val="12"/>
              <w:spacing w:before="78" w:line="241" w:lineRule="auto"/>
              <w:ind w:left="265"/>
              <w:rPr>
                <w:color w:val="auto"/>
                <w:highlight w:val="none"/>
              </w:rPr>
            </w:pPr>
            <w:r>
              <w:rPr>
                <w:color w:val="auto"/>
                <w:spacing w:val="-14"/>
                <w:highlight w:val="none"/>
              </w:rPr>
              <w:t>16</w:t>
            </w:r>
          </w:p>
        </w:tc>
        <w:tc>
          <w:tcPr>
            <w:tcW w:w="2137" w:type="dxa"/>
            <w:vAlign w:val="center"/>
          </w:tcPr>
          <w:p w14:paraId="4E916DE3">
            <w:pPr>
              <w:spacing w:line="328" w:lineRule="auto"/>
              <w:rPr>
                <w:rFonts w:ascii="Arial"/>
                <w:color w:val="auto"/>
                <w:sz w:val="21"/>
                <w:highlight w:val="none"/>
              </w:rPr>
            </w:pPr>
          </w:p>
          <w:p w14:paraId="36135C04">
            <w:pPr>
              <w:pStyle w:val="12"/>
              <w:spacing w:before="78" w:line="222" w:lineRule="auto"/>
              <w:jc w:val="right"/>
              <w:rPr>
                <w:color w:val="auto"/>
                <w:highlight w:val="none"/>
              </w:rPr>
            </w:pPr>
            <w:r>
              <w:rPr>
                <w:color w:val="auto"/>
                <w:spacing w:val="-6"/>
                <w:highlight w:val="none"/>
              </w:rPr>
              <w:t>采购代理服务费支付</w:t>
            </w:r>
          </w:p>
        </w:tc>
        <w:tc>
          <w:tcPr>
            <w:tcW w:w="6773" w:type="dxa"/>
            <w:vAlign w:val="center"/>
          </w:tcPr>
          <w:p w14:paraId="5D63490C">
            <w:pPr>
              <w:pStyle w:val="12"/>
              <w:spacing w:before="187" w:line="222" w:lineRule="auto"/>
              <w:ind w:left="32"/>
              <w:rPr>
                <w:color w:val="auto"/>
                <w:highlight w:val="none"/>
              </w:rPr>
            </w:pPr>
            <w:r>
              <w:rPr>
                <w:color w:val="auto"/>
                <w:spacing w:val="-19"/>
                <w:highlight w:val="none"/>
              </w:rPr>
              <w:t>□由采购人支付</w:t>
            </w:r>
          </w:p>
          <w:p w14:paraId="53B54A28">
            <w:pPr>
              <w:pStyle w:val="12"/>
              <w:spacing w:before="155" w:line="206" w:lineRule="auto"/>
              <w:ind w:left="16"/>
              <w:rPr>
                <w:color w:val="auto"/>
                <w:highlight w:val="none"/>
              </w:rPr>
            </w:pPr>
            <w:r>
              <w:rPr>
                <w:rFonts w:ascii="MS UI Gothic" w:hAnsi="MS UI Gothic" w:eastAsia="MS UI Gothic" w:cs="MS UI Gothic"/>
                <w:color w:val="auto"/>
                <w:spacing w:val="-11"/>
                <w:highlight w:val="none"/>
              </w:rPr>
              <w:t>☑</w:t>
            </w:r>
            <w:r>
              <w:rPr>
                <w:color w:val="auto"/>
                <w:spacing w:val="-11"/>
                <w:highlight w:val="none"/>
              </w:rPr>
              <w:t>由中标（成交）单位支付</w:t>
            </w:r>
          </w:p>
        </w:tc>
      </w:tr>
      <w:tr w14:paraId="27B6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701" w:type="dxa"/>
            <w:vAlign w:val="center"/>
          </w:tcPr>
          <w:p w14:paraId="6626B3B4">
            <w:pPr>
              <w:pStyle w:val="12"/>
              <w:spacing w:before="307" w:line="241" w:lineRule="auto"/>
              <w:ind w:left="265"/>
              <w:rPr>
                <w:color w:val="auto"/>
                <w:highlight w:val="none"/>
              </w:rPr>
            </w:pPr>
            <w:r>
              <w:rPr>
                <w:color w:val="auto"/>
                <w:spacing w:val="-14"/>
                <w:highlight w:val="none"/>
              </w:rPr>
              <w:t>17</w:t>
            </w:r>
          </w:p>
        </w:tc>
        <w:tc>
          <w:tcPr>
            <w:tcW w:w="2137" w:type="dxa"/>
            <w:vAlign w:val="center"/>
          </w:tcPr>
          <w:p w14:paraId="0AA62933">
            <w:pPr>
              <w:pStyle w:val="12"/>
              <w:spacing w:before="194" w:line="223" w:lineRule="auto"/>
              <w:ind w:left="322" w:right="95" w:hanging="219"/>
              <w:rPr>
                <w:color w:val="auto"/>
                <w:highlight w:val="none"/>
              </w:rPr>
            </w:pPr>
            <w:r>
              <w:rPr>
                <w:color w:val="auto"/>
                <w:spacing w:val="1"/>
                <w:highlight w:val="none"/>
              </w:rPr>
              <w:t>构成竞争性磋商文</w:t>
            </w:r>
            <w:r>
              <w:rPr>
                <w:color w:val="auto"/>
                <w:spacing w:val="-13"/>
                <w:highlight w:val="none"/>
              </w:rPr>
              <w:t>件</w:t>
            </w:r>
            <w:r>
              <w:rPr>
                <w:color w:val="auto"/>
                <w:spacing w:val="34"/>
                <w:highlight w:val="none"/>
              </w:rPr>
              <w:t xml:space="preserve"> </w:t>
            </w:r>
            <w:r>
              <w:rPr>
                <w:color w:val="auto"/>
                <w:spacing w:val="-13"/>
                <w:highlight w:val="none"/>
              </w:rPr>
              <w:t>的其他材料</w:t>
            </w:r>
          </w:p>
        </w:tc>
        <w:tc>
          <w:tcPr>
            <w:tcW w:w="6773" w:type="dxa"/>
            <w:vAlign w:val="center"/>
          </w:tcPr>
          <w:p w14:paraId="7DA42BAB">
            <w:pPr>
              <w:pStyle w:val="12"/>
              <w:spacing w:before="306" w:line="222" w:lineRule="auto"/>
              <w:ind w:left="17"/>
              <w:rPr>
                <w:color w:val="auto"/>
                <w:highlight w:val="none"/>
              </w:rPr>
            </w:pPr>
            <w:r>
              <w:rPr>
                <w:color w:val="auto"/>
                <w:spacing w:val="-10"/>
                <w:highlight w:val="none"/>
              </w:rPr>
              <w:t>补充文件</w:t>
            </w:r>
          </w:p>
        </w:tc>
      </w:tr>
      <w:tr w14:paraId="04BA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jc w:val="center"/>
        </w:trPr>
        <w:tc>
          <w:tcPr>
            <w:tcW w:w="701" w:type="dxa"/>
            <w:vAlign w:val="center"/>
          </w:tcPr>
          <w:p w14:paraId="27A65D92">
            <w:pPr>
              <w:spacing w:line="383" w:lineRule="auto"/>
              <w:rPr>
                <w:rFonts w:ascii="Arial"/>
                <w:color w:val="auto"/>
                <w:sz w:val="21"/>
                <w:highlight w:val="none"/>
              </w:rPr>
            </w:pPr>
          </w:p>
          <w:p w14:paraId="321C6141">
            <w:pPr>
              <w:pStyle w:val="12"/>
              <w:spacing w:before="78" w:line="241" w:lineRule="auto"/>
              <w:ind w:left="265"/>
              <w:rPr>
                <w:color w:val="auto"/>
                <w:highlight w:val="none"/>
              </w:rPr>
            </w:pPr>
            <w:r>
              <w:rPr>
                <w:color w:val="auto"/>
                <w:spacing w:val="-14"/>
                <w:highlight w:val="none"/>
              </w:rPr>
              <w:t>18</w:t>
            </w:r>
          </w:p>
        </w:tc>
        <w:tc>
          <w:tcPr>
            <w:tcW w:w="2137" w:type="dxa"/>
            <w:vAlign w:val="center"/>
          </w:tcPr>
          <w:p w14:paraId="368638A7">
            <w:pPr>
              <w:pStyle w:val="12"/>
              <w:spacing w:before="198" w:line="222" w:lineRule="auto"/>
              <w:ind w:left="100"/>
              <w:rPr>
                <w:color w:val="auto"/>
                <w:highlight w:val="none"/>
              </w:rPr>
            </w:pPr>
            <w:r>
              <w:rPr>
                <w:color w:val="auto"/>
                <w:spacing w:val="2"/>
                <w:highlight w:val="none"/>
              </w:rPr>
              <w:t>供应商要求澄清竞</w:t>
            </w:r>
          </w:p>
          <w:p w14:paraId="115B6859">
            <w:pPr>
              <w:pStyle w:val="12"/>
              <w:spacing w:before="20" w:line="220" w:lineRule="auto"/>
              <w:ind w:left="40"/>
              <w:rPr>
                <w:color w:val="auto"/>
                <w:highlight w:val="none"/>
              </w:rPr>
            </w:pPr>
            <w:r>
              <w:rPr>
                <w:color w:val="auto"/>
                <w:spacing w:val="-2"/>
                <w:highlight w:val="none"/>
              </w:rPr>
              <w:t>争</w:t>
            </w:r>
            <w:r>
              <w:rPr>
                <w:color w:val="auto"/>
                <w:spacing w:val="33"/>
                <w:highlight w:val="none"/>
              </w:rPr>
              <w:t xml:space="preserve"> </w:t>
            </w:r>
            <w:r>
              <w:rPr>
                <w:color w:val="auto"/>
                <w:spacing w:val="-2"/>
                <w:highlight w:val="none"/>
              </w:rPr>
              <w:t>性磋商文件的截</w:t>
            </w:r>
          </w:p>
          <w:p w14:paraId="767756CE">
            <w:pPr>
              <w:pStyle w:val="12"/>
              <w:spacing w:before="26" w:line="205" w:lineRule="auto"/>
              <w:ind w:left="655"/>
              <w:rPr>
                <w:color w:val="auto"/>
                <w:highlight w:val="none"/>
              </w:rPr>
            </w:pPr>
            <w:r>
              <w:rPr>
                <w:color w:val="auto"/>
                <w:spacing w:val="-4"/>
                <w:highlight w:val="none"/>
              </w:rPr>
              <w:t>止时间</w:t>
            </w:r>
          </w:p>
        </w:tc>
        <w:tc>
          <w:tcPr>
            <w:tcW w:w="6773" w:type="dxa"/>
            <w:vAlign w:val="center"/>
          </w:tcPr>
          <w:p w14:paraId="3FF153AE">
            <w:pPr>
              <w:spacing w:line="383" w:lineRule="auto"/>
              <w:rPr>
                <w:rFonts w:ascii="Arial"/>
                <w:color w:val="auto"/>
                <w:sz w:val="21"/>
                <w:highlight w:val="none"/>
              </w:rPr>
            </w:pPr>
          </w:p>
          <w:p w14:paraId="3F77B6D3">
            <w:pPr>
              <w:pStyle w:val="12"/>
              <w:spacing w:before="78" w:line="220" w:lineRule="auto"/>
              <w:ind w:left="20"/>
              <w:rPr>
                <w:color w:val="auto"/>
                <w:highlight w:val="none"/>
              </w:rPr>
            </w:pPr>
            <w:r>
              <w:rPr>
                <w:color w:val="auto"/>
                <w:spacing w:val="-10"/>
                <w:highlight w:val="none"/>
              </w:rPr>
              <w:t>竞争性磋商文件发售截止之日 19:30 点前</w:t>
            </w:r>
          </w:p>
        </w:tc>
      </w:tr>
      <w:tr w14:paraId="3D856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jc w:val="center"/>
        </w:trPr>
        <w:tc>
          <w:tcPr>
            <w:tcW w:w="701" w:type="dxa"/>
            <w:vAlign w:val="center"/>
          </w:tcPr>
          <w:p w14:paraId="23D6C7AE">
            <w:pPr>
              <w:spacing w:line="384" w:lineRule="auto"/>
              <w:rPr>
                <w:rFonts w:ascii="Arial"/>
                <w:color w:val="auto"/>
                <w:sz w:val="21"/>
                <w:highlight w:val="none"/>
              </w:rPr>
            </w:pPr>
          </w:p>
          <w:p w14:paraId="6E1359B2">
            <w:pPr>
              <w:pStyle w:val="12"/>
              <w:spacing w:before="78" w:line="241" w:lineRule="auto"/>
              <w:ind w:left="265"/>
              <w:rPr>
                <w:color w:val="auto"/>
                <w:highlight w:val="none"/>
              </w:rPr>
            </w:pPr>
            <w:r>
              <w:rPr>
                <w:color w:val="auto"/>
                <w:spacing w:val="-14"/>
                <w:highlight w:val="none"/>
              </w:rPr>
              <w:t>19</w:t>
            </w:r>
          </w:p>
        </w:tc>
        <w:tc>
          <w:tcPr>
            <w:tcW w:w="2137" w:type="dxa"/>
            <w:vAlign w:val="center"/>
          </w:tcPr>
          <w:p w14:paraId="60CC0CA6">
            <w:pPr>
              <w:pStyle w:val="12"/>
              <w:spacing w:before="198" w:line="223" w:lineRule="auto"/>
              <w:ind w:left="100"/>
              <w:rPr>
                <w:color w:val="auto"/>
                <w:highlight w:val="none"/>
              </w:rPr>
            </w:pPr>
            <w:r>
              <w:rPr>
                <w:color w:val="auto"/>
                <w:spacing w:val="2"/>
                <w:highlight w:val="none"/>
              </w:rPr>
              <w:t>供应商确认收到竞</w:t>
            </w:r>
          </w:p>
          <w:p w14:paraId="141FB86C">
            <w:pPr>
              <w:pStyle w:val="12"/>
              <w:spacing w:before="22" w:line="220" w:lineRule="auto"/>
              <w:ind w:left="40"/>
              <w:rPr>
                <w:color w:val="auto"/>
                <w:highlight w:val="none"/>
              </w:rPr>
            </w:pPr>
            <w:r>
              <w:rPr>
                <w:color w:val="auto"/>
                <w:spacing w:val="-2"/>
                <w:highlight w:val="none"/>
              </w:rPr>
              <w:t>争</w:t>
            </w:r>
            <w:r>
              <w:rPr>
                <w:color w:val="auto"/>
                <w:spacing w:val="33"/>
                <w:highlight w:val="none"/>
              </w:rPr>
              <w:t xml:space="preserve"> </w:t>
            </w:r>
            <w:r>
              <w:rPr>
                <w:color w:val="auto"/>
                <w:spacing w:val="-2"/>
                <w:highlight w:val="none"/>
              </w:rPr>
              <w:t>性磋商文件澄清</w:t>
            </w:r>
          </w:p>
          <w:p w14:paraId="5C9BE0C7">
            <w:pPr>
              <w:pStyle w:val="12"/>
              <w:spacing w:before="23" w:line="206" w:lineRule="auto"/>
              <w:ind w:left="314"/>
              <w:rPr>
                <w:color w:val="auto"/>
                <w:highlight w:val="none"/>
              </w:rPr>
            </w:pPr>
            <w:r>
              <w:rPr>
                <w:color w:val="auto"/>
                <w:spacing w:val="-11"/>
                <w:highlight w:val="none"/>
              </w:rPr>
              <w:t>或修</w:t>
            </w:r>
            <w:r>
              <w:rPr>
                <w:color w:val="auto"/>
                <w:spacing w:val="40"/>
                <w:highlight w:val="none"/>
              </w:rPr>
              <w:t xml:space="preserve"> </w:t>
            </w:r>
            <w:r>
              <w:rPr>
                <w:color w:val="auto"/>
                <w:spacing w:val="-11"/>
                <w:highlight w:val="none"/>
              </w:rPr>
              <w:t>改的时间</w:t>
            </w:r>
          </w:p>
        </w:tc>
        <w:tc>
          <w:tcPr>
            <w:tcW w:w="6773" w:type="dxa"/>
            <w:vAlign w:val="center"/>
          </w:tcPr>
          <w:p w14:paraId="6170F977">
            <w:pPr>
              <w:spacing w:line="384" w:lineRule="auto"/>
              <w:rPr>
                <w:rFonts w:ascii="Arial"/>
                <w:color w:val="auto"/>
                <w:sz w:val="21"/>
                <w:highlight w:val="none"/>
              </w:rPr>
            </w:pPr>
          </w:p>
          <w:p w14:paraId="473138F6">
            <w:pPr>
              <w:pStyle w:val="12"/>
              <w:spacing w:before="78" w:line="220" w:lineRule="auto"/>
              <w:ind w:left="13"/>
              <w:rPr>
                <w:color w:val="auto"/>
                <w:highlight w:val="none"/>
              </w:rPr>
            </w:pPr>
            <w:r>
              <w:rPr>
                <w:color w:val="auto"/>
                <w:spacing w:val="-7"/>
                <w:highlight w:val="none"/>
              </w:rPr>
              <w:t>从补充文件发布时间开始</w:t>
            </w:r>
            <w:r>
              <w:rPr>
                <w:color w:val="auto"/>
                <w:spacing w:val="-16"/>
                <w:highlight w:val="none"/>
              </w:rPr>
              <w:t xml:space="preserve"> </w:t>
            </w:r>
            <w:r>
              <w:rPr>
                <w:color w:val="auto"/>
                <w:spacing w:val="-7"/>
                <w:highlight w:val="none"/>
              </w:rPr>
              <w:t>48</w:t>
            </w:r>
            <w:r>
              <w:rPr>
                <w:color w:val="auto"/>
                <w:spacing w:val="-25"/>
                <w:highlight w:val="none"/>
              </w:rPr>
              <w:t xml:space="preserve"> </w:t>
            </w:r>
            <w:r>
              <w:rPr>
                <w:color w:val="auto"/>
                <w:spacing w:val="-7"/>
                <w:highlight w:val="none"/>
              </w:rPr>
              <w:t>小时内</w:t>
            </w:r>
          </w:p>
        </w:tc>
      </w:tr>
      <w:tr w14:paraId="5D15A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3BC26BD0">
            <w:pPr>
              <w:pStyle w:val="12"/>
              <w:spacing w:before="78" w:line="241" w:lineRule="auto"/>
              <w:rPr>
                <w:color w:val="auto"/>
                <w:highlight w:val="none"/>
              </w:rPr>
            </w:pPr>
            <w:r>
              <w:rPr>
                <w:color w:val="auto"/>
                <w:spacing w:val="-6"/>
                <w:highlight w:val="none"/>
              </w:rPr>
              <w:t>20</w:t>
            </w:r>
          </w:p>
        </w:tc>
        <w:tc>
          <w:tcPr>
            <w:tcW w:w="2137" w:type="dxa"/>
            <w:vAlign w:val="center"/>
          </w:tcPr>
          <w:p w14:paraId="21AD2D2A">
            <w:pPr>
              <w:pStyle w:val="12"/>
              <w:spacing w:before="198" w:line="223" w:lineRule="auto"/>
              <w:rPr>
                <w:color w:val="auto"/>
                <w:highlight w:val="none"/>
              </w:rPr>
            </w:pPr>
            <w:r>
              <w:rPr>
                <w:color w:val="auto"/>
                <w:spacing w:val="2"/>
                <w:highlight w:val="none"/>
              </w:rPr>
              <w:t>供应商资格条件</w:t>
            </w:r>
          </w:p>
        </w:tc>
        <w:tc>
          <w:tcPr>
            <w:tcW w:w="6773" w:type="dxa"/>
            <w:vAlign w:val="center"/>
          </w:tcPr>
          <w:p w14:paraId="6AE311EE">
            <w:pPr>
              <w:pStyle w:val="12"/>
              <w:spacing w:before="150" w:line="222" w:lineRule="auto"/>
              <w:ind w:left="17"/>
              <w:rPr>
                <w:color w:val="auto"/>
                <w:highlight w:val="none"/>
              </w:rPr>
            </w:pPr>
            <w:r>
              <w:rPr>
                <w:b/>
                <w:bCs/>
                <w:color w:val="auto"/>
                <w:spacing w:val="-3"/>
                <w:highlight w:val="none"/>
              </w:rPr>
              <w:t>一、满足《中华人民共和国政府采购法》第二十二条规定：</w:t>
            </w:r>
          </w:p>
          <w:p w14:paraId="77E01ECF">
            <w:pPr>
              <w:pStyle w:val="12"/>
              <w:spacing w:before="23" w:line="222" w:lineRule="auto"/>
              <w:ind w:left="19"/>
              <w:rPr>
                <w:color w:val="auto"/>
                <w:highlight w:val="none"/>
              </w:rPr>
            </w:pPr>
            <w:r>
              <w:rPr>
                <w:b/>
                <w:bCs/>
                <w:color w:val="auto"/>
                <w:spacing w:val="-6"/>
                <w:highlight w:val="none"/>
              </w:rPr>
              <w:t>（一）具有独立承担民事责任的能力：</w:t>
            </w:r>
          </w:p>
          <w:p w14:paraId="5EDD1319">
            <w:pPr>
              <w:pStyle w:val="12"/>
              <w:spacing w:before="48" w:line="222" w:lineRule="auto"/>
              <w:ind w:left="24"/>
              <w:rPr>
                <w:color w:val="auto"/>
                <w:highlight w:val="none"/>
              </w:rPr>
            </w:pPr>
            <w:r>
              <w:rPr>
                <w:color w:val="auto"/>
                <w:spacing w:val="-3"/>
                <w:highlight w:val="none"/>
              </w:rPr>
              <w:t>1.提供有效的营业执照；</w:t>
            </w:r>
          </w:p>
          <w:p w14:paraId="72A2D500">
            <w:pPr>
              <w:pStyle w:val="12"/>
              <w:spacing w:before="124" w:line="241" w:lineRule="auto"/>
              <w:ind w:left="24" w:right="76" w:hanging="15"/>
              <w:rPr>
                <w:color w:val="auto"/>
                <w:highlight w:val="none"/>
              </w:rPr>
            </w:pPr>
            <w:r>
              <w:rPr>
                <w:color w:val="auto"/>
                <w:spacing w:val="-2"/>
                <w:highlight w:val="none"/>
              </w:rPr>
              <w:t>2.法定代表人投标需附法定代表人身份证明及加盖公章的身份证复印件；被授权人投标需附授权人本人加盖公章的身份证复印件</w:t>
            </w:r>
            <w:r>
              <w:rPr>
                <w:color w:val="auto"/>
                <w:spacing w:val="1"/>
                <w:highlight w:val="none"/>
              </w:rPr>
              <w:t xml:space="preserve"> </w:t>
            </w:r>
            <w:r>
              <w:rPr>
                <w:color w:val="auto"/>
                <w:spacing w:val="-3"/>
                <w:highlight w:val="none"/>
              </w:rPr>
              <w:t>、法定代表人身份证明、授权委托书；</w:t>
            </w:r>
          </w:p>
          <w:p w14:paraId="67BFFE89">
            <w:pPr>
              <w:pStyle w:val="12"/>
              <w:spacing w:before="100" w:line="222" w:lineRule="auto"/>
              <w:ind w:left="19"/>
              <w:rPr>
                <w:color w:val="auto"/>
                <w:highlight w:val="none"/>
              </w:rPr>
            </w:pPr>
            <w:r>
              <w:rPr>
                <w:b/>
                <w:bCs/>
                <w:color w:val="auto"/>
                <w:spacing w:val="-6"/>
                <w:highlight w:val="none"/>
              </w:rPr>
              <w:t>（二）具有良好的商业信誉和健全的财务会计制度：</w:t>
            </w:r>
          </w:p>
          <w:p w14:paraId="1874476C">
            <w:pPr>
              <w:pStyle w:val="12"/>
              <w:spacing w:before="128"/>
              <w:ind w:left="18" w:right="78" w:firstLine="5"/>
              <w:rPr>
                <w:color w:val="auto"/>
                <w:highlight w:val="none"/>
              </w:rPr>
            </w:pPr>
            <w:r>
              <w:rPr>
                <w:color w:val="auto"/>
                <w:spacing w:val="-6"/>
                <w:highlight w:val="none"/>
              </w:rPr>
              <w:t>1.供应商为法人或其他组织，提供</w:t>
            </w:r>
            <w:r>
              <w:rPr>
                <w:color w:val="auto"/>
                <w:spacing w:val="-30"/>
                <w:highlight w:val="none"/>
              </w:rPr>
              <w:t xml:space="preserve"> </w:t>
            </w:r>
            <w:r>
              <w:rPr>
                <w:color w:val="auto"/>
                <w:spacing w:val="-6"/>
                <w:highlight w:val="none"/>
              </w:rPr>
              <w:t>2023、2024</w:t>
            </w:r>
            <w:r>
              <w:rPr>
                <w:color w:val="auto"/>
                <w:spacing w:val="-52"/>
                <w:highlight w:val="none"/>
              </w:rPr>
              <w:t xml:space="preserve"> </w:t>
            </w:r>
            <w:r>
              <w:rPr>
                <w:color w:val="auto"/>
                <w:spacing w:val="-6"/>
                <w:highlight w:val="none"/>
              </w:rPr>
              <w:t>、2025年</w:t>
            </w:r>
            <w:r>
              <w:rPr>
                <w:color w:val="auto"/>
                <w:spacing w:val="-7"/>
                <w:highlight w:val="none"/>
              </w:rPr>
              <w:t>度中任一年度经审计财务报告（成立不足一年的提供成立至今的财务报表</w:t>
            </w:r>
            <w:r>
              <w:rPr>
                <w:color w:val="auto"/>
                <w:spacing w:val="1"/>
                <w:highlight w:val="none"/>
              </w:rPr>
              <w:t xml:space="preserve">  </w:t>
            </w:r>
            <w:r>
              <w:rPr>
                <w:color w:val="auto"/>
                <w:spacing w:val="-12"/>
                <w:highlight w:val="none"/>
              </w:rPr>
              <w:t>,</w:t>
            </w:r>
            <w:r>
              <w:rPr>
                <w:color w:val="auto"/>
                <w:spacing w:val="69"/>
                <w:highlight w:val="none"/>
              </w:rPr>
              <w:t xml:space="preserve"> </w:t>
            </w:r>
            <w:r>
              <w:rPr>
                <w:color w:val="auto"/>
                <w:spacing w:val="-12"/>
                <w:highlight w:val="none"/>
              </w:rPr>
              <w:t>包含资产负债表、现金流量表、利润表</w:t>
            </w:r>
            <w:r>
              <w:rPr>
                <w:color w:val="auto"/>
                <w:spacing w:val="-1"/>
                <w:highlight w:val="none"/>
              </w:rPr>
              <w:t>）；</w:t>
            </w:r>
          </w:p>
          <w:p w14:paraId="38143B4B">
            <w:pPr>
              <w:pStyle w:val="12"/>
              <w:spacing w:before="102" w:line="221" w:lineRule="auto"/>
              <w:ind w:left="19"/>
              <w:rPr>
                <w:color w:val="auto"/>
                <w:highlight w:val="none"/>
              </w:rPr>
            </w:pPr>
            <w:r>
              <w:rPr>
                <w:b/>
                <w:bCs/>
                <w:color w:val="auto"/>
                <w:spacing w:val="-6"/>
                <w:highlight w:val="none"/>
              </w:rPr>
              <w:t>（三）具有履行合同所必需的设备和专业技术能力：</w:t>
            </w:r>
          </w:p>
          <w:p w14:paraId="31F5B2E7">
            <w:pPr>
              <w:pStyle w:val="12"/>
              <w:spacing w:before="208" w:line="222" w:lineRule="auto"/>
              <w:ind w:left="15"/>
              <w:rPr>
                <w:color w:val="auto"/>
                <w:highlight w:val="none"/>
              </w:rPr>
            </w:pPr>
            <w:r>
              <w:rPr>
                <w:color w:val="auto"/>
                <w:spacing w:val="-4"/>
                <w:highlight w:val="none"/>
              </w:rPr>
              <w:t>提供书面声明；</w:t>
            </w:r>
          </w:p>
          <w:p w14:paraId="50BE48FC">
            <w:pPr>
              <w:pStyle w:val="12"/>
              <w:spacing w:before="205" w:line="221" w:lineRule="auto"/>
              <w:ind w:left="19"/>
              <w:rPr>
                <w:color w:val="auto"/>
                <w:highlight w:val="none"/>
              </w:rPr>
            </w:pPr>
            <w:r>
              <w:rPr>
                <w:b/>
                <w:bCs/>
                <w:color w:val="auto"/>
                <w:spacing w:val="-6"/>
                <w:highlight w:val="none"/>
              </w:rPr>
              <w:t>（四）有依法缴纳税收和社会保障资金的良好记录：</w:t>
            </w:r>
          </w:p>
          <w:p w14:paraId="201B06F3">
            <w:pPr>
              <w:pStyle w:val="12"/>
              <w:spacing w:before="64" w:line="241" w:lineRule="auto"/>
              <w:ind w:left="13" w:right="184" w:firstLine="11"/>
              <w:jc w:val="both"/>
              <w:rPr>
                <w:color w:val="auto"/>
                <w:highlight w:val="none"/>
              </w:rPr>
            </w:pPr>
            <w:r>
              <w:rPr>
                <w:color w:val="auto"/>
                <w:spacing w:val="-6"/>
                <w:highlight w:val="none"/>
              </w:rPr>
              <w:t>1.提供税务部门出具近三个月依法缴纳税收的完税证明（需含增值税或印花税等税种；如无需缴税需提供税务机关出具的无欠税证明</w:t>
            </w:r>
            <w:r>
              <w:rPr>
                <w:color w:val="auto"/>
                <w:spacing w:val="2"/>
                <w:highlight w:val="none"/>
              </w:rPr>
              <w:t>），</w:t>
            </w:r>
            <w:r>
              <w:rPr>
                <w:color w:val="auto"/>
                <w:spacing w:val="-6"/>
                <w:highlight w:val="none"/>
              </w:rPr>
              <w:t>新成立公司按实际发生提供税务机关出具的无欠税证明</w:t>
            </w:r>
          </w:p>
          <w:p w14:paraId="4DF90380">
            <w:pPr>
              <w:pStyle w:val="12"/>
              <w:spacing w:before="114" w:line="166" w:lineRule="exact"/>
              <w:ind w:left="31"/>
              <w:rPr>
                <w:color w:val="auto"/>
                <w:highlight w:val="none"/>
              </w:rPr>
            </w:pPr>
            <w:r>
              <w:rPr>
                <w:color w:val="auto"/>
                <w:position w:val="2"/>
                <w:highlight w:val="none"/>
              </w:rPr>
              <w:t>;</w:t>
            </w:r>
          </w:p>
          <w:p w14:paraId="51D6AF8B">
            <w:pPr>
              <w:pStyle w:val="12"/>
              <w:spacing w:before="56" w:line="238" w:lineRule="auto"/>
              <w:ind w:left="18" w:right="189" w:hanging="9"/>
              <w:rPr>
                <w:color w:val="auto"/>
                <w:highlight w:val="none"/>
              </w:rPr>
            </w:pPr>
            <w:r>
              <w:rPr>
                <w:color w:val="auto"/>
                <w:spacing w:val="-5"/>
                <w:highlight w:val="none"/>
              </w:rPr>
              <w:t>2.近三个月的社保证明（法人代表或其委托代理</w:t>
            </w:r>
            <w:r>
              <w:rPr>
                <w:color w:val="auto"/>
                <w:spacing w:val="-6"/>
                <w:highlight w:val="none"/>
              </w:rPr>
              <w:t>人的社保缴纳明</w:t>
            </w:r>
            <w:r>
              <w:rPr>
                <w:color w:val="auto"/>
                <w:spacing w:val="-7"/>
                <w:highlight w:val="none"/>
              </w:rPr>
              <w:t>细，退休人员需提供退休证明</w:t>
            </w:r>
            <w:r>
              <w:rPr>
                <w:color w:val="auto"/>
                <w:spacing w:val="2"/>
                <w:highlight w:val="none"/>
              </w:rPr>
              <w:t>）；</w:t>
            </w:r>
          </w:p>
          <w:p w14:paraId="188615C1">
            <w:pPr>
              <w:pStyle w:val="12"/>
              <w:spacing w:before="107" w:line="241" w:lineRule="auto"/>
              <w:ind w:left="21" w:right="165" w:hanging="2"/>
              <w:rPr>
                <w:color w:val="auto"/>
                <w:highlight w:val="none"/>
              </w:rPr>
            </w:pPr>
            <w:r>
              <w:rPr>
                <w:b/>
                <w:bCs/>
                <w:color w:val="auto"/>
                <w:spacing w:val="-4"/>
                <w:highlight w:val="none"/>
              </w:rPr>
              <w:t>（五）参加政府采购活动前三年内，在经营</w:t>
            </w:r>
            <w:r>
              <w:rPr>
                <w:b/>
                <w:bCs/>
                <w:color w:val="auto"/>
                <w:spacing w:val="-5"/>
                <w:highlight w:val="none"/>
              </w:rPr>
              <w:t>活动中没</w:t>
            </w:r>
            <w:r>
              <w:rPr>
                <w:color w:val="auto"/>
                <w:spacing w:val="30"/>
                <w:highlight w:val="none"/>
              </w:rPr>
              <w:t xml:space="preserve"> </w:t>
            </w:r>
            <w:r>
              <w:rPr>
                <w:b/>
                <w:bCs/>
                <w:color w:val="auto"/>
                <w:spacing w:val="-5"/>
                <w:highlight w:val="none"/>
              </w:rPr>
              <w:t>有重大违</w:t>
            </w:r>
            <w:r>
              <w:rPr>
                <w:b/>
                <w:bCs/>
                <w:color w:val="auto"/>
                <w:spacing w:val="-11"/>
                <w:highlight w:val="none"/>
              </w:rPr>
              <w:t>法记录：</w:t>
            </w:r>
          </w:p>
          <w:p w14:paraId="3E844AC0">
            <w:pPr>
              <w:pStyle w:val="12"/>
              <w:spacing w:before="30" w:line="223" w:lineRule="auto"/>
              <w:ind w:left="15"/>
              <w:rPr>
                <w:color w:val="auto"/>
                <w:highlight w:val="none"/>
              </w:rPr>
            </w:pPr>
            <w:r>
              <w:rPr>
                <w:color w:val="auto"/>
                <w:spacing w:val="-4"/>
                <w:highlight w:val="none"/>
              </w:rPr>
              <w:t>提供书面声明。</w:t>
            </w:r>
          </w:p>
          <w:p w14:paraId="59DCF98E">
            <w:pPr>
              <w:pStyle w:val="12"/>
              <w:spacing w:before="215" w:line="222" w:lineRule="auto"/>
              <w:ind w:left="14"/>
              <w:rPr>
                <w:color w:val="auto"/>
                <w:highlight w:val="none"/>
              </w:rPr>
            </w:pPr>
            <w:r>
              <w:rPr>
                <w:b/>
                <w:bCs/>
                <w:color w:val="auto"/>
                <w:spacing w:val="-6"/>
                <w:highlight w:val="none"/>
              </w:rPr>
              <w:t>（六）落实政府采购政策需满足的资格要求：</w:t>
            </w:r>
            <w:r>
              <w:rPr>
                <w:color w:val="auto"/>
                <w:spacing w:val="-3"/>
                <w:highlight w:val="none"/>
              </w:rPr>
              <w:t>本项目专门面向中小企业；</w:t>
            </w:r>
          </w:p>
          <w:p w14:paraId="1C5B791C">
            <w:pPr>
              <w:pStyle w:val="12"/>
              <w:spacing w:before="139" w:line="222" w:lineRule="auto"/>
              <w:ind w:left="19"/>
              <w:rPr>
                <w:color w:val="auto"/>
                <w:highlight w:val="none"/>
              </w:rPr>
            </w:pPr>
            <w:r>
              <w:rPr>
                <w:b/>
                <w:bCs/>
                <w:color w:val="auto"/>
                <w:spacing w:val="-7"/>
                <w:highlight w:val="none"/>
              </w:rPr>
              <w:t>（七）本项目的特定资格要求：</w:t>
            </w:r>
          </w:p>
          <w:p w14:paraId="74EEFC8B">
            <w:pPr>
              <w:pStyle w:val="12"/>
              <w:spacing w:before="206" w:line="239" w:lineRule="auto"/>
              <w:ind w:left="27" w:right="76" w:hanging="8"/>
              <w:rPr>
                <w:color w:val="auto"/>
                <w:highlight w:val="none"/>
              </w:rPr>
            </w:pPr>
            <w:r>
              <w:rPr>
                <w:color w:val="auto"/>
                <w:spacing w:val="-2"/>
                <w:highlight w:val="none"/>
              </w:rPr>
              <w:t>（1）供应商须具备的利水电工程施工总承包</w:t>
            </w:r>
            <w:r>
              <w:rPr>
                <w:color w:val="auto"/>
                <w:spacing w:val="-2"/>
                <w:highlight w:val="none"/>
              </w:rPr>
              <w:t>贰级</w:t>
            </w:r>
            <w:r>
              <w:rPr>
                <w:color w:val="auto"/>
                <w:spacing w:val="-2"/>
                <w:highlight w:val="none"/>
              </w:rPr>
              <w:t>（含暂定贰级）以上资质</w:t>
            </w:r>
            <w:r>
              <w:rPr>
                <w:rFonts w:hint="eastAsia"/>
                <w:color w:val="auto"/>
                <w:spacing w:val="3"/>
                <w:highlight w:val="none"/>
                <w:lang w:eastAsia="zh-CN"/>
              </w:rPr>
              <w:t>；</w:t>
            </w:r>
            <w:r>
              <w:rPr>
                <w:color w:val="auto"/>
                <w:spacing w:val="-2"/>
                <w:highlight w:val="none"/>
              </w:rPr>
              <w:t>供应商须提供有效的安全生产许可证；在全国水利建设市场监管平台进行主体基本信息登记；要求投标人有类似工程施工业绩</w:t>
            </w:r>
            <w:r>
              <w:rPr>
                <w:rFonts w:hint="eastAsia"/>
                <w:color w:val="auto"/>
                <w:highlight w:val="none"/>
                <w:lang w:eastAsia="zh-CN"/>
              </w:rPr>
              <w:t>，</w:t>
            </w:r>
            <w:r>
              <w:rPr>
                <w:color w:val="auto"/>
                <w:spacing w:val="-5"/>
                <w:highlight w:val="none"/>
              </w:rPr>
              <w:t>并在人员、设备、资金等方面具有承担本标段施工的能力；</w:t>
            </w:r>
          </w:p>
          <w:p w14:paraId="3AD293FD">
            <w:pPr>
              <w:pStyle w:val="12"/>
              <w:spacing w:before="183" w:line="239" w:lineRule="auto"/>
              <w:ind w:left="20" w:right="76" w:hanging="1"/>
              <w:rPr>
                <w:color w:val="auto"/>
                <w:highlight w:val="none"/>
              </w:rPr>
            </w:pPr>
            <w:r>
              <w:rPr>
                <w:color w:val="auto"/>
                <w:spacing w:val="-2"/>
                <w:highlight w:val="none"/>
              </w:rPr>
              <w:t>（2）供应商拟派项目经理须具备水利水电工程专业二级及以上注册建造师执业资格，具有有效的水利行业安全生产考核合格证书，且未担任其他在施建设工程项目的项目经理。</w:t>
            </w:r>
          </w:p>
          <w:p w14:paraId="2562172B">
            <w:pPr>
              <w:pStyle w:val="12"/>
              <w:spacing w:before="115" w:line="222" w:lineRule="auto"/>
              <w:ind w:left="21"/>
              <w:rPr>
                <w:color w:val="auto"/>
                <w:highlight w:val="none"/>
              </w:rPr>
            </w:pPr>
            <w:r>
              <w:rPr>
                <w:b/>
                <w:bCs/>
                <w:color w:val="auto"/>
                <w:spacing w:val="-6"/>
                <w:highlight w:val="none"/>
              </w:rPr>
              <w:t>二、不得参加和拒绝参加本次招标的情形</w:t>
            </w:r>
          </w:p>
          <w:p w14:paraId="463C6788">
            <w:pPr>
              <w:pStyle w:val="12"/>
              <w:spacing w:before="206" w:line="241" w:lineRule="auto"/>
              <w:ind w:left="22" w:right="129" w:firstLine="1"/>
              <w:rPr>
                <w:color w:val="auto"/>
                <w:highlight w:val="none"/>
              </w:rPr>
            </w:pPr>
            <w:r>
              <w:rPr>
                <w:color w:val="auto"/>
                <w:spacing w:val="-4"/>
                <w:highlight w:val="none"/>
              </w:rPr>
              <w:t>1.单位负责人为同一人或者存在直接控股、管理关系的不同供应商，不得参加本次采购活动；</w:t>
            </w:r>
          </w:p>
          <w:p w14:paraId="09DBAE1D">
            <w:pPr>
              <w:pStyle w:val="12"/>
              <w:spacing w:before="32"/>
              <w:ind w:left="15" w:right="93"/>
              <w:rPr>
                <w:color w:val="auto"/>
                <w:highlight w:val="none"/>
              </w:rPr>
            </w:pPr>
            <w:r>
              <w:rPr>
                <w:color w:val="auto"/>
                <w:spacing w:val="1"/>
                <w:highlight w:val="none"/>
              </w:rPr>
              <w:t>提供书面声明，书面声明包括如下内容：供应</w:t>
            </w:r>
            <w:r>
              <w:rPr>
                <w:color w:val="auto"/>
                <w:highlight w:val="none"/>
              </w:rPr>
              <w:t>商法定代表人 (</w:t>
            </w:r>
            <w:r>
              <w:rPr>
                <w:color w:val="auto"/>
                <w:spacing w:val="2"/>
                <w:highlight w:val="none"/>
              </w:rPr>
              <w:t>单位负责人）在其单位外的其他单位担任法定代表人（单位负责人）的信息；供应商直接控股、存在管理关系的其他单位信息；供应商为本项目提供整体设计、规范编制或者项目管理、</w:t>
            </w:r>
            <w:r>
              <w:rPr>
                <w:color w:val="auto"/>
                <w:spacing w:val="-1"/>
                <w:highlight w:val="none"/>
              </w:rPr>
              <w:t>监理、检测等服务情形。格式自拟。</w:t>
            </w:r>
          </w:p>
          <w:p w14:paraId="5CDE7D0A">
            <w:pPr>
              <w:pStyle w:val="12"/>
              <w:spacing w:before="106" w:line="239" w:lineRule="auto"/>
              <w:ind w:left="130" w:right="153" w:firstLine="11"/>
              <w:rPr>
                <w:color w:val="auto"/>
                <w:highlight w:val="none"/>
              </w:rPr>
            </w:pPr>
            <w:r>
              <w:rPr>
                <w:color w:val="auto"/>
                <w:spacing w:val="-9"/>
                <w:highlight w:val="none"/>
              </w:rPr>
              <w:t>2、未被“信用中国 ”网站、中国政府采购网、国家企业信用信息公示系统列入失信被执行人、重大税收违法案件当事人名单、政府采购严重违法失信行为记录名单，供应商如在“信用中国</w:t>
            </w:r>
          </w:p>
          <w:p w14:paraId="56A503EF">
            <w:pPr>
              <w:pStyle w:val="12"/>
              <w:spacing w:before="204" w:line="202" w:lineRule="auto"/>
              <w:ind w:left="19"/>
              <w:rPr>
                <w:color w:val="auto"/>
                <w:highlight w:val="none"/>
              </w:rPr>
            </w:pPr>
            <w:r>
              <w:rPr>
                <w:color w:val="auto"/>
                <w:spacing w:val="-10"/>
                <w:highlight w:val="none"/>
              </w:rPr>
              <w:t>” 网站、中国政府采购网、国家企业信用信息公示系统被列入严重违法失信行为记录名单的（尚在处罚期内的</w:t>
            </w:r>
            <w:r>
              <w:rPr>
                <w:color w:val="auto"/>
                <w:highlight w:val="none"/>
              </w:rPr>
              <w:t>），</w:t>
            </w:r>
            <w:r>
              <w:rPr>
                <w:color w:val="auto"/>
                <w:spacing w:val="-10"/>
                <w:highlight w:val="none"/>
              </w:rPr>
              <w:t>将拒绝其参</w:t>
            </w:r>
            <w:r>
              <w:rPr>
                <w:color w:val="auto"/>
                <w:spacing w:val="-9"/>
                <w:highlight w:val="none"/>
              </w:rPr>
              <w:t>加本次采购活动。</w:t>
            </w:r>
          </w:p>
        </w:tc>
      </w:tr>
      <w:tr w14:paraId="2A0E2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660D22A0">
            <w:pPr>
              <w:spacing w:line="285" w:lineRule="auto"/>
              <w:rPr>
                <w:rFonts w:ascii="Arial"/>
                <w:color w:val="auto"/>
                <w:sz w:val="21"/>
                <w:highlight w:val="none"/>
              </w:rPr>
            </w:pPr>
          </w:p>
          <w:p w14:paraId="5E051526">
            <w:pPr>
              <w:spacing w:line="285" w:lineRule="auto"/>
              <w:rPr>
                <w:rFonts w:ascii="Arial"/>
                <w:color w:val="auto"/>
                <w:sz w:val="21"/>
                <w:highlight w:val="none"/>
              </w:rPr>
            </w:pPr>
          </w:p>
          <w:p w14:paraId="773055F0">
            <w:pPr>
              <w:spacing w:line="285" w:lineRule="auto"/>
              <w:rPr>
                <w:rFonts w:ascii="Arial"/>
                <w:color w:val="auto"/>
                <w:sz w:val="21"/>
                <w:highlight w:val="none"/>
              </w:rPr>
            </w:pPr>
          </w:p>
          <w:p w14:paraId="4DFF76A0">
            <w:pPr>
              <w:pStyle w:val="12"/>
              <w:spacing w:before="78" w:line="315" w:lineRule="exact"/>
              <w:ind w:left="291" w:leftChars="0"/>
              <w:rPr>
                <w:color w:val="auto"/>
                <w:spacing w:val="-6"/>
                <w:highlight w:val="none"/>
              </w:rPr>
            </w:pPr>
            <w:r>
              <w:rPr>
                <w:color w:val="auto"/>
                <w:spacing w:val="-6"/>
                <w:position w:val="1"/>
                <w:highlight w:val="none"/>
              </w:rPr>
              <w:t>21</w:t>
            </w:r>
          </w:p>
        </w:tc>
        <w:tc>
          <w:tcPr>
            <w:tcW w:w="2137" w:type="dxa"/>
            <w:vAlign w:val="center"/>
          </w:tcPr>
          <w:p w14:paraId="6A54224B">
            <w:pPr>
              <w:spacing w:line="354" w:lineRule="auto"/>
              <w:rPr>
                <w:rFonts w:ascii="Arial"/>
                <w:color w:val="auto"/>
                <w:sz w:val="21"/>
                <w:highlight w:val="none"/>
              </w:rPr>
            </w:pPr>
          </w:p>
          <w:p w14:paraId="16DA1B5D">
            <w:pPr>
              <w:spacing w:line="355" w:lineRule="auto"/>
              <w:rPr>
                <w:rFonts w:ascii="Arial"/>
                <w:color w:val="auto"/>
                <w:sz w:val="21"/>
                <w:highlight w:val="none"/>
              </w:rPr>
            </w:pPr>
          </w:p>
          <w:p w14:paraId="5F0C1826">
            <w:pPr>
              <w:pStyle w:val="12"/>
              <w:spacing w:before="78" w:line="258" w:lineRule="auto"/>
              <w:ind w:left="149" w:leftChars="0" w:right="296" w:rightChars="0" w:hanging="1" w:firstLineChars="0"/>
              <w:rPr>
                <w:color w:val="auto"/>
                <w:spacing w:val="2"/>
                <w:highlight w:val="none"/>
              </w:rPr>
            </w:pPr>
            <w:r>
              <w:rPr>
                <w:color w:val="auto"/>
                <w:spacing w:val="1"/>
                <w:highlight w:val="none"/>
              </w:rPr>
              <w:t>是否允许递交备</w:t>
            </w:r>
            <w:r>
              <w:rPr>
                <w:color w:val="auto"/>
                <w:spacing w:val="-9"/>
                <w:highlight w:val="none"/>
              </w:rPr>
              <w:t>选报价方案</w:t>
            </w:r>
          </w:p>
        </w:tc>
        <w:tc>
          <w:tcPr>
            <w:tcW w:w="6773" w:type="dxa"/>
            <w:vAlign w:val="center"/>
          </w:tcPr>
          <w:p w14:paraId="113F868D">
            <w:pPr>
              <w:pStyle w:val="12"/>
              <w:spacing w:before="168" w:line="222" w:lineRule="auto"/>
              <w:ind w:left="156"/>
              <w:rPr>
                <w:color w:val="auto"/>
                <w:highlight w:val="none"/>
              </w:rPr>
            </w:pPr>
            <w:r>
              <w:rPr>
                <w:rFonts w:ascii="MS UI Gothic" w:hAnsi="MS UI Gothic" w:eastAsia="MS UI Gothic" w:cs="MS UI Gothic"/>
                <w:color w:val="auto"/>
                <w:spacing w:val="-13"/>
                <w:highlight w:val="none"/>
              </w:rPr>
              <w:t>☑</w:t>
            </w:r>
            <w:r>
              <w:rPr>
                <w:rFonts w:ascii="MS UI Gothic" w:hAnsi="MS UI Gothic" w:eastAsia="MS UI Gothic" w:cs="MS UI Gothic"/>
                <w:color w:val="auto"/>
                <w:spacing w:val="6"/>
                <w:highlight w:val="none"/>
              </w:rPr>
              <w:t xml:space="preserve">  </w:t>
            </w:r>
            <w:r>
              <w:rPr>
                <w:color w:val="auto"/>
                <w:spacing w:val="-13"/>
                <w:highlight w:val="none"/>
              </w:rPr>
              <w:t>不允许</w:t>
            </w:r>
          </w:p>
          <w:p w14:paraId="632D9946">
            <w:pPr>
              <w:pStyle w:val="12"/>
              <w:spacing w:before="175" w:line="266" w:lineRule="auto"/>
              <w:ind w:left="508" w:leftChars="0" w:right="129" w:rightChars="0" w:hanging="308" w:firstLineChars="0"/>
              <w:rPr>
                <w:color w:val="auto"/>
                <w:spacing w:val="-10"/>
                <w:highlight w:val="none"/>
              </w:rPr>
            </w:pPr>
            <w:r>
              <w:rPr>
                <w:color w:val="auto"/>
                <w:spacing w:val="-3"/>
                <w:highlight w:val="none"/>
              </w:rPr>
              <w:t>□ 允许。要求：只有成交供应商所递交的备选报价方案</w:t>
            </w:r>
            <w:r>
              <w:rPr>
                <w:color w:val="auto"/>
                <w:spacing w:val="36"/>
                <w:highlight w:val="none"/>
              </w:rPr>
              <w:t xml:space="preserve"> </w:t>
            </w:r>
            <w:r>
              <w:rPr>
                <w:color w:val="auto"/>
                <w:spacing w:val="-3"/>
                <w:highlight w:val="none"/>
              </w:rPr>
              <w:t>方可</w:t>
            </w:r>
            <w:r>
              <w:rPr>
                <w:color w:val="auto"/>
                <w:highlight w:val="none"/>
              </w:rPr>
              <w:t>予以考虑。磋商小组认为成交供应商的备选报价 方案优于</w:t>
            </w:r>
            <w:r>
              <w:rPr>
                <w:color w:val="auto"/>
                <w:spacing w:val="-1"/>
                <w:highlight w:val="none"/>
              </w:rPr>
              <w:t>其按照竞争性磋商文件要求的报价方案，采购人可以接受</w:t>
            </w:r>
            <w:r>
              <w:rPr>
                <w:color w:val="auto"/>
                <w:spacing w:val="-5"/>
                <w:highlight w:val="none"/>
              </w:rPr>
              <w:t>该备选报价方案。</w:t>
            </w:r>
          </w:p>
        </w:tc>
      </w:tr>
      <w:tr w14:paraId="3058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240F1E1F">
            <w:pPr>
              <w:pStyle w:val="12"/>
              <w:spacing w:before="163" w:line="315" w:lineRule="exact"/>
              <w:ind w:left="291" w:leftChars="0"/>
              <w:rPr>
                <w:color w:val="auto"/>
                <w:spacing w:val="-6"/>
                <w:highlight w:val="none"/>
              </w:rPr>
            </w:pPr>
            <w:r>
              <w:rPr>
                <w:color w:val="auto"/>
                <w:spacing w:val="-6"/>
                <w:position w:val="1"/>
                <w:highlight w:val="none"/>
              </w:rPr>
              <w:t>22</w:t>
            </w:r>
          </w:p>
        </w:tc>
        <w:tc>
          <w:tcPr>
            <w:tcW w:w="2137" w:type="dxa"/>
            <w:vAlign w:val="center"/>
          </w:tcPr>
          <w:p w14:paraId="5D3689AE">
            <w:pPr>
              <w:pStyle w:val="12"/>
              <w:spacing w:before="269" w:line="222" w:lineRule="auto"/>
              <w:ind w:left="344" w:leftChars="0"/>
              <w:rPr>
                <w:color w:val="auto"/>
                <w:spacing w:val="2"/>
                <w:highlight w:val="none"/>
              </w:rPr>
            </w:pPr>
            <w:r>
              <w:rPr>
                <w:color w:val="auto"/>
                <w:spacing w:val="-9"/>
                <w:highlight w:val="none"/>
              </w:rPr>
              <w:t>响应报价的范围</w:t>
            </w:r>
          </w:p>
        </w:tc>
        <w:tc>
          <w:tcPr>
            <w:tcW w:w="6773" w:type="dxa"/>
            <w:vAlign w:val="center"/>
          </w:tcPr>
          <w:p w14:paraId="610D9AEF">
            <w:pPr>
              <w:pStyle w:val="12"/>
              <w:spacing w:before="163" w:line="221" w:lineRule="auto"/>
              <w:ind w:left="155" w:leftChars="0"/>
              <w:rPr>
                <w:color w:val="auto"/>
                <w:spacing w:val="-10"/>
                <w:highlight w:val="none"/>
              </w:rPr>
            </w:pPr>
            <w:r>
              <w:rPr>
                <w:color w:val="auto"/>
                <w:spacing w:val="-3"/>
                <w:highlight w:val="none"/>
              </w:rPr>
              <w:t>含税全包价，包括工程量清单的全部工程内容。</w:t>
            </w:r>
          </w:p>
        </w:tc>
      </w:tr>
      <w:tr w14:paraId="2A9EF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264A23D8">
            <w:pPr>
              <w:spacing w:line="267" w:lineRule="auto"/>
              <w:rPr>
                <w:rFonts w:ascii="Arial"/>
                <w:color w:val="auto"/>
                <w:sz w:val="21"/>
                <w:highlight w:val="none"/>
              </w:rPr>
            </w:pPr>
          </w:p>
          <w:p w14:paraId="6E2E273C">
            <w:pPr>
              <w:pStyle w:val="12"/>
              <w:spacing w:before="78" w:line="241" w:lineRule="auto"/>
              <w:ind w:left="291" w:leftChars="0"/>
              <w:rPr>
                <w:color w:val="auto"/>
                <w:spacing w:val="-6"/>
                <w:highlight w:val="none"/>
              </w:rPr>
            </w:pPr>
            <w:r>
              <w:rPr>
                <w:color w:val="auto"/>
                <w:spacing w:val="-6"/>
                <w:highlight w:val="none"/>
              </w:rPr>
              <w:t>23</w:t>
            </w:r>
          </w:p>
        </w:tc>
        <w:tc>
          <w:tcPr>
            <w:tcW w:w="2137" w:type="dxa"/>
            <w:vAlign w:val="center"/>
          </w:tcPr>
          <w:p w14:paraId="00ADCF05">
            <w:pPr>
              <w:pStyle w:val="12"/>
              <w:spacing w:before="296" w:line="222" w:lineRule="auto"/>
              <w:ind w:left="272" w:leftChars="0"/>
              <w:rPr>
                <w:color w:val="auto"/>
                <w:spacing w:val="2"/>
                <w:highlight w:val="none"/>
              </w:rPr>
            </w:pPr>
            <w:r>
              <w:rPr>
                <w:color w:val="auto"/>
                <w:spacing w:val="-9"/>
                <w:highlight w:val="none"/>
              </w:rPr>
              <w:t>响应报价的次数</w:t>
            </w:r>
          </w:p>
        </w:tc>
        <w:tc>
          <w:tcPr>
            <w:tcW w:w="6773" w:type="dxa"/>
            <w:vAlign w:val="center"/>
          </w:tcPr>
          <w:p w14:paraId="5B4DF8EB">
            <w:pPr>
              <w:pStyle w:val="12"/>
              <w:spacing w:before="200" w:line="219" w:lineRule="auto"/>
              <w:ind w:left="149" w:leftChars="0"/>
              <w:rPr>
                <w:color w:val="auto"/>
                <w:spacing w:val="-10"/>
                <w:highlight w:val="none"/>
              </w:rPr>
            </w:pPr>
            <w:r>
              <w:rPr>
                <w:b/>
                <w:bCs/>
                <w:color w:val="auto"/>
                <w:spacing w:val="-6"/>
                <w:highlight w:val="none"/>
              </w:rPr>
              <w:t>本次响应报价实行多轮报价，原则上第二轮报价为最终报价。</w:t>
            </w:r>
          </w:p>
        </w:tc>
      </w:tr>
      <w:tr w14:paraId="2DC82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53AA619A">
            <w:pPr>
              <w:pStyle w:val="12"/>
              <w:spacing w:before="160" w:line="316" w:lineRule="exact"/>
              <w:ind w:left="291" w:leftChars="0"/>
              <w:rPr>
                <w:color w:val="auto"/>
                <w:spacing w:val="-6"/>
                <w:highlight w:val="none"/>
              </w:rPr>
            </w:pPr>
            <w:r>
              <w:rPr>
                <w:color w:val="auto"/>
                <w:spacing w:val="-6"/>
                <w:position w:val="1"/>
                <w:highlight w:val="none"/>
              </w:rPr>
              <w:t>24</w:t>
            </w:r>
          </w:p>
        </w:tc>
        <w:tc>
          <w:tcPr>
            <w:tcW w:w="2137" w:type="dxa"/>
            <w:vAlign w:val="center"/>
          </w:tcPr>
          <w:p w14:paraId="0841E4F1">
            <w:pPr>
              <w:pStyle w:val="12"/>
              <w:spacing w:before="309" w:line="221" w:lineRule="auto"/>
              <w:ind w:left="201" w:leftChars="0"/>
              <w:rPr>
                <w:color w:val="auto"/>
                <w:spacing w:val="2"/>
                <w:highlight w:val="none"/>
              </w:rPr>
            </w:pPr>
            <w:r>
              <w:rPr>
                <w:color w:val="auto"/>
                <w:spacing w:val="-5"/>
                <w:highlight w:val="none"/>
              </w:rPr>
              <w:t>投标保证金的缴纳</w:t>
            </w:r>
          </w:p>
        </w:tc>
        <w:tc>
          <w:tcPr>
            <w:tcW w:w="6773" w:type="dxa"/>
            <w:vAlign w:val="center"/>
          </w:tcPr>
          <w:p w14:paraId="5C045B3D">
            <w:pPr>
              <w:pStyle w:val="12"/>
              <w:spacing w:before="163" w:line="220" w:lineRule="auto"/>
              <w:ind w:left="149"/>
              <w:rPr>
                <w:rFonts w:hint="eastAsia"/>
                <w:color w:val="auto"/>
                <w:highlight w:val="none"/>
                <w:lang w:val="en-US" w:eastAsia="zh-CN"/>
              </w:rPr>
            </w:pPr>
            <w:r>
              <w:rPr>
                <w:rFonts w:hint="eastAsia"/>
                <w:color w:val="auto"/>
                <w:highlight w:val="none"/>
                <w:lang w:val="en-US" w:eastAsia="zh-CN"/>
              </w:rPr>
              <w:t>1、</w:t>
            </w:r>
            <w:r>
              <w:rPr>
                <w:rFonts w:hint="eastAsia"/>
                <w:color w:val="auto"/>
                <w:highlight w:val="none"/>
                <w:lang w:val="en-US" w:eastAsia="en-US"/>
              </w:rPr>
              <w:t>投标保证金的递交截止时间：同投标截止时间。</w:t>
            </w:r>
          </w:p>
          <w:p w14:paraId="76F00D10">
            <w:pPr>
              <w:pStyle w:val="12"/>
              <w:spacing w:before="163" w:line="220" w:lineRule="auto"/>
              <w:ind w:left="149"/>
              <w:rPr>
                <w:rFonts w:hint="eastAsia"/>
                <w:color w:val="auto"/>
                <w:highlight w:val="none"/>
                <w:lang w:val="en-US" w:eastAsia="en-US"/>
              </w:rPr>
            </w:pPr>
            <w:r>
              <w:rPr>
                <w:rFonts w:hint="eastAsia"/>
                <w:color w:val="auto"/>
                <w:highlight w:val="none"/>
                <w:lang w:val="en-US" w:eastAsia="zh-CN"/>
              </w:rPr>
              <w:t>本项目</w:t>
            </w:r>
            <w:r>
              <w:rPr>
                <w:rFonts w:hint="eastAsia"/>
                <w:color w:val="auto"/>
                <w:highlight w:val="none"/>
                <w:lang w:val="en-US" w:eastAsia="en-US"/>
              </w:rPr>
              <w:t>投标</w:t>
            </w:r>
            <w:r>
              <w:rPr>
                <w:rFonts w:hint="eastAsia"/>
                <w:color w:val="auto"/>
                <w:highlight w:val="none"/>
                <w:lang w:val="en-US" w:eastAsia="zh-CN"/>
              </w:rPr>
              <w:t>保证金金额</w:t>
            </w:r>
            <w:r>
              <w:rPr>
                <w:rFonts w:hint="eastAsia"/>
                <w:color w:val="auto"/>
                <w:highlight w:val="none"/>
                <w:lang w:val="en-US" w:eastAsia="en-US"/>
              </w:rPr>
              <w:t>（小写）：70000元（大写：柒万元</w:t>
            </w:r>
            <w:r>
              <w:rPr>
                <w:rFonts w:hint="eastAsia"/>
                <w:color w:val="auto"/>
                <w:highlight w:val="none"/>
                <w:lang w:val="en-US" w:eastAsia="zh-CN"/>
              </w:rPr>
              <w:t>整</w:t>
            </w:r>
            <w:r>
              <w:rPr>
                <w:rFonts w:hint="eastAsia"/>
                <w:color w:val="auto"/>
                <w:highlight w:val="none"/>
                <w:lang w:val="en-US" w:eastAsia="en-US"/>
              </w:rPr>
              <w:t>）</w:t>
            </w:r>
          </w:p>
          <w:p w14:paraId="51DC7C7D">
            <w:pPr>
              <w:pStyle w:val="12"/>
              <w:spacing w:before="163" w:line="220" w:lineRule="auto"/>
              <w:ind w:left="149"/>
              <w:rPr>
                <w:rFonts w:hint="eastAsia"/>
                <w:color w:val="auto"/>
                <w:highlight w:val="none"/>
                <w:lang w:val="en-US" w:eastAsia="en-US"/>
              </w:rPr>
            </w:pPr>
            <w:r>
              <w:rPr>
                <w:rFonts w:hint="eastAsia"/>
                <w:color w:val="auto"/>
                <w:highlight w:val="none"/>
                <w:lang w:val="en-US" w:eastAsia="en-US"/>
              </w:rPr>
              <w:t>投标保证金的缴纳单位必须与投标人名称一致，投标人应按照标项缴纳投标保证金，并备注所投标项的项目</w:t>
            </w:r>
            <w:r>
              <w:rPr>
                <w:rFonts w:hint="eastAsia"/>
                <w:color w:val="auto"/>
                <w:highlight w:val="none"/>
                <w:lang w:val="en-US" w:eastAsia="zh-CN"/>
              </w:rPr>
              <w:t>名称</w:t>
            </w:r>
            <w:r>
              <w:rPr>
                <w:rFonts w:hint="eastAsia"/>
                <w:color w:val="auto"/>
                <w:highlight w:val="none"/>
                <w:lang w:val="en-US" w:eastAsia="en-US"/>
              </w:rPr>
              <w:t>，投标保证金缴存方式：投标保证金应当以支票、汇票、本票或者金融机构、担保机构出具的保函等非现金形式提交。投标人未按照采购文件要求提交投标保证金的视为投标无效</w:t>
            </w:r>
            <w:r>
              <w:rPr>
                <w:rFonts w:hint="eastAsia"/>
                <w:color w:val="auto"/>
                <w:highlight w:val="none"/>
                <w:lang w:val="en-US" w:eastAsia="zh-CN"/>
              </w:rPr>
              <w:t>。</w:t>
            </w:r>
            <w:r>
              <w:rPr>
                <w:rFonts w:hint="eastAsia"/>
                <w:color w:val="auto"/>
                <w:highlight w:val="none"/>
                <w:lang w:val="en-US" w:eastAsia="en-US"/>
              </w:rPr>
              <w:t xml:space="preserve"> </w:t>
            </w:r>
          </w:p>
          <w:p w14:paraId="6208CCD7">
            <w:pPr>
              <w:pStyle w:val="12"/>
              <w:spacing w:before="163" w:line="220" w:lineRule="auto"/>
              <w:ind w:left="149"/>
              <w:rPr>
                <w:rFonts w:hint="eastAsia"/>
                <w:color w:val="auto"/>
                <w:highlight w:val="none"/>
                <w:lang w:val="en-US" w:eastAsia="zh-CN"/>
              </w:rPr>
            </w:pPr>
            <w:r>
              <w:rPr>
                <w:rFonts w:hint="eastAsia"/>
                <w:color w:val="auto"/>
                <w:highlight w:val="none"/>
                <w:lang w:val="en-US" w:eastAsia="en-US"/>
              </w:rPr>
              <w:t>开户名称：</w:t>
            </w:r>
            <w:r>
              <w:rPr>
                <w:rFonts w:hint="eastAsia"/>
                <w:color w:val="auto"/>
                <w:highlight w:val="none"/>
                <w:lang w:val="en-US" w:eastAsia="zh-CN"/>
              </w:rPr>
              <w:t>新疆鑫盛联项目管理有限公司阿克苏分公司</w:t>
            </w:r>
          </w:p>
          <w:p w14:paraId="2F7011E7">
            <w:pPr>
              <w:pStyle w:val="12"/>
              <w:spacing w:before="163" w:line="220" w:lineRule="auto"/>
              <w:ind w:left="149"/>
              <w:rPr>
                <w:rFonts w:hint="eastAsia"/>
                <w:color w:val="auto"/>
                <w:highlight w:val="none"/>
                <w:lang w:val="en-US" w:eastAsia="en-US"/>
              </w:rPr>
            </w:pPr>
            <w:r>
              <w:rPr>
                <w:rFonts w:hint="eastAsia"/>
                <w:color w:val="auto"/>
                <w:highlight w:val="none"/>
                <w:lang w:val="en-US" w:eastAsia="en-US"/>
              </w:rPr>
              <w:t>开户银行：中国农业银行股份有限公司温宿县支行</w:t>
            </w:r>
          </w:p>
          <w:p w14:paraId="12B1F74B">
            <w:pPr>
              <w:pStyle w:val="12"/>
              <w:spacing w:before="163" w:line="220" w:lineRule="auto"/>
              <w:ind w:left="149"/>
              <w:rPr>
                <w:rFonts w:hint="eastAsia"/>
                <w:color w:val="auto"/>
                <w:highlight w:val="none"/>
                <w:lang w:val="en-US" w:eastAsia="en-US"/>
              </w:rPr>
            </w:pPr>
            <w:r>
              <w:rPr>
                <w:rFonts w:hint="eastAsia"/>
                <w:color w:val="auto"/>
                <w:highlight w:val="none"/>
                <w:lang w:val="en-US" w:eastAsia="en-US"/>
              </w:rPr>
              <w:t>账    号：30390201040021695</w:t>
            </w:r>
          </w:p>
          <w:p w14:paraId="103798AF">
            <w:pPr>
              <w:pStyle w:val="12"/>
              <w:spacing w:before="163" w:line="220" w:lineRule="auto"/>
              <w:ind w:left="149"/>
              <w:rPr>
                <w:rFonts w:hint="eastAsia"/>
                <w:color w:val="auto"/>
                <w:highlight w:val="none"/>
                <w:lang w:val="en-US" w:eastAsia="en-US"/>
              </w:rPr>
            </w:pPr>
            <w:r>
              <w:rPr>
                <w:rFonts w:hint="eastAsia"/>
                <w:color w:val="auto"/>
                <w:highlight w:val="none"/>
                <w:lang w:val="en-US" w:eastAsia="en-US"/>
              </w:rPr>
              <w:t>备注：“</w:t>
            </w:r>
            <w:r>
              <w:rPr>
                <w:rFonts w:hint="eastAsia"/>
                <w:color w:val="auto"/>
                <w:highlight w:val="none"/>
                <w:lang w:val="en-US" w:eastAsia="zh-CN"/>
              </w:rPr>
              <w:t>标项</w:t>
            </w:r>
            <w:r>
              <w:rPr>
                <w:rFonts w:hint="eastAsia"/>
                <w:color w:val="auto"/>
                <w:highlight w:val="none"/>
                <w:lang w:val="en-US" w:eastAsia="en-US"/>
              </w:rPr>
              <w:t xml:space="preserve">名称”投标保证金 </w:t>
            </w:r>
          </w:p>
          <w:p w14:paraId="611CD8CD">
            <w:pPr>
              <w:pStyle w:val="12"/>
              <w:spacing w:before="163" w:line="220" w:lineRule="auto"/>
              <w:ind w:left="149"/>
              <w:rPr>
                <w:rFonts w:hint="eastAsia"/>
                <w:color w:val="auto"/>
                <w:highlight w:val="none"/>
                <w:lang w:val="en-US" w:eastAsia="en-US"/>
              </w:rPr>
            </w:pPr>
            <w:r>
              <w:rPr>
                <w:rFonts w:hint="eastAsia"/>
                <w:color w:val="auto"/>
                <w:highlight w:val="none"/>
                <w:lang w:val="en-US" w:eastAsia="en-US"/>
              </w:rPr>
              <w:t>2、采用电子保函形式应按以下要求办理：</w:t>
            </w:r>
          </w:p>
          <w:p w14:paraId="7914E9E5">
            <w:pPr>
              <w:pStyle w:val="12"/>
              <w:spacing w:before="163" w:line="220" w:lineRule="auto"/>
              <w:ind w:left="149"/>
              <w:rPr>
                <w:rFonts w:hint="eastAsia"/>
                <w:color w:val="auto"/>
                <w:highlight w:val="none"/>
                <w:lang w:val="en-US" w:eastAsia="en-US"/>
              </w:rPr>
            </w:pPr>
            <w:r>
              <w:rPr>
                <w:rFonts w:hint="eastAsia"/>
                <w:color w:val="auto"/>
                <w:highlight w:val="none"/>
                <w:lang w:val="en-US" w:eastAsia="en-US"/>
              </w:rPr>
              <w:t>（1）电子保函按照“一</w:t>
            </w:r>
            <w:r>
              <w:rPr>
                <w:rFonts w:hint="eastAsia"/>
                <w:color w:val="auto"/>
                <w:highlight w:val="none"/>
                <w:lang w:val="en-US" w:eastAsia="zh-CN"/>
              </w:rPr>
              <w:t>标项</w:t>
            </w:r>
            <w:r>
              <w:rPr>
                <w:rFonts w:hint="eastAsia"/>
                <w:color w:val="auto"/>
                <w:highlight w:val="none"/>
                <w:lang w:val="en-US" w:eastAsia="en-US"/>
              </w:rPr>
              <w:t>一保函 ”的原则。</w:t>
            </w:r>
          </w:p>
          <w:p w14:paraId="09F55238">
            <w:pPr>
              <w:pStyle w:val="12"/>
              <w:spacing w:before="163" w:line="220" w:lineRule="auto"/>
              <w:ind w:left="149"/>
              <w:rPr>
                <w:rFonts w:hint="eastAsia"/>
                <w:color w:val="auto"/>
                <w:highlight w:val="none"/>
                <w:lang w:val="en-US" w:eastAsia="en-US"/>
              </w:rPr>
            </w:pPr>
            <w:r>
              <w:rPr>
                <w:rFonts w:hint="eastAsia"/>
                <w:color w:val="auto"/>
                <w:highlight w:val="none"/>
                <w:lang w:val="en-US" w:eastAsia="en-US"/>
              </w:rPr>
              <w:t>（2）电子保函须在招标文件规定的投标截止时间前办理完成。</w:t>
            </w:r>
          </w:p>
          <w:p w14:paraId="055447FD">
            <w:pPr>
              <w:pStyle w:val="12"/>
              <w:spacing w:before="163" w:line="220" w:lineRule="auto"/>
              <w:ind w:left="149"/>
              <w:rPr>
                <w:rFonts w:hint="eastAsia"/>
                <w:color w:val="auto"/>
                <w:highlight w:val="none"/>
                <w:lang w:val="en-US" w:eastAsia="en-US"/>
              </w:rPr>
            </w:pPr>
            <w:r>
              <w:rPr>
                <w:rFonts w:hint="eastAsia"/>
                <w:color w:val="auto"/>
                <w:highlight w:val="none"/>
                <w:lang w:val="en-US" w:eastAsia="en-US"/>
              </w:rPr>
              <w:t>供应商以保函形式缴纳投标保证金的，购买电子投标保函所支付的费用应从供应商企业基本账户转出，同时将电子投标保单作为电子投标文件组成部分在投标时一并提交。</w:t>
            </w:r>
          </w:p>
          <w:p w14:paraId="0C7E4DCB">
            <w:pPr>
              <w:pStyle w:val="12"/>
              <w:spacing w:before="163" w:line="220" w:lineRule="auto"/>
              <w:ind w:left="149" w:leftChars="0"/>
              <w:rPr>
                <w:color w:val="auto"/>
                <w:spacing w:val="-10"/>
                <w:highlight w:val="none"/>
              </w:rPr>
            </w:pPr>
            <w:r>
              <w:rPr>
                <w:rFonts w:hint="eastAsia"/>
                <w:color w:val="auto"/>
                <w:highlight w:val="none"/>
                <w:lang w:val="en-US" w:eastAsia="en-US"/>
              </w:rPr>
              <w:t>（备注：如通过“新疆政府采购信用融资服务服务平台 ”在投标截止日之前须从新疆政府采购信用融资服务服务平台中确认是否生效。）</w:t>
            </w:r>
          </w:p>
        </w:tc>
      </w:tr>
      <w:tr w14:paraId="51D81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0DCD3BA4">
            <w:pPr>
              <w:spacing w:line="244" w:lineRule="auto"/>
              <w:rPr>
                <w:rFonts w:ascii="Arial"/>
                <w:color w:val="auto"/>
                <w:sz w:val="21"/>
                <w:highlight w:val="none"/>
              </w:rPr>
            </w:pPr>
          </w:p>
          <w:p w14:paraId="33B30DCC">
            <w:pPr>
              <w:spacing w:line="245" w:lineRule="auto"/>
              <w:rPr>
                <w:rFonts w:ascii="Arial"/>
                <w:color w:val="auto"/>
                <w:sz w:val="21"/>
                <w:highlight w:val="none"/>
              </w:rPr>
            </w:pPr>
          </w:p>
          <w:p w14:paraId="328E963F">
            <w:pPr>
              <w:spacing w:line="245" w:lineRule="auto"/>
              <w:rPr>
                <w:rFonts w:ascii="Arial"/>
                <w:color w:val="auto"/>
                <w:sz w:val="21"/>
                <w:highlight w:val="none"/>
              </w:rPr>
            </w:pPr>
          </w:p>
          <w:p w14:paraId="45D41D2A">
            <w:pPr>
              <w:spacing w:line="245" w:lineRule="auto"/>
              <w:rPr>
                <w:rFonts w:ascii="Arial"/>
                <w:color w:val="auto"/>
                <w:sz w:val="21"/>
                <w:highlight w:val="none"/>
              </w:rPr>
            </w:pPr>
          </w:p>
          <w:p w14:paraId="48C76B09">
            <w:pPr>
              <w:spacing w:line="245" w:lineRule="auto"/>
              <w:rPr>
                <w:rFonts w:ascii="Arial"/>
                <w:color w:val="auto"/>
                <w:sz w:val="21"/>
                <w:highlight w:val="none"/>
              </w:rPr>
            </w:pPr>
          </w:p>
          <w:p w14:paraId="6F7D8A1B">
            <w:pPr>
              <w:spacing w:line="245" w:lineRule="auto"/>
              <w:rPr>
                <w:rFonts w:ascii="Arial"/>
                <w:color w:val="auto"/>
                <w:sz w:val="21"/>
                <w:highlight w:val="none"/>
              </w:rPr>
            </w:pPr>
          </w:p>
          <w:p w14:paraId="2B486CFC">
            <w:pPr>
              <w:spacing w:line="245" w:lineRule="auto"/>
              <w:rPr>
                <w:rFonts w:ascii="Arial"/>
                <w:color w:val="auto"/>
                <w:sz w:val="21"/>
                <w:highlight w:val="none"/>
              </w:rPr>
            </w:pPr>
          </w:p>
          <w:p w14:paraId="01BBBA7D">
            <w:pPr>
              <w:spacing w:line="245" w:lineRule="auto"/>
              <w:rPr>
                <w:rFonts w:ascii="Arial"/>
                <w:color w:val="auto"/>
                <w:sz w:val="21"/>
                <w:highlight w:val="none"/>
              </w:rPr>
            </w:pPr>
          </w:p>
          <w:p w14:paraId="5E350F2D">
            <w:pPr>
              <w:spacing w:line="245" w:lineRule="auto"/>
              <w:rPr>
                <w:rFonts w:ascii="Arial"/>
                <w:color w:val="auto"/>
                <w:sz w:val="21"/>
                <w:highlight w:val="none"/>
              </w:rPr>
            </w:pPr>
          </w:p>
          <w:p w14:paraId="47441693">
            <w:pPr>
              <w:spacing w:line="245" w:lineRule="auto"/>
              <w:rPr>
                <w:rFonts w:ascii="Arial"/>
                <w:color w:val="auto"/>
                <w:sz w:val="21"/>
                <w:highlight w:val="none"/>
              </w:rPr>
            </w:pPr>
          </w:p>
          <w:p w14:paraId="662523A0">
            <w:pPr>
              <w:pStyle w:val="12"/>
              <w:spacing w:before="78" w:line="241" w:lineRule="auto"/>
              <w:ind w:left="291" w:leftChars="0"/>
              <w:rPr>
                <w:color w:val="auto"/>
                <w:spacing w:val="-6"/>
                <w:position w:val="1"/>
                <w:highlight w:val="none"/>
              </w:rPr>
            </w:pPr>
            <w:r>
              <w:rPr>
                <w:color w:val="auto"/>
                <w:spacing w:val="-6"/>
                <w:highlight w:val="none"/>
              </w:rPr>
              <w:t>25</w:t>
            </w:r>
          </w:p>
        </w:tc>
        <w:tc>
          <w:tcPr>
            <w:tcW w:w="2137" w:type="dxa"/>
            <w:vAlign w:val="center"/>
          </w:tcPr>
          <w:p w14:paraId="7E0DD906">
            <w:pPr>
              <w:spacing w:line="245" w:lineRule="auto"/>
              <w:rPr>
                <w:rFonts w:ascii="Arial"/>
                <w:color w:val="auto"/>
                <w:sz w:val="21"/>
                <w:highlight w:val="none"/>
              </w:rPr>
            </w:pPr>
          </w:p>
          <w:p w14:paraId="78F193D4">
            <w:pPr>
              <w:spacing w:line="245" w:lineRule="auto"/>
              <w:rPr>
                <w:rFonts w:ascii="Arial"/>
                <w:color w:val="auto"/>
                <w:sz w:val="21"/>
                <w:highlight w:val="none"/>
              </w:rPr>
            </w:pPr>
          </w:p>
          <w:p w14:paraId="7CDF33DF">
            <w:pPr>
              <w:spacing w:line="245" w:lineRule="auto"/>
              <w:rPr>
                <w:rFonts w:ascii="Arial"/>
                <w:color w:val="auto"/>
                <w:sz w:val="21"/>
                <w:highlight w:val="none"/>
              </w:rPr>
            </w:pPr>
          </w:p>
          <w:p w14:paraId="398F12B9">
            <w:pPr>
              <w:spacing w:line="245" w:lineRule="auto"/>
              <w:rPr>
                <w:rFonts w:ascii="Arial"/>
                <w:color w:val="auto"/>
                <w:sz w:val="21"/>
                <w:highlight w:val="none"/>
              </w:rPr>
            </w:pPr>
          </w:p>
          <w:p w14:paraId="4D0ADBF7">
            <w:pPr>
              <w:spacing w:line="245" w:lineRule="auto"/>
              <w:rPr>
                <w:rFonts w:ascii="Arial"/>
                <w:color w:val="auto"/>
                <w:sz w:val="21"/>
                <w:highlight w:val="none"/>
              </w:rPr>
            </w:pPr>
          </w:p>
          <w:p w14:paraId="218E4AE5">
            <w:pPr>
              <w:spacing w:line="245" w:lineRule="auto"/>
              <w:rPr>
                <w:rFonts w:ascii="Arial"/>
                <w:color w:val="auto"/>
                <w:sz w:val="21"/>
                <w:highlight w:val="none"/>
              </w:rPr>
            </w:pPr>
          </w:p>
          <w:p w14:paraId="59F06671">
            <w:pPr>
              <w:spacing w:line="245" w:lineRule="auto"/>
              <w:rPr>
                <w:rFonts w:ascii="Arial"/>
                <w:color w:val="auto"/>
                <w:sz w:val="21"/>
                <w:highlight w:val="none"/>
              </w:rPr>
            </w:pPr>
          </w:p>
          <w:p w14:paraId="3E5F8C49">
            <w:pPr>
              <w:spacing w:line="245" w:lineRule="auto"/>
              <w:rPr>
                <w:rFonts w:ascii="Arial"/>
                <w:color w:val="auto"/>
                <w:sz w:val="21"/>
                <w:highlight w:val="none"/>
              </w:rPr>
            </w:pPr>
          </w:p>
          <w:p w14:paraId="2E486D32">
            <w:pPr>
              <w:spacing w:line="245" w:lineRule="auto"/>
              <w:rPr>
                <w:rFonts w:ascii="Arial"/>
                <w:color w:val="auto"/>
                <w:sz w:val="21"/>
                <w:highlight w:val="none"/>
              </w:rPr>
            </w:pPr>
          </w:p>
          <w:p w14:paraId="1C7DFC97">
            <w:pPr>
              <w:spacing w:line="246" w:lineRule="auto"/>
              <w:rPr>
                <w:rFonts w:ascii="Arial"/>
                <w:color w:val="auto"/>
                <w:sz w:val="21"/>
                <w:highlight w:val="none"/>
              </w:rPr>
            </w:pPr>
          </w:p>
          <w:p w14:paraId="567DFEB6">
            <w:pPr>
              <w:pStyle w:val="12"/>
              <w:spacing w:before="78" w:line="222" w:lineRule="auto"/>
              <w:ind w:left="167" w:leftChars="0"/>
              <w:rPr>
                <w:color w:val="auto"/>
                <w:spacing w:val="-5"/>
                <w:highlight w:val="none"/>
              </w:rPr>
            </w:pPr>
            <w:r>
              <w:rPr>
                <w:color w:val="auto"/>
                <w:spacing w:val="-9"/>
                <w:highlight w:val="none"/>
              </w:rPr>
              <w:t>响应文件编制</w:t>
            </w:r>
          </w:p>
        </w:tc>
        <w:tc>
          <w:tcPr>
            <w:tcW w:w="6773" w:type="dxa"/>
            <w:vAlign w:val="center"/>
          </w:tcPr>
          <w:p w14:paraId="2947E157">
            <w:pPr>
              <w:pStyle w:val="12"/>
              <w:spacing w:before="177" w:line="289" w:lineRule="auto"/>
              <w:ind w:right="96"/>
              <w:rPr>
                <w:color w:val="auto"/>
                <w:highlight w:val="none"/>
              </w:rPr>
            </w:pPr>
            <w:r>
              <w:rPr>
                <w:color w:val="auto"/>
                <w:spacing w:val="-6"/>
                <w:highlight w:val="none"/>
              </w:rPr>
              <w:t>1.本项目采用电子交易方式，供应商可前往新疆政府</w:t>
            </w:r>
            <w:r>
              <w:rPr>
                <w:color w:val="auto"/>
                <w:spacing w:val="-8"/>
                <w:highlight w:val="none"/>
              </w:rPr>
              <w:t>采购网（</w:t>
            </w:r>
            <w:r>
              <w:rPr>
                <w:color w:val="auto"/>
                <w:highlight w:val="none"/>
              </w:rPr>
              <w:fldChar w:fldCharType="begin"/>
            </w:r>
            <w:r>
              <w:rPr>
                <w:color w:val="auto"/>
                <w:highlight w:val="none"/>
              </w:rPr>
              <w:instrText xml:space="preserve"> HYPERLINK "http://www.ccgp-xinjiang.gov.cn/" </w:instrText>
            </w:r>
            <w:r>
              <w:rPr>
                <w:color w:val="auto"/>
                <w:highlight w:val="none"/>
              </w:rPr>
              <w:fldChar w:fldCharType="separate"/>
            </w:r>
            <w:r>
              <w:rPr>
                <w:color w:val="auto"/>
                <w:spacing w:val="-8"/>
                <w:highlight w:val="none"/>
              </w:rPr>
              <w:t>http://www.ccgp-xinjiang.gov.cn</w:t>
            </w:r>
            <w:r>
              <w:rPr>
                <w:color w:val="auto"/>
                <w:spacing w:val="-8"/>
                <w:highlight w:val="none"/>
              </w:rPr>
              <w:fldChar w:fldCharType="end"/>
            </w:r>
            <w:r>
              <w:rPr>
                <w:color w:val="auto"/>
                <w:spacing w:val="-8"/>
                <w:highlight w:val="none"/>
              </w:rPr>
              <w:t>/）下载专区，</w:t>
            </w:r>
            <w:r>
              <w:rPr>
                <w:color w:val="auto"/>
                <w:spacing w:val="-5"/>
                <w:highlight w:val="none"/>
              </w:rPr>
              <w:t>下载政采云电子投标客户端，安装完成后，可通过账号密</w:t>
            </w:r>
            <w:r>
              <w:rPr>
                <w:color w:val="auto"/>
                <w:spacing w:val="-3"/>
                <w:highlight w:val="none"/>
              </w:rPr>
              <w:t>码或</w:t>
            </w:r>
            <w:r>
              <w:rPr>
                <w:color w:val="auto"/>
                <w:spacing w:val="-25"/>
                <w:highlight w:val="none"/>
              </w:rPr>
              <w:t xml:space="preserve"> </w:t>
            </w:r>
            <w:r>
              <w:rPr>
                <w:color w:val="auto"/>
                <w:spacing w:val="-3"/>
                <w:highlight w:val="none"/>
              </w:rPr>
              <w:t>CA 登录客户端进行响应文件制作。在使用政采云电</w:t>
            </w:r>
            <w:r>
              <w:rPr>
                <w:color w:val="auto"/>
                <w:highlight w:val="none"/>
              </w:rPr>
              <w:t>子投标客户端时，建议使用WIN7及以上操作系统。如有</w:t>
            </w:r>
            <w:r>
              <w:rPr>
                <w:color w:val="auto"/>
                <w:spacing w:val="-6"/>
                <w:highlight w:val="none"/>
              </w:rPr>
              <w:t>问题可拨打政采云客户服务热线</w:t>
            </w:r>
            <w:r>
              <w:rPr>
                <w:rFonts w:hint="eastAsia"/>
                <w:color w:val="auto"/>
                <w:spacing w:val="-6"/>
                <w:highlight w:val="none"/>
                <w:lang w:eastAsia="zh-CN"/>
              </w:rPr>
              <w:t>95763</w:t>
            </w:r>
            <w:r>
              <w:rPr>
                <w:color w:val="auto"/>
                <w:spacing w:val="-26"/>
                <w:highlight w:val="none"/>
              </w:rPr>
              <w:t xml:space="preserve"> </w:t>
            </w:r>
            <w:r>
              <w:rPr>
                <w:color w:val="auto"/>
                <w:spacing w:val="-6"/>
                <w:highlight w:val="none"/>
              </w:rPr>
              <w:t>进行咨询。</w:t>
            </w:r>
          </w:p>
          <w:p w14:paraId="04AC044F">
            <w:pPr>
              <w:pStyle w:val="12"/>
              <w:spacing w:before="106" w:line="222" w:lineRule="auto"/>
              <w:rPr>
                <w:color w:val="auto"/>
                <w:highlight w:val="none"/>
              </w:rPr>
            </w:pPr>
            <w:r>
              <w:rPr>
                <w:color w:val="auto"/>
                <w:spacing w:val="-3"/>
                <w:highlight w:val="none"/>
              </w:rPr>
              <w:t>2.响应文件分为技术文件、商务文件。</w:t>
            </w:r>
          </w:p>
          <w:p w14:paraId="772F266E">
            <w:pPr>
              <w:pStyle w:val="12"/>
              <w:spacing w:before="143" w:line="284" w:lineRule="auto"/>
              <w:ind w:right="103"/>
              <w:rPr>
                <w:color w:val="auto"/>
                <w:highlight w:val="none"/>
              </w:rPr>
            </w:pPr>
            <w:r>
              <w:rPr>
                <w:color w:val="auto"/>
                <w:spacing w:val="-5"/>
                <w:highlight w:val="none"/>
              </w:rPr>
              <w:t>3.响应文件内容。供应商应按照竞争性磋商文件的要求编写响应文件；对竞争性磋商文件要求填写的表格或者</w:t>
            </w:r>
            <w:r>
              <w:rPr>
                <w:color w:val="auto"/>
                <w:spacing w:val="-4"/>
                <w:highlight w:val="none"/>
              </w:rPr>
              <w:t>资料不得缺少或者留空，响应文件不得加行。</w:t>
            </w:r>
          </w:p>
          <w:p w14:paraId="20E37E87">
            <w:pPr>
              <w:pStyle w:val="12"/>
              <w:spacing w:before="83" w:line="278" w:lineRule="auto"/>
              <w:ind w:right="325"/>
              <w:rPr>
                <w:color w:val="auto"/>
                <w:highlight w:val="none"/>
              </w:rPr>
            </w:pPr>
            <w:r>
              <w:rPr>
                <w:color w:val="auto"/>
                <w:spacing w:val="-15"/>
                <w:highlight w:val="none"/>
              </w:rPr>
              <w:t>4.响应文件应编制目录，</w:t>
            </w:r>
            <w:r>
              <w:rPr>
                <w:color w:val="auto"/>
                <w:spacing w:val="-57"/>
                <w:highlight w:val="none"/>
              </w:rPr>
              <w:t xml:space="preserve"> </w:t>
            </w:r>
            <w:r>
              <w:rPr>
                <w:color w:val="auto"/>
                <w:spacing w:val="-15"/>
                <w:highlight w:val="none"/>
              </w:rPr>
              <w:t>目录、内容标注连续页码，</w:t>
            </w:r>
            <w:r>
              <w:rPr>
                <w:color w:val="auto"/>
                <w:spacing w:val="-6"/>
                <w:highlight w:val="none"/>
              </w:rPr>
              <w:t>页码从目录编起，标注于页面底部居中位置。</w:t>
            </w:r>
          </w:p>
          <w:p w14:paraId="14883939">
            <w:pPr>
              <w:pStyle w:val="12"/>
              <w:spacing w:before="22" w:line="219" w:lineRule="auto"/>
              <w:rPr>
                <w:rFonts w:hint="eastAsia"/>
                <w:color w:val="auto"/>
                <w:highlight w:val="none"/>
                <w:lang w:val="en-US" w:eastAsia="en-US"/>
              </w:rPr>
            </w:pPr>
            <w:r>
              <w:rPr>
                <w:color w:val="auto"/>
                <w:spacing w:val="-3"/>
                <w:highlight w:val="none"/>
              </w:rPr>
              <w:t>供应商中标后应按要求提供纸质响应文件。</w:t>
            </w:r>
          </w:p>
        </w:tc>
      </w:tr>
      <w:tr w14:paraId="11D1D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0AF1A419">
            <w:pPr>
              <w:spacing w:line="275" w:lineRule="auto"/>
              <w:rPr>
                <w:rFonts w:ascii="Arial"/>
                <w:color w:val="auto"/>
                <w:sz w:val="21"/>
                <w:highlight w:val="none"/>
              </w:rPr>
            </w:pPr>
          </w:p>
          <w:p w14:paraId="49AAB13F">
            <w:pPr>
              <w:spacing w:line="275" w:lineRule="auto"/>
              <w:rPr>
                <w:rFonts w:ascii="Arial"/>
                <w:color w:val="auto"/>
                <w:sz w:val="21"/>
                <w:highlight w:val="none"/>
              </w:rPr>
            </w:pPr>
          </w:p>
          <w:p w14:paraId="7519AECF">
            <w:pPr>
              <w:spacing w:line="276" w:lineRule="auto"/>
              <w:rPr>
                <w:rFonts w:ascii="Arial"/>
                <w:color w:val="auto"/>
                <w:sz w:val="21"/>
                <w:highlight w:val="none"/>
              </w:rPr>
            </w:pPr>
          </w:p>
          <w:p w14:paraId="2A4B9FFE">
            <w:pPr>
              <w:spacing w:line="276" w:lineRule="auto"/>
              <w:rPr>
                <w:rFonts w:ascii="Arial"/>
                <w:color w:val="auto"/>
                <w:sz w:val="21"/>
                <w:highlight w:val="none"/>
              </w:rPr>
            </w:pPr>
          </w:p>
          <w:p w14:paraId="6620226E">
            <w:pPr>
              <w:spacing w:line="276" w:lineRule="auto"/>
              <w:rPr>
                <w:rFonts w:ascii="Arial"/>
                <w:color w:val="auto"/>
                <w:sz w:val="21"/>
                <w:highlight w:val="none"/>
              </w:rPr>
            </w:pPr>
          </w:p>
          <w:p w14:paraId="20AC82DA">
            <w:pPr>
              <w:spacing w:line="276" w:lineRule="auto"/>
              <w:rPr>
                <w:rFonts w:ascii="Arial"/>
                <w:color w:val="auto"/>
                <w:sz w:val="21"/>
                <w:highlight w:val="none"/>
              </w:rPr>
            </w:pPr>
          </w:p>
          <w:p w14:paraId="3453DCAE">
            <w:pPr>
              <w:pStyle w:val="12"/>
              <w:spacing w:before="78" w:line="241" w:lineRule="auto"/>
              <w:ind w:left="291" w:leftChars="0"/>
              <w:rPr>
                <w:color w:val="auto"/>
                <w:spacing w:val="-6"/>
                <w:position w:val="1"/>
                <w:highlight w:val="none"/>
              </w:rPr>
            </w:pPr>
            <w:r>
              <w:rPr>
                <w:color w:val="auto"/>
                <w:spacing w:val="-6"/>
                <w:highlight w:val="none"/>
              </w:rPr>
              <w:t>26</w:t>
            </w:r>
          </w:p>
        </w:tc>
        <w:tc>
          <w:tcPr>
            <w:tcW w:w="2137" w:type="dxa"/>
            <w:vAlign w:val="center"/>
          </w:tcPr>
          <w:p w14:paraId="33EF12B6">
            <w:pPr>
              <w:spacing w:line="277" w:lineRule="auto"/>
              <w:rPr>
                <w:rFonts w:ascii="Arial"/>
                <w:color w:val="auto"/>
                <w:sz w:val="21"/>
                <w:highlight w:val="none"/>
              </w:rPr>
            </w:pPr>
          </w:p>
          <w:p w14:paraId="11B5C25E">
            <w:pPr>
              <w:spacing w:line="277" w:lineRule="auto"/>
              <w:rPr>
                <w:rFonts w:ascii="Arial"/>
                <w:color w:val="auto"/>
                <w:sz w:val="21"/>
                <w:highlight w:val="none"/>
              </w:rPr>
            </w:pPr>
          </w:p>
          <w:p w14:paraId="39013BBB">
            <w:pPr>
              <w:spacing w:line="277" w:lineRule="auto"/>
              <w:rPr>
                <w:rFonts w:ascii="Arial"/>
                <w:color w:val="auto"/>
                <w:sz w:val="21"/>
                <w:highlight w:val="none"/>
              </w:rPr>
            </w:pPr>
          </w:p>
          <w:p w14:paraId="1E365E5B">
            <w:pPr>
              <w:spacing w:line="277" w:lineRule="auto"/>
              <w:rPr>
                <w:rFonts w:ascii="Arial"/>
                <w:color w:val="auto"/>
                <w:sz w:val="21"/>
                <w:highlight w:val="none"/>
              </w:rPr>
            </w:pPr>
          </w:p>
          <w:p w14:paraId="3ADFC118">
            <w:pPr>
              <w:spacing w:line="277" w:lineRule="auto"/>
              <w:rPr>
                <w:rFonts w:ascii="Arial"/>
                <w:color w:val="auto"/>
                <w:sz w:val="21"/>
                <w:highlight w:val="none"/>
              </w:rPr>
            </w:pPr>
          </w:p>
          <w:p w14:paraId="276E6515">
            <w:pPr>
              <w:spacing w:line="277" w:lineRule="auto"/>
              <w:rPr>
                <w:rFonts w:ascii="Arial"/>
                <w:color w:val="auto"/>
                <w:sz w:val="21"/>
                <w:highlight w:val="none"/>
              </w:rPr>
            </w:pPr>
          </w:p>
          <w:p w14:paraId="20B7B4A0">
            <w:pPr>
              <w:pStyle w:val="12"/>
              <w:spacing w:before="78" w:line="222" w:lineRule="auto"/>
              <w:ind w:left="167" w:leftChars="0"/>
              <w:rPr>
                <w:color w:val="auto"/>
                <w:spacing w:val="-5"/>
                <w:highlight w:val="none"/>
              </w:rPr>
            </w:pPr>
            <w:r>
              <w:rPr>
                <w:color w:val="auto"/>
                <w:spacing w:val="-8"/>
                <w:highlight w:val="none"/>
              </w:rPr>
              <w:t>响应文件签署和盖章</w:t>
            </w:r>
          </w:p>
        </w:tc>
        <w:tc>
          <w:tcPr>
            <w:tcW w:w="6773" w:type="dxa"/>
            <w:vAlign w:val="center"/>
          </w:tcPr>
          <w:p w14:paraId="3BF4E1DF">
            <w:pPr>
              <w:pStyle w:val="12"/>
              <w:spacing w:before="188" w:line="286" w:lineRule="auto"/>
              <w:ind w:right="95"/>
              <w:rPr>
                <w:color w:val="auto"/>
                <w:highlight w:val="none"/>
              </w:rPr>
            </w:pPr>
            <w:r>
              <w:rPr>
                <w:color w:val="auto"/>
                <w:spacing w:val="4"/>
                <w:highlight w:val="none"/>
              </w:rPr>
              <w:t>1.竞争性磋商文件要求供应商法定代表人或者被授</w:t>
            </w:r>
            <w:r>
              <w:rPr>
                <w:color w:val="auto"/>
                <w:spacing w:val="-4"/>
                <w:highlight w:val="none"/>
              </w:rPr>
              <w:t>权代表签字处，均须加盖其个人电子印章，并逐页加盖单</w:t>
            </w:r>
            <w:r>
              <w:rPr>
                <w:color w:val="auto"/>
                <w:spacing w:val="-5"/>
                <w:highlight w:val="none"/>
              </w:rPr>
              <w:t>位公章的电子印章。</w:t>
            </w:r>
          </w:p>
          <w:p w14:paraId="01BDA20F">
            <w:pPr>
              <w:pStyle w:val="12"/>
              <w:spacing w:before="77" w:line="282" w:lineRule="auto"/>
              <w:ind w:right="122"/>
              <w:rPr>
                <w:color w:val="auto"/>
                <w:highlight w:val="none"/>
              </w:rPr>
            </w:pPr>
            <w:r>
              <w:rPr>
                <w:color w:val="auto"/>
                <w:spacing w:val="-5"/>
                <w:highlight w:val="none"/>
              </w:rPr>
              <w:t>2.被授权代表人签章的，响应文件应附法人授权委托</w:t>
            </w:r>
            <w:r>
              <w:rPr>
                <w:color w:val="auto"/>
                <w:spacing w:val="-14"/>
                <w:highlight w:val="none"/>
              </w:rPr>
              <w:t>书。</w:t>
            </w:r>
          </w:p>
          <w:p w14:paraId="4F3EC3F4">
            <w:pPr>
              <w:pStyle w:val="12"/>
              <w:spacing w:before="60" w:line="272" w:lineRule="auto"/>
              <w:ind w:right="93" w:rightChars="0"/>
              <w:rPr>
                <w:rFonts w:hint="eastAsia"/>
                <w:color w:val="auto"/>
                <w:highlight w:val="none"/>
                <w:lang w:val="en-US" w:eastAsia="en-US"/>
              </w:rPr>
            </w:pPr>
            <w:r>
              <w:rPr>
                <w:color w:val="auto"/>
                <w:spacing w:val="6"/>
                <w:highlight w:val="none"/>
              </w:rPr>
              <w:t>3.供应商在响应文件以及相关书面文件中的单位盖</w:t>
            </w:r>
            <w:r>
              <w:rPr>
                <w:color w:val="auto"/>
                <w:spacing w:val="-4"/>
                <w:highlight w:val="none"/>
              </w:rPr>
              <w:t>章（包括印章、公章等）均指与供应商名称全称相一致的</w:t>
            </w:r>
            <w:r>
              <w:rPr>
                <w:color w:val="auto"/>
                <w:spacing w:val="3"/>
                <w:highlight w:val="none"/>
              </w:rPr>
              <w:t>标准公章，不得使用其他形式（如带有“专用章</w:t>
            </w:r>
            <w:r>
              <w:rPr>
                <w:color w:val="auto"/>
                <w:spacing w:val="-70"/>
                <w:highlight w:val="none"/>
              </w:rPr>
              <w:t xml:space="preserve"> </w:t>
            </w:r>
            <w:r>
              <w:rPr>
                <w:color w:val="auto"/>
                <w:spacing w:val="3"/>
                <w:highlight w:val="none"/>
              </w:rPr>
              <w:t>”“</w:t>
            </w:r>
            <w:r>
              <w:rPr>
                <w:color w:val="auto"/>
                <w:spacing w:val="-91"/>
                <w:highlight w:val="none"/>
              </w:rPr>
              <w:t xml:space="preserve"> </w:t>
            </w:r>
            <w:r>
              <w:rPr>
                <w:color w:val="auto"/>
                <w:spacing w:val="3"/>
                <w:highlight w:val="none"/>
              </w:rPr>
              <w:t>合</w:t>
            </w:r>
            <w:r>
              <w:rPr>
                <w:color w:val="auto"/>
                <w:spacing w:val="-11"/>
                <w:highlight w:val="none"/>
              </w:rPr>
              <w:t>同章”“财务章”“业务章”等）的印章。</w:t>
            </w:r>
          </w:p>
        </w:tc>
      </w:tr>
      <w:tr w14:paraId="39410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069E7280">
            <w:pPr>
              <w:spacing w:line="293" w:lineRule="auto"/>
              <w:rPr>
                <w:rFonts w:ascii="Arial"/>
                <w:color w:val="auto"/>
                <w:sz w:val="21"/>
                <w:highlight w:val="none"/>
              </w:rPr>
            </w:pPr>
          </w:p>
          <w:p w14:paraId="1EBD92D9">
            <w:pPr>
              <w:spacing w:line="293" w:lineRule="auto"/>
              <w:rPr>
                <w:rFonts w:ascii="Arial"/>
                <w:color w:val="auto"/>
                <w:sz w:val="21"/>
                <w:highlight w:val="none"/>
              </w:rPr>
            </w:pPr>
          </w:p>
          <w:p w14:paraId="57F10A39">
            <w:pPr>
              <w:spacing w:line="293" w:lineRule="auto"/>
              <w:rPr>
                <w:rFonts w:ascii="Arial"/>
                <w:color w:val="auto"/>
                <w:sz w:val="21"/>
                <w:highlight w:val="none"/>
              </w:rPr>
            </w:pPr>
          </w:p>
          <w:p w14:paraId="7102FC8A">
            <w:pPr>
              <w:spacing w:line="293" w:lineRule="auto"/>
              <w:rPr>
                <w:rFonts w:ascii="Arial"/>
                <w:color w:val="auto"/>
                <w:sz w:val="21"/>
                <w:highlight w:val="none"/>
              </w:rPr>
            </w:pPr>
          </w:p>
          <w:p w14:paraId="3366BF71">
            <w:pPr>
              <w:pStyle w:val="12"/>
              <w:spacing w:before="78" w:line="241" w:lineRule="auto"/>
              <w:ind w:left="291" w:leftChars="0"/>
              <w:rPr>
                <w:color w:val="auto"/>
                <w:spacing w:val="-6"/>
                <w:position w:val="1"/>
                <w:highlight w:val="none"/>
              </w:rPr>
            </w:pPr>
            <w:r>
              <w:rPr>
                <w:color w:val="auto"/>
                <w:spacing w:val="-6"/>
                <w:highlight w:val="none"/>
              </w:rPr>
              <w:t>27</w:t>
            </w:r>
          </w:p>
        </w:tc>
        <w:tc>
          <w:tcPr>
            <w:tcW w:w="2137" w:type="dxa"/>
            <w:vAlign w:val="center"/>
          </w:tcPr>
          <w:p w14:paraId="5F2FB0C3">
            <w:pPr>
              <w:spacing w:line="297" w:lineRule="auto"/>
              <w:rPr>
                <w:rFonts w:ascii="Arial"/>
                <w:color w:val="auto"/>
                <w:sz w:val="21"/>
                <w:highlight w:val="none"/>
              </w:rPr>
            </w:pPr>
          </w:p>
          <w:p w14:paraId="3B7000B8">
            <w:pPr>
              <w:spacing w:line="297" w:lineRule="auto"/>
              <w:rPr>
                <w:rFonts w:ascii="Arial"/>
                <w:color w:val="auto"/>
                <w:sz w:val="21"/>
                <w:highlight w:val="none"/>
              </w:rPr>
            </w:pPr>
          </w:p>
          <w:p w14:paraId="6DC1C9DB">
            <w:pPr>
              <w:spacing w:line="297" w:lineRule="auto"/>
              <w:rPr>
                <w:rFonts w:ascii="Arial"/>
                <w:color w:val="auto"/>
                <w:sz w:val="21"/>
                <w:highlight w:val="none"/>
              </w:rPr>
            </w:pPr>
          </w:p>
          <w:p w14:paraId="7F862AA1">
            <w:pPr>
              <w:spacing w:line="298" w:lineRule="auto"/>
              <w:rPr>
                <w:rFonts w:ascii="Arial"/>
                <w:color w:val="auto"/>
                <w:sz w:val="21"/>
                <w:highlight w:val="none"/>
              </w:rPr>
            </w:pPr>
          </w:p>
          <w:p w14:paraId="52AA004A">
            <w:pPr>
              <w:pStyle w:val="12"/>
              <w:spacing w:before="78" w:line="222" w:lineRule="auto"/>
              <w:ind w:left="167" w:leftChars="0"/>
              <w:rPr>
                <w:color w:val="auto"/>
                <w:spacing w:val="-5"/>
                <w:highlight w:val="none"/>
              </w:rPr>
            </w:pPr>
            <w:r>
              <w:rPr>
                <w:color w:val="auto"/>
                <w:spacing w:val="-9"/>
                <w:highlight w:val="none"/>
              </w:rPr>
              <w:t>响应文件份数及要求</w:t>
            </w:r>
          </w:p>
        </w:tc>
        <w:tc>
          <w:tcPr>
            <w:tcW w:w="6773" w:type="dxa"/>
            <w:vAlign w:val="center"/>
          </w:tcPr>
          <w:p w14:paraId="76C34990">
            <w:pPr>
              <w:pStyle w:val="12"/>
              <w:spacing w:before="84" w:line="268" w:lineRule="auto"/>
              <w:ind w:left="14" w:right="93" w:firstLine="1"/>
              <w:jc w:val="both"/>
              <w:rPr>
                <w:color w:val="auto"/>
                <w:highlight w:val="none"/>
              </w:rPr>
            </w:pPr>
            <w:r>
              <w:rPr>
                <w:color w:val="auto"/>
                <w:highlight w:val="none"/>
              </w:rPr>
              <w:t>1、本项目实行电子招投标，供应商须登录政府采购云平台申请获取采购文件，并需要使用CA锁，在新疆政府采购网--下载专区下载--供应商客户端制作响应文件，并生成JMBS格式加密文件，在投标截止前上传至政府采购云平台。若供应商参与投标,自行承担与投标有关的一切费用。</w:t>
            </w:r>
          </w:p>
          <w:p w14:paraId="687BEF70">
            <w:pPr>
              <w:pStyle w:val="12"/>
              <w:spacing w:before="84" w:line="268" w:lineRule="auto"/>
              <w:ind w:left="14" w:right="93" w:firstLine="1"/>
              <w:jc w:val="both"/>
              <w:rPr>
                <w:color w:val="auto"/>
                <w:highlight w:val="none"/>
              </w:rPr>
            </w:pPr>
            <w:r>
              <w:rPr>
                <w:color w:val="auto"/>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442CA003">
            <w:pPr>
              <w:pStyle w:val="12"/>
              <w:spacing w:before="84" w:line="268" w:lineRule="auto"/>
              <w:ind w:left="14" w:right="93" w:firstLine="1"/>
              <w:jc w:val="both"/>
              <w:rPr>
                <w:color w:val="auto"/>
                <w:highlight w:val="none"/>
              </w:rPr>
            </w:pPr>
            <w:r>
              <w:rPr>
                <w:color w:val="auto"/>
                <w:highlight w:val="none"/>
              </w:rPr>
              <w:t xml:space="preserve">3 、 供 应 商 可 前 往 新 疆 政 府 采 购 网（ </w:t>
            </w:r>
            <w:r>
              <w:rPr>
                <w:color w:val="auto"/>
                <w:highlight w:val="none"/>
              </w:rPr>
              <w:fldChar w:fldCharType="begin"/>
            </w:r>
            <w:r>
              <w:rPr>
                <w:color w:val="auto"/>
                <w:highlight w:val="none"/>
              </w:rPr>
              <w:instrText xml:space="preserve"> HYPERLINK "http://www.ccgp" </w:instrText>
            </w:r>
            <w:r>
              <w:rPr>
                <w:color w:val="auto"/>
                <w:highlight w:val="none"/>
              </w:rPr>
              <w:fldChar w:fldCharType="separate"/>
            </w:r>
            <w:r>
              <w:rPr>
                <w:color w:val="auto"/>
                <w:highlight w:val="none"/>
              </w:rPr>
              <w:t>http://www.ccgp</w:t>
            </w:r>
            <w:r>
              <w:rPr>
                <w:color w:val="auto"/>
                <w:highlight w:val="none"/>
              </w:rPr>
              <w:fldChar w:fldCharType="end"/>
            </w:r>
            <w:r>
              <w:rPr>
                <w:color w:val="auto"/>
                <w:highlight w:val="none"/>
              </w:rPr>
              <w:t>- 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w:t>
            </w:r>
            <w:r>
              <w:rPr>
                <w:rFonts w:hint="eastAsia"/>
                <w:color w:val="auto"/>
                <w:highlight w:val="none"/>
                <w:lang w:eastAsia="zh-CN"/>
              </w:rPr>
              <w:t>95763</w:t>
            </w:r>
            <w:r>
              <w:rPr>
                <w:color w:val="auto"/>
                <w:highlight w:val="none"/>
              </w:rPr>
              <w:t>进行咨询。</w:t>
            </w:r>
          </w:p>
          <w:p w14:paraId="445A658C">
            <w:pPr>
              <w:pStyle w:val="12"/>
              <w:spacing w:before="84" w:line="268" w:lineRule="auto"/>
              <w:ind w:left="14" w:right="93" w:firstLine="1"/>
              <w:jc w:val="both"/>
              <w:rPr>
                <w:color w:val="auto"/>
                <w:highlight w:val="none"/>
              </w:rPr>
            </w:pPr>
            <w:r>
              <w:rPr>
                <w:color w:val="auto"/>
                <w:highlight w:val="none"/>
              </w:rPr>
              <w:t>4、供应商在开标时须携带制作加密电子响应文件所使用的CA锁，电脑须提前配置好浏览器（建议使用360浏览器或谷歌浏览器），以便开标时在线解密。</w:t>
            </w:r>
          </w:p>
          <w:p w14:paraId="0236275E">
            <w:pPr>
              <w:pStyle w:val="12"/>
              <w:spacing w:before="84" w:line="268" w:lineRule="auto"/>
              <w:ind w:left="14" w:right="93" w:firstLine="1"/>
              <w:jc w:val="both"/>
              <w:rPr>
                <w:color w:val="auto"/>
                <w:highlight w:val="none"/>
              </w:rPr>
            </w:pPr>
            <w:r>
              <w:rPr>
                <w:color w:val="auto"/>
                <w:highlight w:val="none"/>
              </w:rPr>
              <w:t>5、投标供应商应当在投标截止时间前，将生成的“JMBS格式电子加密响应文件 ”上传递交至“政府采购云平台 ”，投标截止时间以后上传递交的响应文件将被“政府采购云平台 ”拒收。</w:t>
            </w:r>
          </w:p>
          <w:p w14:paraId="2DD4BE36">
            <w:pPr>
              <w:pStyle w:val="12"/>
              <w:spacing w:before="84" w:line="268" w:lineRule="auto"/>
              <w:ind w:left="14" w:leftChars="0" w:right="93" w:rightChars="0" w:firstLine="1" w:firstLineChars="0"/>
              <w:jc w:val="both"/>
              <w:rPr>
                <w:rFonts w:hint="eastAsia"/>
                <w:color w:val="auto"/>
                <w:highlight w:val="none"/>
                <w:lang w:val="en-US" w:eastAsia="en-US"/>
              </w:rPr>
            </w:pPr>
            <w:r>
              <w:rPr>
                <w:color w:val="auto"/>
                <w:highlight w:val="none"/>
              </w:rPr>
              <w:t>6、评标结束后，各投标单位须在一周内按竞争性磋商文件要求将纸质版响应文件递交至招标代理处（所产生的的费用投标单位自理）。纸质版响应文件可通过加密电子版响应文件打印生成，应当与电子版响应文件一致。【1、份数要求：正本壹份、副本贰份，电子标叁份（U盘一份，光盘贰份）。2、装订要求：响应文件商务技术部分装订成一册，响应文件的装订必须采用死页胶粘本。】</w:t>
            </w:r>
          </w:p>
        </w:tc>
      </w:tr>
      <w:tr w14:paraId="32218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4E7E6F6B">
            <w:pPr>
              <w:pStyle w:val="12"/>
              <w:spacing w:before="170" w:line="241" w:lineRule="auto"/>
              <w:ind w:left="291" w:leftChars="0"/>
              <w:rPr>
                <w:color w:val="auto"/>
                <w:spacing w:val="-6"/>
                <w:highlight w:val="none"/>
              </w:rPr>
            </w:pPr>
            <w:r>
              <w:rPr>
                <w:color w:val="auto"/>
                <w:spacing w:val="-6"/>
                <w:highlight w:val="none"/>
              </w:rPr>
              <w:t>28</w:t>
            </w:r>
          </w:p>
        </w:tc>
        <w:tc>
          <w:tcPr>
            <w:tcW w:w="2137" w:type="dxa"/>
            <w:vAlign w:val="center"/>
          </w:tcPr>
          <w:p w14:paraId="6EF6E4A4">
            <w:pPr>
              <w:pStyle w:val="12"/>
              <w:spacing w:before="163" w:line="222" w:lineRule="auto"/>
              <w:ind w:left="167" w:leftChars="0"/>
              <w:rPr>
                <w:color w:val="auto"/>
                <w:spacing w:val="-9"/>
                <w:highlight w:val="none"/>
              </w:rPr>
            </w:pPr>
            <w:r>
              <w:rPr>
                <w:color w:val="auto"/>
                <w:spacing w:val="-8"/>
                <w:highlight w:val="none"/>
              </w:rPr>
              <w:t>响应文件加密、上传</w:t>
            </w:r>
          </w:p>
        </w:tc>
        <w:tc>
          <w:tcPr>
            <w:tcW w:w="6773" w:type="dxa"/>
            <w:vAlign w:val="center"/>
          </w:tcPr>
          <w:p w14:paraId="474B816B">
            <w:pPr>
              <w:pStyle w:val="12"/>
              <w:spacing w:before="35" w:line="234" w:lineRule="auto"/>
              <w:ind w:right="1"/>
              <w:rPr>
                <w:color w:val="auto"/>
                <w:highlight w:val="none"/>
              </w:rPr>
            </w:pPr>
            <w:r>
              <w:rPr>
                <w:color w:val="auto"/>
                <w:spacing w:val="4"/>
                <w:highlight w:val="none"/>
              </w:rPr>
              <w:t>本项目采用不见面开标，供应商须在投标截止时间前</w:t>
            </w:r>
            <w:r>
              <w:rPr>
                <w:color w:val="auto"/>
                <w:highlight w:val="none"/>
              </w:rPr>
              <w:t xml:space="preserve"> </w:t>
            </w:r>
            <w:r>
              <w:rPr>
                <w:color w:val="auto"/>
                <w:spacing w:val="-14"/>
                <w:highlight w:val="none"/>
              </w:rPr>
              <w:t>,</w:t>
            </w:r>
            <w:r>
              <w:rPr>
                <w:color w:val="auto"/>
                <w:spacing w:val="74"/>
                <w:highlight w:val="none"/>
              </w:rPr>
              <w:t xml:space="preserve"> </w:t>
            </w:r>
            <w:r>
              <w:rPr>
                <w:color w:val="auto"/>
                <w:spacing w:val="-14"/>
                <w:highlight w:val="none"/>
              </w:rPr>
              <w:t>将生成的“ 电子加密响应文件</w:t>
            </w:r>
            <w:r>
              <w:rPr>
                <w:color w:val="auto"/>
                <w:spacing w:val="-40"/>
                <w:highlight w:val="none"/>
              </w:rPr>
              <w:t xml:space="preserve"> </w:t>
            </w:r>
            <w:r>
              <w:rPr>
                <w:color w:val="auto"/>
                <w:spacing w:val="-14"/>
                <w:highlight w:val="none"/>
              </w:rPr>
              <w:t>”上传递交至“政府采购云</w:t>
            </w:r>
            <w:r>
              <w:rPr>
                <w:color w:val="auto"/>
                <w:spacing w:val="-7"/>
                <w:highlight w:val="none"/>
              </w:rPr>
              <w:t>平台 ”，投标截止时间以后上传递交的响应文件将被 “政</w:t>
            </w:r>
            <w:r>
              <w:rPr>
                <w:color w:val="auto"/>
                <w:spacing w:val="-3"/>
                <w:highlight w:val="none"/>
              </w:rPr>
              <w:t>府采购 云平台 ”拒收。备注：供应商对不见面</w:t>
            </w:r>
            <w:r>
              <w:rPr>
                <w:color w:val="auto"/>
                <w:spacing w:val="-4"/>
                <w:highlight w:val="none"/>
              </w:rPr>
              <w:t>开评标系</w:t>
            </w:r>
            <w:r>
              <w:rPr>
                <w:color w:val="auto"/>
                <w:spacing w:val="-13"/>
                <w:highlight w:val="none"/>
              </w:rPr>
              <w:t>统的技术操作咨询，可通过</w:t>
            </w:r>
          </w:p>
          <w:p w14:paraId="257B693A">
            <w:pPr>
              <w:pStyle w:val="12"/>
              <w:spacing w:before="3" w:line="244" w:lineRule="auto"/>
              <w:ind w:left="13" w:right="80" w:hanging="8"/>
              <w:rPr>
                <w:color w:val="auto"/>
                <w:highlight w:val="none"/>
              </w:rPr>
            </w:pPr>
            <w:r>
              <w:rPr>
                <w:color w:val="auto"/>
                <w:highlight w:val="none"/>
              </w:rPr>
              <w:fldChar w:fldCharType="begin"/>
            </w:r>
            <w:r>
              <w:rPr>
                <w:color w:val="auto"/>
                <w:highlight w:val="none"/>
              </w:rPr>
              <w:instrText xml:space="preserve"> HYPERLINK "https://edu.zcygov.cn/luban/xinjiang-e-biding" </w:instrText>
            </w:r>
            <w:r>
              <w:rPr>
                <w:color w:val="auto"/>
                <w:highlight w:val="none"/>
              </w:rPr>
              <w:fldChar w:fldCharType="separate"/>
            </w:r>
            <w:r>
              <w:rPr>
                <w:color w:val="auto"/>
                <w:spacing w:val="-4"/>
                <w:highlight w:val="none"/>
              </w:rPr>
              <w:t>http</w:t>
            </w:r>
            <w:r>
              <w:rPr>
                <w:color w:val="auto"/>
                <w:spacing w:val="-104"/>
                <w:highlight w:val="none"/>
              </w:rPr>
              <w:t xml:space="preserve"> </w:t>
            </w:r>
            <w:r>
              <w:rPr>
                <w:color w:val="auto"/>
                <w:spacing w:val="-4"/>
                <w:highlight w:val="none"/>
              </w:rPr>
              <w:t>s://edu.zcygov.cn/luban/xin</w:t>
            </w:r>
            <w:r>
              <w:rPr>
                <w:color w:val="auto"/>
                <w:spacing w:val="-104"/>
                <w:highlight w:val="none"/>
              </w:rPr>
              <w:t xml:space="preserve"> </w:t>
            </w:r>
            <w:r>
              <w:rPr>
                <w:color w:val="auto"/>
                <w:spacing w:val="-4"/>
                <w:highlight w:val="none"/>
              </w:rPr>
              <w:t>jiang-e-bid</w:t>
            </w:r>
            <w:r>
              <w:rPr>
                <w:color w:val="auto"/>
                <w:spacing w:val="-5"/>
                <w:highlight w:val="none"/>
              </w:rPr>
              <w:t>ing</w:t>
            </w:r>
            <w:r>
              <w:rPr>
                <w:color w:val="auto"/>
                <w:spacing w:val="-5"/>
                <w:highlight w:val="none"/>
              </w:rPr>
              <w:fldChar w:fldCharType="end"/>
            </w:r>
            <w:r>
              <w:rPr>
                <w:color w:val="auto"/>
                <w:spacing w:val="-67"/>
                <w:highlight w:val="none"/>
              </w:rPr>
              <w:t xml:space="preserve"> </w:t>
            </w:r>
            <w:r>
              <w:rPr>
                <w:color w:val="auto"/>
                <w:spacing w:val="-5"/>
                <w:highlight w:val="none"/>
              </w:rPr>
              <w:t>自助查</w:t>
            </w:r>
            <w:r>
              <w:rPr>
                <w:color w:val="auto"/>
                <w:spacing w:val="-3"/>
                <w:highlight w:val="none"/>
              </w:rPr>
              <w:t>询，也可在政采云帮助中心常见问题解答和操作流程讲 解</w:t>
            </w:r>
            <w:r>
              <w:rPr>
                <w:color w:val="auto"/>
                <w:spacing w:val="-17"/>
                <w:highlight w:val="none"/>
              </w:rPr>
              <w:t>视频中自助查询，网址为：</w:t>
            </w:r>
          </w:p>
          <w:p w14:paraId="48B869E6">
            <w:pPr>
              <w:pStyle w:val="12"/>
              <w:spacing w:before="13"/>
              <w:ind w:left="15" w:leftChars="0" w:right="88" w:rightChars="0" w:hanging="10" w:firstLineChars="0"/>
              <w:rPr>
                <w:color w:val="auto"/>
                <w:highlight w:val="none"/>
              </w:rPr>
            </w:pPr>
            <w:r>
              <w:rPr>
                <w:color w:val="auto"/>
                <w:highlight w:val="none"/>
              </w:rPr>
              <w:fldChar w:fldCharType="begin"/>
            </w:r>
            <w:r>
              <w:rPr>
                <w:color w:val="auto"/>
                <w:highlight w:val="none"/>
              </w:rPr>
              <w:instrText xml:space="preserve"> HYPERLINK "https://service.zcygov.cn/#/help" </w:instrText>
            </w:r>
            <w:r>
              <w:rPr>
                <w:color w:val="auto"/>
                <w:highlight w:val="none"/>
              </w:rPr>
              <w:fldChar w:fldCharType="separate"/>
            </w:r>
            <w:r>
              <w:rPr>
                <w:color w:val="auto"/>
                <w:spacing w:val="-9"/>
                <w:highlight w:val="none"/>
              </w:rPr>
              <w:t>https://service.zcygov.cn/#/hel</w:t>
            </w:r>
            <w:r>
              <w:rPr>
                <w:color w:val="auto"/>
                <w:spacing w:val="-9"/>
                <w:highlight w:val="none"/>
              </w:rPr>
              <w:fldChar w:fldCharType="end"/>
            </w:r>
            <w:r>
              <w:rPr>
                <w:color w:val="auto"/>
                <w:spacing w:val="-9"/>
                <w:highlight w:val="none"/>
              </w:rPr>
              <w:t>p，“项目采购</w:t>
            </w:r>
            <w:r>
              <w:rPr>
                <w:color w:val="auto"/>
                <w:spacing w:val="-23"/>
                <w:highlight w:val="none"/>
              </w:rPr>
              <w:t xml:space="preserve"> </w:t>
            </w:r>
            <w:r>
              <w:rPr>
                <w:color w:val="auto"/>
                <w:spacing w:val="-9"/>
                <w:highlight w:val="none"/>
              </w:rPr>
              <w:t>”—“操</w:t>
            </w:r>
            <w:r>
              <w:rPr>
                <w:color w:val="auto"/>
                <w:spacing w:val="-3"/>
                <w:highlight w:val="none"/>
              </w:rPr>
              <w:t>作流程－电子招投标 ”—“政府采购项目电子交易管理操作指南－供应商 ”版面获取操作指南，同时对自助查询无</w:t>
            </w:r>
            <w:r>
              <w:rPr>
                <w:color w:val="auto"/>
                <w:spacing w:val="6"/>
                <w:highlight w:val="none"/>
              </w:rPr>
              <w:t>法解决的问题可通过钉钉群及政采云在线客</w:t>
            </w:r>
            <w:r>
              <w:rPr>
                <w:color w:val="auto"/>
                <w:spacing w:val="5"/>
                <w:highlight w:val="none"/>
              </w:rPr>
              <w:t>服获取服务</w:t>
            </w:r>
            <w:r>
              <w:rPr>
                <w:color w:val="auto"/>
                <w:spacing w:val="-6"/>
                <w:highlight w:val="none"/>
              </w:rPr>
              <w:t>支持。</w:t>
            </w:r>
          </w:p>
        </w:tc>
      </w:tr>
      <w:tr w14:paraId="38EBE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2D130302">
            <w:pPr>
              <w:spacing w:line="249" w:lineRule="auto"/>
              <w:rPr>
                <w:rFonts w:ascii="Arial"/>
                <w:color w:val="auto"/>
                <w:sz w:val="21"/>
                <w:highlight w:val="none"/>
              </w:rPr>
            </w:pPr>
          </w:p>
          <w:p w14:paraId="0CF8C066">
            <w:pPr>
              <w:spacing w:line="249" w:lineRule="auto"/>
              <w:rPr>
                <w:rFonts w:ascii="Arial"/>
                <w:color w:val="auto"/>
                <w:sz w:val="21"/>
                <w:highlight w:val="none"/>
              </w:rPr>
            </w:pPr>
          </w:p>
          <w:p w14:paraId="59BD20B9">
            <w:pPr>
              <w:spacing w:line="249" w:lineRule="auto"/>
              <w:rPr>
                <w:rFonts w:ascii="Arial"/>
                <w:color w:val="auto"/>
                <w:sz w:val="21"/>
                <w:highlight w:val="none"/>
              </w:rPr>
            </w:pPr>
          </w:p>
          <w:p w14:paraId="7BD55786">
            <w:pPr>
              <w:spacing w:line="249" w:lineRule="auto"/>
              <w:rPr>
                <w:rFonts w:ascii="Arial"/>
                <w:color w:val="auto"/>
                <w:sz w:val="21"/>
                <w:highlight w:val="none"/>
              </w:rPr>
            </w:pPr>
          </w:p>
          <w:p w14:paraId="74260206">
            <w:pPr>
              <w:pStyle w:val="12"/>
              <w:spacing w:before="78" w:line="241" w:lineRule="auto"/>
              <w:ind w:left="291" w:leftChars="0"/>
              <w:rPr>
                <w:color w:val="auto"/>
                <w:spacing w:val="-6"/>
                <w:highlight w:val="none"/>
              </w:rPr>
            </w:pPr>
            <w:r>
              <w:rPr>
                <w:color w:val="auto"/>
                <w:spacing w:val="-6"/>
                <w:highlight w:val="none"/>
              </w:rPr>
              <w:t>29</w:t>
            </w:r>
          </w:p>
        </w:tc>
        <w:tc>
          <w:tcPr>
            <w:tcW w:w="2137" w:type="dxa"/>
            <w:vAlign w:val="center"/>
          </w:tcPr>
          <w:p w14:paraId="0E8968CE">
            <w:pPr>
              <w:spacing w:line="283" w:lineRule="auto"/>
              <w:rPr>
                <w:rFonts w:ascii="Arial"/>
                <w:color w:val="auto"/>
                <w:sz w:val="21"/>
                <w:highlight w:val="none"/>
              </w:rPr>
            </w:pPr>
          </w:p>
          <w:p w14:paraId="195569CE">
            <w:pPr>
              <w:spacing w:line="284" w:lineRule="auto"/>
              <w:rPr>
                <w:rFonts w:ascii="Arial"/>
                <w:color w:val="auto"/>
                <w:sz w:val="21"/>
                <w:highlight w:val="none"/>
              </w:rPr>
            </w:pPr>
          </w:p>
          <w:p w14:paraId="6D8214DA">
            <w:pPr>
              <w:spacing w:line="284" w:lineRule="auto"/>
              <w:rPr>
                <w:rFonts w:ascii="Arial"/>
                <w:color w:val="auto"/>
                <w:sz w:val="21"/>
                <w:highlight w:val="none"/>
              </w:rPr>
            </w:pPr>
          </w:p>
          <w:p w14:paraId="4FF437FD">
            <w:pPr>
              <w:pStyle w:val="12"/>
              <w:spacing w:before="78" w:line="258" w:lineRule="auto"/>
              <w:ind w:left="143" w:leftChars="0" w:right="134" w:rightChars="0"/>
              <w:rPr>
                <w:color w:val="auto"/>
                <w:spacing w:val="-9"/>
                <w:highlight w:val="none"/>
              </w:rPr>
            </w:pPr>
            <w:r>
              <w:rPr>
                <w:color w:val="auto"/>
                <w:spacing w:val="1"/>
                <w:highlight w:val="none"/>
              </w:rPr>
              <w:t>供应商签到及电子响</w:t>
            </w:r>
            <w:r>
              <w:rPr>
                <w:color w:val="auto"/>
                <w:spacing w:val="-8"/>
                <w:highlight w:val="none"/>
              </w:rPr>
              <w:t>应文件解密</w:t>
            </w:r>
          </w:p>
        </w:tc>
        <w:tc>
          <w:tcPr>
            <w:tcW w:w="6773" w:type="dxa"/>
            <w:vAlign w:val="center"/>
          </w:tcPr>
          <w:p w14:paraId="19732CB1">
            <w:pPr>
              <w:pStyle w:val="12"/>
              <w:spacing w:before="165" w:line="273" w:lineRule="auto"/>
              <w:ind w:left="14" w:firstLine="460"/>
              <w:jc w:val="both"/>
              <w:rPr>
                <w:color w:val="auto"/>
                <w:highlight w:val="none"/>
              </w:rPr>
            </w:pPr>
            <w:r>
              <w:rPr>
                <w:color w:val="auto"/>
                <w:spacing w:val="2"/>
                <w:highlight w:val="none"/>
              </w:rPr>
              <w:t>供应商登录政采云平台，在投标截止时间前必须完成</w:t>
            </w:r>
            <w:r>
              <w:rPr>
                <w:color w:val="auto"/>
                <w:spacing w:val="3"/>
                <w:highlight w:val="none"/>
              </w:rPr>
              <w:t>签到</w:t>
            </w:r>
            <w:r>
              <w:rPr>
                <w:color w:val="auto"/>
                <w:spacing w:val="-59"/>
                <w:highlight w:val="none"/>
              </w:rPr>
              <w:t>，（</w:t>
            </w:r>
            <w:r>
              <w:rPr>
                <w:color w:val="auto"/>
                <w:spacing w:val="3"/>
                <w:highlight w:val="none"/>
              </w:rPr>
              <w:t>本项</w:t>
            </w:r>
            <w:r>
              <w:rPr>
                <w:color w:val="auto"/>
                <w:spacing w:val="-49"/>
                <w:highlight w:val="none"/>
              </w:rPr>
              <w:t xml:space="preserve"> </w:t>
            </w:r>
            <w:r>
              <w:rPr>
                <w:color w:val="auto"/>
                <w:spacing w:val="3"/>
                <w:highlight w:val="none"/>
              </w:rPr>
              <w:t>目解密时长为：30分钟，签名时长为：10分</w:t>
            </w:r>
            <w:r>
              <w:rPr>
                <w:color w:val="auto"/>
                <w:spacing w:val="-4"/>
                <w:highlight w:val="none"/>
              </w:rPr>
              <w:t>钟）开标时间后30分钟内（使用“项目采购－ 开标评标 ”</w:t>
            </w:r>
            <w:r>
              <w:rPr>
                <w:color w:val="auto"/>
                <w:spacing w:val="-9"/>
                <w:highlight w:val="none"/>
              </w:rPr>
              <w:t>功能进行解密响应文件。</w:t>
            </w:r>
          </w:p>
          <w:p w14:paraId="75202858">
            <w:pPr>
              <w:pStyle w:val="12"/>
              <w:spacing w:before="127" w:line="274" w:lineRule="auto"/>
              <w:ind w:left="15" w:firstLine="464"/>
              <w:jc w:val="both"/>
              <w:rPr>
                <w:color w:val="auto"/>
                <w:highlight w:val="none"/>
              </w:rPr>
            </w:pPr>
            <w:r>
              <w:rPr>
                <w:color w:val="auto"/>
                <w:spacing w:val="-4"/>
                <w:highlight w:val="none"/>
              </w:rPr>
              <w:t>备注：①供应商开标时须使用制作加密电子响应文件所用的CA锁并在规定的时间内完成远程解密，因供应商自身原因未能解密、解密失败或解密超时，将导致其投标被拒绝且</w:t>
            </w:r>
            <w:r>
              <w:rPr>
                <w:color w:val="auto"/>
                <w:spacing w:val="-6"/>
                <w:highlight w:val="none"/>
              </w:rPr>
              <w:t>响应文件被退回；</w:t>
            </w:r>
          </w:p>
          <w:p w14:paraId="2B160BBF">
            <w:pPr>
              <w:pStyle w:val="12"/>
              <w:spacing w:before="127" w:line="273" w:lineRule="auto"/>
              <w:ind w:left="17" w:firstLine="452"/>
              <w:rPr>
                <w:color w:val="auto"/>
                <w:highlight w:val="none"/>
              </w:rPr>
            </w:pPr>
            <w:r>
              <w:rPr>
                <w:color w:val="auto"/>
                <w:spacing w:val="-3"/>
                <w:highlight w:val="none"/>
              </w:rPr>
              <w:t>②因网上招标系统故障导致所有供应商均解</w:t>
            </w:r>
            <w:r>
              <w:rPr>
                <w:color w:val="auto"/>
                <w:spacing w:val="-4"/>
                <w:highlight w:val="none"/>
              </w:rPr>
              <w:t>密失败，由</w:t>
            </w:r>
            <w:r>
              <w:rPr>
                <w:color w:val="auto"/>
                <w:spacing w:val="-5"/>
                <w:highlight w:val="none"/>
              </w:rPr>
              <w:t>采购人或采购代理机构现场请示项目主管部门处理。</w:t>
            </w:r>
          </w:p>
          <w:p w14:paraId="1BBF793A">
            <w:pPr>
              <w:pStyle w:val="12"/>
              <w:spacing w:before="130" w:line="274" w:lineRule="auto"/>
              <w:ind w:left="17" w:firstLine="452"/>
              <w:rPr>
                <w:color w:val="auto"/>
                <w:highlight w:val="none"/>
              </w:rPr>
            </w:pPr>
            <w:r>
              <w:rPr>
                <w:color w:val="auto"/>
                <w:spacing w:val="-3"/>
                <w:highlight w:val="none"/>
              </w:rPr>
              <w:t>③关于能否延长解密时间的约定：开标现场</w:t>
            </w:r>
            <w:r>
              <w:rPr>
                <w:color w:val="auto"/>
                <w:spacing w:val="-4"/>
                <w:highlight w:val="none"/>
              </w:rPr>
              <w:t>若发现默认</w:t>
            </w:r>
            <w:r>
              <w:rPr>
                <w:color w:val="auto"/>
                <w:spacing w:val="-5"/>
                <w:highlight w:val="none"/>
              </w:rPr>
              <w:t>解密时长不足，由采购人决定是否延长解密时长。</w:t>
            </w:r>
          </w:p>
          <w:p w14:paraId="5CBC226C">
            <w:pPr>
              <w:pStyle w:val="12"/>
              <w:spacing w:before="128" w:line="264" w:lineRule="auto"/>
              <w:ind w:left="15" w:leftChars="0" w:firstLine="454" w:firstLineChars="0"/>
              <w:rPr>
                <w:color w:val="auto"/>
                <w:highlight w:val="none"/>
              </w:rPr>
            </w:pPr>
            <w:r>
              <w:rPr>
                <w:color w:val="auto"/>
                <w:spacing w:val="-3"/>
                <w:highlight w:val="none"/>
              </w:rPr>
              <w:t>④磋商结束后，所有参加磋商的供应商按照</w:t>
            </w:r>
            <w:r>
              <w:rPr>
                <w:color w:val="auto"/>
                <w:spacing w:val="-4"/>
                <w:highlight w:val="none"/>
              </w:rPr>
              <w:t>磋商小组的要求做最后报价。（注：第二轮报价时限30分钟，具体时限以系统默认时长为准，若供应商在规定时间内未进行第二轮</w:t>
            </w:r>
            <w:r>
              <w:rPr>
                <w:color w:val="auto"/>
                <w:spacing w:val="-5"/>
                <w:highlight w:val="none"/>
              </w:rPr>
              <w:t>报价，系统将视为按第一轮报价为准）。</w:t>
            </w:r>
          </w:p>
        </w:tc>
      </w:tr>
      <w:tr w14:paraId="54B25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79EBC1BC">
            <w:pPr>
              <w:spacing w:line="268" w:lineRule="auto"/>
              <w:rPr>
                <w:rFonts w:ascii="Arial"/>
                <w:color w:val="auto"/>
                <w:sz w:val="21"/>
                <w:highlight w:val="none"/>
              </w:rPr>
            </w:pPr>
          </w:p>
          <w:p w14:paraId="75D714D2">
            <w:pPr>
              <w:pStyle w:val="12"/>
              <w:spacing w:before="78" w:line="241" w:lineRule="auto"/>
              <w:ind w:left="293" w:leftChars="0"/>
              <w:rPr>
                <w:color w:val="auto"/>
                <w:spacing w:val="-6"/>
                <w:highlight w:val="none"/>
              </w:rPr>
            </w:pPr>
            <w:r>
              <w:rPr>
                <w:color w:val="auto"/>
                <w:spacing w:val="-7"/>
                <w:highlight w:val="none"/>
              </w:rPr>
              <w:t>30</w:t>
            </w:r>
          </w:p>
        </w:tc>
        <w:tc>
          <w:tcPr>
            <w:tcW w:w="2137" w:type="dxa"/>
            <w:vAlign w:val="center"/>
          </w:tcPr>
          <w:p w14:paraId="1F664B4A">
            <w:pPr>
              <w:pStyle w:val="12"/>
              <w:spacing w:before="204" w:line="243" w:lineRule="auto"/>
              <w:ind w:left="211" w:leftChars="0" w:right="127" w:rightChars="0" w:hanging="58" w:firstLineChars="0"/>
              <w:rPr>
                <w:color w:val="auto"/>
                <w:spacing w:val="-9"/>
                <w:highlight w:val="none"/>
              </w:rPr>
            </w:pPr>
            <w:r>
              <w:rPr>
                <w:color w:val="auto"/>
                <w:spacing w:val="1"/>
                <w:highlight w:val="none"/>
              </w:rPr>
              <w:t>递交响应文件截止时</w:t>
            </w:r>
            <w:r>
              <w:rPr>
                <w:color w:val="auto"/>
                <w:highlight w:val="none"/>
              </w:rPr>
              <w:t>间</w:t>
            </w:r>
          </w:p>
        </w:tc>
        <w:tc>
          <w:tcPr>
            <w:tcW w:w="6773" w:type="dxa"/>
            <w:vAlign w:val="center"/>
          </w:tcPr>
          <w:p w14:paraId="4E06D42B">
            <w:pPr>
              <w:spacing w:line="273" w:lineRule="auto"/>
              <w:rPr>
                <w:rFonts w:ascii="Arial"/>
                <w:color w:val="auto"/>
                <w:sz w:val="21"/>
                <w:highlight w:val="none"/>
              </w:rPr>
            </w:pPr>
          </w:p>
          <w:p w14:paraId="1ED37DDC">
            <w:pPr>
              <w:pStyle w:val="12"/>
              <w:spacing w:before="78" w:line="222" w:lineRule="auto"/>
              <w:ind w:left="133"/>
              <w:rPr>
                <w:color w:val="auto"/>
                <w:highlight w:val="none"/>
              </w:rPr>
            </w:pPr>
            <w:r>
              <w:rPr>
                <w:rFonts w:hint="eastAsia"/>
                <w:color w:val="auto"/>
                <w:spacing w:val="-12"/>
                <w:highlight w:val="none"/>
                <w:lang w:val="en-US" w:eastAsia="zh-CN"/>
              </w:rPr>
              <w:t>2026 年05月09日10点30分</w:t>
            </w:r>
            <w:r>
              <w:rPr>
                <w:color w:val="auto"/>
                <w:spacing w:val="-12"/>
                <w:highlight w:val="none"/>
              </w:rPr>
              <w:t>北京时间</w:t>
            </w:r>
            <w:r>
              <w:rPr>
                <w:color w:val="auto"/>
                <w:spacing w:val="-12"/>
                <w:highlight w:val="none"/>
              </w:rPr>
              <w:t>）</w:t>
            </w:r>
          </w:p>
          <w:p w14:paraId="3A58D398">
            <w:pPr>
              <w:pStyle w:val="12"/>
              <w:spacing w:before="78" w:line="210" w:lineRule="auto"/>
              <w:ind w:left="159" w:leftChars="0" w:right="171" w:rightChars="0" w:hanging="20" w:firstLineChars="0"/>
              <w:rPr>
                <w:color w:val="auto"/>
                <w:highlight w:val="none"/>
              </w:rPr>
            </w:pPr>
            <w:r>
              <w:rPr>
                <w:color w:val="auto"/>
                <w:spacing w:val="-6"/>
                <w:highlight w:val="none"/>
              </w:rPr>
              <w:t>提</w:t>
            </w:r>
            <w:r>
              <w:rPr>
                <w:color w:val="auto"/>
                <w:spacing w:val="-21"/>
                <w:highlight w:val="none"/>
              </w:rPr>
              <w:t xml:space="preserve"> </w:t>
            </w:r>
            <w:r>
              <w:rPr>
                <w:color w:val="auto"/>
                <w:spacing w:val="-6"/>
                <w:highlight w:val="none"/>
              </w:rPr>
              <w:t>交响应</w:t>
            </w:r>
            <w:r>
              <w:rPr>
                <w:color w:val="auto"/>
                <w:spacing w:val="-54"/>
                <w:highlight w:val="none"/>
              </w:rPr>
              <w:t xml:space="preserve"> </w:t>
            </w:r>
            <w:r>
              <w:rPr>
                <w:color w:val="auto"/>
                <w:spacing w:val="-6"/>
                <w:highlight w:val="none"/>
              </w:rPr>
              <w:t>文</w:t>
            </w:r>
            <w:r>
              <w:rPr>
                <w:color w:val="auto"/>
                <w:spacing w:val="-54"/>
                <w:highlight w:val="none"/>
              </w:rPr>
              <w:t xml:space="preserve"> </w:t>
            </w:r>
            <w:r>
              <w:rPr>
                <w:color w:val="auto"/>
                <w:spacing w:val="-6"/>
                <w:highlight w:val="none"/>
              </w:rPr>
              <w:t>件地点 :</w:t>
            </w:r>
            <w:r>
              <w:rPr>
                <w:color w:val="auto"/>
                <w:spacing w:val="72"/>
                <w:highlight w:val="none"/>
              </w:rPr>
              <w:t xml:space="preserve"> </w:t>
            </w:r>
            <w:r>
              <w:rPr>
                <w:color w:val="auto"/>
                <w:spacing w:val="-6"/>
                <w:highlight w:val="none"/>
              </w:rPr>
              <w:t>政</w:t>
            </w:r>
            <w:r>
              <w:rPr>
                <w:color w:val="auto"/>
                <w:spacing w:val="-49"/>
                <w:highlight w:val="none"/>
              </w:rPr>
              <w:t xml:space="preserve"> </w:t>
            </w:r>
            <w:r>
              <w:rPr>
                <w:color w:val="auto"/>
                <w:spacing w:val="-6"/>
                <w:highlight w:val="none"/>
              </w:rPr>
              <w:t>采云</w:t>
            </w:r>
            <w:r>
              <w:rPr>
                <w:color w:val="auto"/>
                <w:spacing w:val="-43"/>
                <w:highlight w:val="none"/>
              </w:rPr>
              <w:t xml:space="preserve"> </w:t>
            </w:r>
            <w:r>
              <w:rPr>
                <w:color w:val="auto"/>
                <w:spacing w:val="-6"/>
                <w:highlight w:val="none"/>
              </w:rPr>
              <w:t>一</w:t>
            </w:r>
            <w:r>
              <w:rPr>
                <w:color w:val="auto"/>
                <w:spacing w:val="-45"/>
                <w:highlight w:val="none"/>
              </w:rPr>
              <w:t xml:space="preserve"> </w:t>
            </w:r>
            <w:r>
              <w:rPr>
                <w:color w:val="auto"/>
                <w:spacing w:val="-6"/>
                <w:highlight w:val="none"/>
              </w:rPr>
              <w:t>站</w:t>
            </w:r>
            <w:r>
              <w:rPr>
                <w:color w:val="auto"/>
                <w:spacing w:val="-36"/>
                <w:highlight w:val="none"/>
              </w:rPr>
              <w:t xml:space="preserve"> </w:t>
            </w:r>
            <w:r>
              <w:rPr>
                <w:color w:val="auto"/>
                <w:spacing w:val="-6"/>
                <w:highlight w:val="none"/>
              </w:rPr>
              <w:t>式</w:t>
            </w:r>
            <w:r>
              <w:rPr>
                <w:color w:val="auto"/>
                <w:spacing w:val="-48"/>
                <w:highlight w:val="none"/>
              </w:rPr>
              <w:t xml:space="preserve"> </w:t>
            </w:r>
            <w:r>
              <w:rPr>
                <w:color w:val="auto"/>
                <w:spacing w:val="-6"/>
                <w:highlight w:val="none"/>
              </w:rPr>
              <w:t>政</w:t>
            </w:r>
            <w:r>
              <w:rPr>
                <w:color w:val="auto"/>
                <w:spacing w:val="-52"/>
                <w:highlight w:val="none"/>
              </w:rPr>
              <w:t xml:space="preserve"> </w:t>
            </w:r>
            <w:r>
              <w:rPr>
                <w:color w:val="auto"/>
                <w:spacing w:val="-6"/>
                <w:highlight w:val="none"/>
              </w:rPr>
              <w:t>府采</w:t>
            </w:r>
            <w:r>
              <w:rPr>
                <w:color w:val="auto"/>
                <w:spacing w:val="-56"/>
                <w:highlight w:val="none"/>
              </w:rPr>
              <w:t xml:space="preserve"> </w:t>
            </w:r>
            <w:r>
              <w:rPr>
                <w:color w:val="auto"/>
                <w:spacing w:val="-6"/>
                <w:highlight w:val="none"/>
              </w:rPr>
              <w:t>购云平台（</w:t>
            </w:r>
            <w:r>
              <w:rPr>
                <w:color w:val="auto"/>
                <w:highlight w:val="none"/>
              </w:rPr>
              <w:fldChar w:fldCharType="begin"/>
            </w:r>
            <w:r>
              <w:rPr>
                <w:color w:val="auto"/>
                <w:highlight w:val="none"/>
              </w:rPr>
              <w:instrText xml:space="preserve"> HYPERLINK "https://www.zcygov.com" </w:instrText>
            </w:r>
            <w:r>
              <w:rPr>
                <w:color w:val="auto"/>
                <w:highlight w:val="none"/>
              </w:rPr>
              <w:fldChar w:fldCharType="separate"/>
            </w:r>
            <w:r>
              <w:rPr>
                <w:color w:val="auto"/>
                <w:spacing w:val="-6"/>
                <w:highlight w:val="none"/>
              </w:rPr>
              <w:t>www.zcygov.com</w:t>
            </w:r>
            <w:r>
              <w:rPr>
                <w:color w:val="auto"/>
                <w:spacing w:val="-6"/>
                <w:highlight w:val="none"/>
              </w:rPr>
              <w:fldChar w:fldCharType="end"/>
            </w:r>
            <w:r>
              <w:rPr>
                <w:color w:val="auto"/>
                <w:spacing w:val="-6"/>
                <w:highlight w:val="none"/>
              </w:rPr>
              <w:t>）</w:t>
            </w:r>
          </w:p>
        </w:tc>
      </w:tr>
      <w:tr w14:paraId="04D2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7BE7F440">
            <w:pPr>
              <w:spacing w:line="299" w:lineRule="auto"/>
              <w:rPr>
                <w:rFonts w:ascii="Arial"/>
                <w:color w:val="auto"/>
                <w:sz w:val="21"/>
                <w:highlight w:val="none"/>
              </w:rPr>
            </w:pPr>
          </w:p>
          <w:p w14:paraId="36AA0080">
            <w:pPr>
              <w:pStyle w:val="12"/>
              <w:spacing w:before="78" w:line="241" w:lineRule="auto"/>
              <w:ind w:left="300" w:leftChars="0"/>
              <w:rPr>
                <w:color w:val="auto"/>
                <w:spacing w:val="-6"/>
                <w:highlight w:val="none"/>
              </w:rPr>
            </w:pPr>
            <w:r>
              <w:rPr>
                <w:color w:val="auto"/>
                <w:spacing w:val="-7"/>
                <w:highlight w:val="none"/>
              </w:rPr>
              <w:t>31</w:t>
            </w:r>
          </w:p>
        </w:tc>
        <w:tc>
          <w:tcPr>
            <w:tcW w:w="2137" w:type="dxa"/>
            <w:vAlign w:val="center"/>
          </w:tcPr>
          <w:p w14:paraId="1F105011">
            <w:pPr>
              <w:spacing w:line="304" w:lineRule="auto"/>
              <w:rPr>
                <w:rFonts w:ascii="Arial"/>
                <w:color w:val="auto"/>
                <w:sz w:val="21"/>
                <w:highlight w:val="none"/>
              </w:rPr>
            </w:pPr>
          </w:p>
          <w:p w14:paraId="1DC5D086">
            <w:pPr>
              <w:pStyle w:val="12"/>
              <w:spacing w:before="78" w:line="222" w:lineRule="auto"/>
              <w:ind w:left="143" w:leftChars="0"/>
              <w:rPr>
                <w:color w:val="auto"/>
                <w:spacing w:val="-9"/>
                <w:highlight w:val="none"/>
              </w:rPr>
            </w:pPr>
            <w:r>
              <w:rPr>
                <w:color w:val="auto"/>
                <w:spacing w:val="-6"/>
                <w:highlight w:val="none"/>
              </w:rPr>
              <w:t>开标时间及地点</w:t>
            </w:r>
          </w:p>
        </w:tc>
        <w:tc>
          <w:tcPr>
            <w:tcW w:w="6773" w:type="dxa"/>
            <w:vAlign w:val="center"/>
          </w:tcPr>
          <w:p w14:paraId="43326730">
            <w:pPr>
              <w:pStyle w:val="12"/>
              <w:spacing w:before="169" w:line="232" w:lineRule="auto"/>
              <w:ind w:left="160" w:right="468" w:hanging="10"/>
              <w:jc w:val="both"/>
              <w:rPr>
                <w:color w:val="auto"/>
                <w:spacing w:val="-13"/>
                <w:highlight w:val="none"/>
              </w:rPr>
            </w:pPr>
            <w:r>
              <w:rPr>
                <w:color w:val="auto"/>
                <w:spacing w:val="-12"/>
                <w:highlight w:val="none"/>
              </w:rPr>
              <w:t>截止时间：</w:t>
            </w:r>
            <w:r>
              <w:rPr>
                <w:rFonts w:hint="eastAsia"/>
                <w:color w:val="auto"/>
                <w:spacing w:val="-12"/>
                <w:highlight w:val="none"/>
                <w:lang w:val="en-US" w:eastAsia="zh-CN"/>
              </w:rPr>
              <w:t>2026 年05月09日10点30分</w:t>
            </w:r>
            <w:r>
              <w:rPr>
                <w:color w:val="auto"/>
                <w:spacing w:val="-13"/>
                <w:highlight w:val="none"/>
              </w:rPr>
              <w:t>（北京时间）</w:t>
            </w:r>
          </w:p>
          <w:p w14:paraId="3D00247D">
            <w:pPr>
              <w:pStyle w:val="12"/>
              <w:spacing w:before="169" w:line="232" w:lineRule="auto"/>
              <w:ind w:left="160" w:right="468" w:hanging="10"/>
              <w:jc w:val="both"/>
              <w:rPr>
                <w:color w:val="auto"/>
                <w:highlight w:val="none"/>
              </w:rPr>
            </w:pPr>
            <w:r>
              <w:rPr>
                <w:color w:val="auto"/>
                <w:spacing w:val="-3"/>
                <w:highlight w:val="none"/>
              </w:rPr>
              <w:t>地点：</w:t>
            </w:r>
            <w:r>
              <w:rPr>
                <w:rFonts w:hint="eastAsia"/>
                <w:color w:val="auto"/>
                <w:spacing w:val="-3"/>
                <w:highlight w:val="none"/>
                <w:lang w:val="en-US" w:eastAsia="zh-CN"/>
              </w:rPr>
              <w:t>阿克苏地区</w:t>
            </w:r>
            <w:r>
              <w:rPr>
                <w:color w:val="auto"/>
                <w:spacing w:val="-3"/>
                <w:highlight w:val="none"/>
              </w:rPr>
              <w:t>公共资源交易中心三楼开标</w:t>
            </w:r>
            <w:r>
              <w:rPr>
                <w:color w:val="auto"/>
                <w:spacing w:val="-4"/>
                <w:highlight w:val="none"/>
              </w:rPr>
              <w:t>大厅</w:t>
            </w:r>
          </w:p>
          <w:p w14:paraId="73363A85">
            <w:pPr>
              <w:pStyle w:val="12"/>
              <w:ind w:left="163"/>
              <w:rPr>
                <w:color w:val="auto"/>
                <w:highlight w:val="none"/>
              </w:rPr>
            </w:pPr>
            <w:r>
              <w:rPr>
                <w:color w:val="auto"/>
                <w:spacing w:val="-3"/>
                <w:highlight w:val="none"/>
              </w:rPr>
              <w:t>提交响应文件地点: 政采云平台（</w:t>
            </w:r>
            <w:r>
              <w:rPr>
                <w:color w:val="auto"/>
                <w:highlight w:val="none"/>
              </w:rPr>
              <w:fldChar w:fldCharType="begin"/>
            </w:r>
            <w:r>
              <w:rPr>
                <w:color w:val="auto"/>
                <w:highlight w:val="none"/>
              </w:rPr>
              <w:instrText xml:space="preserve"> HYPERLINK "https://www.zcygov.com" </w:instrText>
            </w:r>
            <w:r>
              <w:rPr>
                <w:color w:val="auto"/>
                <w:highlight w:val="none"/>
              </w:rPr>
              <w:fldChar w:fldCharType="separate"/>
            </w:r>
            <w:r>
              <w:rPr>
                <w:color w:val="auto"/>
                <w:spacing w:val="-3"/>
                <w:highlight w:val="none"/>
              </w:rPr>
              <w:t>www.zcygov.com</w:t>
            </w:r>
            <w:r>
              <w:rPr>
                <w:color w:val="auto"/>
                <w:spacing w:val="-3"/>
                <w:highlight w:val="none"/>
              </w:rPr>
              <w:fldChar w:fldCharType="end"/>
            </w:r>
            <w:r>
              <w:rPr>
                <w:color w:val="auto"/>
                <w:spacing w:val="-3"/>
                <w:highlight w:val="none"/>
              </w:rPr>
              <w:t>）</w:t>
            </w:r>
          </w:p>
          <w:p w14:paraId="04109257">
            <w:pPr>
              <w:pStyle w:val="12"/>
              <w:spacing w:before="32" w:line="214" w:lineRule="auto"/>
              <w:ind w:left="156" w:leftChars="0" w:right="42" w:rightChars="0"/>
              <w:rPr>
                <w:color w:val="auto"/>
                <w:highlight w:val="none"/>
              </w:rPr>
            </w:pPr>
            <w:r>
              <w:rPr>
                <w:color w:val="auto"/>
                <w:spacing w:val="-10"/>
                <w:highlight w:val="none"/>
              </w:rPr>
              <w:t>投标人应于</w:t>
            </w:r>
            <w:r>
              <w:rPr>
                <w:rFonts w:hint="eastAsia"/>
                <w:color w:val="auto"/>
                <w:spacing w:val="-10"/>
                <w:highlight w:val="none"/>
                <w:lang w:val="en-US" w:eastAsia="zh-CN"/>
              </w:rPr>
              <w:t>2026 年05月09日10点30分</w:t>
            </w:r>
            <w:r>
              <w:rPr>
                <w:color w:val="auto"/>
                <w:spacing w:val="-10"/>
                <w:highlight w:val="none"/>
              </w:rPr>
              <w:t>（北京时间）</w:t>
            </w:r>
            <w:r>
              <w:rPr>
                <w:color w:val="auto"/>
                <w:spacing w:val="-10"/>
                <w:highlight w:val="none"/>
              </w:rPr>
              <w:t>之前将</w:t>
            </w:r>
            <w:r>
              <w:rPr>
                <w:color w:val="auto"/>
                <w:spacing w:val="-7"/>
                <w:highlight w:val="none"/>
              </w:rPr>
              <w:t>电子投标文件上传到“政采云</w:t>
            </w:r>
            <w:r>
              <w:rPr>
                <w:color w:val="auto"/>
                <w:spacing w:val="-15"/>
                <w:highlight w:val="none"/>
              </w:rPr>
              <w:t xml:space="preserve"> </w:t>
            </w:r>
            <w:r>
              <w:rPr>
                <w:color w:val="auto"/>
                <w:spacing w:val="-7"/>
                <w:highlight w:val="none"/>
              </w:rPr>
              <w:t>”平台。应按照本项目磋商</w:t>
            </w:r>
            <w:r>
              <w:rPr>
                <w:color w:val="auto"/>
                <w:spacing w:val="-3"/>
                <w:highlight w:val="none"/>
              </w:rPr>
              <w:t>文件和政采云平台的要求编制、加密传输投标文件。</w:t>
            </w:r>
          </w:p>
        </w:tc>
      </w:tr>
      <w:tr w14:paraId="76412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5C7C5642">
            <w:pPr>
              <w:spacing w:line="295" w:lineRule="auto"/>
              <w:rPr>
                <w:rFonts w:ascii="Arial"/>
                <w:color w:val="auto"/>
                <w:sz w:val="21"/>
                <w:highlight w:val="none"/>
              </w:rPr>
            </w:pPr>
          </w:p>
          <w:p w14:paraId="654A345E">
            <w:pPr>
              <w:pStyle w:val="12"/>
              <w:spacing w:before="78" w:line="241" w:lineRule="auto"/>
              <w:ind w:left="300" w:leftChars="0"/>
              <w:rPr>
                <w:color w:val="auto"/>
                <w:spacing w:val="-7"/>
                <w:highlight w:val="none"/>
              </w:rPr>
            </w:pPr>
            <w:r>
              <w:rPr>
                <w:color w:val="auto"/>
                <w:spacing w:val="-7"/>
                <w:highlight w:val="none"/>
              </w:rPr>
              <w:t>32</w:t>
            </w:r>
          </w:p>
        </w:tc>
        <w:tc>
          <w:tcPr>
            <w:tcW w:w="2137" w:type="dxa"/>
            <w:vAlign w:val="center"/>
          </w:tcPr>
          <w:p w14:paraId="3F39CCDE">
            <w:pPr>
              <w:spacing w:line="302" w:lineRule="auto"/>
              <w:rPr>
                <w:rFonts w:ascii="Arial"/>
                <w:color w:val="auto"/>
                <w:sz w:val="21"/>
                <w:highlight w:val="none"/>
              </w:rPr>
            </w:pPr>
          </w:p>
          <w:p w14:paraId="63C4AA19">
            <w:pPr>
              <w:pStyle w:val="12"/>
              <w:spacing w:before="78" w:line="223" w:lineRule="auto"/>
              <w:ind w:left="142" w:leftChars="0"/>
              <w:rPr>
                <w:color w:val="auto"/>
                <w:spacing w:val="-6"/>
                <w:highlight w:val="none"/>
              </w:rPr>
            </w:pPr>
            <w:r>
              <w:rPr>
                <w:color w:val="auto"/>
                <w:spacing w:val="-7"/>
                <w:highlight w:val="none"/>
              </w:rPr>
              <w:t>磋商小组</w:t>
            </w:r>
          </w:p>
        </w:tc>
        <w:tc>
          <w:tcPr>
            <w:tcW w:w="6773" w:type="dxa"/>
            <w:vAlign w:val="center"/>
          </w:tcPr>
          <w:p w14:paraId="114395DB">
            <w:pPr>
              <w:pStyle w:val="12"/>
              <w:spacing w:before="34" w:line="222" w:lineRule="auto"/>
              <w:ind w:left="14"/>
              <w:rPr>
                <w:color w:val="auto"/>
                <w:highlight w:val="none"/>
              </w:rPr>
            </w:pPr>
            <w:r>
              <w:rPr>
                <w:color w:val="auto"/>
                <w:spacing w:val="-7"/>
                <w:highlight w:val="none"/>
              </w:rPr>
              <w:t>磋商小组共 5 人，其中：</w:t>
            </w:r>
          </w:p>
          <w:p w14:paraId="0A1480FF">
            <w:pPr>
              <w:pStyle w:val="12"/>
              <w:spacing w:before="20" w:line="222" w:lineRule="auto"/>
              <w:ind w:left="17"/>
              <w:rPr>
                <w:color w:val="auto"/>
                <w:highlight w:val="none"/>
              </w:rPr>
            </w:pPr>
            <w:r>
              <w:rPr>
                <w:color w:val="auto"/>
                <w:spacing w:val="-8"/>
                <w:highlight w:val="none"/>
              </w:rPr>
              <w:t>采购人代表</w:t>
            </w:r>
            <w:r>
              <w:rPr>
                <w:color w:val="auto"/>
                <w:spacing w:val="-8"/>
                <w:highlight w:val="none"/>
                <w:u w:val="single" w:color="auto"/>
              </w:rPr>
              <w:t xml:space="preserve"> 0 </w:t>
            </w:r>
            <w:r>
              <w:rPr>
                <w:color w:val="auto"/>
                <w:spacing w:val="-8"/>
                <w:highlight w:val="none"/>
              </w:rPr>
              <w:t>人，评</w:t>
            </w:r>
            <w:r>
              <w:rPr>
                <w:color w:val="auto"/>
                <w:spacing w:val="-8"/>
                <w:highlight w:val="none"/>
              </w:rPr>
              <w:t>审专家</w:t>
            </w:r>
            <w:r>
              <w:rPr>
                <w:color w:val="auto"/>
                <w:spacing w:val="-8"/>
                <w:highlight w:val="none"/>
                <w:u w:val="single" w:color="auto"/>
              </w:rPr>
              <w:t xml:space="preserve"> 5 </w:t>
            </w:r>
            <w:r>
              <w:rPr>
                <w:color w:val="auto"/>
                <w:spacing w:val="-8"/>
                <w:highlight w:val="none"/>
              </w:rPr>
              <w:t>人。</w:t>
            </w:r>
          </w:p>
          <w:p w14:paraId="6D902874">
            <w:pPr>
              <w:pStyle w:val="12"/>
              <w:spacing w:before="22"/>
              <w:ind w:left="16" w:right="1014" w:firstLine="120"/>
              <w:rPr>
                <w:color w:val="auto"/>
                <w:highlight w:val="none"/>
              </w:rPr>
            </w:pPr>
            <w:r>
              <w:rPr>
                <w:color w:val="auto"/>
                <w:spacing w:val="-2"/>
                <w:highlight w:val="none"/>
              </w:rPr>
              <w:t>评标专家确定方式：从政府采购专家库随机抽取</w:t>
            </w:r>
            <w:r>
              <w:rPr>
                <w:color w:val="auto"/>
                <w:spacing w:val="-3"/>
                <w:highlight w:val="none"/>
              </w:rPr>
              <w:t>评标委员会推荐中标候选人的人数：</w:t>
            </w:r>
            <w:r>
              <w:rPr>
                <w:color w:val="auto"/>
                <w:spacing w:val="-3"/>
                <w:highlight w:val="none"/>
                <w:u w:val="single" w:color="auto"/>
              </w:rPr>
              <w:t xml:space="preserve">3 </w:t>
            </w:r>
            <w:r>
              <w:rPr>
                <w:color w:val="auto"/>
                <w:spacing w:val="-3"/>
                <w:highlight w:val="none"/>
              </w:rPr>
              <w:t>人</w:t>
            </w:r>
          </w:p>
          <w:p w14:paraId="2B079F70">
            <w:pPr>
              <w:pStyle w:val="12"/>
              <w:spacing w:before="1" w:line="203" w:lineRule="auto"/>
              <w:ind w:left="16" w:leftChars="0"/>
              <w:rPr>
                <w:color w:val="auto"/>
                <w:spacing w:val="-10"/>
                <w:highlight w:val="none"/>
              </w:rPr>
            </w:pPr>
            <w:r>
              <w:rPr>
                <w:color w:val="auto"/>
                <w:highlight w:val="none"/>
              </w:rPr>
              <w:t>是否授权评标委员会确定中标人：否</w:t>
            </w:r>
          </w:p>
        </w:tc>
      </w:tr>
      <w:tr w14:paraId="6D9AB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2F20E5F5">
            <w:pPr>
              <w:pStyle w:val="12"/>
              <w:spacing w:before="183" w:line="199" w:lineRule="auto"/>
              <w:ind w:left="300" w:leftChars="0"/>
              <w:rPr>
                <w:color w:val="auto"/>
                <w:spacing w:val="-7"/>
                <w:highlight w:val="none"/>
              </w:rPr>
            </w:pPr>
            <w:r>
              <w:rPr>
                <w:color w:val="auto"/>
                <w:spacing w:val="-7"/>
                <w:highlight w:val="none"/>
              </w:rPr>
              <w:t>33</w:t>
            </w:r>
          </w:p>
        </w:tc>
        <w:tc>
          <w:tcPr>
            <w:tcW w:w="2137" w:type="dxa"/>
            <w:vAlign w:val="center"/>
          </w:tcPr>
          <w:p w14:paraId="41A156B4">
            <w:pPr>
              <w:pStyle w:val="12"/>
              <w:spacing w:before="180" w:line="201" w:lineRule="auto"/>
              <w:ind w:left="148" w:leftChars="0"/>
              <w:rPr>
                <w:color w:val="auto"/>
                <w:spacing w:val="-6"/>
                <w:highlight w:val="none"/>
              </w:rPr>
            </w:pPr>
            <w:r>
              <w:rPr>
                <w:color w:val="auto"/>
                <w:spacing w:val="-8"/>
                <w:highlight w:val="none"/>
              </w:rPr>
              <w:t>评审办法</w:t>
            </w:r>
          </w:p>
        </w:tc>
        <w:tc>
          <w:tcPr>
            <w:tcW w:w="6773" w:type="dxa"/>
            <w:vAlign w:val="center"/>
          </w:tcPr>
          <w:p w14:paraId="6A3943E4">
            <w:pPr>
              <w:pStyle w:val="12"/>
              <w:spacing w:before="180" w:line="201" w:lineRule="auto"/>
              <w:ind w:left="157" w:leftChars="0"/>
              <w:rPr>
                <w:color w:val="auto"/>
                <w:spacing w:val="-10"/>
                <w:highlight w:val="none"/>
              </w:rPr>
            </w:pPr>
            <w:r>
              <w:rPr>
                <w:color w:val="auto"/>
                <w:spacing w:val="-9"/>
                <w:highlight w:val="none"/>
              </w:rPr>
              <w:t>综合评分法</w:t>
            </w:r>
          </w:p>
        </w:tc>
      </w:tr>
      <w:tr w14:paraId="2DC3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70F69E8D">
            <w:pPr>
              <w:spacing w:line="242" w:lineRule="auto"/>
              <w:rPr>
                <w:rFonts w:ascii="Arial"/>
                <w:color w:val="auto"/>
                <w:sz w:val="21"/>
                <w:highlight w:val="none"/>
              </w:rPr>
            </w:pPr>
          </w:p>
          <w:p w14:paraId="5A9B313C">
            <w:pPr>
              <w:spacing w:line="243" w:lineRule="auto"/>
              <w:rPr>
                <w:rFonts w:ascii="Arial"/>
                <w:color w:val="auto"/>
                <w:sz w:val="21"/>
                <w:highlight w:val="none"/>
              </w:rPr>
            </w:pPr>
          </w:p>
          <w:p w14:paraId="37DE09E3">
            <w:pPr>
              <w:pStyle w:val="12"/>
              <w:spacing w:before="78" w:line="241" w:lineRule="auto"/>
              <w:ind w:left="300" w:leftChars="0"/>
              <w:rPr>
                <w:color w:val="auto"/>
                <w:spacing w:val="-7"/>
                <w:highlight w:val="none"/>
              </w:rPr>
            </w:pPr>
            <w:r>
              <w:rPr>
                <w:color w:val="auto"/>
                <w:spacing w:val="-7"/>
                <w:highlight w:val="none"/>
              </w:rPr>
              <w:t>34</w:t>
            </w:r>
          </w:p>
        </w:tc>
        <w:tc>
          <w:tcPr>
            <w:tcW w:w="2137" w:type="dxa"/>
            <w:vAlign w:val="center"/>
          </w:tcPr>
          <w:p w14:paraId="75810B1C">
            <w:pPr>
              <w:spacing w:line="336" w:lineRule="auto"/>
              <w:rPr>
                <w:rFonts w:ascii="Arial"/>
                <w:color w:val="auto"/>
                <w:sz w:val="21"/>
                <w:highlight w:val="none"/>
              </w:rPr>
            </w:pPr>
          </w:p>
          <w:p w14:paraId="47C888C3">
            <w:pPr>
              <w:pStyle w:val="12"/>
              <w:spacing w:before="78" w:line="260" w:lineRule="auto"/>
              <w:ind w:left="159" w:leftChars="0" w:right="129" w:rightChars="0" w:hanging="11" w:firstLineChars="0"/>
              <w:rPr>
                <w:color w:val="auto"/>
                <w:spacing w:val="-6"/>
                <w:highlight w:val="none"/>
              </w:rPr>
            </w:pPr>
            <w:r>
              <w:rPr>
                <w:color w:val="auto"/>
                <w:spacing w:val="1"/>
                <w:highlight w:val="none"/>
              </w:rPr>
              <w:t>是否授权磋商小组确</w:t>
            </w:r>
            <w:r>
              <w:rPr>
                <w:color w:val="auto"/>
                <w:spacing w:val="-9"/>
                <w:highlight w:val="none"/>
              </w:rPr>
              <w:t>定成交供应商</w:t>
            </w:r>
          </w:p>
        </w:tc>
        <w:tc>
          <w:tcPr>
            <w:tcW w:w="6773" w:type="dxa"/>
            <w:vAlign w:val="center"/>
          </w:tcPr>
          <w:p w14:paraId="43EE9C81">
            <w:pPr>
              <w:pStyle w:val="12"/>
              <w:spacing w:before="203" w:line="253" w:lineRule="auto"/>
              <w:ind w:left="525" w:right="121" w:hanging="324"/>
              <w:rPr>
                <w:color w:val="auto"/>
                <w:highlight w:val="none"/>
              </w:rPr>
            </w:pPr>
            <w:r>
              <w:rPr>
                <w:color w:val="auto"/>
                <w:spacing w:val="-2"/>
                <w:highlight w:val="none"/>
              </w:rPr>
              <w:t>□ 是，每包确定一个成交供应商，成交结果在相关媒介</w:t>
            </w:r>
            <w:r>
              <w:rPr>
                <w:color w:val="auto"/>
                <w:spacing w:val="-10"/>
                <w:highlight w:val="none"/>
              </w:rPr>
              <w:t>发布，公告期限为</w:t>
            </w:r>
            <w:r>
              <w:rPr>
                <w:color w:val="auto"/>
                <w:spacing w:val="-10"/>
                <w:highlight w:val="none"/>
                <w:u w:val="single" w:color="auto"/>
              </w:rPr>
              <w:t xml:space="preserve"> 1 </w:t>
            </w:r>
            <w:r>
              <w:rPr>
                <w:color w:val="auto"/>
                <w:spacing w:val="-10"/>
                <w:highlight w:val="none"/>
              </w:rPr>
              <w:t>个工作日。</w:t>
            </w:r>
          </w:p>
          <w:p w14:paraId="73110F14">
            <w:pPr>
              <w:pStyle w:val="12"/>
              <w:spacing w:before="89" w:line="206" w:lineRule="auto"/>
              <w:ind w:left="157" w:leftChars="0"/>
              <w:rPr>
                <w:color w:val="auto"/>
                <w:spacing w:val="-10"/>
                <w:highlight w:val="none"/>
              </w:rPr>
            </w:pPr>
            <w:r>
              <w:rPr>
                <w:rFonts w:ascii="MS UI Gothic" w:hAnsi="MS UI Gothic" w:eastAsia="MS UI Gothic" w:cs="MS UI Gothic"/>
                <w:color w:val="auto"/>
                <w:spacing w:val="-5"/>
                <w:highlight w:val="none"/>
              </w:rPr>
              <w:t xml:space="preserve">☑  </w:t>
            </w:r>
            <w:r>
              <w:rPr>
                <w:color w:val="auto"/>
                <w:spacing w:val="-5"/>
                <w:highlight w:val="none"/>
              </w:rPr>
              <w:t>否，推荐的成交候选供应商个数：</w:t>
            </w:r>
            <w:r>
              <w:rPr>
                <w:color w:val="auto"/>
                <w:spacing w:val="40"/>
                <w:highlight w:val="none"/>
              </w:rPr>
              <w:t xml:space="preserve"> </w:t>
            </w:r>
            <w:r>
              <w:rPr>
                <w:color w:val="auto"/>
                <w:spacing w:val="-5"/>
                <w:highlight w:val="none"/>
              </w:rPr>
              <w:t>3</w:t>
            </w:r>
          </w:p>
        </w:tc>
      </w:tr>
      <w:tr w14:paraId="037C1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04A05F0F">
            <w:pPr>
              <w:rPr>
                <w:rFonts w:ascii="Arial"/>
                <w:color w:val="auto"/>
                <w:sz w:val="21"/>
                <w:highlight w:val="none"/>
              </w:rPr>
            </w:pPr>
          </w:p>
          <w:p w14:paraId="70E6E5EE">
            <w:pPr>
              <w:rPr>
                <w:rFonts w:ascii="Arial"/>
                <w:color w:val="auto"/>
                <w:sz w:val="21"/>
                <w:highlight w:val="none"/>
              </w:rPr>
            </w:pPr>
          </w:p>
          <w:p w14:paraId="5BBC08A6">
            <w:pPr>
              <w:pStyle w:val="12"/>
              <w:spacing w:before="78" w:line="241" w:lineRule="auto"/>
              <w:ind w:left="300" w:leftChars="0"/>
              <w:rPr>
                <w:color w:val="auto"/>
                <w:spacing w:val="-7"/>
                <w:highlight w:val="none"/>
              </w:rPr>
            </w:pPr>
            <w:r>
              <w:rPr>
                <w:color w:val="auto"/>
                <w:spacing w:val="-7"/>
                <w:highlight w:val="none"/>
              </w:rPr>
              <w:t>35</w:t>
            </w:r>
          </w:p>
        </w:tc>
        <w:tc>
          <w:tcPr>
            <w:tcW w:w="2137" w:type="dxa"/>
            <w:vAlign w:val="center"/>
          </w:tcPr>
          <w:p w14:paraId="72084E34">
            <w:pPr>
              <w:spacing w:line="241" w:lineRule="auto"/>
              <w:rPr>
                <w:rFonts w:ascii="Arial"/>
                <w:color w:val="auto"/>
                <w:sz w:val="21"/>
                <w:highlight w:val="none"/>
              </w:rPr>
            </w:pPr>
          </w:p>
          <w:p w14:paraId="74017FE0">
            <w:pPr>
              <w:spacing w:line="242" w:lineRule="auto"/>
              <w:rPr>
                <w:rFonts w:ascii="Arial"/>
                <w:color w:val="auto"/>
                <w:sz w:val="21"/>
                <w:highlight w:val="none"/>
              </w:rPr>
            </w:pPr>
          </w:p>
          <w:p w14:paraId="5411D509">
            <w:pPr>
              <w:pStyle w:val="12"/>
              <w:spacing w:before="78" w:line="222" w:lineRule="auto"/>
              <w:ind w:left="148" w:leftChars="0"/>
              <w:rPr>
                <w:color w:val="auto"/>
                <w:spacing w:val="-6"/>
                <w:highlight w:val="none"/>
              </w:rPr>
            </w:pPr>
            <w:r>
              <w:rPr>
                <w:color w:val="auto"/>
                <w:spacing w:val="-7"/>
                <w:highlight w:val="none"/>
              </w:rPr>
              <w:t>是否退还响应文件</w:t>
            </w:r>
          </w:p>
        </w:tc>
        <w:tc>
          <w:tcPr>
            <w:tcW w:w="6773" w:type="dxa"/>
            <w:vAlign w:val="center"/>
          </w:tcPr>
          <w:p w14:paraId="119F52B2">
            <w:pPr>
              <w:pStyle w:val="12"/>
              <w:spacing w:before="227" w:line="249" w:lineRule="auto"/>
              <w:ind w:left="146" w:leftChars="0" w:right="95" w:rightChars="0" w:firstLine="36" w:firstLineChars="0"/>
              <w:jc w:val="both"/>
              <w:rPr>
                <w:color w:val="auto"/>
                <w:spacing w:val="-10"/>
                <w:highlight w:val="none"/>
              </w:rPr>
            </w:pPr>
            <w:r>
              <w:rPr>
                <w:color w:val="auto"/>
                <w:spacing w:val="-5"/>
                <w:highlight w:val="none"/>
              </w:rPr>
              <w:t>除供应商需收回的资格、资信等证明文件中的证明材料原</w:t>
            </w:r>
            <w:r>
              <w:rPr>
                <w:color w:val="auto"/>
                <w:spacing w:val="-4"/>
                <w:highlight w:val="none"/>
              </w:rPr>
              <w:t>件（如营业执照、合同、相关资质证书等）外，其他文件</w:t>
            </w:r>
            <w:r>
              <w:rPr>
                <w:color w:val="auto"/>
                <w:spacing w:val="-7"/>
                <w:highlight w:val="none"/>
              </w:rPr>
              <w:t>概不退还。</w:t>
            </w:r>
          </w:p>
        </w:tc>
      </w:tr>
      <w:tr w14:paraId="3D5F9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187A8B15">
            <w:pPr>
              <w:pStyle w:val="12"/>
              <w:spacing w:before="168" w:line="203" w:lineRule="auto"/>
              <w:ind w:left="300" w:leftChars="0"/>
              <w:rPr>
                <w:color w:val="auto"/>
                <w:spacing w:val="-7"/>
                <w:highlight w:val="none"/>
              </w:rPr>
            </w:pPr>
            <w:r>
              <w:rPr>
                <w:color w:val="auto"/>
                <w:spacing w:val="-7"/>
                <w:highlight w:val="none"/>
              </w:rPr>
              <w:t>36</w:t>
            </w:r>
          </w:p>
        </w:tc>
        <w:tc>
          <w:tcPr>
            <w:tcW w:w="8910" w:type="dxa"/>
            <w:gridSpan w:val="2"/>
            <w:vAlign w:val="center"/>
          </w:tcPr>
          <w:p w14:paraId="5255983D">
            <w:pPr>
              <w:pStyle w:val="12"/>
              <w:spacing w:before="164" w:line="206" w:lineRule="auto"/>
              <w:ind w:left="149" w:leftChars="0"/>
              <w:rPr>
                <w:color w:val="auto"/>
                <w:spacing w:val="-10"/>
                <w:highlight w:val="none"/>
              </w:rPr>
            </w:pPr>
            <w:r>
              <w:rPr>
                <w:color w:val="auto"/>
                <w:spacing w:val="-7"/>
                <w:highlight w:val="none"/>
              </w:rPr>
              <w:t>其他需补充的内容</w:t>
            </w:r>
          </w:p>
        </w:tc>
      </w:tr>
      <w:tr w14:paraId="74B0B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3426A70A">
            <w:pPr>
              <w:spacing w:line="242" w:lineRule="auto"/>
              <w:rPr>
                <w:rFonts w:ascii="Arial"/>
                <w:color w:val="auto"/>
                <w:sz w:val="21"/>
                <w:highlight w:val="none"/>
              </w:rPr>
            </w:pPr>
          </w:p>
          <w:p w14:paraId="35795184">
            <w:pPr>
              <w:spacing w:line="242" w:lineRule="auto"/>
              <w:rPr>
                <w:rFonts w:ascii="Arial"/>
                <w:color w:val="auto"/>
                <w:sz w:val="21"/>
                <w:highlight w:val="none"/>
              </w:rPr>
            </w:pPr>
          </w:p>
          <w:p w14:paraId="5AEFB924">
            <w:pPr>
              <w:spacing w:line="242" w:lineRule="auto"/>
              <w:rPr>
                <w:rFonts w:ascii="Arial"/>
                <w:color w:val="auto"/>
                <w:sz w:val="21"/>
                <w:highlight w:val="none"/>
              </w:rPr>
            </w:pPr>
          </w:p>
          <w:p w14:paraId="0F2ABF1E">
            <w:pPr>
              <w:spacing w:line="243" w:lineRule="auto"/>
              <w:rPr>
                <w:rFonts w:ascii="Arial"/>
                <w:color w:val="auto"/>
                <w:sz w:val="21"/>
                <w:highlight w:val="none"/>
              </w:rPr>
            </w:pPr>
          </w:p>
          <w:p w14:paraId="139886B3">
            <w:pPr>
              <w:spacing w:line="243" w:lineRule="auto"/>
              <w:rPr>
                <w:rFonts w:ascii="Arial"/>
                <w:color w:val="auto"/>
                <w:sz w:val="21"/>
                <w:highlight w:val="none"/>
              </w:rPr>
            </w:pPr>
          </w:p>
          <w:p w14:paraId="5A9E42D2">
            <w:pPr>
              <w:spacing w:line="243" w:lineRule="auto"/>
              <w:rPr>
                <w:rFonts w:ascii="Arial"/>
                <w:color w:val="auto"/>
                <w:sz w:val="21"/>
                <w:highlight w:val="none"/>
              </w:rPr>
            </w:pPr>
          </w:p>
          <w:p w14:paraId="714E0D31">
            <w:pPr>
              <w:spacing w:line="243" w:lineRule="auto"/>
              <w:rPr>
                <w:rFonts w:ascii="Arial"/>
                <w:color w:val="auto"/>
                <w:sz w:val="21"/>
                <w:highlight w:val="none"/>
              </w:rPr>
            </w:pPr>
          </w:p>
          <w:p w14:paraId="668B1958">
            <w:pPr>
              <w:spacing w:line="243" w:lineRule="auto"/>
              <w:rPr>
                <w:rFonts w:ascii="Arial"/>
                <w:color w:val="auto"/>
                <w:sz w:val="21"/>
                <w:highlight w:val="none"/>
              </w:rPr>
            </w:pPr>
          </w:p>
          <w:p w14:paraId="56CB8BCA">
            <w:pPr>
              <w:spacing w:line="243" w:lineRule="auto"/>
              <w:rPr>
                <w:rFonts w:ascii="Arial"/>
                <w:color w:val="auto"/>
                <w:sz w:val="21"/>
                <w:highlight w:val="none"/>
              </w:rPr>
            </w:pPr>
          </w:p>
          <w:p w14:paraId="76592931">
            <w:pPr>
              <w:spacing w:line="243" w:lineRule="auto"/>
              <w:rPr>
                <w:rFonts w:ascii="Arial"/>
                <w:color w:val="auto"/>
                <w:sz w:val="21"/>
                <w:highlight w:val="none"/>
              </w:rPr>
            </w:pPr>
          </w:p>
          <w:p w14:paraId="1CDD00C0">
            <w:pPr>
              <w:spacing w:line="243" w:lineRule="auto"/>
              <w:rPr>
                <w:rFonts w:ascii="Arial"/>
                <w:color w:val="auto"/>
                <w:sz w:val="21"/>
                <w:highlight w:val="none"/>
              </w:rPr>
            </w:pPr>
          </w:p>
          <w:p w14:paraId="676970DC">
            <w:pPr>
              <w:spacing w:line="243" w:lineRule="auto"/>
              <w:rPr>
                <w:rFonts w:ascii="Arial"/>
                <w:color w:val="auto"/>
                <w:sz w:val="21"/>
                <w:highlight w:val="none"/>
              </w:rPr>
            </w:pPr>
          </w:p>
          <w:p w14:paraId="26A7BAA5">
            <w:pPr>
              <w:pStyle w:val="12"/>
              <w:spacing w:before="78" w:line="315" w:lineRule="exact"/>
              <w:ind w:left="193" w:leftChars="0"/>
              <w:rPr>
                <w:color w:val="auto"/>
                <w:spacing w:val="-7"/>
                <w:highlight w:val="none"/>
              </w:rPr>
            </w:pPr>
            <w:r>
              <w:rPr>
                <w:color w:val="auto"/>
                <w:position w:val="1"/>
                <w:highlight w:val="none"/>
              </w:rPr>
              <w:t>1</w:t>
            </w:r>
          </w:p>
        </w:tc>
        <w:tc>
          <w:tcPr>
            <w:tcW w:w="2137" w:type="dxa"/>
            <w:vAlign w:val="center"/>
          </w:tcPr>
          <w:p w14:paraId="46F60254">
            <w:pPr>
              <w:spacing w:line="243" w:lineRule="auto"/>
              <w:rPr>
                <w:rFonts w:ascii="Arial"/>
                <w:color w:val="auto"/>
                <w:sz w:val="21"/>
                <w:highlight w:val="none"/>
              </w:rPr>
            </w:pPr>
          </w:p>
          <w:p w14:paraId="03704189">
            <w:pPr>
              <w:spacing w:line="243" w:lineRule="auto"/>
              <w:rPr>
                <w:rFonts w:ascii="Arial"/>
                <w:color w:val="auto"/>
                <w:sz w:val="21"/>
                <w:highlight w:val="none"/>
              </w:rPr>
            </w:pPr>
          </w:p>
          <w:p w14:paraId="71DCA1B2">
            <w:pPr>
              <w:spacing w:line="243" w:lineRule="auto"/>
              <w:rPr>
                <w:rFonts w:ascii="Arial"/>
                <w:color w:val="auto"/>
                <w:sz w:val="21"/>
                <w:highlight w:val="none"/>
              </w:rPr>
            </w:pPr>
          </w:p>
          <w:p w14:paraId="4AC394BB">
            <w:pPr>
              <w:spacing w:line="243" w:lineRule="auto"/>
              <w:rPr>
                <w:rFonts w:ascii="Arial"/>
                <w:color w:val="auto"/>
                <w:sz w:val="21"/>
                <w:highlight w:val="none"/>
              </w:rPr>
            </w:pPr>
          </w:p>
          <w:p w14:paraId="08E673CE">
            <w:pPr>
              <w:spacing w:line="243" w:lineRule="auto"/>
              <w:rPr>
                <w:rFonts w:ascii="Arial"/>
                <w:color w:val="auto"/>
                <w:sz w:val="21"/>
                <w:highlight w:val="none"/>
              </w:rPr>
            </w:pPr>
          </w:p>
          <w:p w14:paraId="3B0605D0">
            <w:pPr>
              <w:spacing w:line="243" w:lineRule="auto"/>
              <w:rPr>
                <w:rFonts w:ascii="Arial"/>
                <w:color w:val="auto"/>
                <w:sz w:val="21"/>
                <w:highlight w:val="none"/>
              </w:rPr>
            </w:pPr>
          </w:p>
          <w:p w14:paraId="3D2B62F0">
            <w:pPr>
              <w:spacing w:line="243" w:lineRule="auto"/>
              <w:rPr>
                <w:rFonts w:ascii="Arial"/>
                <w:color w:val="auto"/>
                <w:sz w:val="21"/>
                <w:highlight w:val="none"/>
              </w:rPr>
            </w:pPr>
          </w:p>
          <w:p w14:paraId="1D922838">
            <w:pPr>
              <w:spacing w:line="244" w:lineRule="auto"/>
              <w:rPr>
                <w:rFonts w:ascii="Arial"/>
                <w:color w:val="auto"/>
                <w:sz w:val="21"/>
                <w:highlight w:val="none"/>
              </w:rPr>
            </w:pPr>
          </w:p>
          <w:p w14:paraId="4365586F">
            <w:pPr>
              <w:spacing w:line="244" w:lineRule="auto"/>
              <w:rPr>
                <w:rFonts w:ascii="Arial"/>
                <w:color w:val="auto"/>
                <w:sz w:val="21"/>
                <w:highlight w:val="none"/>
              </w:rPr>
            </w:pPr>
          </w:p>
          <w:p w14:paraId="60FCD053">
            <w:pPr>
              <w:spacing w:line="244" w:lineRule="auto"/>
              <w:rPr>
                <w:rFonts w:ascii="Arial"/>
                <w:color w:val="auto"/>
                <w:sz w:val="21"/>
                <w:highlight w:val="none"/>
              </w:rPr>
            </w:pPr>
          </w:p>
          <w:p w14:paraId="30E5F36A">
            <w:pPr>
              <w:spacing w:line="244" w:lineRule="auto"/>
              <w:rPr>
                <w:rFonts w:ascii="Arial"/>
                <w:color w:val="auto"/>
                <w:sz w:val="21"/>
                <w:highlight w:val="none"/>
              </w:rPr>
            </w:pPr>
          </w:p>
          <w:p w14:paraId="34103392">
            <w:pPr>
              <w:pStyle w:val="12"/>
              <w:spacing w:before="78" w:line="241" w:lineRule="auto"/>
              <w:ind w:left="142" w:leftChars="0" w:right="127" w:rightChars="0" w:firstLine="4" w:firstLineChars="0"/>
              <w:rPr>
                <w:color w:val="auto"/>
                <w:spacing w:val="-7"/>
                <w:highlight w:val="none"/>
              </w:rPr>
            </w:pPr>
            <w:r>
              <w:rPr>
                <w:color w:val="auto"/>
                <w:spacing w:val="2"/>
                <w:highlight w:val="none"/>
              </w:rPr>
              <w:t>供应商电子不见面开</w:t>
            </w:r>
            <w:r>
              <w:rPr>
                <w:color w:val="auto"/>
                <w:spacing w:val="-7"/>
                <w:highlight w:val="none"/>
              </w:rPr>
              <w:t>标注意事项</w:t>
            </w:r>
          </w:p>
        </w:tc>
        <w:tc>
          <w:tcPr>
            <w:tcW w:w="6773" w:type="dxa"/>
            <w:vAlign w:val="center"/>
          </w:tcPr>
          <w:p w14:paraId="079FB877">
            <w:pPr>
              <w:pStyle w:val="12"/>
              <w:spacing w:before="172" w:line="277" w:lineRule="auto"/>
              <w:ind w:left="151" w:right="93" w:firstLine="18"/>
              <w:rPr>
                <w:color w:val="auto"/>
                <w:highlight w:val="none"/>
              </w:rPr>
            </w:pPr>
            <w:r>
              <w:rPr>
                <w:color w:val="auto"/>
                <w:spacing w:val="-5"/>
                <w:highlight w:val="none"/>
              </w:rPr>
              <w:t>本次采购活动不要求供应商到场递交响应文件，仅需在政</w:t>
            </w:r>
            <w:r>
              <w:rPr>
                <w:color w:val="auto"/>
                <w:spacing w:val="-4"/>
                <w:highlight w:val="none"/>
              </w:rPr>
              <w:t>采云平台递交已加密的电子响应文件，并注意以下事项：</w:t>
            </w:r>
          </w:p>
          <w:p w14:paraId="5EE41DDD">
            <w:pPr>
              <w:pStyle w:val="12"/>
              <w:spacing w:before="3" w:line="278" w:lineRule="auto"/>
              <w:ind w:left="151" w:right="90" w:firstLine="9"/>
              <w:rPr>
                <w:color w:val="auto"/>
                <w:highlight w:val="none"/>
              </w:rPr>
            </w:pPr>
            <w:r>
              <w:rPr>
                <w:color w:val="auto"/>
                <w:spacing w:val="5"/>
                <w:highlight w:val="none"/>
              </w:rPr>
              <w:t>1.本项目为电子招投标项目，供应商需要使用</w:t>
            </w:r>
            <w:r>
              <w:rPr>
                <w:color w:val="auto"/>
                <w:highlight w:val="none"/>
              </w:rPr>
              <w:t>CA</w:t>
            </w:r>
            <w:r>
              <w:rPr>
                <w:color w:val="auto"/>
                <w:spacing w:val="5"/>
                <w:highlight w:val="none"/>
              </w:rPr>
              <w:t>加密设</w:t>
            </w:r>
            <w:r>
              <w:rPr>
                <w:color w:val="auto"/>
                <w:spacing w:val="1"/>
                <w:highlight w:val="none"/>
              </w:rPr>
              <w:t>备，凡参加本项目供应商可通过新疆数字证书 认</w:t>
            </w:r>
            <w:r>
              <w:rPr>
                <w:color w:val="auto"/>
                <w:highlight w:val="none"/>
              </w:rPr>
              <w:t>证中心</w:t>
            </w:r>
            <w:r>
              <w:rPr>
                <w:color w:val="auto"/>
                <w:spacing w:val="7"/>
                <w:highlight w:val="none"/>
              </w:rPr>
              <w:t>官网（</w:t>
            </w:r>
            <w:r>
              <w:rPr>
                <w:color w:val="auto"/>
                <w:highlight w:val="none"/>
              </w:rPr>
              <w:fldChar w:fldCharType="begin"/>
            </w:r>
            <w:r>
              <w:rPr>
                <w:color w:val="auto"/>
                <w:highlight w:val="none"/>
              </w:rPr>
              <w:instrText xml:space="preserve"> HYPERLINK "https://www.xjca.com.cn/" </w:instrText>
            </w:r>
            <w:r>
              <w:rPr>
                <w:color w:val="auto"/>
                <w:highlight w:val="none"/>
              </w:rPr>
              <w:fldChar w:fldCharType="separate"/>
            </w:r>
            <w:r>
              <w:rPr>
                <w:color w:val="auto"/>
                <w:highlight w:val="none"/>
              </w:rPr>
              <w:t>https</w:t>
            </w:r>
            <w:r>
              <w:rPr>
                <w:color w:val="auto"/>
                <w:spacing w:val="7"/>
                <w:highlight w:val="none"/>
              </w:rPr>
              <w:t>://</w:t>
            </w:r>
            <w:r>
              <w:rPr>
                <w:color w:val="auto"/>
                <w:highlight w:val="none"/>
              </w:rPr>
              <w:t>www</w:t>
            </w:r>
            <w:r>
              <w:rPr>
                <w:color w:val="auto"/>
                <w:spacing w:val="7"/>
                <w:highlight w:val="none"/>
              </w:rPr>
              <w:t>.</w:t>
            </w:r>
            <w:r>
              <w:rPr>
                <w:color w:val="auto"/>
                <w:highlight w:val="none"/>
              </w:rPr>
              <w:t>xjca</w:t>
            </w:r>
            <w:r>
              <w:rPr>
                <w:color w:val="auto"/>
                <w:spacing w:val="7"/>
                <w:highlight w:val="none"/>
              </w:rPr>
              <w:t>.</w:t>
            </w:r>
            <w:r>
              <w:rPr>
                <w:color w:val="auto"/>
                <w:highlight w:val="none"/>
              </w:rPr>
              <w:t>com</w:t>
            </w:r>
            <w:r>
              <w:rPr>
                <w:color w:val="auto"/>
                <w:spacing w:val="7"/>
                <w:highlight w:val="none"/>
              </w:rPr>
              <w:t>.</w:t>
            </w:r>
            <w:r>
              <w:rPr>
                <w:color w:val="auto"/>
                <w:highlight w:val="none"/>
              </w:rPr>
              <w:t>cn</w:t>
            </w:r>
            <w:r>
              <w:rPr>
                <w:color w:val="auto"/>
                <w:spacing w:val="7"/>
                <w:highlight w:val="none"/>
              </w:rPr>
              <w:t>/</w:t>
            </w:r>
            <w:r>
              <w:rPr>
                <w:color w:val="auto"/>
                <w:spacing w:val="7"/>
                <w:highlight w:val="none"/>
              </w:rPr>
              <w:fldChar w:fldCharType="end"/>
            </w:r>
            <w:r>
              <w:rPr>
                <w:color w:val="auto"/>
                <w:spacing w:val="7"/>
                <w:highlight w:val="none"/>
              </w:rPr>
              <w:t>）或下载“新疆政务</w:t>
            </w:r>
            <w:r>
              <w:rPr>
                <w:color w:val="auto"/>
                <w:spacing w:val="-5"/>
                <w:highlight w:val="none"/>
              </w:rPr>
              <w:t>通 ”APP</w:t>
            </w:r>
            <w:r>
              <w:rPr>
                <w:color w:val="auto"/>
                <w:spacing w:val="24"/>
                <w:highlight w:val="none"/>
              </w:rPr>
              <w:t xml:space="preserve">  </w:t>
            </w:r>
            <w:r>
              <w:rPr>
                <w:color w:val="auto"/>
                <w:spacing w:val="-5"/>
                <w:highlight w:val="none"/>
              </w:rPr>
              <w:t>自行进行线上申领，如有操作</w:t>
            </w:r>
            <w:r>
              <w:rPr>
                <w:color w:val="auto"/>
                <w:spacing w:val="-6"/>
                <w:highlight w:val="none"/>
              </w:rPr>
              <w:t>性问题可与政采</w:t>
            </w:r>
            <w:r>
              <w:rPr>
                <w:color w:val="auto"/>
                <w:spacing w:val="-3"/>
                <w:highlight w:val="none"/>
              </w:rPr>
              <w:t xml:space="preserve">云在线客服进行咨询，咨询电话： </w:t>
            </w:r>
            <w:r>
              <w:rPr>
                <w:rFonts w:hint="eastAsia"/>
                <w:color w:val="auto"/>
                <w:spacing w:val="-3"/>
                <w:highlight w:val="none"/>
                <w:lang w:eastAsia="zh-CN"/>
              </w:rPr>
              <w:t>95763</w:t>
            </w:r>
            <w:r>
              <w:rPr>
                <w:color w:val="auto"/>
                <w:spacing w:val="-3"/>
                <w:highlight w:val="none"/>
              </w:rPr>
              <w:t>。</w:t>
            </w:r>
          </w:p>
          <w:p w14:paraId="25401F0D">
            <w:pPr>
              <w:pStyle w:val="12"/>
              <w:spacing w:before="83" w:line="276" w:lineRule="auto"/>
              <w:ind w:left="149" w:right="32" w:hanging="14"/>
              <w:rPr>
                <w:color w:val="auto"/>
                <w:highlight w:val="none"/>
              </w:rPr>
            </w:pPr>
            <w:r>
              <w:rPr>
                <w:color w:val="auto"/>
                <w:spacing w:val="8"/>
                <w:highlight w:val="none"/>
              </w:rPr>
              <w:t>2.供应商应在开标前应确保成为新疆政府采购网正式注</w:t>
            </w:r>
            <w:r>
              <w:rPr>
                <w:color w:val="auto"/>
                <w:spacing w:val="-6"/>
                <w:highlight w:val="none"/>
              </w:rPr>
              <w:t>册入库供应商，并完成CA 数字证书申领。因未注册入库、</w:t>
            </w:r>
            <w:r>
              <w:rPr>
                <w:color w:val="auto"/>
                <w:spacing w:val="-1"/>
                <w:highlight w:val="none"/>
              </w:rPr>
              <w:t>未办理 CA 数字证书等原因造成无法投标或投标失败</w:t>
            </w:r>
            <w:r>
              <w:rPr>
                <w:color w:val="auto"/>
                <w:spacing w:val="-2"/>
                <w:highlight w:val="none"/>
              </w:rPr>
              <w:t>等后</w:t>
            </w:r>
            <w:r>
              <w:rPr>
                <w:color w:val="auto"/>
                <w:spacing w:val="-5"/>
                <w:highlight w:val="none"/>
              </w:rPr>
              <w:t>果由供应商自行承担。</w:t>
            </w:r>
          </w:p>
          <w:p w14:paraId="2D8C0308">
            <w:pPr>
              <w:pStyle w:val="12"/>
              <w:spacing w:before="165" w:line="241" w:lineRule="auto"/>
              <w:ind w:left="153" w:right="109" w:hanging="6"/>
              <w:rPr>
                <w:color w:val="auto"/>
                <w:highlight w:val="none"/>
              </w:rPr>
            </w:pPr>
            <w:r>
              <w:rPr>
                <w:color w:val="auto"/>
                <w:spacing w:val="-5"/>
                <w:highlight w:val="none"/>
              </w:rPr>
              <w:t>3.使用政采云投标客户端时，建议使用谷歌浏览器，电脑配置满足win7+64</w:t>
            </w:r>
            <w:r>
              <w:rPr>
                <w:color w:val="auto"/>
                <w:spacing w:val="-26"/>
                <w:highlight w:val="none"/>
              </w:rPr>
              <w:t xml:space="preserve"> </w:t>
            </w:r>
            <w:r>
              <w:rPr>
                <w:color w:val="auto"/>
                <w:spacing w:val="-5"/>
                <w:highlight w:val="none"/>
              </w:rPr>
              <w:t>位以上操作系统（不能用mac</w:t>
            </w:r>
            <w:r>
              <w:rPr>
                <w:color w:val="auto"/>
                <w:spacing w:val="-38"/>
                <w:highlight w:val="none"/>
              </w:rPr>
              <w:t xml:space="preserve"> </w:t>
            </w:r>
            <w:r>
              <w:rPr>
                <w:color w:val="auto"/>
                <w:spacing w:val="-5"/>
                <w:highlight w:val="none"/>
              </w:rPr>
              <w:t>或</w:t>
            </w:r>
            <w:r>
              <w:rPr>
                <w:color w:val="auto"/>
                <w:spacing w:val="-6"/>
                <w:highlight w:val="none"/>
              </w:rPr>
              <w:t>者linux</w:t>
            </w:r>
            <w:r>
              <w:rPr>
                <w:color w:val="auto"/>
                <w:spacing w:val="-15"/>
                <w:highlight w:val="none"/>
              </w:rPr>
              <w:t>系统）。客户端请至新疆政府采购网（</w:t>
            </w:r>
            <w:r>
              <w:rPr>
                <w:color w:val="auto"/>
                <w:highlight w:val="none"/>
              </w:rPr>
              <w:fldChar w:fldCharType="begin"/>
            </w:r>
            <w:r>
              <w:rPr>
                <w:color w:val="auto"/>
                <w:highlight w:val="none"/>
              </w:rPr>
              <w:instrText xml:space="preserve"> HYPERLINK "https://www.ccgp" </w:instrText>
            </w:r>
            <w:r>
              <w:rPr>
                <w:color w:val="auto"/>
                <w:highlight w:val="none"/>
              </w:rPr>
              <w:fldChar w:fldCharType="separate"/>
            </w:r>
            <w:r>
              <w:rPr>
                <w:color w:val="auto"/>
                <w:spacing w:val="-15"/>
                <w:highlight w:val="none"/>
              </w:rPr>
              <w:t>www.cc</w:t>
            </w:r>
            <w:r>
              <w:rPr>
                <w:color w:val="auto"/>
                <w:spacing w:val="-16"/>
                <w:highlight w:val="none"/>
              </w:rPr>
              <w:t>gp</w:t>
            </w:r>
            <w:r>
              <w:rPr>
                <w:color w:val="auto"/>
                <w:spacing w:val="-16"/>
                <w:highlight w:val="none"/>
              </w:rPr>
              <w:fldChar w:fldCharType="end"/>
            </w:r>
            <w:r>
              <w:rPr>
                <w:color w:val="auto"/>
                <w:spacing w:val="-16"/>
                <w:highlight w:val="none"/>
              </w:rPr>
              <w:t>-</w:t>
            </w:r>
          </w:p>
          <w:p w14:paraId="1956A2D4">
            <w:pPr>
              <w:pStyle w:val="12"/>
              <w:spacing w:before="5" w:line="224" w:lineRule="auto"/>
              <w:ind w:left="150" w:leftChars="0" w:right="234" w:rightChars="0" w:hanging="9" w:firstLineChars="0"/>
              <w:rPr>
                <w:color w:val="auto"/>
                <w:spacing w:val="-7"/>
                <w:highlight w:val="none"/>
              </w:rPr>
            </w:pPr>
            <w:r>
              <w:rPr>
                <w:color w:val="auto"/>
                <w:highlight w:val="none"/>
              </w:rPr>
              <w:fldChar w:fldCharType="begin"/>
            </w:r>
            <w:r>
              <w:rPr>
                <w:color w:val="auto"/>
                <w:highlight w:val="none"/>
              </w:rPr>
              <w:instrText xml:space="preserve"> HYPERLINK "xinjiang.gov.cn" </w:instrText>
            </w:r>
            <w:r>
              <w:rPr>
                <w:color w:val="auto"/>
                <w:highlight w:val="none"/>
              </w:rPr>
              <w:fldChar w:fldCharType="separate"/>
            </w:r>
            <w:r>
              <w:rPr>
                <w:color w:val="auto"/>
                <w:spacing w:val="-3"/>
                <w:highlight w:val="none"/>
              </w:rPr>
              <w:t>xinjiang.gov.cn</w:t>
            </w:r>
            <w:r>
              <w:rPr>
                <w:color w:val="auto"/>
                <w:spacing w:val="-3"/>
                <w:highlight w:val="none"/>
              </w:rPr>
              <w:fldChar w:fldCharType="end"/>
            </w:r>
            <w:r>
              <w:rPr>
                <w:color w:val="auto"/>
                <w:spacing w:val="-3"/>
                <w:highlight w:val="none"/>
              </w:rPr>
              <w:t>）下载专区查看，如有</w:t>
            </w:r>
            <w:r>
              <w:rPr>
                <w:color w:val="auto"/>
                <w:spacing w:val="-4"/>
                <w:highlight w:val="none"/>
              </w:rPr>
              <w:t>问题可拨打政采</w:t>
            </w:r>
            <w:r>
              <w:rPr>
                <w:color w:val="auto"/>
                <w:spacing w:val="-5"/>
                <w:highlight w:val="none"/>
              </w:rPr>
              <w:t>云客户服务热线</w:t>
            </w:r>
            <w:r>
              <w:rPr>
                <w:color w:val="auto"/>
                <w:spacing w:val="-30"/>
                <w:highlight w:val="none"/>
              </w:rPr>
              <w:t xml:space="preserve"> </w:t>
            </w:r>
            <w:r>
              <w:rPr>
                <w:rFonts w:hint="eastAsia"/>
                <w:color w:val="auto"/>
                <w:spacing w:val="-5"/>
                <w:highlight w:val="none"/>
                <w:lang w:eastAsia="zh-CN"/>
              </w:rPr>
              <w:t>95763</w:t>
            </w:r>
            <w:r>
              <w:rPr>
                <w:color w:val="auto"/>
                <w:spacing w:val="-5"/>
                <w:highlight w:val="none"/>
              </w:rPr>
              <w:t xml:space="preserve"> 进行咨询。</w:t>
            </w:r>
          </w:p>
        </w:tc>
      </w:tr>
      <w:tr w14:paraId="01B6B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 w:hRule="atLeast"/>
          <w:jc w:val="center"/>
        </w:trPr>
        <w:tc>
          <w:tcPr>
            <w:tcW w:w="701" w:type="dxa"/>
            <w:vMerge w:val="restart"/>
            <w:vAlign w:val="center"/>
          </w:tcPr>
          <w:p w14:paraId="1326C3E5">
            <w:pPr>
              <w:spacing w:line="288" w:lineRule="auto"/>
              <w:rPr>
                <w:rFonts w:ascii="Arial"/>
                <w:color w:val="auto"/>
                <w:sz w:val="21"/>
                <w:highlight w:val="none"/>
              </w:rPr>
            </w:pPr>
          </w:p>
          <w:p w14:paraId="0FD9AD4D">
            <w:pPr>
              <w:spacing w:line="288" w:lineRule="auto"/>
              <w:rPr>
                <w:rFonts w:ascii="Arial"/>
                <w:color w:val="auto"/>
                <w:sz w:val="21"/>
                <w:highlight w:val="none"/>
              </w:rPr>
            </w:pPr>
          </w:p>
          <w:p w14:paraId="51C671AF">
            <w:pPr>
              <w:spacing w:line="289" w:lineRule="auto"/>
              <w:rPr>
                <w:rFonts w:ascii="Arial"/>
                <w:color w:val="auto"/>
                <w:sz w:val="21"/>
                <w:highlight w:val="none"/>
              </w:rPr>
            </w:pPr>
          </w:p>
          <w:p w14:paraId="66EECE47">
            <w:pPr>
              <w:pStyle w:val="12"/>
              <w:spacing w:before="78" w:line="315" w:lineRule="exact"/>
              <w:ind w:left="178" w:leftChars="0"/>
              <w:rPr>
                <w:color w:val="auto"/>
                <w:spacing w:val="-7"/>
                <w:highlight w:val="none"/>
              </w:rPr>
            </w:pPr>
            <w:r>
              <w:rPr>
                <w:color w:val="auto"/>
                <w:position w:val="1"/>
                <w:highlight w:val="none"/>
              </w:rPr>
              <w:t>2</w:t>
            </w:r>
          </w:p>
        </w:tc>
        <w:tc>
          <w:tcPr>
            <w:tcW w:w="2137" w:type="dxa"/>
            <w:vMerge w:val="restart"/>
            <w:vAlign w:val="center"/>
          </w:tcPr>
          <w:p w14:paraId="4AAE9E87">
            <w:pPr>
              <w:spacing w:line="293" w:lineRule="auto"/>
              <w:rPr>
                <w:rFonts w:ascii="Arial"/>
                <w:color w:val="auto"/>
                <w:sz w:val="21"/>
                <w:highlight w:val="none"/>
              </w:rPr>
            </w:pPr>
          </w:p>
          <w:p w14:paraId="4AAB13B2">
            <w:pPr>
              <w:spacing w:line="293" w:lineRule="auto"/>
              <w:rPr>
                <w:rFonts w:ascii="Arial"/>
                <w:color w:val="auto"/>
                <w:sz w:val="21"/>
                <w:highlight w:val="none"/>
              </w:rPr>
            </w:pPr>
          </w:p>
          <w:p w14:paraId="77CFC65E">
            <w:pPr>
              <w:spacing w:line="293" w:lineRule="auto"/>
              <w:rPr>
                <w:rFonts w:ascii="Arial"/>
                <w:color w:val="auto"/>
                <w:sz w:val="21"/>
                <w:highlight w:val="none"/>
              </w:rPr>
            </w:pPr>
          </w:p>
          <w:p w14:paraId="6866AD86">
            <w:pPr>
              <w:pStyle w:val="12"/>
              <w:spacing w:before="78" w:line="226" w:lineRule="auto"/>
              <w:ind w:left="160" w:leftChars="0"/>
              <w:rPr>
                <w:color w:val="auto"/>
                <w:spacing w:val="-7"/>
                <w:highlight w:val="none"/>
              </w:rPr>
            </w:pPr>
            <w:r>
              <w:rPr>
                <w:color w:val="auto"/>
                <w:spacing w:val="-11"/>
                <w:highlight w:val="none"/>
              </w:rPr>
              <w:t>定义</w:t>
            </w:r>
          </w:p>
        </w:tc>
        <w:tc>
          <w:tcPr>
            <w:tcW w:w="6773" w:type="dxa"/>
            <w:vAlign w:val="center"/>
          </w:tcPr>
          <w:p w14:paraId="44234629">
            <w:pPr>
              <w:pStyle w:val="12"/>
              <w:spacing w:before="205" w:line="231" w:lineRule="auto"/>
              <w:ind w:left="158" w:leftChars="0" w:right="112" w:rightChars="0"/>
              <w:rPr>
                <w:color w:val="auto"/>
                <w:spacing w:val="-7"/>
                <w:highlight w:val="none"/>
              </w:rPr>
            </w:pPr>
            <w:r>
              <w:rPr>
                <w:color w:val="auto"/>
                <w:spacing w:val="-5"/>
                <w:highlight w:val="none"/>
              </w:rPr>
              <w:t>原件：最初产生的区别于复制件的原始文件或文件的原本或公证处出具的文件复制件公证书。</w:t>
            </w:r>
          </w:p>
        </w:tc>
      </w:tr>
      <w:tr w14:paraId="176F6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01" w:type="dxa"/>
            <w:vMerge w:val="continue"/>
            <w:vAlign w:val="center"/>
          </w:tcPr>
          <w:p w14:paraId="5D6ED1E8">
            <w:pPr>
              <w:pStyle w:val="12"/>
              <w:spacing w:before="164" w:line="206" w:lineRule="auto"/>
              <w:ind w:left="149" w:leftChars="0"/>
              <w:rPr>
                <w:color w:val="auto"/>
                <w:highlight w:val="none"/>
              </w:rPr>
            </w:pPr>
          </w:p>
        </w:tc>
        <w:tc>
          <w:tcPr>
            <w:tcW w:w="2137" w:type="dxa"/>
            <w:vMerge w:val="continue"/>
            <w:vAlign w:val="center"/>
          </w:tcPr>
          <w:p w14:paraId="4F53E1F6">
            <w:pPr>
              <w:pStyle w:val="12"/>
              <w:spacing w:before="164" w:line="206" w:lineRule="auto"/>
              <w:ind w:left="149" w:leftChars="0"/>
              <w:rPr>
                <w:color w:val="auto"/>
                <w:highlight w:val="none"/>
              </w:rPr>
            </w:pPr>
          </w:p>
        </w:tc>
        <w:tc>
          <w:tcPr>
            <w:tcW w:w="6773" w:type="dxa"/>
            <w:vAlign w:val="center"/>
          </w:tcPr>
          <w:p w14:paraId="528D34ED">
            <w:pPr>
              <w:pStyle w:val="12"/>
              <w:spacing w:before="202" w:line="250" w:lineRule="auto"/>
              <w:ind w:right="44" w:rightChars="0"/>
              <w:rPr>
                <w:color w:val="auto"/>
                <w:spacing w:val="-7"/>
                <w:highlight w:val="none"/>
              </w:rPr>
            </w:pPr>
            <w:r>
              <w:rPr>
                <w:color w:val="auto"/>
                <w:spacing w:val="-12"/>
                <w:highlight w:val="none"/>
              </w:rPr>
              <w:t>书面形式：包括文字的打印或复印件、传真、信函、电传、</w:t>
            </w:r>
            <w:r>
              <w:rPr>
                <w:color w:val="auto"/>
                <w:spacing w:val="-2"/>
                <w:highlight w:val="none"/>
              </w:rPr>
              <w:t>电报、电子邮件、相关网站发布的公告等可以有形地表现</w:t>
            </w:r>
            <w:r>
              <w:rPr>
                <w:color w:val="auto"/>
                <w:spacing w:val="-7"/>
                <w:highlight w:val="none"/>
              </w:rPr>
              <w:t>所载内容的形式。</w:t>
            </w:r>
          </w:p>
        </w:tc>
      </w:tr>
      <w:tr w14:paraId="63A59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701" w:type="dxa"/>
            <w:vAlign w:val="center"/>
          </w:tcPr>
          <w:p w14:paraId="64259C30">
            <w:pPr>
              <w:spacing w:line="336" w:lineRule="auto"/>
              <w:rPr>
                <w:rFonts w:ascii="Arial"/>
                <w:color w:val="auto"/>
                <w:sz w:val="21"/>
                <w:highlight w:val="none"/>
              </w:rPr>
            </w:pPr>
          </w:p>
          <w:p w14:paraId="58216009">
            <w:pPr>
              <w:spacing w:line="337" w:lineRule="auto"/>
              <w:rPr>
                <w:rFonts w:ascii="Arial"/>
                <w:color w:val="auto"/>
                <w:sz w:val="21"/>
                <w:highlight w:val="none"/>
              </w:rPr>
            </w:pPr>
          </w:p>
          <w:p w14:paraId="0BC81A1E">
            <w:pPr>
              <w:pStyle w:val="12"/>
              <w:spacing w:before="78" w:line="241" w:lineRule="auto"/>
              <w:ind w:left="180" w:leftChars="0"/>
              <w:rPr>
                <w:color w:val="auto"/>
                <w:spacing w:val="-7"/>
                <w:highlight w:val="none"/>
              </w:rPr>
            </w:pPr>
            <w:r>
              <w:rPr>
                <w:color w:val="auto"/>
                <w:highlight w:val="none"/>
              </w:rPr>
              <w:t>3</w:t>
            </w:r>
          </w:p>
        </w:tc>
        <w:tc>
          <w:tcPr>
            <w:tcW w:w="2137" w:type="dxa"/>
            <w:vAlign w:val="center"/>
          </w:tcPr>
          <w:p w14:paraId="22234319">
            <w:pPr>
              <w:spacing w:line="264" w:lineRule="auto"/>
              <w:rPr>
                <w:rFonts w:ascii="Arial"/>
                <w:color w:val="auto"/>
                <w:sz w:val="21"/>
                <w:highlight w:val="none"/>
              </w:rPr>
            </w:pPr>
          </w:p>
          <w:p w14:paraId="39DA5F26">
            <w:pPr>
              <w:spacing w:line="264" w:lineRule="auto"/>
              <w:rPr>
                <w:rFonts w:ascii="Arial"/>
                <w:color w:val="auto"/>
                <w:sz w:val="21"/>
                <w:highlight w:val="none"/>
              </w:rPr>
            </w:pPr>
          </w:p>
          <w:p w14:paraId="2B56E723">
            <w:pPr>
              <w:pStyle w:val="12"/>
              <w:spacing w:before="78" w:line="251" w:lineRule="auto"/>
              <w:ind w:left="146" w:leftChars="0" w:right="127" w:rightChars="0" w:firstLine="6" w:firstLineChars="0"/>
              <w:rPr>
                <w:color w:val="auto"/>
                <w:spacing w:val="-7"/>
                <w:highlight w:val="none"/>
              </w:rPr>
            </w:pPr>
            <w:r>
              <w:rPr>
                <w:color w:val="auto"/>
                <w:spacing w:val="1"/>
                <w:highlight w:val="none"/>
              </w:rPr>
              <w:t>分包和非主体、非关</w:t>
            </w:r>
            <w:r>
              <w:rPr>
                <w:color w:val="auto"/>
                <w:spacing w:val="-8"/>
                <w:highlight w:val="none"/>
              </w:rPr>
              <w:t>键性工作</w:t>
            </w:r>
          </w:p>
        </w:tc>
        <w:tc>
          <w:tcPr>
            <w:tcW w:w="6773" w:type="dxa"/>
            <w:vAlign w:val="center"/>
          </w:tcPr>
          <w:p w14:paraId="091A0876">
            <w:pPr>
              <w:pStyle w:val="12"/>
              <w:spacing w:before="168" w:line="222" w:lineRule="auto"/>
              <w:ind w:left="157"/>
              <w:rPr>
                <w:color w:val="auto"/>
                <w:highlight w:val="none"/>
              </w:rPr>
            </w:pPr>
            <w:r>
              <w:rPr>
                <w:rFonts w:ascii="MS UI Gothic" w:hAnsi="MS UI Gothic" w:eastAsia="MS UI Gothic" w:cs="MS UI Gothic"/>
                <w:color w:val="auto"/>
                <w:spacing w:val="-13"/>
                <w:highlight w:val="none"/>
              </w:rPr>
              <w:t>☑</w:t>
            </w:r>
            <w:r>
              <w:rPr>
                <w:rFonts w:ascii="MS UI Gothic" w:hAnsi="MS UI Gothic" w:eastAsia="MS UI Gothic" w:cs="MS UI Gothic"/>
                <w:color w:val="auto"/>
                <w:spacing w:val="6"/>
                <w:highlight w:val="none"/>
              </w:rPr>
              <w:t xml:space="preserve">  </w:t>
            </w:r>
            <w:r>
              <w:rPr>
                <w:color w:val="auto"/>
                <w:spacing w:val="-13"/>
                <w:highlight w:val="none"/>
              </w:rPr>
              <w:t>不允许</w:t>
            </w:r>
          </w:p>
          <w:p w14:paraId="39FBDFD3">
            <w:pPr>
              <w:pStyle w:val="12"/>
              <w:spacing w:before="180" w:line="251" w:lineRule="auto"/>
              <w:ind w:left="165" w:leftChars="0" w:right="95" w:rightChars="0" w:firstLine="36" w:firstLineChars="0"/>
              <w:jc w:val="both"/>
              <w:rPr>
                <w:color w:val="auto"/>
                <w:spacing w:val="-7"/>
                <w:highlight w:val="none"/>
              </w:rPr>
            </w:pPr>
            <w:r>
              <w:rPr>
                <w:color w:val="auto"/>
                <w:spacing w:val="-1"/>
                <w:highlight w:val="none"/>
              </w:rPr>
              <w:t>□ 允许，供应商根据竞争性磋商文件载明的标的</w:t>
            </w:r>
            <w:r>
              <w:rPr>
                <w:color w:val="auto"/>
                <w:spacing w:val="-2"/>
                <w:highlight w:val="none"/>
              </w:rPr>
              <w:t>采购项</w:t>
            </w:r>
            <w:r>
              <w:rPr>
                <w:color w:val="auto"/>
                <w:spacing w:val="-5"/>
                <w:highlight w:val="none"/>
              </w:rPr>
              <w:t>目实际情况，拟在成交后将成交项目的非主体、非关键性</w:t>
            </w:r>
            <w:r>
              <w:rPr>
                <w:color w:val="auto"/>
                <w:spacing w:val="-3"/>
                <w:highlight w:val="none"/>
              </w:rPr>
              <w:t>工作交由他人完成的，应当在响应文件中载明。</w:t>
            </w:r>
          </w:p>
        </w:tc>
      </w:tr>
      <w:tr w14:paraId="7BBB7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711C58C2">
            <w:pPr>
              <w:spacing w:line="261" w:lineRule="auto"/>
              <w:rPr>
                <w:rFonts w:ascii="Arial"/>
                <w:color w:val="auto"/>
                <w:sz w:val="21"/>
                <w:highlight w:val="none"/>
              </w:rPr>
            </w:pPr>
          </w:p>
          <w:p w14:paraId="1415DBF6">
            <w:pPr>
              <w:spacing w:line="261" w:lineRule="auto"/>
              <w:rPr>
                <w:rFonts w:ascii="Arial"/>
                <w:color w:val="auto"/>
                <w:sz w:val="21"/>
                <w:highlight w:val="none"/>
              </w:rPr>
            </w:pPr>
          </w:p>
          <w:p w14:paraId="230AAB8F">
            <w:pPr>
              <w:spacing w:line="261" w:lineRule="auto"/>
              <w:rPr>
                <w:rFonts w:ascii="Arial"/>
                <w:color w:val="auto"/>
                <w:sz w:val="21"/>
                <w:highlight w:val="none"/>
              </w:rPr>
            </w:pPr>
          </w:p>
          <w:p w14:paraId="48C7DBE2">
            <w:pPr>
              <w:spacing w:line="261" w:lineRule="auto"/>
              <w:rPr>
                <w:rFonts w:ascii="Arial"/>
                <w:color w:val="auto"/>
                <w:sz w:val="21"/>
                <w:highlight w:val="none"/>
              </w:rPr>
            </w:pPr>
          </w:p>
          <w:p w14:paraId="3B9C5D99">
            <w:pPr>
              <w:pStyle w:val="12"/>
              <w:spacing w:before="78" w:line="315" w:lineRule="exact"/>
              <w:ind w:left="174" w:leftChars="0"/>
              <w:rPr>
                <w:color w:val="auto"/>
                <w:spacing w:val="-7"/>
                <w:highlight w:val="none"/>
              </w:rPr>
            </w:pPr>
            <w:r>
              <w:rPr>
                <w:color w:val="auto"/>
                <w:position w:val="1"/>
                <w:highlight w:val="none"/>
              </w:rPr>
              <w:t>4</w:t>
            </w:r>
          </w:p>
        </w:tc>
        <w:tc>
          <w:tcPr>
            <w:tcW w:w="2137" w:type="dxa"/>
            <w:vAlign w:val="center"/>
          </w:tcPr>
          <w:p w14:paraId="34ECCABF">
            <w:pPr>
              <w:spacing w:line="262" w:lineRule="auto"/>
              <w:rPr>
                <w:rFonts w:ascii="Arial"/>
                <w:color w:val="auto"/>
                <w:sz w:val="21"/>
                <w:highlight w:val="none"/>
              </w:rPr>
            </w:pPr>
          </w:p>
          <w:p w14:paraId="57AC2197">
            <w:pPr>
              <w:spacing w:line="262" w:lineRule="auto"/>
              <w:rPr>
                <w:rFonts w:ascii="Arial"/>
                <w:color w:val="auto"/>
                <w:sz w:val="21"/>
                <w:highlight w:val="none"/>
              </w:rPr>
            </w:pPr>
          </w:p>
          <w:p w14:paraId="7DACDE7A">
            <w:pPr>
              <w:spacing w:line="262" w:lineRule="auto"/>
              <w:rPr>
                <w:rFonts w:ascii="Arial"/>
                <w:color w:val="auto"/>
                <w:sz w:val="21"/>
                <w:highlight w:val="none"/>
              </w:rPr>
            </w:pPr>
          </w:p>
          <w:p w14:paraId="319F04A1">
            <w:pPr>
              <w:spacing w:line="263" w:lineRule="auto"/>
              <w:rPr>
                <w:rFonts w:ascii="Arial"/>
                <w:color w:val="auto"/>
                <w:sz w:val="21"/>
                <w:highlight w:val="none"/>
              </w:rPr>
            </w:pPr>
          </w:p>
          <w:p w14:paraId="2A0AC433">
            <w:pPr>
              <w:pStyle w:val="12"/>
              <w:spacing w:before="78" w:line="223" w:lineRule="auto"/>
              <w:ind w:left="186" w:leftChars="0"/>
              <w:rPr>
                <w:color w:val="auto"/>
                <w:spacing w:val="-7"/>
                <w:highlight w:val="none"/>
              </w:rPr>
            </w:pPr>
            <w:r>
              <w:rPr>
                <w:color w:val="auto"/>
                <w:spacing w:val="-12"/>
                <w:highlight w:val="none"/>
              </w:rPr>
              <w:t>多包成交规则</w:t>
            </w:r>
          </w:p>
        </w:tc>
        <w:tc>
          <w:tcPr>
            <w:tcW w:w="6773" w:type="dxa"/>
            <w:vAlign w:val="center"/>
          </w:tcPr>
          <w:p w14:paraId="35F0745B">
            <w:pPr>
              <w:pStyle w:val="12"/>
              <w:spacing w:before="202" w:line="260" w:lineRule="auto"/>
              <w:ind w:left="160" w:right="131"/>
              <w:rPr>
                <w:color w:val="auto"/>
                <w:highlight w:val="none"/>
              </w:rPr>
            </w:pPr>
            <w:r>
              <w:rPr>
                <w:color w:val="auto"/>
                <w:spacing w:val="-1"/>
                <w:highlight w:val="none"/>
              </w:rPr>
              <w:t>分包采购的项目，供应商可以选择</w:t>
            </w:r>
            <w:r>
              <w:rPr>
                <w:color w:val="auto"/>
                <w:spacing w:val="-1"/>
                <w:highlight w:val="none"/>
                <w:u w:val="single" w:color="auto"/>
              </w:rPr>
              <w:t xml:space="preserve"> / </w:t>
            </w:r>
            <w:r>
              <w:rPr>
                <w:color w:val="auto"/>
                <w:spacing w:val="-1"/>
                <w:highlight w:val="none"/>
              </w:rPr>
              <w:t>个包报价，但只能</w:t>
            </w:r>
            <w:r>
              <w:rPr>
                <w:color w:val="auto"/>
                <w:spacing w:val="-11"/>
                <w:highlight w:val="none"/>
              </w:rPr>
              <w:t>成交</w:t>
            </w:r>
            <w:r>
              <w:rPr>
                <w:color w:val="auto"/>
                <w:spacing w:val="-11"/>
                <w:highlight w:val="none"/>
                <w:u w:val="single" w:color="auto"/>
              </w:rPr>
              <w:t>/</w:t>
            </w:r>
            <w:r>
              <w:rPr>
                <w:color w:val="auto"/>
                <w:spacing w:val="38"/>
                <w:highlight w:val="none"/>
                <w:u w:val="single" w:color="auto"/>
              </w:rPr>
              <w:t xml:space="preserve"> </w:t>
            </w:r>
            <w:r>
              <w:rPr>
                <w:color w:val="auto"/>
                <w:spacing w:val="-11"/>
                <w:highlight w:val="none"/>
              </w:rPr>
              <w:t>个包。</w:t>
            </w:r>
          </w:p>
          <w:p w14:paraId="7D7AC13D">
            <w:pPr>
              <w:pStyle w:val="12"/>
              <w:spacing w:before="132" w:line="260" w:lineRule="auto"/>
              <w:ind w:left="141" w:leftChars="0" w:right="100" w:rightChars="0" w:firstLine="11" w:firstLineChars="0"/>
              <w:jc w:val="both"/>
              <w:rPr>
                <w:color w:val="auto"/>
                <w:spacing w:val="-7"/>
                <w:highlight w:val="none"/>
              </w:rPr>
            </w:pPr>
            <w:r>
              <w:rPr>
                <w:color w:val="auto"/>
                <w:spacing w:val="-5"/>
                <w:highlight w:val="none"/>
              </w:rPr>
              <w:t>供应商可依照竞争性磋商文件要求进行多个包报价。若所</w:t>
            </w:r>
            <w:r>
              <w:rPr>
                <w:color w:val="auto"/>
                <w:highlight w:val="none"/>
              </w:rPr>
              <w:t>投多个包的报价排位均为第一， 由供应商自行选择其中</w:t>
            </w:r>
            <w:r>
              <w:rPr>
                <w:color w:val="auto"/>
                <w:spacing w:val="-98"/>
                <w:highlight w:val="none"/>
              </w:rPr>
              <w:t xml:space="preserve"> </w:t>
            </w:r>
            <w:r>
              <w:rPr>
                <w:color w:val="auto"/>
                <w:position w:val="-3"/>
                <w:highlight w:val="none"/>
              </w:rPr>
              <w:drawing>
                <wp:inline distT="0" distB="0" distL="0" distR="0">
                  <wp:extent cx="3810" cy="6985"/>
                  <wp:effectExtent l="0" t="0" r="0" b="0"/>
                  <wp:docPr id="54" name="IM 2"/>
                  <wp:cNvGraphicFramePr/>
                  <a:graphic xmlns:a="http://schemas.openxmlformats.org/drawingml/2006/main">
                    <a:graphicData uri="http://schemas.openxmlformats.org/drawingml/2006/picture">
                      <pic:pic xmlns:pic="http://schemas.openxmlformats.org/drawingml/2006/picture">
                        <pic:nvPicPr>
                          <pic:cNvPr id="54" name="IM 2"/>
                          <pic:cNvPicPr/>
                        </pic:nvPicPr>
                        <pic:blipFill>
                          <a:blip r:embed="rId84"/>
                          <a:stretch>
                            <a:fillRect/>
                          </a:stretch>
                        </pic:blipFill>
                        <pic:spPr>
                          <a:xfrm>
                            <a:off x="0" y="0"/>
                            <a:ext cx="4444" cy="7619"/>
                          </a:xfrm>
                          <a:prstGeom prst="rect">
                            <a:avLst/>
                          </a:prstGeom>
                        </pic:spPr>
                      </pic:pic>
                    </a:graphicData>
                  </a:graphic>
                </wp:inline>
              </w:drawing>
            </w:r>
            <w:r>
              <w:rPr>
                <w:color w:val="auto"/>
                <w:highlight w:val="none"/>
              </w:rPr>
              <w:t xml:space="preserve"> </w:t>
            </w:r>
            <w:r>
              <w:rPr>
                <w:color w:val="auto"/>
                <w:spacing w:val="1"/>
                <w:highlight w:val="none"/>
                <w:u w:val="single" w:color="auto"/>
              </w:rPr>
              <w:t>/</w:t>
            </w:r>
            <w:r>
              <w:rPr>
                <w:color w:val="auto"/>
                <w:spacing w:val="1"/>
                <w:highlight w:val="none"/>
              </w:rPr>
              <w:t xml:space="preserve"> 个 包成交；其他包参与报价排序，排序</w:t>
            </w:r>
            <w:r>
              <w:rPr>
                <w:color w:val="auto"/>
                <w:highlight w:val="none"/>
              </w:rPr>
              <w:t xml:space="preserve">第一也不成交 </w:t>
            </w:r>
            <w:r>
              <w:rPr>
                <w:color w:val="auto"/>
                <w:spacing w:val="-6"/>
                <w:highlight w:val="none"/>
              </w:rPr>
              <w:t>,</w:t>
            </w:r>
            <w:r>
              <w:rPr>
                <w:color w:val="auto"/>
                <w:spacing w:val="43"/>
                <w:highlight w:val="none"/>
              </w:rPr>
              <w:t xml:space="preserve">  </w:t>
            </w:r>
            <w:r>
              <w:rPr>
                <w:color w:val="auto"/>
                <w:spacing w:val="-6"/>
                <w:highlight w:val="none"/>
              </w:rPr>
              <w:t>成交 顺延排序第二的供应商，以此类推。</w:t>
            </w:r>
          </w:p>
        </w:tc>
      </w:tr>
      <w:tr w14:paraId="77606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6CB16185">
            <w:pPr>
              <w:spacing w:line="272" w:lineRule="auto"/>
              <w:rPr>
                <w:rFonts w:ascii="Arial"/>
                <w:color w:val="auto"/>
                <w:sz w:val="21"/>
                <w:highlight w:val="none"/>
              </w:rPr>
            </w:pPr>
          </w:p>
          <w:p w14:paraId="60BDD003">
            <w:pPr>
              <w:pStyle w:val="12"/>
              <w:spacing w:before="78" w:line="241" w:lineRule="auto"/>
              <w:ind w:left="180" w:leftChars="0"/>
              <w:rPr>
                <w:color w:val="auto"/>
                <w:spacing w:val="-7"/>
                <w:highlight w:val="none"/>
              </w:rPr>
            </w:pPr>
            <w:r>
              <w:rPr>
                <w:color w:val="auto"/>
                <w:highlight w:val="none"/>
              </w:rPr>
              <w:t>5</w:t>
            </w:r>
          </w:p>
        </w:tc>
        <w:tc>
          <w:tcPr>
            <w:tcW w:w="2137" w:type="dxa"/>
            <w:vAlign w:val="center"/>
          </w:tcPr>
          <w:p w14:paraId="16D4EA00">
            <w:pPr>
              <w:spacing w:line="278" w:lineRule="auto"/>
              <w:rPr>
                <w:rFonts w:ascii="Arial"/>
                <w:color w:val="auto"/>
                <w:sz w:val="21"/>
                <w:highlight w:val="none"/>
              </w:rPr>
            </w:pPr>
          </w:p>
          <w:p w14:paraId="52D0A51A">
            <w:pPr>
              <w:pStyle w:val="12"/>
              <w:spacing w:before="78" w:line="222" w:lineRule="auto"/>
              <w:ind w:left="161" w:leftChars="0"/>
              <w:rPr>
                <w:color w:val="auto"/>
                <w:spacing w:val="-7"/>
                <w:highlight w:val="none"/>
              </w:rPr>
            </w:pPr>
            <w:r>
              <w:rPr>
                <w:color w:val="auto"/>
                <w:spacing w:val="-11"/>
                <w:highlight w:val="none"/>
              </w:rPr>
              <w:t>监管部门</w:t>
            </w:r>
          </w:p>
        </w:tc>
        <w:tc>
          <w:tcPr>
            <w:tcW w:w="6773" w:type="dxa"/>
            <w:vAlign w:val="center"/>
          </w:tcPr>
          <w:p w14:paraId="2939E82F">
            <w:pPr>
              <w:pStyle w:val="12"/>
              <w:spacing w:before="207" w:line="221" w:lineRule="auto"/>
              <w:ind w:left="151"/>
              <w:rPr>
                <w:color w:val="auto"/>
                <w:highlight w:val="none"/>
              </w:rPr>
            </w:pPr>
            <w:r>
              <w:rPr>
                <w:color w:val="auto"/>
                <w:spacing w:val="-2"/>
                <w:highlight w:val="none"/>
              </w:rPr>
              <w:t>名 称：乌什县财政局采购办</w:t>
            </w:r>
          </w:p>
          <w:p w14:paraId="5B4AE454">
            <w:pPr>
              <w:pStyle w:val="12"/>
              <w:spacing w:before="198" w:line="222" w:lineRule="auto"/>
              <w:ind w:left="151"/>
              <w:rPr>
                <w:color w:val="auto"/>
                <w:highlight w:val="none"/>
              </w:rPr>
            </w:pPr>
            <w:r>
              <w:rPr>
                <w:color w:val="auto"/>
                <w:spacing w:val="-5"/>
                <w:highlight w:val="none"/>
              </w:rPr>
              <w:t>地</w:t>
            </w:r>
            <w:r>
              <w:rPr>
                <w:color w:val="auto"/>
                <w:spacing w:val="27"/>
                <w:highlight w:val="none"/>
              </w:rPr>
              <w:t xml:space="preserve"> </w:t>
            </w:r>
            <w:r>
              <w:rPr>
                <w:color w:val="auto"/>
                <w:spacing w:val="-5"/>
                <w:highlight w:val="none"/>
              </w:rPr>
              <w:t>址：乌什县新城路</w:t>
            </w:r>
          </w:p>
          <w:p w14:paraId="1A3EE7F8">
            <w:pPr>
              <w:pStyle w:val="12"/>
              <w:spacing w:before="197" w:line="208" w:lineRule="auto"/>
              <w:ind w:left="176" w:leftChars="0"/>
              <w:rPr>
                <w:color w:val="auto"/>
                <w:spacing w:val="-7"/>
                <w:highlight w:val="none"/>
              </w:rPr>
            </w:pPr>
            <w:r>
              <w:rPr>
                <w:color w:val="auto"/>
                <w:spacing w:val="-3"/>
                <w:highlight w:val="none"/>
              </w:rPr>
              <w:t>电 话：</w:t>
            </w:r>
            <w:r>
              <w:rPr>
                <w:color w:val="auto"/>
                <w:spacing w:val="-3"/>
                <w:highlight w:val="none"/>
              </w:rPr>
              <w:t>18909977536</w:t>
            </w:r>
          </w:p>
        </w:tc>
      </w:tr>
      <w:tr w14:paraId="1257B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31756D71">
            <w:pPr>
              <w:pStyle w:val="12"/>
              <w:spacing w:before="103" w:line="241" w:lineRule="auto"/>
              <w:ind w:left="177" w:leftChars="0"/>
              <w:rPr>
                <w:color w:val="auto"/>
                <w:spacing w:val="-7"/>
                <w:highlight w:val="none"/>
              </w:rPr>
            </w:pPr>
            <w:r>
              <w:rPr>
                <w:color w:val="auto"/>
                <w:highlight w:val="none"/>
              </w:rPr>
              <w:t>6</w:t>
            </w:r>
          </w:p>
        </w:tc>
        <w:tc>
          <w:tcPr>
            <w:tcW w:w="2137" w:type="dxa"/>
            <w:vAlign w:val="center"/>
          </w:tcPr>
          <w:p w14:paraId="76A039E1">
            <w:pPr>
              <w:pStyle w:val="12"/>
              <w:spacing w:before="106" w:line="222" w:lineRule="auto"/>
              <w:ind w:left="149" w:leftChars="0"/>
              <w:rPr>
                <w:color w:val="auto"/>
                <w:spacing w:val="-7"/>
                <w:highlight w:val="none"/>
              </w:rPr>
            </w:pPr>
            <w:r>
              <w:rPr>
                <w:color w:val="auto"/>
                <w:spacing w:val="-8"/>
                <w:highlight w:val="none"/>
              </w:rPr>
              <w:t>采购文件费</w:t>
            </w:r>
          </w:p>
        </w:tc>
        <w:tc>
          <w:tcPr>
            <w:tcW w:w="6773" w:type="dxa"/>
            <w:vAlign w:val="center"/>
          </w:tcPr>
          <w:p w14:paraId="1DBC4FDA">
            <w:pPr>
              <w:pStyle w:val="12"/>
              <w:spacing w:before="106" w:line="225" w:lineRule="auto"/>
              <w:ind w:left="157" w:leftChars="0"/>
              <w:rPr>
                <w:color w:val="auto"/>
                <w:spacing w:val="-7"/>
                <w:highlight w:val="none"/>
              </w:rPr>
            </w:pPr>
            <w:r>
              <w:rPr>
                <w:color w:val="auto"/>
                <w:spacing w:val="-10"/>
                <w:highlight w:val="none"/>
              </w:rPr>
              <w:t>无。</w:t>
            </w:r>
          </w:p>
        </w:tc>
      </w:tr>
      <w:tr w14:paraId="571BC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4413150F">
            <w:pPr>
              <w:pStyle w:val="12"/>
              <w:spacing w:before="105" w:line="241" w:lineRule="auto"/>
              <w:ind w:left="181" w:leftChars="0"/>
              <w:rPr>
                <w:color w:val="auto"/>
                <w:spacing w:val="-7"/>
                <w:highlight w:val="none"/>
              </w:rPr>
            </w:pPr>
            <w:r>
              <w:rPr>
                <w:color w:val="auto"/>
                <w:highlight w:val="none"/>
              </w:rPr>
              <w:t>7</w:t>
            </w:r>
          </w:p>
        </w:tc>
        <w:tc>
          <w:tcPr>
            <w:tcW w:w="2137" w:type="dxa"/>
            <w:vAlign w:val="center"/>
          </w:tcPr>
          <w:p w14:paraId="6A90C960">
            <w:pPr>
              <w:pStyle w:val="12"/>
              <w:spacing w:before="172" w:line="223" w:lineRule="auto"/>
              <w:ind w:left="148" w:leftChars="0"/>
              <w:rPr>
                <w:color w:val="auto"/>
                <w:spacing w:val="-7"/>
                <w:highlight w:val="none"/>
              </w:rPr>
            </w:pPr>
            <w:r>
              <w:rPr>
                <w:color w:val="auto"/>
                <w:spacing w:val="-9"/>
                <w:highlight w:val="none"/>
              </w:rPr>
              <w:t>场地费</w:t>
            </w:r>
          </w:p>
        </w:tc>
        <w:tc>
          <w:tcPr>
            <w:tcW w:w="6773" w:type="dxa"/>
            <w:vAlign w:val="center"/>
          </w:tcPr>
          <w:p w14:paraId="0BC47DF7">
            <w:pPr>
              <w:pStyle w:val="12"/>
              <w:spacing w:before="108" w:line="222" w:lineRule="auto"/>
              <w:ind w:left="151" w:leftChars="0"/>
              <w:rPr>
                <w:color w:val="auto"/>
                <w:spacing w:val="-7"/>
                <w:highlight w:val="none"/>
              </w:rPr>
            </w:pPr>
            <w:r>
              <w:rPr>
                <w:color w:val="auto"/>
                <w:spacing w:val="-7"/>
                <w:highlight w:val="none"/>
              </w:rPr>
              <w:t>本项目不收取开标场地费。</w:t>
            </w:r>
          </w:p>
        </w:tc>
      </w:tr>
      <w:tr w14:paraId="1B9BF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67B8FE01">
            <w:pPr>
              <w:pStyle w:val="12"/>
              <w:spacing w:before="104" w:line="241" w:lineRule="auto"/>
              <w:ind w:left="176" w:leftChars="0"/>
              <w:rPr>
                <w:color w:val="auto"/>
                <w:spacing w:val="-7"/>
                <w:highlight w:val="none"/>
              </w:rPr>
            </w:pPr>
            <w:r>
              <w:rPr>
                <w:color w:val="auto"/>
                <w:highlight w:val="none"/>
              </w:rPr>
              <w:t>8</w:t>
            </w:r>
          </w:p>
        </w:tc>
        <w:tc>
          <w:tcPr>
            <w:tcW w:w="2137" w:type="dxa"/>
            <w:vAlign w:val="center"/>
          </w:tcPr>
          <w:p w14:paraId="668AF7A1">
            <w:pPr>
              <w:pStyle w:val="12"/>
              <w:spacing w:before="171" w:line="224" w:lineRule="auto"/>
              <w:ind w:left="152" w:leftChars="0"/>
              <w:rPr>
                <w:color w:val="auto"/>
                <w:spacing w:val="-7"/>
                <w:highlight w:val="none"/>
              </w:rPr>
            </w:pPr>
            <w:r>
              <w:rPr>
                <w:color w:val="auto"/>
                <w:spacing w:val="-10"/>
                <w:highlight w:val="none"/>
              </w:rPr>
              <w:t>公证费</w:t>
            </w:r>
          </w:p>
        </w:tc>
        <w:tc>
          <w:tcPr>
            <w:tcW w:w="6773" w:type="dxa"/>
            <w:vAlign w:val="center"/>
          </w:tcPr>
          <w:p w14:paraId="2CD919AD">
            <w:pPr>
              <w:pStyle w:val="12"/>
              <w:spacing w:before="106" w:line="222" w:lineRule="auto"/>
              <w:ind w:left="150" w:leftChars="0"/>
              <w:rPr>
                <w:color w:val="auto"/>
                <w:spacing w:val="-7"/>
                <w:highlight w:val="none"/>
              </w:rPr>
            </w:pPr>
            <w:r>
              <w:rPr>
                <w:color w:val="auto"/>
                <w:spacing w:val="-7"/>
                <w:highlight w:val="none"/>
              </w:rPr>
              <w:t>按相关规定支付。</w:t>
            </w:r>
          </w:p>
        </w:tc>
      </w:tr>
      <w:tr w14:paraId="0C9DA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63F681C8">
            <w:pPr>
              <w:spacing w:line="248" w:lineRule="auto"/>
              <w:rPr>
                <w:rFonts w:ascii="Arial"/>
                <w:color w:val="auto"/>
                <w:sz w:val="21"/>
                <w:highlight w:val="none"/>
              </w:rPr>
            </w:pPr>
          </w:p>
          <w:p w14:paraId="5A2CFDD6">
            <w:pPr>
              <w:spacing w:line="248" w:lineRule="auto"/>
              <w:rPr>
                <w:rFonts w:ascii="Arial"/>
                <w:color w:val="auto"/>
                <w:sz w:val="21"/>
                <w:highlight w:val="none"/>
              </w:rPr>
            </w:pPr>
          </w:p>
          <w:p w14:paraId="760689C8">
            <w:pPr>
              <w:spacing w:line="248" w:lineRule="auto"/>
              <w:rPr>
                <w:rFonts w:ascii="Arial"/>
                <w:color w:val="auto"/>
                <w:sz w:val="21"/>
                <w:highlight w:val="none"/>
              </w:rPr>
            </w:pPr>
          </w:p>
          <w:p w14:paraId="070E57A1">
            <w:pPr>
              <w:spacing w:line="248" w:lineRule="auto"/>
              <w:rPr>
                <w:rFonts w:ascii="Arial"/>
                <w:color w:val="auto"/>
                <w:sz w:val="21"/>
                <w:highlight w:val="none"/>
              </w:rPr>
            </w:pPr>
          </w:p>
          <w:p w14:paraId="6691671C">
            <w:pPr>
              <w:spacing w:line="248" w:lineRule="auto"/>
              <w:rPr>
                <w:rFonts w:ascii="Arial"/>
                <w:color w:val="auto"/>
                <w:sz w:val="21"/>
                <w:highlight w:val="none"/>
              </w:rPr>
            </w:pPr>
          </w:p>
          <w:p w14:paraId="4C6A55E0">
            <w:pPr>
              <w:spacing w:line="248" w:lineRule="auto"/>
              <w:rPr>
                <w:rFonts w:ascii="Arial"/>
                <w:color w:val="auto"/>
                <w:sz w:val="21"/>
                <w:highlight w:val="none"/>
              </w:rPr>
            </w:pPr>
          </w:p>
          <w:p w14:paraId="74CA5BD6">
            <w:pPr>
              <w:spacing w:line="248" w:lineRule="auto"/>
              <w:rPr>
                <w:rFonts w:ascii="Arial"/>
                <w:color w:val="auto"/>
                <w:sz w:val="21"/>
                <w:highlight w:val="none"/>
              </w:rPr>
            </w:pPr>
          </w:p>
          <w:p w14:paraId="315F3349">
            <w:pPr>
              <w:spacing w:line="249" w:lineRule="auto"/>
              <w:rPr>
                <w:rFonts w:ascii="Arial"/>
                <w:color w:val="auto"/>
                <w:sz w:val="21"/>
                <w:highlight w:val="none"/>
              </w:rPr>
            </w:pPr>
          </w:p>
          <w:p w14:paraId="620C7AC4">
            <w:pPr>
              <w:spacing w:line="249" w:lineRule="auto"/>
              <w:rPr>
                <w:rFonts w:ascii="Arial"/>
                <w:color w:val="auto"/>
                <w:sz w:val="21"/>
                <w:highlight w:val="none"/>
              </w:rPr>
            </w:pPr>
          </w:p>
          <w:p w14:paraId="4802D1C3">
            <w:pPr>
              <w:pStyle w:val="12"/>
              <w:spacing w:before="78" w:line="241" w:lineRule="auto"/>
              <w:ind w:left="176" w:leftChars="0"/>
              <w:rPr>
                <w:color w:val="auto"/>
                <w:spacing w:val="-7"/>
                <w:highlight w:val="none"/>
              </w:rPr>
            </w:pPr>
            <w:r>
              <w:rPr>
                <w:color w:val="auto"/>
                <w:highlight w:val="none"/>
              </w:rPr>
              <w:t>9</w:t>
            </w:r>
          </w:p>
        </w:tc>
        <w:tc>
          <w:tcPr>
            <w:tcW w:w="2137" w:type="dxa"/>
            <w:vAlign w:val="center"/>
          </w:tcPr>
          <w:p w14:paraId="4342DEE0">
            <w:pPr>
              <w:spacing w:line="258" w:lineRule="auto"/>
              <w:rPr>
                <w:rFonts w:ascii="Arial"/>
                <w:color w:val="auto"/>
                <w:sz w:val="21"/>
                <w:highlight w:val="none"/>
              </w:rPr>
            </w:pPr>
          </w:p>
          <w:p w14:paraId="0156A338">
            <w:pPr>
              <w:spacing w:line="258" w:lineRule="auto"/>
              <w:rPr>
                <w:rFonts w:ascii="Arial"/>
                <w:color w:val="auto"/>
                <w:sz w:val="21"/>
                <w:highlight w:val="none"/>
              </w:rPr>
            </w:pPr>
          </w:p>
          <w:p w14:paraId="57932887">
            <w:pPr>
              <w:spacing w:line="258" w:lineRule="auto"/>
              <w:rPr>
                <w:rFonts w:ascii="Arial"/>
                <w:color w:val="auto"/>
                <w:sz w:val="21"/>
                <w:highlight w:val="none"/>
              </w:rPr>
            </w:pPr>
          </w:p>
          <w:p w14:paraId="76A0B21A">
            <w:pPr>
              <w:spacing w:line="258" w:lineRule="auto"/>
              <w:rPr>
                <w:rFonts w:ascii="Arial"/>
                <w:color w:val="auto"/>
                <w:sz w:val="21"/>
                <w:highlight w:val="none"/>
              </w:rPr>
            </w:pPr>
          </w:p>
          <w:p w14:paraId="1DF36B5C">
            <w:pPr>
              <w:spacing w:line="258" w:lineRule="auto"/>
              <w:rPr>
                <w:rFonts w:ascii="Arial"/>
                <w:color w:val="auto"/>
                <w:sz w:val="21"/>
                <w:highlight w:val="none"/>
              </w:rPr>
            </w:pPr>
          </w:p>
          <w:p w14:paraId="73CE457A">
            <w:pPr>
              <w:spacing w:line="258" w:lineRule="auto"/>
              <w:rPr>
                <w:rFonts w:ascii="Arial"/>
                <w:color w:val="auto"/>
                <w:sz w:val="21"/>
                <w:highlight w:val="none"/>
              </w:rPr>
            </w:pPr>
          </w:p>
          <w:p w14:paraId="415F15DB">
            <w:pPr>
              <w:spacing w:line="258" w:lineRule="auto"/>
              <w:rPr>
                <w:rFonts w:ascii="Arial"/>
                <w:color w:val="auto"/>
                <w:sz w:val="21"/>
                <w:highlight w:val="none"/>
              </w:rPr>
            </w:pPr>
          </w:p>
          <w:p w14:paraId="1FDB2473">
            <w:pPr>
              <w:spacing w:line="259" w:lineRule="auto"/>
              <w:rPr>
                <w:rFonts w:ascii="Arial"/>
                <w:color w:val="auto"/>
                <w:sz w:val="21"/>
                <w:highlight w:val="none"/>
              </w:rPr>
            </w:pPr>
          </w:p>
          <w:p w14:paraId="11D0AD8E">
            <w:pPr>
              <w:pStyle w:val="12"/>
              <w:spacing w:before="78" w:line="248" w:lineRule="auto"/>
              <w:ind w:left="935" w:leftChars="0" w:right="244" w:rightChars="0" w:hanging="811" w:firstLineChars="0"/>
              <w:rPr>
                <w:color w:val="auto"/>
                <w:spacing w:val="-7"/>
                <w:highlight w:val="none"/>
              </w:rPr>
            </w:pPr>
            <w:r>
              <w:rPr>
                <w:color w:val="auto"/>
                <w:spacing w:val="-9"/>
                <w:highlight w:val="none"/>
              </w:rPr>
              <w:t>节能、环保政府采购政策</w:t>
            </w:r>
          </w:p>
        </w:tc>
        <w:tc>
          <w:tcPr>
            <w:tcW w:w="6773" w:type="dxa"/>
            <w:vAlign w:val="center"/>
          </w:tcPr>
          <w:p w14:paraId="7E590353">
            <w:pPr>
              <w:pStyle w:val="12"/>
              <w:spacing w:before="158" w:line="221" w:lineRule="auto"/>
              <w:ind w:left="151"/>
              <w:rPr>
                <w:color w:val="auto"/>
                <w:highlight w:val="none"/>
              </w:rPr>
            </w:pPr>
            <w:r>
              <w:rPr>
                <w:color w:val="auto"/>
                <w:spacing w:val="6"/>
                <w:highlight w:val="none"/>
              </w:rPr>
              <w:t>严格执行《财政部发展改革委生态环境部市</w:t>
            </w:r>
            <w:r>
              <w:rPr>
                <w:color w:val="auto"/>
                <w:spacing w:val="5"/>
                <w:highlight w:val="none"/>
              </w:rPr>
              <w:t>场监管总</w:t>
            </w:r>
          </w:p>
          <w:p w14:paraId="238DE46F">
            <w:pPr>
              <w:pStyle w:val="12"/>
              <w:spacing w:before="45" w:line="222" w:lineRule="auto"/>
              <w:ind w:left="153"/>
              <w:rPr>
                <w:color w:val="auto"/>
                <w:highlight w:val="none"/>
              </w:rPr>
            </w:pPr>
            <w:r>
              <w:rPr>
                <w:color w:val="auto"/>
                <w:spacing w:val="5"/>
                <w:highlight w:val="none"/>
              </w:rPr>
              <w:t>局关于调整优化节能产品、环境标志产品政府采购执</w:t>
            </w:r>
          </w:p>
          <w:p w14:paraId="24B873F4">
            <w:pPr>
              <w:pStyle w:val="12"/>
              <w:spacing w:before="51" w:line="257" w:lineRule="auto"/>
              <w:ind w:left="151" w:right="119"/>
              <w:rPr>
                <w:color w:val="auto"/>
                <w:highlight w:val="none"/>
              </w:rPr>
            </w:pPr>
            <w:r>
              <w:rPr>
                <w:color w:val="auto"/>
                <w:spacing w:val="2"/>
                <w:highlight w:val="none"/>
              </w:rPr>
              <w:t>行机制的通知》（财库〔2019〕9号）、关于印发</w:t>
            </w:r>
            <w:r>
              <w:rPr>
                <w:color w:val="auto"/>
                <w:spacing w:val="1"/>
                <w:highlight w:val="none"/>
              </w:rPr>
              <w:t>节能</w:t>
            </w:r>
            <w:r>
              <w:rPr>
                <w:color w:val="auto"/>
                <w:highlight w:val="none"/>
              </w:rPr>
              <w:t>产品政府采购品 目清单的通知（财库〔2019〕19号）、</w:t>
            </w:r>
            <w:r>
              <w:rPr>
                <w:color w:val="auto"/>
                <w:spacing w:val="1"/>
                <w:highlight w:val="none"/>
              </w:rPr>
              <w:t>关于印发环境标志产品政府采购品目清单的通知（财库</w:t>
            </w:r>
            <w:r>
              <w:rPr>
                <w:color w:val="auto"/>
                <w:spacing w:val="4"/>
                <w:highlight w:val="none"/>
              </w:rPr>
              <w:t>〔2019〕18号）、市场监管总局关于发布参与实施政府采购节能产品、环境标志产品认证机构名录的公告（20</w:t>
            </w:r>
            <w:r>
              <w:rPr>
                <w:color w:val="auto"/>
                <w:spacing w:val="15"/>
                <w:highlight w:val="none"/>
              </w:rPr>
              <w:t xml:space="preserve"> </w:t>
            </w:r>
            <w:r>
              <w:rPr>
                <w:color w:val="auto"/>
                <w:spacing w:val="4"/>
                <w:highlight w:val="none"/>
              </w:rPr>
              <w:t>19年第16号</w:t>
            </w:r>
            <w:r>
              <w:rPr>
                <w:color w:val="auto"/>
                <w:spacing w:val="12"/>
                <w:highlight w:val="none"/>
              </w:rPr>
              <w:t>），</w:t>
            </w:r>
            <w:r>
              <w:rPr>
                <w:color w:val="auto"/>
                <w:spacing w:val="4"/>
                <w:highlight w:val="none"/>
              </w:rPr>
              <w:t>本次采购产品类别属于政府强制采购产</w:t>
            </w:r>
            <w:r>
              <w:rPr>
                <w:color w:val="auto"/>
                <w:spacing w:val="6"/>
                <w:highlight w:val="none"/>
              </w:rPr>
              <w:t>品类别的，应当按照要求提供依据国家确定</w:t>
            </w:r>
            <w:r>
              <w:rPr>
                <w:color w:val="auto"/>
                <w:spacing w:val="5"/>
                <w:highlight w:val="none"/>
              </w:rPr>
              <w:t>的认证机</w:t>
            </w:r>
          </w:p>
          <w:p w14:paraId="5406FFE5">
            <w:pPr>
              <w:pStyle w:val="12"/>
              <w:spacing w:line="250" w:lineRule="auto"/>
              <w:ind w:left="149" w:leftChars="0" w:right="131" w:rightChars="0"/>
              <w:rPr>
                <w:color w:val="auto"/>
                <w:spacing w:val="-7"/>
                <w:highlight w:val="none"/>
              </w:rPr>
            </w:pPr>
            <w:r>
              <w:rPr>
                <w:color w:val="auto"/>
                <w:spacing w:val="6"/>
                <w:highlight w:val="none"/>
              </w:rPr>
              <w:t>构出具的、处于有效期之内的节能产品或环境标志产品认证证书，否则投标文件无效；属于政府优先</w:t>
            </w:r>
            <w:r>
              <w:rPr>
                <w:color w:val="auto"/>
                <w:spacing w:val="5"/>
                <w:highlight w:val="none"/>
              </w:rPr>
              <w:t>采购</w:t>
            </w:r>
            <w:r>
              <w:rPr>
                <w:color w:val="auto"/>
                <w:spacing w:val="6"/>
                <w:highlight w:val="none"/>
              </w:rPr>
              <w:t>产品类别的，应当按照要求提供依据国家确定的</w:t>
            </w:r>
            <w:r>
              <w:rPr>
                <w:color w:val="auto"/>
                <w:spacing w:val="5"/>
                <w:highlight w:val="none"/>
              </w:rPr>
              <w:t>认证</w:t>
            </w:r>
            <w:r>
              <w:rPr>
                <w:color w:val="auto"/>
                <w:spacing w:val="4"/>
                <w:highlight w:val="none"/>
              </w:rPr>
              <w:t>机构出具的、处于有效期之内的节能产品或环境标志产</w:t>
            </w:r>
            <w:r>
              <w:rPr>
                <w:color w:val="auto"/>
                <w:spacing w:val="-3"/>
                <w:highlight w:val="none"/>
              </w:rPr>
              <w:t>品认证证书，否则不予认定。</w:t>
            </w:r>
          </w:p>
        </w:tc>
      </w:tr>
      <w:tr w14:paraId="1F322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0FD379F2">
            <w:pPr>
              <w:pStyle w:val="12"/>
              <w:spacing w:before="168" w:line="203" w:lineRule="auto"/>
              <w:ind w:left="300" w:leftChars="0"/>
              <w:rPr>
                <w:rFonts w:hint="default" w:eastAsia="仿宋"/>
                <w:color w:val="auto"/>
                <w:spacing w:val="-7"/>
                <w:highlight w:val="none"/>
                <w:lang w:val="en-US" w:eastAsia="zh-CN"/>
              </w:rPr>
            </w:pPr>
            <w:r>
              <w:rPr>
                <w:rFonts w:hint="eastAsia"/>
                <w:color w:val="auto"/>
                <w:spacing w:val="-7"/>
                <w:highlight w:val="none"/>
                <w:lang w:val="en-US" w:eastAsia="zh-CN"/>
              </w:rPr>
              <w:t>10</w:t>
            </w:r>
          </w:p>
        </w:tc>
        <w:tc>
          <w:tcPr>
            <w:tcW w:w="2137" w:type="dxa"/>
            <w:vAlign w:val="center"/>
          </w:tcPr>
          <w:p w14:paraId="5DF7A423">
            <w:pPr>
              <w:pStyle w:val="12"/>
              <w:spacing w:before="164" w:line="206" w:lineRule="auto"/>
              <w:ind w:left="149" w:leftChars="0"/>
              <w:rPr>
                <w:color w:val="auto"/>
                <w:spacing w:val="-7"/>
                <w:highlight w:val="none"/>
              </w:rPr>
            </w:pPr>
            <w:r>
              <w:rPr>
                <w:color w:val="auto"/>
                <w:spacing w:val="-16"/>
                <w:highlight w:val="none"/>
              </w:rPr>
              <w:t>中小企业扶持政策</w:t>
            </w:r>
          </w:p>
        </w:tc>
        <w:tc>
          <w:tcPr>
            <w:tcW w:w="6773" w:type="dxa"/>
            <w:vAlign w:val="center"/>
          </w:tcPr>
          <w:p w14:paraId="66D31B7E">
            <w:pPr>
              <w:pStyle w:val="12"/>
              <w:spacing w:before="95" w:line="265" w:lineRule="auto"/>
              <w:ind w:left="42" w:right="398" w:hanging="4"/>
              <w:rPr>
                <w:color w:val="auto"/>
                <w:highlight w:val="none"/>
              </w:rPr>
            </w:pPr>
            <w:r>
              <w:rPr>
                <w:color w:val="auto"/>
                <w:spacing w:val="-2"/>
                <w:highlight w:val="none"/>
              </w:rPr>
              <w:t>一、关于中小企业、残疾人福利性单位、监狱企业扶持</w:t>
            </w:r>
            <w:r>
              <w:rPr>
                <w:color w:val="auto"/>
                <w:spacing w:val="-5"/>
                <w:highlight w:val="none"/>
              </w:rPr>
              <w:t>政策落实的规定：</w:t>
            </w:r>
          </w:p>
          <w:p w14:paraId="5C04EAF5">
            <w:pPr>
              <w:pStyle w:val="12"/>
              <w:spacing w:before="16" w:line="266" w:lineRule="auto"/>
              <w:ind w:left="48" w:right="402" w:hanging="17"/>
              <w:rPr>
                <w:color w:val="auto"/>
                <w:highlight w:val="none"/>
              </w:rPr>
            </w:pPr>
            <w:r>
              <w:rPr>
                <w:color w:val="auto"/>
                <w:spacing w:val="-2"/>
                <w:highlight w:val="none"/>
              </w:rPr>
              <w:t>本项目按照《新疆维吾尔自治区政府采购促进中小企业</w:t>
            </w:r>
            <w:r>
              <w:rPr>
                <w:color w:val="auto"/>
                <w:spacing w:val="-3"/>
                <w:highlight w:val="none"/>
              </w:rPr>
              <w:t>发展管理实施办法》（新财规〔2021〕6号）</w:t>
            </w:r>
          </w:p>
          <w:p w14:paraId="7CD5507A">
            <w:pPr>
              <w:pStyle w:val="12"/>
              <w:spacing w:line="222" w:lineRule="auto"/>
              <w:ind w:left="49"/>
              <w:rPr>
                <w:color w:val="auto"/>
                <w:highlight w:val="none"/>
              </w:rPr>
            </w:pPr>
            <w:r>
              <w:rPr>
                <w:color w:val="auto"/>
                <w:spacing w:val="-5"/>
                <w:highlight w:val="none"/>
              </w:rPr>
              <w:t>1、中小企业报价的价格扣除</w:t>
            </w:r>
          </w:p>
          <w:p w14:paraId="60852EF2">
            <w:pPr>
              <w:pStyle w:val="12"/>
              <w:spacing w:before="36" w:line="222" w:lineRule="auto"/>
              <w:ind w:left="55"/>
              <w:rPr>
                <w:color w:val="auto"/>
                <w:highlight w:val="none"/>
              </w:rPr>
            </w:pPr>
            <w:r>
              <w:rPr>
                <w:color w:val="auto"/>
                <w:spacing w:val="-2"/>
                <w:highlight w:val="none"/>
              </w:rPr>
              <w:t>（1）本项目对中小企业报价的价格给予6%的扣除，用扣</w:t>
            </w:r>
            <w:r>
              <w:rPr>
                <w:color w:val="auto"/>
                <w:spacing w:val="-6"/>
                <w:highlight w:val="none"/>
              </w:rPr>
              <w:t>除后的价格参与评审。</w:t>
            </w:r>
          </w:p>
          <w:p w14:paraId="312AF432">
            <w:pPr>
              <w:pStyle w:val="12"/>
              <w:spacing w:before="105"/>
              <w:ind w:left="50" w:right="755" w:hanging="11"/>
              <w:rPr>
                <w:color w:val="auto"/>
                <w:highlight w:val="none"/>
              </w:rPr>
            </w:pPr>
            <w:r>
              <w:rPr>
                <w:color w:val="auto"/>
                <w:spacing w:val="-2"/>
                <w:highlight w:val="none"/>
              </w:rPr>
              <w:t>（2）供应商需按照采购文件的要求提供《中小企业</w:t>
            </w:r>
            <w:r>
              <w:rPr>
                <w:color w:val="auto"/>
                <w:spacing w:val="-6"/>
                <w:highlight w:val="none"/>
              </w:rPr>
              <w:t>声明函》，详见第六章“投标文件格式</w:t>
            </w:r>
            <w:r>
              <w:rPr>
                <w:color w:val="auto"/>
                <w:spacing w:val="-38"/>
                <w:highlight w:val="none"/>
              </w:rPr>
              <w:t xml:space="preserve"> </w:t>
            </w:r>
            <w:r>
              <w:rPr>
                <w:color w:val="auto"/>
                <w:spacing w:val="-6"/>
                <w:highlight w:val="none"/>
              </w:rPr>
              <w:t>”附件八。</w:t>
            </w:r>
          </w:p>
          <w:p w14:paraId="4F53B9F2">
            <w:pPr>
              <w:pStyle w:val="12"/>
              <w:spacing w:before="82" w:line="242" w:lineRule="auto"/>
              <w:ind w:left="39" w:right="278"/>
              <w:rPr>
                <w:color w:val="auto"/>
                <w:highlight w:val="none"/>
              </w:rPr>
            </w:pPr>
            <w:r>
              <w:rPr>
                <w:color w:val="auto"/>
                <w:spacing w:val="-2"/>
                <w:highlight w:val="none"/>
              </w:rPr>
              <w:t>（3）企业标准请参照《关于印发中小企业划型标准规定的通知》（工信部联企业[</w:t>
            </w:r>
            <w:r>
              <w:rPr>
                <w:color w:val="auto"/>
                <w:highlight w:val="none"/>
              </w:rPr>
              <w:fldChar w:fldCharType="begin"/>
            </w:r>
            <w:r>
              <w:rPr>
                <w:color w:val="auto"/>
                <w:highlight w:val="none"/>
              </w:rPr>
              <w:instrText xml:space="preserve"> HYPERLINK \l "bookmark38" </w:instrText>
            </w:r>
            <w:r>
              <w:rPr>
                <w:color w:val="auto"/>
                <w:highlight w:val="none"/>
              </w:rPr>
              <w:fldChar w:fldCharType="separate"/>
            </w:r>
            <w:r>
              <w:rPr>
                <w:color w:val="auto"/>
                <w:spacing w:val="-2"/>
                <w:highlight w:val="none"/>
              </w:rPr>
              <w:t>2011</w:t>
            </w:r>
            <w:r>
              <w:rPr>
                <w:color w:val="auto"/>
                <w:spacing w:val="-2"/>
                <w:highlight w:val="none"/>
              </w:rPr>
              <w:fldChar w:fldCharType="end"/>
            </w:r>
            <w:r>
              <w:rPr>
                <w:color w:val="auto"/>
                <w:spacing w:val="-2"/>
                <w:highlight w:val="none"/>
              </w:rPr>
              <w:t>]300号）文件规定自行填</w:t>
            </w:r>
            <w:r>
              <w:rPr>
                <w:color w:val="auto"/>
                <w:spacing w:val="-12"/>
                <w:highlight w:val="none"/>
              </w:rPr>
              <w:t>写。</w:t>
            </w:r>
          </w:p>
          <w:p w14:paraId="785E8229">
            <w:pPr>
              <w:pStyle w:val="12"/>
              <w:spacing w:before="53" w:line="220" w:lineRule="auto"/>
              <w:ind w:left="20"/>
              <w:rPr>
                <w:color w:val="auto"/>
                <w:highlight w:val="none"/>
              </w:rPr>
            </w:pPr>
            <w:r>
              <w:rPr>
                <w:color w:val="auto"/>
                <w:spacing w:val="-2"/>
                <w:highlight w:val="none"/>
              </w:rPr>
              <w:t>2、残疾人福利性单位报价的价格扣除</w:t>
            </w:r>
          </w:p>
          <w:p w14:paraId="32B34318">
            <w:pPr>
              <w:pStyle w:val="12"/>
              <w:spacing w:before="99" w:line="243" w:lineRule="auto"/>
              <w:ind w:left="27" w:right="332" w:firstLine="12"/>
              <w:rPr>
                <w:color w:val="auto"/>
                <w:highlight w:val="none"/>
              </w:rPr>
            </w:pPr>
            <w:r>
              <w:rPr>
                <w:color w:val="auto"/>
                <w:spacing w:val="-4"/>
                <w:highlight w:val="none"/>
              </w:rPr>
              <w:t>（1）本项目对残疾人福利性单位视同小型、微型企业，</w:t>
            </w:r>
            <w:r>
              <w:rPr>
                <w:color w:val="auto"/>
                <w:spacing w:val="-2"/>
                <w:highlight w:val="none"/>
              </w:rPr>
              <w:t>给予6%的价格扣除，用扣除后的价格参与评审。</w:t>
            </w:r>
          </w:p>
          <w:p w14:paraId="5CFEAE45">
            <w:pPr>
              <w:pStyle w:val="12"/>
              <w:spacing w:before="76" w:line="242" w:lineRule="auto"/>
              <w:ind w:left="32" w:right="278" w:firstLine="6"/>
              <w:rPr>
                <w:color w:val="auto"/>
                <w:highlight w:val="none"/>
              </w:rPr>
            </w:pPr>
            <w:r>
              <w:rPr>
                <w:color w:val="auto"/>
                <w:spacing w:val="-2"/>
                <w:highlight w:val="none"/>
              </w:rPr>
              <w:t>（2）残疾人福利性单位需按照采购文件的要求提供《残</w:t>
            </w:r>
            <w:r>
              <w:rPr>
                <w:color w:val="auto"/>
                <w:spacing w:val="-3"/>
                <w:highlight w:val="none"/>
              </w:rPr>
              <w:t>疾人福利性单位声明函》。</w:t>
            </w:r>
          </w:p>
          <w:p w14:paraId="1633C620">
            <w:pPr>
              <w:pStyle w:val="12"/>
              <w:spacing w:before="79" w:line="243" w:lineRule="auto"/>
              <w:ind w:left="30" w:right="278" w:firstLine="9"/>
              <w:rPr>
                <w:color w:val="auto"/>
                <w:highlight w:val="none"/>
              </w:rPr>
            </w:pPr>
            <w:r>
              <w:rPr>
                <w:color w:val="auto"/>
                <w:spacing w:val="-2"/>
                <w:highlight w:val="none"/>
              </w:rPr>
              <w:t>（3）残疾人福利性单位标准请参照《关于促进残疾人就业政府采购政策的通知》（财库〔2017〕141号）。</w:t>
            </w:r>
          </w:p>
          <w:p w14:paraId="38397BBA">
            <w:pPr>
              <w:pStyle w:val="12"/>
              <w:spacing w:before="58" w:line="222" w:lineRule="auto"/>
              <w:ind w:left="25"/>
              <w:rPr>
                <w:color w:val="auto"/>
                <w:highlight w:val="none"/>
              </w:rPr>
            </w:pPr>
            <w:r>
              <w:rPr>
                <w:color w:val="auto"/>
                <w:spacing w:val="-2"/>
                <w:highlight w:val="none"/>
              </w:rPr>
              <w:t>3、监狱和戒毒企业报价的价格扣除</w:t>
            </w:r>
          </w:p>
          <w:p w14:paraId="6198A82E">
            <w:pPr>
              <w:pStyle w:val="12"/>
              <w:spacing w:before="93" w:line="243" w:lineRule="auto"/>
              <w:ind w:left="31" w:right="170" w:firstLine="8"/>
              <w:rPr>
                <w:color w:val="auto"/>
                <w:highlight w:val="none"/>
              </w:rPr>
            </w:pPr>
            <w:r>
              <w:rPr>
                <w:color w:val="auto"/>
                <w:spacing w:val="-4"/>
                <w:highlight w:val="none"/>
              </w:rPr>
              <w:t>（1）本项目对监狱和戒毒企业（简称监狱企业）视同小</w:t>
            </w:r>
            <w:r>
              <w:rPr>
                <w:color w:val="auto"/>
                <w:spacing w:val="-2"/>
                <w:highlight w:val="none"/>
              </w:rPr>
              <w:t>型、微型企业，给予6%的价格扣除，用扣除后的价格参与</w:t>
            </w:r>
            <w:r>
              <w:rPr>
                <w:color w:val="auto"/>
                <w:spacing w:val="-6"/>
                <w:highlight w:val="none"/>
              </w:rPr>
              <w:t>评审。</w:t>
            </w:r>
          </w:p>
          <w:p w14:paraId="686ABA33">
            <w:pPr>
              <w:pStyle w:val="12"/>
              <w:spacing w:before="72" w:line="253" w:lineRule="auto"/>
              <w:ind w:left="31" w:right="162" w:firstLine="8"/>
              <w:rPr>
                <w:color w:val="auto"/>
                <w:highlight w:val="none"/>
              </w:rPr>
            </w:pPr>
            <w:r>
              <w:rPr>
                <w:color w:val="auto"/>
                <w:spacing w:val="-2"/>
                <w:highlight w:val="none"/>
              </w:rPr>
              <w:t>（2）监狱企业参加政府采购活动时，需提供由省级以上监狱管理局、戒毒管理局(含新疆生产建设兵团)出具的属于监狱企业的证明文件。供应商如不提供上述证明文件，</w:t>
            </w:r>
            <w:r>
              <w:rPr>
                <w:color w:val="auto"/>
                <w:spacing w:val="-4"/>
                <w:highlight w:val="none"/>
              </w:rPr>
              <w:t>价格将不做相应扣除。</w:t>
            </w:r>
          </w:p>
          <w:p w14:paraId="78D1B0F4">
            <w:pPr>
              <w:pStyle w:val="12"/>
              <w:spacing w:before="78" w:line="243" w:lineRule="auto"/>
              <w:ind w:left="34" w:right="278" w:firstLine="5"/>
              <w:rPr>
                <w:color w:val="auto"/>
                <w:highlight w:val="none"/>
              </w:rPr>
            </w:pPr>
            <w:r>
              <w:rPr>
                <w:color w:val="auto"/>
                <w:spacing w:val="-2"/>
                <w:highlight w:val="none"/>
              </w:rPr>
              <w:t>（3）监狱企业标准请参照《关于政府采购支持监狱企业发展有关问题的通知》（财库[</w:t>
            </w:r>
            <w:r>
              <w:rPr>
                <w:color w:val="auto"/>
                <w:highlight w:val="none"/>
              </w:rPr>
              <w:fldChar w:fldCharType="begin"/>
            </w:r>
            <w:r>
              <w:rPr>
                <w:color w:val="auto"/>
                <w:highlight w:val="none"/>
              </w:rPr>
              <w:instrText xml:space="preserve"> HYPERLINK \l "bookmark39" </w:instrText>
            </w:r>
            <w:r>
              <w:rPr>
                <w:color w:val="auto"/>
                <w:highlight w:val="none"/>
              </w:rPr>
              <w:fldChar w:fldCharType="separate"/>
            </w:r>
            <w:r>
              <w:rPr>
                <w:color w:val="auto"/>
                <w:spacing w:val="-2"/>
                <w:highlight w:val="none"/>
              </w:rPr>
              <w:t>2014</w:t>
            </w:r>
            <w:r>
              <w:rPr>
                <w:color w:val="auto"/>
                <w:spacing w:val="-2"/>
                <w:highlight w:val="none"/>
              </w:rPr>
              <w:fldChar w:fldCharType="end"/>
            </w:r>
            <w:r>
              <w:rPr>
                <w:color w:val="auto"/>
                <w:spacing w:val="-2"/>
                <w:highlight w:val="none"/>
              </w:rPr>
              <w:t>]68号）。</w:t>
            </w:r>
          </w:p>
          <w:p w14:paraId="1089B556">
            <w:pPr>
              <w:pStyle w:val="12"/>
              <w:spacing w:before="76" w:line="241" w:lineRule="auto"/>
              <w:ind w:left="45" w:right="347" w:hanging="33"/>
              <w:rPr>
                <w:color w:val="auto"/>
                <w:highlight w:val="none"/>
              </w:rPr>
            </w:pPr>
            <w:r>
              <w:rPr>
                <w:color w:val="auto"/>
                <w:spacing w:val="-4"/>
                <w:highlight w:val="none"/>
              </w:rPr>
              <w:t>4、残疾人福利单位、监狱企业属于小型、微型企业的，</w:t>
            </w:r>
            <w:r>
              <w:rPr>
                <w:color w:val="auto"/>
                <w:spacing w:val="-6"/>
                <w:highlight w:val="none"/>
              </w:rPr>
              <w:t>不重复享受政策。</w:t>
            </w:r>
          </w:p>
          <w:p w14:paraId="155821ED">
            <w:pPr>
              <w:pStyle w:val="12"/>
              <w:spacing w:before="82" w:line="255" w:lineRule="auto"/>
              <w:ind w:left="28" w:right="165" w:hanging="3"/>
              <w:rPr>
                <w:color w:val="auto"/>
                <w:highlight w:val="none"/>
              </w:rPr>
            </w:pPr>
            <w:r>
              <w:rPr>
                <w:color w:val="auto"/>
                <w:spacing w:val="-2"/>
                <w:highlight w:val="none"/>
              </w:rPr>
              <w:t>5、大中型企业和其他自然人、法人或者其他组织与小型</w:t>
            </w:r>
            <w:r>
              <w:rPr>
                <w:color w:val="auto"/>
                <w:spacing w:val="4"/>
                <w:highlight w:val="none"/>
              </w:rPr>
              <w:t xml:space="preserve">  </w:t>
            </w:r>
            <w:r>
              <w:rPr>
                <w:color w:val="auto"/>
                <w:spacing w:val="-2"/>
                <w:highlight w:val="none"/>
              </w:rPr>
              <w:t>、微型企业（残疾人福利单位、监狱企业）组成联合体共同参加政府采购活动。联合协议中约定，小型、微型企业（残疾人福利单位、监狱企业）的协议合同金额占到联合体协议合同总金额30%以上的，给予联合体2%的价格扣除</w:t>
            </w:r>
            <w:r>
              <w:rPr>
                <w:color w:val="auto"/>
                <w:spacing w:val="4"/>
                <w:highlight w:val="none"/>
              </w:rPr>
              <w:t xml:space="preserve">  </w:t>
            </w:r>
            <w:r>
              <w:rPr>
                <w:color w:val="auto"/>
                <w:spacing w:val="-5"/>
                <w:highlight w:val="none"/>
              </w:rPr>
              <w:t>,</w:t>
            </w:r>
            <w:r>
              <w:rPr>
                <w:color w:val="auto"/>
                <w:spacing w:val="83"/>
                <w:highlight w:val="none"/>
              </w:rPr>
              <w:t xml:space="preserve"> </w:t>
            </w:r>
            <w:r>
              <w:rPr>
                <w:color w:val="auto"/>
                <w:spacing w:val="-5"/>
                <w:highlight w:val="none"/>
              </w:rPr>
              <w:t>用扣除后的价格参与评审。（注意：组成联合体的中小</w:t>
            </w:r>
            <w:r>
              <w:rPr>
                <w:color w:val="auto"/>
                <w:spacing w:val="-2"/>
                <w:highlight w:val="none"/>
              </w:rPr>
              <w:t>企业与联合体内其他企业之间不得存在直接控股、管理关</w:t>
            </w:r>
            <w:r>
              <w:rPr>
                <w:color w:val="auto"/>
                <w:spacing w:val="-9"/>
                <w:highlight w:val="none"/>
              </w:rPr>
              <w:t>系）</w:t>
            </w:r>
          </w:p>
          <w:p w14:paraId="1B1BD050">
            <w:pPr>
              <w:pStyle w:val="12"/>
              <w:spacing w:before="3" w:line="225" w:lineRule="auto"/>
              <w:ind w:left="14" w:right="59" w:firstLine="470"/>
              <w:rPr>
                <w:color w:val="auto"/>
                <w:highlight w:val="none"/>
              </w:rPr>
            </w:pPr>
            <w:r>
              <w:rPr>
                <w:color w:val="auto"/>
                <w:spacing w:val="-2"/>
                <w:highlight w:val="none"/>
              </w:rPr>
              <w:t>6、联合体各方均为小型、微型企业（残疾人福利单位</w:t>
            </w:r>
            <w:r>
              <w:rPr>
                <w:color w:val="auto"/>
                <w:spacing w:val="15"/>
                <w:highlight w:val="none"/>
              </w:rPr>
              <w:t xml:space="preserve"> </w:t>
            </w:r>
            <w:r>
              <w:rPr>
                <w:color w:val="auto"/>
                <w:spacing w:val="-2"/>
                <w:highlight w:val="none"/>
              </w:rPr>
              <w:t>、监狱企业）的，联合体享受3%价格扣除，用扣除后的价</w:t>
            </w:r>
            <w:r>
              <w:rPr>
                <w:color w:val="auto"/>
                <w:spacing w:val="-4"/>
                <w:highlight w:val="none"/>
              </w:rPr>
              <w:t>格参与评审。</w:t>
            </w:r>
          </w:p>
          <w:p w14:paraId="1D96B955">
            <w:pPr>
              <w:pStyle w:val="12"/>
              <w:spacing w:before="164" w:line="206" w:lineRule="auto"/>
              <w:ind w:left="149" w:leftChars="0"/>
              <w:rPr>
                <w:color w:val="auto"/>
                <w:spacing w:val="-7"/>
                <w:highlight w:val="none"/>
              </w:rPr>
            </w:pPr>
            <w:r>
              <w:rPr>
                <w:b/>
                <w:bCs/>
                <w:color w:val="auto"/>
                <w:spacing w:val="3"/>
                <w:highlight w:val="none"/>
              </w:rPr>
              <w:t>注：本项目为专门面向中小企业，故不再单独</w:t>
            </w:r>
            <w:r>
              <w:rPr>
                <w:b/>
                <w:bCs/>
                <w:color w:val="auto"/>
                <w:spacing w:val="2"/>
                <w:highlight w:val="none"/>
              </w:rPr>
              <w:t>享受</w:t>
            </w:r>
            <w:r>
              <w:rPr>
                <w:b/>
                <w:bCs/>
                <w:color w:val="auto"/>
                <w:highlight w:val="none"/>
              </w:rPr>
              <w:t>价格扣除优惠政策。</w:t>
            </w:r>
          </w:p>
        </w:tc>
      </w:tr>
      <w:tr w14:paraId="460D9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764A8F6C">
            <w:pPr>
              <w:spacing w:line="345" w:lineRule="auto"/>
              <w:rPr>
                <w:rFonts w:ascii="Arial"/>
                <w:color w:val="auto"/>
                <w:sz w:val="21"/>
                <w:highlight w:val="none"/>
              </w:rPr>
            </w:pPr>
          </w:p>
          <w:p w14:paraId="7CA1BF8F">
            <w:pPr>
              <w:pStyle w:val="12"/>
              <w:spacing w:before="78" w:line="315" w:lineRule="exact"/>
              <w:ind w:left="193" w:leftChars="0"/>
              <w:rPr>
                <w:color w:val="auto"/>
                <w:spacing w:val="-7"/>
                <w:highlight w:val="none"/>
              </w:rPr>
            </w:pPr>
            <w:r>
              <w:rPr>
                <w:color w:val="auto"/>
                <w:spacing w:val="-14"/>
                <w:position w:val="1"/>
                <w:highlight w:val="none"/>
              </w:rPr>
              <w:t>11</w:t>
            </w:r>
          </w:p>
        </w:tc>
        <w:tc>
          <w:tcPr>
            <w:tcW w:w="2137" w:type="dxa"/>
            <w:vAlign w:val="center"/>
          </w:tcPr>
          <w:p w14:paraId="3B4AD57A">
            <w:pPr>
              <w:spacing w:line="360" w:lineRule="auto"/>
              <w:rPr>
                <w:rFonts w:ascii="Arial"/>
                <w:color w:val="auto"/>
                <w:sz w:val="21"/>
                <w:highlight w:val="none"/>
              </w:rPr>
            </w:pPr>
          </w:p>
          <w:p w14:paraId="5E862578">
            <w:pPr>
              <w:pStyle w:val="12"/>
              <w:spacing w:before="78" w:line="222" w:lineRule="auto"/>
              <w:ind w:left="286" w:leftChars="0"/>
              <w:rPr>
                <w:color w:val="auto"/>
                <w:spacing w:val="-7"/>
                <w:highlight w:val="none"/>
              </w:rPr>
            </w:pPr>
            <w:r>
              <w:rPr>
                <w:color w:val="auto"/>
                <w:spacing w:val="-16"/>
                <w:highlight w:val="none"/>
              </w:rPr>
              <w:t>中标成交结果公告</w:t>
            </w:r>
          </w:p>
        </w:tc>
        <w:tc>
          <w:tcPr>
            <w:tcW w:w="6773" w:type="dxa"/>
            <w:vAlign w:val="center"/>
          </w:tcPr>
          <w:p w14:paraId="3D1471D3">
            <w:pPr>
              <w:pStyle w:val="12"/>
              <w:spacing w:before="143" w:line="218" w:lineRule="auto"/>
              <w:ind w:left="179" w:leftChars="0" w:right="292" w:rightChars="0" w:hanging="18" w:firstLineChars="0"/>
              <w:jc w:val="both"/>
              <w:rPr>
                <w:color w:val="auto"/>
                <w:spacing w:val="-7"/>
                <w:highlight w:val="none"/>
              </w:rPr>
            </w:pPr>
            <w:r>
              <w:rPr>
                <w:color w:val="auto"/>
                <w:spacing w:val="-4"/>
                <w:highlight w:val="none"/>
              </w:rPr>
              <w:t>成交结果公告在新疆政府采购网、阿克苏地区行政公署</w:t>
            </w:r>
            <w:r>
              <w:rPr>
                <w:color w:val="auto"/>
                <w:spacing w:val="-8"/>
                <w:highlight w:val="none"/>
              </w:rPr>
              <w:t>网及乌什县人民政府网上予以公示，公示期不少于 1 个</w:t>
            </w:r>
            <w:r>
              <w:rPr>
                <w:color w:val="auto"/>
                <w:spacing w:val="-10"/>
                <w:highlight w:val="none"/>
              </w:rPr>
              <w:t>工作日。</w:t>
            </w:r>
          </w:p>
        </w:tc>
      </w:tr>
      <w:tr w14:paraId="53507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408BD167">
            <w:pPr>
              <w:rPr>
                <w:rFonts w:ascii="Arial"/>
                <w:color w:val="auto"/>
                <w:sz w:val="21"/>
                <w:highlight w:val="none"/>
              </w:rPr>
            </w:pPr>
          </w:p>
          <w:p w14:paraId="4FE55E02">
            <w:pPr>
              <w:spacing w:line="241" w:lineRule="auto"/>
              <w:rPr>
                <w:rFonts w:ascii="Arial"/>
                <w:color w:val="auto"/>
                <w:sz w:val="21"/>
                <w:highlight w:val="none"/>
              </w:rPr>
            </w:pPr>
          </w:p>
          <w:p w14:paraId="65E3D2D2">
            <w:pPr>
              <w:spacing w:line="241" w:lineRule="auto"/>
              <w:rPr>
                <w:rFonts w:ascii="Arial"/>
                <w:color w:val="auto"/>
                <w:sz w:val="21"/>
                <w:highlight w:val="none"/>
              </w:rPr>
            </w:pPr>
          </w:p>
          <w:p w14:paraId="5F8419C9">
            <w:pPr>
              <w:spacing w:line="241" w:lineRule="auto"/>
              <w:rPr>
                <w:rFonts w:ascii="Arial"/>
                <w:color w:val="auto"/>
                <w:sz w:val="21"/>
                <w:highlight w:val="none"/>
              </w:rPr>
            </w:pPr>
          </w:p>
          <w:p w14:paraId="2EEBA280">
            <w:pPr>
              <w:spacing w:line="241" w:lineRule="auto"/>
              <w:rPr>
                <w:rFonts w:ascii="Arial"/>
                <w:color w:val="auto"/>
                <w:sz w:val="21"/>
                <w:highlight w:val="none"/>
              </w:rPr>
            </w:pPr>
          </w:p>
          <w:p w14:paraId="7416B64E">
            <w:pPr>
              <w:spacing w:line="241" w:lineRule="auto"/>
              <w:rPr>
                <w:rFonts w:ascii="Arial"/>
                <w:color w:val="auto"/>
                <w:sz w:val="21"/>
                <w:highlight w:val="none"/>
              </w:rPr>
            </w:pPr>
          </w:p>
          <w:p w14:paraId="47C36899">
            <w:pPr>
              <w:spacing w:line="241" w:lineRule="auto"/>
              <w:rPr>
                <w:rFonts w:ascii="Arial"/>
                <w:color w:val="auto"/>
                <w:sz w:val="21"/>
                <w:highlight w:val="none"/>
              </w:rPr>
            </w:pPr>
          </w:p>
          <w:p w14:paraId="4EE3D50C">
            <w:pPr>
              <w:spacing w:line="241" w:lineRule="auto"/>
              <w:rPr>
                <w:rFonts w:ascii="Arial"/>
                <w:color w:val="auto"/>
                <w:sz w:val="21"/>
                <w:highlight w:val="none"/>
              </w:rPr>
            </w:pPr>
          </w:p>
          <w:p w14:paraId="45EB3D6E">
            <w:pPr>
              <w:spacing w:line="241" w:lineRule="auto"/>
              <w:rPr>
                <w:rFonts w:ascii="Arial"/>
                <w:color w:val="auto"/>
                <w:sz w:val="21"/>
                <w:highlight w:val="none"/>
              </w:rPr>
            </w:pPr>
          </w:p>
          <w:p w14:paraId="0153CE00">
            <w:pPr>
              <w:spacing w:line="241" w:lineRule="auto"/>
              <w:rPr>
                <w:rFonts w:ascii="Arial"/>
                <w:color w:val="auto"/>
                <w:sz w:val="21"/>
                <w:highlight w:val="none"/>
              </w:rPr>
            </w:pPr>
          </w:p>
          <w:p w14:paraId="09DF4036">
            <w:pPr>
              <w:spacing w:line="241" w:lineRule="auto"/>
              <w:rPr>
                <w:rFonts w:ascii="Arial"/>
                <w:color w:val="auto"/>
                <w:sz w:val="21"/>
                <w:highlight w:val="none"/>
              </w:rPr>
            </w:pPr>
          </w:p>
          <w:p w14:paraId="62C46CEE">
            <w:pPr>
              <w:spacing w:line="241" w:lineRule="auto"/>
              <w:rPr>
                <w:rFonts w:ascii="Arial"/>
                <w:color w:val="auto"/>
                <w:sz w:val="21"/>
                <w:highlight w:val="none"/>
              </w:rPr>
            </w:pPr>
          </w:p>
          <w:p w14:paraId="3FEE284B">
            <w:pPr>
              <w:spacing w:line="241" w:lineRule="auto"/>
              <w:rPr>
                <w:rFonts w:ascii="Arial"/>
                <w:color w:val="auto"/>
                <w:sz w:val="21"/>
                <w:highlight w:val="none"/>
              </w:rPr>
            </w:pPr>
          </w:p>
          <w:p w14:paraId="0230B051">
            <w:pPr>
              <w:spacing w:line="241" w:lineRule="auto"/>
              <w:rPr>
                <w:rFonts w:ascii="Arial"/>
                <w:color w:val="auto"/>
                <w:sz w:val="21"/>
                <w:highlight w:val="none"/>
              </w:rPr>
            </w:pPr>
          </w:p>
          <w:p w14:paraId="04677479">
            <w:pPr>
              <w:spacing w:line="241" w:lineRule="auto"/>
              <w:rPr>
                <w:rFonts w:ascii="Arial"/>
                <w:color w:val="auto"/>
                <w:sz w:val="21"/>
                <w:highlight w:val="none"/>
              </w:rPr>
            </w:pPr>
          </w:p>
          <w:p w14:paraId="67114246">
            <w:pPr>
              <w:spacing w:line="241" w:lineRule="auto"/>
              <w:rPr>
                <w:rFonts w:ascii="Arial"/>
                <w:color w:val="auto"/>
                <w:sz w:val="21"/>
                <w:highlight w:val="none"/>
              </w:rPr>
            </w:pPr>
          </w:p>
          <w:p w14:paraId="4FE1FA72">
            <w:pPr>
              <w:spacing w:line="241" w:lineRule="auto"/>
              <w:rPr>
                <w:rFonts w:ascii="Arial"/>
                <w:color w:val="auto"/>
                <w:sz w:val="21"/>
                <w:highlight w:val="none"/>
              </w:rPr>
            </w:pPr>
          </w:p>
          <w:p w14:paraId="0A3ACA84">
            <w:pPr>
              <w:spacing w:line="241" w:lineRule="auto"/>
              <w:rPr>
                <w:rFonts w:ascii="Arial"/>
                <w:color w:val="auto"/>
                <w:sz w:val="21"/>
                <w:highlight w:val="none"/>
              </w:rPr>
            </w:pPr>
          </w:p>
          <w:p w14:paraId="1A0EB4B9">
            <w:pPr>
              <w:pStyle w:val="12"/>
              <w:spacing w:before="78" w:line="315" w:lineRule="exact"/>
              <w:ind w:left="193" w:leftChars="0"/>
              <w:rPr>
                <w:color w:val="auto"/>
                <w:spacing w:val="-7"/>
                <w:highlight w:val="none"/>
              </w:rPr>
            </w:pPr>
            <w:r>
              <w:rPr>
                <w:color w:val="auto"/>
                <w:spacing w:val="-14"/>
                <w:position w:val="1"/>
                <w:highlight w:val="none"/>
              </w:rPr>
              <w:t>12</w:t>
            </w:r>
          </w:p>
        </w:tc>
        <w:tc>
          <w:tcPr>
            <w:tcW w:w="2137" w:type="dxa"/>
            <w:vAlign w:val="center"/>
          </w:tcPr>
          <w:p w14:paraId="59AA98F9">
            <w:pPr>
              <w:rPr>
                <w:rFonts w:ascii="Arial"/>
                <w:color w:val="auto"/>
                <w:sz w:val="21"/>
                <w:highlight w:val="none"/>
              </w:rPr>
            </w:pPr>
          </w:p>
          <w:p w14:paraId="2BF103B3">
            <w:pPr>
              <w:rPr>
                <w:rFonts w:ascii="Arial"/>
                <w:color w:val="auto"/>
                <w:sz w:val="21"/>
                <w:highlight w:val="none"/>
              </w:rPr>
            </w:pPr>
          </w:p>
          <w:p w14:paraId="0CB84728">
            <w:pPr>
              <w:rPr>
                <w:rFonts w:ascii="Arial"/>
                <w:color w:val="auto"/>
                <w:sz w:val="21"/>
                <w:highlight w:val="none"/>
              </w:rPr>
            </w:pPr>
          </w:p>
          <w:p w14:paraId="407E438D">
            <w:pPr>
              <w:rPr>
                <w:rFonts w:ascii="Arial"/>
                <w:color w:val="auto"/>
                <w:sz w:val="21"/>
                <w:highlight w:val="none"/>
              </w:rPr>
            </w:pPr>
          </w:p>
          <w:p w14:paraId="6F401D24">
            <w:pPr>
              <w:rPr>
                <w:rFonts w:ascii="Arial"/>
                <w:color w:val="auto"/>
                <w:sz w:val="21"/>
                <w:highlight w:val="none"/>
              </w:rPr>
            </w:pPr>
          </w:p>
          <w:p w14:paraId="524E3C56">
            <w:pPr>
              <w:rPr>
                <w:rFonts w:ascii="Arial"/>
                <w:color w:val="auto"/>
                <w:sz w:val="21"/>
                <w:highlight w:val="none"/>
              </w:rPr>
            </w:pPr>
          </w:p>
          <w:p w14:paraId="28A0DF85">
            <w:pPr>
              <w:spacing w:line="241" w:lineRule="auto"/>
              <w:rPr>
                <w:rFonts w:ascii="Arial"/>
                <w:color w:val="auto"/>
                <w:sz w:val="21"/>
                <w:highlight w:val="none"/>
              </w:rPr>
            </w:pPr>
          </w:p>
          <w:p w14:paraId="1847D9D3">
            <w:pPr>
              <w:spacing w:line="241" w:lineRule="auto"/>
              <w:rPr>
                <w:rFonts w:ascii="Arial"/>
                <w:color w:val="auto"/>
                <w:sz w:val="21"/>
                <w:highlight w:val="none"/>
              </w:rPr>
            </w:pPr>
          </w:p>
          <w:p w14:paraId="14565337">
            <w:pPr>
              <w:spacing w:line="241" w:lineRule="auto"/>
              <w:rPr>
                <w:rFonts w:ascii="Arial"/>
                <w:color w:val="auto"/>
                <w:sz w:val="21"/>
                <w:highlight w:val="none"/>
              </w:rPr>
            </w:pPr>
          </w:p>
          <w:p w14:paraId="39856C13">
            <w:pPr>
              <w:spacing w:line="241" w:lineRule="auto"/>
              <w:rPr>
                <w:rFonts w:ascii="Arial"/>
                <w:color w:val="auto"/>
                <w:sz w:val="21"/>
                <w:highlight w:val="none"/>
              </w:rPr>
            </w:pPr>
          </w:p>
          <w:p w14:paraId="66E60451">
            <w:pPr>
              <w:spacing w:line="241" w:lineRule="auto"/>
              <w:rPr>
                <w:rFonts w:ascii="Arial"/>
                <w:color w:val="auto"/>
                <w:sz w:val="21"/>
                <w:highlight w:val="none"/>
              </w:rPr>
            </w:pPr>
          </w:p>
          <w:p w14:paraId="44FC5AF1">
            <w:pPr>
              <w:spacing w:line="241" w:lineRule="auto"/>
              <w:rPr>
                <w:rFonts w:ascii="Arial"/>
                <w:color w:val="auto"/>
                <w:sz w:val="21"/>
                <w:highlight w:val="none"/>
              </w:rPr>
            </w:pPr>
          </w:p>
          <w:p w14:paraId="7008E3FB">
            <w:pPr>
              <w:spacing w:line="241" w:lineRule="auto"/>
              <w:rPr>
                <w:rFonts w:ascii="Arial"/>
                <w:color w:val="auto"/>
                <w:sz w:val="21"/>
                <w:highlight w:val="none"/>
              </w:rPr>
            </w:pPr>
          </w:p>
          <w:p w14:paraId="3783812E">
            <w:pPr>
              <w:spacing w:line="241" w:lineRule="auto"/>
              <w:rPr>
                <w:rFonts w:ascii="Arial"/>
                <w:color w:val="auto"/>
                <w:sz w:val="21"/>
                <w:highlight w:val="none"/>
              </w:rPr>
            </w:pPr>
          </w:p>
          <w:p w14:paraId="5834733D">
            <w:pPr>
              <w:spacing w:line="241" w:lineRule="auto"/>
              <w:rPr>
                <w:rFonts w:ascii="Arial"/>
                <w:color w:val="auto"/>
                <w:sz w:val="21"/>
                <w:highlight w:val="none"/>
              </w:rPr>
            </w:pPr>
          </w:p>
          <w:p w14:paraId="15027813">
            <w:pPr>
              <w:spacing w:line="241" w:lineRule="auto"/>
              <w:rPr>
                <w:rFonts w:ascii="Arial"/>
                <w:color w:val="auto"/>
                <w:sz w:val="21"/>
                <w:highlight w:val="none"/>
              </w:rPr>
            </w:pPr>
          </w:p>
          <w:p w14:paraId="154E2536">
            <w:pPr>
              <w:spacing w:line="241" w:lineRule="auto"/>
              <w:rPr>
                <w:rFonts w:ascii="Arial"/>
                <w:color w:val="auto"/>
                <w:sz w:val="21"/>
                <w:highlight w:val="none"/>
              </w:rPr>
            </w:pPr>
          </w:p>
          <w:p w14:paraId="638BCDF1">
            <w:pPr>
              <w:pStyle w:val="12"/>
              <w:spacing w:before="78" w:line="308" w:lineRule="auto"/>
              <w:ind w:left="576" w:leftChars="0" w:right="244" w:rightChars="0" w:hanging="479" w:firstLineChars="0"/>
              <w:rPr>
                <w:color w:val="auto"/>
                <w:spacing w:val="-7"/>
                <w:highlight w:val="none"/>
              </w:rPr>
            </w:pPr>
            <w:r>
              <w:rPr>
                <w:color w:val="auto"/>
                <w:spacing w:val="-6"/>
                <w:highlight w:val="none"/>
              </w:rPr>
              <w:t>低于成本价不正当竞</w:t>
            </w:r>
            <w:r>
              <w:rPr>
                <w:color w:val="auto"/>
                <w:spacing w:val="-9"/>
                <w:highlight w:val="none"/>
              </w:rPr>
              <w:t>争预防措施</w:t>
            </w:r>
          </w:p>
        </w:tc>
        <w:tc>
          <w:tcPr>
            <w:tcW w:w="6773" w:type="dxa"/>
            <w:vAlign w:val="center"/>
          </w:tcPr>
          <w:p w14:paraId="68DD35D0">
            <w:pPr>
              <w:pStyle w:val="12"/>
              <w:spacing w:before="139" w:line="222" w:lineRule="auto"/>
              <w:ind w:left="154"/>
              <w:rPr>
                <w:color w:val="auto"/>
                <w:highlight w:val="none"/>
              </w:rPr>
            </w:pPr>
            <w:r>
              <w:rPr>
                <w:color w:val="auto"/>
                <w:spacing w:val="-4"/>
                <w:highlight w:val="none"/>
              </w:rPr>
              <w:t>低于成本价不正当竞争预防措施：</w:t>
            </w:r>
          </w:p>
          <w:p w14:paraId="5252651B">
            <w:pPr>
              <w:pStyle w:val="12"/>
              <w:spacing w:before="138" w:line="239" w:lineRule="auto"/>
              <w:ind w:left="167" w:right="191" w:hanging="12"/>
              <w:rPr>
                <w:color w:val="auto"/>
                <w:highlight w:val="none"/>
              </w:rPr>
            </w:pPr>
            <w:r>
              <w:rPr>
                <w:color w:val="auto"/>
                <w:spacing w:val="-4"/>
                <w:highlight w:val="none"/>
              </w:rPr>
              <w:t>根据“财政部 87 号令《政府采购货物服务招标投标管理办法》 ”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 其作为无效投标处理。评标委员会应当要求</w:t>
            </w:r>
            <w:r>
              <w:rPr>
                <w:color w:val="auto"/>
                <w:spacing w:val="-5"/>
                <w:highlight w:val="none"/>
              </w:rPr>
              <w:t>其在评</w:t>
            </w:r>
            <w:r>
              <w:rPr>
                <w:color w:val="auto"/>
                <w:spacing w:val="-4"/>
                <w:highlight w:val="none"/>
              </w:rPr>
              <w:t>标现场合理的时间内提供成本构成 书面说明，并提交相关证明材料。投标人书面说明应当按照国家财务会计制度的规定要求，逐项就投标人提供的货物、</w:t>
            </w:r>
            <w:r>
              <w:rPr>
                <w:color w:val="auto"/>
                <w:spacing w:val="-5"/>
                <w:highlight w:val="none"/>
              </w:rPr>
              <w:t>工程和服务</w:t>
            </w:r>
            <w:r>
              <w:rPr>
                <w:color w:val="auto"/>
                <w:spacing w:val="-4"/>
                <w:highlight w:val="none"/>
              </w:rPr>
              <w:t>的 主营业务成本（应根据投标人企业类型予以区别）、税金及附加、销售费用、管理费用、财务费用等成本构</w:t>
            </w:r>
            <w:r>
              <w:rPr>
                <w:color w:val="auto"/>
                <w:spacing w:val="-3"/>
                <w:highlight w:val="none"/>
              </w:rPr>
              <w:t>成事项详细陈述。投标人书面说明应当签字确认或者加</w:t>
            </w:r>
            <w:r>
              <w:rPr>
                <w:color w:val="auto"/>
                <w:spacing w:val="-5"/>
                <w:highlight w:val="none"/>
              </w:rPr>
              <w:t>盖公章，否则无效。书面 说明的签字确认，投标人为法人的，由其法定代表人或者代理人签 字确认；投标人为</w:t>
            </w:r>
            <w:r>
              <w:rPr>
                <w:color w:val="auto"/>
                <w:spacing w:val="-4"/>
                <w:highlight w:val="none"/>
              </w:rPr>
              <w:t>其他组织的，由其主要负责人或者代理人签字确认；投标人为自然人的，由其本人或者代理人签字确认。投标人提供书面说明后，评标委员会应当结合采购项目采购需 求、专业实际情况、投标人财务状况报告、与其他投标人比较情况 等就投标人书面说明进行审查评价。投标人拒绝或者变相拒绝提供 有效书面说明或者书面说明不能证明其报价合理性的，评标委员会应当将其响应文件</w:t>
            </w:r>
            <w:r>
              <w:rPr>
                <w:color w:val="auto"/>
                <w:spacing w:val="-6"/>
                <w:highlight w:val="none"/>
              </w:rPr>
              <w:t>作为无效处理。</w:t>
            </w:r>
          </w:p>
          <w:p w14:paraId="7C426C05">
            <w:pPr>
              <w:pStyle w:val="12"/>
              <w:spacing w:before="110" w:line="232" w:lineRule="auto"/>
              <w:ind w:left="168" w:leftChars="0" w:right="194" w:rightChars="0" w:hanging="14" w:firstLineChars="0"/>
              <w:jc w:val="both"/>
              <w:rPr>
                <w:color w:val="auto"/>
                <w:spacing w:val="-7"/>
                <w:highlight w:val="none"/>
              </w:rPr>
            </w:pPr>
            <w:r>
              <w:rPr>
                <w:color w:val="auto"/>
                <w:spacing w:val="-4"/>
                <w:highlight w:val="none"/>
              </w:rPr>
              <w:t>投标人应当在投标截止前提前准好上述审查资料以备评标委员会审查，提供书面说明的有效时间为30分钟，逾期提供或者未提供 的，评标委员会将其响应文件作为无</w:t>
            </w:r>
            <w:r>
              <w:rPr>
                <w:color w:val="auto"/>
                <w:spacing w:val="-6"/>
                <w:highlight w:val="none"/>
              </w:rPr>
              <w:t>效处理。</w:t>
            </w:r>
          </w:p>
        </w:tc>
      </w:tr>
      <w:tr w14:paraId="29D1E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436BE8D6">
            <w:pPr>
              <w:pStyle w:val="12"/>
              <w:spacing w:before="190" w:line="241" w:lineRule="auto"/>
              <w:ind w:left="193" w:leftChars="0"/>
              <w:rPr>
                <w:color w:val="auto"/>
                <w:spacing w:val="-7"/>
                <w:highlight w:val="none"/>
              </w:rPr>
            </w:pPr>
            <w:r>
              <w:rPr>
                <w:color w:val="auto"/>
                <w:spacing w:val="-14"/>
                <w:highlight w:val="none"/>
              </w:rPr>
              <w:t>13</w:t>
            </w:r>
          </w:p>
        </w:tc>
        <w:tc>
          <w:tcPr>
            <w:tcW w:w="2137" w:type="dxa"/>
            <w:vAlign w:val="center"/>
          </w:tcPr>
          <w:p w14:paraId="7A295F05">
            <w:pPr>
              <w:pStyle w:val="12"/>
              <w:spacing w:before="108" w:line="221" w:lineRule="auto"/>
              <w:ind w:left="148" w:leftChars="0"/>
              <w:rPr>
                <w:color w:val="auto"/>
                <w:spacing w:val="-7"/>
                <w:highlight w:val="none"/>
              </w:rPr>
            </w:pPr>
            <w:r>
              <w:rPr>
                <w:color w:val="auto"/>
                <w:spacing w:val="-8"/>
                <w:highlight w:val="none"/>
              </w:rPr>
              <w:t>所属行业</w:t>
            </w:r>
          </w:p>
        </w:tc>
        <w:tc>
          <w:tcPr>
            <w:tcW w:w="6773" w:type="dxa"/>
            <w:vAlign w:val="center"/>
          </w:tcPr>
          <w:p w14:paraId="4C0A819C">
            <w:pPr>
              <w:pStyle w:val="12"/>
              <w:spacing w:before="108" w:line="221" w:lineRule="auto"/>
              <w:rPr>
                <w:color w:val="auto"/>
                <w:spacing w:val="-7"/>
                <w:highlight w:val="none"/>
              </w:rPr>
            </w:pPr>
            <w:r>
              <w:rPr>
                <w:color w:val="auto"/>
                <w:spacing w:val="-6"/>
                <w:highlight w:val="none"/>
              </w:rPr>
              <w:t>本项目所属行业为：</w:t>
            </w:r>
            <w:r>
              <w:rPr>
                <w:b/>
                <w:bCs/>
                <w:color w:val="auto"/>
                <w:spacing w:val="-6"/>
                <w:highlight w:val="none"/>
              </w:rPr>
              <w:t>建筑业</w:t>
            </w:r>
          </w:p>
        </w:tc>
      </w:tr>
      <w:tr w14:paraId="25B3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5B2A3F3A">
            <w:pPr>
              <w:spacing w:line="272" w:lineRule="auto"/>
              <w:rPr>
                <w:rFonts w:ascii="Arial"/>
                <w:color w:val="auto"/>
                <w:sz w:val="21"/>
                <w:highlight w:val="none"/>
              </w:rPr>
            </w:pPr>
          </w:p>
          <w:p w14:paraId="3113F37E">
            <w:pPr>
              <w:spacing w:line="272" w:lineRule="auto"/>
              <w:rPr>
                <w:rFonts w:ascii="Arial"/>
                <w:color w:val="auto"/>
                <w:sz w:val="21"/>
                <w:highlight w:val="none"/>
              </w:rPr>
            </w:pPr>
          </w:p>
          <w:p w14:paraId="50E1A2BF">
            <w:pPr>
              <w:spacing w:line="272" w:lineRule="auto"/>
              <w:rPr>
                <w:rFonts w:ascii="Arial"/>
                <w:color w:val="auto"/>
                <w:sz w:val="21"/>
                <w:highlight w:val="none"/>
              </w:rPr>
            </w:pPr>
          </w:p>
          <w:p w14:paraId="2577CCE0">
            <w:pPr>
              <w:spacing w:line="273" w:lineRule="auto"/>
              <w:rPr>
                <w:rFonts w:ascii="Arial"/>
                <w:color w:val="auto"/>
                <w:sz w:val="21"/>
                <w:highlight w:val="none"/>
              </w:rPr>
            </w:pPr>
          </w:p>
          <w:p w14:paraId="6F25021D">
            <w:pPr>
              <w:spacing w:line="273" w:lineRule="auto"/>
              <w:rPr>
                <w:rFonts w:ascii="Arial"/>
                <w:color w:val="auto"/>
                <w:sz w:val="21"/>
                <w:highlight w:val="none"/>
              </w:rPr>
            </w:pPr>
          </w:p>
          <w:p w14:paraId="5266124F">
            <w:pPr>
              <w:spacing w:line="273" w:lineRule="auto"/>
              <w:rPr>
                <w:rFonts w:ascii="Arial"/>
                <w:color w:val="auto"/>
                <w:sz w:val="21"/>
                <w:highlight w:val="none"/>
              </w:rPr>
            </w:pPr>
          </w:p>
          <w:p w14:paraId="75FFFA7A">
            <w:pPr>
              <w:pStyle w:val="12"/>
              <w:spacing w:before="78" w:line="316" w:lineRule="exact"/>
              <w:ind w:left="193" w:leftChars="0"/>
              <w:rPr>
                <w:color w:val="auto"/>
                <w:spacing w:val="-7"/>
                <w:highlight w:val="none"/>
              </w:rPr>
            </w:pPr>
            <w:r>
              <w:rPr>
                <w:color w:val="auto"/>
                <w:spacing w:val="-14"/>
                <w:position w:val="1"/>
                <w:highlight w:val="none"/>
              </w:rPr>
              <w:t>14</w:t>
            </w:r>
          </w:p>
        </w:tc>
        <w:tc>
          <w:tcPr>
            <w:tcW w:w="2137" w:type="dxa"/>
            <w:vAlign w:val="center"/>
          </w:tcPr>
          <w:p w14:paraId="1B4DE85D">
            <w:pPr>
              <w:spacing w:line="269" w:lineRule="auto"/>
              <w:rPr>
                <w:rFonts w:ascii="Arial"/>
                <w:color w:val="auto"/>
                <w:sz w:val="21"/>
                <w:highlight w:val="none"/>
              </w:rPr>
            </w:pPr>
          </w:p>
          <w:p w14:paraId="4D9D72FC">
            <w:pPr>
              <w:spacing w:line="269" w:lineRule="auto"/>
              <w:rPr>
                <w:rFonts w:ascii="Arial"/>
                <w:color w:val="auto"/>
                <w:sz w:val="21"/>
                <w:highlight w:val="none"/>
              </w:rPr>
            </w:pPr>
          </w:p>
          <w:p w14:paraId="5E1F4E8D">
            <w:pPr>
              <w:spacing w:line="269" w:lineRule="auto"/>
              <w:rPr>
                <w:rFonts w:ascii="Arial"/>
                <w:color w:val="auto"/>
                <w:sz w:val="21"/>
                <w:highlight w:val="none"/>
              </w:rPr>
            </w:pPr>
          </w:p>
          <w:p w14:paraId="2E74B544">
            <w:pPr>
              <w:spacing w:line="269" w:lineRule="auto"/>
              <w:rPr>
                <w:rFonts w:ascii="Arial"/>
                <w:color w:val="auto"/>
                <w:sz w:val="21"/>
                <w:highlight w:val="none"/>
              </w:rPr>
            </w:pPr>
          </w:p>
          <w:p w14:paraId="7BA358C2">
            <w:pPr>
              <w:spacing w:line="269" w:lineRule="auto"/>
              <w:rPr>
                <w:rFonts w:ascii="Arial"/>
                <w:color w:val="auto"/>
                <w:sz w:val="21"/>
                <w:highlight w:val="none"/>
              </w:rPr>
            </w:pPr>
          </w:p>
          <w:p w14:paraId="4E15B2A0">
            <w:pPr>
              <w:spacing w:line="269" w:lineRule="auto"/>
              <w:rPr>
                <w:rFonts w:ascii="Arial"/>
                <w:color w:val="auto"/>
                <w:sz w:val="21"/>
                <w:highlight w:val="none"/>
              </w:rPr>
            </w:pPr>
          </w:p>
          <w:p w14:paraId="4D23F118">
            <w:pPr>
              <w:pStyle w:val="12"/>
              <w:spacing w:before="78" w:line="222" w:lineRule="auto"/>
              <w:ind w:left="281" w:leftChars="0"/>
              <w:rPr>
                <w:color w:val="auto"/>
                <w:spacing w:val="-7"/>
                <w:highlight w:val="none"/>
              </w:rPr>
            </w:pPr>
            <w:r>
              <w:rPr>
                <w:color w:val="auto"/>
                <w:spacing w:val="-3"/>
                <w:highlight w:val="none"/>
              </w:rPr>
              <w:t>对磋商文件的质疑</w:t>
            </w:r>
          </w:p>
        </w:tc>
        <w:tc>
          <w:tcPr>
            <w:tcW w:w="6773" w:type="dxa"/>
            <w:vAlign w:val="center"/>
          </w:tcPr>
          <w:p w14:paraId="7A351CEB">
            <w:pPr>
              <w:pStyle w:val="12"/>
              <w:spacing w:before="82" w:line="222" w:lineRule="auto"/>
              <w:ind w:left="16"/>
              <w:rPr>
                <w:color w:val="auto"/>
                <w:highlight w:val="none"/>
              </w:rPr>
            </w:pPr>
            <w:r>
              <w:rPr>
                <w:color w:val="auto"/>
                <w:spacing w:val="-1"/>
                <w:highlight w:val="none"/>
              </w:rPr>
              <w:t>供应商如需对磋商文件内容质疑，须按以下要求提出：</w:t>
            </w:r>
          </w:p>
          <w:p w14:paraId="7F3B2858">
            <w:pPr>
              <w:pStyle w:val="12"/>
              <w:spacing w:before="71" w:line="219" w:lineRule="auto"/>
              <w:ind w:left="8"/>
              <w:rPr>
                <w:color w:val="auto"/>
                <w:highlight w:val="none"/>
              </w:rPr>
            </w:pPr>
            <w:r>
              <w:rPr>
                <w:color w:val="auto"/>
                <w:spacing w:val="-1"/>
                <w:highlight w:val="none"/>
              </w:rPr>
              <w:t>①供应商应在法定质疑期内一次性提出所有质疑内容。</w:t>
            </w:r>
          </w:p>
          <w:p w14:paraId="0390979A">
            <w:pPr>
              <w:pStyle w:val="12"/>
              <w:spacing w:before="74" w:line="277" w:lineRule="auto"/>
              <w:ind w:left="15" w:right="33" w:hanging="8"/>
              <w:rPr>
                <w:color w:val="auto"/>
                <w:highlight w:val="none"/>
              </w:rPr>
            </w:pPr>
            <w:r>
              <w:rPr>
                <w:color w:val="auto"/>
                <w:spacing w:val="-1"/>
                <w:highlight w:val="none"/>
              </w:rPr>
              <w:t>②质疑函应以书面形式（按照财政部94号令要求）通知采购代理机构。采购代理机构将在收到质疑函后7个工作日内作出答复，并以书面形式通知质疑供应商和其他有关供应</w:t>
            </w:r>
            <w:r>
              <w:rPr>
                <w:color w:val="auto"/>
                <w:spacing w:val="-8"/>
                <w:highlight w:val="none"/>
              </w:rPr>
              <w:t>商。</w:t>
            </w:r>
          </w:p>
          <w:p w14:paraId="504B4855">
            <w:pPr>
              <w:pStyle w:val="12"/>
              <w:spacing w:before="71" w:line="241" w:lineRule="auto"/>
              <w:ind w:left="30" w:right="153" w:hanging="23"/>
              <w:rPr>
                <w:rFonts w:hint="eastAsia"/>
                <w:color w:val="auto"/>
                <w:highlight w:val="none"/>
                <w:lang w:eastAsia="zh-CN"/>
              </w:rPr>
            </w:pPr>
            <w:r>
              <w:rPr>
                <w:color w:val="auto"/>
                <w:highlight w:val="none"/>
              </w:rPr>
              <w:t>名称：</w:t>
            </w:r>
            <w:r>
              <w:rPr>
                <w:rFonts w:hint="eastAsia"/>
                <w:color w:val="auto"/>
                <w:highlight w:val="none"/>
                <w:lang w:eastAsia="zh-CN"/>
              </w:rPr>
              <w:t>新疆鑫盛联项目管理有限公司</w:t>
            </w:r>
          </w:p>
          <w:p w14:paraId="311726F0">
            <w:pPr>
              <w:pStyle w:val="12"/>
              <w:spacing w:before="71" w:line="241" w:lineRule="auto"/>
              <w:ind w:left="30" w:right="153" w:hanging="23"/>
              <w:rPr>
                <w:rFonts w:hint="eastAsia"/>
                <w:color w:val="auto"/>
                <w:highlight w:val="none"/>
                <w:lang w:val="en-US" w:eastAsia="zh-CN"/>
              </w:rPr>
            </w:pPr>
            <w:r>
              <w:rPr>
                <w:rFonts w:hint="eastAsia"/>
                <w:color w:val="auto"/>
                <w:highlight w:val="none"/>
                <w:lang w:eastAsia="zh-CN"/>
              </w:rPr>
              <w:t>地址：喀什市恰萨街道班超路社区帕依纳普路251号1栋商务大厦07号商铺709</w:t>
            </w:r>
            <w:r>
              <w:rPr>
                <w:rFonts w:hint="eastAsia"/>
                <w:color w:val="auto"/>
                <w:highlight w:val="none"/>
                <w:lang w:val="en-US" w:eastAsia="zh-CN"/>
              </w:rPr>
              <w:t>室</w:t>
            </w:r>
          </w:p>
          <w:p w14:paraId="2F6B8695">
            <w:pPr>
              <w:pStyle w:val="12"/>
              <w:spacing w:before="71" w:line="241" w:lineRule="auto"/>
              <w:ind w:left="30" w:right="153" w:hanging="23"/>
              <w:rPr>
                <w:rFonts w:hint="eastAsia"/>
                <w:color w:val="auto"/>
                <w:highlight w:val="none"/>
                <w:lang w:eastAsia="zh-CN"/>
              </w:rPr>
            </w:pPr>
            <w:r>
              <w:rPr>
                <w:rFonts w:hint="eastAsia"/>
                <w:color w:val="auto"/>
                <w:highlight w:val="none"/>
                <w:lang w:eastAsia="zh-CN"/>
              </w:rPr>
              <w:t>联系人：</w:t>
            </w:r>
            <w:r>
              <w:rPr>
                <w:rFonts w:hint="eastAsia"/>
                <w:color w:val="auto"/>
                <w:highlight w:val="none"/>
                <w:lang w:val="en-US" w:eastAsia="zh-CN"/>
              </w:rPr>
              <w:t>田国盛</w:t>
            </w:r>
          </w:p>
          <w:p w14:paraId="40651F08">
            <w:pPr>
              <w:pStyle w:val="12"/>
              <w:spacing w:before="71" w:line="241" w:lineRule="auto"/>
              <w:ind w:left="30" w:leftChars="0" w:right="153" w:rightChars="0" w:hanging="23" w:firstLineChars="0"/>
              <w:rPr>
                <w:rFonts w:hint="eastAsia"/>
                <w:color w:val="auto"/>
                <w:highlight w:val="none"/>
                <w:lang w:val="en-US" w:eastAsia="zh-CN"/>
              </w:rPr>
            </w:pPr>
            <w:r>
              <w:rPr>
                <w:color w:val="auto"/>
                <w:highlight w:val="none"/>
              </w:rPr>
              <w:t>电话：</w:t>
            </w:r>
            <w:r>
              <w:rPr>
                <w:rFonts w:hint="eastAsia"/>
                <w:color w:val="auto"/>
                <w:highlight w:val="none"/>
                <w:lang w:val="en-US" w:eastAsia="zh-CN"/>
              </w:rPr>
              <w:t>17560676812</w:t>
            </w:r>
          </w:p>
          <w:p w14:paraId="23D51DF6">
            <w:pPr>
              <w:pStyle w:val="12"/>
              <w:spacing w:before="71" w:line="241" w:lineRule="auto"/>
              <w:ind w:left="30" w:leftChars="0" w:right="153" w:rightChars="0" w:hanging="23" w:firstLineChars="0"/>
              <w:rPr>
                <w:rFonts w:hint="default"/>
                <w:color w:val="auto"/>
                <w:highlight w:val="none"/>
                <w:lang w:val="en-US" w:eastAsia="zh-CN"/>
              </w:rPr>
            </w:pPr>
            <w:r>
              <w:rPr>
                <w:rFonts w:hint="eastAsia"/>
                <w:color w:val="auto"/>
                <w:highlight w:val="none"/>
                <w:lang w:val="en-US" w:eastAsia="zh-CN"/>
              </w:rPr>
              <w:t>邮箱：2715454396@qq.com</w:t>
            </w:r>
          </w:p>
        </w:tc>
      </w:tr>
      <w:tr w14:paraId="6B860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jc w:val="center"/>
        </w:trPr>
        <w:tc>
          <w:tcPr>
            <w:tcW w:w="701" w:type="dxa"/>
            <w:vAlign w:val="center"/>
          </w:tcPr>
          <w:p w14:paraId="11E553C3">
            <w:pPr>
              <w:pStyle w:val="12"/>
              <w:spacing w:before="285" w:line="241" w:lineRule="auto"/>
              <w:ind w:left="193" w:leftChars="0"/>
              <w:rPr>
                <w:color w:val="auto"/>
                <w:spacing w:val="-7"/>
                <w:highlight w:val="none"/>
              </w:rPr>
            </w:pPr>
            <w:r>
              <w:rPr>
                <w:color w:val="auto"/>
                <w:spacing w:val="-14"/>
                <w:highlight w:val="none"/>
              </w:rPr>
              <w:t>15</w:t>
            </w:r>
          </w:p>
        </w:tc>
        <w:tc>
          <w:tcPr>
            <w:tcW w:w="2137" w:type="dxa"/>
            <w:vAlign w:val="center"/>
          </w:tcPr>
          <w:p w14:paraId="64119B80">
            <w:pPr>
              <w:pStyle w:val="12"/>
              <w:spacing w:before="264" w:line="222" w:lineRule="auto"/>
              <w:ind w:left="685" w:leftChars="0"/>
              <w:outlineLvl w:val="2"/>
              <w:rPr>
                <w:color w:val="auto"/>
                <w:spacing w:val="-7"/>
                <w:highlight w:val="none"/>
              </w:rPr>
            </w:pPr>
            <w:r>
              <w:rPr>
                <w:color w:val="auto"/>
                <w:spacing w:val="-14"/>
                <w:highlight w:val="none"/>
              </w:rPr>
              <w:t>代理服务费</w:t>
            </w:r>
          </w:p>
        </w:tc>
        <w:tc>
          <w:tcPr>
            <w:tcW w:w="6773" w:type="dxa"/>
            <w:vAlign w:val="center"/>
          </w:tcPr>
          <w:p w14:paraId="776714BD">
            <w:pPr>
              <w:pStyle w:val="12"/>
              <w:spacing w:before="83" w:line="241" w:lineRule="auto"/>
              <w:ind w:left="16" w:leftChars="0"/>
              <w:rPr>
                <w:color w:val="auto"/>
                <w:spacing w:val="-7"/>
                <w:highlight w:val="none"/>
              </w:rPr>
            </w:pPr>
            <w:r>
              <w:rPr>
                <w:color w:val="auto"/>
                <w:spacing w:val="5"/>
                <w:highlight w:val="none"/>
              </w:rPr>
              <w:t>本项目参照招标代理费用按照发改价格(2015)299号文件通知要求，参照发改计价格[2002]1980号文件及发改价格[2011]534号文件的差额定率累进法计算。成交单位在领取本项目成交通知</w:t>
            </w:r>
            <w:r>
              <w:rPr>
                <w:color w:val="auto"/>
                <w:spacing w:val="-2"/>
                <w:highlight w:val="none"/>
              </w:rPr>
              <w:t>书时向招标代理机构支付本项目代理费。</w:t>
            </w:r>
          </w:p>
        </w:tc>
      </w:tr>
      <w:tr w14:paraId="669C8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0A376BEE">
            <w:pPr>
              <w:spacing w:line="246" w:lineRule="auto"/>
              <w:rPr>
                <w:rFonts w:ascii="Arial"/>
                <w:color w:val="auto"/>
                <w:sz w:val="21"/>
                <w:highlight w:val="none"/>
              </w:rPr>
            </w:pPr>
          </w:p>
          <w:p w14:paraId="5AC2F34D">
            <w:pPr>
              <w:spacing w:line="247" w:lineRule="auto"/>
              <w:rPr>
                <w:rFonts w:ascii="Arial"/>
                <w:color w:val="auto"/>
                <w:sz w:val="21"/>
                <w:highlight w:val="none"/>
              </w:rPr>
            </w:pPr>
          </w:p>
          <w:p w14:paraId="5B9F0044">
            <w:pPr>
              <w:spacing w:line="247" w:lineRule="auto"/>
              <w:rPr>
                <w:rFonts w:ascii="Arial"/>
                <w:color w:val="auto"/>
                <w:sz w:val="21"/>
                <w:highlight w:val="none"/>
              </w:rPr>
            </w:pPr>
          </w:p>
          <w:p w14:paraId="2F0A8292">
            <w:pPr>
              <w:pStyle w:val="12"/>
              <w:spacing w:before="78" w:line="241" w:lineRule="auto"/>
              <w:ind w:left="193" w:leftChars="0"/>
              <w:rPr>
                <w:color w:val="auto"/>
                <w:spacing w:val="-7"/>
                <w:highlight w:val="none"/>
              </w:rPr>
            </w:pPr>
            <w:r>
              <w:rPr>
                <w:color w:val="auto"/>
                <w:spacing w:val="-14"/>
                <w:highlight w:val="none"/>
              </w:rPr>
              <w:t>16</w:t>
            </w:r>
          </w:p>
        </w:tc>
        <w:tc>
          <w:tcPr>
            <w:tcW w:w="2137" w:type="dxa"/>
            <w:vAlign w:val="center"/>
          </w:tcPr>
          <w:p w14:paraId="45C1D815">
            <w:pPr>
              <w:rPr>
                <w:rFonts w:ascii="Arial"/>
                <w:color w:val="auto"/>
                <w:sz w:val="21"/>
                <w:highlight w:val="none"/>
              </w:rPr>
            </w:pPr>
          </w:p>
          <w:p w14:paraId="5C2C6169">
            <w:pPr>
              <w:rPr>
                <w:rFonts w:ascii="Arial"/>
                <w:color w:val="auto"/>
                <w:sz w:val="21"/>
                <w:highlight w:val="none"/>
              </w:rPr>
            </w:pPr>
          </w:p>
          <w:p w14:paraId="68629584">
            <w:pPr>
              <w:rPr>
                <w:rFonts w:ascii="Arial"/>
                <w:color w:val="auto"/>
                <w:sz w:val="21"/>
                <w:highlight w:val="none"/>
              </w:rPr>
            </w:pPr>
          </w:p>
          <w:p w14:paraId="7971B6B4">
            <w:pPr>
              <w:pStyle w:val="12"/>
              <w:spacing w:before="78" w:line="222" w:lineRule="auto"/>
              <w:ind w:left="761" w:leftChars="0"/>
              <w:rPr>
                <w:color w:val="auto"/>
                <w:spacing w:val="-7"/>
                <w:highlight w:val="none"/>
              </w:rPr>
            </w:pPr>
            <w:r>
              <w:rPr>
                <w:color w:val="auto"/>
                <w:spacing w:val="-5"/>
                <w:highlight w:val="none"/>
              </w:rPr>
              <w:t>其他说明</w:t>
            </w:r>
          </w:p>
        </w:tc>
        <w:tc>
          <w:tcPr>
            <w:tcW w:w="6773" w:type="dxa"/>
            <w:vAlign w:val="center"/>
          </w:tcPr>
          <w:p w14:paraId="5DEAB8CC">
            <w:pPr>
              <w:pStyle w:val="12"/>
              <w:spacing w:before="86" w:line="262" w:lineRule="auto"/>
              <w:ind w:left="13" w:leftChars="0" w:firstLine="4" w:firstLineChars="0"/>
              <w:jc w:val="both"/>
              <w:rPr>
                <w:color w:val="auto"/>
                <w:spacing w:val="-7"/>
                <w:highlight w:val="none"/>
              </w:rPr>
            </w:pPr>
            <w:r>
              <w:rPr>
                <w:color w:val="auto"/>
                <w:spacing w:val="5"/>
                <w:highlight w:val="none"/>
              </w:rPr>
              <w:t>在评标过程直至签订合同前的任何时间，如经证实发现供应商提供虚假投标资料（包括技术支持资料）或信息骗取中标的，或者未按本磋商文件要求提交履约保证金的（如</w:t>
            </w:r>
            <w:r>
              <w:rPr>
                <w:color w:val="auto"/>
                <w:spacing w:val="4"/>
                <w:highlight w:val="none"/>
              </w:rPr>
              <w:t>有要求</w:t>
            </w:r>
            <w:r>
              <w:rPr>
                <w:color w:val="auto"/>
                <w:spacing w:val="23"/>
                <w:highlight w:val="none"/>
              </w:rPr>
              <w:t>），</w:t>
            </w:r>
            <w:r>
              <w:rPr>
                <w:color w:val="auto"/>
                <w:spacing w:val="4"/>
                <w:highlight w:val="none"/>
              </w:rPr>
              <w:t>将取消其中标资格，没收其投标保证金，并报</w:t>
            </w:r>
            <w:r>
              <w:rPr>
                <w:color w:val="auto"/>
                <w:spacing w:val="-2"/>
                <w:highlight w:val="none"/>
              </w:rPr>
              <w:t>主管部门备案。</w:t>
            </w:r>
          </w:p>
        </w:tc>
      </w:tr>
      <w:tr w14:paraId="258C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01" w:type="dxa"/>
            <w:vAlign w:val="center"/>
          </w:tcPr>
          <w:p w14:paraId="1F481DCA">
            <w:pPr>
              <w:pStyle w:val="12"/>
              <w:spacing w:before="78" w:line="241" w:lineRule="auto"/>
              <w:ind w:left="193" w:leftChars="0"/>
              <w:rPr>
                <w:rFonts w:hint="default" w:eastAsia="仿宋"/>
                <w:color w:val="auto"/>
                <w:spacing w:val="-14"/>
                <w:highlight w:val="none"/>
                <w:lang w:val="en-US" w:eastAsia="zh-CN"/>
              </w:rPr>
            </w:pPr>
            <w:r>
              <w:rPr>
                <w:rFonts w:hint="eastAsia"/>
                <w:color w:val="auto"/>
                <w:spacing w:val="-14"/>
                <w:highlight w:val="none"/>
                <w:lang w:val="en-US" w:eastAsia="zh-CN"/>
              </w:rPr>
              <w:t>17</w:t>
            </w:r>
          </w:p>
        </w:tc>
        <w:tc>
          <w:tcPr>
            <w:tcW w:w="2137" w:type="dxa"/>
            <w:vAlign w:val="center"/>
          </w:tcPr>
          <w:p w14:paraId="479D0762">
            <w:pPr>
              <w:pStyle w:val="12"/>
              <w:spacing w:before="78" w:line="222" w:lineRule="auto"/>
              <w:jc w:val="center"/>
              <w:rPr>
                <w:color w:val="auto"/>
                <w:spacing w:val="-5"/>
                <w:highlight w:val="none"/>
              </w:rPr>
            </w:pPr>
            <w:r>
              <w:rPr>
                <w:rFonts w:hint="eastAsia"/>
                <w:color w:val="auto"/>
                <w:spacing w:val="-5"/>
                <w:highlight w:val="none"/>
              </w:rPr>
              <w:t>异常低价审查</w:t>
            </w:r>
          </w:p>
        </w:tc>
        <w:tc>
          <w:tcPr>
            <w:tcW w:w="6773" w:type="dxa"/>
            <w:vAlign w:val="center"/>
          </w:tcPr>
          <w:p w14:paraId="31DF40D3">
            <w:pPr>
              <w:pStyle w:val="12"/>
              <w:spacing w:before="86" w:line="262" w:lineRule="auto"/>
              <w:ind w:left="13" w:leftChars="0" w:firstLine="4" w:firstLineChars="0"/>
              <w:jc w:val="both"/>
              <w:rPr>
                <w:rFonts w:hint="eastAsia"/>
                <w:color w:val="auto"/>
                <w:spacing w:val="5"/>
                <w:highlight w:val="none"/>
              </w:rPr>
            </w:pPr>
            <w:r>
              <w:rPr>
                <w:rFonts w:hint="eastAsia"/>
                <w:color w:val="auto"/>
                <w:spacing w:val="5"/>
                <w:highlight w:val="none"/>
              </w:rPr>
              <w:t>（一）评审中出现下列情形之一的，谈判小组应当启动异常低价响应审查程序：</w:t>
            </w:r>
          </w:p>
          <w:p w14:paraId="685EEA18">
            <w:pPr>
              <w:pStyle w:val="12"/>
              <w:spacing w:before="86" w:line="262" w:lineRule="auto"/>
              <w:ind w:left="13" w:leftChars="0" w:firstLine="4" w:firstLineChars="0"/>
              <w:jc w:val="both"/>
              <w:rPr>
                <w:rFonts w:hint="eastAsia"/>
                <w:color w:val="auto"/>
                <w:spacing w:val="5"/>
                <w:highlight w:val="none"/>
              </w:rPr>
            </w:pPr>
            <w:r>
              <w:rPr>
                <w:rFonts w:hint="eastAsia"/>
                <w:color w:val="auto"/>
                <w:spacing w:val="5"/>
                <w:highlight w:val="none"/>
              </w:rPr>
              <w:t>1.响应报价低于全部通过符合性审查供应商响应报价平均值</w:t>
            </w:r>
            <w:r>
              <w:rPr>
                <w:rFonts w:hint="eastAsia"/>
                <w:color w:val="auto"/>
                <w:spacing w:val="5"/>
                <w:highlight w:val="none"/>
                <w:lang w:val="en-US" w:eastAsia="zh-CN"/>
              </w:rPr>
              <w:t>65</w:t>
            </w:r>
            <w:r>
              <w:rPr>
                <w:rFonts w:hint="eastAsia"/>
                <w:color w:val="auto"/>
                <w:spacing w:val="5"/>
                <w:highlight w:val="none"/>
              </w:rPr>
              <w:t>%的，即响应报价&lt;全部通过符合性审查供应商响应报价平均值×</w:t>
            </w:r>
            <w:r>
              <w:rPr>
                <w:rFonts w:hint="eastAsia"/>
                <w:color w:val="auto"/>
                <w:spacing w:val="5"/>
                <w:highlight w:val="none"/>
                <w:lang w:val="en-US" w:eastAsia="zh-CN"/>
              </w:rPr>
              <w:t>65</w:t>
            </w:r>
            <w:bookmarkStart w:id="34" w:name="_GoBack"/>
            <w:bookmarkEnd w:id="34"/>
            <w:r>
              <w:rPr>
                <w:rFonts w:hint="eastAsia"/>
                <w:color w:val="auto"/>
                <w:spacing w:val="5"/>
                <w:highlight w:val="none"/>
              </w:rPr>
              <w:t>%；</w:t>
            </w:r>
          </w:p>
          <w:p w14:paraId="4EC764ED">
            <w:pPr>
              <w:pStyle w:val="12"/>
              <w:spacing w:before="86" w:line="262" w:lineRule="auto"/>
              <w:ind w:left="13" w:leftChars="0" w:firstLine="4" w:firstLineChars="0"/>
              <w:jc w:val="both"/>
              <w:rPr>
                <w:rFonts w:hint="eastAsia"/>
                <w:color w:val="auto"/>
                <w:spacing w:val="5"/>
                <w:highlight w:val="none"/>
              </w:rPr>
            </w:pPr>
            <w:r>
              <w:rPr>
                <w:rFonts w:hint="eastAsia"/>
                <w:color w:val="auto"/>
                <w:spacing w:val="5"/>
                <w:highlight w:val="none"/>
              </w:rPr>
              <w:t>2.响应报价低于通过符合性审查的次低报价供应商响应报价</w:t>
            </w:r>
            <w:r>
              <w:rPr>
                <w:rFonts w:hint="eastAsia"/>
                <w:color w:val="auto"/>
                <w:spacing w:val="5"/>
                <w:highlight w:val="none"/>
                <w:lang w:val="en-US" w:eastAsia="zh-CN"/>
              </w:rPr>
              <w:t>65</w:t>
            </w:r>
            <w:r>
              <w:rPr>
                <w:rFonts w:hint="eastAsia"/>
                <w:color w:val="auto"/>
                <w:spacing w:val="5"/>
                <w:highlight w:val="none"/>
              </w:rPr>
              <w:t>%的，即响应报价&lt;通过符合性审查的次低报价供应商响应报价×</w:t>
            </w:r>
            <w:r>
              <w:rPr>
                <w:rFonts w:hint="eastAsia"/>
                <w:color w:val="auto"/>
                <w:spacing w:val="5"/>
                <w:highlight w:val="none"/>
                <w:lang w:val="en-US" w:eastAsia="zh-CN"/>
              </w:rPr>
              <w:t>65</w:t>
            </w:r>
            <w:r>
              <w:rPr>
                <w:rFonts w:hint="eastAsia"/>
                <w:color w:val="auto"/>
                <w:spacing w:val="5"/>
                <w:highlight w:val="none"/>
              </w:rPr>
              <w:t>%；</w:t>
            </w:r>
          </w:p>
          <w:p w14:paraId="20ED026E">
            <w:pPr>
              <w:pStyle w:val="12"/>
              <w:spacing w:before="86" w:line="262" w:lineRule="auto"/>
              <w:ind w:left="13" w:leftChars="0" w:firstLine="4" w:firstLineChars="0"/>
              <w:jc w:val="both"/>
              <w:rPr>
                <w:rFonts w:hint="eastAsia"/>
                <w:color w:val="auto"/>
                <w:spacing w:val="5"/>
                <w:highlight w:val="none"/>
              </w:rPr>
            </w:pPr>
            <w:r>
              <w:rPr>
                <w:rFonts w:hint="eastAsia"/>
                <w:color w:val="auto"/>
                <w:spacing w:val="5"/>
                <w:highlight w:val="none"/>
              </w:rPr>
              <w:t>3.响应报价低于采购项目最高限价</w:t>
            </w:r>
            <w:r>
              <w:rPr>
                <w:rFonts w:hint="eastAsia"/>
                <w:color w:val="auto"/>
                <w:spacing w:val="5"/>
                <w:highlight w:val="none"/>
                <w:lang w:val="en-US" w:eastAsia="zh-CN"/>
              </w:rPr>
              <w:t>65</w:t>
            </w:r>
            <w:r>
              <w:rPr>
                <w:rFonts w:hint="eastAsia"/>
                <w:color w:val="auto"/>
                <w:spacing w:val="5"/>
                <w:highlight w:val="none"/>
              </w:rPr>
              <w:t>%的，即响应报价&lt;采购项目最高限价×</w:t>
            </w:r>
            <w:r>
              <w:rPr>
                <w:rFonts w:hint="eastAsia"/>
                <w:color w:val="auto"/>
                <w:spacing w:val="5"/>
                <w:highlight w:val="none"/>
                <w:lang w:val="en-US" w:eastAsia="zh-CN"/>
              </w:rPr>
              <w:t>65</w:t>
            </w:r>
            <w:r>
              <w:rPr>
                <w:rFonts w:hint="eastAsia"/>
                <w:color w:val="auto"/>
                <w:spacing w:val="5"/>
                <w:highlight w:val="none"/>
              </w:rPr>
              <w:t>%；</w:t>
            </w:r>
          </w:p>
          <w:p w14:paraId="7FBEC1F4">
            <w:pPr>
              <w:pStyle w:val="12"/>
              <w:spacing w:before="86" w:line="262" w:lineRule="auto"/>
              <w:ind w:left="13" w:leftChars="0" w:firstLine="4" w:firstLineChars="0"/>
              <w:jc w:val="both"/>
              <w:rPr>
                <w:rFonts w:hint="eastAsia"/>
                <w:color w:val="auto"/>
                <w:spacing w:val="5"/>
                <w:highlight w:val="none"/>
              </w:rPr>
            </w:pPr>
            <w:r>
              <w:rPr>
                <w:rFonts w:hint="eastAsia"/>
                <w:color w:val="auto"/>
                <w:spacing w:val="5"/>
                <w:highlight w:val="none"/>
              </w:rPr>
              <w:t>4.谈判小组基于专业判断，认为供应商报价过低，有可能影响产品质量或者不能诚信履约的其他情形。</w:t>
            </w:r>
          </w:p>
          <w:p w14:paraId="68B893AA">
            <w:pPr>
              <w:pStyle w:val="12"/>
              <w:spacing w:before="86" w:line="262" w:lineRule="auto"/>
              <w:ind w:left="13" w:leftChars="0" w:firstLine="4" w:firstLineChars="0"/>
              <w:jc w:val="both"/>
              <w:rPr>
                <w:rFonts w:hint="eastAsia"/>
                <w:color w:val="auto"/>
                <w:spacing w:val="5"/>
                <w:highlight w:val="none"/>
              </w:rPr>
            </w:pPr>
            <w:r>
              <w:rPr>
                <w:rFonts w:hint="eastAsia"/>
                <w:color w:val="auto"/>
                <w:spacing w:val="5"/>
                <w:highlight w:val="none"/>
              </w:rPr>
              <w:t>相关法律法规对供应商报价有规定的，从其规定。</w:t>
            </w:r>
          </w:p>
          <w:p w14:paraId="24473E19">
            <w:pPr>
              <w:pStyle w:val="12"/>
              <w:spacing w:before="86" w:line="262" w:lineRule="auto"/>
              <w:ind w:left="13" w:leftChars="0" w:firstLine="4" w:firstLineChars="0"/>
              <w:jc w:val="both"/>
              <w:rPr>
                <w:rFonts w:hint="eastAsia"/>
                <w:color w:val="auto"/>
                <w:spacing w:val="5"/>
                <w:highlight w:val="none"/>
              </w:rPr>
            </w:pPr>
            <w:r>
              <w:rPr>
                <w:rFonts w:hint="eastAsia"/>
                <w:color w:val="auto"/>
                <w:spacing w:val="5"/>
                <w:highlight w:val="none"/>
              </w:rPr>
              <w:t>（二）谈判小组启动异常低价响应审查后，属于前述第1项至第4项情形的，应当要求相关供应商在评审现场30分钟时间内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4C27089F">
            <w:pPr>
              <w:pStyle w:val="12"/>
              <w:spacing w:before="86" w:line="262" w:lineRule="auto"/>
              <w:ind w:left="13" w:leftChars="0" w:firstLine="4" w:firstLineChars="0"/>
              <w:jc w:val="both"/>
              <w:rPr>
                <w:rFonts w:hint="eastAsia"/>
                <w:color w:val="auto"/>
                <w:spacing w:val="5"/>
                <w:highlight w:val="none"/>
              </w:rPr>
            </w:pPr>
            <w:r>
              <w:rPr>
                <w:rFonts w:hint="eastAsia"/>
                <w:color w:val="auto"/>
                <w:spacing w:val="5"/>
                <w:highlight w:val="none"/>
              </w:rPr>
              <w:t>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14:paraId="5930A94B">
            <w:pPr>
              <w:pStyle w:val="12"/>
              <w:spacing w:before="86" w:line="262" w:lineRule="auto"/>
              <w:ind w:left="13" w:leftChars="0" w:firstLine="4" w:firstLineChars="0"/>
              <w:jc w:val="both"/>
              <w:rPr>
                <w:rFonts w:hint="eastAsia"/>
                <w:color w:val="auto"/>
                <w:spacing w:val="5"/>
                <w:highlight w:val="none"/>
              </w:rPr>
            </w:pPr>
            <w:r>
              <w:rPr>
                <w:rFonts w:hint="eastAsia"/>
                <w:color w:val="auto"/>
                <w:spacing w:val="5"/>
                <w:highlight w:val="none"/>
              </w:rPr>
              <w:t>磋商小组借助互联网等渠道查询相关信息的，应当严格遵守评审工作纪律，不得实施影响评审公正的行为。</w:t>
            </w:r>
          </w:p>
          <w:p w14:paraId="02037618">
            <w:pPr>
              <w:pStyle w:val="12"/>
              <w:spacing w:before="86" w:line="262" w:lineRule="auto"/>
              <w:ind w:left="13" w:leftChars="0" w:firstLine="4" w:firstLineChars="0"/>
              <w:jc w:val="both"/>
              <w:rPr>
                <w:color w:val="auto"/>
                <w:spacing w:val="5"/>
                <w:highlight w:val="none"/>
              </w:rPr>
            </w:pPr>
            <w:r>
              <w:rPr>
                <w:rFonts w:hint="eastAsia"/>
                <w:color w:val="auto"/>
                <w:spacing w:val="5"/>
                <w:highlight w:val="none"/>
              </w:rPr>
              <w:t>异常低价响应审查的启动原因、审查意见和审查结果应当在评审报告中记录，并随供应商提供的相关书面说明及证明材料，以及磋商小组有关互联网浏览、查询历史一并归档。</w:t>
            </w:r>
          </w:p>
        </w:tc>
      </w:tr>
    </w:tbl>
    <w:p w14:paraId="736F4BCD">
      <w:pPr>
        <w:spacing w:before="37" w:line="239" w:lineRule="auto"/>
        <w:ind w:left="14" w:right="27" w:firstLine="2"/>
        <w:jc w:val="both"/>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备注:本磋商文件作为招投标过程中唯一解释权，投标</w:t>
      </w:r>
      <w:r>
        <w:rPr>
          <w:rFonts w:ascii="仿宋" w:hAnsi="仿宋" w:eastAsia="仿宋" w:cs="仿宋"/>
          <w:b/>
          <w:bCs/>
          <w:color w:val="auto"/>
          <w:spacing w:val="6"/>
          <w:sz w:val="24"/>
          <w:szCs w:val="24"/>
          <w:highlight w:val="none"/>
        </w:rPr>
        <w:t>人对磋商文件有任何异议，须在</w:t>
      </w:r>
      <w:r>
        <w:rPr>
          <w:rFonts w:ascii="仿宋" w:hAnsi="仿宋" w:eastAsia="仿宋" w:cs="仿宋"/>
          <w:b/>
          <w:bCs/>
          <w:color w:val="auto"/>
          <w:spacing w:val="7"/>
          <w:sz w:val="24"/>
          <w:szCs w:val="24"/>
          <w:highlight w:val="none"/>
        </w:rPr>
        <w:t>投标截止时间前提出，否则视为认可本磋商文件全部内容，最</w:t>
      </w:r>
      <w:r>
        <w:rPr>
          <w:rFonts w:ascii="仿宋" w:hAnsi="仿宋" w:eastAsia="仿宋" w:cs="仿宋"/>
          <w:b/>
          <w:bCs/>
          <w:color w:val="auto"/>
          <w:spacing w:val="6"/>
          <w:sz w:val="24"/>
          <w:szCs w:val="24"/>
          <w:highlight w:val="none"/>
        </w:rPr>
        <w:t>终解释权归招标人(招标</w:t>
      </w:r>
      <w:r>
        <w:rPr>
          <w:rFonts w:ascii="仿宋" w:hAnsi="仿宋" w:eastAsia="仿宋" w:cs="仿宋"/>
          <w:b/>
          <w:bCs/>
          <w:color w:val="auto"/>
          <w:spacing w:val="5"/>
          <w:sz w:val="24"/>
          <w:szCs w:val="24"/>
          <w:highlight w:val="none"/>
        </w:rPr>
        <w:t>代理机构)所有。如出现磋商文件前后内容表述不一致的，</w:t>
      </w:r>
      <w:r>
        <w:rPr>
          <w:rFonts w:ascii="仿宋" w:hAnsi="仿宋" w:eastAsia="仿宋" w:cs="仿宋"/>
          <w:color w:val="auto"/>
          <w:spacing w:val="-55"/>
          <w:sz w:val="24"/>
          <w:szCs w:val="24"/>
          <w:highlight w:val="none"/>
        </w:rPr>
        <w:t xml:space="preserve"> </w:t>
      </w:r>
      <w:r>
        <w:rPr>
          <w:rFonts w:ascii="仿宋" w:hAnsi="仿宋" w:eastAsia="仿宋" w:cs="仿宋"/>
          <w:b/>
          <w:bCs/>
          <w:color w:val="auto"/>
          <w:spacing w:val="5"/>
          <w:sz w:val="24"/>
          <w:szCs w:val="24"/>
          <w:highlight w:val="none"/>
        </w:rPr>
        <w:t>以本投标人须知前附表内容为准。敬请投标单位特别注意!</w:t>
      </w:r>
    </w:p>
    <w:p w14:paraId="4E468925">
      <w:pPr>
        <w:spacing w:line="239" w:lineRule="auto"/>
        <w:rPr>
          <w:rFonts w:ascii="仿宋" w:hAnsi="仿宋" w:eastAsia="仿宋" w:cs="仿宋"/>
          <w:color w:val="auto"/>
          <w:sz w:val="24"/>
          <w:szCs w:val="24"/>
          <w:highlight w:val="none"/>
        </w:rPr>
        <w:sectPr>
          <w:footerReference r:id="rId9" w:type="default"/>
          <w:pgSz w:w="11906" w:h="16840"/>
          <w:pgMar w:top="1416" w:right="1208" w:bottom="1118" w:left="1303" w:header="0" w:footer="948" w:gutter="0"/>
          <w:pgNumType w:fmt="decimal"/>
          <w:cols w:space="720" w:num="1"/>
        </w:sectPr>
      </w:pPr>
    </w:p>
    <w:p w14:paraId="0CBA1E4D">
      <w:pPr>
        <w:spacing w:before="192" w:line="222" w:lineRule="auto"/>
        <w:ind w:left="3533"/>
        <w:rPr>
          <w:rFonts w:ascii="黑体" w:hAnsi="黑体" w:eastAsia="黑体" w:cs="黑体"/>
          <w:color w:val="auto"/>
          <w:sz w:val="28"/>
          <w:szCs w:val="28"/>
          <w:highlight w:val="none"/>
        </w:rPr>
      </w:pPr>
      <w:bookmarkStart w:id="5" w:name="bookmark7"/>
      <w:bookmarkEnd w:id="5"/>
      <w:r>
        <w:rPr>
          <w:rFonts w:ascii="黑体" w:hAnsi="黑体" w:eastAsia="黑体" w:cs="黑体"/>
          <w:color w:val="auto"/>
          <w:spacing w:val="-4"/>
          <w:sz w:val="28"/>
          <w:szCs w:val="28"/>
          <w:highlight w:val="none"/>
        </w:rPr>
        <w:t>供应商须知正文</w:t>
      </w:r>
    </w:p>
    <w:p w14:paraId="46D76286">
      <w:pPr>
        <w:spacing w:before="294" w:line="227" w:lineRule="auto"/>
        <w:ind w:left="582"/>
        <w:outlineLvl w:val="2"/>
        <w:rPr>
          <w:rFonts w:ascii="楷体" w:hAnsi="楷体" w:eastAsia="楷体" w:cs="楷体"/>
          <w:color w:val="auto"/>
          <w:sz w:val="28"/>
          <w:szCs w:val="28"/>
          <w:highlight w:val="none"/>
        </w:rPr>
      </w:pPr>
      <w:r>
        <w:rPr>
          <w:rFonts w:ascii="楷体" w:hAnsi="楷体" w:eastAsia="楷体" w:cs="楷体"/>
          <w:color w:val="auto"/>
          <w:spacing w:val="-7"/>
          <w:sz w:val="28"/>
          <w:szCs w:val="28"/>
          <w:highlight w:val="none"/>
        </w:rPr>
        <w:t>1.采购依据以及原则</w:t>
      </w:r>
    </w:p>
    <w:p w14:paraId="352FB697">
      <w:pPr>
        <w:spacing w:before="243" w:line="222" w:lineRule="auto"/>
        <w:ind w:left="506"/>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1.1《中华人民共和国政府采购法》；</w:t>
      </w:r>
    </w:p>
    <w:p w14:paraId="154184D3">
      <w:pPr>
        <w:spacing w:before="140" w:line="222" w:lineRule="auto"/>
        <w:ind w:left="50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1.2《中华人民共和国民法典》；</w:t>
      </w:r>
    </w:p>
    <w:p w14:paraId="5965C284">
      <w:pPr>
        <w:spacing w:before="215" w:line="222" w:lineRule="auto"/>
        <w:ind w:left="506"/>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1.3《中华人民共和国政府采购法实施条例》；</w:t>
      </w:r>
    </w:p>
    <w:p w14:paraId="57E8E0AB">
      <w:pPr>
        <w:spacing w:before="156" w:line="222" w:lineRule="auto"/>
        <w:ind w:left="50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1.4《政府采购非招标采购方式管理办法》；</w:t>
      </w:r>
    </w:p>
    <w:p w14:paraId="17896EBA">
      <w:pPr>
        <w:spacing w:before="156" w:line="222" w:lineRule="auto"/>
        <w:ind w:left="50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1.5《政府采购质疑和投诉办法》；</w:t>
      </w:r>
    </w:p>
    <w:p w14:paraId="7A6042C8">
      <w:pPr>
        <w:spacing w:before="176" w:line="220" w:lineRule="auto"/>
        <w:ind w:left="50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1.6 其他有关法律、行政法规以及省市规范性文件规定。</w:t>
      </w:r>
    </w:p>
    <w:p w14:paraId="4D3BC531">
      <w:pPr>
        <w:spacing w:before="253" w:line="225" w:lineRule="auto"/>
        <w:ind w:left="531"/>
        <w:outlineLvl w:val="2"/>
        <w:rPr>
          <w:rFonts w:ascii="楷体" w:hAnsi="楷体" w:eastAsia="楷体" w:cs="楷体"/>
          <w:color w:val="auto"/>
          <w:sz w:val="28"/>
          <w:szCs w:val="28"/>
          <w:highlight w:val="none"/>
        </w:rPr>
      </w:pPr>
      <w:bookmarkStart w:id="6" w:name="bookmark8"/>
      <w:bookmarkEnd w:id="6"/>
      <w:r>
        <w:rPr>
          <w:rFonts w:ascii="楷体" w:hAnsi="楷体" w:eastAsia="楷体" w:cs="楷体"/>
          <w:color w:val="auto"/>
          <w:spacing w:val="-3"/>
          <w:sz w:val="28"/>
          <w:szCs w:val="28"/>
          <w:highlight w:val="none"/>
        </w:rPr>
        <w:t>2.合格的供应商</w:t>
      </w:r>
    </w:p>
    <w:p w14:paraId="62DFAD9C">
      <w:pPr>
        <w:spacing w:before="212" w:line="221" w:lineRule="auto"/>
        <w:ind w:left="46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2.1 符合《中华人民共和国政府采购法》第二十二条第一款规定的条件；</w:t>
      </w:r>
    </w:p>
    <w:p w14:paraId="259DD46D">
      <w:pPr>
        <w:spacing w:before="178" w:line="220" w:lineRule="auto"/>
        <w:ind w:left="46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2.2 符合本磋商文件规定的资格要求，且按照要求提供相关证明材料；</w:t>
      </w:r>
    </w:p>
    <w:p w14:paraId="72D024E7">
      <w:pPr>
        <w:spacing w:before="222" w:line="256" w:lineRule="auto"/>
        <w:ind w:left="7" w:right="2" w:firstLine="452"/>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2.3 单位负责人为同一人或者存在直接控股、管理</w:t>
      </w:r>
      <w:r>
        <w:rPr>
          <w:rFonts w:ascii="仿宋" w:hAnsi="仿宋" w:eastAsia="仿宋" w:cs="仿宋"/>
          <w:color w:val="auto"/>
          <w:spacing w:val="-3"/>
          <w:sz w:val="24"/>
          <w:szCs w:val="24"/>
          <w:highlight w:val="none"/>
        </w:rPr>
        <w:t>关系的不同供应商，不得参加同</w:t>
      </w:r>
      <w:r>
        <w:rPr>
          <w:rFonts w:ascii="仿宋" w:hAnsi="仿宋" w:eastAsia="仿宋" w:cs="仿宋"/>
          <w:color w:val="auto"/>
          <w:spacing w:val="-5"/>
          <w:sz w:val="24"/>
          <w:szCs w:val="24"/>
          <w:highlight w:val="none"/>
        </w:rPr>
        <w:t>一合同项下的政府采购活动。</w:t>
      </w:r>
    </w:p>
    <w:p w14:paraId="73B3F47E">
      <w:pPr>
        <w:spacing w:before="228" w:line="221" w:lineRule="auto"/>
        <w:ind w:left="46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2.4 供应商须知前附表规定接受联合体报价的，应符合以下规定：</w:t>
      </w:r>
    </w:p>
    <w:p w14:paraId="6B4A53A6">
      <w:pPr>
        <w:spacing w:before="216" w:line="258" w:lineRule="auto"/>
        <w:ind w:left="7" w:firstLine="452"/>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2.4.1</w:t>
      </w:r>
      <w:r>
        <w:rPr>
          <w:rFonts w:ascii="仿宋" w:hAnsi="仿宋" w:eastAsia="仿宋" w:cs="仿宋"/>
          <w:color w:val="auto"/>
          <w:spacing w:val="-11"/>
          <w:sz w:val="24"/>
          <w:szCs w:val="24"/>
          <w:highlight w:val="none"/>
        </w:rPr>
        <w:t xml:space="preserve"> </w:t>
      </w:r>
      <w:r>
        <w:rPr>
          <w:rFonts w:ascii="仿宋" w:hAnsi="仿宋" w:eastAsia="仿宋" w:cs="仿宋"/>
          <w:color w:val="auto"/>
          <w:spacing w:val="-2"/>
          <w:sz w:val="24"/>
          <w:szCs w:val="24"/>
          <w:highlight w:val="none"/>
        </w:rPr>
        <w:t>联合体各方应按照磋商文件提供的格式签订联合体协议书，明确联合体牵头</w:t>
      </w:r>
      <w:r>
        <w:rPr>
          <w:rFonts w:ascii="仿宋" w:hAnsi="仿宋" w:eastAsia="仿宋" w:cs="仿宋"/>
          <w:color w:val="auto"/>
          <w:spacing w:val="-7"/>
          <w:sz w:val="24"/>
          <w:szCs w:val="24"/>
          <w:highlight w:val="none"/>
        </w:rPr>
        <w:t>人和各方权利义务；</w:t>
      </w:r>
    </w:p>
    <w:p w14:paraId="63677A93">
      <w:pPr>
        <w:spacing w:before="225" w:line="221" w:lineRule="auto"/>
        <w:ind w:left="469" w:right="9" w:hanging="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2.4.2 联合体各方均应当符合《中华人</w:t>
      </w:r>
      <w:r>
        <w:rPr>
          <w:rFonts w:ascii="仿宋" w:hAnsi="仿宋" w:eastAsia="仿宋" w:cs="仿宋"/>
          <w:color w:val="auto"/>
          <w:spacing w:val="-3"/>
          <w:sz w:val="24"/>
          <w:szCs w:val="24"/>
          <w:highlight w:val="none"/>
        </w:rPr>
        <w:t>民共和国政府采购法》第二十二条第一款规</w:t>
      </w:r>
      <w:r>
        <w:rPr>
          <w:rFonts w:ascii="仿宋" w:hAnsi="仿宋" w:eastAsia="仿宋" w:cs="仿宋"/>
          <w:color w:val="auto"/>
          <w:spacing w:val="-6"/>
          <w:sz w:val="24"/>
          <w:szCs w:val="24"/>
          <w:highlight w:val="none"/>
        </w:rPr>
        <w:t>定的条件；</w:t>
      </w:r>
    </w:p>
    <w:p w14:paraId="271A7C1F">
      <w:pPr>
        <w:spacing w:before="214" w:line="257" w:lineRule="auto"/>
        <w:ind w:left="11" w:right="4" w:firstLine="448"/>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2.4.3</w:t>
      </w:r>
      <w:r>
        <w:rPr>
          <w:rFonts w:ascii="仿宋" w:hAnsi="仿宋" w:eastAsia="仿宋" w:cs="仿宋"/>
          <w:color w:val="auto"/>
          <w:spacing w:val="-16"/>
          <w:sz w:val="24"/>
          <w:szCs w:val="24"/>
          <w:highlight w:val="none"/>
        </w:rPr>
        <w:t xml:space="preserve"> </w:t>
      </w:r>
      <w:r>
        <w:rPr>
          <w:rFonts w:ascii="仿宋" w:hAnsi="仿宋" w:eastAsia="仿宋" w:cs="仿宋"/>
          <w:color w:val="auto"/>
          <w:spacing w:val="-2"/>
          <w:sz w:val="24"/>
          <w:szCs w:val="24"/>
          <w:highlight w:val="none"/>
        </w:rPr>
        <w:t>联合体中有同类资质的供应商按照联合体分工承担相同工作的，应当按照资</w:t>
      </w:r>
      <w:r>
        <w:rPr>
          <w:rFonts w:ascii="仿宋" w:hAnsi="仿宋" w:eastAsia="仿宋" w:cs="仿宋"/>
          <w:color w:val="auto"/>
          <w:spacing w:val="-5"/>
          <w:sz w:val="24"/>
          <w:szCs w:val="24"/>
          <w:highlight w:val="none"/>
        </w:rPr>
        <w:t>质等级较低的供应商确定资质等级。</w:t>
      </w:r>
    </w:p>
    <w:p w14:paraId="305F8834">
      <w:pPr>
        <w:spacing w:before="266" w:line="256" w:lineRule="auto"/>
        <w:ind w:right="12" w:firstLine="460"/>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2.4.4</w:t>
      </w:r>
      <w:r>
        <w:rPr>
          <w:rFonts w:ascii="仿宋" w:hAnsi="仿宋" w:eastAsia="仿宋" w:cs="仿宋"/>
          <w:color w:val="auto"/>
          <w:spacing w:val="69"/>
          <w:sz w:val="24"/>
          <w:szCs w:val="24"/>
          <w:highlight w:val="none"/>
        </w:rPr>
        <w:t xml:space="preserve"> </w:t>
      </w:r>
      <w:r>
        <w:rPr>
          <w:rFonts w:ascii="仿宋" w:hAnsi="仿宋" w:eastAsia="仿宋" w:cs="仿宋"/>
          <w:color w:val="auto"/>
          <w:spacing w:val="-4"/>
          <w:sz w:val="24"/>
          <w:szCs w:val="24"/>
          <w:highlight w:val="none"/>
        </w:rPr>
        <w:t>以联合体形式参加政府采购活动的，联</w:t>
      </w:r>
      <w:r>
        <w:rPr>
          <w:rFonts w:ascii="仿宋" w:hAnsi="仿宋" w:eastAsia="仿宋" w:cs="仿宋"/>
          <w:color w:val="auto"/>
          <w:spacing w:val="-5"/>
          <w:sz w:val="24"/>
          <w:szCs w:val="24"/>
          <w:highlight w:val="none"/>
        </w:rPr>
        <w:t>合体各方不得再单独参加或者与其他</w:t>
      </w:r>
      <w:r>
        <w:rPr>
          <w:rFonts w:ascii="仿宋" w:hAnsi="仿宋" w:eastAsia="仿宋" w:cs="仿宋"/>
          <w:color w:val="auto"/>
          <w:spacing w:val="-3"/>
          <w:sz w:val="24"/>
          <w:szCs w:val="24"/>
          <w:highlight w:val="none"/>
        </w:rPr>
        <w:t>供应商另外组成联合体参加同一合同项下的政府采购活动。</w:t>
      </w:r>
    </w:p>
    <w:p w14:paraId="43A118AE">
      <w:pPr>
        <w:spacing w:before="265" w:line="255" w:lineRule="auto"/>
        <w:ind w:firstLine="45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2.4.5</w:t>
      </w:r>
      <w:r>
        <w:rPr>
          <w:rFonts w:ascii="仿宋" w:hAnsi="仿宋" w:eastAsia="仿宋" w:cs="仿宋"/>
          <w:color w:val="auto"/>
          <w:spacing w:val="-11"/>
          <w:sz w:val="24"/>
          <w:szCs w:val="24"/>
          <w:highlight w:val="none"/>
        </w:rPr>
        <w:t xml:space="preserve"> </w:t>
      </w:r>
      <w:r>
        <w:rPr>
          <w:rFonts w:ascii="仿宋" w:hAnsi="仿宋" w:eastAsia="仿宋" w:cs="仿宋"/>
          <w:color w:val="auto"/>
          <w:spacing w:val="-2"/>
          <w:sz w:val="24"/>
          <w:szCs w:val="24"/>
          <w:highlight w:val="none"/>
        </w:rPr>
        <w:t>联合体各方应当共同与采购人签订采购合同，就合同约定的事项对采购人承</w:t>
      </w:r>
      <w:r>
        <w:rPr>
          <w:rFonts w:ascii="仿宋" w:hAnsi="仿宋" w:eastAsia="仿宋" w:cs="仿宋"/>
          <w:color w:val="auto"/>
          <w:spacing w:val="-7"/>
          <w:sz w:val="24"/>
          <w:szCs w:val="24"/>
          <w:highlight w:val="none"/>
        </w:rPr>
        <w:t>担连带责任。</w:t>
      </w:r>
    </w:p>
    <w:p w14:paraId="5034D7A9">
      <w:pPr>
        <w:spacing w:before="274" w:line="255" w:lineRule="auto"/>
        <w:ind w:left="15" w:right="2" w:firstLine="444"/>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2.4.6 鼓励大中型企业和其他自然人、法人或者其他组</w:t>
      </w:r>
      <w:r>
        <w:rPr>
          <w:rFonts w:ascii="仿宋" w:hAnsi="仿宋" w:eastAsia="仿宋" w:cs="仿宋"/>
          <w:color w:val="auto"/>
          <w:spacing w:val="-3"/>
          <w:sz w:val="24"/>
          <w:szCs w:val="24"/>
          <w:highlight w:val="none"/>
        </w:rPr>
        <w:t>织与小型、微型企业组成联</w:t>
      </w:r>
      <w:r>
        <w:rPr>
          <w:rFonts w:ascii="仿宋" w:hAnsi="仿宋" w:eastAsia="仿宋" w:cs="仿宋"/>
          <w:color w:val="auto"/>
          <w:spacing w:val="-4"/>
          <w:sz w:val="24"/>
          <w:szCs w:val="24"/>
          <w:highlight w:val="none"/>
        </w:rPr>
        <w:t>合体报价，但联合体各方均应符合上述规定。</w:t>
      </w:r>
    </w:p>
    <w:p w14:paraId="7B19AFEB">
      <w:pPr>
        <w:spacing w:before="268" w:line="258" w:lineRule="auto"/>
        <w:ind w:left="22" w:right="2" w:firstLine="437"/>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2.5 除采购人拟采购进口产品通过财政部门审核外</w:t>
      </w:r>
      <w:r>
        <w:rPr>
          <w:rFonts w:ascii="仿宋" w:hAnsi="仿宋" w:eastAsia="仿宋" w:cs="仿宋"/>
          <w:color w:val="auto"/>
          <w:spacing w:val="-3"/>
          <w:sz w:val="24"/>
          <w:szCs w:val="24"/>
          <w:highlight w:val="none"/>
        </w:rPr>
        <w:t>，供应商不得提供直接进口或者</w:t>
      </w:r>
      <w:r>
        <w:rPr>
          <w:rFonts w:ascii="仿宋" w:hAnsi="仿宋" w:eastAsia="仿宋" w:cs="仿宋"/>
          <w:color w:val="auto"/>
          <w:spacing w:val="-4"/>
          <w:sz w:val="24"/>
          <w:szCs w:val="24"/>
          <w:highlight w:val="none"/>
        </w:rPr>
        <w:t>委托进口产品（包括已进入中国境内的进口产品）。</w:t>
      </w:r>
    </w:p>
    <w:p w14:paraId="4309908C">
      <w:pPr>
        <w:spacing w:before="259" w:line="257" w:lineRule="auto"/>
        <w:ind w:left="19" w:right="2" w:firstLine="440"/>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2.6 为采购项目提供整体设计、规范编制或者项目</w:t>
      </w:r>
      <w:r>
        <w:rPr>
          <w:rFonts w:ascii="仿宋" w:hAnsi="仿宋" w:eastAsia="仿宋" w:cs="仿宋"/>
          <w:color w:val="auto"/>
          <w:spacing w:val="-3"/>
          <w:sz w:val="24"/>
          <w:szCs w:val="24"/>
          <w:highlight w:val="none"/>
        </w:rPr>
        <w:t>管理、监理、检测等服务的供应</w:t>
      </w:r>
      <w:r>
        <w:rPr>
          <w:rFonts w:ascii="仿宋" w:hAnsi="仿宋" w:eastAsia="仿宋" w:cs="仿宋"/>
          <w:color w:val="auto"/>
          <w:spacing w:val="-5"/>
          <w:sz w:val="24"/>
          <w:szCs w:val="24"/>
          <w:highlight w:val="none"/>
        </w:rPr>
        <w:t>商，不得再参加该采购项目的其他采购活动。</w:t>
      </w:r>
    </w:p>
    <w:p w14:paraId="47B52259">
      <w:pPr>
        <w:spacing w:line="257" w:lineRule="auto"/>
        <w:rPr>
          <w:rFonts w:ascii="仿宋" w:hAnsi="仿宋" w:eastAsia="仿宋" w:cs="仿宋"/>
          <w:color w:val="auto"/>
          <w:sz w:val="24"/>
          <w:szCs w:val="24"/>
          <w:highlight w:val="none"/>
        </w:rPr>
        <w:sectPr>
          <w:footerReference r:id="rId10" w:type="default"/>
          <w:pgSz w:w="11906" w:h="16840"/>
          <w:pgMar w:top="1431" w:right="1422" w:bottom="1174" w:left="1468" w:header="0" w:footer="928" w:gutter="0"/>
          <w:pgNumType w:fmt="decimal"/>
          <w:cols w:space="720" w:num="1"/>
        </w:sectPr>
      </w:pPr>
    </w:p>
    <w:p w14:paraId="0D96A5F6">
      <w:pPr>
        <w:spacing w:before="130" w:line="220" w:lineRule="auto"/>
        <w:ind w:left="473"/>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2.7 供应商提供的证明材料内容必须真实可靠。</w:t>
      </w:r>
    </w:p>
    <w:p w14:paraId="2F2FEFFB">
      <w:pPr>
        <w:spacing w:before="179" w:line="220" w:lineRule="auto"/>
        <w:ind w:left="50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符合上述条件的供应商即为合格供应商，具有参与竞争性磋商的资格。</w:t>
      </w:r>
    </w:p>
    <w:p w14:paraId="1EC2B9F8">
      <w:pPr>
        <w:spacing w:before="263" w:line="231" w:lineRule="auto"/>
        <w:ind w:left="552"/>
        <w:outlineLvl w:val="2"/>
        <w:rPr>
          <w:rFonts w:ascii="楷体" w:hAnsi="楷体" w:eastAsia="楷体" w:cs="楷体"/>
          <w:color w:val="auto"/>
          <w:sz w:val="28"/>
          <w:szCs w:val="28"/>
          <w:highlight w:val="none"/>
        </w:rPr>
      </w:pPr>
      <w:bookmarkStart w:id="7" w:name="bookmark9"/>
      <w:bookmarkEnd w:id="7"/>
      <w:r>
        <w:rPr>
          <w:rFonts w:ascii="楷体" w:hAnsi="楷体" w:eastAsia="楷体" w:cs="楷体"/>
          <w:color w:val="auto"/>
          <w:spacing w:val="-5"/>
          <w:sz w:val="28"/>
          <w:szCs w:val="28"/>
          <w:highlight w:val="none"/>
        </w:rPr>
        <w:t>3.保密</w:t>
      </w:r>
    </w:p>
    <w:p w14:paraId="5BCF6BE8">
      <w:pPr>
        <w:spacing w:before="228" w:line="331" w:lineRule="auto"/>
        <w:ind w:left="43" w:right="21" w:firstLine="45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参与竞争性磋商活动的当事人应对磋商文件和响应文件中的商业和技术等秘密保</w:t>
      </w:r>
      <w:r>
        <w:rPr>
          <w:rFonts w:ascii="仿宋" w:hAnsi="仿宋" w:eastAsia="仿宋" w:cs="仿宋"/>
          <w:color w:val="auto"/>
          <w:spacing w:val="-6"/>
          <w:sz w:val="24"/>
          <w:szCs w:val="24"/>
          <w:highlight w:val="none"/>
        </w:rPr>
        <w:t>密，违者应对由此造成的后果承担法律责任。</w:t>
      </w:r>
    </w:p>
    <w:p w14:paraId="596A08E0">
      <w:pPr>
        <w:spacing w:before="136" w:line="275" w:lineRule="auto"/>
        <w:ind w:left="56" w:right="23" w:firstLine="473"/>
        <w:outlineLvl w:val="2"/>
        <w:rPr>
          <w:rFonts w:ascii="楷体" w:hAnsi="楷体" w:eastAsia="楷体" w:cs="楷体"/>
          <w:color w:val="auto"/>
          <w:sz w:val="28"/>
          <w:szCs w:val="28"/>
          <w:highlight w:val="none"/>
        </w:rPr>
      </w:pPr>
      <w:r>
        <w:rPr>
          <w:rFonts w:ascii="楷体" w:hAnsi="楷体" w:eastAsia="楷体" w:cs="楷体"/>
          <w:color w:val="auto"/>
          <w:spacing w:val="2"/>
          <w:sz w:val="28"/>
          <w:szCs w:val="28"/>
          <w:highlight w:val="none"/>
        </w:rPr>
        <w:t>4.语言文字、计量单位、时间单位、报价有效期以及参与采购活动费</w:t>
      </w:r>
      <w:bookmarkStart w:id="8" w:name="bookmark10"/>
      <w:bookmarkEnd w:id="8"/>
      <w:r>
        <w:rPr>
          <w:rFonts w:ascii="楷体" w:hAnsi="楷体" w:eastAsia="楷体" w:cs="楷体"/>
          <w:color w:val="auto"/>
          <w:sz w:val="28"/>
          <w:szCs w:val="28"/>
          <w:highlight w:val="none"/>
        </w:rPr>
        <w:t>用</w:t>
      </w:r>
    </w:p>
    <w:p w14:paraId="5BBE3CA5">
      <w:pPr>
        <w:spacing w:before="304" w:line="222" w:lineRule="auto"/>
        <w:ind w:left="464"/>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4.1</w:t>
      </w:r>
      <w:r>
        <w:rPr>
          <w:rFonts w:ascii="仿宋" w:hAnsi="仿宋" w:eastAsia="仿宋" w:cs="仿宋"/>
          <w:color w:val="auto"/>
          <w:spacing w:val="-25"/>
          <w:sz w:val="24"/>
          <w:szCs w:val="24"/>
          <w:highlight w:val="none"/>
        </w:rPr>
        <w:t xml:space="preserve"> </w:t>
      </w:r>
      <w:r>
        <w:rPr>
          <w:rFonts w:ascii="仿宋" w:hAnsi="仿宋" w:eastAsia="仿宋" w:cs="仿宋"/>
          <w:color w:val="auto"/>
          <w:spacing w:val="-6"/>
          <w:sz w:val="24"/>
          <w:szCs w:val="24"/>
          <w:highlight w:val="none"/>
        </w:rPr>
        <w:t>语言文字</w:t>
      </w:r>
    </w:p>
    <w:p w14:paraId="1F71D2D9">
      <w:pPr>
        <w:spacing w:before="216" w:line="336" w:lineRule="auto"/>
        <w:ind w:left="15" w:right="4" w:firstLine="507"/>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除专用术语外，与竞争性磋商活动有关的语言均使用简体中文。必要时专用术语应</w:t>
      </w:r>
      <w:r>
        <w:rPr>
          <w:rFonts w:ascii="仿宋" w:hAnsi="仿宋" w:eastAsia="仿宋" w:cs="仿宋"/>
          <w:color w:val="auto"/>
          <w:spacing w:val="-3"/>
          <w:sz w:val="24"/>
          <w:szCs w:val="24"/>
          <w:highlight w:val="none"/>
        </w:rPr>
        <w:t>附有中文注释。如供应商提交的支持文件和印刷的文献使用另一种语言，应附有相应内容的中文翻译本，在解释响应文件时以中文翻译本为准。</w:t>
      </w:r>
    </w:p>
    <w:p w14:paraId="05539BBB">
      <w:pPr>
        <w:spacing w:before="47" w:line="221" w:lineRule="auto"/>
        <w:ind w:left="464"/>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4.2</w:t>
      </w:r>
      <w:r>
        <w:rPr>
          <w:rFonts w:ascii="仿宋" w:hAnsi="仿宋" w:eastAsia="仿宋" w:cs="仿宋"/>
          <w:color w:val="auto"/>
          <w:spacing w:val="-18"/>
          <w:sz w:val="24"/>
          <w:szCs w:val="24"/>
          <w:highlight w:val="none"/>
        </w:rPr>
        <w:t xml:space="preserve"> </w:t>
      </w:r>
      <w:r>
        <w:rPr>
          <w:rFonts w:ascii="仿宋" w:hAnsi="仿宋" w:eastAsia="仿宋" w:cs="仿宋"/>
          <w:color w:val="auto"/>
          <w:spacing w:val="-7"/>
          <w:sz w:val="24"/>
          <w:szCs w:val="24"/>
          <w:highlight w:val="none"/>
        </w:rPr>
        <w:t>计量单位</w:t>
      </w:r>
    </w:p>
    <w:p w14:paraId="667B5819">
      <w:pPr>
        <w:spacing w:before="217" w:line="329" w:lineRule="auto"/>
        <w:ind w:left="6" w:right="4" w:firstLine="51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除磋商文件另有规定外，计量均应采用中华人民共和国法定计量单位；所有报价一</w:t>
      </w:r>
      <w:r>
        <w:rPr>
          <w:rFonts w:ascii="仿宋" w:hAnsi="仿宋" w:eastAsia="仿宋" w:cs="仿宋"/>
          <w:color w:val="auto"/>
          <w:spacing w:val="-3"/>
          <w:sz w:val="24"/>
          <w:szCs w:val="24"/>
          <w:highlight w:val="none"/>
        </w:rPr>
        <w:t>律使用人民币，货币单位为“元</w:t>
      </w:r>
      <w:r>
        <w:rPr>
          <w:rFonts w:ascii="仿宋" w:hAnsi="仿宋" w:eastAsia="仿宋" w:cs="仿宋"/>
          <w:color w:val="auto"/>
          <w:spacing w:val="-19"/>
          <w:sz w:val="24"/>
          <w:szCs w:val="24"/>
          <w:highlight w:val="none"/>
        </w:rPr>
        <w:t xml:space="preserve"> </w:t>
      </w:r>
      <w:r>
        <w:rPr>
          <w:rFonts w:ascii="仿宋" w:hAnsi="仿宋" w:eastAsia="仿宋" w:cs="仿宋"/>
          <w:color w:val="auto"/>
          <w:spacing w:val="-3"/>
          <w:sz w:val="24"/>
          <w:szCs w:val="24"/>
          <w:highlight w:val="none"/>
        </w:rPr>
        <w:t>”。</w:t>
      </w:r>
    </w:p>
    <w:p w14:paraId="18897F01">
      <w:pPr>
        <w:spacing w:before="40" w:line="221" w:lineRule="auto"/>
        <w:ind w:left="464"/>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4.3</w:t>
      </w:r>
      <w:r>
        <w:rPr>
          <w:rFonts w:ascii="仿宋" w:hAnsi="仿宋" w:eastAsia="仿宋" w:cs="仿宋"/>
          <w:color w:val="auto"/>
          <w:spacing w:val="13"/>
          <w:sz w:val="24"/>
          <w:szCs w:val="24"/>
          <w:highlight w:val="none"/>
        </w:rPr>
        <w:t xml:space="preserve"> </w:t>
      </w:r>
      <w:r>
        <w:rPr>
          <w:rFonts w:ascii="仿宋" w:hAnsi="仿宋" w:eastAsia="仿宋" w:cs="仿宋"/>
          <w:color w:val="auto"/>
          <w:spacing w:val="-11"/>
          <w:sz w:val="24"/>
          <w:szCs w:val="24"/>
          <w:highlight w:val="none"/>
        </w:rPr>
        <w:t>时间单位</w:t>
      </w:r>
    </w:p>
    <w:p w14:paraId="4E54BAE3">
      <w:pPr>
        <w:spacing w:before="215" w:line="330" w:lineRule="auto"/>
        <w:ind w:left="58" w:right="301" w:firstLine="462"/>
        <w:rPr>
          <w:rFonts w:ascii="仿宋" w:hAnsi="仿宋" w:eastAsia="仿宋" w:cs="仿宋"/>
          <w:color w:val="auto"/>
          <w:sz w:val="24"/>
          <w:szCs w:val="24"/>
          <w:highlight w:val="none"/>
        </w:rPr>
      </w:pPr>
      <w:r>
        <w:rPr>
          <w:rFonts w:ascii="仿宋" w:hAnsi="仿宋" w:eastAsia="仿宋" w:cs="仿宋"/>
          <w:color w:val="auto"/>
          <w:spacing w:val="-19"/>
          <w:sz w:val="24"/>
          <w:szCs w:val="24"/>
          <w:highlight w:val="none"/>
        </w:rPr>
        <w:t>除磋商文件中另有规定外，磋商文件所使用的时间单位“天 ”“</w:t>
      </w:r>
      <w:r>
        <w:rPr>
          <w:rFonts w:ascii="仿宋" w:hAnsi="仿宋" w:eastAsia="仿宋" w:cs="仿宋"/>
          <w:color w:val="auto"/>
          <w:spacing w:val="-29"/>
          <w:sz w:val="24"/>
          <w:szCs w:val="24"/>
          <w:highlight w:val="none"/>
        </w:rPr>
        <w:t xml:space="preserve"> </w:t>
      </w:r>
      <w:r>
        <w:rPr>
          <w:rFonts w:ascii="仿宋" w:hAnsi="仿宋" w:eastAsia="仿宋" w:cs="仿宋"/>
          <w:color w:val="auto"/>
          <w:spacing w:val="-19"/>
          <w:sz w:val="24"/>
          <w:szCs w:val="24"/>
          <w:highlight w:val="none"/>
        </w:rPr>
        <w:t>日</w:t>
      </w:r>
      <w:r>
        <w:rPr>
          <w:rFonts w:ascii="仿宋" w:hAnsi="仿宋" w:eastAsia="仿宋" w:cs="仿宋"/>
          <w:color w:val="auto"/>
          <w:spacing w:val="-50"/>
          <w:sz w:val="24"/>
          <w:szCs w:val="24"/>
          <w:highlight w:val="none"/>
        </w:rPr>
        <w:t xml:space="preserve"> </w:t>
      </w:r>
      <w:r>
        <w:rPr>
          <w:rFonts w:ascii="仿宋" w:hAnsi="仿宋" w:eastAsia="仿宋" w:cs="仿宋"/>
          <w:color w:val="auto"/>
          <w:spacing w:val="-20"/>
          <w:sz w:val="24"/>
          <w:szCs w:val="24"/>
          <w:highlight w:val="none"/>
        </w:rPr>
        <w:t>”均指日历天，</w:t>
      </w:r>
      <w:r>
        <w:rPr>
          <w:rFonts w:ascii="仿宋" w:hAnsi="仿宋" w:eastAsia="仿宋" w:cs="仿宋"/>
          <w:color w:val="auto"/>
          <w:spacing w:val="-9"/>
          <w:sz w:val="24"/>
          <w:szCs w:val="24"/>
          <w:highlight w:val="none"/>
        </w:rPr>
        <w:t>时、分均为北京时间。</w:t>
      </w:r>
    </w:p>
    <w:p w14:paraId="69DE9B0A">
      <w:pPr>
        <w:spacing w:before="41" w:line="222" w:lineRule="auto"/>
        <w:ind w:left="464"/>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4.4</w:t>
      </w:r>
      <w:r>
        <w:rPr>
          <w:rFonts w:ascii="仿宋" w:hAnsi="仿宋" w:eastAsia="仿宋" w:cs="仿宋"/>
          <w:color w:val="auto"/>
          <w:spacing w:val="-26"/>
          <w:sz w:val="24"/>
          <w:szCs w:val="24"/>
          <w:highlight w:val="none"/>
        </w:rPr>
        <w:t xml:space="preserve"> </w:t>
      </w:r>
      <w:r>
        <w:rPr>
          <w:rFonts w:ascii="仿宋" w:hAnsi="仿宋" w:eastAsia="仿宋" w:cs="仿宋"/>
          <w:color w:val="auto"/>
          <w:spacing w:val="-6"/>
          <w:sz w:val="24"/>
          <w:szCs w:val="24"/>
          <w:highlight w:val="none"/>
        </w:rPr>
        <w:t>报价有效期</w:t>
      </w:r>
    </w:p>
    <w:p w14:paraId="0AF6BB01">
      <w:pPr>
        <w:spacing w:before="216" w:line="253" w:lineRule="auto"/>
        <w:ind w:left="15" w:right="7" w:firstLine="444"/>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4.4.1 在供应商须知前附表规定的报价有效期内，响应文件以及其补充、承诺等部</w:t>
      </w:r>
      <w:r>
        <w:rPr>
          <w:rFonts w:ascii="仿宋" w:hAnsi="仿宋" w:eastAsia="仿宋" w:cs="仿宋"/>
          <w:color w:val="auto"/>
          <w:spacing w:val="-7"/>
          <w:sz w:val="24"/>
          <w:szCs w:val="24"/>
          <w:highlight w:val="none"/>
        </w:rPr>
        <w:t>分均保持有效。</w:t>
      </w:r>
    </w:p>
    <w:p w14:paraId="2E741D2E">
      <w:pPr>
        <w:spacing w:before="273" w:line="298" w:lineRule="auto"/>
        <w:ind w:right="4" w:firstLine="464"/>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4.4.2 在磋商文件规定的响应文件有效期满之前，如果出现特殊情况，采购人或者</w:t>
      </w:r>
      <w:r>
        <w:rPr>
          <w:rFonts w:ascii="仿宋" w:hAnsi="仿宋" w:eastAsia="仿宋" w:cs="仿宋"/>
          <w:color w:val="auto"/>
          <w:spacing w:val="-3"/>
          <w:sz w:val="24"/>
          <w:szCs w:val="24"/>
          <w:highlight w:val="none"/>
        </w:rPr>
        <w:t>采购代理机构可在报价有效期内要求供应商延长有效期，要求与答复均以书面通知为准并作为磋商文件和响应文件的组成部分；供应商可以拒绝上述要求，拒绝延长响应文件</w:t>
      </w:r>
      <w:r>
        <w:rPr>
          <w:rFonts w:ascii="仿宋" w:hAnsi="仿宋" w:eastAsia="仿宋" w:cs="仿宋"/>
          <w:color w:val="auto"/>
          <w:spacing w:val="-1"/>
          <w:sz w:val="24"/>
          <w:szCs w:val="24"/>
          <w:highlight w:val="none"/>
        </w:rPr>
        <w:t>有效期的，其响应失效；同意上述要求的，既不能要求</w:t>
      </w:r>
      <w:r>
        <w:rPr>
          <w:rFonts w:ascii="仿宋" w:hAnsi="仿宋" w:eastAsia="仿宋" w:cs="仿宋"/>
          <w:color w:val="auto"/>
          <w:spacing w:val="-2"/>
          <w:sz w:val="24"/>
          <w:szCs w:val="24"/>
          <w:highlight w:val="none"/>
        </w:rPr>
        <w:t>也不允许其修改响应文件。</w:t>
      </w:r>
    </w:p>
    <w:p w14:paraId="18B1126D">
      <w:pPr>
        <w:spacing w:before="277" w:line="222" w:lineRule="auto"/>
        <w:ind w:left="464"/>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4.5 参与采购活动费用</w:t>
      </w:r>
    </w:p>
    <w:p w14:paraId="3AF37523">
      <w:pPr>
        <w:spacing w:before="176" w:line="221" w:lineRule="auto"/>
        <w:ind w:left="48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供应商应自行承担其准备和参加采购活动发生的所有费用。</w:t>
      </w:r>
    </w:p>
    <w:p w14:paraId="3CEC1FA8">
      <w:pPr>
        <w:spacing w:before="247" w:line="224" w:lineRule="auto"/>
        <w:ind w:left="531"/>
        <w:outlineLvl w:val="2"/>
        <w:rPr>
          <w:rFonts w:ascii="楷体" w:hAnsi="楷体" w:eastAsia="楷体" w:cs="楷体"/>
          <w:color w:val="auto"/>
          <w:sz w:val="28"/>
          <w:szCs w:val="28"/>
          <w:highlight w:val="none"/>
        </w:rPr>
      </w:pPr>
      <w:bookmarkStart w:id="9" w:name="bookmark11"/>
      <w:bookmarkEnd w:id="9"/>
      <w:r>
        <w:rPr>
          <w:rFonts w:ascii="楷体" w:hAnsi="楷体" w:eastAsia="楷体" w:cs="楷体"/>
          <w:color w:val="auto"/>
          <w:spacing w:val="-2"/>
          <w:sz w:val="28"/>
          <w:szCs w:val="28"/>
          <w:highlight w:val="none"/>
        </w:rPr>
        <w:t>5.踏勘现场</w:t>
      </w:r>
    </w:p>
    <w:p w14:paraId="633C27F2">
      <w:pPr>
        <w:spacing w:before="218" w:line="222" w:lineRule="auto"/>
        <w:jc w:val="right"/>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5.1 供应商须知前附表规定组织踏勘现场的，采购人</w:t>
      </w:r>
      <w:r>
        <w:rPr>
          <w:rFonts w:ascii="仿宋" w:hAnsi="仿宋" w:eastAsia="仿宋" w:cs="仿宋"/>
          <w:color w:val="auto"/>
          <w:spacing w:val="-3"/>
          <w:sz w:val="24"/>
          <w:szCs w:val="24"/>
          <w:highlight w:val="none"/>
        </w:rPr>
        <w:t>必须按照规定时间、地点组织</w:t>
      </w:r>
    </w:p>
    <w:p w14:paraId="4EC5AF40">
      <w:pPr>
        <w:spacing w:line="222" w:lineRule="auto"/>
        <w:rPr>
          <w:rFonts w:ascii="仿宋" w:hAnsi="仿宋" w:eastAsia="仿宋" w:cs="仿宋"/>
          <w:color w:val="auto"/>
          <w:sz w:val="24"/>
          <w:szCs w:val="24"/>
          <w:highlight w:val="none"/>
        </w:rPr>
        <w:sectPr>
          <w:footerReference r:id="rId11" w:type="default"/>
          <w:pgSz w:w="11906" w:h="16840"/>
          <w:pgMar w:top="1431" w:right="1415" w:bottom="1073" w:left="1455" w:header="0" w:footer="827" w:gutter="0"/>
          <w:pgNumType w:fmt="decimal"/>
          <w:cols w:space="720" w:num="1"/>
        </w:sectPr>
      </w:pPr>
    </w:p>
    <w:p w14:paraId="4411B2D2">
      <w:pPr>
        <w:spacing w:before="169" w:line="327" w:lineRule="auto"/>
        <w:ind w:right="19" w:firstLine="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供应商踏勘项目现场，以便供应商获取有关编制响应文件和签署合同所涉及现场的资</w:t>
      </w:r>
      <w:r>
        <w:rPr>
          <w:rFonts w:ascii="仿宋" w:hAnsi="仿宋" w:eastAsia="仿宋" w:cs="仿宋"/>
          <w:color w:val="auto"/>
          <w:spacing w:val="-3"/>
          <w:sz w:val="24"/>
          <w:szCs w:val="24"/>
          <w:highlight w:val="none"/>
        </w:rPr>
        <w:t>料。供应商承担踏勘现场所发生的自身费用。</w:t>
      </w:r>
    </w:p>
    <w:p w14:paraId="6AC7646A">
      <w:pPr>
        <w:spacing w:before="78" w:line="255" w:lineRule="auto"/>
        <w:ind w:right="6" w:firstLine="470"/>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5.2 采购人向供应商提供的有关现场的资料和</w:t>
      </w:r>
      <w:r>
        <w:rPr>
          <w:rFonts w:ascii="仿宋" w:hAnsi="仿宋" w:eastAsia="仿宋" w:cs="仿宋"/>
          <w:color w:val="auto"/>
          <w:spacing w:val="-3"/>
          <w:sz w:val="24"/>
          <w:szCs w:val="24"/>
          <w:highlight w:val="none"/>
        </w:rPr>
        <w:t>数据，是采购人现有的能使供应商利用的资料，采购人对供应商由此而做出的推论、理解和结论不负责任。</w:t>
      </w:r>
    </w:p>
    <w:p w14:paraId="5ADCBD02">
      <w:pPr>
        <w:spacing w:before="274" w:line="302" w:lineRule="auto"/>
        <w:ind w:left="8" w:right="6" w:firstLine="462"/>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5.3 供应商经过采购人允许，可以进入项目现</w:t>
      </w:r>
      <w:r>
        <w:rPr>
          <w:rFonts w:ascii="仿宋" w:hAnsi="仿宋" w:eastAsia="仿宋" w:cs="仿宋"/>
          <w:color w:val="auto"/>
          <w:spacing w:val="-3"/>
          <w:sz w:val="24"/>
          <w:szCs w:val="24"/>
          <w:highlight w:val="none"/>
        </w:rPr>
        <w:t>场踏勘，但不得因此使采购人承担有关责任和蒙受损失。除采购人原因外，供应商应对踏勘现场而造成的死亡、人身伤害、财产损失、损害以及其他任何损失、损害和引起的费用和开支承担责任。</w:t>
      </w:r>
    </w:p>
    <w:p w14:paraId="11C94C99">
      <w:pPr>
        <w:spacing w:before="252" w:line="228" w:lineRule="auto"/>
        <w:ind w:left="539"/>
        <w:outlineLvl w:val="2"/>
        <w:rPr>
          <w:rFonts w:ascii="楷体" w:hAnsi="楷体" w:eastAsia="楷体" w:cs="楷体"/>
          <w:color w:val="auto"/>
          <w:sz w:val="28"/>
          <w:szCs w:val="28"/>
          <w:highlight w:val="none"/>
        </w:rPr>
      </w:pPr>
      <w:bookmarkStart w:id="10" w:name="bookmark12"/>
      <w:bookmarkEnd w:id="10"/>
      <w:r>
        <w:rPr>
          <w:rFonts w:ascii="楷体" w:hAnsi="楷体" w:eastAsia="楷体" w:cs="楷体"/>
          <w:color w:val="auto"/>
          <w:spacing w:val="-4"/>
          <w:sz w:val="28"/>
          <w:szCs w:val="28"/>
          <w:highlight w:val="none"/>
        </w:rPr>
        <w:t>6.询问</w:t>
      </w:r>
    </w:p>
    <w:p w14:paraId="0AF0B8D6">
      <w:pPr>
        <w:spacing w:before="238" w:line="255" w:lineRule="auto"/>
        <w:ind w:left="15" w:right="9" w:firstLine="450"/>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6.1 供应商对竞争性磋商活动事项有疑问的，可以向</w:t>
      </w:r>
      <w:r>
        <w:rPr>
          <w:rFonts w:ascii="仿宋" w:hAnsi="仿宋" w:eastAsia="仿宋" w:cs="仿宋"/>
          <w:color w:val="auto"/>
          <w:spacing w:val="-3"/>
          <w:sz w:val="24"/>
          <w:szCs w:val="24"/>
          <w:highlight w:val="none"/>
        </w:rPr>
        <w:t>采购代理机构提出询问；采购代理机构应当及时作出答复，但答复的内容不得涉及商业秘密。</w:t>
      </w:r>
    </w:p>
    <w:p w14:paraId="37681ED0">
      <w:pPr>
        <w:spacing w:before="234" w:line="222" w:lineRule="auto"/>
        <w:ind w:left="465"/>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6.2 询问及答复应当采取书面形式。</w:t>
      </w:r>
    </w:p>
    <w:p w14:paraId="0312A024">
      <w:pPr>
        <w:spacing w:before="249" w:line="227" w:lineRule="auto"/>
        <w:ind w:left="548"/>
        <w:outlineLvl w:val="2"/>
        <w:rPr>
          <w:rFonts w:ascii="楷体" w:hAnsi="楷体" w:eastAsia="楷体" w:cs="楷体"/>
          <w:color w:val="auto"/>
          <w:sz w:val="28"/>
          <w:szCs w:val="28"/>
          <w:highlight w:val="none"/>
        </w:rPr>
      </w:pPr>
      <w:bookmarkStart w:id="11" w:name="bookmark13"/>
      <w:bookmarkEnd w:id="11"/>
      <w:r>
        <w:rPr>
          <w:rFonts w:ascii="楷体" w:hAnsi="楷体" w:eastAsia="楷体" w:cs="楷体"/>
          <w:color w:val="auto"/>
          <w:spacing w:val="-5"/>
          <w:sz w:val="28"/>
          <w:szCs w:val="28"/>
          <w:highlight w:val="none"/>
        </w:rPr>
        <w:t>7.偏离</w:t>
      </w:r>
    </w:p>
    <w:p w14:paraId="1FC69190">
      <w:pPr>
        <w:spacing w:before="244" w:line="330" w:lineRule="auto"/>
        <w:ind w:left="15" w:right="4" w:firstLine="47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采购人允许响应文件偏离磋商文件某些非实质性要求的，偏离应当符合磋商文件规</w:t>
      </w:r>
      <w:r>
        <w:rPr>
          <w:rFonts w:ascii="仿宋" w:hAnsi="仿宋" w:eastAsia="仿宋" w:cs="仿宋"/>
          <w:color w:val="auto"/>
          <w:spacing w:val="-7"/>
          <w:sz w:val="24"/>
          <w:szCs w:val="24"/>
          <w:highlight w:val="none"/>
        </w:rPr>
        <w:t>定的偏离范围和幅度。</w:t>
      </w:r>
    </w:p>
    <w:p w14:paraId="76C34B1C">
      <w:pPr>
        <w:spacing w:before="109" w:line="227" w:lineRule="auto"/>
        <w:ind w:left="537"/>
        <w:outlineLvl w:val="2"/>
        <w:rPr>
          <w:rFonts w:ascii="楷体" w:hAnsi="楷体" w:eastAsia="楷体" w:cs="楷体"/>
          <w:color w:val="auto"/>
          <w:sz w:val="28"/>
          <w:szCs w:val="28"/>
          <w:highlight w:val="none"/>
        </w:rPr>
      </w:pPr>
      <w:bookmarkStart w:id="12" w:name="bookmark14"/>
      <w:bookmarkEnd w:id="12"/>
      <w:r>
        <w:rPr>
          <w:rFonts w:ascii="楷体" w:hAnsi="楷体" w:eastAsia="楷体" w:cs="楷体"/>
          <w:color w:val="auto"/>
          <w:spacing w:val="-4"/>
          <w:sz w:val="28"/>
          <w:szCs w:val="28"/>
          <w:highlight w:val="none"/>
        </w:rPr>
        <w:t>8.履约担保</w:t>
      </w:r>
    </w:p>
    <w:p w14:paraId="1BC4EA7E">
      <w:pPr>
        <w:spacing w:before="242" w:line="307" w:lineRule="auto"/>
        <w:ind w:left="7" w:right="2" w:firstLine="452"/>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8.1 在签订合同前，成交供应商应按照有关规定或者事先经过采购人书面认可的履</w:t>
      </w:r>
      <w:r>
        <w:rPr>
          <w:rFonts w:ascii="仿宋" w:hAnsi="仿宋" w:eastAsia="仿宋" w:cs="仿宋"/>
          <w:color w:val="auto"/>
          <w:spacing w:val="-3"/>
          <w:sz w:val="24"/>
          <w:szCs w:val="24"/>
          <w:highlight w:val="none"/>
        </w:rPr>
        <w:t>约担保要求向采购人提交履约担保。除另有规定外，履约担保金额不超过成交合同金额</w:t>
      </w:r>
      <w:r>
        <w:rPr>
          <w:rFonts w:ascii="仿宋" w:hAnsi="仿宋" w:eastAsia="仿宋" w:cs="仿宋"/>
          <w:color w:val="auto"/>
          <w:spacing w:val="-12"/>
          <w:sz w:val="24"/>
          <w:szCs w:val="24"/>
          <w:highlight w:val="none"/>
        </w:rPr>
        <w:t>的 10%。</w:t>
      </w:r>
    </w:p>
    <w:p w14:paraId="2A6CA74E">
      <w:pPr>
        <w:spacing w:before="203" w:line="274" w:lineRule="auto"/>
        <w:ind w:left="7" w:right="11" w:firstLine="452"/>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8.2 成交供应商未按照要求提交履约担保的，视为放弃成交资</w:t>
      </w:r>
      <w:r>
        <w:rPr>
          <w:rFonts w:ascii="仿宋" w:hAnsi="仿宋" w:eastAsia="仿宋" w:cs="仿宋"/>
          <w:color w:val="auto"/>
          <w:spacing w:val="-3"/>
          <w:sz w:val="24"/>
          <w:szCs w:val="24"/>
          <w:highlight w:val="none"/>
        </w:rPr>
        <w:t>格，成交供应商应当</w:t>
      </w:r>
      <w:r>
        <w:rPr>
          <w:rFonts w:ascii="仿宋" w:hAnsi="仿宋" w:eastAsia="仿宋" w:cs="仿宋"/>
          <w:color w:val="auto"/>
          <w:spacing w:val="-4"/>
          <w:sz w:val="24"/>
          <w:szCs w:val="24"/>
          <w:highlight w:val="none"/>
        </w:rPr>
        <w:t>对采购人造成的损失给予赔偿。</w:t>
      </w:r>
    </w:p>
    <w:p w14:paraId="3C768CD8">
      <w:pPr>
        <w:spacing w:before="250" w:line="226" w:lineRule="auto"/>
        <w:ind w:left="523"/>
        <w:outlineLvl w:val="2"/>
        <w:rPr>
          <w:rFonts w:ascii="楷体" w:hAnsi="楷体" w:eastAsia="楷体" w:cs="楷体"/>
          <w:color w:val="auto"/>
          <w:sz w:val="28"/>
          <w:szCs w:val="28"/>
          <w:highlight w:val="none"/>
        </w:rPr>
      </w:pPr>
      <w:bookmarkStart w:id="13" w:name="bookmark16"/>
      <w:bookmarkEnd w:id="13"/>
      <w:bookmarkStart w:id="14" w:name="bookmark15"/>
      <w:bookmarkEnd w:id="14"/>
      <w:r>
        <w:rPr>
          <w:rFonts w:ascii="楷体" w:hAnsi="楷体" w:eastAsia="楷体" w:cs="楷体"/>
          <w:color w:val="auto"/>
          <w:spacing w:val="-2"/>
          <w:sz w:val="28"/>
          <w:szCs w:val="28"/>
          <w:highlight w:val="none"/>
        </w:rPr>
        <w:t>9.采购代理服务费</w:t>
      </w:r>
    </w:p>
    <w:p w14:paraId="73326352">
      <w:pPr>
        <w:spacing w:before="211" w:line="222" w:lineRule="auto"/>
        <w:ind w:left="487"/>
        <w:outlineLvl w:val="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见供应商须知前附表。</w:t>
      </w:r>
    </w:p>
    <w:p w14:paraId="4CED3EB1">
      <w:pPr>
        <w:spacing w:before="246" w:line="225" w:lineRule="auto"/>
        <w:ind w:left="588"/>
        <w:outlineLvl w:val="2"/>
        <w:rPr>
          <w:rFonts w:ascii="楷体" w:hAnsi="楷体" w:eastAsia="楷体" w:cs="楷体"/>
          <w:color w:val="auto"/>
          <w:sz w:val="28"/>
          <w:szCs w:val="28"/>
          <w:highlight w:val="none"/>
        </w:rPr>
      </w:pPr>
      <w:bookmarkStart w:id="15" w:name="bookmark17"/>
      <w:bookmarkEnd w:id="15"/>
      <w:r>
        <w:rPr>
          <w:rFonts w:ascii="楷体" w:hAnsi="楷体" w:eastAsia="楷体" w:cs="楷体"/>
          <w:color w:val="auto"/>
          <w:spacing w:val="-9"/>
          <w:sz w:val="28"/>
          <w:szCs w:val="28"/>
          <w:highlight w:val="none"/>
        </w:rPr>
        <w:t>10.磋商文件</w:t>
      </w:r>
    </w:p>
    <w:p w14:paraId="05F5FCEC">
      <w:pPr>
        <w:spacing w:before="217" w:line="222" w:lineRule="auto"/>
        <w:ind w:left="512"/>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10.1</w:t>
      </w:r>
      <w:r>
        <w:rPr>
          <w:rFonts w:ascii="仿宋" w:hAnsi="仿宋" w:eastAsia="仿宋" w:cs="仿宋"/>
          <w:color w:val="auto"/>
          <w:spacing w:val="-22"/>
          <w:sz w:val="24"/>
          <w:szCs w:val="24"/>
          <w:highlight w:val="none"/>
        </w:rPr>
        <w:t xml:space="preserve"> </w:t>
      </w:r>
      <w:r>
        <w:rPr>
          <w:rFonts w:ascii="仿宋" w:hAnsi="仿宋" w:eastAsia="仿宋" w:cs="仿宋"/>
          <w:color w:val="auto"/>
          <w:spacing w:val="-9"/>
          <w:sz w:val="24"/>
          <w:szCs w:val="24"/>
          <w:highlight w:val="none"/>
        </w:rPr>
        <w:t>磋商文件的组成</w:t>
      </w:r>
    </w:p>
    <w:p w14:paraId="313B98D7">
      <w:pPr>
        <w:spacing w:before="212" w:line="256" w:lineRule="auto"/>
        <w:ind w:firstLine="50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10.1.1 磋商文件是用以阐明工程施工、磋商程序和合同格式的规范性文件</w:t>
      </w:r>
      <w:r>
        <w:rPr>
          <w:rFonts w:ascii="仿宋" w:hAnsi="仿宋" w:eastAsia="仿宋" w:cs="仿宋"/>
          <w:color w:val="auto"/>
          <w:spacing w:val="-7"/>
          <w:sz w:val="24"/>
          <w:szCs w:val="24"/>
          <w:highlight w:val="none"/>
        </w:rPr>
        <w:t>。磋商文</w:t>
      </w:r>
      <w:r>
        <w:rPr>
          <w:rFonts w:ascii="仿宋" w:hAnsi="仿宋" w:eastAsia="仿宋" w:cs="仿宋"/>
          <w:color w:val="auto"/>
          <w:spacing w:val="-5"/>
          <w:sz w:val="24"/>
          <w:szCs w:val="24"/>
          <w:highlight w:val="none"/>
        </w:rPr>
        <w:t>件主要由以下部分组成：</w:t>
      </w:r>
    </w:p>
    <w:p w14:paraId="7E0F18C2">
      <w:pPr>
        <w:spacing w:before="231" w:line="222" w:lineRule="auto"/>
        <w:ind w:left="512"/>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第一章</w:t>
      </w:r>
      <w:r>
        <w:rPr>
          <w:rFonts w:ascii="仿宋" w:hAnsi="仿宋" w:eastAsia="仿宋" w:cs="仿宋"/>
          <w:color w:val="auto"/>
          <w:spacing w:val="44"/>
          <w:sz w:val="24"/>
          <w:szCs w:val="24"/>
          <w:highlight w:val="none"/>
        </w:rPr>
        <w:t xml:space="preserve"> </w:t>
      </w:r>
      <w:r>
        <w:rPr>
          <w:rFonts w:ascii="仿宋" w:hAnsi="仿宋" w:eastAsia="仿宋" w:cs="仿宋"/>
          <w:color w:val="auto"/>
          <w:spacing w:val="-13"/>
          <w:sz w:val="24"/>
          <w:szCs w:val="24"/>
          <w:highlight w:val="none"/>
        </w:rPr>
        <w:t>采购公告</w:t>
      </w:r>
    </w:p>
    <w:p w14:paraId="3B9544D4">
      <w:pPr>
        <w:spacing w:before="179" w:line="222" w:lineRule="auto"/>
        <w:ind w:left="512"/>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第二章</w:t>
      </w:r>
      <w:r>
        <w:rPr>
          <w:rFonts w:ascii="仿宋" w:hAnsi="仿宋" w:eastAsia="仿宋" w:cs="仿宋"/>
          <w:color w:val="auto"/>
          <w:spacing w:val="42"/>
          <w:sz w:val="24"/>
          <w:szCs w:val="24"/>
          <w:highlight w:val="none"/>
        </w:rPr>
        <w:t xml:space="preserve"> </w:t>
      </w:r>
      <w:r>
        <w:rPr>
          <w:rFonts w:ascii="仿宋" w:hAnsi="仿宋" w:eastAsia="仿宋" w:cs="仿宋"/>
          <w:color w:val="auto"/>
          <w:spacing w:val="-12"/>
          <w:sz w:val="24"/>
          <w:szCs w:val="24"/>
          <w:highlight w:val="none"/>
        </w:rPr>
        <w:t>供应商须知</w:t>
      </w:r>
    </w:p>
    <w:p w14:paraId="5646D433">
      <w:pPr>
        <w:spacing w:line="222" w:lineRule="auto"/>
        <w:rPr>
          <w:rFonts w:ascii="仿宋" w:hAnsi="仿宋" w:eastAsia="仿宋" w:cs="仿宋"/>
          <w:color w:val="auto"/>
          <w:sz w:val="24"/>
          <w:szCs w:val="24"/>
          <w:highlight w:val="none"/>
        </w:rPr>
        <w:sectPr>
          <w:footerReference r:id="rId12" w:type="default"/>
          <w:pgSz w:w="11906" w:h="16840"/>
          <w:pgMar w:top="1431" w:right="1415" w:bottom="1073" w:left="1462" w:header="0" w:footer="827" w:gutter="0"/>
          <w:pgNumType w:fmt="decimal"/>
          <w:cols w:space="720" w:num="1"/>
        </w:sectPr>
      </w:pPr>
    </w:p>
    <w:p w14:paraId="35C2497C">
      <w:pPr>
        <w:spacing w:before="171" w:line="222" w:lineRule="auto"/>
        <w:ind w:left="512"/>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第三章</w:t>
      </w:r>
      <w:r>
        <w:rPr>
          <w:rFonts w:ascii="仿宋" w:hAnsi="仿宋" w:eastAsia="仿宋" w:cs="仿宋"/>
          <w:color w:val="auto"/>
          <w:spacing w:val="46"/>
          <w:sz w:val="24"/>
          <w:szCs w:val="24"/>
          <w:highlight w:val="none"/>
        </w:rPr>
        <w:t xml:space="preserve"> </w:t>
      </w:r>
      <w:r>
        <w:rPr>
          <w:rFonts w:ascii="仿宋" w:hAnsi="仿宋" w:eastAsia="仿宋" w:cs="仿宋"/>
          <w:color w:val="auto"/>
          <w:spacing w:val="-14"/>
          <w:sz w:val="24"/>
          <w:szCs w:val="24"/>
          <w:highlight w:val="none"/>
        </w:rPr>
        <w:t>采购需求</w:t>
      </w:r>
    </w:p>
    <w:p w14:paraId="36208A20">
      <w:pPr>
        <w:spacing w:before="138" w:line="222" w:lineRule="auto"/>
        <w:ind w:left="512"/>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第四章</w:t>
      </w:r>
      <w:r>
        <w:rPr>
          <w:rFonts w:ascii="仿宋" w:hAnsi="仿宋" w:eastAsia="仿宋" w:cs="仿宋"/>
          <w:color w:val="auto"/>
          <w:spacing w:val="40"/>
          <w:sz w:val="24"/>
          <w:szCs w:val="24"/>
          <w:highlight w:val="none"/>
        </w:rPr>
        <w:t xml:space="preserve"> </w:t>
      </w:r>
      <w:r>
        <w:rPr>
          <w:rFonts w:ascii="仿宋" w:hAnsi="仿宋" w:eastAsia="仿宋" w:cs="仿宋"/>
          <w:color w:val="auto"/>
          <w:spacing w:val="-13"/>
          <w:sz w:val="24"/>
          <w:szCs w:val="24"/>
          <w:highlight w:val="none"/>
        </w:rPr>
        <w:t>评审办法</w:t>
      </w:r>
    </w:p>
    <w:p w14:paraId="2F71B2DB">
      <w:pPr>
        <w:spacing w:before="215" w:line="222" w:lineRule="auto"/>
        <w:ind w:left="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第五章 签订合同、合同主要条款</w:t>
      </w:r>
    </w:p>
    <w:p w14:paraId="0D88F1B9">
      <w:pPr>
        <w:spacing w:before="141" w:line="222" w:lineRule="auto"/>
        <w:ind w:left="512"/>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第六章</w:t>
      </w:r>
      <w:r>
        <w:rPr>
          <w:rFonts w:ascii="仿宋" w:hAnsi="仿宋" w:eastAsia="仿宋" w:cs="仿宋"/>
          <w:color w:val="auto"/>
          <w:spacing w:val="65"/>
          <w:sz w:val="24"/>
          <w:szCs w:val="24"/>
          <w:highlight w:val="none"/>
        </w:rPr>
        <w:t xml:space="preserve"> </w:t>
      </w:r>
      <w:r>
        <w:rPr>
          <w:rFonts w:ascii="仿宋" w:hAnsi="仿宋" w:eastAsia="仿宋" w:cs="仿宋"/>
          <w:color w:val="auto"/>
          <w:spacing w:val="-13"/>
          <w:sz w:val="24"/>
          <w:szCs w:val="24"/>
          <w:highlight w:val="none"/>
        </w:rPr>
        <w:t>响应文件格式</w:t>
      </w:r>
    </w:p>
    <w:p w14:paraId="636AA0FA">
      <w:pPr>
        <w:spacing w:before="211" w:line="258" w:lineRule="auto"/>
        <w:ind w:left="8" w:right="2" w:firstLine="501"/>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10.1.2 根据本章第 10.2 款对磋商文件所作的澄清和修改，构成磋商文件的组成部</w:t>
      </w:r>
      <w:r>
        <w:rPr>
          <w:rFonts w:ascii="仿宋" w:hAnsi="仿宋" w:eastAsia="仿宋" w:cs="仿宋"/>
          <w:color w:val="auto"/>
          <w:spacing w:val="-10"/>
          <w:sz w:val="24"/>
          <w:szCs w:val="24"/>
          <w:highlight w:val="none"/>
        </w:rPr>
        <w:t>分。</w:t>
      </w:r>
    </w:p>
    <w:p w14:paraId="22E086CA">
      <w:pPr>
        <w:spacing w:before="264" w:line="255" w:lineRule="auto"/>
        <w:ind w:left="15" w:right="24" w:firstLine="495"/>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10.1.3 除非有特殊要求，磋商文件不单独提供项目所在地的自然环境、气候条件、</w:t>
      </w:r>
      <w:r>
        <w:rPr>
          <w:rFonts w:ascii="仿宋" w:hAnsi="仿宋" w:eastAsia="仿宋" w:cs="仿宋"/>
          <w:color w:val="auto"/>
          <w:spacing w:val="-3"/>
          <w:sz w:val="24"/>
          <w:szCs w:val="24"/>
          <w:highlight w:val="none"/>
        </w:rPr>
        <w:t>公用设施等情况，供应商被视为熟悉上述与履行合同有关的一切情况。</w:t>
      </w:r>
    </w:p>
    <w:p w14:paraId="59E39033">
      <w:pPr>
        <w:spacing w:before="230" w:line="222" w:lineRule="auto"/>
        <w:ind w:left="512"/>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10.2 磋商文件的澄清和修改</w:t>
      </w:r>
    </w:p>
    <w:p w14:paraId="5BD93C9D">
      <w:pPr>
        <w:spacing w:before="174" w:line="221" w:lineRule="auto"/>
        <w:ind w:left="48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磋商文件的澄清和修改及确认，详见供应商须知前附表。</w:t>
      </w:r>
    </w:p>
    <w:p w14:paraId="2238FE59">
      <w:pPr>
        <w:spacing w:before="109" w:line="219" w:lineRule="auto"/>
        <w:jc w:val="right"/>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磋商文件的澄清或者修改在同一内容的表述上不</w:t>
      </w:r>
      <w:r>
        <w:rPr>
          <w:rFonts w:ascii="仿宋" w:hAnsi="仿宋" w:eastAsia="仿宋" w:cs="仿宋"/>
          <w:color w:val="auto"/>
          <w:spacing w:val="-4"/>
          <w:sz w:val="24"/>
          <w:szCs w:val="24"/>
          <w:highlight w:val="none"/>
        </w:rPr>
        <w:t>一致时，以最后发出的公告为准。</w:t>
      </w:r>
    </w:p>
    <w:p w14:paraId="75ABCFDE">
      <w:pPr>
        <w:spacing w:before="262" w:line="228" w:lineRule="auto"/>
        <w:ind w:left="588"/>
        <w:outlineLvl w:val="2"/>
        <w:rPr>
          <w:rFonts w:ascii="楷体" w:hAnsi="楷体" w:eastAsia="楷体" w:cs="楷体"/>
          <w:color w:val="auto"/>
          <w:sz w:val="28"/>
          <w:szCs w:val="28"/>
          <w:highlight w:val="none"/>
        </w:rPr>
      </w:pPr>
      <w:bookmarkStart w:id="16" w:name="bookmark18"/>
      <w:bookmarkEnd w:id="16"/>
      <w:r>
        <w:rPr>
          <w:rFonts w:ascii="楷体" w:hAnsi="楷体" w:eastAsia="楷体" w:cs="楷体"/>
          <w:color w:val="auto"/>
          <w:spacing w:val="-7"/>
          <w:sz w:val="28"/>
          <w:szCs w:val="28"/>
          <w:highlight w:val="none"/>
        </w:rPr>
        <w:t>11.响应文件的组成</w:t>
      </w:r>
    </w:p>
    <w:p w14:paraId="2A04034D">
      <w:pPr>
        <w:spacing w:before="236" w:line="255" w:lineRule="auto"/>
        <w:ind w:left="14" w:right="2" w:firstLine="49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11.1 供应商应按照磋商文件的要求以及格式编制响应文件，</w:t>
      </w:r>
      <w:r>
        <w:rPr>
          <w:rFonts w:ascii="仿宋" w:hAnsi="仿宋" w:eastAsia="仿宋" w:cs="仿宋"/>
          <w:color w:val="auto"/>
          <w:spacing w:val="-7"/>
          <w:sz w:val="24"/>
          <w:szCs w:val="24"/>
          <w:highlight w:val="none"/>
        </w:rPr>
        <w:t>并保证其真实性、准确</w:t>
      </w:r>
      <w:r>
        <w:rPr>
          <w:rFonts w:ascii="仿宋" w:hAnsi="仿宋" w:eastAsia="仿宋" w:cs="仿宋"/>
          <w:color w:val="auto"/>
          <w:spacing w:val="-3"/>
          <w:sz w:val="24"/>
          <w:szCs w:val="24"/>
          <w:highlight w:val="none"/>
        </w:rPr>
        <w:t>性以及完整性，并按照磋商文件要求提交全部资料并做出实质性响应。</w:t>
      </w:r>
    </w:p>
    <w:p w14:paraId="1E5F355A">
      <w:pPr>
        <w:spacing w:before="233" w:line="221" w:lineRule="auto"/>
        <w:ind w:left="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11.2 响应文件的组成：详见第六章 响应文件格式。</w:t>
      </w:r>
    </w:p>
    <w:p w14:paraId="03907141">
      <w:pPr>
        <w:spacing w:before="263" w:line="230" w:lineRule="auto"/>
        <w:ind w:left="588"/>
        <w:outlineLvl w:val="2"/>
        <w:rPr>
          <w:rFonts w:ascii="楷体" w:hAnsi="楷体" w:eastAsia="楷体" w:cs="楷体"/>
          <w:color w:val="auto"/>
          <w:sz w:val="28"/>
          <w:szCs w:val="28"/>
          <w:highlight w:val="none"/>
        </w:rPr>
      </w:pPr>
      <w:bookmarkStart w:id="17" w:name="bookmark19"/>
      <w:bookmarkEnd w:id="17"/>
      <w:r>
        <w:rPr>
          <w:rFonts w:ascii="楷体" w:hAnsi="楷体" w:eastAsia="楷体" w:cs="楷体"/>
          <w:color w:val="auto"/>
          <w:spacing w:val="-9"/>
          <w:sz w:val="28"/>
          <w:szCs w:val="28"/>
          <w:highlight w:val="none"/>
        </w:rPr>
        <w:t>12.响应报价</w:t>
      </w:r>
    </w:p>
    <w:p w14:paraId="1C8A177E">
      <w:pPr>
        <w:spacing w:before="193" w:line="222" w:lineRule="auto"/>
        <w:ind w:left="512"/>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12.1</w:t>
      </w:r>
      <w:r>
        <w:rPr>
          <w:rFonts w:ascii="仿宋" w:hAnsi="仿宋" w:eastAsia="仿宋" w:cs="仿宋"/>
          <w:color w:val="auto"/>
          <w:spacing w:val="-26"/>
          <w:sz w:val="24"/>
          <w:szCs w:val="24"/>
          <w:highlight w:val="none"/>
        </w:rPr>
        <w:t xml:space="preserve"> </w:t>
      </w:r>
      <w:r>
        <w:rPr>
          <w:rFonts w:ascii="仿宋" w:hAnsi="仿宋" w:eastAsia="仿宋" w:cs="仿宋"/>
          <w:color w:val="auto"/>
          <w:spacing w:val="-11"/>
          <w:sz w:val="24"/>
          <w:szCs w:val="24"/>
          <w:highlight w:val="none"/>
        </w:rPr>
        <w:t>报价依据</w:t>
      </w:r>
    </w:p>
    <w:p w14:paraId="15833C42">
      <w:pPr>
        <w:spacing w:before="213" w:line="253" w:lineRule="auto"/>
        <w:ind w:left="15" w:right="2" w:firstLine="495"/>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12.1.1 现行《建设工程工程量清单计价规范》、现行当地价目表、现行《</w:t>
      </w:r>
      <w:r>
        <w:rPr>
          <w:rFonts w:ascii="仿宋" w:hAnsi="仿宋" w:eastAsia="仿宋" w:cs="仿宋"/>
          <w:color w:val="auto"/>
          <w:spacing w:val="-7"/>
          <w:sz w:val="24"/>
          <w:szCs w:val="24"/>
          <w:highlight w:val="none"/>
        </w:rPr>
        <w:t>当地工程结算资料汇编》。</w:t>
      </w:r>
    </w:p>
    <w:p w14:paraId="7379E871">
      <w:pPr>
        <w:spacing w:before="275" w:line="256" w:lineRule="auto"/>
        <w:ind w:left="43" w:right="14" w:firstLine="46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12.1.2</w:t>
      </w:r>
      <w:r>
        <w:rPr>
          <w:rFonts w:ascii="仿宋" w:hAnsi="仿宋" w:eastAsia="仿宋" w:cs="仿宋"/>
          <w:color w:val="auto"/>
          <w:spacing w:val="98"/>
          <w:sz w:val="24"/>
          <w:szCs w:val="24"/>
          <w:highlight w:val="none"/>
        </w:rPr>
        <w:t xml:space="preserve"> </w:t>
      </w:r>
      <w:r>
        <w:rPr>
          <w:rFonts w:ascii="仿宋" w:hAnsi="仿宋" w:eastAsia="仿宋" w:cs="仿宋"/>
          <w:color w:val="auto"/>
          <w:spacing w:val="-3"/>
          <w:sz w:val="24"/>
          <w:szCs w:val="24"/>
          <w:highlight w:val="none"/>
        </w:rPr>
        <w:t>当地建设行政主管部门近期颁发执行的税金文件及工程造价部门近期发布</w:t>
      </w:r>
      <w:r>
        <w:rPr>
          <w:rFonts w:ascii="仿宋" w:hAnsi="仿宋" w:eastAsia="仿宋" w:cs="仿宋"/>
          <w:color w:val="auto"/>
          <w:spacing w:val="-12"/>
          <w:sz w:val="24"/>
          <w:szCs w:val="24"/>
          <w:highlight w:val="none"/>
        </w:rPr>
        <w:t>的有关规定。</w:t>
      </w:r>
    </w:p>
    <w:p w14:paraId="598E465A">
      <w:pPr>
        <w:spacing w:before="263" w:line="282" w:lineRule="auto"/>
        <w:ind w:firstLine="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12.1.3 供应商应按照采购人提供的竞争性磋商文件、设计方案、技术资料</w:t>
      </w:r>
      <w:r>
        <w:rPr>
          <w:rFonts w:ascii="仿宋" w:hAnsi="仿宋" w:eastAsia="仿宋" w:cs="仿宋"/>
          <w:color w:val="auto"/>
          <w:spacing w:val="-7"/>
          <w:sz w:val="24"/>
          <w:szCs w:val="24"/>
          <w:highlight w:val="none"/>
        </w:rPr>
        <w:t>等，根据</w:t>
      </w:r>
      <w:r>
        <w:rPr>
          <w:rFonts w:ascii="仿宋" w:hAnsi="仿宋" w:eastAsia="仿宋" w:cs="仿宋"/>
          <w:color w:val="auto"/>
          <w:spacing w:val="-3"/>
          <w:sz w:val="24"/>
          <w:szCs w:val="24"/>
          <w:highlight w:val="none"/>
        </w:rPr>
        <w:t>施工现场实际情况，结合供应商自身技术、管理水平、经营状况、机械配备，按照企业定额和市场价格信息及有关规定进行报价。</w:t>
      </w:r>
    </w:p>
    <w:p w14:paraId="2C7013A1">
      <w:pPr>
        <w:spacing w:before="267" w:line="222" w:lineRule="auto"/>
        <w:ind w:left="512"/>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12.2</w:t>
      </w:r>
      <w:r>
        <w:rPr>
          <w:rFonts w:ascii="仿宋" w:hAnsi="仿宋" w:eastAsia="仿宋" w:cs="仿宋"/>
          <w:color w:val="auto"/>
          <w:spacing w:val="-26"/>
          <w:sz w:val="24"/>
          <w:szCs w:val="24"/>
          <w:highlight w:val="none"/>
        </w:rPr>
        <w:t xml:space="preserve"> </w:t>
      </w:r>
      <w:r>
        <w:rPr>
          <w:rFonts w:ascii="仿宋" w:hAnsi="仿宋" w:eastAsia="仿宋" w:cs="仿宋"/>
          <w:color w:val="auto"/>
          <w:spacing w:val="-11"/>
          <w:sz w:val="24"/>
          <w:szCs w:val="24"/>
          <w:highlight w:val="none"/>
        </w:rPr>
        <w:t>报价说明</w:t>
      </w:r>
    </w:p>
    <w:p w14:paraId="4BEC3BC7">
      <w:pPr>
        <w:spacing w:before="215" w:line="255" w:lineRule="auto"/>
        <w:ind w:left="7" w:right="2" w:firstLine="50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12.2.1 供应商应按照采购人提供的设计方案、技术资料以及谈判要求进行</w:t>
      </w:r>
      <w:r>
        <w:rPr>
          <w:rFonts w:ascii="仿宋" w:hAnsi="仿宋" w:eastAsia="仿宋" w:cs="仿宋"/>
          <w:color w:val="auto"/>
          <w:spacing w:val="-7"/>
          <w:sz w:val="24"/>
          <w:szCs w:val="24"/>
          <w:highlight w:val="none"/>
        </w:rPr>
        <w:t>报价，并</w:t>
      </w:r>
      <w:r>
        <w:rPr>
          <w:rFonts w:ascii="仿宋" w:hAnsi="仿宋" w:eastAsia="仿宋" w:cs="仿宋"/>
          <w:color w:val="auto"/>
          <w:spacing w:val="-4"/>
          <w:sz w:val="24"/>
          <w:szCs w:val="24"/>
          <w:highlight w:val="none"/>
        </w:rPr>
        <w:t>对所报综合单价、合价和总价负责。</w:t>
      </w:r>
    </w:p>
    <w:p w14:paraId="3F9C0C2C">
      <w:pPr>
        <w:spacing w:before="270" w:line="253" w:lineRule="auto"/>
        <w:ind w:left="22" w:right="2" w:firstLine="487"/>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12.2.2 综合单价应为完成工程量清单中一个规定计量单位项目所需的人工</w:t>
      </w:r>
      <w:r>
        <w:rPr>
          <w:rFonts w:ascii="仿宋" w:hAnsi="仿宋" w:eastAsia="仿宋" w:cs="仿宋"/>
          <w:color w:val="auto"/>
          <w:spacing w:val="-7"/>
          <w:sz w:val="24"/>
          <w:szCs w:val="24"/>
          <w:highlight w:val="none"/>
        </w:rPr>
        <w:t>费、材料</w:t>
      </w:r>
      <w:r>
        <w:rPr>
          <w:rFonts w:ascii="仿宋" w:hAnsi="仿宋" w:eastAsia="仿宋" w:cs="仿宋"/>
          <w:color w:val="auto"/>
          <w:spacing w:val="-3"/>
          <w:sz w:val="24"/>
          <w:szCs w:val="24"/>
          <w:highlight w:val="none"/>
        </w:rPr>
        <w:t>费、机械使用费、管理费和利润等各项费用</w:t>
      </w:r>
      <w:r>
        <w:rPr>
          <w:rFonts w:ascii="仿宋" w:hAnsi="仿宋" w:eastAsia="仿宋" w:cs="仿宋"/>
          <w:color w:val="auto"/>
          <w:spacing w:val="-4"/>
          <w:sz w:val="24"/>
          <w:szCs w:val="24"/>
          <w:highlight w:val="none"/>
        </w:rPr>
        <w:t>，并要考虑风险因素。如果报价中未列出，</w:t>
      </w:r>
    </w:p>
    <w:p w14:paraId="14323844">
      <w:pPr>
        <w:spacing w:line="253" w:lineRule="auto"/>
        <w:rPr>
          <w:rFonts w:ascii="仿宋" w:hAnsi="仿宋" w:eastAsia="仿宋" w:cs="仿宋"/>
          <w:color w:val="auto"/>
          <w:sz w:val="24"/>
          <w:szCs w:val="24"/>
          <w:highlight w:val="none"/>
        </w:rPr>
        <w:sectPr>
          <w:footerReference r:id="rId13" w:type="default"/>
          <w:pgSz w:w="11906" w:h="16840"/>
          <w:pgMar w:top="1431" w:right="1413" w:bottom="1017" w:left="1462" w:header="0" w:footer="848" w:gutter="0"/>
          <w:pgNumType w:fmt="decimal"/>
          <w:cols w:space="720" w:num="1"/>
        </w:sectPr>
      </w:pPr>
    </w:p>
    <w:p w14:paraId="22D4D0BA">
      <w:pPr>
        <w:spacing w:before="130" w:line="219" w:lineRule="auto"/>
        <w:ind w:left="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采购人将认为供应商不收取这方面费用，或在其他费用项目上已综合计算。</w:t>
      </w:r>
    </w:p>
    <w:p w14:paraId="2AA5C429">
      <w:pPr>
        <w:spacing w:before="220" w:line="286" w:lineRule="auto"/>
        <w:ind w:right="7" w:firstLine="512"/>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12.2.3 供应商应仔细分析、理解本竞争性磋商文件，结合谈判设计方案、技术规范、</w:t>
      </w:r>
      <w:r>
        <w:rPr>
          <w:rFonts w:ascii="仿宋" w:hAnsi="仿宋" w:eastAsia="仿宋" w:cs="仿宋"/>
          <w:color w:val="auto"/>
          <w:spacing w:val="-3"/>
          <w:sz w:val="24"/>
          <w:szCs w:val="24"/>
          <w:highlight w:val="none"/>
        </w:rPr>
        <w:t>验收标准、市场现状和市场价格波动等因素确定报价，并且不得违反有关法律法规的</w:t>
      </w:r>
      <w:r>
        <w:rPr>
          <w:rFonts w:ascii="仿宋" w:hAnsi="仿宋" w:eastAsia="仿宋" w:cs="仿宋"/>
          <w:color w:val="auto"/>
          <w:spacing w:val="2"/>
          <w:sz w:val="24"/>
          <w:szCs w:val="24"/>
          <w:highlight w:val="none"/>
        </w:rPr>
        <w:t xml:space="preserve"> </w:t>
      </w:r>
      <w:r>
        <w:rPr>
          <w:rFonts w:ascii="仿宋" w:hAnsi="仿宋" w:eastAsia="仿宋" w:cs="仿宋"/>
          <w:color w:val="auto"/>
          <w:spacing w:val="-8"/>
          <w:sz w:val="24"/>
          <w:szCs w:val="24"/>
          <w:highlight w:val="none"/>
        </w:rPr>
        <w:t>规定。</w:t>
      </w:r>
    </w:p>
    <w:p w14:paraId="152453AA">
      <w:pPr>
        <w:spacing w:before="283" w:line="256" w:lineRule="auto"/>
        <w:ind w:left="14" w:right="4" w:firstLine="49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12.2.4 竞争性磋商文件工程量清单中所提供的工作内容及工程量，供应商未经采购</w:t>
      </w:r>
      <w:r>
        <w:rPr>
          <w:rFonts w:ascii="仿宋" w:hAnsi="仿宋" w:eastAsia="仿宋" w:cs="仿宋"/>
          <w:color w:val="auto"/>
          <w:spacing w:val="-3"/>
          <w:sz w:val="24"/>
          <w:szCs w:val="24"/>
          <w:highlight w:val="none"/>
        </w:rPr>
        <w:t>人书面同意不得擅自更改，否则，采购人有权拒绝其响应文件。</w:t>
      </w:r>
    </w:p>
    <w:p w14:paraId="7492AC88">
      <w:pPr>
        <w:spacing w:before="262" w:line="257" w:lineRule="auto"/>
        <w:ind w:left="129" w:right="5" w:firstLine="380"/>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12.2.5 工程量清单中的每一个细目，都须填入单价及合价。清单中未填入合价</w:t>
      </w:r>
      <w:r>
        <w:rPr>
          <w:rFonts w:ascii="仿宋" w:hAnsi="仿宋" w:eastAsia="仿宋" w:cs="仿宋"/>
          <w:color w:val="auto"/>
          <w:spacing w:val="-7"/>
          <w:sz w:val="24"/>
          <w:szCs w:val="24"/>
          <w:highlight w:val="none"/>
        </w:rPr>
        <w:t>的细</w:t>
      </w:r>
      <w:r>
        <w:rPr>
          <w:rFonts w:ascii="仿宋" w:hAnsi="仿宋" w:eastAsia="仿宋" w:cs="仿宋"/>
          <w:color w:val="auto"/>
          <w:spacing w:val="-6"/>
          <w:sz w:val="24"/>
          <w:szCs w:val="24"/>
          <w:highlight w:val="none"/>
        </w:rPr>
        <w:t>目，则视为供应商免费为采购人提供的服务，不能得到结算与支付。</w:t>
      </w:r>
    </w:p>
    <w:p w14:paraId="4AF72E0A">
      <w:pPr>
        <w:spacing w:before="265" w:line="254" w:lineRule="auto"/>
        <w:ind w:left="7" w:right="7" w:firstLine="50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12.2.6 供应商应在对报价的各项因素进行了充分了解和考虑后报价，并对</w:t>
      </w:r>
      <w:r>
        <w:rPr>
          <w:rFonts w:ascii="仿宋" w:hAnsi="仿宋" w:eastAsia="仿宋" w:cs="仿宋"/>
          <w:color w:val="auto"/>
          <w:spacing w:val="-7"/>
          <w:sz w:val="24"/>
          <w:szCs w:val="24"/>
          <w:highlight w:val="none"/>
        </w:rPr>
        <w:t>此报价负</w:t>
      </w:r>
      <w:r>
        <w:rPr>
          <w:rFonts w:ascii="仿宋" w:hAnsi="仿宋" w:eastAsia="仿宋" w:cs="仿宋"/>
          <w:color w:val="auto"/>
          <w:spacing w:val="-3"/>
          <w:sz w:val="24"/>
          <w:szCs w:val="24"/>
          <w:highlight w:val="none"/>
        </w:rPr>
        <w:t>责。在合同履行过程中，供应商不得以任何理由对所报综合单价进行调整。</w:t>
      </w:r>
    </w:p>
    <w:p w14:paraId="6D3DC66C">
      <w:pPr>
        <w:spacing w:before="239" w:line="222" w:lineRule="auto"/>
        <w:ind w:left="512"/>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12.2.7 供应商所报措施项目费包括：</w:t>
      </w:r>
    </w:p>
    <w:p w14:paraId="01E117E8">
      <w:pPr>
        <w:spacing w:before="140" w:line="327"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"12.2.7.1" </w:instrText>
      </w:r>
      <w:r>
        <w:rPr>
          <w:color w:val="auto"/>
          <w:highlight w:val="none"/>
        </w:rPr>
        <w:fldChar w:fldCharType="separate"/>
      </w:r>
      <w:r>
        <w:rPr>
          <w:rFonts w:ascii="仿宋" w:hAnsi="仿宋" w:eastAsia="仿宋" w:cs="仿宋"/>
          <w:color w:val="auto"/>
          <w:spacing w:val="-4"/>
          <w:position w:val="1"/>
          <w:sz w:val="24"/>
          <w:szCs w:val="24"/>
          <w:highlight w:val="none"/>
        </w:rPr>
        <w:t>12.2.7.1</w:t>
      </w:r>
      <w:r>
        <w:rPr>
          <w:rFonts w:ascii="仿宋" w:hAnsi="仿宋" w:eastAsia="仿宋" w:cs="仿宋"/>
          <w:color w:val="auto"/>
          <w:spacing w:val="-4"/>
          <w:position w:val="1"/>
          <w:sz w:val="24"/>
          <w:szCs w:val="24"/>
          <w:highlight w:val="none"/>
        </w:rPr>
        <w:fldChar w:fldCharType="end"/>
      </w:r>
      <w:r>
        <w:rPr>
          <w:rFonts w:ascii="仿宋" w:hAnsi="仿宋" w:eastAsia="仿宋" w:cs="仿宋"/>
          <w:color w:val="auto"/>
          <w:spacing w:val="-4"/>
          <w:position w:val="1"/>
          <w:sz w:val="24"/>
          <w:szCs w:val="24"/>
          <w:highlight w:val="none"/>
        </w:rPr>
        <w:t xml:space="preserve"> 环境保护措施费（如防治</w:t>
      </w:r>
      <w:r>
        <w:rPr>
          <w:rFonts w:ascii="仿宋" w:hAnsi="仿宋" w:eastAsia="仿宋" w:cs="仿宋"/>
          <w:color w:val="auto"/>
          <w:spacing w:val="-5"/>
          <w:position w:val="1"/>
          <w:sz w:val="24"/>
          <w:szCs w:val="24"/>
          <w:highlight w:val="none"/>
        </w:rPr>
        <w:t>大气污染、水污染、施工噪声污染等</w:t>
      </w:r>
      <w:r>
        <w:rPr>
          <w:rFonts w:ascii="仿宋" w:hAnsi="仿宋" w:eastAsia="仿宋" w:cs="仿宋"/>
          <w:color w:val="auto"/>
          <w:spacing w:val="-1"/>
          <w:position w:val="1"/>
          <w:sz w:val="24"/>
          <w:szCs w:val="24"/>
          <w:highlight w:val="none"/>
        </w:rPr>
        <w:t>）；</w:t>
      </w:r>
    </w:p>
    <w:p w14:paraId="595492EF">
      <w:pPr>
        <w:spacing w:before="140" w:line="330"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"12.2.7.2" </w:instrText>
      </w:r>
      <w:r>
        <w:rPr>
          <w:color w:val="auto"/>
          <w:highlight w:val="none"/>
        </w:rPr>
        <w:fldChar w:fldCharType="separate"/>
      </w:r>
      <w:r>
        <w:rPr>
          <w:rFonts w:ascii="仿宋" w:hAnsi="仿宋" w:eastAsia="仿宋" w:cs="仿宋"/>
          <w:color w:val="auto"/>
          <w:spacing w:val="-6"/>
          <w:position w:val="1"/>
          <w:sz w:val="24"/>
          <w:szCs w:val="24"/>
          <w:highlight w:val="none"/>
        </w:rPr>
        <w:t>12.2.7.2</w:t>
      </w:r>
      <w:r>
        <w:rPr>
          <w:rFonts w:ascii="仿宋" w:hAnsi="仿宋" w:eastAsia="仿宋" w:cs="仿宋"/>
          <w:color w:val="auto"/>
          <w:spacing w:val="-6"/>
          <w:position w:val="1"/>
          <w:sz w:val="24"/>
          <w:szCs w:val="24"/>
          <w:highlight w:val="none"/>
        </w:rPr>
        <w:fldChar w:fldCharType="end"/>
      </w:r>
      <w:r>
        <w:rPr>
          <w:rFonts w:ascii="仿宋" w:hAnsi="仿宋" w:eastAsia="仿宋" w:cs="仿宋"/>
          <w:color w:val="auto"/>
          <w:spacing w:val="-6"/>
          <w:position w:val="1"/>
          <w:sz w:val="24"/>
          <w:szCs w:val="24"/>
          <w:highlight w:val="none"/>
        </w:rPr>
        <w:t xml:space="preserve"> 安全措施及文明施工措施费；</w:t>
      </w:r>
    </w:p>
    <w:p w14:paraId="2445A2C3">
      <w:pPr>
        <w:spacing w:before="137" w:line="330"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"12.2.7.3" </w:instrText>
      </w:r>
      <w:r>
        <w:rPr>
          <w:color w:val="auto"/>
          <w:highlight w:val="none"/>
        </w:rPr>
        <w:fldChar w:fldCharType="separate"/>
      </w:r>
      <w:r>
        <w:rPr>
          <w:rFonts w:ascii="仿宋" w:hAnsi="仿宋" w:eastAsia="仿宋" w:cs="仿宋"/>
          <w:color w:val="auto"/>
          <w:spacing w:val="-10"/>
          <w:position w:val="1"/>
          <w:sz w:val="24"/>
          <w:szCs w:val="24"/>
          <w:highlight w:val="none"/>
        </w:rPr>
        <w:t>12.2.7.3</w:t>
      </w:r>
      <w:r>
        <w:rPr>
          <w:rFonts w:ascii="仿宋" w:hAnsi="仿宋" w:eastAsia="仿宋" w:cs="仿宋"/>
          <w:color w:val="auto"/>
          <w:spacing w:val="-10"/>
          <w:position w:val="1"/>
          <w:sz w:val="24"/>
          <w:szCs w:val="24"/>
          <w:highlight w:val="none"/>
        </w:rPr>
        <w:fldChar w:fldCharType="end"/>
      </w:r>
      <w:r>
        <w:rPr>
          <w:rFonts w:ascii="仿宋" w:hAnsi="仿宋" w:eastAsia="仿宋" w:cs="仿宋"/>
          <w:color w:val="auto"/>
          <w:spacing w:val="67"/>
          <w:position w:val="1"/>
          <w:sz w:val="24"/>
          <w:szCs w:val="24"/>
          <w:highlight w:val="none"/>
        </w:rPr>
        <w:t xml:space="preserve"> </w:t>
      </w:r>
      <w:r>
        <w:rPr>
          <w:rFonts w:ascii="仿宋" w:hAnsi="仿宋" w:eastAsia="仿宋" w:cs="仿宋"/>
          <w:color w:val="auto"/>
          <w:spacing w:val="-10"/>
          <w:position w:val="1"/>
          <w:sz w:val="24"/>
          <w:szCs w:val="24"/>
          <w:highlight w:val="none"/>
        </w:rPr>
        <w:t>因夜间施工而发生的费用；</w:t>
      </w:r>
    </w:p>
    <w:p w14:paraId="07C6371B">
      <w:pPr>
        <w:spacing w:before="138" w:line="330"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"12.2.7.4" </w:instrText>
      </w:r>
      <w:r>
        <w:rPr>
          <w:color w:val="auto"/>
          <w:highlight w:val="none"/>
        </w:rPr>
        <w:fldChar w:fldCharType="separate"/>
      </w:r>
      <w:r>
        <w:rPr>
          <w:rFonts w:ascii="仿宋" w:hAnsi="仿宋" w:eastAsia="仿宋" w:cs="仿宋"/>
          <w:color w:val="auto"/>
          <w:spacing w:val="-8"/>
          <w:position w:val="1"/>
          <w:sz w:val="24"/>
          <w:szCs w:val="24"/>
          <w:highlight w:val="none"/>
        </w:rPr>
        <w:t>12.2.7.4</w:t>
      </w:r>
      <w:r>
        <w:rPr>
          <w:rFonts w:ascii="仿宋" w:hAnsi="仿宋" w:eastAsia="仿宋" w:cs="仿宋"/>
          <w:color w:val="auto"/>
          <w:spacing w:val="-8"/>
          <w:position w:val="1"/>
          <w:sz w:val="24"/>
          <w:szCs w:val="24"/>
          <w:highlight w:val="none"/>
        </w:rPr>
        <w:fldChar w:fldCharType="end"/>
      </w:r>
      <w:r>
        <w:rPr>
          <w:rFonts w:ascii="仿宋" w:hAnsi="仿宋" w:eastAsia="仿宋" w:cs="仿宋"/>
          <w:color w:val="auto"/>
          <w:spacing w:val="-8"/>
          <w:position w:val="1"/>
          <w:sz w:val="24"/>
          <w:szCs w:val="24"/>
          <w:highlight w:val="none"/>
        </w:rPr>
        <w:t xml:space="preserve"> 冬雨季施工费；</w:t>
      </w:r>
    </w:p>
    <w:p w14:paraId="7A774459">
      <w:pPr>
        <w:spacing w:before="136" w:line="327"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"12.2.7.5" </w:instrText>
      </w:r>
      <w:r>
        <w:rPr>
          <w:color w:val="auto"/>
          <w:highlight w:val="none"/>
        </w:rPr>
        <w:fldChar w:fldCharType="separate"/>
      </w:r>
      <w:r>
        <w:rPr>
          <w:rFonts w:ascii="仿宋" w:hAnsi="仿宋" w:eastAsia="仿宋" w:cs="仿宋"/>
          <w:color w:val="auto"/>
          <w:spacing w:val="-5"/>
          <w:position w:val="1"/>
          <w:sz w:val="24"/>
          <w:szCs w:val="24"/>
          <w:highlight w:val="none"/>
        </w:rPr>
        <w:t>12.2.7.5</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对现有建筑物采取保护及加固措施而增加的费用；</w:t>
      </w:r>
    </w:p>
    <w:p w14:paraId="50E31B98">
      <w:pPr>
        <w:spacing w:before="141" w:line="327"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"12.2.7.6" </w:instrText>
      </w:r>
      <w:r>
        <w:rPr>
          <w:color w:val="auto"/>
          <w:highlight w:val="none"/>
        </w:rPr>
        <w:fldChar w:fldCharType="separate"/>
      </w:r>
      <w:r>
        <w:rPr>
          <w:rFonts w:ascii="仿宋" w:hAnsi="仿宋" w:eastAsia="仿宋" w:cs="仿宋"/>
          <w:color w:val="auto"/>
          <w:spacing w:val="-7"/>
          <w:position w:val="1"/>
          <w:sz w:val="24"/>
          <w:szCs w:val="24"/>
          <w:highlight w:val="none"/>
        </w:rPr>
        <w:t>12.2.7.6</w:t>
      </w:r>
      <w:r>
        <w:rPr>
          <w:rFonts w:ascii="仿宋" w:hAnsi="仿宋" w:eastAsia="仿宋" w:cs="仿宋"/>
          <w:color w:val="auto"/>
          <w:spacing w:val="-7"/>
          <w:position w:val="1"/>
          <w:sz w:val="24"/>
          <w:szCs w:val="24"/>
          <w:highlight w:val="none"/>
        </w:rPr>
        <w:fldChar w:fldCharType="end"/>
      </w:r>
      <w:r>
        <w:rPr>
          <w:rFonts w:ascii="仿宋" w:hAnsi="仿宋" w:eastAsia="仿宋" w:cs="仿宋"/>
          <w:color w:val="auto"/>
          <w:spacing w:val="77"/>
          <w:position w:val="1"/>
          <w:sz w:val="24"/>
          <w:szCs w:val="24"/>
          <w:highlight w:val="none"/>
        </w:rPr>
        <w:t xml:space="preserve"> </w:t>
      </w:r>
      <w:r>
        <w:rPr>
          <w:rFonts w:ascii="仿宋" w:hAnsi="仿宋" w:eastAsia="仿宋" w:cs="仿宋"/>
          <w:color w:val="auto"/>
          <w:spacing w:val="-7"/>
          <w:position w:val="1"/>
          <w:sz w:val="24"/>
          <w:szCs w:val="24"/>
          <w:highlight w:val="none"/>
        </w:rPr>
        <w:t>因其他单位影响而发生的施工配合费及施工降效；</w:t>
      </w:r>
    </w:p>
    <w:p w14:paraId="22027EBC">
      <w:pPr>
        <w:spacing w:before="140" w:line="327"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"12.2.7.7" </w:instrText>
      </w:r>
      <w:r>
        <w:rPr>
          <w:color w:val="auto"/>
          <w:highlight w:val="none"/>
        </w:rPr>
        <w:fldChar w:fldCharType="separate"/>
      </w:r>
      <w:r>
        <w:rPr>
          <w:rFonts w:ascii="仿宋" w:hAnsi="仿宋" w:eastAsia="仿宋" w:cs="仿宋"/>
          <w:color w:val="auto"/>
          <w:spacing w:val="-6"/>
          <w:position w:val="1"/>
          <w:sz w:val="24"/>
          <w:szCs w:val="24"/>
          <w:highlight w:val="none"/>
        </w:rPr>
        <w:t>12.2.7.7</w:t>
      </w:r>
      <w:r>
        <w:rPr>
          <w:rFonts w:ascii="仿宋" w:hAnsi="仿宋" w:eastAsia="仿宋" w:cs="仿宋"/>
          <w:color w:val="auto"/>
          <w:spacing w:val="-6"/>
          <w:position w:val="1"/>
          <w:sz w:val="24"/>
          <w:szCs w:val="24"/>
          <w:highlight w:val="none"/>
        </w:rPr>
        <w:fldChar w:fldCharType="end"/>
      </w:r>
      <w:r>
        <w:rPr>
          <w:rFonts w:ascii="仿宋" w:hAnsi="仿宋" w:eastAsia="仿宋" w:cs="仿宋"/>
          <w:color w:val="auto"/>
          <w:spacing w:val="-6"/>
          <w:position w:val="1"/>
          <w:sz w:val="24"/>
          <w:szCs w:val="24"/>
          <w:highlight w:val="none"/>
        </w:rPr>
        <w:t xml:space="preserve"> 大型机械设备进出场及安拆费用；</w:t>
      </w:r>
    </w:p>
    <w:p w14:paraId="0B41A114">
      <w:pPr>
        <w:spacing w:before="141" w:line="330"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"12.2.7.8" </w:instrText>
      </w:r>
      <w:r>
        <w:rPr>
          <w:color w:val="auto"/>
          <w:highlight w:val="none"/>
        </w:rPr>
        <w:fldChar w:fldCharType="separate"/>
      </w:r>
      <w:r>
        <w:rPr>
          <w:rFonts w:ascii="仿宋" w:hAnsi="仿宋" w:eastAsia="仿宋" w:cs="仿宋"/>
          <w:color w:val="auto"/>
          <w:spacing w:val="-8"/>
          <w:position w:val="1"/>
          <w:sz w:val="24"/>
          <w:szCs w:val="24"/>
          <w:highlight w:val="none"/>
        </w:rPr>
        <w:t>12.2.7.8</w:t>
      </w:r>
      <w:r>
        <w:rPr>
          <w:rFonts w:ascii="仿宋" w:hAnsi="仿宋" w:eastAsia="仿宋" w:cs="仿宋"/>
          <w:color w:val="auto"/>
          <w:spacing w:val="-8"/>
          <w:position w:val="1"/>
          <w:sz w:val="24"/>
          <w:szCs w:val="24"/>
          <w:highlight w:val="none"/>
        </w:rPr>
        <w:fldChar w:fldCharType="end"/>
      </w:r>
      <w:r>
        <w:rPr>
          <w:rFonts w:ascii="仿宋" w:hAnsi="仿宋" w:eastAsia="仿宋" w:cs="仿宋"/>
          <w:color w:val="auto"/>
          <w:spacing w:val="-8"/>
          <w:position w:val="1"/>
          <w:sz w:val="24"/>
          <w:szCs w:val="24"/>
          <w:highlight w:val="none"/>
        </w:rPr>
        <w:t xml:space="preserve"> 临时设施费用；</w:t>
      </w:r>
    </w:p>
    <w:p w14:paraId="3E1C38E3">
      <w:pPr>
        <w:spacing w:before="137" w:line="325"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"12.2.7.9" </w:instrText>
      </w:r>
      <w:r>
        <w:rPr>
          <w:color w:val="auto"/>
          <w:highlight w:val="none"/>
        </w:rPr>
        <w:fldChar w:fldCharType="separate"/>
      </w:r>
      <w:r>
        <w:rPr>
          <w:rFonts w:ascii="仿宋" w:hAnsi="仿宋" w:eastAsia="仿宋" w:cs="仿宋"/>
          <w:color w:val="auto"/>
          <w:spacing w:val="-9"/>
          <w:position w:val="1"/>
          <w:sz w:val="24"/>
          <w:szCs w:val="24"/>
          <w:highlight w:val="none"/>
        </w:rPr>
        <w:t>12.2.7.9</w:t>
      </w:r>
      <w:r>
        <w:rPr>
          <w:rFonts w:ascii="仿宋" w:hAnsi="仿宋" w:eastAsia="仿宋" w:cs="仿宋"/>
          <w:color w:val="auto"/>
          <w:spacing w:val="-9"/>
          <w:position w:val="1"/>
          <w:sz w:val="24"/>
          <w:szCs w:val="24"/>
          <w:highlight w:val="none"/>
        </w:rPr>
        <w:fldChar w:fldCharType="end"/>
      </w:r>
      <w:r>
        <w:rPr>
          <w:rFonts w:ascii="仿宋" w:hAnsi="仿宋" w:eastAsia="仿宋" w:cs="仿宋"/>
          <w:color w:val="auto"/>
          <w:spacing w:val="-9"/>
          <w:position w:val="1"/>
          <w:sz w:val="24"/>
          <w:szCs w:val="24"/>
          <w:highlight w:val="none"/>
        </w:rPr>
        <w:t xml:space="preserve"> 脚手架费用；</w:t>
      </w:r>
    </w:p>
    <w:p w14:paraId="19B1CF7E">
      <w:pPr>
        <w:spacing w:before="143" w:line="330"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"12.2.7.10" </w:instrText>
      </w:r>
      <w:r>
        <w:rPr>
          <w:color w:val="auto"/>
          <w:highlight w:val="none"/>
        </w:rPr>
        <w:fldChar w:fldCharType="separate"/>
      </w:r>
      <w:r>
        <w:rPr>
          <w:rFonts w:ascii="仿宋" w:hAnsi="仿宋" w:eastAsia="仿宋" w:cs="仿宋"/>
          <w:color w:val="auto"/>
          <w:spacing w:val="-8"/>
          <w:position w:val="1"/>
          <w:sz w:val="24"/>
          <w:szCs w:val="24"/>
          <w:highlight w:val="none"/>
        </w:rPr>
        <w:t>12.2.7.10</w:t>
      </w:r>
      <w:r>
        <w:rPr>
          <w:rFonts w:ascii="仿宋" w:hAnsi="仿宋" w:eastAsia="仿宋" w:cs="仿宋"/>
          <w:color w:val="auto"/>
          <w:spacing w:val="-8"/>
          <w:position w:val="1"/>
          <w:sz w:val="24"/>
          <w:szCs w:val="24"/>
          <w:highlight w:val="none"/>
        </w:rPr>
        <w:fldChar w:fldCharType="end"/>
      </w:r>
      <w:r>
        <w:rPr>
          <w:rFonts w:ascii="仿宋" w:hAnsi="仿宋" w:eastAsia="仿宋" w:cs="仿宋"/>
          <w:color w:val="auto"/>
          <w:spacing w:val="-8"/>
          <w:position w:val="1"/>
          <w:sz w:val="24"/>
          <w:szCs w:val="24"/>
          <w:highlight w:val="none"/>
        </w:rPr>
        <w:t xml:space="preserve"> 二次搬运费；</w:t>
      </w:r>
    </w:p>
    <w:p w14:paraId="5D2F48E3">
      <w:pPr>
        <w:spacing w:before="137" w:line="333"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"12.2.7.11" </w:instrText>
      </w:r>
      <w:r>
        <w:rPr>
          <w:color w:val="auto"/>
          <w:highlight w:val="none"/>
        </w:rPr>
        <w:fldChar w:fldCharType="separate"/>
      </w:r>
      <w:r>
        <w:rPr>
          <w:rFonts w:ascii="仿宋" w:hAnsi="仿宋" w:eastAsia="仿宋" w:cs="仿宋"/>
          <w:color w:val="auto"/>
          <w:spacing w:val="-10"/>
          <w:position w:val="1"/>
          <w:sz w:val="24"/>
          <w:szCs w:val="24"/>
          <w:highlight w:val="none"/>
        </w:rPr>
        <w:t>12.2.7.11</w:t>
      </w:r>
      <w:r>
        <w:rPr>
          <w:rFonts w:ascii="仿宋" w:hAnsi="仿宋" w:eastAsia="仿宋" w:cs="仿宋"/>
          <w:color w:val="auto"/>
          <w:spacing w:val="-10"/>
          <w:position w:val="1"/>
          <w:sz w:val="24"/>
          <w:szCs w:val="24"/>
          <w:highlight w:val="none"/>
        </w:rPr>
        <w:fldChar w:fldCharType="end"/>
      </w:r>
      <w:r>
        <w:rPr>
          <w:rFonts w:ascii="仿宋" w:hAnsi="仿宋" w:eastAsia="仿宋" w:cs="仿宋"/>
          <w:color w:val="auto"/>
          <w:spacing w:val="-10"/>
          <w:position w:val="1"/>
          <w:sz w:val="24"/>
          <w:szCs w:val="24"/>
          <w:highlight w:val="none"/>
        </w:rPr>
        <w:t xml:space="preserve"> 其他措施费。</w:t>
      </w:r>
    </w:p>
    <w:p w14:paraId="428BE528">
      <w:pPr>
        <w:spacing w:before="202" w:line="311" w:lineRule="auto"/>
        <w:ind w:right="7" w:firstLine="50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12.2.8 供应商根据采购人提供的竞争性磋商文件资料及现场踏勘情况，将</w:t>
      </w:r>
      <w:r>
        <w:rPr>
          <w:rFonts w:ascii="仿宋" w:hAnsi="仿宋" w:eastAsia="仿宋" w:cs="仿宋"/>
          <w:color w:val="auto"/>
          <w:spacing w:val="-7"/>
          <w:sz w:val="24"/>
          <w:szCs w:val="24"/>
          <w:highlight w:val="none"/>
        </w:rPr>
        <w:t>施工现场</w:t>
      </w:r>
      <w:r>
        <w:rPr>
          <w:rFonts w:ascii="仿宋" w:hAnsi="仿宋" w:eastAsia="仿宋" w:cs="仿宋"/>
          <w:color w:val="auto"/>
          <w:spacing w:val="-3"/>
          <w:sz w:val="24"/>
          <w:szCs w:val="24"/>
          <w:highlight w:val="none"/>
        </w:rPr>
        <w:t>的接水、接电费用计入报价清单的项目措施费中，施工中包干使用。施工用水、用电费</w:t>
      </w:r>
      <w:r>
        <w:rPr>
          <w:rFonts w:ascii="仿宋" w:hAnsi="仿宋" w:eastAsia="仿宋" w:cs="仿宋"/>
          <w:color w:val="auto"/>
          <w:spacing w:val="-2"/>
          <w:sz w:val="24"/>
          <w:szCs w:val="24"/>
          <w:highlight w:val="none"/>
        </w:rPr>
        <w:t>用（含施工中用电损耗）由供应商自行考虑计</w:t>
      </w:r>
      <w:r>
        <w:rPr>
          <w:rFonts w:ascii="仿宋" w:hAnsi="仿宋" w:eastAsia="仿宋" w:cs="仿宋"/>
          <w:color w:val="auto"/>
          <w:spacing w:val="-3"/>
          <w:sz w:val="24"/>
          <w:szCs w:val="24"/>
          <w:highlight w:val="none"/>
        </w:rPr>
        <w:t>入综合单价中，施工中不作调整。用水、用电费用应经采购人、监理单位、总承包单位共同核定并在最终结算时由结算总价中扣</w:t>
      </w:r>
      <w:r>
        <w:rPr>
          <w:rFonts w:ascii="仿宋" w:hAnsi="仿宋" w:eastAsia="仿宋" w:cs="仿宋"/>
          <w:color w:val="auto"/>
          <w:spacing w:val="-8"/>
          <w:sz w:val="24"/>
          <w:szCs w:val="24"/>
          <w:highlight w:val="none"/>
        </w:rPr>
        <w:t>除。</w:t>
      </w:r>
    </w:p>
    <w:p w14:paraId="5F7724E1">
      <w:pPr>
        <w:spacing w:before="279" w:line="222" w:lineRule="auto"/>
        <w:ind w:left="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12.2.9 总包服务费：本工程不计取总包服务费。</w:t>
      </w:r>
    </w:p>
    <w:p w14:paraId="2A719F36">
      <w:pPr>
        <w:spacing w:before="212" w:line="255" w:lineRule="auto"/>
        <w:ind w:left="1" w:firstLine="508"/>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12.2.10 本工程其他报价格式及内容参考《当地工程结算资料汇编》（现行）、《当</w:t>
      </w:r>
      <w:r>
        <w:rPr>
          <w:rFonts w:ascii="仿宋" w:hAnsi="仿宋" w:eastAsia="仿宋" w:cs="仿宋"/>
          <w:color w:val="auto"/>
          <w:spacing w:val="-3"/>
          <w:sz w:val="24"/>
          <w:szCs w:val="24"/>
          <w:highlight w:val="none"/>
        </w:rPr>
        <w:t>地建设工程工程量清单计价实施细则（试行）》等相关规定。</w:t>
      </w:r>
    </w:p>
    <w:p w14:paraId="7CFCE326">
      <w:pPr>
        <w:spacing w:line="255" w:lineRule="auto"/>
        <w:rPr>
          <w:rFonts w:ascii="仿宋" w:hAnsi="仿宋" w:eastAsia="仿宋" w:cs="仿宋"/>
          <w:color w:val="auto"/>
          <w:sz w:val="24"/>
          <w:szCs w:val="24"/>
          <w:highlight w:val="none"/>
        </w:rPr>
        <w:sectPr>
          <w:footerReference r:id="rId14" w:type="default"/>
          <w:pgSz w:w="11906" w:h="16840"/>
          <w:pgMar w:top="1431" w:right="1408" w:bottom="1017" w:left="1462" w:header="0" w:footer="848" w:gutter="0"/>
          <w:pgNumType w:fmt="decimal"/>
          <w:cols w:space="720" w:num="1"/>
        </w:sectPr>
      </w:pPr>
    </w:p>
    <w:p w14:paraId="23EAA799">
      <w:pPr>
        <w:spacing w:before="170" w:line="297" w:lineRule="auto"/>
        <w:ind w:left="1" w:right="27" w:firstLine="50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12.2.11 本工程设有采购控制价，采购控制价经监督部门</w:t>
      </w:r>
      <w:r>
        <w:rPr>
          <w:rFonts w:ascii="仿宋" w:hAnsi="仿宋" w:eastAsia="仿宋" w:cs="仿宋"/>
          <w:color w:val="auto"/>
          <w:spacing w:val="-4"/>
          <w:sz w:val="24"/>
          <w:szCs w:val="24"/>
          <w:highlight w:val="none"/>
        </w:rPr>
        <w:t>登记备案后随本项目竞争</w:t>
      </w:r>
      <w:r>
        <w:rPr>
          <w:rFonts w:ascii="仿宋" w:hAnsi="仿宋" w:eastAsia="仿宋" w:cs="仿宋"/>
          <w:color w:val="auto"/>
          <w:spacing w:val="-3"/>
          <w:sz w:val="24"/>
          <w:szCs w:val="24"/>
          <w:highlight w:val="none"/>
        </w:rPr>
        <w:t>性磋商文件一同发布。若响应报价超过采购人的采购控制价为无效报价，低于采购控制价的为有效报价。供应商经核实认为采购人公布的采购控制价未按照有关规定进行编制</w:t>
      </w:r>
      <w:r>
        <w:rPr>
          <w:rFonts w:ascii="仿宋" w:hAnsi="仿宋" w:eastAsia="仿宋" w:cs="仿宋"/>
          <w:color w:val="auto"/>
          <w:spacing w:val="-7"/>
          <w:sz w:val="24"/>
          <w:szCs w:val="24"/>
          <w:highlight w:val="none"/>
        </w:rPr>
        <w:t>的，应当在</w:t>
      </w:r>
      <w:r>
        <w:rPr>
          <w:rFonts w:ascii="仿宋" w:hAnsi="仿宋" w:eastAsia="仿宋" w:cs="仿宋"/>
          <w:color w:val="auto"/>
          <w:spacing w:val="-12"/>
          <w:sz w:val="24"/>
          <w:szCs w:val="24"/>
          <w:highlight w:val="none"/>
        </w:rPr>
        <w:t xml:space="preserve"> </w:t>
      </w:r>
      <w:r>
        <w:rPr>
          <w:rFonts w:ascii="仿宋" w:hAnsi="仿宋" w:eastAsia="仿宋" w:cs="仿宋"/>
          <w:color w:val="auto"/>
          <w:spacing w:val="-7"/>
          <w:sz w:val="24"/>
          <w:szCs w:val="24"/>
          <w:highlight w:val="none"/>
        </w:rPr>
        <w:t>2  日内向监督部门反映，监督部门发现确有错误的应责成采购人修改。</w:t>
      </w:r>
    </w:p>
    <w:p w14:paraId="0335D601">
      <w:pPr>
        <w:spacing w:before="282" w:line="222" w:lineRule="auto"/>
        <w:ind w:left="51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12.2.12 供应商不得以任何方式或</w:t>
      </w:r>
      <w:r>
        <w:rPr>
          <w:rFonts w:ascii="仿宋" w:hAnsi="仿宋" w:eastAsia="仿宋" w:cs="仿宋"/>
          <w:color w:val="auto"/>
          <w:spacing w:val="-4"/>
          <w:sz w:val="24"/>
          <w:szCs w:val="24"/>
          <w:highlight w:val="none"/>
        </w:rPr>
        <w:t>者方法提供响应报价以外的任何附赠条款。</w:t>
      </w:r>
    </w:p>
    <w:p w14:paraId="2270FB97">
      <w:pPr>
        <w:spacing w:before="174" w:line="220" w:lineRule="auto"/>
        <w:jc w:val="right"/>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12.2.13 唱标时，采购代理机构只对按照竞争性磋商文件要求编制的报价进行唱标。</w:t>
      </w:r>
    </w:p>
    <w:p w14:paraId="68CE5B2E">
      <w:pPr>
        <w:spacing w:before="256" w:line="228" w:lineRule="auto"/>
        <w:ind w:left="588"/>
        <w:outlineLvl w:val="2"/>
        <w:rPr>
          <w:rFonts w:ascii="楷体" w:hAnsi="楷体" w:eastAsia="楷体" w:cs="楷体"/>
          <w:color w:val="auto"/>
          <w:sz w:val="28"/>
          <w:szCs w:val="28"/>
          <w:highlight w:val="none"/>
        </w:rPr>
      </w:pPr>
      <w:bookmarkStart w:id="18" w:name="bookmark20"/>
      <w:bookmarkEnd w:id="18"/>
      <w:r>
        <w:rPr>
          <w:rFonts w:ascii="楷体" w:hAnsi="楷体" w:eastAsia="楷体" w:cs="楷体"/>
          <w:color w:val="auto"/>
          <w:spacing w:val="-7"/>
          <w:sz w:val="28"/>
          <w:szCs w:val="28"/>
          <w:highlight w:val="none"/>
        </w:rPr>
        <w:t>13.响应文件编制要求</w:t>
      </w:r>
    </w:p>
    <w:p w14:paraId="4EB8A49B">
      <w:pPr>
        <w:spacing w:before="198" w:line="221" w:lineRule="auto"/>
        <w:ind w:left="512"/>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13.1 响应文件应按所投包分别进行编制。</w:t>
      </w:r>
    </w:p>
    <w:p w14:paraId="6847759D">
      <w:pPr>
        <w:spacing w:before="180" w:line="222" w:lineRule="auto"/>
        <w:ind w:left="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13.2 响应文件编制：见供应商须知前附表。</w:t>
      </w:r>
    </w:p>
    <w:p w14:paraId="75734DF5">
      <w:pPr>
        <w:spacing w:before="180" w:line="222" w:lineRule="auto"/>
        <w:ind w:left="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13.3 响应文件签章：见供应商须知前附表。</w:t>
      </w:r>
    </w:p>
    <w:p w14:paraId="4116DC18">
      <w:pPr>
        <w:spacing w:before="212" w:line="255" w:lineRule="auto"/>
        <w:ind w:right="18" w:firstLine="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13.4 供应商可对供货现场以及其范围环境进行考察，以获取</w:t>
      </w:r>
      <w:r>
        <w:rPr>
          <w:rFonts w:ascii="仿宋" w:hAnsi="仿宋" w:eastAsia="仿宋" w:cs="仿宋"/>
          <w:color w:val="auto"/>
          <w:spacing w:val="-7"/>
          <w:sz w:val="24"/>
          <w:szCs w:val="24"/>
          <w:highlight w:val="none"/>
        </w:rPr>
        <w:t>有关编制响应文件和签</w:t>
      </w:r>
      <w:r>
        <w:rPr>
          <w:rFonts w:ascii="仿宋" w:hAnsi="仿宋" w:eastAsia="仿宋" w:cs="仿宋"/>
          <w:color w:val="auto"/>
          <w:spacing w:val="-2"/>
          <w:sz w:val="24"/>
          <w:szCs w:val="24"/>
          <w:highlight w:val="none"/>
        </w:rPr>
        <w:t>署实施合同所需的各项资料，供应商应承担现</w:t>
      </w:r>
      <w:r>
        <w:rPr>
          <w:rFonts w:ascii="仿宋" w:hAnsi="仿宋" w:eastAsia="仿宋" w:cs="仿宋"/>
          <w:color w:val="auto"/>
          <w:spacing w:val="-3"/>
          <w:sz w:val="24"/>
          <w:szCs w:val="24"/>
          <w:highlight w:val="none"/>
        </w:rPr>
        <w:t>场考察的费用、责任和风险。</w:t>
      </w:r>
    </w:p>
    <w:p w14:paraId="7A11CDE4">
      <w:pPr>
        <w:spacing w:before="268" w:line="261" w:lineRule="auto"/>
        <w:ind w:left="1" w:right="44" w:firstLine="508"/>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13.5 供应商编制响应文件时，应当如实在技术响应表和商务响应表中填写响应情</w:t>
      </w:r>
      <w:r>
        <w:rPr>
          <w:rFonts w:ascii="仿宋" w:hAnsi="仿宋" w:eastAsia="仿宋" w:cs="仿宋"/>
          <w:color w:val="auto"/>
          <w:spacing w:val="-9"/>
          <w:sz w:val="24"/>
          <w:szCs w:val="24"/>
          <w:highlight w:val="none"/>
        </w:rPr>
        <w:t>况。</w:t>
      </w:r>
    </w:p>
    <w:p w14:paraId="319BDBAE">
      <w:pPr>
        <w:spacing w:before="296" w:line="228" w:lineRule="auto"/>
        <w:ind w:left="588"/>
        <w:outlineLvl w:val="2"/>
        <w:rPr>
          <w:rFonts w:ascii="楷体" w:hAnsi="楷体" w:eastAsia="楷体" w:cs="楷体"/>
          <w:color w:val="auto"/>
          <w:sz w:val="28"/>
          <w:szCs w:val="28"/>
          <w:highlight w:val="none"/>
        </w:rPr>
      </w:pPr>
      <w:bookmarkStart w:id="19" w:name="bookmark21"/>
      <w:bookmarkEnd w:id="19"/>
      <w:r>
        <w:rPr>
          <w:rFonts w:ascii="楷体" w:hAnsi="楷体" w:eastAsia="楷体" w:cs="楷体"/>
          <w:color w:val="auto"/>
          <w:spacing w:val="-6"/>
          <w:sz w:val="28"/>
          <w:szCs w:val="28"/>
          <w:highlight w:val="none"/>
        </w:rPr>
        <w:t>14.响应文件的密封和标记</w:t>
      </w:r>
    </w:p>
    <w:p w14:paraId="014F4C49">
      <w:pPr>
        <w:spacing w:before="202" w:line="222" w:lineRule="auto"/>
        <w:ind w:left="487"/>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见供应商须知前附表。</w:t>
      </w:r>
    </w:p>
    <w:p w14:paraId="1B9081BC">
      <w:pPr>
        <w:spacing w:before="250" w:line="228" w:lineRule="auto"/>
        <w:ind w:left="588"/>
        <w:outlineLvl w:val="2"/>
        <w:rPr>
          <w:rFonts w:ascii="楷体" w:hAnsi="楷体" w:eastAsia="楷体" w:cs="楷体"/>
          <w:color w:val="auto"/>
          <w:sz w:val="28"/>
          <w:szCs w:val="28"/>
          <w:highlight w:val="none"/>
        </w:rPr>
      </w:pPr>
      <w:bookmarkStart w:id="20" w:name="bookmark22"/>
      <w:bookmarkEnd w:id="20"/>
      <w:r>
        <w:rPr>
          <w:rFonts w:ascii="楷体" w:hAnsi="楷体" w:eastAsia="楷体" w:cs="楷体"/>
          <w:color w:val="auto"/>
          <w:spacing w:val="-7"/>
          <w:sz w:val="28"/>
          <w:szCs w:val="28"/>
          <w:highlight w:val="none"/>
        </w:rPr>
        <w:t>15.响应文件的递交</w:t>
      </w:r>
    </w:p>
    <w:p w14:paraId="1370E08C">
      <w:pPr>
        <w:spacing w:before="199" w:line="219" w:lineRule="auto"/>
        <w:ind w:left="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15.1 供应商应在报价截止时间前递交响应文件。</w:t>
      </w:r>
    </w:p>
    <w:p w14:paraId="13F48E0E">
      <w:pPr>
        <w:spacing w:before="182" w:line="222" w:lineRule="auto"/>
        <w:ind w:left="512"/>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15.2 供应商递交响应文件的时间、地点和要求：见供应商须知前附表。</w:t>
      </w:r>
    </w:p>
    <w:p w14:paraId="7CC651B4">
      <w:pPr>
        <w:spacing w:before="218" w:line="258" w:lineRule="auto"/>
        <w:ind w:right="20" w:firstLine="50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15.3 供应商有下列情况之一，采购人或者采购代理机构应当</w:t>
      </w:r>
      <w:r>
        <w:rPr>
          <w:rFonts w:ascii="仿宋" w:hAnsi="仿宋" w:eastAsia="仿宋" w:cs="仿宋"/>
          <w:color w:val="auto"/>
          <w:spacing w:val="-7"/>
          <w:sz w:val="24"/>
          <w:szCs w:val="24"/>
          <w:highlight w:val="none"/>
        </w:rPr>
        <w:t>拒绝接收供应商的响应</w:t>
      </w:r>
      <w:r>
        <w:rPr>
          <w:rFonts w:ascii="仿宋" w:hAnsi="仿宋" w:eastAsia="仿宋" w:cs="仿宋"/>
          <w:color w:val="auto"/>
          <w:spacing w:val="-8"/>
          <w:sz w:val="24"/>
          <w:szCs w:val="24"/>
          <w:highlight w:val="none"/>
        </w:rPr>
        <w:t>文件：</w:t>
      </w:r>
    </w:p>
    <w:p w14:paraId="015FD1EF">
      <w:pPr>
        <w:spacing w:before="228" w:line="222" w:lineRule="auto"/>
        <w:ind w:left="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15.3.1 逾期送达的或者未送达指定地点的。</w:t>
      </w:r>
    </w:p>
    <w:p w14:paraId="0011CABE">
      <w:pPr>
        <w:spacing w:before="174" w:line="220" w:lineRule="auto"/>
        <w:ind w:left="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15.3.2 响应文件未按竞争性磋商文件要求密封的。</w:t>
      </w:r>
    </w:p>
    <w:p w14:paraId="02A45BB3">
      <w:pPr>
        <w:spacing w:before="220" w:line="258" w:lineRule="auto"/>
        <w:ind w:left="43" w:right="44" w:firstLine="46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15.3.3 递交响应文件时法定代表人未出示法定代表人身份证明原件和身份证原件</w:t>
      </w:r>
      <w:r>
        <w:rPr>
          <w:rFonts w:ascii="仿宋" w:hAnsi="仿宋" w:eastAsia="仿宋" w:cs="仿宋"/>
          <w:color w:val="auto"/>
          <w:spacing w:val="-4"/>
          <w:sz w:val="24"/>
          <w:szCs w:val="24"/>
          <w:highlight w:val="none"/>
        </w:rPr>
        <w:t>的；被授权代表未出示授权委托书原件和身份证原件的。</w:t>
      </w:r>
    </w:p>
    <w:p w14:paraId="400FE2F3">
      <w:pPr>
        <w:spacing w:before="260" w:line="258" w:lineRule="auto"/>
        <w:ind w:right="35" w:firstLine="50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15.4 除供应商须知前附表另有规定外，不论采购过程和结果如何，供应商的响应文</w:t>
      </w:r>
      <w:r>
        <w:rPr>
          <w:rFonts w:ascii="仿宋" w:hAnsi="仿宋" w:eastAsia="仿宋" w:cs="仿宋"/>
          <w:color w:val="auto"/>
          <w:spacing w:val="-6"/>
          <w:sz w:val="24"/>
          <w:szCs w:val="24"/>
          <w:highlight w:val="none"/>
        </w:rPr>
        <w:t>件均不退还。</w:t>
      </w:r>
    </w:p>
    <w:p w14:paraId="7B587672">
      <w:pPr>
        <w:spacing w:before="300" w:line="228" w:lineRule="auto"/>
        <w:ind w:left="588"/>
        <w:outlineLvl w:val="2"/>
        <w:rPr>
          <w:rFonts w:ascii="楷体" w:hAnsi="楷体" w:eastAsia="楷体" w:cs="楷体"/>
          <w:color w:val="auto"/>
          <w:sz w:val="28"/>
          <w:szCs w:val="28"/>
          <w:highlight w:val="none"/>
        </w:rPr>
      </w:pPr>
      <w:bookmarkStart w:id="21" w:name="bookmark23"/>
      <w:bookmarkEnd w:id="21"/>
      <w:r>
        <w:rPr>
          <w:rFonts w:ascii="楷体" w:hAnsi="楷体" w:eastAsia="楷体" w:cs="楷体"/>
          <w:color w:val="auto"/>
          <w:spacing w:val="-6"/>
          <w:sz w:val="28"/>
          <w:szCs w:val="28"/>
          <w:highlight w:val="none"/>
        </w:rPr>
        <w:t>16.响应文件的修改与撤回</w:t>
      </w:r>
    </w:p>
    <w:p w14:paraId="5CEFF8FE">
      <w:pPr>
        <w:spacing w:line="228" w:lineRule="auto"/>
        <w:rPr>
          <w:rFonts w:ascii="楷体" w:hAnsi="楷体" w:eastAsia="楷体" w:cs="楷体"/>
          <w:color w:val="auto"/>
          <w:sz w:val="28"/>
          <w:szCs w:val="28"/>
          <w:highlight w:val="none"/>
        </w:rPr>
        <w:sectPr>
          <w:footerReference r:id="rId15" w:type="default"/>
          <w:pgSz w:w="11906" w:h="16840"/>
          <w:pgMar w:top="1431" w:right="1394" w:bottom="1073" w:left="1462" w:header="0" w:footer="827" w:gutter="0"/>
          <w:pgNumType w:fmt="decimal"/>
          <w:cols w:space="720" w:num="1"/>
        </w:sectPr>
      </w:pPr>
    </w:p>
    <w:p w14:paraId="43283300">
      <w:pPr>
        <w:spacing w:before="168" w:line="257" w:lineRule="auto"/>
        <w:ind w:left="4" w:firstLine="508"/>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16.1 供应商在磋商文件要求提交响应文件截止时间之前，可</w:t>
      </w:r>
      <w:r>
        <w:rPr>
          <w:rFonts w:ascii="仿宋" w:hAnsi="仿宋" w:eastAsia="仿宋" w:cs="仿宋"/>
          <w:color w:val="auto"/>
          <w:spacing w:val="-7"/>
          <w:sz w:val="24"/>
          <w:szCs w:val="24"/>
          <w:highlight w:val="none"/>
        </w:rPr>
        <w:t>以补充、修改、替代或</w:t>
      </w:r>
      <w:r>
        <w:rPr>
          <w:rFonts w:ascii="仿宋" w:hAnsi="仿宋" w:eastAsia="仿宋" w:cs="仿宋"/>
          <w:color w:val="auto"/>
          <w:spacing w:val="-3"/>
          <w:sz w:val="24"/>
          <w:szCs w:val="24"/>
          <w:highlight w:val="none"/>
        </w:rPr>
        <w:t>者 撤回已提交的响应文件。补充、修改的内容为响应文件的组成部分。</w:t>
      </w:r>
    </w:p>
    <w:p w14:paraId="7EB2A9AE">
      <w:pPr>
        <w:spacing w:before="263" w:line="257" w:lineRule="auto"/>
        <w:ind w:right="2" w:firstLine="50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16.2 在提交响应文件截止时间后到磋商文件规定的报价有效</w:t>
      </w:r>
      <w:r>
        <w:rPr>
          <w:rFonts w:ascii="仿宋" w:hAnsi="仿宋" w:eastAsia="仿宋" w:cs="仿宋"/>
          <w:color w:val="auto"/>
          <w:spacing w:val="-7"/>
          <w:sz w:val="24"/>
          <w:szCs w:val="24"/>
          <w:highlight w:val="none"/>
        </w:rPr>
        <w:t>期终止之前，在磋商文</w:t>
      </w:r>
      <w:r>
        <w:rPr>
          <w:rFonts w:ascii="仿宋" w:hAnsi="仿宋" w:eastAsia="仿宋" w:cs="仿宋"/>
          <w:color w:val="auto"/>
          <w:spacing w:val="-2"/>
          <w:sz w:val="24"/>
          <w:szCs w:val="24"/>
          <w:highlight w:val="none"/>
        </w:rPr>
        <w:t>件没有变动的情况下，供应商不得补充、修</w:t>
      </w:r>
      <w:r>
        <w:rPr>
          <w:rFonts w:ascii="仿宋" w:hAnsi="仿宋" w:eastAsia="仿宋" w:cs="仿宋"/>
          <w:color w:val="auto"/>
          <w:spacing w:val="-3"/>
          <w:sz w:val="24"/>
          <w:szCs w:val="24"/>
          <w:highlight w:val="none"/>
        </w:rPr>
        <w:t>改、替代或者撤销其响应文件。</w:t>
      </w:r>
    </w:p>
    <w:p w14:paraId="7E02A87E">
      <w:pPr>
        <w:spacing w:before="298" w:line="224" w:lineRule="auto"/>
        <w:ind w:left="588"/>
        <w:outlineLvl w:val="2"/>
        <w:rPr>
          <w:rFonts w:ascii="楷体" w:hAnsi="楷体" w:eastAsia="楷体" w:cs="楷体"/>
          <w:color w:val="auto"/>
          <w:sz w:val="28"/>
          <w:szCs w:val="28"/>
          <w:highlight w:val="none"/>
        </w:rPr>
      </w:pPr>
      <w:bookmarkStart w:id="22" w:name="bookmark24"/>
      <w:bookmarkEnd w:id="22"/>
      <w:r>
        <w:rPr>
          <w:rFonts w:ascii="楷体" w:hAnsi="楷体" w:eastAsia="楷体" w:cs="楷体"/>
          <w:color w:val="auto"/>
          <w:spacing w:val="-6"/>
          <w:sz w:val="28"/>
          <w:szCs w:val="28"/>
          <w:highlight w:val="none"/>
        </w:rPr>
        <w:t>17.保证金（本项目不作要求）</w:t>
      </w:r>
    </w:p>
    <w:p w14:paraId="13132ADE">
      <w:pPr>
        <w:spacing w:before="209" w:line="221" w:lineRule="auto"/>
        <w:ind w:left="512"/>
        <w:outlineLvl w:val="2"/>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17.1</w:t>
      </w:r>
      <w:r>
        <w:rPr>
          <w:rFonts w:ascii="仿宋" w:hAnsi="仿宋" w:eastAsia="仿宋" w:cs="仿宋"/>
          <w:color w:val="auto"/>
          <w:spacing w:val="-16"/>
          <w:sz w:val="24"/>
          <w:szCs w:val="24"/>
          <w:highlight w:val="none"/>
        </w:rPr>
        <w:t xml:space="preserve"> </w:t>
      </w:r>
      <w:r>
        <w:rPr>
          <w:rFonts w:ascii="仿宋" w:hAnsi="仿宋" w:eastAsia="仿宋" w:cs="仿宋"/>
          <w:color w:val="auto"/>
          <w:spacing w:val="-10"/>
          <w:sz w:val="24"/>
          <w:szCs w:val="24"/>
          <w:highlight w:val="none"/>
        </w:rPr>
        <w:t>保证金的交纳</w:t>
      </w:r>
    </w:p>
    <w:p w14:paraId="2DD8C2AA">
      <w:pPr>
        <w:spacing w:before="178" w:line="221" w:lineRule="auto"/>
        <w:ind w:left="51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17.1.1 保证金的交纳金额和形式：见供应商须知前附表。</w:t>
      </w:r>
    </w:p>
    <w:p w14:paraId="62169C10">
      <w:pPr>
        <w:spacing w:before="178" w:line="221" w:lineRule="auto"/>
        <w:ind w:left="512"/>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17.1.2 保证金以到账时间为准。</w:t>
      </w:r>
    </w:p>
    <w:p w14:paraId="0CD00229">
      <w:pPr>
        <w:spacing w:before="220" w:line="258" w:lineRule="auto"/>
        <w:ind w:left="14" w:right="26" w:firstLine="49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17.1.3 供应商为联合体的，联合体牵头人交纳的保证金对联合体各方均具有约束</w:t>
      </w:r>
      <w:r>
        <w:rPr>
          <w:rFonts w:ascii="仿宋" w:hAnsi="仿宋" w:eastAsia="仿宋" w:cs="仿宋"/>
          <w:color w:val="auto"/>
          <w:spacing w:val="-10"/>
          <w:sz w:val="24"/>
          <w:szCs w:val="24"/>
          <w:highlight w:val="none"/>
        </w:rPr>
        <w:t>力。</w:t>
      </w:r>
    </w:p>
    <w:p w14:paraId="05DE63BA">
      <w:pPr>
        <w:spacing w:before="221" w:line="221" w:lineRule="auto"/>
        <w:ind w:left="512"/>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17.2</w:t>
      </w:r>
      <w:r>
        <w:rPr>
          <w:rFonts w:ascii="仿宋" w:hAnsi="仿宋" w:eastAsia="仿宋" w:cs="仿宋"/>
          <w:color w:val="auto"/>
          <w:spacing w:val="-16"/>
          <w:sz w:val="24"/>
          <w:szCs w:val="24"/>
          <w:highlight w:val="none"/>
        </w:rPr>
        <w:t xml:space="preserve"> </w:t>
      </w:r>
      <w:r>
        <w:rPr>
          <w:rFonts w:ascii="仿宋" w:hAnsi="仿宋" w:eastAsia="仿宋" w:cs="仿宋"/>
          <w:color w:val="auto"/>
          <w:spacing w:val="-10"/>
          <w:sz w:val="24"/>
          <w:szCs w:val="24"/>
          <w:highlight w:val="none"/>
        </w:rPr>
        <w:t>保证金的退还</w:t>
      </w:r>
    </w:p>
    <w:p w14:paraId="14225846">
      <w:pPr>
        <w:spacing w:before="219" w:line="281" w:lineRule="auto"/>
        <w:ind w:right="2" w:firstLine="509"/>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17.2.1 供应商在竞争性磋商文件要求提交响应文件截止时间前书面要求撤回响应</w:t>
      </w:r>
      <w:r>
        <w:rPr>
          <w:rFonts w:ascii="仿宋" w:hAnsi="仿宋" w:eastAsia="仿宋" w:cs="仿宋"/>
          <w:color w:val="auto"/>
          <w:spacing w:val="-8"/>
          <w:sz w:val="24"/>
          <w:szCs w:val="24"/>
          <w:highlight w:val="none"/>
        </w:rPr>
        <w:t>文件的，采购人或者采购代理机构自收到供应商书面撤回文件之日起 5  日</w:t>
      </w:r>
      <w:r>
        <w:rPr>
          <w:rFonts w:ascii="仿宋" w:hAnsi="仿宋" w:eastAsia="仿宋" w:cs="仿宋"/>
          <w:color w:val="auto"/>
          <w:spacing w:val="-9"/>
          <w:sz w:val="24"/>
          <w:szCs w:val="24"/>
          <w:highlight w:val="none"/>
        </w:rPr>
        <w:t>内退还已收取</w:t>
      </w:r>
      <w:r>
        <w:rPr>
          <w:rFonts w:ascii="仿宋" w:hAnsi="仿宋" w:eastAsia="仿宋" w:cs="仿宋"/>
          <w:color w:val="auto"/>
          <w:spacing w:val="-8"/>
          <w:sz w:val="24"/>
          <w:szCs w:val="24"/>
          <w:highlight w:val="none"/>
        </w:rPr>
        <w:t>的保证金。</w:t>
      </w:r>
    </w:p>
    <w:p w14:paraId="5C32D06A">
      <w:pPr>
        <w:spacing w:before="302" w:line="254" w:lineRule="auto"/>
        <w:ind w:left="7" w:right="52" w:firstLine="502"/>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17.2.2 采购代理机构在成交通知发出后</w:t>
      </w:r>
      <w:r>
        <w:rPr>
          <w:rFonts w:ascii="仿宋" w:hAnsi="仿宋" w:eastAsia="仿宋" w:cs="仿宋"/>
          <w:color w:val="auto"/>
          <w:spacing w:val="-30"/>
          <w:sz w:val="24"/>
          <w:szCs w:val="24"/>
          <w:highlight w:val="none"/>
        </w:rPr>
        <w:t xml:space="preserve"> </w:t>
      </w:r>
      <w:r>
        <w:rPr>
          <w:rFonts w:ascii="仿宋" w:hAnsi="仿宋" w:eastAsia="仿宋" w:cs="仿宋"/>
          <w:color w:val="auto"/>
          <w:spacing w:val="-9"/>
          <w:sz w:val="24"/>
          <w:szCs w:val="24"/>
          <w:highlight w:val="none"/>
        </w:rPr>
        <w:t>5 个工作</w:t>
      </w:r>
      <w:r>
        <w:rPr>
          <w:rFonts w:ascii="仿宋" w:hAnsi="仿宋" w:eastAsia="仿宋" w:cs="仿宋"/>
          <w:color w:val="auto"/>
          <w:spacing w:val="-10"/>
          <w:sz w:val="24"/>
          <w:szCs w:val="24"/>
          <w:highlight w:val="none"/>
        </w:rPr>
        <w:t>日内退还未成交供应商的保证金，</w:t>
      </w:r>
      <w:r>
        <w:rPr>
          <w:rFonts w:ascii="仿宋" w:hAnsi="仿宋" w:eastAsia="仿宋" w:cs="仿宋"/>
          <w:color w:val="auto"/>
          <w:spacing w:val="-6"/>
          <w:sz w:val="24"/>
          <w:szCs w:val="24"/>
          <w:highlight w:val="none"/>
        </w:rPr>
        <w:t>在采购合同签订并备案后 5 个工作日内退还成交供应商的保证金。</w:t>
      </w:r>
    </w:p>
    <w:p w14:paraId="7DDA61D1">
      <w:pPr>
        <w:spacing w:before="234" w:line="221" w:lineRule="auto"/>
        <w:ind w:left="512"/>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17.3 保证金不予退还</w:t>
      </w:r>
    </w:p>
    <w:p w14:paraId="4726C6D2">
      <w:pPr>
        <w:spacing w:before="178" w:line="221" w:lineRule="auto"/>
        <w:ind w:left="51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17.3.1 供应商有下列情形之一的，保证金将不予退还：</w:t>
      </w:r>
    </w:p>
    <w:p w14:paraId="56FCBF16">
      <w:pPr>
        <w:spacing w:before="179" w:line="220" w:lineRule="auto"/>
        <w:ind w:left="49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（1）提供的有关资料不真实或者提供虚假材料的；</w:t>
      </w:r>
    </w:p>
    <w:p w14:paraId="69DF3C54">
      <w:pPr>
        <w:spacing w:before="187" w:line="222" w:lineRule="auto"/>
        <w:ind w:left="49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（2）报价截止时间后供应商撤回全部或者部分响应文件的；</w:t>
      </w:r>
    </w:p>
    <w:p w14:paraId="693DE7CD">
      <w:pPr>
        <w:spacing w:before="177" w:line="222" w:lineRule="auto"/>
        <w:ind w:left="49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（3）损害采购人或者采购代理机构合法权益的；</w:t>
      </w:r>
    </w:p>
    <w:p w14:paraId="0AA05AC8">
      <w:pPr>
        <w:spacing w:before="177" w:line="222" w:lineRule="auto"/>
        <w:ind w:left="49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（4）供应商向采购代理机构、采购人、专家提供不正当利益的；</w:t>
      </w:r>
    </w:p>
    <w:p w14:paraId="2F917636">
      <w:pPr>
        <w:spacing w:before="175" w:line="219" w:lineRule="auto"/>
        <w:ind w:left="49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（5）经磋商小组认定有故意哄抬报价、串标或者其他违法行为的；</w:t>
      </w:r>
    </w:p>
    <w:p w14:paraId="4921912B">
      <w:pPr>
        <w:spacing w:before="223" w:line="255" w:lineRule="auto"/>
        <w:ind w:right="35" w:firstLine="495"/>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（6）成交供应商未按照竞争性磋商文件规定签订合同或者未按照竞争性磋商文件</w:t>
      </w:r>
      <w:r>
        <w:rPr>
          <w:rFonts w:ascii="仿宋" w:hAnsi="仿宋" w:eastAsia="仿宋" w:cs="仿宋"/>
          <w:color w:val="auto"/>
          <w:spacing w:val="-5"/>
          <w:sz w:val="24"/>
          <w:szCs w:val="24"/>
          <w:highlight w:val="none"/>
        </w:rPr>
        <w:t>规定提供履约保证金的；</w:t>
      </w:r>
    </w:p>
    <w:p w14:paraId="4F691B52">
      <w:pPr>
        <w:spacing w:before="230" w:line="221" w:lineRule="auto"/>
        <w:ind w:left="49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（7）法律、行政法规以及有关规定的其它情形。</w:t>
      </w:r>
    </w:p>
    <w:p w14:paraId="475A25C1">
      <w:pPr>
        <w:spacing w:before="176" w:line="219" w:lineRule="auto"/>
        <w:ind w:left="51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17.3.2 不予退还的保证金应在规定时间内上缴国库。</w:t>
      </w:r>
    </w:p>
    <w:p w14:paraId="484F9544">
      <w:pPr>
        <w:spacing w:before="256" w:line="225" w:lineRule="auto"/>
        <w:ind w:left="588"/>
        <w:outlineLvl w:val="2"/>
        <w:rPr>
          <w:rFonts w:ascii="楷体" w:hAnsi="楷体" w:eastAsia="楷体" w:cs="楷体"/>
          <w:color w:val="auto"/>
          <w:sz w:val="28"/>
          <w:szCs w:val="28"/>
          <w:highlight w:val="none"/>
        </w:rPr>
      </w:pPr>
      <w:bookmarkStart w:id="23" w:name="bookmark25"/>
      <w:bookmarkEnd w:id="23"/>
      <w:r>
        <w:rPr>
          <w:rFonts w:ascii="楷体" w:hAnsi="楷体" w:eastAsia="楷体" w:cs="楷体"/>
          <w:color w:val="auto"/>
          <w:spacing w:val="-7"/>
          <w:sz w:val="28"/>
          <w:szCs w:val="28"/>
          <w:highlight w:val="none"/>
        </w:rPr>
        <w:t>18.开标、磋商、成交</w:t>
      </w:r>
    </w:p>
    <w:p w14:paraId="5CFB800C">
      <w:pPr>
        <w:spacing w:before="213" w:line="222" w:lineRule="auto"/>
        <w:ind w:left="512"/>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18.1.开标程序</w:t>
      </w:r>
    </w:p>
    <w:p w14:paraId="22FC9F38">
      <w:pPr>
        <w:spacing w:line="222" w:lineRule="auto"/>
        <w:rPr>
          <w:rFonts w:ascii="仿宋" w:hAnsi="仿宋" w:eastAsia="仿宋" w:cs="仿宋"/>
          <w:color w:val="auto"/>
          <w:sz w:val="24"/>
          <w:szCs w:val="24"/>
          <w:highlight w:val="none"/>
        </w:rPr>
        <w:sectPr>
          <w:footerReference r:id="rId16" w:type="default"/>
          <w:pgSz w:w="11906" w:h="16840"/>
          <w:pgMar w:top="1431" w:right="1413" w:bottom="1017" w:left="1462" w:header="0" w:footer="848" w:gutter="0"/>
          <w:pgNumType w:fmt="decimal"/>
          <w:cols w:space="720" w:num="1"/>
        </w:sectPr>
      </w:pPr>
    </w:p>
    <w:p w14:paraId="6BBDF76E">
      <w:pPr>
        <w:spacing w:before="130" w:line="220" w:lineRule="auto"/>
        <w:ind w:left="511"/>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18.1.1 宣布开标纪律；</w:t>
      </w:r>
    </w:p>
    <w:p w14:paraId="120924AC">
      <w:pPr>
        <w:spacing w:before="179" w:line="220" w:lineRule="auto"/>
        <w:ind w:left="51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18.1.2 宣布主持人、唱价人、记录人等有关人员姓名；</w:t>
      </w:r>
    </w:p>
    <w:p w14:paraId="7FAE95B0">
      <w:pPr>
        <w:spacing w:before="177" w:line="219" w:lineRule="auto"/>
        <w:ind w:left="51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18.1.3 公布在报价截止时间前递交响应文件的供应商名称及签到顺序；</w:t>
      </w:r>
    </w:p>
    <w:p w14:paraId="22AAAC8F">
      <w:pPr>
        <w:spacing w:before="182" w:line="220" w:lineRule="auto"/>
        <w:ind w:left="51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18.1.4 供应商相互检查响应文件密封情况，并签字确认；</w:t>
      </w:r>
    </w:p>
    <w:p w14:paraId="2C504536">
      <w:pPr>
        <w:spacing w:before="180" w:line="219" w:lineRule="auto"/>
        <w:jc w:val="right"/>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18.1.5 开启响应文件，按照签到顺序公布供应商名称、报价等内容，并记录在案；</w:t>
      </w:r>
    </w:p>
    <w:p w14:paraId="25F26E29">
      <w:pPr>
        <w:spacing w:before="220" w:line="258" w:lineRule="auto"/>
        <w:ind w:right="84" w:firstLine="511"/>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18.1.6 供应商法定代表人（或者被授权代表）、采购人代表、记录人等有</w:t>
      </w:r>
      <w:r>
        <w:rPr>
          <w:rFonts w:ascii="仿宋" w:hAnsi="仿宋" w:eastAsia="仿宋" w:cs="仿宋"/>
          <w:color w:val="auto"/>
          <w:spacing w:val="-7"/>
          <w:sz w:val="24"/>
          <w:szCs w:val="24"/>
          <w:highlight w:val="none"/>
        </w:rPr>
        <w:t>关人员在</w:t>
      </w:r>
      <w:r>
        <w:rPr>
          <w:rFonts w:ascii="仿宋" w:hAnsi="仿宋" w:eastAsia="仿宋" w:cs="仿宋"/>
          <w:color w:val="auto"/>
          <w:spacing w:val="-5"/>
          <w:sz w:val="24"/>
          <w:szCs w:val="24"/>
          <w:highlight w:val="none"/>
        </w:rPr>
        <w:t>开标记录上签字确认；</w:t>
      </w:r>
    </w:p>
    <w:p w14:paraId="08FB6D1D">
      <w:pPr>
        <w:spacing w:before="261" w:line="220" w:lineRule="auto"/>
        <w:ind w:left="511"/>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18.1.7</w:t>
      </w:r>
      <w:r>
        <w:rPr>
          <w:rFonts w:ascii="仿宋" w:hAnsi="仿宋" w:eastAsia="仿宋" w:cs="仿宋"/>
          <w:color w:val="auto"/>
          <w:spacing w:val="-27"/>
          <w:sz w:val="24"/>
          <w:szCs w:val="24"/>
          <w:highlight w:val="none"/>
        </w:rPr>
        <w:t xml:space="preserve"> </w:t>
      </w:r>
      <w:r>
        <w:rPr>
          <w:rFonts w:ascii="仿宋" w:hAnsi="仿宋" w:eastAsia="仿宋" w:cs="仿宋"/>
          <w:color w:val="auto"/>
          <w:spacing w:val="-14"/>
          <w:sz w:val="24"/>
          <w:szCs w:val="24"/>
          <w:highlight w:val="none"/>
        </w:rPr>
        <w:t>开标结束。</w:t>
      </w:r>
    </w:p>
    <w:p w14:paraId="59088E70">
      <w:pPr>
        <w:spacing w:before="48" w:line="222" w:lineRule="auto"/>
        <w:ind w:left="511"/>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18.2.开标</w:t>
      </w:r>
    </w:p>
    <w:p w14:paraId="2D75CA4F">
      <w:pPr>
        <w:pStyle w:val="3"/>
        <w:spacing w:line="262" w:lineRule="auto"/>
        <w:rPr>
          <w:color w:val="auto"/>
          <w:highlight w:val="none"/>
        </w:rPr>
      </w:pPr>
    </w:p>
    <w:p w14:paraId="28976F00">
      <w:pPr>
        <w:spacing w:before="79" w:line="249" w:lineRule="auto"/>
        <w:ind w:left="6" w:right="110" w:firstLine="502"/>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18.2.1 开标应当在竞争性磋商文件确定的提交响应文件截止时间的同一时间公开</w:t>
      </w:r>
      <w:r>
        <w:rPr>
          <w:rFonts w:ascii="仿宋" w:hAnsi="仿宋" w:eastAsia="仿宋" w:cs="仿宋"/>
          <w:color w:val="auto"/>
          <w:spacing w:val="-3"/>
          <w:sz w:val="24"/>
          <w:szCs w:val="24"/>
          <w:highlight w:val="none"/>
        </w:rPr>
        <w:t>进行。开标地点应当为竞争性磋商文件中预先确定的地点。</w:t>
      </w:r>
    </w:p>
    <w:p w14:paraId="3B18CF88">
      <w:pPr>
        <w:spacing w:before="159" w:line="219" w:lineRule="auto"/>
        <w:ind w:left="51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18.2.2 供应商应在供应商须知规定的时间内完成解密。</w:t>
      </w:r>
    </w:p>
    <w:p w14:paraId="4A7FEE4D">
      <w:pPr>
        <w:spacing w:before="183" w:line="220" w:lineRule="auto"/>
        <w:ind w:left="511"/>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18.2.3</w:t>
      </w:r>
      <w:r>
        <w:rPr>
          <w:rFonts w:ascii="仿宋" w:hAnsi="仿宋" w:eastAsia="仿宋" w:cs="仿宋"/>
          <w:color w:val="auto"/>
          <w:spacing w:val="84"/>
          <w:sz w:val="24"/>
          <w:szCs w:val="24"/>
          <w:highlight w:val="none"/>
        </w:rPr>
        <w:t xml:space="preserve"> </w:t>
      </w:r>
      <w:r>
        <w:rPr>
          <w:rFonts w:ascii="仿宋" w:hAnsi="仿宋" w:eastAsia="仿宋" w:cs="仿宋"/>
          <w:color w:val="auto"/>
          <w:spacing w:val="-11"/>
          <w:sz w:val="24"/>
          <w:szCs w:val="24"/>
          <w:highlight w:val="none"/>
        </w:rPr>
        <w:t>由采购代理机构工作人员唱标。</w:t>
      </w:r>
    </w:p>
    <w:p w14:paraId="4554BAC8">
      <w:pPr>
        <w:spacing w:before="222" w:line="336" w:lineRule="auto"/>
        <w:ind w:firstLine="515"/>
        <w:jc w:val="both"/>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唱标人当众宣读供应商名称、响应报价、竞争性磋商文件允许提供</w:t>
      </w:r>
      <w:r>
        <w:rPr>
          <w:rFonts w:ascii="仿宋" w:hAnsi="仿宋" w:eastAsia="仿宋" w:cs="仿宋"/>
          <w:color w:val="auto"/>
          <w:spacing w:val="-2"/>
          <w:sz w:val="24"/>
          <w:szCs w:val="24"/>
          <w:highlight w:val="none"/>
        </w:rPr>
        <w:t>的备选报价方案</w:t>
      </w:r>
      <w:r>
        <w:rPr>
          <w:rFonts w:ascii="仿宋" w:hAnsi="仿宋" w:eastAsia="仿宋" w:cs="仿宋"/>
          <w:color w:val="auto"/>
          <w:sz w:val="24"/>
          <w:szCs w:val="24"/>
          <w:highlight w:val="none"/>
        </w:rPr>
        <w:t>和响应文件的其他主要内容，并不得拒绝任何符合要求的响应报</w:t>
      </w:r>
      <w:r>
        <w:rPr>
          <w:rFonts w:ascii="仿宋" w:hAnsi="仿宋" w:eastAsia="仿宋" w:cs="仿宋"/>
          <w:color w:val="auto"/>
          <w:spacing w:val="-1"/>
          <w:sz w:val="24"/>
          <w:szCs w:val="24"/>
          <w:highlight w:val="none"/>
        </w:rPr>
        <w:t>价。供应商若有报价和</w:t>
      </w:r>
      <w:r>
        <w:rPr>
          <w:rFonts w:ascii="仿宋" w:hAnsi="仿宋" w:eastAsia="仿宋" w:cs="仿宋"/>
          <w:color w:val="auto"/>
          <w:spacing w:val="-6"/>
          <w:sz w:val="24"/>
          <w:szCs w:val="24"/>
          <w:highlight w:val="none"/>
        </w:rPr>
        <w:t>优惠未被唱出，应在开标时及时声明或者提出，否则采购代理机</w:t>
      </w:r>
      <w:r>
        <w:rPr>
          <w:rFonts w:ascii="仿宋" w:hAnsi="仿宋" w:eastAsia="仿宋" w:cs="仿宋"/>
          <w:color w:val="auto"/>
          <w:spacing w:val="-7"/>
          <w:sz w:val="24"/>
          <w:szCs w:val="24"/>
          <w:highlight w:val="none"/>
        </w:rPr>
        <w:t>构对此不承担任何责任。</w:t>
      </w:r>
    </w:p>
    <w:p w14:paraId="03287C78">
      <w:pPr>
        <w:spacing w:before="84" w:line="252" w:lineRule="auto"/>
        <w:ind w:left="13" w:right="75" w:firstLine="49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18.2.4 开标和唱标由采购代理机构指定专人负责，开标记录由供应商法定</w:t>
      </w:r>
      <w:r>
        <w:rPr>
          <w:rFonts w:ascii="仿宋" w:hAnsi="仿宋" w:eastAsia="仿宋" w:cs="仿宋"/>
          <w:color w:val="auto"/>
          <w:spacing w:val="-7"/>
          <w:sz w:val="24"/>
          <w:szCs w:val="24"/>
          <w:highlight w:val="none"/>
        </w:rPr>
        <w:t>代表人或</w:t>
      </w:r>
      <w:r>
        <w:rPr>
          <w:rFonts w:ascii="仿宋" w:hAnsi="仿宋" w:eastAsia="仿宋" w:cs="仿宋"/>
          <w:color w:val="auto"/>
          <w:spacing w:val="-9"/>
          <w:sz w:val="24"/>
          <w:szCs w:val="24"/>
          <w:highlight w:val="none"/>
        </w:rPr>
        <w:t>者被授权代表、采购人代表、记录人等有关人员签字确认，采购代理机构负责存档备查。</w:t>
      </w:r>
    </w:p>
    <w:p w14:paraId="298EEBCA">
      <w:pPr>
        <w:spacing w:before="280" w:line="283" w:lineRule="auto"/>
        <w:ind w:left="6" w:right="86" w:firstLine="50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18.2.5 供应商对开标有异议的，应当在开标现场以书面形式提出，采购人</w:t>
      </w:r>
      <w:r>
        <w:rPr>
          <w:rFonts w:ascii="仿宋" w:hAnsi="仿宋" w:eastAsia="仿宋" w:cs="仿宋"/>
          <w:color w:val="auto"/>
          <w:spacing w:val="-7"/>
          <w:sz w:val="24"/>
          <w:szCs w:val="24"/>
          <w:highlight w:val="none"/>
        </w:rPr>
        <w:t>或者采购</w:t>
      </w:r>
      <w:r>
        <w:rPr>
          <w:rFonts w:ascii="仿宋" w:hAnsi="仿宋" w:eastAsia="仿宋" w:cs="仿宋"/>
          <w:color w:val="auto"/>
          <w:spacing w:val="-3"/>
          <w:sz w:val="24"/>
          <w:szCs w:val="24"/>
          <w:highlight w:val="none"/>
        </w:rPr>
        <w:t>代理机构应当场给予答复，并制作记录，供应商法定代表人或者被授权代表、采购人代表、采购代理机构（包括公证机构人员）签字确认。</w:t>
      </w:r>
    </w:p>
    <w:p w14:paraId="32EDDDAC">
      <w:pPr>
        <w:spacing w:before="261" w:line="223" w:lineRule="auto"/>
        <w:ind w:left="511"/>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18.3</w:t>
      </w:r>
      <w:r>
        <w:rPr>
          <w:rFonts w:ascii="仿宋" w:hAnsi="仿宋" w:eastAsia="仿宋" w:cs="仿宋"/>
          <w:color w:val="auto"/>
          <w:spacing w:val="-26"/>
          <w:sz w:val="24"/>
          <w:szCs w:val="24"/>
          <w:highlight w:val="none"/>
        </w:rPr>
        <w:t xml:space="preserve"> </w:t>
      </w:r>
      <w:r>
        <w:rPr>
          <w:rFonts w:ascii="仿宋" w:hAnsi="仿宋" w:eastAsia="仿宋" w:cs="仿宋"/>
          <w:color w:val="auto"/>
          <w:spacing w:val="-11"/>
          <w:sz w:val="24"/>
          <w:szCs w:val="24"/>
          <w:highlight w:val="none"/>
        </w:rPr>
        <w:t>磋商小组</w:t>
      </w:r>
    </w:p>
    <w:p w14:paraId="1C315E4D">
      <w:pPr>
        <w:spacing w:before="176" w:line="223" w:lineRule="auto"/>
        <w:ind w:left="511"/>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18.3.1</w:t>
      </w:r>
      <w:r>
        <w:rPr>
          <w:rFonts w:ascii="仿宋" w:hAnsi="仿宋" w:eastAsia="仿宋" w:cs="仿宋"/>
          <w:color w:val="auto"/>
          <w:spacing w:val="-20"/>
          <w:sz w:val="24"/>
          <w:szCs w:val="24"/>
          <w:highlight w:val="none"/>
        </w:rPr>
        <w:t xml:space="preserve"> </w:t>
      </w:r>
      <w:r>
        <w:rPr>
          <w:rFonts w:ascii="仿宋" w:hAnsi="仿宋" w:eastAsia="仿宋" w:cs="仿宋"/>
          <w:color w:val="auto"/>
          <w:spacing w:val="-8"/>
          <w:sz w:val="24"/>
          <w:szCs w:val="24"/>
          <w:highlight w:val="none"/>
        </w:rPr>
        <w:t>磋商小组的组成</w:t>
      </w:r>
    </w:p>
    <w:p w14:paraId="72D8A7F9">
      <w:pPr>
        <w:spacing w:before="191" w:line="354" w:lineRule="auto"/>
        <w:ind w:left="8" w:right="81" w:firstLine="47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采购人按照《中华人民共和国政府采购法》</w:t>
      </w:r>
      <w:r>
        <w:rPr>
          <w:rFonts w:ascii="仿宋" w:hAnsi="仿宋" w:eastAsia="仿宋" w:cs="仿宋"/>
          <w:color w:val="auto"/>
          <w:spacing w:val="-70"/>
          <w:sz w:val="24"/>
          <w:szCs w:val="24"/>
          <w:highlight w:val="none"/>
        </w:rPr>
        <w:t xml:space="preserve"> </w:t>
      </w:r>
      <w:r>
        <w:rPr>
          <w:rFonts w:ascii="仿宋" w:hAnsi="仿宋" w:eastAsia="仿宋" w:cs="仿宋"/>
          <w:color w:val="auto"/>
          <w:spacing w:val="3"/>
          <w:sz w:val="24"/>
          <w:szCs w:val="24"/>
          <w:highlight w:val="none"/>
        </w:rPr>
        <w:t>以及有关规定组</w:t>
      </w:r>
      <w:r>
        <w:rPr>
          <w:rFonts w:ascii="仿宋" w:hAnsi="仿宋" w:eastAsia="仿宋" w:cs="仿宋"/>
          <w:color w:val="auto"/>
          <w:spacing w:val="2"/>
          <w:sz w:val="24"/>
          <w:szCs w:val="24"/>
          <w:highlight w:val="none"/>
        </w:rPr>
        <w:t>建磋商小组。磋商由</w:t>
      </w:r>
      <w:r>
        <w:rPr>
          <w:rFonts w:ascii="仿宋" w:hAnsi="仿宋" w:eastAsia="仿宋" w:cs="仿宋"/>
          <w:color w:val="auto"/>
          <w:spacing w:val="-2"/>
          <w:sz w:val="24"/>
          <w:szCs w:val="24"/>
          <w:highlight w:val="none"/>
        </w:rPr>
        <w:t>依 法组建的磋商小组负责。磋商小组由评审专家组</w:t>
      </w:r>
      <w:r>
        <w:rPr>
          <w:rFonts w:ascii="仿宋" w:hAnsi="仿宋" w:eastAsia="仿宋" w:cs="仿宋"/>
          <w:color w:val="auto"/>
          <w:spacing w:val="-3"/>
          <w:sz w:val="24"/>
          <w:szCs w:val="24"/>
          <w:highlight w:val="none"/>
        </w:rPr>
        <w:t>成，成员人数为三人。</w:t>
      </w:r>
    </w:p>
    <w:p w14:paraId="22719294">
      <w:pPr>
        <w:spacing w:before="39" w:line="222" w:lineRule="auto"/>
        <w:ind w:left="511"/>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18.3.2 评审专家的抽取</w:t>
      </w:r>
    </w:p>
    <w:p w14:paraId="4B73BF06">
      <w:pPr>
        <w:spacing w:before="142" w:line="262" w:lineRule="auto"/>
        <w:ind w:right="110" w:firstLine="508"/>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"18.3.2.1" </w:instrText>
      </w:r>
      <w:r>
        <w:rPr>
          <w:color w:val="auto"/>
          <w:highlight w:val="none"/>
        </w:rPr>
        <w:fldChar w:fldCharType="separate"/>
      </w:r>
      <w:r>
        <w:rPr>
          <w:rFonts w:ascii="仿宋" w:hAnsi="仿宋" w:eastAsia="仿宋" w:cs="仿宋"/>
          <w:color w:val="auto"/>
          <w:spacing w:val="-1"/>
          <w:sz w:val="24"/>
          <w:szCs w:val="24"/>
          <w:highlight w:val="none"/>
        </w:rPr>
        <w:t>18.3.2.1</w:t>
      </w:r>
      <w:r>
        <w:rPr>
          <w:rFonts w:ascii="仿宋" w:hAnsi="仿宋" w:eastAsia="仿宋" w:cs="仿宋"/>
          <w:color w:val="auto"/>
          <w:spacing w:val="-1"/>
          <w:sz w:val="24"/>
          <w:szCs w:val="24"/>
          <w:highlight w:val="none"/>
        </w:rPr>
        <w:fldChar w:fldCharType="end"/>
      </w:r>
      <w:r>
        <w:rPr>
          <w:rFonts w:ascii="仿宋" w:hAnsi="仿宋" w:eastAsia="仿宋" w:cs="仿宋"/>
          <w:color w:val="auto"/>
          <w:spacing w:val="-1"/>
          <w:sz w:val="24"/>
          <w:szCs w:val="24"/>
          <w:highlight w:val="none"/>
        </w:rPr>
        <w:t xml:space="preserve"> 采用随机抽取方式从政府采购监管部门依法设立的专家库中确定磋商小</w:t>
      </w:r>
      <w:r>
        <w:rPr>
          <w:rFonts w:ascii="仿宋" w:hAnsi="仿宋" w:eastAsia="仿宋" w:cs="仿宋"/>
          <w:color w:val="auto"/>
          <w:spacing w:val="-3"/>
          <w:sz w:val="24"/>
          <w:szCs w:val="24"/>
          <w:highlight w:val="none"/>
        </w:rPr>
        <w:t>组成员。任何单位和个人都不得指定评审专家或干预评审专家的抽取工作。</w:t>
      </w:r>
    </w:p>
    <w:p w14:paraId="4AEEBE8D">
      <w:pPr>
        <w:spacing w:line="262" w:lineRule="auto"/>
        <w:rPr>
          <w:rFonts w:ascii="仿宋" w:hAnsi="仿宋" w:eastAsia="仿宋" w:cs="仿宋"/>
          <w:color w:val="auto"/>
          <w:sz w:val="24"/>
          <w:szCs w:val="24"/>
          <w:highlight w:val="none"/>
        </w:rPr>
        <w:sectPr>
          <w:footerReference r:id="rId17" w:type="default"/>
          <w:pgSz w:w="11906" w:h="16840"/>
          <w:pgMar w:top="1431" w:right="1329" w:bottom="1073" w:left="1463" w:header="0" w:footer="827" w:gutter="0"/>
          <w:pgNumType w:fmt="decimal"/>
          <w:cols w:space="720" w:num="1"/>
        </w:sectPr>
      </w:pPr>
    </w:p>
    <w:p w14:paraId="4F7A3EEF">
      <w:pPr>
        <w:spacing w:before="99" w:line="261" w:lineRule="auto"/>
        <w:ind w:left="89" w:right="9" w:firstLine="42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"18.3.2.2" </w:instrText>
      </w:r>
      <w:r>
        <w:rPr>
          <w:color w:val="auto"/>
          <w:highlight w:val="none"/>
        </w:rPr>
        <w:fldChar w:fldCharType="separate"/>
      </w:r>
      <w:r>
        <w:rPr>
          <w:rFonts w:ascii="仿宋" w:hAnsi="仿宋" w:eastAsia="仿宋" w:cs="仿宋"/>
          <w:color w:val="auto"/>
          <w:spacing w:val="-6"/>
          <w:sz w:val="24"/>
          <w:szCs w:val="24"/>
          <w:highlight w:val="none"/>
        </w:rPr>
        <w:t>18.3.2.2</w:t>
      </w:r>
      <w:r>
        <w:rPr>
          <w:rFonts w:ascii="仿宋" w:hAnsi="仿宋" w:eastAsia="仿宋" w:cs="仿宋"/>
          <w:color w:val="auto"/>
          <w:spacing w:val="-6"/>
          <w:sz w:val="24"/>
          <w:szCs w:val="24"/>
          <w:highlight w:val="none"/>
        </w:rPr>
        <w:fldChar w:fldCharType="end"/>
      </w:r>
      <w:r>
        <w:rPr>
          <w:rFonts w:ascii="仿宋" w:hAnsi="仿宋" w:eastAsia="仿宋" w:cs="仿宋"/>
          <w:color w:val="auto"/>
          <w:spacing w:val="-6"/>
          <w:sz w:val="24"/>
          <w:szCs w:val="24"/>
          <w:highlight w:val="none"/>
        </w:rPr>
        <w:t xml:space="preserve"> 参加评审专家抽取的有关人员对被抽取的专家的姓名、单位和联系</w:t>
      </w:r>
      <w:r>
        <w:rPr>
          <w:rFonts w:ascii="仿宋" w:hAnsi="仿宋" w:eastAsia="仿宋" w:cs="仿宋"/>
          <w:color w:val="auto"/>
          <w:spacing w:val="-7"/>
          <w:sz w:val="24"/>
          <w:szCs w:val="24"/>
          <w:highlight w:val="none"/>
        </w:rPr>
        <w:t>方式等</w:t>
      </w:r>
      <w:r>
        <w:rPr>
          <w:rFonts w:ascii="仿宋" w:hAnsi="仿宋" w:eastAsia="仿宋" w:cs="仿宋"/>
          <w:color w:val="auto"/>
          <w:spacing w:val="-4"/>
          <w:sz w:val="24"/>
          <w:szCs w:val="24"/>
          <w:highlight w:val="none"/>
        </w:rPr>
        <w:t>内容负有保密义务。磋商小组成员的名单在评审结果确定前必</w:t>
      </w:r>
      <w:r>
        <w:rPr>
          <w:rFonts w:ascii="仿宋" w:hAnsi="仿宋" w:eastAsia="仿宋" w:cs="仿宋"/>
          <w:color w:val="auto"/>
          <w:spacing w:val="-5"/>
          <w:sz w:val="24"/>
          <w:szCs w:val="24"/>
          <w:highlight w:val="none"/>
        </w:rPr>
        <w:t>须严格保密。</w:t>
      </w:r>
    </w:p>
    <w:p w14:paraId="0E19A180">
      <w:pPr>
        <w:pStyle w:val="3"/>
        <w:spacing w:line="242" w:lineRule="auto"/>
        <w:rPr>
          <w:color w:val="auto"/>
          <w:highlight w:val="none"/>
        </w:rPr>
      </w:pPr>
    </w:p>
    <w:p w14:paraId="7B2FBEB8">
      <w:pPr>
        <w:spacing w:before="78" w:line="258" w:lineRule="auto"/>
        <w:ind w:firstLine="511"/>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18.3.3 磋商小组成员不得参加与自己有利害关系的评审活动，与</w:t>
      </w:r>
      <w:r>
        <w:rPr>
          <w:rFonts w:ascii="仿宋" w:hAnsi="仿宋" w:eastAsia="仿宋" w:cs="仿宋"/>
          <w:color w:val="auto"/>
          <w:spacing w:val="47"/>
          <w:sz w:val="24"/>
          <w:szCs w:val="24"/>
          <w:highlight w:val="none"/>
        </w:rPr>
        <w:t xml:space="preserve"> </w:t>
      </w:r>
      <w:r>
        <w:rPr>
          <w:rFonts w:ascii="仿宋" w:hAnsi="仿宋" w:eastAsia="仿宋" w:cs="仿宋"/>
          <w:color w:val="auto"/>
          <w:spacing w:val="-10"/>
          <w:sz w:val="24"/>
          <w:szCs w:val="24"/>
          <w:highlight w:val="none"/>
        </w:rPr>
        <w:t>自己</w:t>
      </w:r>
      <w:r>
        <w:rPr>
          <w:rFonts w:ascii="仿宋" w:hAnsi="仿宋" w:eastAsia="仿宋" w:cs="仿宋"/>
          <w:color w:val="auto"/>
          <w:spacing w:val="-11"/>
          <w:sz w:val="24"/>
          <w:szCs w:val="24"/>
          <w:highlight w:val="none"/>
        </w:rPr>
        <w:t>有利害关系的</w:t>
      </w:r>
      <w:r>
        <w:rPr>
          <w:rFonts w:ascii="仿宋" w:hAnsi="仿宋" w:eastAsia="仿宋" w:cs="仿宋"/>
          <w:color w:val="auto"/>
          <w:spacing w:val="-4"/>
          <w:sz w:val="24"/>
          <w:szCs w:val="24"/>
          <w:highlight w:val="none"/>
        </w:rPr>
        <w:t>应当回避，已经进入的必须更换。</w:t>
      </w:r>
    </w:p>
    <w:p w14:paraId="74970305">
      <w:pPr>
        <w:spacing w:before="260" w:line="255" w:lineRule="auto"/>
        <w:ind w:left="42" w:right="7" w:firstLine="468"/>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18.3.4 磋商小组负责对各响应文件进行评审、比较、评定，并按本竞</w:t>
      </w:r>
      <w:r>
        <w:rPr>
          <w:rFonts w:ascii="仿宋" w:hAnsi="仿宋" w:eastAsia="仿宋" w:cs="仿宋"/>
          <w:color w:val="auto"/>
          <w:spacing w:val="-7"/>
          <w:sz w:val="24"/>
          <w:szCs w:val="24"/>
          <w:highlight w:val="none"/>
        </w:rPr>
        <w:t>争性磋商文件</w:t>
      </w:r>
      <w:r>
        <w:rPr>
          <w:rFonts w:ascii="仿宋" w:hAnsi="仿宋" w:eastAsia="仿宋" w:cs="仿宋"/>
          <w:color w:val="auto"/>
          <w:spacing w:val="-6"/>
          <w:sz w:val="24"/>
          <w:szCs w:val="24"/>
          <w:highlight w:val="none"/>
        </w:rPr>
        <w:t>的规定确定成交供应商或者推荐中标候选人。</w:t>
      </w:r>
    </w:p>
    <w:p w14:paraId="4F0630A5">
      <w:pPr>
        <w:spacing w:before="272" w:line="309" w:lineRule="auto"/>
        <w:ind w:right="5" w:firstLine="511"/>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18.3.5 磋商小组具有依据竞争性磋商文件进行独立评审的权力，且不受外</w:t>
      </w:r>
      <w:r>
        <w:rPr>
          <w:rFonts w:ascii="仿宋" w:hAnsi="仿宋" w:eastAsia="仿宋" w:cs="仿宋"/>
          <w:color w:val="auto"/>
          <w:spacing w:val="-7"/>
          <w:sz w:val="24"/>
          <w:szCs w:val="24"/>
          <w:highlight w:val="none"/>
        </w:rPr>
        <w:t>界任何因</w:t>
      </w:r>
      <w:r>
        <w:rPr>
          <w:rFonts w:ascii="仿宋" w:hAnsi="仿宋" w:eastAsia="仿宋" w:cs="仿宋"/>
          <w:color w:val="auto"/>
          <w:spacing w:val="-3"/>
          <w:sz w:val="24"/>
          <w:szCs w:val="24"/>
          <w:highlight w:val="none"/>
        </w:rPr>
        <w:t>素的干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说明其不同意见和理由的，视为同意评审结果。</w:t>
      </w:r>
    </w:p>
    <w:p w14:paraId="52116A3C">
      <w:pPr>
        <w:spacing w:before="283" w:line="223" w:lineRule="auto"/>
        <w:ind w:left="511"/>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18.3.6 磋商小组的职责：</w:t>
      </w:r>
    </w:p>
    <w:p w14:paraId="37257723">
      <w:pPr>
        <w:spacing w:before="139" w:line="263" w:lineRule="auto"/>
        <w:ind w:left="6" w:right="4" w:firstLine="50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"18.3.6.1" </w:instrText>
      </w:r>
      <w:r>
        <w:rPr>
          <w:color w:val="auto"/>
          <w:highlight w:val="none"/>
        </w:rPr>
        <w:fldChar w:fldCharType="separate"/>
      </w:r>
      <w:r>
        <w:rPr>
          <w:rFonts w:ascii="仿宋" w:hAnsi="仿宋" w:eastAsia="仿宋" w:cs="仿宋"/>
          <w:color w:val="auto"/>
          <w:spacing w:val="-6"/>
          <w:sz w:val="24"/>
          <w:szCs w:val="24"/>
          <w:highlight w:val="none"/>
        </w:rPr>
        <w:t>18.3.6.1</w:t>
      </w:r>
      <w:r>
        <w:rPr>
          <w:rFonts w:ascii="仿宋" w:hAnsi="仿宋" w:eastAsia="仿宋" w:cs="仿宋"/>
          <w:color w:val="auto"/>
          <w:spacing w:val="-6"/>
          <w:sz w:val="24"/>
          <w:szCs w:val="24"/>
          <w:highlight w:val="none"/>
        </w:rPr>
        <w:fldChar w:fldCharType="end"/>
      </w:r>
      <w:r>
        <w:rPr>
          <w:rFonts w:ascii="仿宋" w:hAnsi="仿宋" w:eastAsia="仿宋" w:cs="仿宋"/>
          <w:color w:val="auto"/>
          <w:spacing w:val="-6"/>
          <w:sz w:val="24"/>
          <w:szCs w:val="24"/>
          <w:highlight w:val="none"/>
        </w:rPr>
        <w:t xml:space="preserve"> 审查响应文件是否符合竞争性磋商文件要求，进行资格性审查和符合性审查，并作出评价；</w:t>
      </w:r>
    </w:p>
    <w:p w14:paraId="47CC1B41">
      <w:pPr>
        <w:spacing w:before="249" w:line="331" w:lineRule="exact"/>
        <w:ind w:left="511"/>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"18.3.6.2" </w:instrText>
      </w:r>
      <w:r>
        <w:rPr>
          <w:color w:val="auto"/>
          <w:highlight w:val="none"/>
        </w:rPr>
        <w:fldChar w:fldCharType="separate"/>
      </w:r>
      <w:r>
        <w:rPr>
          <w:rFonts w:ascii="仿宋" w:hAnsi="仿宋" w:eastAsia="仿宋" w:cs="仿宋"/>
          <w:color w:val="auto"/>
          <w:spacing w:val="-5"/>
          <w:position w:val="1"/>
          <w:sz w:val="24"/>
          <w:szCs w:val="24"/>
          <w:highlight w:val="none"/>
        </w:rPr>
        <w:t>18.3.6.2</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要求供应商对响应文件有关事项作出解释或者澄清；</w:t>
      </w:r>
    </w:p>
    <w:p w14:paraId="59F55EFB">
      <w:pPr>
        <w:spacing w:before="137" w:line="266" w:lineRule="auto"/>
        <w:ind w:left="17" w:right="9" w:firstLine="491"/>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"18.3.6.3" </w:instrText>
      </w:r>
      <w:r>
        <w:rPr>
          <w:color w:val="auto"/>
          <w:highlight w:val="none"/>
        </w:rPr>
        <w:fldChar w:fldCharType="separate"/>
      </w:r>
      <w:r>
        <w:rPr>
          <w:rFonts w:ascii="仿宋" w:hAnsi="仿宋" w:eastAsia="仿宋" w:cs="仿宋"/>
          <w:color w:val="auto"/>
          <w:spacing w:val="-6"/>
          <w:sz w:val="24"/>
          <w:szCs w:val="24"/>
          <w:highlight w:val="none"/>
        </w:rPr>
        <w:t>18.3.6.3</w:t>
      </w:r>
      <w:r>
        <w:rPr>
          <w:rFonts w:ascii="仿宋" w:hAnsi="仿宋" w:eastAsia="仿宋" w:cs="仿宋"/>
          <w:color w:val="auto"/>
          <w:spacing w:val="-6"/>
          <w:sz w:val="24"/>
          <w:szCs w:val="24"/>
          <w:highlight w:val="none"/>
        </w:rPr>
        <w:fldChar w:fldCharType="end"/>
      </w:r>
      <w:r>
        <w:rPr>
          <w:rFonts w:ascii="仿宋" w:hAnsi="仿宋" w:eastAsia="仿宋" w:cs="仿宋"/>
          <w:color w:val="auto"/>
          <w:spacing w:val="-6"/>
          <w:sz w:val="24"/>
          <w:szCs w:val="24"/>
          <w:highlight w:val="none"/>
        </w:rPr>
        <w:t xml:space="preserve"> 推荐中标候选人名单，或者受采购人委托按照事先确定的办法直接确定成</w:t>
      </w:r>
      <w:r>
        <w:rPr>
          <w:rFonts w:ascii="仿宋" w:hAnsi="仿宋" w:eastAsia="仿宋" w:cs="仿宋"/>
          <w:color w:val="auto"/>
          <w:spacing w:val="-10"/>
          <w:sz w:val="24"/>
          <w:szCs w:val="24"/>
          <w:highlight w:val="none"/>
        </w:rPr>
        <w:t>交供应商；</w:t>
      </w:r>
    </w:p>
    <w:p w14:paraId="105C92DF">
      <w:pPr>
        <w:spacing w:before="241" w:line="326" w:lineRule="exact"/>
        <w:ind w:left="511"/>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"18.3.6.4" </w:instrText>
      </w:r>
      <w:r>
        <w:rPr>
          <w:color w:val="auto"/>
          <w:highlight w:val="none"/>
        </w:rPr>
        <w:fldChar w:fldCharType="separate"/>
      </w:r>
      <w:r>
        <w:rPr>
          <w:rFonts w:ascii="仿宋" w:hAnsi="仿宋" w:eastAsia="仿宋" w:cs="仿宋"/>
          <w:color w:val="auto"/>
          <w:spacing w:val="-5"/>
          <w:position w:val="1"/>
          <w:sz w:val="24"/>
          <w:szCs w:val="24"/>
          <w:highlight w:val="none"/>
        </w:rPr>
        <w:t>18.3.6.4</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83"/>
          <w:position w:val="1"/>
          <w:sz w:val="24"/>
          <w:szCs w:val="24"/>
          <w:highlight w:val="none"/>
        </w:rPr>
        <w:t xml:space="preserve"> </w:t>
      </w:r>
      <w:r>
        <w:rPr>
          <w:rFonts w:ascii="仿宋" w:hAnsi="仿宋" w:eastAsia="仿宋" w:cs="仿宋"/>
          <w:color w:val="auto"/>
          <w:spacing w:val="-5"/>
          <w:position w:val="1"/>
          <w:sz w:val="24"/>
          <w:szCs w:val="24"/>
          <w:highlight w:val="none"/>
        </w:rPr>
        <w:t>向采购人、采购代理机构或</w:t>
      </w:r>
      <w:r>
        <w:rPr>
          <w:rFonts w:ascii="仿宋" w:hAnsi="仿宋" w:eastAsia="仿宋" w:cs="仿宋"/>
          <w:color w:val="auto"/>
          <w:spacing w:val="-6"/>
          <w:position w:val="1"/>
          <w:sz w:val="24"/>
          <w:szCs w:val="24"/>
          <w:highlight w:val="none"/>
        </w:rPr>
        <w:t>者有关部门报告非法干预评审工作的行为。</w:t>
      </w:r>
    </w:p>
    <w:p w14:paraId="2FD9AD91">
      <w:pPr>
        <w:spacing w:before="141" w:line="324" w:lineRule="exact"/>
        <w:ind w:left="511"/>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"18.3.6.5" </w:instrText>
      </w:r>
      <w:r>
        <w:rPr>
          <w:color w:val="auto"/>
          <w:highlight w:val="none"/>
        </w:rPr>
        <w:fldChar w:fldCharType="separate"/>
      </w:r>
      <w:r>
        <w:rPr>
          <w:rFonts w:ascii="仿宋" w:hAnsi="仿宋" w:eastAsia="仿宋" w:cs="仿宋"/>
          <w:color w:val="auto"/>
          <w:spacing w:val="-5"/>
          <w:position w:val="1"/>
          <w:sz w:val="24"/>
          <w:szCs w:val="24"/>
          <w:highlight w:val="none"/>
        </w:rPr>
        <w:t>18.3.6.5</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对围、串标等违法违规行为作出</w:t>
      </w:r>
      <w:r>
        <w:rPr>
          <w:rFonts w:ascii="仿宋" w:hAnsi="仿宋" w:eastAsia="仿宋" w:cs="仿宋"/>
          <w:color w:val="auto"/>
          <w:spacing w:val="-6"/>
          <w:position w:val="1"/>
          <w:sz w:val="24"/>
          <w:szCs w:val="24"/>
          <w:highlight w:val="none"/>
        </w:rPr>
        <w:t>认定。</w:t>
      </w:r>
    </w:p>
    <w:p w14:paraId="79DE42C6">
      <w:pPr>
        <w:spacing w:before="181" w:line="223" w:lineRule="auto"/>
        <w:ind w:left="511"/>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18.3.7 磋商小组的义务：</w:t>
      </w:r>
    </w:p>
    <w:p w14:paraId="389FF91C">
      <w:pPr>
        <w:spacing w:before="139" w:line="328" w:lineRule="exact"/>
        <w:ind w:left="511"/>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"18.3.7.1" </w:instrText>
      </w:r>
      <w:r>
        <w:rPr>
          <w:color w:val="auto"/>
          <w:highlight w:val="none"/>
        </w:rPr>
        <w:fldChar w:fldCharType="separate"/>
      </w:r>
      <w:r>
        <w:rPr>
          <w:rFonts w:ascii="仿宋" w:hAnsi="仿宋" w:eastAsia="仿宋" w:cs="仿宋"/>
          <w:color w:val="auto"/>
          <w:spacing w:val="-5"/>
          <w:position w:val="1"/>
          <w:sz w:val="24"/>
          <w:szCs w:val="24"/>
          <w:highlight w:val="none"/>
        </w:rPr>
        <w:t>18.3.7.1</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遵纪守法，客观、公正、廉洁地履行职责；</w:t>
      </w:r>
    </w:p>
    <w:p w14:paraId="5A2EE7B7">
      <w:pPr>
        <w:spacing w:before="140" w:line="331" w:lineRule="exact"/>
        <w:ind w:left="511"/>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"18.3.7.2" </w:instrText>
      </w:r>
      <w:r>
        <w:rPr>
          <w:color w:val="auto"/>
          <w:highlight w:val="none"/>
        </w:rPr>
        <w:fldChar w:fldCharType="separate"/>
      </w:r>
      <w:r>
        <w:rPr>
          <w:rFonts w:ascii="仿宋" w:hAnsi="仿宋" w:eastAsia="仿宋" w:cs="仿宋"/>
          <w:color w:val="auto"/>
          <w:spacing w:val="-6"/>
          <w:position w:val="1"/>
          <w:sz w:val="24"/>
          <w:szCs w:val="24"/>
          <w:highlight w:val="none"/>
        </w:rPr>
        <w:t>18.3.7.2</w:t>
      </w:r>
      <w:r>
        <w:rPr>
          <w:rFonts w:ascii="仿宋" w:hAnsi="仿宋" w:eastAsia="仿宋" w:cs="仿宋"/>
          <w:color w:val="auto"/>
          <w:spacing w:val="-6"/>
          <w:position w:val="1"/>
          <w:sz w:val="24"/>
          <w:szCs w:val="24"/>
          <w:highlight w:val="none"/>
        </w:rPr>
        <w:fldChar w:fldCharType="end"/>
      </w:r>
      <w:r>
        <w:rPr>
          <w:rFonts w:ascii="仿宋" w:hAnsi="仿宋" w:eastAsia="仿宋" w:cs="仿宋"/>
          <w:color w:val="auto"/>
          <w:spacing w:val="-6"/>
          <w:position w:val="1"/>
          <w:sz w:val="24"/>
          <w:szCs w:val="24"/>
          <w:highlight w:val="none"/>
        </w:rPr>
        <w:t xml:space="preserve"> 提出真实、可靠的评审意见；</w:t>
      </w:r>
    </w:p>
    <w:p w14:paraId="309DABD0">
      <w:pPr>
        <w:spacing w:before="137" w:line="331" w:lineRule="exact"/>
        <w:ind w:left="511"/>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"18.3.7.3" </w:instrText>
      </w:r>
      <w:r>
        <w:rPr>
          <w:color w:val="auto"/>
          <w:highlight w:val="none"/>
        </w:rPr>
        <w:fldChar w:fldCharType="separate"/>
      </w:r>
      <w:r>
        <w:rPr>
          <w:rFonts w:ascii="仿宋" w:hAnsi="仿宋" w:eastAsia="仿宋" w:cs="仿宋"/>
          <w:color w:val="auto"/>
          <w:spacing w:val="-5"/>
          <w:position w:val="1"/>
          <w:sz w:val="24"/>
          <w:szCs w:val="24"/>
          <w:highlight w:val="none"/>
        </w:rPr>
        <w:t>18.3.7.3</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严格遵守评审纪律，不得向外界泄露评审情况；</w:t>
      </w:r>
    </w:p>
    <w:p w14:paraId="5771DF1F">
      <w:pPr>
        <w:spacing w:before="137" w:line="262" w:lineRule="auto"/>
        <w:ind w:left="53" w:right="7" w:firstLine="458"/>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"18.3.7.4" </w:instrText>
      </w:r>
      <w:r>
        <w:rPr>
          <w:color w:val="auto"/>
          <w:highlight w:val="none"/>
        </w:rPr>
        <w:fldChar w:fldCharType="separate"/>
      </w:r>
      <w:r>
        <w:rPr>
          <w:rFonts w:ascii="仿宋" w:hAnsi="仿宋" w:eastAsia="仿宋" w:cs="仿宋"/>
          <w:color w:val="auto"/>
          <w:spacing w:val="-6"/>
          <w:sz w:val="24"/>
          <w:szCs w:val="24"/>
          <w:highlight w:val="none"/>
        </w:rPr>
        <w:t>18.3.7.4</w:t>
      </w:r>
      <w:r>
        <w:rPr>
          <w:rFonts w:ascii="仿宋" w:hAnsi="仿宋" w:eastAsia="仿宋" w:cs="仿宋"/>
          <w:color w:val="auto"/>
          <w:spacing w:val="-6"/>
          <w:sz w:val="24"/>
          <w:szCs w:val="24"/>
          <w:highlight w:val="none"/>
        </w:rPr>
        <w:fldChar w:fldCharType="end"/>
      </w:r>
      <w:r>
        <w:rPr>
          <w:rFonts w:ascii="仿宋" w:hAnsi="仿宋" w:eastAsia="仿宋" w:cs="仿宋"/>
          <w:color w:val="auto"/>
          <w:spacing w:val="-6"/>
          <w:sz w:val="24"/>
          <w:szCs w:val="24"/>
          <w:highlight w:val="none"/>
        </w:rPr>
        <w:t xml:space="preserve"> 发现供应商在招报价活动中有不正当竞争或者恶意串通等违规行为，应及</w:t>
      </w:r>
      <w:r>
        <w:rPr>
          <w:rFonts w:ascii="仿宋" w:hAnsi="仿宋" w:eastAsia="仿宋" w:cs="仿宋"/>
          <w:color w:val="auto"/>
          <w:spacing w:val="-7"/>
          <w:sz w:val="24"/>
          <w:szCs w:val="24"/>
          <w:highlight w:val="none"/>
        </w:rPr>
        <w:t>时向监督部门报告并加以制止；</w:t>
      </w:r>
    </w:p>
    <w:p w14:paraId="0B476D5B">
      <w:pPr>
        <w:spacing w:before="251" w:line="265" w:lineRule="auto"/>
        <w:ind w:left="6" w:right="9" w:firstLine="50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"18.3.7.5" </w:instrText>
      </w:r>
      <w:r>
        <w:rPr>
          <w:color w:val="auto"/>
          <w:highlight w:val="none"/>
        </w:rPr>
        <w:fldChar w:fldCharType="separate"/>
      </w:r>
      <w:r>
        <w:rPr>
          <w:rFonts w:ascii="仿宋" w:hAnsi="仿宋" w:eastAsia="仿宋" w:cs="仿宋"/>
          <w:color w:val="auto"/>
          <w:spacing w:val="-6"/>
          <w:sz w:val="24"/>
          <w:szCs w:val="24"/>
          <w:highlight w:val="none"/>
        </w:rPr>
        <w:t>18.3.7.5</w:t>
      </w:r>
      <w:r>
        <w:rPr>
          <w:rFonts w:ascii="仿宋" w:hAnsi="仿宋" w:eastAsia="仿宋" w:cs="仿宋"/>
          <w:color w:val="auto"/>
          <w:spacing w:val="-6"/>
          <w:sz w:val="24"/>
          <w:szCs w:val="24"/>
          <w:highlight w:val="none"/>
        </w:rPr>
        <w:fldChar w:fldCharType="end"/>
      </w:r>
      <w:r>
        <w:rPr>
          <w:rFonts w:ascii="仿宋" w:hAnsi="仿宋" w:eastAsia="仿宋" w:cs="仿宋"/>
          <w:color w:val="auto"/>
          <w:spacing w:val="-6"/>
          <w:sz w:val="24"/>
          <w:szCs w:val="24"/>
          <w:highlight w:val="none"/>
        </w:rPr>
        <w:t xml:space="preserve"> 按照竞争性磋商文件规定的评审方法和评审标准进行评审，对评审意见承</w:t>
      </w:r>
      <w:r>
        <w:rPr>
          <w:rFonts w:ascii="仿宋" w:hAnsi="仿宋" w:eastAsia="仿宋" w:cs="仿宋"/>
          <w:color w:val="auto"/>
          <w:spacing w:val="-7"/>
          <w:sz w:val="24"/>
          <w:szCs w:val="24"/>
          <w:highlight w:val="none"/>
        </w:rPr>
        <w:t>担个人责任；</w:t>
      </w:r>
    </w:p>
    <w:p w14:paraId="75F5593F">
      <w:pPr>
        <w:spacing w:before="242" w:line="331" w:lineRule="exact"/>
        <w:ind w:left="511"/>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"18.3.7.6" </w:instrText>
      </w:r>
      <w:r>
        <w:rPr>
          <w:color w:val="auto"/>
          <w:highlight w:val="none"/>
        </w:rPr>
        <w:fldChar w:fldCharType="separate"/>
      </w:r>
      <w:r>
        <w:rPr>
          <w:rFonts w:ascii="仿宋" w:hAnsi="仿宋" w:eastAsia="仿宋" w:cs="仿宋"/>
          <w:color w:val="auto"/>
          <w:spacing w:val="-8"/>
          <w:position w:val="1"/>
          <w:sz w:val="24"/>
          <w:szCs w:val="24"/>
          <w:highlight w:val="none"/>
        </w:rPr>
        <w:t>18.3.7.6</w:t>
      </w:r>
      <w:r>
        <w:rPr>
          <w:rFonts w:ascii="仿宋" w:hAnsi="仿宋" w:eastAsia="仿宋" w:cs="仿宋"/>
          <w:color w:val="auto"/>
          <w:spacing w:val="-8"/>
          <w:position w:val="1"/>
          <w:sz w:val="24"/>
          <w:szCs w:val="24"/>
          <w:highlight w:val="none"/>
        </w:rPr>
        <w:fldChar w:fldCharType="end"/>
      </w:r>
      <w:r>
        <w:rPr>
          <w:rFonts w:ascii="仿宋" w:hAnsi="仿宋" w:eastAsia="仿宋" w:cs="仿宋"/>
          <w:color w:val="auto"/>
          <w:spacing w:val="-8"/>
          <w:position w:val="1"/>
          <w:sz w:val="24"/>
          <w:szCs w:val="24"/>
          <w:highlight w:val="none"/>
        </w:rPr>
        <w:t xml:space="preserve"> 编写评审报告；</w:t>
      </w:r>
    </w:p>
    <w:p w14:paraId="04FB1190">
      <w:pPr>
        <w:spacing w:before="136" w:line="331" w:lineRule="exact"/>
        <w:ind w:left="511"/>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"18.3.7.7" </w:instrText>
      </w:r>
      <w:r>
        <w:rPr>
          <w:color w:val="auto"/>
          <w:highlight w:val="none"/>
        </w:rPr>
        <w:fldChar w:fldCharType="separate"/>
      </w:r>
      <w:r>
        <w:rPr>
          <w:rFonts w:ascii="仿宋" w:hAnsi="仿宋" w:eastAsia="仿宋" w:cs="仿宋"/>
          <w:color w:val="auto"/>
          <w:spacing w:val="-4"/>
          <w:position w:val="1"/>
          <w:sz w:val="24"/>
          <w:szCs w:val="24"/>
          <w:highlight w:val="none"/>
        </w:rPr>
        <w:t>18.3.7.7</w:t>
      </w:r>
      <w:r>
        <w:rPr>
          <w:rFonts w:ascii="仿宋" w:hAnsi="仿宋" w:eastAsia="仿宋" w:cs="仿宋"/>
          <w:color w:val="auto"/>
          <w:spacing w:val="-4"/>
          <w:position w:val="1"/>
          <w:sz w:val="24"/>
          <w:szCs w:val="24"/>
          <w:highlight w:val="none"/>
        </w:rPr>
        <w:fldChar w:fldCharType="end"/>
      </w:r>
      <w:r>
        <w:rPr>
          <w:rFonts w:ascii="仿宋" w:hAnsi="仿宋" w:eastAsia="仿宋" w:cs="仿宋"/>
          <w:color w:val="auto"/>
          <w:spacing w:val="-4"/>
          <w:position w:val="1"/>
          <w:sz w:val="24"/>
          <w:szCs w:val="24"/>
          <w:highlight w:val="none"/>
        </w:rPr>
        <w:t xml:space="preserve"> 配合采购人或者采购代理机构答复供应商提出的质疑；</w:t>
      </w:r>
    </w:p>
    <w:p w14:paraId="5E63CFB8">
      <w:pPr>
        <w:spacing w:before="135" w:line="328" w:lineRule="exact"/>
        <w:ind w:left="511"/>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"18.3.7.8" </w:instrText>
      </w:r>
      <w:r>
        <w:rPr>
          <w:color w:val="auto"/>
          <w:highlight w:val="none"/>
        </w:rPr>
        <w:fldChar w:fldCharType="separate"/>
      </w:r>
      <w:r>
        <w:rPr>
          <w:rFonts w:ascii="仿宋" w:hAnsi="仿宋" w:eastAsia="仿宋" w:cs="仿宋"/>
          <w:color w:val="auto"/>
          <w:spacing w:val="-4"/>
          <w:position w:val="1"/>
          <w:sz w:val="24"/>
          <w:szCs w:val="24"/>
          <w:highlight w:val="none"/>
        </w:rPr>
        <w:t>18.3.7.8</w:t>
      </w:r>
      <w:r>
        <w:rPr>
          <w:rFonts w:ascii="仿宋" w:hAnsi="仿宋" w:eastAsia="仿宋" w:cs="仿宋"/>
          <w:color w:val="auto"/>
          <w:spacing w:val="-4"/>
          <w:position w:val="1"/>
          <w:sz w:val="24"/>
          <w:szCs w:val="24"/>
          <w:highlight w:val="none"/>
        </w:rPr>
        <w:fldChar w:fldCharType="end"/>
      </w:r>
      <w:r>
        <w:rPr>
          <w:rFonts w:ascii="仿宋" w:hAnsi="仿宋" w:eastAsia="仿宋" w:cs="仿宋"/>
          <w:color w:val="auto"/>
          <w:spacing w:val="-4"/>
          <w:position w:val="1"/>
          <w:sz w:val="24"/>
          <w:szCs w:val="24"/>
          <w:highlight w:val="none"/>
        </w:rPr>
        <w:t xml:space="preserve"> 对评审过程和结果，以及采购人、供应商的商业秘密保密；</w:t>
      </w:r>
    </w:p>
    <w:p w14:paraId="658AAEF6">
      <w:pPr>
        <w:spacing w:line="328" w:lineRule="exact"/>
        <w:rPr>
          <w:rFonts w:ascii="仿宋" w:hAnsi="仿宋" w:eastAsia="仿宋" w:cs="仿宋"/>
          <w:color w:val="auto"/>
          <w:sz w:val="24"/>
          <w:szCs w:val="24"/>
          <w:highlight w:val="none"/>
        </w:rPr>
        <w:sectPr>
          <w:footerReference r:id="rId18" w:type="default"/>
          <w:pgSz w:w="11906" w:h="16840"/>
          <w:pgMar w:top="1431" w:right="1408" w:bottom="1073" w:left="1463" w:header="0" w:footer="827" w:gutter="0"/>
          <w:pgNumType w:fmt="decimal"/>
          <w:cols w:space="720" w:num="1"/>
        </w:sectPr>
      </w:pPr>
    </w:p>
    <w:p w14:paraId="71BD7E65">
      <w:pPr>
        <w:spacing w:before="98" w:line="330" w:lineRule="exact"/>
        <w:ind w:left="507"/>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"18.3.7.9" </w:instrText>
      </w:r>
      <w:r>
        <w:rPr>
          <w:color w:val="auto"/>
          <w:highlight w:val="none"/>
        </w:rPr>
        <w:fldChar w:fldCharType="separate"/>
      </w:r>
      <w:r>
        <w:rPr>
          <w:rFonts w:ascii="仿宋" w:hAnsi="仿宋" w:eastAsia="仿宋" w:cs="仿宋"/>
          <w:color w:val="auto"/>
          <w:spacing w:val="-7"/>
          <w:position w:val="1"/>
          <w:sz w:val="24"/>
          <w:szCs w:val="24"/>
          <w:highlight w:val="none"/>
        </w:rPr>
        <w:t>18.3.7.9</w:t>
      </w:r>
      <w:r>
        <w:rPr>
          <w:rFonts w:ascii="仿宋" w:hAnsi="仿宋" w:eastAsia="仿宋" w:cs="仿宋"/>
          <w:color w:val="auto"/>
          <w:spacing w:val="-7"/>
          <w:position w:val="1"/>
          <w:sz w:val="24"/>
          <w:szCs w:val="24"/>
          <w:highlight w:val="none"/>
        </w:rPr>
        <w:fldChar w:fldCharType="end"/>
      </w:r>
      <w:r>
        <w:rPr>
          <w:rFonts w:ascii="仿宋" w:hAnsi="仿宋" w:eastAsia="仿宋" w:cs="仿宋"/>
          <w:color w:val="auto"/>
          <w:spacing w:val="-7"/>
          <w:position w:val="1"/>
          <w:sz w:val="24"/>
          <w:szCs w:val="24"/>
          <w:highlight w:val="none"/>
        </w:rPr>
        <w:t xml:space="preserve"> 配合监管部门处理投诉；</w:t>
      </w:r>
    </w:p>
    <w:p w14:paraId="494EBA52">
      <w:pPr>
        <w:spacing w:before="172" w:line="222" w:lineRule="auto"/>
        <w:ind w:left="507"/>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18.3.8 磋商小组成员有下列情形之一的，应当回避：</w:t>
      </w:r>
    </w:p>
    <w:p w14:paraId="491CD9B7">
      <w:pPr>
        <w:spacing w:before="141" w:line="330" w:lineRule="exact"/>
        <w:ind w:left="507"/>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"18.3.8.1" </w:instrText>
      </w:r>
      <w:r>
        <w:rPr>
          <w:color w:val="auto"/>
          <w:highlight w:val="none"/>
        </w:rPr>
        <w:fldChar w:fldCharType="separate"/>
      </w:r>
      <w:r>
        <w:rPr>
          <w:rFonts w:ascii="仿宋" w:hAnsi="仿宋" w:eastAsia="仿宋" w:cs="仿宋"/>
          <w:color w:val="auto"/>
          <w:spacing w:val="-5"/>
          <w:position w:val="1"/>
          <w:sz w:val="24"/>
          <w:szCs w:val="24"/>
          <w:highlight w:val="none"/>
        </w:rPr>
        <w:t>18.3.8.1</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供应商或者供应商主要负责人的近亲属；</w:t>
      </w:r>
    </w:p>
    <w:p w14:paraId="0A903F99">
      <w:pPr>
        <w:spacing w:before="135" w:line="328" w:lineRule="exact"/>
        <w:ind w:left="507"/>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"18.3.8.2" </w:instrText>
      </w:r>
      <w:r>
        <w:rPr>
          <w:color w:val="auto"/>
          <w:highlight w:val="none"/>
        </w:rPr>
        <w:fldChar w:fldCharType="separate"/>
      </w:r>
      <w:r>
        <w:rPr>
          <w:rFonts w:ascii="仿宋" w:hAnsi="仿宋" w:eastAsia="仿宋" w:cs="仿宋"/>
          <w:color w:val="auto"/>
          <w:spacing w:val="-5"/>
          <w:position w:val="1"/>
          <w:sz w:val="24"/>
          <w:szCs w:val="24"/>
          <w:highlight w:val="none"/>
        </w:rPr>
        <w:t>18.3.8.2</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项目主管部门或者行政监督部门的人员；</w:t>
      </w:r>
    </w:p>
    <w:p w14:paraId="164720DA">
      <w:pPr>
        <w:spacing w:before="139" w:line="326" w:lineRule="exact"/>
        <w:ind w:left="507"/>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"18.3.8.3" </w:instrText>
      </w:r>
      <w:r>
        <w:rPr>
          <w:color w:val="auto"/>
          <w:highlight w:val="none"/>
        </w:rPr>
        <w:fldChar w:fldCharType="separate"/>
      </w:r>
      <w:r>
        <w:rPr>
          <w:rFonts w:ascii="仿宋" w:hAnsi="仿宋" w:eastAsia="仿宋" w:cs="仿宋"/>
          <w:color w:val="auto"/>
          <w:spacing w:val="-7"/>
          <w:position w:val="1"/>
          <w:sz w:val="24"/>
          <w:szCs w:val="24"/>
          <w:highlight w:val="none"/>
        </w:rPr>
        <w:t>18.3.8.3</w:t>
      </w:r>
      <w:r>
        <w:rPr>
          <w:rFonts w:ascii="仿宋" w:hAnsi="仿宋" w:eastAsia="仿宋" w:cs="仿宋"/>
          <w:color w:val="auto"/>
          <w:spacing w:val="-7"/>
          <w:position w:val="1"/>
          <w:sz w:val="24"/>
          <w:szCs w:val="24"/>
          <w:highlight w:val="none"/>
        </w:rPr>
        <w:fldChar w:fldCharType="end"/>
      </w:r>
      <w:r>
        <w:rPr>
          <w:rFonts w:ascii="仿宋" w:hAnsi="仿宋" w:eastAsia="仿宋" w:cs="仿宋"/>
          <w:color w:val="auto"/>
          <w:spacing w:val="-7"/>
          <w:position w:val="1"/>
          <w:sz w:val="24"/>
          <w:szCs w:val="24"/>
          <w:highlight w:val="none"/>
        </w:rPr>
        <w:t xml:space="preserve"> 与供应商有经济利益关系；</w:t>
      </w:r>
    </w:p>
    <w:p w14:paraId="7C2DAB09">
      <w:pPr>
        <w:spacing w:before="138" w:line="265" w:lineRule="auto"/>
        <w:ind w:left="1" w:right="242" w:firstLine="50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"18.3.8.4" </w:instrText>
      </w:r>
      <w:r>
        <w:rPr>
          <w:color w:val="auto"/>
          <w:highlight w:val="none"/>
        </w:rPr>
        <w:fldChar w:fldCharType="separate"/>
      </w:r>
      <w:r>
        <w:rPr>
          <w:rFonts w:ascii="仿宋" w:hAnsi="仿宋" w:eastAsia="仿宋" w:cs="仿宋"/>
          <w:color w:val="auto"/>
          <w:spacing w:val="-9"/>
          <w:sz w:val="24"/>
          <w:szCs w:val="24"/>
          <w:highlight w:val="none"/>
        </w:rPr>
        <w:t>18.3.8.4</w:t>
      </w:r>
      <w:r>
        <w:rPr>
          <w:rFonts w:ascii="仿宋" w:hAnsi="仿宋" w:eastAsia="仿宋" w:cs="仿宋"/>
          <w:color w:val="auto"/>
          <w:spacing w:val="-9"/>
          <w:sz w:val="24"/>
          <w:szCs w:val="24"/>
          <w:highlight w:val="none"/>
        </w:rPr>
        <w:fldChar w:fldCharType="end"/>
      </w:r>
      <w:r>
        <w:rPr>
          <w:rFonts w:ascii="仿宋" w:hAnsi="仿宋" w:eastAsia="仿宋" w:cs="仿宋"/>
          <w:color w:val="auto"/>
          <w:spacing w:val="107"/>
          <w:sz w:val="24"/>
          <w:szCs w:val="24"/>
          <w:highlight w:val="none"/>
        </w:rPr>
        <w:t xml:space="preserve"> </w:t>
      </w:r>
      <w:r>
        <w:rPr>
          <w:rFonts w:ascii="仿宋" w:hAnsi="仿宋" w:eastAsia="仿宋" w:cs="仿宋"/>
          <w:color w:val="auto"/>
          <w:spacing w:val="-9"/>
          <w:sz w:val="24"/>
          <w:szCs w:val="24"/>
          <w:highlight w:val="none"/>
        </w:rPr>
        <w:t>曾因在采购、评审以及其他与政府采购有关活动中从事违法行为而受到</w:t>
      </w:r>
      <w:r>
        <w:rPr>
          <w:rFonts w:ascii="仿宋" w:hAnsi="仿宋" w:eastAsia="仿宋" w:cs="仿宋"/>
          <w:color w:val="auto"/>
          <w:spacing w:val="-5"/>
          <w:sz w:val="24"/>
          <w:szCs w:val="24"/>
          <w:highlight w:val="none"/>
        </w:rPr>
        <w:t>行政处罚或者刑事处罚的；</w:t>
      </w:r>
    </w:p>
    <w:p w14:paraId="628F7752">
      <w:pPr>
        <w:spacing w:before="246" w:line="330" w:lineRule="exact"/>
        <w:ind w:left="507"/>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"18.3.8.5" </w:instrText>
      </w:r>
      <w:r>
        <w:rPr>
          <w:color w:val="auto"/>
          <w:highlight w:val="none"/>
        </w:rPr>
        <w:fldChar w:fldCharType="separate"/>
      </w:r>
      <w:r>
        <w:rPr>
          <w:rFonts w:ascii="仿宋" w:hAnsi="仿宋" w:eastAsia="仿宋" w:cs="仿宋"/>
          <w:color w:val="auto"/>
          <w:spacing w:val="-7"/>
          <w:position w:val="1"/>
          <w:sz w:val="24"/>
          <w:szCs w:val="24"/>
          <w:highlight w:val="none"/>
        </w:rPr>
        <w:t>18.3.8.5</w:t>
      </w:r>
      <w:r>
        <w:rPr>
          <w:rFonts w:ascii="仿宋" w:hAnsi="仿宋" w:eastAsia="仿宋" w:cs="仿宋"/>
          <w:color w:val="auto"/>
          <w:spacing w:val="-7"/>
          <w:position w:val="1"/>
          <w:sz w:val="24"/>
          <w:szCs w:val="24"/>
          <w:highlight w:val="none"/>
        </w:rPr>
        <w:fldChar w:fldCharType="end"/>
      </w:r>
      <w:r>
        <w:rPr>
          <w:rFonts w:ascii="仿宋" w:hAnsi="仿宋" w:eastAsia="仿宋" w:cs="仿宋"/>
          <w:color w:val="auto"/>
          <w:spacing w:val="-7"/>
          <w:position w:val="1"/>
          <w:sz w:val="24"/>
          <w:szCs w:val="24"/>
          <w:highlight w:val="none"/>
        </w:rPr>
        <w:t xml:space="preserve"> 与供应商有其他利害关系。</w:t>
      </w:r>
    </w:p>
    <w:p w14:paraId="76BEC8C9">
      <w:pPr>
        <w:spacing w:before="174" w:line="222" w:lineRule="auto"/>
        <w:ind w:left="507"/>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18.4</w:t>
      </w:r>
      <w:r>
        <w:rPr>
          <w:rFonts w:ascii="仿宋" w:hAnsi="仿宋" w:eastAsia="仿宋" w:cs="仿宋"/>
          <w:color w:val="auto"/>
          <w:spacing w:val="-26"/>
          <w:sz w:val="24"/>
          <w:szCs w:val="24"/>
          <w:highlight w:val="none"/>
        </w:rPr>
        <w:t xml:space="preserve"> </w:t>
      </w:r>
      <w:r>
        <w:rPr>
          <w:rFonts w:ascii="仿宋" w:hAnsi="仿宋" w:eastAsia="仿宋" w:cs="仿宋"/>
          <w:color w:val="auto"/>
          <w:spacing w:val="-11"/>
          <w:sz w:val="24"/>
          <w:szCs w:val="24"/>
          <w:highlight w:val="none"/>
        </w:rPr>
        <w:t>评审程序</w:t>
      </w:r>
    </w:p>
    <w:p w14:paraId="615CC316">
      <w:pPr>
        <w:spacing w:before="172" w:line="220" w:lineRule="auto"/>
        <w:ind w:left="507"/>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18.4.1 宣布评审纪律以及回避提示；</w:t>
      </w:r>
    </w:p>
    <w:p w14:paraId="77D70C42">
      <w:pPr>
        <w:spacing w:before="187" w:line="222" w:lineRule="auto"/>
        <w:ind w:left="507"/>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18.4.2 组织推荐磋商小组组长；</w:t>
      </w:r>
    </w:p>
    <w:p w14:paraId="25A77D23">
      <w:pPr>
        <w:spacing w:before="172" w:line="220" w:lineRule="auto"/>
        <w:ind w:left="507"/>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18.4.3 资格性审查；</w:t>
      </w:r>
    </w:p>
    <w:p w14:paraId="1C88F9C1">
      <w:pPr>
        <w:spacing w:before="182" w:line="220" w:lineRule="auto"/>
        <w:ind w:left="507"/>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18.4.4 符合性审查；</w:t>
      </w:r>
    </w:p>
    <w:p w14:paraId="4CF55440">
      <w:pPr>
        <w:spacing w:before="185" w:line="222" w:lineRule="auto"/>
        <w:ind w:left="507"/>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18.4.5</w:t>
      </w:r>
      <w:r>
        <w:rPr>
          <w:rFonts w:ascii="仿宋" w:hAnsi="仿宋" w:eastAsia="仿宋" w:cs="仿宋"/>
          <w:color w:val="auto"/>
          <w:spacing w:val="-22"/>
          <w:sz w:val="24"/>
          <w:szCs w:val="24"/>
          <w:highlight w:val="none"/>
        </w:rPr>
        <w:t xml:space="preserve"> </w:t>
      </w:r>
      <w:r>
        <w:rPr>
          <w:rFonts w:ascii="仿宋" w:hAnsi="仿宋" w:eastAsia="仿宋" w:cs="仿宋"/>
          <w:color w:val="auto"/>
          <w:spacing w:val="-9"/>
          <w:sz w:val="24"/>
          <w:szCs w:val="24"/>
          <w:highlight w:val="none"/>
        </w:rPr>
        <w:t>技术评审；</w:t>
      </w:r>
    </w:p>
    <w:p w14:paraId="465D5752">
      <w:pPr>
        <w:spacing w:before="179" w:line="222" w:lineRule="auto"/>
        <w:ind w:left="507"/>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18.4.6 澄清有关问题；</w:t>
      </w:r>
    </w:p>
    <w:p w14:paraId="668AD3F6">
      <w:pPr>
        <w:spacing w:before="179" w:line="223" w:lineRule="auto"/>
        <w:ind w:left="507"/>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18.4.7</w:t>
      </w:r>
      <w:r>
        <w:rPr>
          <w:rFonts w:ascii="仿宋" w:hAnsi="仿宋" w:eastAsia="仿宋" w:cs="仿宋"/>
          <w:color w:val="auto"/>
          <w:spacing w:val="-24"/>
          <w:sz w:val="24"/>
          <w:szCs w:val="24"/>
          <w:highlight w:val="none"/>
        </w:rPr>
        <w:t xml:space="preserve"> </w:t>
      </w:r>
      <w:r>
        <w:rPr>
          <w:rFonts w:ascii="仿宋" w:hAnsi="仿宋" w:eastAsia="仿宋" w:cs="仿宋"/>
          <w:color w:val="auto"/>
          <w:spacing w:val="-11"/>
          <w:sz w:val="24"/>
          <w:szCs w:val="24"/>
          <w:highlight w:val="none"/>
        </w:rPr>
        <w:t>磋商</w:t>
      </w:r>
    </w:p>
    <w:p w14:paraId="5B9D1F10">
      <w:pPr>
        <w:spacing w:before="171" w:line="221" w:lineRule="auto"/>
        <w:ind w:left="507"/>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18.4.8 确定成交供应商或者推荐成交候选人名单；</w:t>
      </w:r>
    </w:p>
    <w:p w14:paraId="5EDB9940">
      <w:pPr>
        <w:spacing w:before="183" w:line="222" w:lineRule="auto"/>
        <w:ind w:left="507"/>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18.4.9 编写评审报告；</w:t>
      </w:r>
    </w:p>
    <w:p w14:paraId="7D4FBB68">
      <w:pPr>
        <w:spacing w:before="172" w:line="220" w:lineRule="auto"/>
        <w:ind w:left="507"/>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18.4.10 宣布评审。</w:t>
      </w:r>
    </w:p>
    <w:p w14:paraId="32C6BF42">
      <w:pPr>
        <w:spacing w:before="187" w:line="222" w:lineRule="auto"/>
        <w:ind w:left="507"/>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18.5</w:t>
      </w:r>
      <w:r>
        <w:rPr>
          <w:rFonts w:ascii="仿宋" w:hAnsi="仿宋" w:eastAsia="仿宋" w:cs="仿宋"/>
          <w:color w:val="auto"/>
          <w:spacing w:val="-32"/>
          <w:sz w:val="24"/>
          <w:szCs w:val="24"/>
          <w:highlight w:val="none"/>
        </w:rPr>
        <w:t xml:space="preserve"> </w:t>
      </w:r>
      <w:r>
        <w:rPr>
          <w:rFonts w:ascii="仿宋" w:hAnsi="仿宋" w:eastAsia="仿宋" w:cs="仿宋"/>
          <w:color w:val="auto"/>
          <w:spacing w:val="-12"/>
          <w:sz w:val="24"/>
          <w:szCs w:val="24"/>
          <w:highlight w:val="none"/>
        </w:rPr>
        <w:t>评审</w:t>
      </w:r>
    </w:p>
    <w:p w14:paraId="66528240">
      <w:pPr>
        <w:spacing w:before="172" w:line="220" w:lineRule="auto"/>
        <w:ind w:left="507"/>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18.5.1 资格性审查</w:t>
      </w:r>
    </w:p>
    <w:p w14:paraId="36767506">
      <w:pPr>
        <w:spacing w:before="149" w:line="263" w:lineRule="auto"/>
        <w:ind w:left="41" w:right="5" w:firstLine="465"/>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"18.5.1.1" </w:instrText>
      </w:r>
      <w:r>
        <w:rPr>
          <w:color w:val="auto"/>
          <w:highlight w:val="none"/>
        </w:rPr>
        <w:fldChar w:fldCharType="separate"/>
      </w:r>
      <w:r>
        <w:rPr>
          <w:rFonts w:ascii="仿宋" w:hAnsi="仿宋" w:eastAsia="仿宋" w:cs="仿宋"/>
          <w:color w:val="auto"/>
          <w:spacing w:val="-6"/>
          <w:sz w:val="24"/>
          <w:szCs w:val="24"/>
          <w:highlight w:val="none"/>
        </w:rPr>
        <w:t>18.5.1.1</w:t>
      </w:r>
      <w:r>
        <w:rPr>
          <w:rFonts w:ascii="仿宋" w:hAnsi="仿宋" w:eastAsia="仿宋" w:cs="仿宋"/>
          <w:color w:val="auto"/>
          <w:spacing w:val="-6"/>
          <w:sz w:val="24"/>
          <w:szCs w:val="24"/>
          <w:highlight w:val="none"/>
        </w:rPr>
        <w:fldChar w:fldCharType="end"/>
      </w:r>
      <w:r>
        <w:rPr>
          <w:rFonts w:ascii="仿宋" w:hAnsi="仿宋" w:eastAsia="仿宋" w:cs="仿宋"/>
          <w:color w:val="auto"/>
          <w:spacing w:val="-6"/>
          <w:sz w:val="24"/>
          <w:szCs w:val="24"/>
          <w:highlight w:val="none"/>
        </w:rPr>
        <w:t xml:space="preserve"> 磋商小组依据法律法规和竞争性磋商文件的规定，对响应文件中的</w:t>
      </w:r>
      <w:r>
        <w:rPr>
          <w:rFonts w:ascii="仿宋" w:hAnsi="仿宋" w:eastAsia="仿宋" w:cs="仿宋"/>
          <w:color w:val="auto"/>
          <w:spacing w:val="-7"/>
          <w:sz w:val="24"/>
          <w:szCs w:val="24"/>
          <w:highlight w:val="none"/>
        </w:rPr>
        <w:t>资格证</w:t>
      </w:r>
      <w:r>
        <w:rPr>
          <w:rFonts w:ascii="仿宋" w:hAnsi="仿宋" w:eastAsia="仿宋" w:cs="仿宋"/>
          <w:color w:val="auto"/>
          <w:spacing w:val="-4"/>
          <w:sz w:val="24"/>
          <w:szCs w:val="24"/>
          <w:highlight w:val="none"/>
        </w:rPr>
        <w:t>明、保证金等进行审查，以确定供应商是否具备报价资格。</w:t>
      </w:r>
    </w:p>
    <w:p w14:paraId="641EAFD6">
      <w:pPr>
        <w:spacing w:before="252" w:line="295" w:lineRule="auto"/>
        <w:ind w:firstLine="507"/>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"18.5.1.2" </w:instrText>
      </w:r>
      <w:r>
        <w:rPr>
          <w:color w:val="auto"/>
          <w:highlight w:val="none"/>
        </w:rPr>
        <w:fldChar w:fldCharType="separate"/>
      </w:r>
      <w:r>
        <w:rPr>
          <w:rFonts w:ascii="仿宋" w:hAnsi="仿宋" w:eastAsia="仿宋" w:cs="仿宋"/>
          <w:color w:val="auto"/>
          <w:spacing w:val="-8"/>
          <w:sz w:val="24"/>
          <w:szCs w:val="24"/>
          <w:highlight w:val="none"/>
        </w:rPr>
        <w:t>18.5.1.2</w:t>
      </w:r>
      <w:r>
        <w:rPr>
          <w:rFonts w:ascii="仿宋" w:hAnsi="仿宋" w:eastAsia="仿宋" w:cs="仿宋"/>
          <w:color w:val="auto"/>
          <w:spacing w:val="-8"/>
          <w:sz w:val="24"/>
          <w:szCs w:val="24"/>
          <w:highlight w:val="none"/>
        </w:rPr>
        <w:fldChar w:fldCharType="end"/>
      </w:r>
      <w:r>
        <w:rPr>
          <w:rFonts w:ascii="仿宋" w:hAnsi="仿宋" w:eastAsia="仿宋" w:cs="仿宋"/>
          <w:color w:val="auto"/>
          <w:spacing w:val="-8"/>
          <w:sz w:val="24"/>
          <w:szCs w:val="24"/>
          <w:highlight w:val="none"/>
        </w:rPr>
        <w:t xml:space="preserve"> 采购人、采购代理机构通过“信用中国</w:t>
      </w:r>
      <w:r>
        <w:rPr>
          <w:rFonts w:ascii="仿宋" w:hAnsi="仿宋" w:eastAsia="仿宋" w:cs="仿宋"/>
          <w:color w:val="auto"/>
          <w:spacing w:val="-31"/>
          <w:sz w:val="24"/>
          <w:szCs w:val="24"/>
          <w:highlight w:val="none"/>
        </w:rPr>
        <w:t xml:space="preserve"> </w:t>
      </w:r>
      <w:r>
        <w:rPr>
          <w:rFonts w:ascii="仿宋" w:hAnsi="仿宋" w:eastAsia="仿宋" w:cs="仿宋"/>
          <w:color w:val="auto"/>
          <w:spacing w:val="-8"/>
          <w:sz w:val="24"/>
          <w:szCs w:val="24"/>
          <w:highlight w:val="none"/>
        </w:rPr>
        <w:t>”网站、中国政府采购</w:t>
      </w:r>
      <w:r>
        <w:rPr>
          <w:rFonts w:ascii="仿宋" w:hAnsi="仿宋" w:eastAsia="仿宋" w:cs="仿宋"/>
          <w:color w:val="auto"/>
          <w:spacing w:val="-9"/>
          <w:sz w:val="24"/>
          <w:szCs w:val="24"/>
          <w:highlight w:val="none"/>
        </w:rPr>
        <w:t>网、查询供</w:t>
      </w:r>
      <w:r>
        <w:rPr>
          <w:rFonts w:ascii="仿宋" w:hAnsi="仿宋" w:eastAsia="仿宋" w:cs="仿宋"/>
          <w:color w:val="auto"/>
          <w:spacing w:val="-4"/>
          <w:sz w:val="24"/>
          <w:szCs w:val="24"/>
          <w:highlight w:val="none"/>
        </w:rPr>
        <w:t>应商信用记录，查询时要将查询网页、内容进行截图或拍照，以作证据留存，截图</w:t>
      </w:r>
      <w:r>
        <w:rPr>
          <w:rFonts w:ascii="仿宋" w:hAnsi="仿宋" w:eastAsia="仿宋" w:cs="仿宋"/>
          <w:color w:val="auto"/>
          <w:spacing w:val="-5"/>
          <w:sz w:val="24"/>
          <w:szCs w:val="24"/>
          <w:highlight w:val="none"/>
        </w:rPr>
        <w:t>或拍</w:t>
      </w:r>
      <w:r>
        <w:rPr>
          <w:rFonts w:ascii="仿宋" w:hAnsi="仿宋" w:eastAsia="仿宋" w:cs="仿宋"/>
          <w:color w:val="auto"/>
          <w:spacing w:val="-4"/>
          <w:sz w:val="24"/>
          <w:szCs w:val="24"/>
          <w:highlight w:val="none"/>
        </w:rPr>
        <w:t>照内容要完整清晰，应包括</w:t>
      </w:r>
      <w:r>
        <w:rPr>
          <w:rFonts w:ascii="仿宋" w:hAnsi="仿宋" w:eastAsia="仿宋" w:cs="仿宋"/>
          <w:color w:val="auto"/>
          <w:spacing w:val="44"/>
          <w:sz w:val="24"/>
          <w:szCs w:val="24"/>
          <w:highlight w:val="none"/>
        </w:rPr>
        <w:t xml:space="preserve"> </w:t>
      </w:r>
      <w:r>
        <w:rPr>
          <w:rFonts w:ascii="仿宋" w:hAnsi="仿宋" w:eastAsia="仿宋" w:cs="仿宋"/>
          <w:color w:val="auto"/>
          <w:spacing w:val="-4"/>
          <w:sz w:val="24"/>
          <w:szCs w:val="24"/>
          <w:highlight w:val="none"/>
        </w:rPr>
        <w:t>网站网址、查询内容、电脑截屏时间。采购人或者采购代</w:t>
      </w:r>
      <w:r>
        <w:rPr>
          <w:rFonts w:ascii="仿宋" w:hAnsi="仿宋" w:eastAsia="仿宋" w:cs="仿宋"/>
          <w:color w:val="auto"/>
          <w:spacing w:val="-3"/>
          <w:sz w:val="24"/>
          <w:szCs w:val="24"/>
          <w:highlight w:val="none"/>
        </w:rPr>
        <w:t>理机构应当对供应商信用记录 进行甄别，对列入失信被执行人、重大税收违法案件当事人名单、政府采购严重违法失 信行为记录名单及其他不符合《中华人民共和国政府采购法》第二十二条规定条件的供 应商，应当拒绝其参加政府采购活动，其响应无效</w:t>
      </w:r>
      <w:r>
        <w:rPr>
          <w:rFonts w:ascii="仿宋" w:hAnsi="仿宋" w:eastAsia="仿宋" w:cs="仿宋"/>
          <w:color w:val="auto"/>
          <w:spacing w:val="5"/>
          <w:sz w:val="24"/>
          <w:szCs w:val="24"/>
          <w:highlight w:val="none"/>
        </w:rPr>
        <w:t xml:space="preserve">  </w:t>
      </w:r>
      <w:r>
        <w:rPr>
          <w:rFonts w:ascii="仿宋" w:hAnsi="仿宋" w:eastAsia="仿宋" w:cs="仿宋"/>
          <w:color w:val="auto"/>
          <w:spacing w:val="-4"/>
          <w:sz w:val="24"/>
          <w:szCs w:val="24"/>
          <w:highlight w:val="none"/>
        </w:rPr>
        <w:t>；两个以上的自然人、法人或者其他</w:t>
      </w:r>
    </w:p>
    <w:p w14:paraId="44203CD1">
      <w:pPr>
        <w:spacing w:line="295" w:lineRule="auto"/>
        <w:rPr>
          <w:rFonts w:ascii="仿宋" w:hAnsi="仿宋" w:eastAsia="仿宋" w:cs="仿宋"/>
          <w:color w:val="auto"/>
          <w:sz w:val="24"/>
          <w:szCs w:val="24"/>
          <w:highlight w:val="none"/>
        </w:rPr>
        <w:sectPr>
          <w:footerReference r:id="rId19" w:type="default"/>
          <w:pgSz w:w="11906" w:h="16840"/>
          <w:pgMar w:top="1431" w:right="1413" w:bottom="1118" w:left="1467" w:header="0" w:footer="948" w:gutter="0"/>
          <w:pgNumType w:fmt="decimal"/>
          <w:cols w:space="720" w:num="1"/>
        </w:sectPr>
      </w:pPr>
    </w:p>
    <w:p w14:paraId="6E590916">
      <w:pPr>
        <w:spacing w:before="172" w:line="339" w:lineRule="auto"/>
        <w:ind w:right="16" w:firstLine="8"/>
        <w:jc w:val="both"/>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组织组成一个联合体，以一个供应商的身份共同</w:t>
      </w:r>
      <w:r>
        <w:rPr>
          <w:rFonts w:ascii="仿宋" w:hAnsi="仿宋" w:eastAsia="仿宋" w:cs="仿宋"/>
          <w:color w:val="auto"/>
          <w:spacing w:val="-3"/>
          <w:sz w:val="24"/>
          <w:szCs w:val="24"/>
          <w:highlight w:val="none"/>
        </w:rPr>
        <w:t>参加政府采购活动的，应当对所有联合</w:t>
      </w:r>
      <w:r>
        <w:rPr>
          <w:rFonts w:ascii="仿宋" w:hAnsi="仿宋" w:eastAsia="仿宋" w:cs="仿宋"/>
          <w:color w:val="auto"/>
          <w:spacing w:val="-2"/>
          <w:sz w:val="24"/>
          <w:szCs w:val="24"/>
          <w:highlight w:val="none"/>
        </w:rPr>
        <w:t>体成员进行信用记录查询，联合体成员存在不良信用记录的，视同联</w:t>
      </w:r>
      <w:r>
        <w:rPr>
          <w:rFonts w:ascii="仿宋" w:hAnsi="仿宋" w:eastAsia="仿宋" w:cs="仿宋"/>
          <w:color w:val="auto"/>
          <w:spacing w:val="-3"/>
          <w:sz w:val="24"/>
          <w:szCs w:val="24"/>
          <w:highlight w:val="none"/>
        </w:rPr>
        <w:t>合体存在不良信用</w:t>
      </w:r>
      <w:r>
        <w:rPr>
          <w:rFonts w:ascii="仿宋" w:hAnsi="仿宋" w:eastAsia="仿宋" w:cs="仿宋"/>
          <w:color w:val="auto"/>
          <w:spacing w:val="-5"/>
          <w:sz w:val="24"/>
          <w:szCs w:val="24"/>
          <w:highlight w:val="none"/>
        </w:rPr>
        <w:t>记录，其响应无效。</w:t>
      </w:r>
    </w:p>
    <w:p w14:paraId="22DA5716">
      <w:pPr>
        <w:spacing w:before="30" w:line="219" w:lineRule="auto"/>
        <w:ind w:left="48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信用信息查询记录及相关证据应当与其他竞争性磋商文件一并保存。</w:t>
      </w:r>
    </w:p>
    <w:p w14:paraId="56FC2EE6">
      <w:pPr>
        <w:spacing w:before="151" w:line="329" w:lineRule="auto"/>
        <w:ind w:left="6" w:right="19" w:firstLine="510"/>
        <w:jc w:val="both"/>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"18.5.1.3" </w:instrText>
      </w:r>
      <w:r>
        <w:rPr>
          <w:color w:val="auto"/>
          <w:highlight w:val="none"/>
        </w:rPr>
        <w:fldChar w:fldCharType="separate"/>
      </w:r>
      <w:r>
        <w:rPr>
          <w:rFonts w:ascii="仿宋" w:hAnsi="仿宋" w:eastAsia="仿宋" w:cs="仿宋"/>
          <w:color w:val="auto"/>
          <w:spacing w:val="-6"/>
          <w:sz w:val="24"/>
          <w:szCs w:val="24"/>
          <w:highlight w:val="none"/>
        </w:rPr>
        <w:t>18.5.1.3</w:t>
      </w:r>
      <w:r>
        <w:rPr>
          <w:rFonts w:ascii="仿宋" w:hAnsi="仿宋" w:eastAsia="仿宋" w:cs="仿宋"/>
          <w:color w:val="auto"/>
          <w:spacing w:val="-6"/>
          <w:sz w:val="24"/>
          <w:szCs w:val="24"/>
          <w:highlight w:val="none"/>
        </w:rPr>
        <w:fldChar w:fldCharType="end"/>
      </w:r>
      <w:r>
        <w:rPr>
          <w:rFonts w:ascii="仿宋" w:hAnsi="仿宋" w:eastAsia="仿宋" w:cs="仿宋"/>
          <w:color w:val="auto"/>
          <w:spacing w:val="-6"/>
          <w:sz w:val="24"/>
          <w:szCs w:val="24"/>
          <w:highlight w:val="none"/>
        </w:rPr>
        <w:t xml:space="preserve"> 供应商资格要求中，代理商须提供产品制造商针对本项目的唯一授权的，</w:t>
      </w:r>
      <w:r>
        <w:rPr>
          <w:rFonts w:ascii="仿宋" w:hAnsi="仿宋" w:eastAsia="仿宋" w:cs="仿宋"/>
          <w:color w:val="auto"/>
          <w:spacing w:val="-7"/>
          <w:sz w:val="24"/>
          <w:szCs w:val="24"/>
          <w:highlight w:val="none"/>
        </w:rPr>
        <w:t>同一品牌同品</w:t>
      </w:r>
      <w:r>
        <w:rPr>
          <w:rFonts w:ascii="仿宋" w:hAnsi="仿宋" w:eastAsia="仿宋" w:cs="仿宋"/>
          <w:color w:val="auto"/>
          <w:spacing w:val="53"/>
          <w:sz w:val="24"/>
          <w:szCs w:val="24"/>
          <w:highlight w:val="none"/>
        </w:rPr>
        <w:t xml:space="preserve"> </w:t>
      </w:r>
      <w:r>
        <w:rPr>
          <w:rFonts w:ascii="仿宋" w:hAnsi="仿宋" w:eastAsia="仿宋" w:cs="仿宋"/>
          <w:color w:val="auto"/>
          <w:spacing w:val="-7"/>
          <w:sz w:val="24"/>
          <w:szCs w:val="24"/>
          <w:highlight w:val="none"/>
        </w:rPr>
        <w:t>目产品只允许一个供应商参加报价，产品制造商和代理商同时报价的，制造商响应有效，代理商响应无效；不同代理商代理同一品牌同品</w:t>
      </w:r>
      <w:r>
        <w:rPr>
          <w:rFonts w:ascii="仿宋" w:hAnsi="仿宋" w:eastAsia="仿宋" w:cs="仿宋"/>
          <w:color w:val="auto"/>
          <w:spacing w:val="53"/>
          <w:sz w:val="24"/>
          <w:szCs w:val="24"/>
          <w:highlight w:val="none"/>
        </w:rPr>
        <w:t xml:space="preserve"> </w:t>
      </w:r>
      <w:r>
        <w:rPr>
          <w:rFonts w:ascii="仿宋" w:hAnsi="仿宋" w:eastAsia="仿宋" w:cs="仿宋"/>
          <w:color w:val="auto"/>
          <w:spacing w:val="-7"/>
          <w:sz w:val="24"/>
          <w:szCs w:val="24"/>
          <w:highlight w:val="none"/>
        </w:rPr>
        <w:t>目产品报价的，按照各</w:t>
      </w:r>
      <w:r>
        <w:rPr>
          <w:rFonts w:ascii="仿宋" w:hAnsi="仿宋" w:eastAsia="仿宋" w:cs="仿宋"/>
          <w:color w:val="auto"/>
          <w:spacing w:val="-2"/>
          <w:sz w:val="24"/>
          <w:szCs w:val="24"/>
          <w:highlight w:val="none"/>
        </w:rPr>
        <w:t>代理商提供《产品授权书》的时间先后顺序认定</w:t>
      </w:r>
      <w:r>
        <w:rPr>
          <w:rFonts w:ascii="仿宋" w:hAnsi="仿宋" w:eastAsia="仿宋" w:cs="仿宋"/>
          <w:color w:val="auto"/>
          <w:spacing w:val="-3"/>
          <w:sz w:val="24"/>
          <w:szCs w:val="24"/>
          <w:highlight w:val="none"/>
        </w:rPr>
        <w:t>，先获得《产品授权书》的响应有效，</w:t>
      </w:r>
      <w:r>
        <w:rPr>
          <w:rFonts w:ascii="仿宋" w:hAnsi="仿宋" w:eastAsia="仿宋" w:cs="仿宋"/>
          <w:color w:val="auto"/>
          <w:spacing w:val="-2"/>
          <w:sz w:val="24"/>
          <w:szCs w:val="24"/>
          <w:highlight w:val="none"/>
        </w:rPr>
        <w:t>后获得《产品授权书》的响应无效，时间相同</w:t>
      </w:r>
      <w:r>
        <w:rPr>
          <w:rFonts w:ascii="仿宋" w:hAnsi="仿宋" w:eastAsia="仿宋" w:cs="仿宋"/>
          <w:color w:val="auto"/>
          <w:spacing w:val="-3"/>
          <w:sz w:val="24"/>
          <w:szCs w:val="24"/>
          <w:highlight w:val="none"/>
        </w:rPr>
        <w:t>时由磋商小组现场抽签决定。</w:t>
      </w:r>
    </w:p>
    <w:p w14:paraId="40203D60">
      <w:pPr>
        <w:spacing w:before="220" w:line="220" w:lineRule="auto"/>
        <w:ind w:left="51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18.5.2 符合性审查</w:t>
      </w:r>
    </w:p>
    <w:p w14:paraId="593A3AF1">
      <w:pPr>
        <w:spacing w:before="216" w:line="329" w:lineRule="auto"/>
        <w:ind w:left="35" w:right="24" w:firstLine="45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磋商小组依据竞争性磋商文件的规定，从响应文件的有效性、完整性和对竞争性磋商文件的响应程度进行审查，以确定是否对竞争性磋商文件的实质性要求作出响应。</w:t>
      </w:r>
    </w:p>
    <w:p w14:paraId="669CDB0A">
      <w:pPr>
        <w:spacing w:before="78" w:line="326" w:lineRule="auto"/>
        <w:ind w:left="6" w:right="19" w:firstLine="510"/>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18.5.3 在资格性和符合性审查同时，对属于不合格供应商或者采购人或者</w:t>
      </w:r>
      <w:r>
        <w:rPr>
          <w:rFonts w:ascii="仿宋" w:hAnsi="仿宋" w:eastAsia="仿宋" w:cs="仿宋"/>
          <w:color w:val="auto"/>
          <w:spacing w:val="-7"/>
          <w:sz w:val="24"/>
          <w:szCs w:val="24"/>
          <w:highlight w:val="none"/>
        </w:rPr>
        <w:t>其委托公</w:t>
      </w:r>
      <w:r>
        <w:rPr>
          <w:rFonts w:ascii="仿宋" w:hAnsi="仿宋" w:eastAsia="仿宋" w:cs="仿宋"/>
          <w:color w:val="auto"/>
          <w:spacing w:val="-3"/>
          <w:sz w:val="24"/>
          <w:szCs w:val="24"/>
          <w:highlight w:val="none"/>
        </w:rPr>
        <w:t>证人员依据法律法规和竞争性磋商文件的规定，分别与供应商共同对其商务部分响应文件中的资格证明、保证金等进行审查，以确定供应商是否具备报价资格，填写资格审查表并签字确认后，提交磋商小组审核的供应商，磋商小组必须提出不合格或者响应无效的事实依据，并出具不合格或者响应无效说明，供应商签字确认。供应商签字确认后磋</w:t>
      </w:r>
      <w:r>
        <w:rPr>
          <w:rFonts w:ascii="仿宋" w:hAnsi="仿宋" w:eastAsia="仿宋" w:cs="仿宋"/>
          <w:color w:val="auto"/>
          <w:spacing w:val="3"/>
          <w:sz w:val="24"/>
          <w:szCs w:val="24"/>
          <w:highlight w:val="none"/>
        </w:rPr>
        <w:t>商小组全体成员签字。供应商拒绝签字确认的不影响磋商小组做出的不合格或无效裁</w:t>
      </w:r>
      <w:r>
        <w:rPr>
          <w:rFonts w:ascii="仿宋" w:hAnsi="仿宋" w:eastAsia="仿宋" w:cs="仿宋"/>
          <w:color w:val="auto"/>
          <w:spacing w:val="-8"/>
          <w:sz w:val="24"/>
          <w:szCs w:val="24"/>
          <w:highlight w:val="none"/>
        </w:rPr>
        <w:t>定。</w:t>
      </w:r>
    </w:p>
    <w:p w14:paraId="7FAD8AB4">
      <w:pPr>
        <w:spacing w:before="261" w:line="222" w:lineRule="auto"/>
        <w:ind w:left="51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18.5.4</w:t>
      </w:r>
      <w:r>
        <w:rPr>
          <w:rFonts w:ascii="仿宋" w:hAnsi="仿宋" w:eastAsia="仿宋" w:cs="仿宋"/>
          <w:color w:val="auto"/>
          <w:spacing w:val="-16"/>
          <w:sz w:val="24"/>
          <w:szCs w:val="24"/>
          <w:highlight w:val="none"/>
        </w:rPr>
        <w:t xml:space="preserve"> </w:t>
      </w:r>
      <w:r>
        <w:rPr>
          <w:rFonts w:ascii="仿宋" w:hAnsi="仿宋" w:eastAsia="仿宋" w:cs="仿宋"/>
          <w:color w:val="auto"/>
          <w:spacing w:val="-10"/>
          <w:sz w:val="24"/>
          <w:szCs w:val="24"/>
          <w:highlight w:val="none"/>
        </w:rPr>
        <w:t>技术评审</w:t>
      </w:r>
    </w:p>
    <w:p w14:paraId="2A2A1F13">
      <w:pPr>
        <w:spacing w:before="174" w:line="221" w:lineRule="auto"/>
        <w:ind w:left="49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谈判小组根据工程实际情况对各供应商的技术文件进行审查。</w:t>
      </w:r>
    </w:p>
    <w:p w14:paraId="6D71C43A">
      <w:pPr>
        <w:spacing w:before="186" w:line="222" w:lineRule="auto"/>
        <w:ind w:left="51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18.6</w:t>
      </w:r>
      <w:r>
        <w:rPr>
          <w:rFonts w:ascii="仿宋" w:hAnsi="仿宋" w:eastAsia="仿宋" w:cs="仿宋"/>
          <w:color w:val="auto"/>
          <w:spacing w:val="-16"/>
          <w:sz w:val="24"/>
          <w:szCs w:val="24"/>
          <w:highlight w:val="none"/>
        </w:rPr>
        <w:t xml:space="preserve"> </w:t>
      </w:r>
      <w:r>
        <w:rPr>
          <w:rFonts w:ascii="仿宋" w:hAnsi="仿宋" w:eastAsia="仿宋" w:cs="仿宋"/>
          <w:color w:val="auto"/>
          <w:spacing w:val="-10"/>
          <w:sz w:val="24"/>
          <w:szCs w:val="24"/>
          <w:highlight w:val="none"/>
        </w:rPr>
        <w:t>澄清有关问题</w:t>
      </w:r>
    </w:p>
    <w:p w14:paraId="4766184D">
      <w:pPr>
        <w:spacing w:before="214" w:line="297" w:lineRule="auto"/>
        <w:ind w:left="7" w:right="19" w:firstLine="50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18.6.1 对响应文件中含义不明确、同类问题表述不一致或者有明显文字和</w:t>
      </w:r>
      <w:r>
        <w:rPr>
          <w:rFonts w:ascii="仿宋" w:hAnsi="仿宋" w:eastAsia="仿宋" w:cs="仿宋"/>
          <w:color w:val="auto"/>
          <w:spacing w:val="-7"/>
          <w:sz w:val="24"/>
          <w:szCs w:val="24"/>
          <w:highlight w:val="none"/>
        </w:rPr>
        <w:t>计算错误</w:t>
      </w:r>
      <w:r>
        <w:rPr>
          <w:rFonts w:ascii="仿宋" w:hAnsi="仿宋" w:eastAsia="仿宋" w:cs="仿宋"/>
          <w:color w:val="auto"/>
          <w:spacing w:val="-3"/>
          <w:sz w:val="24"/>
          <w:szCs w:val="24"/>
          <w:highlight w:val="none"/>
        </w:rPr>
        <w:t>的内容，磋商小组应以书面形式要求供应商做出必要的澄清、承诺、说明或者纠正。供</w:t>
      </w:r>
      <w:r>
        <w:rPr>
          <w:rFonts w:ascii="仿宋" w:hAnsi="仿宋" w:eastAsia="仿宋" w:cs="仿宋"/>
          <w:color w:val="auto"/>
          <w:spacing w:val="-9"/>
          <w:sz w:val="24"/>
          <w:szCs w:val="24"/>
          <w:highlight w:val="none"/>
        </w:rPr>
        <w:t>应商的澄清、承诺、说明或者纠正应采取书面形式，由法定代表人或者被授权代表签字，</w:t>
      </w:r>
      <w:r>
        <w:rPr>
          <w:rFonts w:ascii="仿宋" w:hAnsi="仿宋" w:eastAsia="仿宋" w:cs="仿宋"/>
          <w:color w:val="auto"/>
          <w:spacing w:val="-3"/>
          <w:sz w:val="24"/>
          <w:szCs w:val="24"/>
          <w:highlight w:val="none"/>
        </w:rPr>
        <w:t>并不得超出响应文件的范围或者改变响应文件的实质性内容。</w:t>
      </w:r>
    </w:p>
    <w:p w14:paraId="25CBE5F1">
      <w:pPr>
        <w:spacing w:before="319" w:line="281" w:lineRule="auto"/>
        <w:ind w:left="7" w:right="19" w:firstLine="50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18.6.2 磋商小组判断响应文件的响应性仅基于响应文件本身而不靠外部因</w:t>
      </w:r>
      <w:r>
        <w:rPr>
          <w:rFonts w:ascii="仿宋" w:hAnsi="仿宋" w:eastAsia="仿宋" w:cs="仿宋"/>
          <w:color w:val="auto"/>
          <w:spacing w:val="-7"/>
          <w:sz w:val="24"/>
          <w:szCs w:val="24"/>
          <w:highlight w:val="none"/>
        </w:rPr>
        <w:t>素。未响</w:t>
      </w:r>
      <w:r>
        <w:rPr>
          <w:rFonts w:ascii="仿宋" w:hAnsi="仿宋" w:eastAsia="仿宋" w:cs="仿宋"/>
          <w:color w:val="auto"/>
          <w:spacing w:val="-3"/>
          <w:sz w:val="24"/>
          <w:szCs w:val="24"/>
          <w:highlight w:val="none"/>
        </w:rPr>
        <w:t>应实质性条款的，磋商小组有权确定其响应无效，供应商不能通过修正、撤销或者澄清不符之处而使其报价成为实质性响应的报价。</w:t>
      </w:r>
    </w:p>
    <w:p w14:paraId="3FF9CE31">
      <w:pPr>
        <w:spacing w:before="265" w:line="222" w:lineRule="auto"/>
        <w:jc w:val="right"/>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18.6.3 磋商小组可以允许供应商修改或者澄清其响应文件中不构成实质偏离的、微</w:t>
      </w:r>
    </w:p>
    <w:p w14:paraId="736D6BDC">
      <w:pPr>
        <w:spacing w:line="222" w:lineRule="auto"/>
        <w:rPr>
          <w:rFonts w:ascii="仿宋" w:hAnsi="仿宋" w:eastAsia="仿宋" w:cs="仿宋"/>
          <w:color w:val="auto"/>
          <w:sz w:val="24"/>
          <w:szCs w:val="24"/>
          <w:highlight w:val="none"/>
        </w:rPr>
        <w:sectPr>
          <w:footerReference r:id="rId20" w:type="default"/>
          <w:pgSz w:w="11906" w:h="16840"/>
          <w:pgMar w:top="1431" w:right="1396" w:bottom="1174" w:left="1455" w:header="0" w:footer="928" w:gutter="0"/>
          <w:pgNumType w:fmt="decimal"/>
          <w:cols w:space="720" w:num="1"/>
        </w:sectPr>
      </w:pPr>
    </w:p>
    <w:p w14:paraId="0E9EE50C">
      <w:pPr>
        <w:spacing w:before="135" w:line="222" w:lineRule="auto"/>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小的、非正规的不一致或者不规则的地方。</w:t>
      </w:r>
    </w:p>
    <w:p w14:paraId="0A169545">
      <w:pPr>
        <w:spacing w:before="211" w:line="255" w:lineRule="auto"/>
        <w:ind w:left="22" w:right="9" w:firstLine="487"/>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18.6.4 响应文件计算错误的修正。谈判小组在对实质上响应竞争性磋商文件要求的</w:t>
      </w:r>
      <w:r>
        <w:rPr>
          <w:rFonts w:ascii="仿宋" w:hAnsi="仿宋" w:eastAsia="仿宋" w:cs="仿宋"/>
          <w:color w:val="auto"/>
          <w:spacing w:val="-10"/>
          <w:sz w:val="24"/>
          <w:szCs w:val="24"/>
          <w:highlight w:val="none"/>
        </w:rPr>
        <w:t>响应文件进行评估时，除竞争性磋商文件另有约定外，须进行修正的，</w:t>
      </w:r>
      <w:r>
        <w:rPr>
          <w:rFonts w:ascii="仿宋" w:hAnsi="仿宋" w:eastAsia="仿宋" w:cs="仿宋"/>
          <w:color w:val="auto"/>
          <w:spacing w:val="-11"/>
          <w:sz w:val="24"/>
          <w:szCs w:val="24"/>
          <w:highlight w:val="none"/>
        </w:rPr>
        <w:t>应符合下列原则：</w:t>
      </w:r>
    </w:p>
    <w:p w14:paraId="5B743879">
      <w:pPr>
        <w:spacing w:before="199" w:line="330" w:lineRule="auto"/>
        <w:ind w:left="6" w:right="4" w:firstLine="50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"18.6.4.1" </w:instrText>
      </w:r>
      <w:r>
        <w:rPr>
          <w:color w:val="auto"/>
          <w:highlight w:val="none"/>
        </w:rPr>
        <w:fldChar w:fldCharType="separate"/>
      </w:r>
      <w:r>
        <w:rPr>
          <w:rFonts w:ascii="仿宋" w:hAnsi="仿宋" w:eastAsia="仿宋" w:cs="仿宋"/>
          <w:color w:val="auto"/>
          <w:spacing w:val="-6"/>
          <w:sz w:val="24"/>
          <w:szCs w:val="24"/>
          <w:highlight w:val="none"/>
        </w:rPr>
        <w:t>18.6.4.1</w:t>
      </w:r>
      <w:r>
        <w:rPr>
          <w:rFonts w:ascii="仿宋" w:hAnsi="仿宋" w:eastAsia="仿宋" w:cs="仿宋"/>
          <w:color w:val="auto"/>
          <w:spacing w:val="-6"/>
          <w:sz w:val="24"/>
          <w:szCs w:val="24"/>
          <w:highlight w:val="none"/>
        </w:rPr>
        <w:fldChar w:fldCharType="end"/>
      </w:r>
      <w:r>
        <w:rPr>
          <w:rFonts w:ascii="仿宋" w:hAnsi="仿宋" w:eastAsia="仿宋" w:cs="仿宋"/>
          <w:color w:val="auto"/>
          <w:spacing w:val="-6"/>
          <w:sz w:val="24"/>
          <w:szCs w:val="24"/>
          <w:highlight w:val="none"/>
        </w:rPr>
        <w:t xml:space="preserve"> 响应文件以正本为准。响应文件中《开标一览表》内容与分项报价、明细</w:t>
      </w:r>
      <w:r>
        <w:rPr>
          <w:rFonts w:ascii="仿宋" w:hAnsi="仿宋" w:eastAsia="仿宋" w:cs="仿宋"/>
          <w:color w:val="auto"/>
          <w:spacing w:val="-3"/>
          <w:sz w:val="24"/>
          <w:szCs w:val="24"/>
          <w:highlight w:val="none"/>
        </w:rPr>
        <w:t>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068B2565">
      <w:pPr>
        <w:spacing w:before="180" w:line="326" w:lineRule="exact"/>
        <w:ind w:left="511"/>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"18.6.4.2" </w:instrText>
      </w:r>
      <w:r>
        <w:rPr>
          <w:color w:val="auto"/>
          <w:highlight w:val="none"/>
        </w:rPr>
        <w:fldChar w:fldCharType="separate"/>
      </w:r>
      <w:r>
        <w:rPr>
          <w:rFonts w:ascii="仿宋" w:hAnsi="仿宋" w:eastAsia="仿宋" w:cs="仿宋"/>
          <w:color w:val="auto"/>
          <w:spacing w:val="-4"/>
          <w:position w:val="1"/>
          <w:sz w:val="24"/>
          <w:szCs w:val="24"/>
          <w:highlight w:val="none"/>
        </w:rPr>
        <w:t>18.6.4.2</w:t>
      </w:r>
      <w:r>
        <w:rPr>
          <w:rFonts w:ascii="仿宋" w:hAnsi="仿宋" w:eastAsia="仿宋" w:cs="仿宋"/>
          <w:color w:val="auto"/>
          <w:spacing w:val="-4"/>
          <w:position w:val="1"/>
          <w:sz w:val="24"/>
          <w:szCs w:val="24"/>
          <w:highlight w:val="none"/>
        </w:rPr>
        <w:fldChar w:fldCharType="end"/>
      </w:r>
      <w:r>
        <w:rPr>
          <w:rFonts w:ascii="仿宋" w:hAnsi="仿宋" w:eastAsia="仿宋" w:cs="仿宋"/>
          <w:color w:val="auto"/>
          <w:spacing w:val="-4"/>
          <w:position w:val="1"/>
          <w:sz w:val="24"/>
          <w:szCs w:val="24"/>
          <w:highlight w:val="none"/>
        </w:rPr>
        <w:t xml:space="preserve"> 按前款规定调整后的报价，经供应商确认后产生约束力。</w:t>
      </w:r>
    </w:p>
    <w:p w14:paraId="3A70832B">
      <w:pPr>
        <w:spacing w:before="177" w:line="223" w:lineRule="auto"/>
        <w:ind w:left="511"/>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18.7</w:t>
      </w:r>
      <w:r>
        <w:rPr>
          <w:rFonts w:ascii="仿宋" w:hAnsi="仿宋" w:eastAsia="仿宋" w:cs="仿宋"/>
          <w:color w:val="auto"/>
          <w:spacing w:val="-35"/>
          <w:sz w:val="24"/>
          <w:szCs w:val="24"/>
          <w:highlight w:val="none"/>
        </w:rPr>
        <w:t xml:space="preserve"> </w:t>
      </w:r>
      <w:r>
        <w:rPr>
          <w:rFonts w:ascii="仿宋" w:hAnsi="仿宋" w:eastAsia="仿宋" w:cs="仿宋"/>
          <w:color w:val="auto"/>
          <w:spacing w:val="-12"/>
          <w:sz w:val="24"/>
          <w:szCs w:val="24"/>
          <w:highlight w:val="none"/>
        </w:rPr>
        <w:t>磋商</w:t>
      </w:r>
    </w:p>
    <w:p w14:paraId="012B2EFE">
      <w:pPr>
        <w:spacing w:before="211" w:line="256" w:lineRule="auto"/>
        <w:ind w:right="9" w:firstLine="511"/>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18.7.1 磋商前，磋商小组应核实供应商对统一磋商技术标准（包括强制性</w:t>
      </w:r>
      <w:r>
        <w:rPr>
          <w:rFonts w:ascii="仿宋" w:hAnsi="仿宋" w:eastAsia="仿宋" w:cs="仿宋"/>
          <w:color w:val="auto"/>
          <w:spacing w:val="-7"/>
          <w:sz w:val="24"/>
          <w:szCs w:val="24"/>
          <w:highlight w:val="none"/>
        </w:rPr>
        <w:t>标准和行</w:t>
      </w:r>
      <w:r>
        <w:rPr>
          <w:rFonts w:ascii="仿宋" w:hAnsi="仿宋" w:eastAsia="仿宋" w:cs="仿宋"/>
          <w:color w:val="auto"/>
          <w:spacing w:val="-3"/>
          <w:sz w:val="24"/>
          <w:szCs w:val="24"/>
          <w:highlight w:val="none"/>
        </w:rPr>
        <w:t>业标准）等是否全部承诺或者确认。</w:t>
      </w:r>
    </w:p>
    <w:p w14:paraId="4384E5CE">
      <w:pPr>
        <w:spacing w:before="266" w:line="255" w:lineRule="auto"/>
        <w:ind w:left="17" w:right="12" w:firstLine="491"/>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18.7.2 磋商小组所有成员集中与单一供应商进行磋商。在磋商中，磋商的</w:t>
      </w:r>
      <w:r>
        <w:rPr>
          <w:rFonts w:ascii="仿宋" w:hAnsi="仿宋" w:eastAsia="仿宋" w:cs="仿宋"/>
          <w:color w:val="auto"/>
          <w:spacing w:val="-7"/>
          <w:sz w:val="24"/>
          <w:szCs w:val="24"/>
          <w:highlight w:val="none"/>
        </w:rPr>
        <w:t>任何一方</w:t>
      </w:r>
      <w:r>
        <w:rPr>
          <w:rFonts w:ascii="仿宋" w:hAnsi="仿宋" w:eastAsia="仿宋" w:cs="仿宋"/>
          <w:color w:val="auto"/>
          <w:spacing w:val="-3"/>
          <w:sz w:val="24"/>
          <w:szCs w:val="24"/>
          <w:highlight w:val="none"/>
        </w:rPr>
        <w:t>不得透露与磋商有关的其他供应商的技术资料、价格和其他信息。</w:t>
      </w:r>
    </w:p>
    <w:p w14:paraId="3D7DA3B8">
      <w:pPr>
        <w:spacing w:before="264" w:line="300" w:lineRule="auto"/>
        <w:ind w:right="9" w:firstLine="511"/>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18.7.3 磋商实行多轮报价，原则上第三轮报价为最终报价。超过三轮报价</w:t>
      </w:r>
      <w:r>
        <w:rPr>
          <w:rFonts w:ascii="仿宋" w:hAnsi="仿宋" w:eastAsia="仿宋" w:cs="仿宋"/>
          <w:color w:val="auto"/>
          <w:spacing w:val="-7"/>
          <w:sz w:val="24"/>
          <w:szCs w:val="24"/>
          <w:highlight w:val="none"/>
        </w:rPr>
        <w:t>的由磋商</w:t>
      </w:r>
      <w:r>
        <w:rPr>
          <w:rFonts w:ascii="仿宋" w:hAnsi="仿宋" w:eastAsia="仿宋" w:cs="仿宋"/>
          <w:color w:val="auto"/>
          <w:spacing w:val="-3"/>
          <w:sz w:val="24"/>
          <w:szCs w:val="24"/>
          <w:highlight w:val="none"/>
        </w:rPr>
        <w:t>小组现场集体决定，但最后一轮报价前必须告知所有参加磋商的供应商，并以最后一轮报价为最终报价；供应商后一轮报价不得高于其前一轮报价；否则磋商小组有权据此确定为无效报价，参与磋商的供应商少于三家的予以废标。</w:t>
      </w:r>
    </w:p>
    <w:p w14:paraId="70FE95EA">
      <w:pPr>
        <w:spacing w:before="307" w:line="344" w:lineRule="auto"/>
        <w:ind w:right="24" w:firstLine="475"/>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特殊情况及处置</w:t>
      </w:r>
      <w:r>
        <w:rPr>
          <w:rFonts w:ascii="仿宋" w:hAnsi="仿宋" w:eastAsia="仿宋" w:cs="仿宋"/>
          <w:color w:val="auto"/>
          <w:spacing w:val="-32"/>
          <w:sz w:val="24"/>
          <w:szCs w:val="24"/>
          <w:highlight w:val="none"/>
        </w:rPr>
        <w:t>：（</w:t>
      </w:r>
      <w:r>
        <w:rPr>
          <w:rFonts w:ascii="仿宋" w:hAnsi="仿宋" w:eastAsia="仿宋" w:cs="仿宋"/>
          <w:color w:val="auto"/>
          <w:spacing w:val="1"/>
          <w:sz w:val="24"/>
          <w:szCs w:val="24"/>
          <w:highlight w:val="none"/>
        </w:rPr>
        <w:t>1）采购范围变化且总价不超过控</w:t>
      </w:r>
      <w:r>
        <w:rPr>
          <w:rFonts w:ascii="仿宋" w:hAnsi="仿宋" w:eastAsia="仿宋" w:cs="仿宋"/>
          <w:color w:val="auto"/>
          <w:sz w:val="24"/>
          <w:szCs w:val="24"/>
          <w:highlight w:val="none"/>
        </w:rPr>
        <w:t>制价的</w:t>
      </w:r>
      <w:r>
        <w:rPr>
          <w:rFonts w:ascii="仿宋" w:hAnsi="仿宋" w:eastAsia="仿宋" w:cs="仿宋"/>
          <w:color w:val="auto"/>
          <w:spacing w:val="-32"/>
          <w:sz w:val="24"/>
          <w:szCs w:val="24"/>
          <w:highlight w:val="none"/>
        </w:rPr>
        <w:t>；（</w:t>
      </w:r>
      <w:r>
        <w:rPr>
          <w:rFonts w:ascii="仿宋" w:hAnsi="仿宋" w:eastAsia="仿宋" w:cs="仿宋"/>
          <w:color w:val="auto"/>
          <w:sz w:val="24"/>
          <w:szCs w:val="24"/>
          <w:highlight w:val="none"/>
        </w:rPr>
        <w:t>2）采购主材的市</w:t>
      </w:r>
      <w:r>
        <w:rPr>
          <w:rFonts w:ascii="仿宋" w:hAnsi="仿宋" w:eastAsia="仿宋" w:cs="仿宋"/>
          <w:color w:val="auto"/>
          <w:spacing w:val="3"/>
          <w:sz w:val="24"/>
          <w:szCs w:val="24"/>
          <w:highlight w:val="none"/>
        </w:rPr>
        <w:t>场价格明显降价的</w:t>
      </w:r>
      <w:r>
        <w:rPr>
          <w:rFonts w:ascii="仿宋" w:hAnsi="仿宋" w:eastAsia="仿宋" w:cs="仿宋"/>
          <w:color w:val="auto"/>
          <w:spacing w:val="-48"/>
          <w:sz w:val="24"/>
          <w:szCs w:val="24"/>
          <w:highlight w:val="none"/>
        </w:rPr>
        <w:t>；（</w:t>
      </w:r>
      <w:r>
        <w:rPr>
          <w:rFonts w:ascii="仿宋" w:hAnsi="仿宋" w:eastAsia="仿宋" w:cs="仿宋"/>
          <w:color w:val="auto"/>
          <w:spacing w:val="3"/>
          <w:sz w:val="24"/>
          <w:szCs w:val="24"/>
          <w:highlight w:val="none"/>
        </w:rPr>
        <w:t>3）报价明细中个别报价明显高于市场价且无明确报价依据的；</w:t>
      </w:r>
      <w:r>
        <w:rPr>
          <w:rFonts w:ascii="仿宋" w:hAnsi="仿宋" w:eastAsia="仿宋" w:cs="仿宋"/>
          <w:color w:val="auto"/>
          <w:spacing w:val="1"/>
          <w:sz w:val="24"/>
          <w:szCs w:val="24"/>
          <w:highlight w:val="none"/>
        </w:rPr>
        <w:t xml:space="preserve"> </w:t>
      </w:r>
      <w:r>
        <w:rPr>
          <w:rFonts w:ascii="仿宋" w:hAnsi="仿宋" w:eastAsia="仿宋" w:cs="仿宋"/>
          <w:color w:val="auto"/>
          <w:sz w:val="24"/>
          <w:szCs w:val="24"/>
          <w:highlight w:val="none"/>
        </w:rPr>
        <w:t>（4）最后一轮报价中最低报价相同的。发生上述情形之一的，谈判小组有权予以废标</w:t>
      </w:r>
      <w:r>
        <w:rPr>
          <w:rFonts w:ascii="仿宋" w:hAnsi="仿宋" w:eastAsia="仿宋" w:cs="仿宋"/>
          <w:color w:val="auto"/>
          <w:spacing w:val="-4"/>
          <w:sz w:val="24"/>
          <w:szCs w:val="24"/>
          <w:highlight w:val="none"/>
        </w:rPr>
        <w:t>或者与供应商进行谈判后继续报价。</w:t>
      </w:r>
    </w:p>
    <w:p w14:paraId="01EF6A25">
      <w:pPr>
        <w:spacing w:before="47" w:line="224" w:lineRule="auto"/>
        <w:ind w:left="511"/>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18.8</w:t>
      </w:r>
      <w:r>
        <w:rPr>
          <w:rFonts w:ascii="仿宋" w:hAnsi="仿宋" w:eastAsia="仿宋" w:cs="仿宋"/>
          <w:color w:val="auto"/>
          <w:spacing w:val="-18"/>
          <w:sz w:val="24"/>
          <w:szCs w:val="24"/>
          <w:highlight w:val="none"/>
        </w:rPr>
        <w:t xml:space="preserve"> </w:t>
      </w:r>
      <w:r>
        <w:rPr>
          <w:rFonts w:ascii="仿宋" w:hAnsi="仿宋" w:eastAsia="仿宋" w:cs="仿宋"/>
          <w:color w:val="auto"/>
          <w:spacing w:val="-14"/>
          <w:sz w:val="24"/>
          <w:szCs w:val="24"/>
          <w:highlight w:val="none"/>
        </w:rPr>
        <w:t>成交</w:t>
      </w:r>
    </w:p>
    <w:p w14:paraId="531AA08B">
      <w:pPr>
        <w:spacing w:before="213" w:line="276" w:lineRule="auto"/>
        <w:ind w:right="5" w:firstLine="511"/>
        <w:jc w:val="both"/>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18.8.1 本项目评审办法为综合评分法。磋商小组对满足磋商文件实质性要求的响应</w:t>
      </w:r>
      <w:r>
        <w:rPr>
          <w:rFonts w:ascii="仿宋" w:hAnsi="仿宋" w:eastAsia="仿宋" w:cs="仿宋"/>
          <w:color w:val="auto"/>
          <w:spacing w:val="-2"/>
          <w:sz w:val="24"/>
          <w:szCs w:val="24"/>
          <w:highlight w:val="none"/>
        </w:rPr>
        <w:t>文件，按照本章第 2.3、2.4 款规定的评分标准进行打分，并按</w:t>
      </w:r>
      <w:r>
        <w:rPr>
          <w:rFonts w:ascii="仿宋" w:hAnsi="仿宋" w:eastAsia="仿宋" w:cs="仿宋"/>
          <w:color w:val="auto"/>
          <w:spacing w:val="-3"/>
          <w:sz w:val="24"/>
          <w:szCs w:val="24"/>
          <w:highlight w:val="none"/>
        </w:rPr>
        <w:t>综合得分由高到低顺序</w:t>
      </w:r>
      <w:r>
        <w:rPr>
          <w:rFonts w:ascii="仿宋" w:hAnsi="仿宋" w:eastAsia="仿宋" w:cs="仿宋"/>
          <w:color w:val="auto"/>
          <w:spacing w:val="-2"/>
          <w:sz w:val="24"/>
          <w:szCs w:val="24"/>
          <w:highlight w:val="none"/>
        </w:rPr>
        <w:t>推荐中标候选人，或根据采购人授权直接确定中标</w:t>
      </w:r>
      <w:r>
        <w:rPr>
          <w:rFonts w:ascii="仿宋" w:hAnsi="仿宋" w:eastAsia="仿宋" w:cs="仿宋"/>
          <w:color w:val="auto"/>
          <w:spacing w:val="-3"/>
          <w:sz w:val="24"/>
          <w:szCs w:val="24"/>
          <w:highlight w:val="none"/>
        </w:rPr>
        <w:t>人。综合评分相等时，以报价低的优先；报价也相等的，由采购人自行确定。</w:t>
      </w:r>
    </w:p>
    <w:p w14:paraId="38EE088B">
      <w:pPr>
        <w:spacing w:before="153" w:line="255" w:lineRule="auto"/>
        <w:ind w:right="9" w:firstLine="511"/>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18.8.2 采购人授权磋商小组确定成交供应商的，最终报价结束后，磋商小</w:t>
      </w:r>
      <w:r>
        <w:rPr>
          <w:rFonts w:ascii="仿宋" w:hAnsi="仿宋" w:eastAsia="仿宋" w:cs="仿宋"/>
          <w:color w:val="auto"/>
          <w:spacing w:val="-7"/>
          <w:sz w:val="24"/>
          <w:szCs w:val="24"/>
          <w:highlight w:val="none"/>
        </w:rPr>
        <w:t>组按照上</w:t>
      </w:r>
      <w:r>
        <w:rPr>
          <w:rFonts w:ascii="仿宋" w:hAnsi="仿宋" w:eastAsia="仿宋" w:cs="仿宋"/>
          <w:color w:val="auto"/>
          <w:spacing w:val="-3"/>
          <w:sz w:val="24"/>
          <w:szCs w:val="24"/>
          <w:highlight w:val="none"/>
        </w:rPr>
        <w:t>述规定，对供应商进行排序并确定排序第一的为成交供应商；</w:t>
      </w:r>
    </w:p>
    <w:p w14:paraId="0754EE63">
      <w:pPr>
        <w:spacing w:before="231" w:line="220" w:lineRule="auto"/>
        <w:jc w:val="right"/>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18.8.3 竞争性磋商文件规定推荐成交候选供应商的，成交候选供应商数量应当根据</w:t>
      </w:r>
    </w:p>
    <w:p w14:paraId="517D5FAE">
      <w:pPr>
        <w:spacing w:line="220" w:lineRule="auto"/>
        <w:rPr>
          <w:rFonts w:ascii="仿宋" w:hAnsi="仿宋" w:eastAsia="仿宋" w:cs="仿宋"/>
          <w:color w:val="auto"/>
          <w:sz w:val="24"/>
          <w:szCs w:val="24"/>
          <w:highlight w:val="none"/>
        </w:rPr>
        <w:sectPr>
          <w:footerReference r:id="rId21" w:type="default"/>
          <w:pgSz w:w="11906" w:h="16840"/>
          <w:pgMar w:top="1431" w:right="1403" w:bottom="1174" w:left="1463" w:header="0" w:footer="928" w:gutter="0"/>
          <w:pgNumType w:fmt="decimal"/>
          <w:cols w:space="720" w:num="1"/>
        </w:sectPr>
      </w:pPr>
    </w:p>
    <w:p w14:paraId="011B7B6B">
      <w:pPr>
        <w:spacing w:before="171" w:line="342" w:lineRule="auto"/>
        <w:ind w:right="376" w:firstLine="14"/>
        <w:jc w:val="both"/>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采购需要并在采购活动开始前确定，由磋商小组按照上述规定的评审办法确定各供应商</w:t>
      </w:r>
      <w:r>
        <w:rPr>
          <w:rFonts w:ascii="仿宋" w:hAnsi="仿宋" w:eastAsia="仿宋" w:cs="仿宋"/>
          <w:color w:val="auto"/>
          <w:spacing w:val="-2"/>
          <w:sz w:val="24"/>
          <w:szCs w:val="24"/>
          <w:highlight w:val="none"/>
        </w:rPr>
        <w:t>排列顺序，依照顺序推荐成交候选供应商，并出具评审报告，采购人</w:t>
      </w:r>
      <w:r>
        <w:rPr>
          <w:rFonts w:ascii="仿宋" w:hAnsi="仿宋" w:eastAsia="仿宋" w:cs="仿宋"/>
          <w:color w:val="auto"/>
          <w:spacing w:val="-3"/>
          <w:sz w:val="24"/>
          <w:szCs w:val="24"/>
          <w:highlight w:val="none"/>
        </w:rPr>
        <w:t>应当在收到评审报</w:t>
      </w:r>
      <w:r>
        <w:rPr>
          <w:rFonts w:ascii="仿宋" w:hAnsi="仿宋" w:eastAsia="仿宋" w:cs="仿宋"/>
          <w:color w:val="auto"/>
          <w:spacing w:val="-5"/>
          <w:sz w:val="24"/>
          <w:szCs w:val="24"/>
          <w:highlight w:val="none"/>
        </w:rPr>
        <w:t>告后</w:t>
      </w:r>
      <w:r>
        <w:rPr>
          <w:rFonts w:ascii="仿宋" w:hAnsi="仿宋" w:eastAsia="仿宋" w:cs="仿宋"/>
          <w:color w:val="auto"/>
          <w:spacing w:val="-7"/>
          <w:sz w:val="24"/>
          <w:szCs w:val="24"/>
          <w:highlight w:val="none"/>
        </w:rPr>
        <w:t xml:space="preserve"> </w:t>
      </w:r>
      <w:r>
        <w:rPr>
          <w:rFonts w:ascii="仿宋" w:hAnsi="仿宋" w:eastAsia="仿宋" w:cs="仿宋"/>
          <w:color w:val="auto"/>
          <w:spacing w:val="-5"/>
          <w:sz w:val="24"/>
          <w:szCs w:val="24"/>
          <w:highlight w:val="none"/>
        </w:rPr>
        <w:t>5 个工作日内，从评审报告提出的成交候选人中，根据质量和服务均能满足竞争性</w:t>
      </w:r>
      <w:r>
        <w:rPr>
          <w:rFonts w:ascii="仿宋" w:hAnsi="仿宋" w:eastAsia="仿宋" w:cs="仿宋"/>
          <w:color w:val="auto"/>
          <w:spacing w:val="-2"/>
          <w:sz w:val="24"/>
          <w:szCs w:val="24"/>
          <w:highlight w:val="none"/>
        </w:rPr>
        <w:t>磋商文件实质性响应要求且最后综合得分最高的</w:t>
      </w:r>
      <w:r>
        <w:rPr>
          <w:rFonts w:ascii="仿宋" w:hAnsi="仿宋" w:eastAsia="仿宋" w:cs="仿宋"/>
          <w:color w:val="auto"/>
          <w:spacing w:val="-3"/>
          <w:sz w:val="24"/>
          <w:szCs w:val="24"/>
          <w:highlight w:val="none"/>
        </w:rPr>
        <w:t>原则确定成交供应商。</w:t>
      </w:r>
    </w:p>
    <w:p w14:paraId="497C1BE3">
      <w:pPr>
        <w:spacing w:before="76" w:line="300" w:lineRule="auto"/>
        <w:ind w:left="7" w:right="393" w:firstLine="511"/>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18.8.4 按照有关规定成交供应商因不可抗力或者自身原因不能履行政府采购合同</w:t>
      </w:r>
      <w:r>
        <w:rPr>
          <w:rFonts w:ascii="仿宋" w:hAnsi="仿宋" w:eastAsia="仿宋" w:cs="仿宋"/>
          <w:color w:val="auto"/>
          <w:spacing w:val="-3"/>
          <w:sz w:val="24"/>
          <w:szCs w:val="24"/>
          <w:highlight w:val="none"/>
        </w:rPr>
        <w:t>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4DD1F9F3">
      <w:pPr>
        <w:spacing w:before="273" w:line="222" w:lineRule="auto"/>
        <w:ind w:left="51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18.8.5 磋商结果应通知所有参加磋商的</w:t>
      </w:r>
      <w:r>
        <w:rPr>
          <w:rFonts w:ascii="仿宋" w:hAnsi="仿宋" w:eastAsia="仿宋" w:cs="仿宋"/>
          <w:color w:val="auto"/>
          <w:spacing w:val="-6"/>
          <w:sz w:val="24"/>
          <w:szCs w:val="24"/>
          <w:highlight w:val="none"/>
        </w:rPr>
        <w:t>供应商。</w:t>
      </w:r>
    </w:p>
    <w:p w14:paraId="75E1BC47">
      <w:pPr>
        <w:spacing w:before="179" w:line="222" w:lineRule="auto"/>
        <w:ind w:left="51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18.8.6</w:t>
      </w:r>
      <w:r>
        <w:rPr>
          <w:rFonts w:ascii="仿宋" w:hAnsi="仿宋" w:eastAsia="仿宋" w:cs="仿宋"/>
          <w:color w:val="auto"/>
          <w:spacing w:val="-16"/>
          <w:sz w:val="24"/>
          <w:szCs w:val="24"/>
          <w:highlight w:val="none"/>
        </w:rPr>
        <w:t xml:space="preserve"> </w:t>
      </w:r>
      <w:r>
        <w:rPr>
          <w:rFonts w:ascii="仿宋" w:hAnsi="仿宋" w:eastAsia="仿宋" w:cs="仿宋"/>
          <w:color w:val="auto"/>
          <w:spacing w:val="-10"/>
          <w:sz w:val="24"/>
          <w:szCs w:val="24"/>
          <w:highlight w:val="none"/>
        </w:rPr>
        <w:t>优先成交</w:t>
      </w:r>
    </w:p>
    <w:p w14:paraId="28ABC777">
      <w:pPr>
        <w:spacing w:before="174" w:line="222" w:lineRule="auto"/>
        <w:ind w:left="48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有下列情况之一的，磋商小组必须给予优先成交：</w:t>
      </w:r>
    </w:p>
    <w:p w14:paraId="1A5EF195">
      <w:pPr>
        <w:spacing w:before="149" w:line="329" w:lineRule="auto"/>
        <w:ind w:left="7" w:right="386" w:firstLine="509"/>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"18.8.6.1" </w:instrText>
      </w:r>
      <w:r>
        <w:rPr>
          <w:color w:val="auto"/>
          <w:highlight w:val="none"/>
        </w:rPr>
        <w:fldChar w:fldCharType="separate"/>
      </w:r>
      <w:r>
        <w:rPr>
          <w:rFonts w:ascii="仿宋" w:hAnsi="仿宋" w:eastAsia="仿宋" w:cs="仿宋"/>
          <w:color w:val="auto"/>
          <w:spacing w:val="-5"/>
          <w:sz w:val="24"/>
          <w:szCs w:val="24"/>
          <w:highlight w:val="none"/>
        </w:rPr>
        <w:t>18.8.6.1</w:t>
      </w:r>
      <w:r>
        <w:rPr>
          <w:rFonts w:ascii="仿宋" w:hAnsi="仿宋" w:eastAsia="仿宋" w:cs="仿宋"/>
          <w:color w:val="auto"/>
          <w:spacing w:val="-5"/>
          <w:sz w:val="24"/>
          <w:szCs w:val="24"/>
          <w:highlight w:val="none"/>
        </w:rPr>
        <w:fldChar w:fldCharType="end"/>
      </w:r>
      <w:r>
        <w:rPr>
          <w:rFonts w:ascii="仿宋" w:hAnsi="仿宋" w:eastAsia="仿宋" w:cs="仿宋"/>
          <w:color w:val="auto"/>
          <w:spacing w:val="-5"/>
          <w:sz w:val="24"/>
          <w:szCs w:val="24"/>
          <w:highlight w:val="none"/>
        </w:rPr>
        <w:t xml:space="preserve"> 根据财政部、工业和信息化</w:t>
      </w:r>
      <w:r>
        <w:rPr>
          <w:rFonts w:ascii="仿宋" w:hAnsi="仿宋" w:eastAsia="仿宋" w:cs="仿宋"/>
          <w:color w:val="auto"/>
          <w:spacing w:val="-6"/>
          <w:sz w:val="24"/>
          <w:szCs w:val="24"/>
          <w:highlight w:val="none"/>
        </w:rPr>
        <w:t>部（财库〔2011〕181 号）文件规定，供应商</w:t>
      </w:r>
      <w:r>
        <w:rPr>
          <w:rFonts w:ascii="仿宋" w:hAnsi="仿宋" w:eastAsia="仿宋" w:cs="仿宋"/>
          <w:color w:val="auto"/>
          <w:spacing w:val="-3"/>
          <w:sz w:val="24"/>
          <w:szCs w:val="24"/>
          <w:highlight w:val="none"/>
        </w:rPr>
        <w:t>属于小型或微型企业并以其自身产品和服务报价，或者提供其他小微企业制造的货物，在 满足采购需求且质量和服务相等的情况下，其最终报价再给予6%的价格扣除后价格最低或与最低价相同的，须提供《中小企业声明函》并对声明函的真实性负责，否则不</w:t>
      </w:r>
      <w:r>
        <w:rPr>
          <w:rFonts w:ascii="仿宋" w:hAnsi="仿宋" w:eastAsia="仿宋" w:cs="仿宋"/>
          <w:color w:val="auto"/>
          <w:spacing w:val="-6"/>
          <w:sz w:val="24"/>
          <w:szCs w:val="24"/>
          <w:highlight w:val="none"/>
        </w:rPr>
        <w:t>予价格扣除。</w:t>
      </w:r>
    </w:p>
    <w:p w14:paraId="5C53699E">
      <w:pPr>
        <w:spacing w:before="186" w:line="325" w:lineRule="auto"/>
        <w:ind w:left="11" w:firstLine="505"/>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"18.8.6.2" </w:instrText>
      </w:r>
      <w:r>
        <w:rPr>
          <w:color w:val="auto"/>
          <w:highlight w:val="none"/>
        </w:rPr>
        <w:fldChar w:fldCharType="separate"/>
      </w:r>
      <w:r>
        <w:rPr>
          <w:rFonts w:ascii="仿宋" w:hAnsi="仿宋" w:eastAsia="仿宋" w:cs="仿宋"/>
          <w:color w:val="auto"/>
          <w:spacing w:val="-6"/>
          <w:sz w:val="24"/>
          <w:szCs w:val="24"/>
          <w:highlight w:val="none"/>
        </w:rPr>
        <w:t>18.8.6.2</w:t>
      </w:r>
      <w:r>
        <w:rPr>
          <w:rFonts w:ascii="仿宋" w:hAnsi="仿宋" w:eastAsia="仿宋" w:cs="仿宋"/>
          <w:color w:val="auto"/>
          <w:spacing w:val="-6"/>
          <w:sz w:val="24"/>
          <w:szCs w:val="24"/>
          <w:highlight w:val="none"/>
        </w:rPr>
        <w:fldChar w:fldCharType="end"/>
      </w:r>
      <w:r>
        <w:rPr>
          <w:rFonts w:ascii="仿宋" w:hAnsi="仿宋" w:eastAsia="仿宋" w:cs="仿宋"/>
          <w:color w:val="auto"/>
          <w:spacing w:val="-6"/>
          <w:sz w:val="24"/>
          <w:szCs w:val="24"/>
          <w:highlight w:val="none"/>
        </w:rPr>
        <w:t xml:space="preserve"> 根据财政部、国家发展改革委、省财政厅有关规定，报价供应商所投产品</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为政府优先采购节能产品、环保产品的，须提供最新发布的“节能产品政府采购清单 ”</w:t>
      </w:r>
      <w:r>
        <w:rPr>
          <w:rFonts w:ascii="仿宋" w:hAnsi="仿宋" w:eastAsia="仿宋" w:cs="仿宋"/>
          <w:color w:val="auto"/>
          <w:spacing w:val="-6"/>
          <w:sz w:val="24"/>
          <w:szCs w:val="24"/>
          <w:highlight w:val="none"/>
        </w:rPr>
        <w:t>或“环境标志产品政府采购清单 ”，在满足采购需求且质量和服务相等的情况下，其最</w:t>
      </w:r>
    </w:p>
    <w:p w14:paraId="4BB6555D">
      <w:pPr>
        <w:spacing w:before="43" w:line="330" w:lineRule="auto"/>
        <w:ind w:left="21" w:right="386" w:hanging="13"/>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 xml:space="preserve">终报价中的节能产品、环保产品价格再给予 </w:t>
      </w:r>
      <w:r>
        <w:rPr>
          <w:rFonts w:ascii="仿宋" w:hAnsi="仿宋" w:eastAsia="仿宋" w:cs="仿宋"/>
          <w:color w:val="auto"/>
          <w:spacing w:val="-3"/>
          <w:sz w:val="24"/>
          <w:szCs w:val="24"/>
          <w:highlight w:val="none"/>
        </w:rPr>
        <w:t>10%的价格扣除后价格最低或与最低价相同</w:t>
      </w:r>
      <w:r>
        <w:rPr>
          <w:rFonts w:ascii="仿宋" w:hAnsi="仿宋" w:eastAsia="仿宋" w:cs="仿宋"/>
          <w:color w:val="auto"/>
          <w:spacing w:val="-15"/>
          <w:sz w:val="24"/>
          <w:szCs w:val="24"/>
          <w:highlight w:val="none"/>
        </w:rPr>
        <w:t>的。</w:t>
      </w:r>
    </w:p>
    <w:p w14:paraId="3F0ED60F">
      <w:pPr>
        <w:spacing w:before="196" w:line="222" w:lineRule="auto"/>
        <w:ind w:left="559"/>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以上两项政策价格扣除不超过 10%。</w:t>
      </w:r>
    </w:p>
    <w:p w14:paraId="6087B491">
      <w:pPr>
        <w:spacing w:before="179" w:line="222" w:lineRule="auto"/>
        <w:ind w:left="51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18.9 成交结果公告以及成交通知书</w:t>
      </w:r>
    </w:p>
    <w:p w14:paraId="3075F41B">
      <w:pPr>
        <w:spacing w:before="213" w:line="283" w:lineRule="auto"/>
        <w:ind w:left="20" w:right="379" w:firstLine="496"/>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18.9.1 采购人或者采购代理机构应当自成交供应商确定之日起</w:t>
      </w:r>
      <w:r>
        <w:rPr>
          <w:rFonts w:ascii="仿宋" w:hAnsi="仿宋" w:eastAsia="仿宋" w:cs="仿宋"/>
          <w:color w:val="auto"/>
          <w:spacing w:val="-27"/>
          <w:sz w:val="24"/>
          <w:szCs w:val="24"/>
          <w:highlight w:val="none"/>
        </w:rPr>
        <w:t xml:space="preserve"> </w:t>
      </w:r>
      <w:r>
        <w:rPr>
          <w:rFonts w:ascii="仿宋" w:hAnsi="仿宋" w:eastAsia="仿宋" w:cs="仿宋"/>
          <w:color w:val="auto"/>
          <w:spacing w:val="-8"/>
          <w:sz w:val="24"/>
          <w:szCs w:val="24"/>
          <w:highlight w:val="none"/>
        </w:rPr>
        <w:t>2 个工</w:t>
      </w:r>
      <w:r>
        <w:rPr>
          <w:rFonts w:ascii="仿宋" w:hAnsi="仿宋" w:eastAsia="仿宋" w:cs="仿宋"/>
          <w:color w:val="auto"/>
          <w:spacing w:val="-9"/>
          <w:sz w:val="24"/>
          <w:szCs w:val="24"/>
          <w:highlight w:val="none"/>
        </w:rPr>
        <w:t>作日内，发出</w:t>
      </w:r>
      <w:r>
        <w:rPr>
          <w:rFonts w:ascii="仿宋" w:hAnsi="仿宋" w:eastAsia="仿宋" w:cs="仿宋"/>
          <w:color w:val="auto"/>
          <w:spacing w:val="-5"/>
          <w:sz w:val="24"/>
          <w:szCs w:val="24"/>
          <w:highlight w:val="none"/>
        </w:rPr>
        <w:t>成交通知书，并在相关媒介公告成交结果（公告期限为 1 个工作日</w:t>
      </w:r>
      <w:r>
        <w:rPr>
          <w:rFonts w:ascii="仿宋" w:hAnsi="仿宋" w:eastAsia="仿宋" w:cs="仿宋"/>
          <w:color w:val="auto"/>
          <w:spacing w:val="-20"/>
          <w:sz w:val="24"/>
          <w:szCs w:val="24"/>
          <w:highlight w:val="none"/>
        </w:rPr>
        <w:t>），</w:t>
      </w:r>
      <w:r>
        <w:rPr>
          <w:rFonts w:ascii="仿宋" w:hAnsi="仿宋" w:eastAsia="仿宋" w:cs="仿宋"/>
          <w:color w:val="auto"/>
          <w:spacing w:val="-5"/>
          <w:sz w:val="24"/>
          <w:szCs w:val="24"/>
          <w:highlight w:val="none"/>
        </w:rPr>
        <w:t>竞争性磋商文件</w:t>
      </w:r>
      <w:r>
        <w:rPr>
          <w:rFonts w:ascii="仿宋" w:hAnsi="仿宋" w:eastAsia="仿宋" w:cs="仿宋"/>
          <w:color w:val="auto"/>
          <w:spacing w:val="-6"/>
          <w:sz w:val="24"/>
          <w:szCs w:val="24"/>
          <w:highlight w:val="none"/>
        </w:rPr>
        <w:t>随成交结果同时公告。</w:t>
      </w:r>
    </w:p>
    <w:p w14:paraId="2BFCD804">
      <w:pPr>
        <w:spacing w:before="294" w:line="282" w:lineRule="auto"/>
        <w:ind w:left="7" w:right="393" w:firstLine="509"/>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18.9.2 采购人或采购代理机构不按照规定发布成交结果公告或者发布成交结果公</w:t>
      </w:r>
      <w:r>
        <w:rPr>
          <w:rFonts w:ascii="仿宋" w:hAnsi="仿宋" w:eastAsia="仿宋" w:cs="仿宋"/>
          <w:color w:val="auto"/>
          <w:spacing w:val="-3"/>
          <w:sz w:val="24"/>
          <w:szCs w:val="24"/>
          <w:highlight w:val="none"/>
        </w:rPr>
        <w:t>告后不签发成交通知书的，应当承担法律责任，给成交供应商造成经济损失的应承担赔</w:t>
      </w:r>
      <w:r>
        <w:rPr>
          <w:rFonts w:ascii="仿宋" w:hAnsi="仿宋" w:eastAsia="仿宋" w:cs="仿宋"/>
          <w:color w:val="auto"/>
          <w:spacing w:val="-7"/>
          <w:sz w:val="24"/>
          <w:szCs w:val="24"/>
          <w:highlight w:val="none"/>
        </w:rPr>
        <w:t>偿责任。</w:t>
      </w:r>
    </w:p>
    <w:p w14:paraId="25DDCDDF">
      <w:pPr>
        <w:spacing w:before="262" w:line="222" w:lineRule="auto"/>
        <w:ind w:left="51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18.9.3 成交通知书对采购人和成交供应商都具有法律效力。成交通知书</w:t>
      </w:r>
      <w:r>
        <w:rPr>
          <w:rFonts w:ascii="仿宋" w:hAnsi="仿宋" w:eastAsia="仿宋" w:cs="仿宋"/>
          <w:color w:val="auto"/>
          <w:spacing w:val="-6"/>
          <w:sz w:val="24"/>
          <w:szCs w:val="24"/>
          <w:highlight w:val="none"/>
        </w:rPr>
        <w:t>发出后，采</w:t>
      </w:r>
    </w:p>
    <w:p w14:paraId="40DE093F">
      <w:pPr>
        <w:spacing w:line="222" w:lineRule="auto"/>
        <w:rPr>
          <w:rFonts w:ascii="仿宋" w:hAnsi="仿宋" w:eastAsia="仿宋" w:cs="仿宋"/>
          <w:color w:val="auto"/>
          <w:sz w:val="24"/>
          <w:szCs w:val="24"/>
          <w:highlight w:val="none"/>
        </w:rPr>
        <w:sectPr>
          <w:footerReference r:id="rId22" w:type="default"/>
          <w:pgSz w:w="11906" w:h="16840"/>
          <w:pgMar w:top="1431" w:right="1034" w:bottom="1174" w:left="1455" w:header="0" w:footer="928" w:gutter="0"/>
          <w:pgNumType w:fmt="decimal"/>
          <w:cols w:space="720" w:num="1"/>
        </w:sectPr>
      </w:pPr>
    </w:p>
    <w:p w14:paraId="591E066D">
      <w:pPr>
        <w:spacing w:before="135" w:line="222" w:lineRule="auto"/>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购买人改变成交结果的，或者成交供应商放弃成交</w:t>
      </w:r>
      <w:r>
        <w:rPr>
          <w:rFonts w:ascii="仿宋" w:hAnsi="仿宋" w:eastAsia="仿宋" w:cs="仿宋"/>
          <w:color w:val="auto"/>
          <w:spacing w:val="-3"/>
          <w:sz w:val="24"/>
          <w:szCs w:val="24"/>
          <w:highlight w:val="none"/>
        </w:rPr>
        <w:t>，应当依法承担法律责任。</w:t>
      </w:r>
    </w:p>
    <w:p w14:paraId="4F20AFC0">
      <w:pPr>
        <w:spacing w:before="179" w:line="223" w:lineRule="auto"/>
        <w:ind w:left="511"/>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18.10 响应无效</w:t>
      </w:r>
    </w:p>
    <w:p w14:paraId="7BCBCF67">
      <w:pPr>
        <w:spacing w:before="176" w:line="222" w:lineRule="auto"/>
        <w:ind w:left="552"/>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出现下列情形之一的，响应无效：</w:t>
      </w:r>
    </w:p>
    <w:p w14:paraId="4D22BE40">
      <w:pPr>
        <w:spacing w:before="176" w:line="222" w:lineRule="auto"/>
        <w:ind w:left="511"/>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18.10.1 响应报价高于采购预算的；</w:t>
      </w:r>
    </w:p>
    <w:p w14:paraId="4FF89A4D">
      <w:pPr>
        <w:spacing w:before="170" w:line="220" w:lineRule="auto"/>
        <w:ind w:left="511"/>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18.10.2 对“★ ”条款未做出实质性响应或者发生负偏离的；</w:t>
      </w:r>
    </w:p>
    <w:p w14:paraId="0B759220">
      <w:pPr>
        <w:spacing w:before="182" w:line="220" w:lineRule="auto"/>
        <w:ind w:left="511"/>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18.10.3 应提供而未提供带“▲</w:t>
      </w:r>
      <w:r>
        <w:rPr>
          <w:rFonts w:ascii="仿宋" w:hAnsi="仿宋" w:eastAsia="仿宋" w:cs="仿宋"/>
          <w:color w:val="auto"/>
          <w:spacing w:val="-33"/>
          <w:sz w:val="24"/>
          <w:szCs w:val="24"/>
          <w:highlight w:val="none"/>
        </w:rPr>
        <w:t xml:space="preserve"> </w:t>
      </w:r>
      <w:r>
        <w:rPr>
          <w:rFonts w:ascii="仿宋" w:hAnsi="仿宋" w:eastAsia="仿宋" w:cs="仿宋"/>
          <w:color w:val="auto"/>
          <w:spacing w:val="-6"/>
          <w:sz w:val="24"/>
          <w:szCs w:val="24"/>
          <w:highlight w:val="none"/>
        </w:rPr>
        <w:t>”标</w:t>
      </w:r>
      <w:r>
        <w:rPr>
          <w:rFonts w:ascii="仿宋" w:hAnsi="仿宋" w:eastAsia="仿宋" w:cs="仿宋"/>
          <w:color w:val="auto"/>
          <w:spacing w:val="-7"/>
          <w:sz w:val="24"/>
          <w:szCs w:val="24"/>
          <w:highlight w:val="none"/>
        </w:rPr>
        <w:t>注的政府强制采购节能产品的；</w:t>
      </w:r>
    </w:p>
    <w:p w14:paraId="098D6317">
      <w:pPr>
        <w:spacing w:before="219" w:line="258" w:lineRule="auto"/>
        <w:ind w:left="42" w:right="14" w:firstLine="46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18.10.4 对允许偏离的非实质性条款，偏离竞争性磋</w:t>
      </w:r>
      <w:r>
        <w:rPr>
          <w:rFonts w:ascii="仿宋" w:hAnsi="仿宋" w:eastAsia="仿宋" w:cs="仿宋"/>
          <w:color w:val="auto"/>
          <w:spacing w:val="-4"/>
          <w:sz w:val="24"/>
          <w:szCs w:val="24"/>
          <w:highlight w:val="none"/>
        </w:rPr>
        <w:t>商文件规定的偏离范围和幅度</w:t>
      </w:r>
      <w:r>
        <w:rPr>
          <w:rFonts w:ascii="仿宋" w:hAnsi="仿宋" w:eastAsia="仿宋" w:cs="仿宋"/>
          <w:color w:val="auto"/>
          <w:spacing w:val="-15"/>
          <w:sz w:val="24"/>
          <w:szCs w:val="24"/>
          <w:highlight w:val="none"/>
        </w:rPr>
        <w:t>的；</w:t>
      </w:r>
    </w:p>
    <w:p w14:paraId="34049E75">
      <w:pPr>
        <w:spacing w:before="264" w:line="283" w:lineRule="auto"/>
        <w:ind w:right="19" w:firstLine="508"/>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18.10.5 不按照竞争性磋商文件规定报价、没有分项报价、拒绝报价、有多个报价</w:t>
      </w:r>
      <w:r>
        <w:rPr>
          <w:rFonts w:ascii="仿宋" w:hAnsi="仿宋" w:eastAsia="仿宋" w:cs="仿宋"/>
          <w:color w:val="auto"/>
          <w:spacing w:val="-3"/>
          <w:sz w:val="24"/>
          <w:szCs w:val="24"/>
          <w:highlight w:val="none"/>
        </w:rPr>
        <w:t>（竞争性磋商文件另有规定的除外）、有选择性报价、附有条件的报价或者拒绝修正报</w:t>
      </w:r>
      <w:r>
        <w:rPr>
          <w:rFonts w:ascii="仿宋" w:hAnsi="仿宋" w:eastAsia="仿宋" w:cs="仿宋"/>
          <w:color w:val="auto"/>
          <w:spacing w:val="-9"/>
          <w:sz w:val="24"/>
          <w:szCs w:val="24"/>
          <w:highlight w:val="none"/>
        </w:rPr>
        <w:t>价的；</w:t>
      </w:r>
    </w:p>
    <w:p w14:paraId="5002D7CC">
      <w:pPr>
        <w:spacing w:before="257" w:line="222" w:lineRule="auto"/>
        <w:ind w:left="51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18.10.6 响应文件正副本未区分或者内容严重不一致的；</w:t>
      </w:r>
    </w:p>
    <w:p w14:paraId="396A0DF4">
      <w:pPr>
        <w:spacing w:before="174" w:line="220" w:lineRule="auto"/>
        <w:ind w:left="51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18.10.7 供应商未按竞争性磋商文件要求交纳保证金的；</w:t>
      </w:r>
    </w:p>
    <w:p w14:paraId="118F9C6B">
      <w:pPr>
        <w:spacing w:before="179" w:line="220" w:lineRule="auto"/>
        <w:ind w:left="51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18.10.8 报价有效期不满足竞争性磋商文件要求的；</w:t>
      </w:r>
    </w:p>
    <w:p w14:paraId="1890D31E">
      <w:pPr>
        <w:spacing w:before="187" w:line="222" w:lineRule="auto"/>
        <w:ind w:left="511"/>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18.10.9 报价超出营业执照经营范围的；</w:t>
      </w:r>
    </w:p>
    <w:p w14:paraId="473B8A3D">
      <w:pPr>
        <w:spacing w:before="212" w:line="255" w:lineRule="auto"/>
        <w:ind w:right="4" w:firstLine="511"/>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18.10.10 磋商小组2/3 及以上成员认定报价方案技术含量低、偏离范围超出允许幅</w:t>
      </w:r>
      <w:r>
        <w:rPr>
          <w:rFonts w:ascii="仿宋" w:hAnsi="仿宋" w:eastAsia="仿宋" w:cs="仿宋"/>
          <w:color w:val="auto"/>
          <w:spacing w:val="-3"/>
          <w:sz w:val="24"/>
          <w:szCs w:val="24"/>
          <w:highlight w:val="none"/>
        </w:rPr>
        <w:t>度、不符合竞争性磋商文件要求的；</w:t>
      </w:r>
    </w:p>
    <w:p w14:paraId="1C07DC45">
      <w:pPr>
        <w:spacing w:before="230" w:line="220" w:lineRule="auto"/>
        <w:ind w:left="51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18.10.11 磋商小组判定供应商涂改证明材料或者提供虚假材料和承诺的；</w:t>
      </w:r>
    </w:p>
    <w:p w14:paraId="7E4F9141">
      <w:pPr>
        <w:spacing w:before="178" w:line="220" w:lineRule="auto"/>
        <w:ind w:left="51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18.10.12 未按竞争性磋商文件规定编制、签署、盖</w:t>
      </w:r>
      <w:r>
        <w:rPr>
          <w:rFonts w:ascii="仿宋" w:hAnsi="仿宋" w:eastAsia="仿宋" w:cs="仿宋"/>
          <w:color w:val="auto"/>
          <w:spacing w:val="-4"/>
          <w:sz w:val="24"/>
          <w:szCs w:val="24"/>
          <w:highlight w:val="none"/>
        </w:rPr>
        <w:t>章、装订和密封响应文件的；</w:t>
      </w:r>
    </w:p>
    <w:p w14:paraId="2B4C212B">
      <w:pPr>
        <w:spacing w:before="224" w:line="256" w:lineRule="auto"/>
        <w:ind w:left="42" w:right="28" w:firstLine="468"/>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18.10.13 代理商未按竞争性磋商文件要求提供产品制造商针对本项目的唯一授权</w:t>
      </w:r>
      <w:r>
        <w:rPr>
          <w:rFonts w:ascii="仿宋" w:hAnsi="仿宋" w:eastAsia="仿宋" w:cs="仿宋"/>
          <w:color w:val="auto"/>
          <w:spacing w:val="-15"/>
          <w:sz w:val="24"/>
          <w:szCs w:val="24"/>
          <w:highlight w:val="none"/>
        </w:rPr>
        <w:t>的；</w:t>
      </w:r>
    </w:p>
    <w:p w14:paraId="6CA58923">
      <w:pPr>
        <w:spacing w:before="265" w:line="255" w:lineRule="auto"/>
        <w:ind w:firstLine="511"/>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18.10.14 竞争性磋商文件第三章第 1 条规定供应</w:t>
      </w:r>
      <w:r>
        <w:rPr>
          <w:rFonts w:ascii="仿宋" w:hAnsi="仿宋" w:eastAsia="仿宋" w:cs="仿宋"/>
          <w:color w:val="auto"/>
          <w:spacing w:val="-9"/>
          <w:sz w:val="24"/>
          <w:szCs w:val="24"/>
          <w:highlight w:val="none"/>
        </w:rPr>
        <w:t>商应当提交的资格、资信等证明文</w:t>
      </w:r>
      <w:r>
        <w:rPr>
          <w:rFonts w:ascii="仿宋" w:hAnsi="仿宋" w:eastAsia="仿宋" w:cs="仿宋"/>
          <w:color w:val="auto"/>
          <w:spacing w:val="-3"/>
          <w:sz w:val="24"/>
          <w:szCs w:val="24"/>
          <w:highlight w:val="none"/>
        </w:rPr>
        <w:t>件未提供、提供不齐全或者复印件未装订于响应文件中的；</w:t>
      </w:r>
    </w:p>
    <w:p w14:paraId="115051C6">
      <w:pPr>
        <w:spacing w:before="231" w:line="221" w:lineRule="auto"/>
        <w:ind w:left="51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18.10.15 资格、资信等证明文件可以为复印件的，复印件未加盖单位公章的；</w:t>
      </w:r>
    </w:p>
    <w:p w14:paraId="21CF8AE4">
      <w:pPr>
        <w:spacing w:before="178" w:line="220" w:lineRule="auto"/>
        <w:ind w:left="51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18.10.16 不符合法律法规和竞争性磋商文件中规定的其他要求的。</w:t>
      </w:r>
    </w:p>
    <w:p w14:paraId="697603C5">
      <w:pPr>
        <w:spacing w:before="219" w:line="329" w:lineRule="auto"/>
        <w:ind w:right="3" w:firstLine="48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对响应无效的认定，必须经磋商小组集体作出决定并出具响应无效的事实依据，由</w:t>
      </w:r>
      <w:r>
        <w:rPr>
          <w:rFonts w:ascii="仿宋" w:hAnsi="仿宋" w:eastAsia="仿宋" w:cs="仿宋"/>
          <w:color w:val="auto"/>
          <w:spacing w:val="-8"/>
          <w:sz w:val="24"/>
          <w:szCs w:val="24"/>
          <w:highlight w:val="none"/>
        </w:rPr>
        <w:t>供应商法定代表人或者被授权代表签字确认，</w:t>
      </w:r>
      <w:r>
        <w:rPr>
          <w:rFonts w:ascii="仿宋" w:hAnsi="仿宋" w:eastAsia="仿宋" w:cs="仿宋"/>
          <w:color w:val="auto"/>
          <w:spacing w:val="-9"/>
          <w:sz w:val="24"/>
          <w:szCs w:val="24"/>
          <w:highlight w:val="none"/>
        </w:rPr>
        <w:t>拒绝签字的，不影响磋商小组作出的决定。</w:t>
      </w:r>
    </w:p>
    <w:p w14:paraId="24857703">
      <w:pPr>
        <w:spacing w:before="44" w:line="222" w:lineRule="auto"/>
        <w:ind w:left="511"/>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18.11</w:t>
      </w:r>
      <w:r>
        <w:rPr>
          <w:rFonts w:ascii="仿宋" w:hAnsi="仿宋" w:eastAsia="仿宋" w:cs="仿宋"/>
          <w:color w:val="auto"/>
          <w:spacing w:val="-16"/>
          <w:sz w:val="24"/>
          <w:szCs w:val="24"/>
          <w:highlight w:val="none"/>
        </w:rPr>
        <w:t xml:space="preserve"> </w:t>
      </w:r>
      <w:r>
        <w:rPr>
          <w:rFonts w:ascii="仿宋" w:hAnsi="仿宋" w:eastAsia="仿宋" w:cs="仿宋"/>
          <w:color w:val="auto"/>
          <w:spacing w:val="-13"/>
          <w:sz w:val="24"/>
          <w:szCs w:val="24"/>
          <w:highlight w:val="none"/>
        </w:rPr>
        <w:t>废标</w:t>
      </w:r>
    </w:p>
    <w:p w14:paraId="5725BA0A">
      <w:pPr>
        <w:spacing w:before="177" w:line="222" w:lineRule="auto"/>
        <w:ind w:left="511"/>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18.11.1</w:t>
      </w:r>
      <w:r>
        <w:rPr>
          <w:rFonts w:ascii="仿宋" w:hAnsi="仿宋" w:eastAsia="仿宋" w:cs="仿宋"/>
          <w:color w:val="auto"/>
          <w:spacing w:val="72"/>
          <w:sz w:val="24"/>
          <w:szCs w:val="24"/>
          <w:highlight w:val="none"/>
        </w:rPr>
        <w:t xml:space="preserve"> </w:t>
      </w:r>
      <w:r>
        <w:rPr>
          <w:rFonts w:ascii="仿宋" w:hAnsi="仿宋" w:eastAsia="仿宋" w:cs="仿宋"/>
          <w:color w:val="auto"/>
          <w:spacing w:val="-9"/>
          <w:sz w:val="24"/>
          <w:szCs w:val="24"/>
          <w:highlight w:val="none"/>
        </w:rPr>
        <w:t>出现下列情形之一的，应予废标：</w:t>
      </w:r>
    </w:p>
    <w:p w14:paraId="2894061B">
      <w:pPr>
        <w:spacing w:before="142" w:line="324" w:lineRule="exact"/>
        <w:jc w:val="righ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"18.11.1.1" </w:instrText>
      </w:r>
      <w:r>
        <w:rPr>
          <w:color w:val="auto"/>
          <w:highlight w:val="none"/>
        </w:rPr>
        <w:fldChar w:fldCharType="separate"/>
      </w:r>
      <w:r>
        <w:rPr>
          <w:rFonts w:ascii="仿宋" w:hAnsi="仿宋" w:eastAsia="仿宋" w:cs="仿宋"/>
          <w:color w:val="auto"/>
          <w:spacing w:val="-5"/>
          <w:position w:val="1"/>
          <w:sz w:val="24"/>
          <w:szCs w:val="24"/>
          <w:highlight w:val="none"/>
        </w:rPr>
        <w:t>18.11.1.1</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在报价截止时间结束后参加报价的供应商</w:t>
      </w:r>
      <w:r>
        <w:rPr>
          <w:rFonts w:ascii="仿宋" w:hAnsi="仿宋" w:eastAsia="仿宋" w:cs="仿宋"/>
          <w:color w:val="auto"/>
          <w:spacing w:val="-6"/>
          <w:position w:val="1"/>
          <w:sz w:val="24"/>
          <w:szCs w:val="24"/>
          <w:highlight w:val="none"/>
        </w:rPr>
        <w:t>不足</w:t>
      </w:r>
      <w:r>
        <w:rPr>
          <w:rFonts w:ascii="仿宋" w:hAnsi="仿宋" w:eastAsia="仿宋" w:cs="仿宋"/>
          <w:color w:val="auto"/>
          <w:spacing w:val="-25"/>
          <w:position w:val="1"/>
          <w:sz w:val="24"/>
          <w:szCs w:val="24"/>
          <w:highlight w:val="none"/>
        </w:rPr>
        <w:t xml:space="preserve"> </w:t>
      </w:r>
      <w:r>
        <w:rPr>
          <w:rFonts w:ascii="仿宋" w:hAnsi="仿宋" w:eastAsia="仿宋" w:cs="仿宋"/>
          <w:color w:val="auto"/>
          <w:spacing w:val="-6"/>
          <w:position w:val="1"/>
          <w:sz w:val="24"/>
          <w:szCs w:val="24"/>
          <w:highlight w:val="none"/>
        </w:rPr>
        <w:t>3 家，符合竞争性磋商文</w:t>
      </w:r>
    </w:p>
    <w:p w14:paraId="0398B0FB">
      <w:pPr>
        <w:spacing w:line="324" w:lineRule="exact"/>
        <w:rPr>
          <w:rFonts w:ascii="仿宋" w:hAnsi="仿宋" w:eastAsia="仿宋" w:cs="仿宋"/>
          <w:color w:val="auto"/>
          <w:sz w:val="24"/>
          <w:szCs w:val="24"/>
          <w:highlight w:val="none"/>
        </w:rPr>
        <w:sectPr>
          <w:footerReference r:id="rId23" w:type="default"/>
          <w:pgSz w:w="11906" w:h="16840"/>
          <w:pgMar w:top="1431" w:right="1408" w:bottom="1174" w:left="1463" w:header="0" w:footer="928" w:gutter="0"/>
          <w:pgNumType w:fmt="decimal"/>
          <w:cols w:space="720" w:num="1"/>
        </w:sectPr>
      </w:pPr>
    </w:p>
    <w:p w14:paraId="3F4DFB96">
      <w:pPr>
        <w:spacing w:before="169" w:line="330" w:lineRule="auto"/>
        <w:ind w:left="42" w:right="6" w:hanging="42"/>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件规定条件的供应商不足 3 家或者对竞</w:t>
      </w:r>
      <w:r>
        <w:rPr>
          <w:rFonts w:ascii="仿宋" w:hAnsi="仿宋" w:eastAsia="仿宋" w:cs="仿宋"/>
          <w:color w:val="auto"/>
          <w:spacing w:val="-3"/>
          <w:sz w:val="24"/>
          <w:szCs w:val="24"/>
          <w:highlight w:val="none"/>
        </w:rPr>
        <w:t>争性磋商文件作实质性响应的供应商不足 3 家</w:t>
      </w:r>
      <w:r>
        <w:rPr>
          <w:rFonts w:ascii="仿宋" w:hAnsi="仿宋" w:eastAsia="仿宋" w:cs="仿宋"/>
          <w:color w:val="auto"/>
          <w:spacing w:val="-15"/>
          <w:sz w:val="24"/>
          <w:szCs w:val="24"/>
          <w:highlight w:val="none"/>
        </w:rPr>
        <w:t>的；</w:t>
      </w:r>
    </w:p>
    <w:p w14:paraId="3CA9D651">
      <w:pPr>
        <w:spacing w:before="1" w:line="327"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"18.11.1.2" </w:instrText>
      </w:r>
      <w:r>
        <w:rPr>
          <w:color w:val="auto"/>
          <w:highlight w:val="none"/>
        </w:rPr>
        <w:fldChar w:fldCharType="separate"/>
      </w:r>
      <w:r>
        <w:rPr>
          <w:rFonts w:ascii="仿宋" w:hAnsi="仿宋" w:eastAsia="仿宋" w:cs="仿宋"/>
          <w:color w:val="auto"/>
          <w:spacing w:val="-8"/>
          <w:position w:val="1"/>
          <w:sz w:val="24"/>
          <w:szCs w:val="24"/>
          <w:highlight w:val="none"/>
        </w:rPr>
        <w:t>18.11.1.2</w:t>
      </w:r>
      <w:r>
        <w:rPr>
          <w:rFonts w:ascii="仿宋" w:hAnsi="仿宋" w:eastAsia="仿宋" w:cs="仿宋"/>
          <w:color w:val="auto"/>
          <w:spacing w:val="-8"/>
          <w:position w:val="1"/>
          <w:sz w:val="24"/>
          <w:szCs w:val="24"/>
          <w:highlight w:val="none"/>
        </w:rPr>
        <w:fldChar w:fldCharType="end"/>
      </w:r>
      <w:r>
        <w:rPr>
          <w:rFonts w:ascii="仿宋" w:hAnsi="仿宋" w:eastAsia="仿宋" w:cs="仿宋"/>
          <w:color w:val="auto"/>
          <w:spacing w:val="84"/>
          <w:position w:val="1"/>
          <w:sz w:val="24"/>
          <w:szCs w:val="24"/>
          <w:highlight w:val="none"/>
        </w:rPr>
        <w:t xml:space="preserve"> </w:t>
      </w:r>
      <w:r>
        <w:rPr>
          <w:rFonts w:ascii="仿宋" w:hAnsi="仿宋" w:eastAsia="仿宋" w:cs="仿宋"/>
          <w:color w:val="auto"/>
          <w:spacing w:val="-8"/>
          <w:position w:val="1"/>
          <w:sz w:val="24"/>
          <w:szCs w:val="24"/>
          <w:highlight w:val="none"/>
        </w:rPr>
        <w:t>出现影响采购公正的违法违规行为的；</w:t>
      </w:r>
    </w:p>
    <w:p w14:paraId="19108B87">
      <w:pPr>
        <w:spacing w:before="139" w:line="328"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"18.11.1.3" </w:instrText>
      </w:r>
      <w:r>
        <w:rPr>
          <w:color w:val="auto"/>
          <w:highlight w:val="none"/>
        </w:rPr>
        <w:fldChar w:fldCharType="separate"/>
      </w:r>
      <w:r>
        <w:rPr>
          <w:rFonts w:ascii="仿宋" w:hAnsi="仿宋" w:eastAsia="仿宋" w:cs="仿宋"/>
          <w:color w:val="auto"/>
          <w:spacing w:val="-6"/>
          <w:position w:val="1"/>
          <w:sz w:val="24"/>
          <w:szCs w:val="24"/>
          <w:highlight w:val="none"/>
        </w:rPr>
        <w:t>18.11.1.3</w:t>
      </w:r>
      <w:r>
        <w:rPr>
          <w:rFonts w:ascii="仿宋" w:hAnsi="仿宋" w:eastAsia="仿宋" w:cs="仿宋"/>
          <w:color w:val="auto"/>
          <w:spacing w:val="-6"/>
          <w:position w:val="1"/>
          <w:sz w:val="24"/>
          <w:szCs w:val="24"/>
          <w:highlight w:val="none"/>
        </w:rPr>
        <w:fldChar w:fldCharType="end"/>
      </w:r>
      <w:r>
        <w:rPr>
          <w:rFonts w:ascii="仿宋" w:hAnsi="仿宋" w:eastAsia="仿宋" w:cs="仿宋"/>
          <w:color w:val="auto"/>
          <w:spacing w:val="-6"/>
          <w:position w:val="1"/>
          <w:sz w:val="24"/>
          <w:szCs w:val="24"/>
          <w:highlight w:val="none"/>
        </w:rPr>
        <w:t xml:space="preserve"> 供应商的报价均超过采购预算的；</w:t>
      </w:r>
    </w:p>
    <w:p w14:paraId="2D5E407A">
      <w:pPr>
        <w:spacing w:before="137" w:line="329"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"18.11.1.4" </w:instrText>
      </w:r>
      <w:r>
        <w:rPr>
          <w:color w:val="auto"/>
          <w:highlight w:val="none"/>
        </w:rPr>
        <w:fldChar w:fldCharType="separate"/>
      </w:r>
      <w:r>
        <w:rPr>
          <w:rFonts w:ascii="仿宋" w:hAnsi="仿宋" w:eastAsia="仿宋" w:cs="仿宋"/>
          <w:color w:val="auto"/>
          <w:spacing w:val="-9"/>
          <w:position w:val="1"/>
          <w:sz w:val="24"/>
          <w:szCs w:val="24"/>
          <w:highlight w:val="none"/>
        </w:rPr>
        <w:t>18.11.1.4</w:t>
      </w:r>
      <w:r>
        <w:rPr>
          <w:rFonts w:ascii="仿宋" w:hAnsi="仿宋" w:eastAsia="仿宋" w:cs="仿宋"/>
          <w:color w:val="auto"/>
          <w:spacing w:val="-9"/>
          <w:position w:val="1"/>
          <w:sz w:val="24"/>
          <w:szCs w:val="24"/>
          <w:highlight w:val="none"/>
        </w:rPr>
        <w:fldChar w:fldCharType="end"/>
      </w:r>
      <w:r>
        <w:rPr>
          <w:rFonts w:ascii="仿宋" w:hAnsi="仿宋" w:eastAsia="仿宋" w:cs="仿宋"/>
          <w:color w:val="auto"/>
          <w:spacing w:val="78"/>
          <w:position w:val="1"/>
          <w:sz w:val="24"/>
          <w:szCs w:val="24"/>
          <w:highlight w:val="none"/>
        </w:rPr>
        <w:t xml:space="preserve"> </w:t>
      </w:r>
      <w:r>
        <w:rPr>
          <w:rFonts w:ascii="仿宋" w:hAnsi="仿宋" w:eastAsia="仿宋" w:cs="仿宋"/>
          <w:color w:val="auto"/>
          <w:spacing w:val="-9"/>
          <w:position w:val="1"/>
          <w:sz w:val="24"/>
          <w:szCs w:val="24"/>
          <w:highlight w:val="none"/>
        </w:rPr>
        <w:t>因重大变故，采购任务取消的；</w:t>
      </w:r>
    </w:p>
    <w:p w14:paraId="3B1F5C3F">
      <w:pPr>
        <w:spacing w:before="139" w:line="325"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"18.11.1.5" </w:instrText>
      </w:r>
      <w:r>
        <w:rPr>
          <w:color w:val="auto"/>
          <w:highlight w:val="none"/>
        </w:rPr>
        <w:fldChar w:fldCharType="separate"/>
      </w:r>
      <w:r>
        <w:rPr>
          <w:rFonts w:ascii="仿宋" w:hAnsi="仿宋" w:eastAsia="仿宋" w:cs="仿宋"/>
          <w:color w:val="auto"/>
          <w:spacing w:val="-4"/>
          <w:position w:val="1"/>
          <w:sz w:val="24"/>
          <w:szCs w:val="24"/>
          <w:highlight w:val="none"/>
        </w:rPr>
        <w:t>18.11.1.5</w:t>
      </w:r>
      <w:r>
        <w:rPr>
          <w:rFonts w:ascii="仿宋" w:hAnsi="仿宋" w:eastAsia="仿宋" w:cs="仿宋"/>
          <w:color w:val="auto"/>
          <w:spacing w:val="-4"/>
          <w:position w:val="1"/>
          <w:sz w:val="24"/>
          <w:szCs w:val="24"/>
          <w:highlight w:val="none"/>
        </w:rPr>
        <w:fldChar w:fldCharType="end"/>
      </w:r>
      <w:r>
        <w:rPr>
          <w:rFonts w:ascii="仿宋" w:hAnsi="仿宋" w:eastAsia="仿宋" w:cs="仿宋"/>
          <w:color w:val="auto"/>
          <w:spacing w:val="-4"/>
          <w:position w:val="1"/>
          <w:sz w:val="24"/>
          <w:szCs w:val="24"/>
          <w:highlight w:val="none"/>
        </w:rPr>
        <w:t xml:space="preserve"> 法律法规以及竞争性磋商文件规定的其他废标情形。</w:t>
      </w:r>
    </w:p>
    <w:p w14:paraId="4C783B0B">
      <w:pPr>
        <w:spacing w:before="176" w:line="222" w:lineRule="auto"/>
        <w:ind w:left="512"/>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18.11.2 废标后，采购人或者采购代理机构应当将废标理由通知所有供应商。</w:t>
      </w:r>
    </w:p>
    <w:p w14:paraId="01364F0C">
      <w:pPr>
        <w:spacing w:before="177" w:line="222" w:lineRule="auto"/>
        <w:ind w:left="512"/>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18.12 特殊情况处置程序</w:t>
      </w:r>
    </w:p>
    <w:p w14:paraId="4EFBC01E">
      <w:pPr>
        <w:spacing w:before="182" w:line="223" w:lineRule="auto"/>
        <w:ind w:left="512"/>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18.12.1 磋商小组成员的更换</w:t>
      </w:r>
    </w:p>
    <w:p w14:paraId="5E9EA882">
      <w:pPr>
        <w:spacing w:before="141" w:line="337" w:lineRule="auto"/>
        <w:ind w:right="4" w:firstLine="509"/>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"18.12.1.1" </w:instrText>
      </w:r>
      <w:r>
        <w:rPr>
          <w:color w:val="auto"/>
          <w:highlight w:val="none"/>
        </w:rPr>
        <w:fldChar w:fldCharType="separate"/>
      </w:r>
      <w:r>
        <w:rPr>
          <w:rFonts w:ascii="仿宋" w:hAnsi="仿宋" w:eastAsia="仿宋" w:cs="仿宋"/>
          <w:color w:val="auto"/>
          <w:spacing w:val="-3"/>
          <w:sz w:val="24"/>
          <w:szCs w:val="24"/>
          <w:highlight w:val="none"/>
        </w:rPr>
        <w:t>18.12.1.1</w:t>
      </w:r>
      <w:r>
        <w:rPr>
          <w:rFonts w:ascii="仿宋" w:hAnsi="仿宋" w:eastAsia="仿宋" w:cs="仿宋"/>
          <w:color w:val="auto"/>
          <w:spacing w:val="-3"/>
          <w:sz w:val="24"/>
          <w:szCs w:val="24"/>
          <w:highlight w:val="none"/>
        </w:rPr>
        <w:fldChar w:fldCharType="end"/>
      </w:r>
      <w:r>
        <w:rPr>
          <w:rFonts w:ascii="仿宋" w:hAnsi="仿宋" w:eastAsia="仿宋" w:cs="仿宋"/>
          <w:color w:val="auto"/>
          <w:spacing w:val="-3"/>
          <w:sz w:val="24"/>
          <w:szCs w:val="24"/>
          <w:highlight w:val="none"/>
        </w:rPr>
        <w:t xml:space="preserve"> 磋商小组应当执行连续评审的原则，按照竞争性磋商</w:t>
      </w:r>
      <w:r>
        <w:rPr>
          <w:rFonts w:ascii="仿宋" w:hAnsi="仿宋" w:eastAsia="仿宋" w:cs="仿宋"/>
          <w:color w:val="auto"/>
          <w:spacing w:val="-4"/>
          <w:sz w:val="24"/>
          <w:szCs w:val="24"/>
          <w:highlight w:val="none"/>
        </w:rPr>
        <w:t>文件规定的程序、</w:t>
      </w:r>
      <w:r>
        <w:rPr>
          <w:rFonts w:ascii="仿宋" w:hAnsi="仿宋" w:eastAsia="仿宋" w:cs="仿宋"/>
          <w:color w:val="auto"/>
          <w:spacing w:val="-3"/>
          <w:sz w:val="24"/>
          <w:szCs w:val="24"/>
          <w:highlight w:val="none"/>
        </w:rPr>
        <w:t>内容、方法、标准完成全部评审工作。出现评审专家临时缺席、回避等情形导致评审现</w:t>
      </w:r>
      <w:r>
        <w:rPr>
          <w:rFonts w:ascii="仿宋" w:hAnsi="仿宋" w:eastAsia="仿宋" w:cs="仿宋"/>
          <w:color w:val="auto"/>
          <w:spacing w:val="4"/>
          <w:sz w:val="24"/>
          <w:szCs w:val="24"/>
          <w:highlight w:val="none"/>
        </w:rPr>
        <w:t>场专家数量不符合法定标准的，采购人或者采购代理</w:t>
      </w:r>
      <w:r>
        <w:rPr>
          <w:rFonts w:ascii="仿宋" w:hAnsi="仿宋" w:eastAsia="仿宋" w:cs="仿宋"/>
          <w:color w:val="auto"/>
          <w:spacing w:val="3"/>
          <w:sz w:val="24"/>
          <w:szCs w:val="24"/>
          <w:highlight w:val="none"/>
        </w:rPr>
        <w:t>机构要按照有关程序及时补抽专</w:t>
      </w:r>
      <w:r>
        <w:rPr>
          <w:rFonts w:ascii="仿宋" w:hAnsi="仿宋" w:eastAsia="仿宋" w:cs="仿宋"/>
          <w:color w:val="auto"/>
          <w:spacing w:val="-3"/>
          <w:sz w:val="24"/>
          <w:szCs w:val="24"/>
          <w:highlight w:val="none"/>
        </w:rPr>
        <w:t>家，继续组织评审。如无法及时补齐专家，则要立即停止评审工作，封存竞争性磋商文件和所有响应文件，择期重新组建磋商小组进行评审。</w:t>
      </w:r>
    </w:p>
    <w:p w14:paraId="7E97F593">
      <w:pPr>
        <w:spacing w:before="137" w:line="317" w:lineRule="auto"/>
        <w:ind w:left="7" w:firstLine="524"/>
        <w:jc w:val="both"/>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"18.12.1.2" </w:instrText>
      </w:r>
      <w:r>
        <w:rPr>
          <w:color w:val="auto"/>
          <w:highlight w:val="none"/>
        </w:rPr>
        <w:fldChar w:fldCharType="separate"/>
      </w:r>
      <w:r>
        <w:rPr>
          <w:rFonts w:ascii="仿宋" w:hAnsi="仿宋" w:eastAsia="仿宋" w:cs="仿宋"/>
          <w:color w:val="auto"/>
          <w:spacing w:val="-4"/>
          <w:sz w:val="24"/>
          <w:szCs w:val="24"/>
          <w:highlight w:val="none"/>
        </w:rPr>
        <w:t>18.12.1.2</w:t>
      </w:r>
      <w:r>
        <w:rPr>
          <w:rFonts w:ascii="仿宋" w:hAnsi="仿宋" w:eastAsia="仿宋" w:cs="仿宋"/>
          <w:color w:val="auto"/>
          <w:spacing w:val="-4"/>
          <w:sz w:val="24"/>
          <w:szCs w:val="24"/>
          <w:highlight w:val="none"/>
        </w:rPr>
        <w:fldChar w:fldCharType="end"/>
      </w:r>
      <w:r>
        <w:rPr>
          <w:rFonts w:ascii="仿宋" w:hAnsi="仿宋" w:eastAsia="仿宋" w:cs="仿宋"/>
          <w:color w:val="auto"/>
          <w:spacing w:val="-4"/>
          <w:sz w:val="24"/>
          <w:szCs w:val="24"/>
          <w:highlight w:val="none"/>
        </w:rPr>
        <w:t xml:space="preserve"> 退出磋商小组的成员，其已完成的评审行为无效。由采购人向监督人员</w:t>
      </w:r>
      <w:r>
        <w:rPr>
          <w:rFonts w:ascii="仿宋" w:hAnsi="仿宋" w:eastAsia="仿宋" w:cs="仿宋"/>
          <w:color w:val="auto"/>
          <w:spacing w:val="-3"/>
          <w:sz w:val="24"/>
          <w:szCs w:val="24"/>
          <w:highlight w:val="none"/>
        </w:rPr>
        <w:t>提出更换磋商小组成员意见并获准后，根据本竞争性磋商文件规定的磋商小组成员产生</w:t>
      </w:r>
      <w:r>
        <w:rPr>
          <w:rFonts w:ascii="仿宋" w:hAnsi="仿宋" w:eastAsia="仿宋" w:cs="仿宋"/>
          <w:color w:val="auto"/>
          <w:spacing w:val="-5"/>
          <w:sz w:val="24"/>
          <w:szCs w:val="24"/>
          <w:highlight w:val="none"/>
        </w:rPr>
        <w:t>方式另行确定替代者进行评审。</w:t>
      </w:r>
    </w:p>
    <w:p w14:paraId="2D0A12F8">
      <w:pPr>
        <w:spacing w:before="203" w:line="224" w:lineRule="auto"/>
        <w:ind w:left="512"/>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18.12.2</w:t>
      </w:r>
      <w:r>
        <w:rPr>
          <w:rFonts w:ascii="仿宋" w:hAnsi="仿宋" w:eastAsia="仿宋" w:cs="仿宋"/>
          <w:color w:val="auto"/>
          <w:spacing w:val="-20"/>
          <w:sz w:val="24"/>
          <w:szCs w:val="24"/>
          <w:highlight w:val="none"/>
        </w:rPr>
        <w:t xml:space="preserve"> </w:t>
      </w:r>
      <w:r>
        <w:rPr>
          <w:rFonts w:ascii="仿宋" w:hAnsi="仿宋" w:eastAsia="仿宋" w:cs="仿宋"/>
          <w:color w:val="auto"/>
          <w:spacing w:val="-9"/>
          <w:sz w:val="24"/>
          <w:szCs w:val="24"/>
          <w:highlight w:val="none"/>
        </w:rPr>
        <w:t>记名投票</w:t>
      </w:r>
    </w:p>
    <w:p w14:paraId="2514132E">
      <w:pPr>
        <w:spacing w:before="204" w:line="330" w:lineRule="auto"/>
        <w:ind w:right="2" w:firstLine="48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在评审过程中，磋商小组发生分歧或者评审结论有异议需表决的，按照少数服从多数的原则，由磋商小组全体成员以记名投票方式表决。</w:t>
      </w:r>
    </w:p>
    <w:p w14:paraId="79AA611A">
      <w:pPr>
        <w:spacing w:before="44" w:line="222" w:lineRule="auto"/>
        <w:ind w:left="512"/>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18.12.3</w:t>
      </w:r>
      <w:r>
        <w:rPr>
          <w:rFonts w:ascii="仿宋" w:hAnsi="仿宋" w:eastAsia="仿宋" w:cs="仿宋"/>
          <w:color w:val="auto"/>
          <w:spacing w:val="-20"/>
          <w:sz w:val="24"/>
          <w:szCs w:val="24"/>
          <w:highlight w:val="none"/>
        </w:rPr>
        <w:t xml:space="preserve"> </w:t>
      </w:r>
      <w:r>
        <w:rPr>
          <w:rFonts w:ascii="仿宋" w:hAnsi="仿宋" w:eastAsia="仿宋" w:cs="仿宋"/>
          <w:color w:val="auto"/>
          <w:spacing w:val="-9"/>
          <w:sz w:val="24"/>
          <w:szCs w:val="24"/>
          <w:highlight w:val="none"/>
        </w:rPr>
        <w:t>延期开标</w:t>
      </w:r>
    </w:p>
    <w:p w14:paraId="02EBE1F4">
      <w:pPr>
        <w:spacing w:before="214" w:line="327" w:lineRule="auto"/>
        <w:ind w:right="14" w:firstLine="55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因特殊情况需要推迟开标时间的，采购人或者采购代理机构必须提前报监督</w:t>
      </w:r>
      <w:r>
        <w:rPr>
          <w:rFonts w:ascii="仿宋" w:hAnsi="仿宋" w:eastAsia="仿宋" w:cs="仿宋"/>
          <w:color w:val="auto"/>
          <w:spacing w:val="-6"/>
          <w:sz w:val="24"/>
          <w:szCs w:val="24"/>
          <w:highlight w:val="none"/>
        </w:rPr>
        <w:t>部门审</w:t>
      </w:r>
      <w:r>
        <w:rPr>
          <w:rFonts w:ascii="仿宋" w:hAnsi="仿宋" w:eastAsia="仿宋" w:cs="仿宋"/>
          <w:color w:val="auto"/>
          <w:spacing w:val="-2"/>
          <w:sz w:val="24"/>
          <w:szCs w:val="24"/>
          <w:highlight w:val="none"/>
        </w:rPr>
        <w:t>批，经批准后按规定提前告知所有参加报价</w:t>
      </w:r>
      <w:r>
        <w:rPr>
          <w:rFonts w:ascii="仿宋" w:hAnsi="仿宋" w:eastAsia="仿宋" w:cs="仿宋"/>
          <w:color w:val="auto"/>
          <w:spacing w:val="-3"/>
          <w:sz w:val="24"/>
          <w:szCs w:val="24"/>
          <w:highlight w:val="none"/>
        </w:rPr>
        <w:t>的供应商，否则必须按时开标。</w:t>
      </w:r>
    </w:p>
    <w:p w14:paraId="2E8AF4D7">
      <w:pPr>
        <w:spacing w:before="44" w:line="222" w:lineRule="auto"/>
        <w:ind w:left="512"/>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18.13</w:t>
      </w:r>
      <w:r>
        <w:rPr>
          <w:rFonts w:ascii="仿宋" w:hAnsi="仿宋" w:eastAsia="仿宋" w:cs="仿宋"/>
          <w:color w:val="auto"/>
          <w:spacing w:val="-22"/>
          <w:sz w:val="24"/>
          <w:szCs w:val="24"/>
          <w:highlight w:val="none"/>
        </w:rPr>
        <w:t xml:space="preserve"> </w:t>
      </w:r>
      <w:r>
        <w:rPr>
          <w:rFonts w:ascii="仿宋" w:hAnsi="仿宋" w:eastAsia="仿宋" w:cs="仿宋"/>
          <w:color w:val="auto"/>
          <w:spacing w:val="-9"/>
          <w:sz w:val="24"/>
          <w:szCs w:val="24"/>
          <w:highlight w:val="none"/>
        </w:rPr>
        <w:t>违法违规情形</w:t>
      </w:r>
    </w:p>
    <w:p w14:paraId="7059C8BF">
      <w:pPr>
        <w:spacing w:before="172" w:line="219" w:lineRule="auto"/>
        <w:ind w:left="51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18.13.1 有下列情形之一的，属于供应商相互串通报价：</w:t>
      </w:r>
    </w:p>
    <w:p w14:paraId="49E1339C">
      <w:pPr>
        <w:spacing w:before="152" w:line="326"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"18.13.1.1" </w:instrText>
      </w:r>
      <w:r>
        <w:rPr>
          <w:color w:val="auto"/>
          <w:highlight w:val="none"/>
        </w:rPr>
        <w:fldChar w:fldCharType="separate"/>
      </w:r>
      <w:r>
        <w:rPr>
          <w:rFonts w:ascii="仿宋" w:hAnsi="仿宋" w:eastAsia="仿宋" w:cs="仿宋"/>
          <w:color w:val="auto"/>
          <w:spacing w:val="-4"/>
          <w:position w:val="1"/>
          <w:sz w:val="24"/>
          <w:szCs w:val="24"/>
          <w:highlight w:val="none"/>
        </w:rPr>
        <w:t>18.13.1.1</w:t>
      </w:r>
      <w:r>
        <w:rPr>
          <w:rFonts w:ascii="仿宋" w:hAnsi="仿宋" w:eastAsia="仿宋" w:cs="仿宋"/>
          <w:color w:val="auto"/>
          <w:spacing w:val="-4"/>
          <w:position w:val="1"/>
          <w:sz w:val="24"/>
          <w:szCs w:val="24"/>
          <w:highlight w:val="none"/>
        </w:rPr>
        <w:fldChar w:fldCharType="end"/>
      </w:r>
      <w:r>
        <w:rPr>
          <w:rFonts w:ascii="仿宋" w:hAnsi="仿宋" w:eastAsia="仿宋" w:cs="仿宋"/>
          <w:color w:val="auto"/>
          <w:spacing w:val="-4"/>
          <w:position w:val="1"/>
          <w:sz w:val="24"/>
          <w:szCs w:val="24"/>
          <w:highlight w:val="none"/>
        </w:rPr>
        <w:t xml:space="preserve"> 供应商之间协商响应报价等响应文件的实质性内容；</w:t>
      </w:r>
    </w:p>
    <w:p w14:paraId="1169B866">
      <w:pPr>
        <w:spacing w:before="141" w:line="330"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"18.13.1.2" </w:instrText>
      </w:r>
      <w:r>
        <w:rPr>
          <w:color w:val="auto"/>
          <w:highlight w:val="none"/>
        </w:rPr>
        <w:fldChar w:fldCharType="separate"/>
      </w:r>
      <w:r>
        <w:rPr>
          <w:rFonts w:ascii="仿宋" w:hAnsi="仿宋" w:eastAsia="仿宋" w:cs="仿宋"/>
          <w:color w:val="auto"/>
          <w:spacing w:val="-6"/>
          <w:position w:val="1"/>
          <w:sz w:val="24"/>
          <w:szCs w:val="24"/>
          <w:highlight w:val="none"/>
        </w:rPr>
        <w:t>18.13.1.2</w:t>
      </w:r>
      <w:r>
        <w:rPr>
          <w:rFonts w:ascii="仿宋" w:hAnsi="仿宋" w:eastAsia="仿宋" w:cs="仿宋"/>
          <w:color w:val="auto"/>
          <w:spacing w:val="-6"/>
          <w:position w:val="1"/>
          <w:sz w:val="24"/>
          <w:szCs w:val="24"/>
          <w:highlight w:val="none"/>
        </w:rPr>
        <w:fldChar w:fldCharType="end"/>
      </w:r>
      <w:r>
        <w:rPr>
          <w:rFonts w:ascii="仿宋" w:hAnsi="仿宋" w:eastAsia="仿宋" w:cs="仿宋"/>
          <w:color w:val="auto"/>
          <w:spacing w:val="-6"/>
          <w:position w:val="1"/>
          <w:sz w:val="24"/>
          <w:szCs w:val="24"/>
          <w:highlight w:val="none"/>
        </w:rPr>
        <w:t xml:space="preserve"> 供应商之间约定成交供应商；</w:t>
      </w:r>
    </w:p>
    <w:p w14:paraId="4CB65837">
      <w:pPr>
        <w:spacing w:before="137" w:line="330"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"18.13.1.3" </w:instrText>
      </w:r>
      <w:r>
        <w:rPr>
          <w:color w:val="auto"/>
          <w:highlight w:val="none"/>
        </w:rPr>
        <w:fldChar w:fldCharType="separate"/>
      </w:r>
      <w:r>
        <w:rPr>
          <w:rFonts w:ascii="仿宋" w:hAnsi="仿宋" w:eastAsia="仿宋" w:cs="仿宋"/>
          <w:color w:val="auto"/>
          <w:spacing w:val="-5"/>
          <w:position w:val="1"/>
          <w:sz w:val="24"/>
          <w:szCs w:val="24"/>
          <w:highlight w:val="none"/>
        </w:rPr>
        <w:t>18.13.1.3</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供应商之间约定部分供应商放弃报价或者成交；</w:t>
      </w:r>
    </w:p>
    <w:p w14:paraId="43B96A8E">
      <w:pPr>
        <w:spacing w:before="138" w:line="265" w:lineRule="auto"/>
        <w:ind w:left="1" w:right="2" w:firstLine="508"/>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"18.13.1.4" </w:instrText>
      </w:r>
      <w:r>
        <w:rPr>
          <w:color w:val="auto"/>
          <w:highlight w:val="none"/>
        </w:rPr>
        <w:fldChar w:fldCharType="separate"/>
      </w:r>
      <w:r>
        <w:rPr>
          <w:rFonts w:ascii="仿宋" w:hAnsi="仿宋" w:eastAsia="仿宋" w:cs="仿宋"/>
          <w:color w:val="auto"/>
          <w:spacing w:val="-3"/>
          <w:sz w:val="24"/>
          <w:szCs w:val="24"/>
          <w:highlight w:val="none"/>
        </w:rPr>
        <w:t>18.13.1.4</w:t>
      </w:r>
      <w:r>
        <w:rPr>
          <w:rFonts w:ascii="仿宋" w:hAnsi="仿宋" w:eastAsia="仿宋" w:cs="仿宋"/>
          <w:color w:val="auto"/>
          <w:spacing w:val="-3"/>
          <w:sz w:val="24"/>
          <w:szCs w:val="24"/>
          <w:highlight w:val="none"/>
        </w:rPr>
        <w:fldChar w:fldCharType="end"/>
      </w:r>
      <w:r>
        <w:rPr>
          <w:rFonts w:ascii="仿宋" w:hAnsi="仿宋" w:eastAsia="仿宋" w:cs="仿宋"/>
          <w:color w:val="auto"/>
          <w:spacing w:val="-3"/>
          <w:sz w:val="24"/>
          <w:szCs w:val="24"/>
          <w:highlight w:val="none"/>
        </w:rPr>
        <w:t xml:space="preserve"> 属于同一集团、协会、商会等组织成员的供应商按照该组织</w:t>
      </w:r>
      <w:r>
        <w:rPr>
          <w:rFonts w:ascii="仿宋" w:hAnsi="仿宋" w:eastAsia="仿宋" w:cs="仿宋"/>
          <w:color w:val="auto"/>
          <w:spacing w:val="-4"/>
          <w:sz w:val="24"/>
          <w:szCs w:val="24"/>
          <w:highlight w:val="none"/>
        </w:rPr>
        <w:t>要求协同报</w:t>
      </w:r>
      <w:r>
        <w:rPr>
          <w:rFonts w:ascii="仿宋" w:hAnsi="仿宋" w:eastAsia="仿宋" w:cs="仿宋"/>
          <w:color w:val="auto"/>
          <w:spacing w:val="-9"/>
          <w:sz w:val="24"/>
          <w:szCs w:val="24"/>
          <w:highlight w:val="none"/>
        </w:rPr>
        <w:t>价；</w:t>
      </w:r>
    </w:p>
    <w:p w14:paraId="4101D407">
      <w:pPr>
        <w:spacing w:line="265" w:lineRule="auto"/>
        <w:rPr>
          <w:rFonts w:ascii="仿宋" w:hAnsi="仿宋" w:eastAsia="仿宋" w:cs="仿宋"/>
          <w:color w:val="auto"/>
          <w:sz w:val="24"/>
          <w:szCs w:val="24"/>
          <w:highlight w:val="none"/>
        </w:rPr>
        <w:sectPr>
          <w:footerReference r:id="rId24" w:type="default"/>
          <w:pgSz w:w="11906" w:h="16840"/>
          <w:pgMar w:top="1431" w:right="1418" w:bottom="1174" w:left="1462" w:header="0" w:footer="928" w:gutter="0"/>
          <w:pgNumType w:fmt="decimal"/>
          <w:cols w:space="720" w:num="1"/>
        </w:sectPr>
      </w:pPr>
    </w:p>
    <w:p w14:paraId="38572E79">
      <w:pPr>
        <w:spacing w:before="99" w:line="324"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"18.13.1.5" </w:instrText>
      </w:r>
      <w:r>
        <w:rPr>
          <w:color w:val="auto"/>
          <w:highlight w:val="none"/>
        </w:rPr>
        <w:fldChar w:fldCharType="separate"/>
      </w:r>
      <w:r>
        <w:rPr>
          <w:rFonts w:ascii="仿宋" w:hAnsi="仿宋" w:eastAsia="仿宋" w:cs="仿宋"/>
          <w:color w:val="auto"/>
          <w:spacing w:val="-3"/>
          <w:position w:val="1"/>
          <w:sz w:val="24"/>
          <w:szCs w:val="24"/>
          <w:highlight w:val="none"/>
        </w:rPr>
        <w:t>18.13.1.5</w:t>
      </w:r>
      <w:r>
        <w:rPr>
          <w:rFonts w:ascii="仿宋" w:hAnsi="仿宋" w:eastAsia="仿宋" w:cs="仿宋"/>
          <w:color w:val="auto"/>
          <w:spacing w:val="-3"/>
          <w:position w:val="1"/>
          <w:sz w:val="24"/>
          <w:szCs w:val="24"/>
          <w:highlight w:val="none"/>
        </w:rPr>
        <w:fldChar w:fldCharType="end"/>
      </w:r>
      <w:r>
        <w:rPr>
          <w:rFonts w:ascii="仿宋" w:hAnsi="仿宋" w:eastAsia="仿宋" w:cs="仿宋"/>
          <w:color w:val="auto"/>
          <w:spacing w:val="-3"/>
          <w:position w:val="1"/>
          <w:sz w:val="24"/>
          <w:szCs w:val="24"/>
          <w:highlight w:val="none"/>
        </w:rPr>
        <w:t xml:space="preserve"> 供应商之间为谋取中标或者排斥特定供</w:t>
      </w:r>
      <w:r>
        <w:rPr>
          <w:rFonts w:ascii="仿宋" w:hAnsi="仿宋" w:eastAsia="仿宋" w:cs="仿宋"/>
          <w:color w:val="auto"/>
          <w:spacing w:val="-4"/>
          <w:position w:val="1"/>
          <w:sz w:val="24"/>
          <w:szCs w:val="24"/>
          <w:highlight w:val="none"/>
        </w:rPr>
        <w:t>应商而采取的其他联合行动。</w:t>
      </w:r>
    </w:p>
    <w:p w14:paraId="3A0C7AF4">
      <w:pPr>
        <w:spacing w:before="211" w:line="255" w:lineRule="auto"/>
        <w:ind w:right="7" w:firstLine="51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18.13.2 有下列情形之一的，视为供应商相互串通报价，</w:t>
      </w:r>
      <w:r>
        <w:rPr>
          <w:rFonts w:ascii="仿宋" w:hAnsi="仿宋" w:eastAsia="仿宋" w:cs="仿宋"/>
          <w:color w:val="auto"/>
          <w:spacing w:val="-4"/>
          <w:sz w:val="24"/>
          <w:szCs w:val="24"/>
          <w:highlight w:val="none"/>
        </w:rPr>
        <w:t>磋商小组应当出具违法违规认定意见并作响应无效处理：</w:t>
      </w:r>
    </w:p>
    <w:p w14:paraId="054102BA">
      <w:pPr>
        <w:spacing w:before="197" w:line="328"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"18.13.2.1" </w:instrText>
      </w:r>
      <w:r>
        <w:rPr>
          <w:color w:val="auto"/>
          <w:highlight w:val="none"/>
        </w:rPr>
        <w:fldChar w:fldCharType="separate"/>
      </w:r>
      <w:r>
        <w:rPr>
          <w:rFonts w:ascii="仿宋" w:hAnsi="仿宋" w:eastAsia="仿宋" w:cs="仿宋"/>
          <w:color w:val="auto"/>
          <w:spacing w:val="-5"/>
          <w:position w:val="1"/>
          <w:sz w:val="24"/>
          <w:szCs w:val="24"/>
          <w:highlight w:val="none"/>
        </w:rPr>
        <w:t>18.13.2.1</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不同供应商的响应文件由同一单位或者个人编制；</w:t>
      </w:r>
    </w:p>
    <w:p w14:paraId="70E02C33">
      <w:pPr>
        <w:spacing w:before="139" w:line="326"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"18.13.2.2" </w:instrText>
      </w:r>
      <w:r>
        <w:rPr>
          <w:color w:val="auto"/>
          <w:highlight w:val="none"/>
        </w:rPr>
        <w:fldChar w:fldCharType="separate"/>
      </w:r>
      <w:r>
        <w:rPr>
          <w:rFonts w:ascii="仿宋" w:hAnsi="仿宋" w:eastAsia="仿宋" w:cs="仿宋"/>
          <w:color w:val="auto"/>
          <w:spacing w:val="-5"/>
          <w:position w:val="1"/>
          <w:sz w:val="24"/>
          <w:szCs w:val="24"/>
          <w:highlight w:val="none"/>
        </w:rPr>
        <w:t>18.13.2.2</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不同供应商委托同一单位或者个人办理报价事宜；</w:t>
      </w:r>
    </w:p>
    <w:p w14:paraId="70D3D1E3">
      <w:pPr>
        <w:spacing w:before="140" w:line="331"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"18.13.2.3" </w:instrText>
      </w:r>
      <w:r>
        <w:rPr>
          <w:color w:val="auto"/>
          <w:highlight w:val="none"/>
        </w:rPr>
        <w:fldChar w:fldCharType="separate"/>
      </w:r>
      <w:r>
        <w:rPr>
          <w:rFonts w:ascii="仿宋" w:hAnsi="仿宋" w:eastAsia="仿宋" w:cs="仿宋"/>
          <w:color w:val="auto"/>
          <w:spacing w:val="-4"/>
          <w:position w:val="1"/>
          <w:sz w:val="24"/>
          <w:szCs w:val="24"/>
          <w:highlight w:val="none"/>
        </w:rPr>
        <w:t>18.13.2.3</w:t>
      </w:r>
      <w:r>
        <w:rPr>
          <w:rFonts w:ascii="仿宋" w:hAnsi="仿宋" w:eastAsia="仿宋" w:cs="仿宋"/>
          <w:color w:val="auto"/>
          <w:spacing w:val="-4"/>
          <w:position w:val="1"/>
          <w:sz w:val="24"/>
          <w:szCs w:val="24"/>
          <w:highlight w:val="none"/>
        </w:rPr>
        <w:fldChar w:fldCharType="end"/>
      </w:r>
      <w:r>
        <w:rPr>
          <w:rFonts w:ascii="仿宋" w:hAnsi="仿宋" w:eastAsia="仿宋" w:cs="仿宋"/>
          <w:color w:val="auto"/>
          <w:spacing w:val="-4"/>
          <w:position w:val="1"/>
          <w:sz w:val="24"/>
          <w:szCs w:val="24"/>
          <w:highlight w:val="none"/>
        </w:rPr>
        <w:t xml:space="preserve"> 不同供应商的响应文件载明的项目管理成员为同一人；</w:t>
      </w:r>
    </w:p>
    <w:p w14:paraId="314078AC">
      <w:pPr>
        <w:spacing w:before="136" w:line="326"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"18.13.2.4" </w:instrText>
      </w:r>
      <w:r>
        <w:rPr>
          <w:color w:val="auto"/>
          <w:highlight w:val="none"/>
        </w:rPr>
        <w:fldChar w:fldCharType="separate"/>
      </w:r>
      <w:r>
        <w:rPr>
          <w:rFonts w:ascii="仿宋" w:hAnsi="仿宋" w:eastAsia="仿宋" w:cs="仿宋"/>
          <w:color w:val="auto"/>
          <w:spacing w:val="-4"/>
          <w:position w:val="1"/>
          <w:sz w:val="24"/>
          <w:szCs w:val="24"/>
          <w:highlight w:val="none"/>
        </w:rPr>
        <w:t>18.13.2.4</w:t>
      </w:r>
      <w:r>
        <w:rPr>
          <w:rFonts w:ascii="仿宋" w:hAnsi="仿宋" w:eastAsia="仿宋" w:cs="仿宋"/>
          <w:color w:val="auto"/>
          <w:spacing w:val="-4"/>
          <w:position w:val="1"/>
          <w:sz w:val="24"/>
          <w:szCs w:val="24"/>
          <w:highlight w:val="none"/>
        </w:rPr>
        <w:fldChar w:fldCharType="end"/>
      </w:r>
      <w:r>
        <w:rPr>
          <w:rFonts w:ascii="仿宋" w:hAnsi="仿宋" w:eastAsia="仿宋" w:cs="仿宋"/>
          <w:color w:val="auto"/>
          <w:spacing w:val="-4"/>
          <w:position w:val="1"/>
          <w:sz w:val="24"/>
          <w:szCs w:val="24"/>
          <w:highlight w:val="none"/>
        </w:rPr>
        <w:t xml:space="preserve"> 不同供应商的响应文件异常一致或者响应报价呈规律性差异；</w:t>
      </w:r>
    </w:p>
    <w:p w14:paraId="611BA1A9">
      <w:pPr>
        <w:spacing w:before="140" w:line="330"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"18.13.2.5" </w:instrText>
      </w:r>
      <w:r>
        <w:rPr>
          <w:color w:val="auto"/>
          <w:highlight w:val="none"/>
        </w:rPr>
        <w:fldChar w:fldCharType="separate"/>
      </w:r>
      <w:r>
        <w:rPr>
          <w:rFonts w:ascii="仿宋" w:hAnsi="仿宋" w:eastAsia="仿宋" w:cs="仿宋"/>
          <w:color w:val="auto"/>
          <w:spacing w:val="-6"/>
          <w:position w:val="1"/>
          <w:sz w:val="24"/>
          <w:szCs w:val="24"/>
          <w:highlight w:val="none"/>
        </w:rPr>
        <w:t>18.13.2.5</w:t>
      </w:r>
      <w:r>
        <w:rPr>
          <w:rFonts w:ascii="仿宋" w:hAnsi="仿宋" w:eastAsia="仿宋" w:cs="仿宋"/>
          <w:color w:val="auto"/>
          <w:spacing w:val="-6"/>
          <w:position w:val="1"/>
          <w:sz w:val="24"/>
          <w:szCs w:val="24"/>
          <w:highlight w:val="none"/>
        </w:rPr>
        <w:fldChar w:fldCharType="end"/>
      </w:r>
      <w:r>
        <w:rPr>
          <w:rFonts w:ascii="仿宋" w:hAnsi="仿宋" w:eastAsia="仿宋" w:cs="仿宋"/>
          <w:color w:val="auto"/>
          <w:spacing w:val="-6"/>
          <w:position w:val="1"/>
          <w:sz w:val="24"/>
          <w:szCs w:val="24"/>
          <w:highlight w:val="none"/>
        </w:rPr>
        <w:t xml:space="preserve"> 不同供应商的响应文件相互混装；</w:t>
      </w:r>
    </w:p>
    <w:p w14:paraId="54CD9B4A">
      <w:pPr>
        <w:spacing w:before="138" w:line="323"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"18.13.2.6" </w:instrText>
      </w:r>
      <w:r>
        <w:rPr>
          <w:color w:val="auto"/>
          <w:highlight w:val="none"/>
        </w:rPr>
        <w:fldChar w:fldCharType="separate"/>
      </w:r>
      <w:r>
        <w:rPr>
          <w:rFonts w:ascii="仿宋" w:hAnsi="仿宋" w:eastAsia="仿宋" w:cs="仿宋"/>
          <w:color w:val="auto"/>
          <w:spacing w:val="-4"/>
          <w:position w:val="1"/>
          <w:sz w:val="24"/>
          <w:szCs w:val="24"/>
          <w:highlight w:val="none"/>
        </w:rPr>
        <w:t>18.13.2.6</w:t>
      </w:r>
      <w:r>
        <w:rPr>
          <w:rFonts w:ascii="仿宋" w:hAnsi="仿宋" w:eastAsia="仿宋" w:cs="仿宋"/>
          <w:color w:val="auto"/>
          <w:spacing w:val="-4"/>
          <w:position w:val="1"/>
          <w:sz w:val="24"/>
          <w:szCs w:val="24"/>
          <w:highlight w:val="none"/>
        </w:rPr>
        <w:fldChar w:fldCharType="end"/>
      </w:r>
      <w:r>
        <w:rPr>
          <w:rFonts w:ascii="仿宋" w:hAnsi="仿宋" w:eastAsia="仿宋" w:cs="仿宋"/>
          <w:color w:val="auto"/>
          <w:spacing w:val="-4"/>
          <w:position w:val="1"/>
          <w:sz w:val="24"/>
          <w:szCs w:val="24"/>
          <w:highlight w:val="none"/>
        </w:rPr>
        <w:t xml:space="preserve"> 不同供应商的保证金从同一单位或者个人的账户转出。</w:t>
      </w:r>
    </w:p>
    <w:p w14:paraId="3006EAD9">
      <w:pPr>
        <w:spacing w:before="175" w:line="219" w:lineRule="auto"/>
        <w:ind w:left="512"/>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18.13.3 有下列情形之一的，属于采购人</w:t>
      </w:r>
      <w:r>
        <w:rPr>
          <w:rFonts w:ascii="仿宋" w:hAnsi="仿宋" w:eastAsia="仿宋" w:cs="仿宋"/>
          <w:color w:val="auto"/>
          <w:spacing w:val="-5"/>
          <w:sz w:val="24"/>
          <w:szCs w:val="24"/>
          <w:highlight w:val="none"/>
        </w:rPr>
        <w:t>与供应商串通报价：</w:t>
      </w:r>
    </w:p>
    <w:p w14:paraId="4707A009">
      <w:pPr>
        <w:spacing w:before="151" w:line="324"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"18.13.3.1" </w:instrText>
      </w:r>
      <w:r>
        <w:rPr>
          <w:color w:val="auto"/>
          <w:highlight w:val="none"/>
        </w:rPr>
        <w:fldChar w:fldCharType="separate"/>
      </w:r>
      <w:r>
        <w:rPr>
          <w:rFonts w:ascii="仿宋" w:hAnsi="仿宋" w:eastAsia="仿宋" w:cs="仿宋"/>
          <w:color w:val="auto"/>
          <w:spacing w:val="-3"/>
          <w:position w:val="1"/>
          <w:sz w:val="24"/>
          <w:szCs w:val="24"/>
          <w:highlight w:val="none"/>
        </w:rPr>
        <w:t>18.13.3.1</w:t>
      </w:r>
      <w:r>
        <w:rPr>
          <w:rFonts w:ascii="仿宋" w:hAnsi="仿宋" w:eastAsia="仿宋" w:cs="仿宋"/>
          <w:color w:val="auto"/>
          <w:spacing w:val="-3"/>
          <w:position w:val="1"/>
          <w:sz w:val="24"/>
          <w:szCs w:val="24"/>
          <w:highlight w:val="none"/>
        </w:rPr>
        <w:fldChar w:fldCharType="end"/>
      </w:r>
      <w:r>
        <w:rPr>
          <w:rFonts w:ascii="仿宋" w:hAnsi="仿宋" w:eastAsia="仿宋" w:cs="仿宋"/>
          <w:color w:val="auto"/>
          <w:spacing w:val="-3"/>
          <w:position w:val="1"/>
          <w:sz w:val="24"/>
          <w:szCs w:val="24"/>
          <w:highlight w:val="none"/>
        </w:rPr>
        <w:t xml:space="preserve"> 采购人在开标前开启</w:t>
      </w:r>
      <w:r>
        <w:rPr>
          <w:rFonts w:ascii="仿宋" w:hAnsi="仿宋" w:eastAsia="仿宋" w:cs="仿宋"/>
          <w:color w:val="auto"/>
          <w:spacing w:val="-4"/>
          <w:position w:val="1"/>
          <w:sz w:val="24"/>
          <w:szCs w:val="24"/>
          <w:highlight w:val="none"/>
        </w:rPr>
        <w:t>响应文件并将有关信息泄露给其他供应商；</w:t>
      </w:r>
    </w:p>
    <w:p w14:paraId="44F45733">
      <w:pPr>
        <w:spacing w:before="143" w:line="330"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"18.13.3.2" </w:instrText>
      </w:r>
      <w:r>
        <w:rPr>
          <w:color w:val="auto"/>
          <w:highlight w:val="none"/>
        </w:rPr>
        <w:fldChar w:fldCharType="separate"/>
      </w:r>
      <w:r>
        <w:rPr>
          <w:rFonts w:ascii="仿宋" w:hAnsi="仿宋" w:eastAsia="仿宋" w:cs="仿宋"/>
          <w:color w:val="auto"/>
          <w:spacing w:val="-3"/>
          <w:position w:val="1"/>
          <w:sz w:val="24"/>
          <w:szCs w:val="24"/>
          <w:highlight w:val="none"/>
        </w:rPr>
        <w:t>18.13.3.2</w:t>
      </w:r>
      <w:r>
        <w:rPr>
          <w:rFonts w:ascii="仿宋" w:hAnsi="仿宋" w:eastAsia="仿宋" w:cs="仿宋"/>
          <w:color w:val="auto"/>
          <w:spacing w:val="-3"/>
          <w:position w:val="1"/>
          <w:sz w:val="24"/>
          <w:szCs w:val="24"/>
          <w:highlight w:val="none"/>
        </w:rPr>
        <w:fldChar w:fldCharType="end"/>
      </w:r>
      <w:r>
        <w:rPr>
          <w:rFonts w:ascii="仿宋" w:hAnsi="仿宋" w:eastAsia="仿宋" w:cs="仿宋"/>
          <w:color w:val="auto"/>
          <w:spacing w:val="-3"/>
          <w:position w:val="1"/>
          <w:sz w:val="24"/>
          <w:szCs w:val="24"/>
          <w:highlight w:val="none"/>
        </w:rPr>
        <w:t xml:space="preserve"> 采购人直接或者间接</w:t>
      </w:r>
      <w:r>
        <w:rPr>
          <w:rFonts w:ascii="仿宋" w:hAnsi="仿宋" w:eastAsia="仿宋" w:cs="仿宋"/>
          <w:color w:val="auto"/>
          <w:spacing w:val="-4"/>
          <w:position w:val="1"/>
          <w:sz w:val="24"/>
          <w:szCs w:val="24"/>
          <w:highlight w:val="none"/>
        </w:rPr>
        <w:t>向供应商泄露标底、磋商小组成员等信息；</w:t>
      </w:r>
    </w:p>
    <w:p w14:paraId="6F5F3409">
      <w:pPr>
        <w:spacing w:before="138" w:line="331"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"18.13.3.3" </w:instrText>
      </w:r>
      <w:r>
        <w:rPr>
          <w:color w:val="auto"/>
          <w:highlight w:val="none"/>
        </w:rPr>
        <w:fldChar w:fldCharType="separate"/>
      </w:r>
      <w:r>
        <w:rPr>
          <w:rFonts w:ascii="仿宋" w:hAnsi="仿宋" w:eastAsia="仿宋" w:cs="仿宋"/>
          <w:color w:val="auto"/>
          <w:spacing w:val="-4"/>
          <w:position w:val="1"/>
          <w:sz w:val="24"/>
          <w:szCs w:val="24"/>
          <w:highlight w:val="none"/>
        </w:rPr>
        <w:t>18.13.3.3</w:t>
      </w:r>
      <w:r>
        <w:rPr>
          <w:rFonts w:ascii="仿宋" w:hAnsi="仿宋" w:eastAsia="仿宋" w:cs="仿宋"/>
          <w:color w:val="auto"/>
          <w:spacing w:val="-4"/>
          <w:position w:val="1"/>
          <w:sz w:val="24"/>
          <w:szCs w:val="24"/>
          <w:highlight w:val="none"/>
        </w:rPr>
        <w:fldChar w:fldCharType="end"/>
      </w:r>
      <w:r>
        <w:rPr>
          <w:rFonts w:ascii="仿宋" w:hAnsi="仿宋" w:eastAsia="仿宋" w:cs="仿宋"/>
          <w:color w:val="auto"/>
          <w:spacing w:val="-4"/>
          <w:position w:val="1"/>
          <w:sz w:val="24"/>
          <w:szCs w:val="24"/>
          <w:highlight w:val="none"/>
        </w:rPr>
        <w:t xml:space="preserve"> 采购人明示或者暗示供应商压低或者抬高响应报价；</w:t>
      </w:r>
    </w:p>
    <w:p w14:paraId="5BAF75EB">
      <w:pPr>
        <w:spacing w:before="136" w:line="331"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"18.13.3.4" </w:instrText>
      </w:r>
      <w:r>
        <w:rPr>
          <w:color w:val="auto"/>
          <w:highlight w:val="none"/>
        </w:rPr>
        <w:fldChar w:fldCharType="separate"/>
      </w:r>
      <w:r>
        <w:rPr>
          <w:rFonts w:ascii="仿宋" w:hAnsi="仿宋" w:eastAsia="仿宋" w:cs="仿宋"/>
          <w:color w:val="auto"/>
          <w:spacing w:val="-5"/>
          <w:position w:val="1"/>
          <w:sz w:val="24"/>
          <w:szCs w:val="24"/>
          <w:highlight w:val="none"/>
        </w:rPr>
        <w:t>18.13.3.4</w:t>
      </w:r>
      <w:r>
        <w:rPr>
          <w:rFonts w:ascii="仿宋" w:hAnsi="仿宋" w:eastAsia="仿宋" w:cs="仿宋"/>
          <w:color w:val="auto"/>
          <w:spacing w:val="-5"/>
          <w:position w:val="1"/>
          <w:sz w:val="24"/>
          <w:szCs w:val="24"/>
          <w:highlight w:val="none"/>
        </w:rPr>
        <w:fldChar w:fldCharType="end"/>
      </w:r>
      <w:r>
        <w:rPr>
          <w:rFonts w:ascii="仿宋" w:hAnsi="仿宋" w:eastAsia="仿宋" w:cs="仿宋"/>
          <w:color w:val="auto"/>
          <w:spacing w:val="-5"/>
          <w:position w:val="1"/>
          <w:sz w:val="24"/>
          <w:szCs w:val="24"/>
          <w:highlight w:val="none"/>
        </w:rPr>
        <w:t xml:space="preserve"> 采购人授意供应商撤换、修改响应文件；</w:t>
      </w:r>
    </w:p>
    <w:p w14:paraId="054178B4">
      <w:pPr>
        <w:spacing w:before="137" w:line="331"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"18.13.3.5" </w:instrText>
      </w:r>
      <w:r>
        <w:rPr>
          <w:color w:val="auto"/>
          <w:highlight w:val="none"/>
        </w:rPr>
        <w:fldChar w:fldCharType="separate"/>
      </w:r>
      <w:r>
        <w:rPr>
          <w:rFonts w:ascii="仿宋" w:hAnsi="仿宋" w:eastAsia="仿宋" w:cs="仿宋"/>
          <w:color w:val="auto"/>
          <w:spacing w:val="-4"/>
          <w:position w:val="1"/>
          <w:sz w:val="24"/>
          <w:szCs w:val="24"/>
          <w:highlight w:val="none"/>
        </w:rPr>
        <w:t>18.13.3.5</w:t>
      </w:r>
      <w:r>
        <w:rPr>
          <w:rFonts w:ascii="仿宋" w:hAnsi="仿宋" w:eastAsia="仿宋" w:cs="仿宋"/>
          <w:color w:val="auto"/>
          <w:spacing w:val="-4"/>
          <w:position w:val="1"/>
          <w:sz w:val="24"/>
          <w:szCs w:val="24"/>
          <w:highlight w:val="none"/>
        </w:rPr>
        <w:fldChar w:fldCharType="end"/>
      </w:r>
      <w:r>
        <w:rPr>
          <w:rFonts w:ascii="仿宋" w:hAnsi="仿宋" w:eastAsia="仿宋" w:cs="仿宋"/>
          <w:color w:val="auto"/>
          <w:spacing w:val="-4"/>
          <w:position w:val="1"/>
          <w:sz w:val="24"/>
          <w:szCs w:val="24"/>
          <w:highlight w:val="none"/>
        </w:rPr>
        <w:t xml:space="preserve"> 采购人明示或者暗示供应商为特定供应商中标提供方便；</w:t>
      </w:r>
    </w:p>
    <w:p w14:paraId="2EB4E3EE">
      <w:pPr>
        <w:spacing w:before="136" w:line="324" w:lineRule="exact"/>
        <w:ind w:left="512"/>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"18.13.3.6" </w:instrText>
      </w:r>
      <w:r>
        <w:rPr>
          <w:color w:val="auto"/>
          <w:highlight w:val="none"/>
        </w:rPr>
        <w:fldChar w:fldCharType="separate"/>
      </w:r>
      <w:r>
        <w:rPr>
          <w:rFonts w:ascii="仿宋" w:hAnsi="仿宋" w:eastAsia="仿宋" w:cs="仿宋"/>
          <w:color w:val="auto"/>
          <w:spacing w:val="-3"/>
          <w:position w:val="1"/>
          <w:sz w:val="24"/>
          <w:szCs w:val="24"/>
          <w:highlight w:val="none"/>
        </w:rPr>
        <w:t>18.13.3.6</w:t>
      </w:r>
      <w:r>
        <w:rPr>
          <w:rFonts w:ascii="仿宋" w:hAnsi="仿宋" w:eastAsia="仿宋" w:cs="仿宋"/>
          <w:color w:val="auto"/>
          <w:spacing w:val="-3"/>
          <w:position w:val="1"/>
          <w:sz w:val="24"/>
          <w:szCs w:val="24"/>
          <w:highlight w:val="none"/>
        </w:rPr>
        <w:fldChar w:fldCharType="end"/>
      </w:r>
      <w:r>
        <w:rPr>
          <w:rFonts w:ascii="仿宋" w:hAnsi="仿宋" w:eastAsia="仿宋" w:cs="仿宋"/>
          <w:color w:val="auto"/>
          <w:spacing w:val="-3"/>
          <w:position w:val="1"/>
          <w:sz w:val="24"/>
          <w:szCs w:val="24"/>
          <w:highlight w:val="none"/>
        </w:rPr>
        <w:t xml:space="preserve"> 采购人与供应商为谋</w:t>
      </w:r>
      <w:r>
        <w:rPr>
          <w:rFonts w:ascii="仿宋" w:hAnsi="仿宋" w:eastAsia="仿宋" w:cs="仿宋"/>
          <w:color w:val="auto"/>
          <w:spacing w:val="-4"/>
          <w:position w:val="1"/>
          <w:sz w:val="24"/>
          <w:szCs w:val="24"/>
          <w:highlight w:val="none"/>
        </w:rPr>
        <w:t>求特定供应商中标而采取的其他串通行为。</w:t>
      </w:r>
    </w:p>
    <w:p w14:paraId="2034E08C">
      <w:pPr>
        <w:spacing w:before="218" w:line="331" w:lineRule="auto"/>
        <w:ind w:left="1" w:right="12" w:firstLine="48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在开标、评审过程中发现以上违法违规情形的，首先由磋商小组作出认定，对认定确有以上违法违规情形的供应商，按无效报价处理，再进入正常评审程序。</w:t>
      </w:r>
    </w:p>
    <w:p w14:paraId="7683F38E">
      <w:pPr>
        <w:spacing w:before="41" w:line="225" w:lineRule="auto"/>
        <w:ind w:left="512"/>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18.14</w:t>
      </w:r>
      <w:r>
        <w:rPr>
          <w:rFonts w:ascii="仿宋" w:hAnsi="仿宋" w:eastAsia="仿宋" w:cs="仿宋"/>
          <w:color w:val="auto"/>
          <w:spacing w:val="-28"/>
          <w:sz w:val="24"/>
          <w:szCs w:val="24"/>
          <w:highlight w:val="none"/>
        </w:rPr>
        <w:t xml:space="preserve"> </w:t>
      </w:r>
      <w:r>
        <w:rPr>
          <w:rFonts w:ascii="仿宋" w:hAnsi="仿宋" w:eastAsia="仿宋" w:cs="仿宋"/>
          <w:color w:val="auto"/>
          <w:spacing w:val="-10"/>
          <w:sz w:val="24"/>
          <w:szCs w:val="24"/>
          <w:highlight w:val="none"/>
        </w:rPr>
        <w:t>违规处理</w:t>
      </w:r>
    </w:p>
    <w:p w14:paraId="4FA371F6">
      <w:pPr>
        <w:spacing w:before="200" w:line="330" w:lineRule="auto"/>
        <w:ind w:left="21" w:right="9" w:firstLine="45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供应商有下列情形之一的，列入不良行为记录名单，在一至三年内禁止参加阿克苏</w:t>
      </w:r>
      <w:r>
        <w:rPr>
          <w:rFonts w:ascii="仿宋" w:hAnsi="仿宋" w:eastAsia="仿宋" w:cs="仿宋"/>
          <w:color w:val="auto"/>
          <w:spacing w:val="-8"/>
          <w:sz w:val="24"/>
          <w:szCs w:val="24"/>
          <w:highlight w:val="none"/>
        </w:rPr>
        <w:t>市政府采购活动：</w:t>
      </w:r>
    </w:p>
    <w:p w14:paraId="4578A624">
      <w:pPr>
        <w:spacing w:before="34" w:line="220" w:lineRule="auto"/>
        <w:ind w:left="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18.14.1 提供虚假报价材料谋取中标、成交的；</w:t>
      </w:r>
    </w:p>
    <w:p w14:paraId="6A8CF7B9">
      <w:pPr>
        <w:spacing w:before="182" w:line="220" w:lineRule="auto"/>
        <w:ind w:left="51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18.14.2 采取不正当手段诋毁、排挤其他供应商的；</w:t>
      </w:r>
    </w:p>
    <w:p w14:paraId="4E5F4538">
      <w:pPr>
        <w:spacing w:before="106" w:line="219" w:lineRule="auto"/>
        <w:ind w:left="51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18.14.3 与采购人、其他供应商或者采购代理机构恶意串通的；</w:t>
      </w:r>
    </w:p>
    <w:p w14:paraId="071B98A4">
      <w:pPr>
        <w:spacing w:before="178" w:line="228" w:lineRule="auto"/>
        <w:ind w:left="588"/>
        <w:outlineLvl w:val="2"/>
        <w:rPr>
          <w:rFonts w:ascii="楷体" w:hAnsi="楷体" w:eastAsia="楷体" w:cs="楷体"/>
          <w:color w:val="auto"/>
          <w:sz w:val="28"/>
          <w:szCs w:val="28"/>
          <w:highlight w:val="none"/>
        </w:rPr>
      </w:pPr>
      <w:bookmarkStart w:id="24" w:name="bookmark26"/>
      <w:bookmarkEnd w:id="24"/>
      <w:r>
        <w:rPr>
          <w:rFonts w:ascii="楷体" w:hAnsi="楷体" w:eastAsia="楷体" w:cs="楷体"/>
          <w:color w:val="auto"/>
          <w:spacing w:val="-10"/>
          <w:sz w:val="28"/>
          <w:szCs w:val="28"/>
          <w:highlight w:val="none"/>
        </w:rPr>
        <w:t>19.质疑</w:t>
      </w:r>
    </w:p>
    <w:p w14:paraId="198E1B55">
      <w:pPr>
        <w:spacing w:before="240" w:line="283" w:lineRule="auto"/>
        <w:ind w:left="65" w:firstLine="444"/>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19.1 参加本次政府采购活动的供应商认为竞争性磋商文件、采购过</w:t>
      </w:r>
      <w:r>
        <w:rPr>
          <w:rFonts w:ascii="仿宋" w:hAnsi="仿宋" w:eastAsia="仿宋" w:cs="仿宋"/>
          <w:color w:val="auto"/>
          <w:spacing w:val="-7"/>
          <w:sz w:val="24"/>
          <w:szCs w:val="24"/>
          <w:highlight w:val="none"/>
        </w:rPr>
        <w:t>程和成交结果使自己的权益受到损害的，可以在知道或者应当知道其权益受到损害之日起 7 个工作日内</w:t>
      </w:r>
      <w:r>
        <w:rPr>
          <w:rFonts w:ascii="仿宋" w:hAnsi="仿宋" w:eastAsia="仿宋" w:cs="仿宋"/>
          <w:color w:val="auto"/>
          <w:spacing w:val="3"/>
          <w:sz w:val="24"/>
          <w:szCs w:val="24"/>
          <w:highlight w:val="none"/>
        </w:rPr>
        <w:t xml:space="preserve"> </w:t>
      </w:r>
      <w:r>
        <w:rPr>
          <w:rFonts w:ascii="仿宋" w:hAnsi="仿宋" w:eastAsia="仿宋" w:cs="仿宋"/>
          <w:color w:val="auto"/>
          <w:spacing w:val="-9"/>
          <w:sz w:val="24"/>
          <w:szCs w:val="24"/>
          <w:highlight w:val="none"/>
        </w:rPr>
        <w:t>,</w:t>
      </w:r>
      <w:r>
        <w:rPr>
          <w:rFonts w:ascii="仿宋" w:hAnsi="仿宋" w:eastAsia="仿宋" w:cs="仿宋"/>
          <w:color w:val="auto"/>
          <w:spacing w:val="44"/>
          <w:sz w:val="24"/>
          <w:szCs w:val="24"/>
          <w:highlight w:val="none"/>
        </w:rPr>
        <w:t xml:space="preserve">  </w:t>
      </w:r>
      <w:r>
        <w:rPr>
          <w:rFonts w:ascii="仿宋" w:hAnsi="仿宋" w:eastAsia="仿宋" w:cs="仿宋"/>
          <w:color w:val="auto"/>
          <w:spacing w:val="-9"/>
          <w:sz w:val="24"/>
          <w:szCs w:val="24"/>
          <w:highlight w:val="none"/>
        </w:rPr>
        <w:t>以书面形式向采购人或者采购代理机构提出质疑。</w:t>
      </w:r>
    </w:p>
    <w:p w14:paraId="3274CA21">
      <w:pPr>
        <w:spacing w:before="259" w:line="222" w:lineRule="auto"/>
        <w:ind w:left="512"/>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19.2 质疑书内容应包括以下主要内容：</w:t>
      </w:r>
    </w:p>
    <w:p w14:paraId="25CDC676">
      <w:pPr>
        <w:spacing w:before="174" w:line="221" w:lineRule="auto"/>
        <w:ind w:left="512"/>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19.2.1 质疑人的名称、地址、电话等；</w:t>
      </w:r>
    </w:p>
    <w:p w14:paraId="56373558">
      <w:pPr>
        <w:spacing w:line="221" w:lineRule="auto"/>
        <w:rPr>
          <w:rFonts w:ascii="仿宋" w:hAnsi="仿宋" w:eastAsia="仿宋" w:cs="仿宋"/>
          <w:color w:val="auto"/>
          <w:sz w:val="24"/>
          <w:szCs w:val="24"/>
          <w:highlight w:val="none"/>
        </w:rPr>
        <w:sectPr>
          <w:footerReference r:id="rId25" w:type="default"/>
          <w:pgSz w:w="11906" w:h="16840"/>
          <w:pgMar w:top="1431" w:right="1413" w:bottom="1174" w:left="1462" w:header="0" w:footer="928" w:gutter="0"/>
          <w:pgNumType w:fmt="decimal"/>
          <w:cols w:space="720" w:num="1"/>
        </w:sectPr>
      </w:pPr>
    </w:p>
    <w:p w14:paraId="052509E7">
      <w:pPr>
        <w:spacing w:before="135" w:line="222" w:lineRule="auto"/>
        <w:ind w:left="51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19.2.2 具体的质疑事项、证据以及法律法规依据；</w:t>
      </w:r>
    </w:p>
    <w:p w14:paraId="22136E4E">
      <w:pPr>
        <w:spacing w:before="179" w:line="223" w:lineRule="auto"/>
        <w:ind w:left="512"/>
        <w:rPr>
          <w:rFonts w:ascii="仿宋" w:hAnsi="仿宋" w:eastAsia="仿宋" w:cs="仿宋"/>
          <w:color w:val="auto"/>
          <w:sz w:val="24"/>
          <w:szCs w:val="24"/>
          <w:highlight w:val="none"/>
        </w:rPr>
      </w:pPr>
      <w:r>
        <w:rPr>
          <w:rFonts w:ascii="仿宋" w:hAnsi="仿宋" w:eastAsia="仿宋" w:cs="仿宋"/>
          <w:color w:val="auto"/>
          <w:spacing w:val="-18"/>
          <w:sz w:val="24"/>
          <w:szCs w:val="24"/>
          <w:highlight w:val="none"/>
        </w:rPr>
        <w:t>19.2.3 提出质疑的</w:t>
      </w:r>
      <w:r>
        <w:rPr>
          <w:rFonts w:ascii="仿宋" w:hAnsi="仿宋" w:eastAsia="仿宋" w:cs="仿宋"/>
          <w:color w:val="auto"/>
          <w:spacing w:val="50"/>
          <w:sz w:val="24"/>
          <w:szCs w:val="24"/>
          <w:highlight w:val="none"/>
        </w:rPr>
        <w:t xml:space="preserve"> </w:t>
      </w:r>
      <w:r>
        <w:rPr>
          <w:rFonts w:ascii="仿宋" w:hAnsi="仿宋" w:eastAsia="仿宋" w:cs="仿宋"/>
          <w:color w:val="auto"/>
          <w:spacing w:val="-18"/>
          <w:sz w:val="24"/>
          <w:szCs w:val="24"/>
          <w:highlight w:val="none"/>
        </w:rPr>
        <w:t>日期。</w:t>
      </w:r>
    </w:p>
    <w:p w14:paraId="0CA63E42">
      <w:pPr>
        <w:spacing w:before="209" w:line="283" w:lineRule="auto"/>
        <w:ind w:left="1" w:right="95" w:firstLine="508"/>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19.3 质疑书应当署名，一式叁份。由法定代表人或者主要负责人签字并加盖公章后</w:t>
      </w:r>
      <w:r>
        <w:rPr>
          <w:rFonts w:ascii="仿宋" w:hAnsi="仿宋" w:eastAsia="仿宋" w:cs="仿宋"/>
          <w:color w:val="auto"/>
          <w:spacing w:val="-3"/>
          <w:sz w:val="24"/>
          <w:szCs w:val="24"/>
          <w:highlight w:val="none"/>
        </w:rPr>
        <w:t>生效。代理人办理质疑事务时，还应当提交授权委托书，授权委托书应当载明代理的具体权限和事项。否则采购人或者采购代理机构不予受理。</w:t>
      </w:r>
    </w:p>
    <w:p w14:paraId="78C28A82">
      <w:pPr>
        <w:spacing w:before="293" w:line="258" w:lineRule="auto"/>
        <w:ind w:left="90" w:right="93" w:firstLine="422"/>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19.4 除书面形式外，其他任何方式的质疑，采购人或者采购代理机构均不予接受和</w:t>
      </w:r>
      <w:r>
        <w:rPr>
          <w:rFonts w:ascii="仿宋" w:hAnsi="仿宋" w:eastAsia="仿宋" w:cs="仿宋"/>
          <w:color w:val="auto"/>
          <w:spacing w:val="-23"/>
          <w:sz w:val="24"/>
          <w:szCs w:val="24"/>
          <w:highlight w:val="none"/>
        </w:rPr>
        <w:t>回复。</w:t>
      </w:r>
    </w:p>
    <w:p w14:paraId="798C0A1D">
      <w:pPr>
        <w:spacing w:before="260" w:line="255" w:lineRule="auto"/>
        <w:ind w:left="15" w:right="81" w:firstLine="495"/>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19.5 采购人或者采购代理机构在收到质疑书后</w:t>
      </w:r>
      <w:r>
        <w:rPr>
          <w:rFonts w:ascii="仿宋" w:hAnsi="仿宋" w:eastAsia="仿宋" w:cs="仿宋"/>
          <w:color w:val="auto"/>
          <w:spacing w:val="-31"/>
          <w:sz w:val="24"/>
          <w:szCs w:val="24"/>
          <w:highlight w:val="none"/>
        </w:rPr>
        <w:t xml:space="preserve"> </w:t>
      </w:r>
      <w:r>
        <w:rPr>
          <w:rFonts w:ascii="仿宋" w:hAnsi="仿宋" w:eastAsia="仿宋" w:cs="仿宋"/>
          <w:color w:val="auto"/>
          <w:spacing w:val="-8"/>
          <w:sz w:val="24"/>
          <w:szCs w:val="24"/>
          <w:highlight w:val="none"/>
        </w:rPr>
        <w:t>7 个工作日内</w:t>
      </w:r>
      <w:r>
        <w:rPr>
          <w:rFonts w:ascii="仿宋" w:hAnsi="仿宋" w:eastAsia="仿宋" w:cs="仿宋"/>
          <w:color w:val="auto"/>
          <w:spacing w:val="-9"/>
          <w:sz w:val="24"/>
          <w:szCs w:val="24"/>
          <w:highlight w:val="none"/>
        </w:rPr>
        <w:t>做出书面答复，并以书</w:t>
      </w:r>
      <w:r>
        <w:rPr>
          <w:rFonts w:ascii="仿宋" w:hAnsi="仿宋" w:eastAsia="仿宋" w:cs="仿宋"/>
          <w:color w:val="auto"/>
          <w:spacing w:val="-3"/>
          <w:sz w:val="24"/>
          <w:szCs w:val="24"/>
          <w:highlight w:val="none"/>
        </w:rPr>
        <w:t>面形式通知质疑人和其他有关供应商，但答复不得涉及商业秘密。</w:t>
      </w:r>
    </w:p>
    <w:p w14:paraId="515F2DC2">
      <w:pPr>
        <w:spacing w:before="267" w:line="254" w:lineRule="auto"/>
        <w:ind w:right="81" w:firstLine="51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19.6 质疑人对采购人、采购代理机构的答复不满意或者采购</w:t>
      </w:r>
      <w:r>
        <w:rPr>
          <w:rFonts w:ascii="仿宋" w:hAnsi="仿宋" w:eastAsia="仿宋" w:cs="仿宋"/>
          <w:color w:val="auto"/>
          <w:spacing w:val="-7"/>
          <w:sz w:val="24"/>
          <w:szCs w:val="24"/>
          <w:highlight w:val="none"/>
        </w:rPr>
        <w:t>人、采购代理机构未在</w:t>
      </w:r>
      <w:r>
        <w:rPr>
          <w:rFonts w:ascii="仿宋" w:hAnsi="仿宋" w:eastAsia="仿宋" w:cs="仿宋"/>
          <w:color w:val="auto"/>
          <w:spacing w:val="-4"/>
          <w:sz w:val="24"/>
          <w:szCs w:val="24"/>
          <w:highlight w:val="none"/>
        </w:rPr>
        <w:t>规定的时间内作出答复的，可以在答复期满后 15 个工作日内向同级监管</w:t>
      </w:r>
      <w:r>
        <w:rPr>
          <w:rFonts w:ascii="仿宋" w:hAnsi="仿宋" w:eastAsia="仿宋" w:cs="仿宋"/>
          <w:color w:val="auto"/>
          <w:spacing w:val="-5"/>
          <w:sz w:val="24"/>
          <w:szCs w:val="24"/>
          <w:highlight w:val="none"/>
        </w:rPr>
        <w:t>部门投诉。</w:t>
      </w:r>
    </w:p>
    <w:p w14:paraId="6F54DB99">
      <w:pPr>
        <w:spacing w:before="303" w:line="224" w:lineRule="auto"/>
        <w:ind w:left="538"/>
        <w:outlineLvl w:val="2"/>
        <w:rPr>
          <w:rFonts w:ascii="楷体" w:hAnsi="楷体" w:eastAsia="楷体" w:cs="楷体"/>
          <w:color w:val="auto"/>
          <w:sz w:val="28"/>
          <w:szCs w:val="28"/>
          <w:highlight w:val="none"/>
        </w:rPr>
      </w:pPr>
      <w:bookmarkStart w:id="25" w:name="bookmark27"/>
      <w:bookmarkEnd w:id="25"/>
      <w:r>
        <w:rPr>
          <w:rFonts w:ascii="楷体" w:hAnsi="楷体" w:eastAsia="楷体" w:cs="楷体"/>
          <w:color w:val="auto"/>
          <w:spacing w:val="-4"/>
          <w:sz w:val="28"/>
          <w:szCs w:val="28"/>
          <w:highlight w:val="none"/>
        </w:rPr>
        <w:t>20.投诉</w:t>
      </w:r>
    </w:p>
    <w:p w14:paraId="4BBEE946">
      <w:pPr>
        <w:spacing w:before="255" w:line="297" w:lineRule="auto"/>
        <w:ind w:left="5" w:firstLine="460"/>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20.1 按照《中华人民共和国政府采购法》、财政部《政府采购供应商投诉处理办法》</w:t>
      </w:r>
      <w:r>
        <w:rPr>
          <w:rFonts w:ascii="仿宋" w:hAnsi="仿宋" w:eastAsia="仿宋" w:cs="仿宋"/>
          <w:color w:val="auto"/>
          <w:spacing w:val="4"/>
          <w:sz w:val="24"/>
          <w:szCs w:val="24"/>
          <w:highlight w:val="none"/>
        </w:rPr>
        <w:t xml:space="preserve"> </w:t>
      </w:r>
      <w:r>
        <w:rPr>
          <w:rFonts w:ascii="仿宋" w:hAnsi="仿宋" w:eastAsia="仿宋" w:cs="仿宋"/>
          <w:color w:val="auto"/>
          <w:spacing w:val="-2"/>
          <w:sz w:val="24"/>
          <w:szCs w:val="24"/>
          <w:highlight w:val="none"/>
        </w:rPr>
        <w:t>（财政部令第</w:t>
      </w:r>
      <w:r>
        <w:rPr>
          <w:rFonts w:ascii="仿宋" w:hAnsi="仿宋" w:eastAsia="仿宋" w:cs="仿宋"/>
          <w:color w:val="auto"/>
          <w:spacing w:val="-28"/>
          <w:sz w:val="24"/>
          <w:szCs w:val="24"/>
          <w:highlight w:val="none"/>
        </w:rPr>
        <w:t xml:space="preserve"> </w:t>
      </w:r>
      <w:r>
        <w:rPr>
          <w:rFonts w:ascii="仿宋" w:hAnsi="仿宋" w:eastAsia="仿宋" w:cs="仿宋"/>
          <w:color w:val="auto"/>
          <w:spacing w:val="-2"/>
          <w:sz w:val="24"/>
          <w:szCs w:val="24"/>
          <w:highlight w:val="none"/>
        </w:rPr>
        <w:t>94 号）文件以及相关的法律法规及规定，质疑人对采购人、采购代理</w:t>
      </w:r>
    </w:p>
    <w:p w14:paraId="509535B2">
      <w:pPr>
        <w:spacing w:line="297" w:lineRule="auto"/>
        <w:ind w:left="11" w:right="95" w:hanging="1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机构的答复不满意或者采购人、采购代理机构未在规定的时间内作出答复的，可以在答</w:t>
      </w:r>
      <w:r>
        <w:rPr>
          <w:rFonts w:ascii="仿宋" w:hAnsi="仿宋" w:eastAsia="仿宋" w:cs="仿宋"/>
          <w:color w:val="auto"/>
          <w:spacing w:val="-7"/>
          <w:sz w:val="24"/>
          <w:szCs w:val="24"/>
          <w:highlight w:val="none"/>
        </w:rPr>
        <w:t>复期满后 15 个工作日内向同级监管部</w:t>
      </w:r>
      <w:r>
        <w:rPr>
          <w:rFonts w:ascii="仿宋" w:hAnsi="仿宋" w:eastAsia="仿宋" w:cs="仿宋"/>
          <w:color w:val="auto"/>
          <w:spacing w:val="-8"/>
          <w:sz w:val="24"/>
          <w:szCs w:val="24"/>
          <w:highlight w:val="none"/>
        </w:rPr>
        <w:t>门投诉。</w:t>
      </w:r>
    </w:p>
    <w:p w14:paraId="419EBA5D">
      <w:pPr>
        <w:spacing w:before="278" w:line="221" w:lineRule="auto"/>
        <w:ind w:left="46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20.2 投诉人提起投诉应符合下列条件：</w:t>
      </w:r>
    </w:p>
    <w:p w14:paraId="4B8D6247">
      <w:pPr>
        <w:spacing w:before="187" w:line="222" w:lineRule="auto"/>
        <w:ind w:left="46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20.2.1 投诉人是参与所投诉政府采购活动的供应商；</w:t>
      </w:r>
    </w:p>
    <w:p w14:paraId="17C3DAD4">
      <w:pPr>
        <w:spacing w:before="171" w:line="221" w:lineRule="auto"/>
        <w:ind w:left="46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20.2.2 提起投诉前已依法进行质疑；</w:t>
      </w:r>
    </w:p>
    <w:p w14:paraId="77FB4ED8">
      <w:pPr>
        <w:spacing w:before="219" w:line="256" w:lineRule="auto"/>
        <w:ind w:left="18" w:right="91" w:firstLine="448"/>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20.2.3 投诉书内容符合财政部《政府采购供应</w:t>
      </w:r>
      <w:r>
        <w:rPr>
          <w:rFonts w:ascii="仿宋" w:hAnsi="仿宋" w:eastAsia="仿宋" w:cs="仿宋"/>
          <w:color w:val="auto"/>
          <w:spacing w:val="-2"/>
          <w:sz w:val="24"/>
          <w:szCs w:val="24"/>
          <w:highlight w:val="none"/>
        </w:rPr>
        <w:t>商投诉处理办法》（财政部令第</w:t>
      </w:r>
      <w:r>
        <w:rPr>
          <w:rFonts w:ascii="仿宋" w:hAnsi="仿宋" w:eastAsia="仿宋" w:cs="仿宋"/>
          <w:color w:val="auto"/>
          <w:spacing w:val="-31"/>
          <w:sz w:val="24"/>
          <w:szCs w:val="24"/>
          <w:highlight w:val="none"/>
        </w:rPr>
        <w:t xml:space="preserve"> </w:t>
      </w:r>
      <w:r>
        <w:rPr>
          <w:rFonts w:ascii="仿宋" w:hAnsi="仿宋" w:eastAsia="仿宋" w:cs="仿宋"/>
          <w:color w:val="auto"/>
          <w:spacing w:val="-2"/>
          <w:sz w:val="24"/>
          <w:szCs w:val="24"/>
          <w:highlight w:val="none"/>
        </w:rPr>
        <w:t>94</w:t>
      </w:r>
      <w:r>
        <w:rPr>
          <w:rFonts w:ascii="仿宋" w:hAnsi="仿宋" w:eastAsia="仿宋" w:cs="仿宋"/>
          <w:color w:val="auto"/>
          <w:spacing w:val="-10"/>
          <w:sz w:val="24"/>
          <w:szCs w:val="24"/>
          <w:highlight w:val="none"/>
        </w:rPr>
        <w:t>号）规定；</w:t>
      </w:r>
    </w:p>
    <w:p w14:paraId="12266EFA">
      <w:pPr>
        <w:spacing w:before="226" w:line="219" w:lineRule="auto"/>
        <w:ind w:left="46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20.2.4 在投诉有效期限内提起投诉；</w:t>
      </w:r>
    </w:p>
    <w:p w14:paraId="4355D5E8">
      <w:pPr>
        <w:spacing w:before="182" w:line="221" w:lineRule="auto"/>
        <w:ind w:left="46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20.2.5 属于本财政部门管辖；</w:t>
      </w:r>
    </w:p>
    <w:p w14:paraId="5F2AC2BE">
      <w:pPr>
        <w:spacing w:before="183" w:line="222" w:lineRule="auto"/>
        <w:ind w:left="46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20.2.6</w:t>
      </w:r>
      <w:r>
        <w:rPr>
          <w:rFonts w:ascii="仿宋" w:hAnsi="仿宋" w:eastAsia="仿宋" w:cs="仿宋"/>
          <w:color w:val="auto"/>
          <w:spacing w:val="81"/>
          <w:sz w:val="24"/>
          <w:szCs w:val="24"/>
          <w:highlight w:val="none"/>
        </w:rPr>
        <w:t xml:space="preserve"> </w:t>
      </w:r>
      <w:r>
        <w:rPr>
          <w:rFonts w:ascii="仿宋" w:hAnsi="仿宋" w:eastAsia="仿宋" w:cs="仿宋"/>
          <w:color w:val="auto"/>
          <w:spacing w:val="-7"/>
          <w:sz w:val="24"/>
          <w:szCs w:val="24"/>
          <w:highlight w:val="none"/>
        </w:rPr>
        <w:t>同一投诉事项未经财政部门投诉处理；</w:t>
      </w:r>
    </w:p>
    <w:p w14:paraId="1AC42C97">
      <w:pPr>
        <w:spacing w:before="177" w:line="222" w:lineRule="auto"/>
        <w:ind w:left="46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20.2.7 法律法规规定的其他条件。</w:t>
      </w:r>
    </w:p>
    <w:p w14:paraId="1964B936">
      <w:pPr>
        <w:spacing w:before="218" w:line="256" w:lineRule="auto"/>
        <w:ind w:right="84" w:firstLine="465"/>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20.3 投诉人投诉时，应当提交投诉书，并按照被投诉采购人、采购代理</w:t>
      </w:r>
      <w:r>
        <w:rPr>
          <w:rFonts w:ascii="仿宋" w:hAnsi="仿宋" w:eastAsia="仿宋" w:cs="仿宋"/>
          <w:color w:val="auto"/>
          <w:spacing w:val="-6"/>
          <w:sz w:val="24"/>
          <w:szCs w:val="24"/>
          <w:highlight w:val="none"/>
        </w:rPr>
        <w:t>机构和与投</w:t>
      </w:r>
      <w:r>
        <w:rPr>
          <w:rFonts w:ascii="仿宋" w:hAnsi="仿宋" w:eastAsia="仿宋" w:cs="仿宋"/>
          <w:color w:val="auto"/>
          <w:spacing w:val="-3"/>
          <w:sz w:val="24"/>
          <w:szCs w:val="24"/>
          <w:highlight w:val="none"/>
        </w:rPr>
        <w:t>诉事项有关的供应商数量提供投诉书的副本。</w:t>
      </w:r>
    </w:p>
    <w:p w14:paraId="5C0C522D">
      <w:pPr>
        <w:spacing w:before="230" w:line="222" w:lineRule="auto"/>
        <w:ind w:left="46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20.4 投诉书应当包括以下主要内容：</w:t>
      </w:r>
    </w:p>
    <w:p w14:paraId="139C2FEC">
      <w:pPr>
        <w:spacing w:before="177" w:line="221" w:lineRule="auto"/>
        <w:ind w:left="46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20.4.1 投诉人和被投诉人的名称、地址、电话等；</w:t>
      </w:r>
    </w:p>
    <w:p w14:paraId="339268DA">
      <w:pPr>
        <w:spacing w:line="221" w:lineRule="auto"/>
        <w:rPr>
          <w:rFonts w:ascii="仿宋" w:hAnsi="仿宋" w:eastAsia="仿宋" w:cs="仿宋"/>
          <w:color w:val="auto"/>
          <w:sz w:val="24"/>
          <w:szCs w:val="24"/>
          <w:highlight w:val="none"/>
        </w:rPr>
        <w:sectPr>
          <w:footerReference r:id="rId26" w:type="default"/>
          <w:pgSz w:w="11906" w:h="16840"/>
          <w:pgMar w:top="1431" w:right="1331" w:bottom="1174" w:left="1462" w:header="0" w:footer="928" w:gutter="0"/>
          <w:pgNumType w:fmt="decimal"/>
          <w:cols w:space="720" w:num="1"/>
        </w:sectPr>
      </w:pPr>
    </w:p>
    <w:p w14:paraId="1C766CBF">
      <w:pPr>
        <w:spacing w:before="135" w:line="222" w:lineRule="auto"/>
        <w:ind w:left="460"/>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20.4.2 具体的投诉事宜以及事实依据；</w:t>
      </w:r>
    </w:p>
    <w:p w14:paraId="7ECEC944">
      <w:pPr>
        <w:spacing w:before="172" w:line="220" w:lineRule="auto"/>
        <w:ind w:left="46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20.4.3 质疑书和质疑答复情况以及</w:t>
      </w:r>
      <w:r>
        <w:rPr>
          <w:rFonts w:ascii="仿宋" w:hAnsi="仿宋" w:eastAsia="仿宋" w:cs="仿宋"/>
          <w:color w:val="auto"/>
          <w:spacing w:val="-4"/>
          <w:sz w:val="24"/>
          <w:szCs w:val="24"/>
          <w:highlight w:val="none"/>
        </w:rPr>
        <w:t>相关证明材料；</w:t>
      </w:r>
    </w:p>
    <w:p w14:paraId="783E8BDB">
      <w:pPr>
        <w:spacing w:before="184" w:line="222" w:lineRule="auto"/>
        <w:ind w:left="460"/>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20.4.4</w:t>
      </w:r>
      <w:r>
        <w:rPr>
          <w:rFonts w:ascii="仿宋" w:hAnsi="仿宋" w:eastAsia="仿宋" w:cs="仿宋"/>
          <w:color w:val="auto"/>
          <w:spacing w:val="-17"/>
          <w:sz w:val="24"/>
          <w:szCs w:val="24"/>
          <w:highlight w:val="none"/>
        </w:rPr>
        <w:t xml:space="preserve"> </w:t>
      </w:r>
      <w:r>
        <w:rPr>
          <w:rFonts w:ascii="仿宋" w:hAnsi="仿宋" w:eastAsia="仿宋" w:cs="仿宋"/>
          <w:color w:val="auto"/>
          <w:spacing w:val="-11"/>
          <w:sz w:val="24"/>
          <w:szCs w:val="24"/>
          <w:highlight w:val="none"/>
        </w:rPr>
        <w:t>提起投诉的日期。</w:t>
      </w:r>
    </w:p>
    <w:p w14:paraId="3669AD24">
      <w:pPr>
        <w:spacing w:before="212" w:line="253" w:lineRule="auto"/>
        <w:ind w:right="2" w:firstLine="460"/>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20.5 投诉书应当署名。投诉人为自然人的，应当由本人签字；投</w:t>
      </w:r>
      <w:r>
        <w:rPr>
          <w:rFonts w:ascii="仿宋" w:hAnsi="仿宋" w:eastAsia="仿宋" w:cs="仿宋"/>
          <w:color w:val="auto"/>
          <w:spacing w:val="-6"/>
          <w:sz w:val="24"/>
          <w:szCs w:val="24"/>
          <w:highlight w:val="none"/>
        </w:rPr>
        <w:t>诉人为法人或者其</w:t>
      </w:r>
      <w:r>
        <w:rPr>
          <w:rFonts w:ascii="仿宋" w:hAnsi="仿宋" w:eastAsia="仿宋" w:cs="仿宋"/>
          <w:color w:val="auto"/>
          <w:spacing w:val="-3"/>
          <w:sz w:val="24"/>
          <w:szCs w:val="24"/>
          <w:highlight w:val="none"/>
        </w:rPr>
        <w:t>他组织的，应当由法定代表人或者主要负责人签字盖章并加盖公章。</w:t>
      </w:r>
    </w:p>
    <w:p w14:paraId="022962B6">
      <w:pPr>
        <w:spacing w:before="276" w:line="283" w:lineRule="auto"/>
        <w:ind w:left="1" w:firstLine="458"/>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20.6 投诉人可以委托代理人办理投诉事务。代理人办理投诉事务时，除</w:t>
      </w:r>
      <w:r>
        <w:rPr>
          <w:rFonts w:ascii="仿宋" w:hAnsi="仿宋" w:eastAsia="仿宋" w:cs="仿宋"/>
          <w:color w:val="auto"/>
          <w:spacing w:val="-6"/>
          <w:sz w:val="24"/>
          <w:szCs w:val="24"/>
          <w:highlight w:val="none"/>
        </w:rPr>
        <w:t>提交投诉书</w:t>
      </w:r>
      <w:r>
        <w:rPr>
          <w:rFonts w:ascii="仿宋" w:hAnsi="仿宋" w:eastAsia="仿宋" w:cs="仿宋"/>
          <w:color w:val="auto"/>
          <w:spacing w:val="-3"/>
          <w:sz w:val="24"/>
          <w:szCs w:val="24"/>
          <w:highlight w:val="none"/>
        </w:rPr>
        <w:t>外，还应当向同级监管部门提交投诉人的授权委托书，授权委托书应当载明委托代理的</w:t>
      </w:r>
      <w:r>
        <w:rPr>
          <w:rFonts w:ascii="仿宋" w:hAnsi="仿宋" w:eastAsia="仿宋" w:cs="仿宋"/>
          <w:color w:val="auto"/>
          <w:spacing w:val="-7"/>
          <w:sz w:val="24"/>
          <w:szCs w:val="24"/>
          <w:highlight w:val="none"/>
        </w:rPr>
        <w:t>具体权限和事项。</w:t>
      </w:r>
    </w:p>
    <w:p w14:paraId="04F87DB0">
      <w:pPr>
        <w:spacing w:before="254" w:line="221" w:lineRule="auto"/>
        <w:ind w:left="46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20.7 投诉人不符合上述规定提起的投诉，监管部门不予受</w:t>
      </w:r>
      <w:r>
        <w:rPr>
          <w:rFonts w:ascii="仿宋" w:hAnsi="仿宋" w:eastAsia="仿宋" w:cs="仿宋"/>
          <w:color w:val="auto"/>
          <w:spacing w:val="-4"/>
          <w:sz w:val="24"/>
          <w:szCs w:val="24"/>
          <w:highlight w:val="none"/>
        </w:rPr>
        <w:t>理。</w:t>
      </w:r>
    </w:p>
    <w:p w14:paraId="71F13822">
      <w:pPr>
        <w:spacing w:before="246" w:line="224" w:lineRule="auto"/>
        <w:ind w:left="531"/>
        <w:outlineLvl w:val="2"/>
        <w:rPr>
          <w:rFonts w:ascii="楷体" w:hAnsi="楷体" w:eastAsia="楷体" w:cs="楷体"/>
          <w:color w:val="auto"/>
          <w:sz w:val="28"/>
          <w:szCs w:val="28"/>
          <w:highlight w:val="none"/>
        </w:rPr>
      </w:pPr>
      <w:bookmarkStart w:id="26" w:name="bookmark28"/>
      <w:bookmarkEnd w:id="26"/>
      <w:r>
        <w:rPr>
          <w:rFonts w:ascii="楷体" w:hAnsi="楷体" w:eastAsia="楷体" w:cs="楷体"/>
          <w:color w:val="auto"/>
          <w:spacing w:val="-3"/>
          <w:sz w:val="28"/>
          <w:szCs w:val="28"/>
          <w:highlight w:val="none"/>
        </w:rPr>
        <w:t>21.其他需补充的内容</w:t>
      </w:r>
    </w:p>
    <w:p w14:paraId="4D924695">
      <w:pPr>
        <w:spacing w:before="141" w:line="222" w:lineRule="auto"/>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其他需补充的内容：见供应商须知前附表。</w:t>
      </w:r>
    </w:p>
    <w:p w14:paraId="476781CF">
      <w:pPr>
        <w:spacing w:line="222" w:lineRule="auto"/>
        <w:rPr>
          <w:rFonts w:ascii="仿宋" w:hAnsi="仿宋" w:eastAsia="仿宋" w:cs="仿宋"/>
          <w:color w:val="auto"/>
          <w:sz w:val="24"/>
          <w:szCs w:val="24"/>
          <w:highlight w:val="none"/>
        </w:rPr>
        <w:sectPr>
          <w:footerReference r:id="rId27" w:type="default"/>
          <w:pgSz w:w="11906" w:h="16840"/>
          <w:pgMar w:top="1431" w:right="1415" w:bottom="1158" w:left="1468" w:header="0" w:footer="996" w:gutter="0"/>
          <w:pgNumType w:fmt="decimal"/>
          <w:cols w:space="720" w:num="1"/>
        </w:sectPr>
      </w:pPr>
    </w:p>
    <w:p w14:paraId="202F1022">
      <w:pPr>
        <w:spacing w:before="183" w:line="222" w:lineRule="auto"/>
        <w:ind w:left="2777"/>
        <w:outlineLvl w:val="0"/>
        <w:rPr>
          <w:rFonts w:ascii="黑体" w:hAnsi="黑体" w:eastAsia="黑体" w:cs="黑体"/>
          <w:color w:val="auto"/>
          <w:sz w:val="30"/>
          <w:szCs w:val="30"/>
          <w:highlight w:val="none"/>
        </w:rPr>
      </w:pPr>
      <w:bookmarkStart w:id="27" w:name="bookmark29"/>
      <w:bookmarkEnd w:id="27"/>
      <w:r>
        <w:rPr>
          <w:rFonts w:ascii="黑体" w:hAnsi="黑体" w:eastAsia="黑体" w:cs="黑体"/>
          <w:color w:val="auto"/>
          <w:spacing w:val="4"/>
          <w:sz w:val="30"/>
          <w:szCs w:val="30"/>
          <w:highlight w:val="none"/>
        </w:rPr>
        <w:t>第三章</w:t>
      </w:r>
      <w:r>
        <w:rPr>
          <w:rFonts w:ascii="黑体" w:hAnsi="黑体" w:eastAsia="黑体" w:cs="黑体"/>
          <w:color w:val="auto"/>
          <w:spacing w:val="34"/>
          <w:sz w:val="30"/>
          <w:szCs w:val="30"/>
          <w:highlight w:val="none"/>
        </w:rPr>
        <w:t xml:space="preserve">  </w:t>
      </w:r>
      <w:r>
        <w:rPr>
          <w:rFonts w:ascii="黑体" w:hAnsi="黑体" w:eastAsia="黑体" w:cs="黑体"/>
          <w:color w:val="auto"/>
          <w:spacing w:val="4"/>
          <w:sz w:val="30"/>
          <w:szCs w:val="30"/>
          <w:highlight w:val="none"/>
        </w:rPr>
        <w:t>采购需求</w:t>
      </w:r>
    </w:p>
    <w:p w14:paraId="407F82EF">
      <w:pPr>
        <w:pStyle w:val="3"/>
        <w:spacing w:line="242" w:lineRule="auto"/>
        <w:rPr>
          <w:color w:val="auto"/>
          <w:highlight w:val="none"/>
        </w:rPr>
      </w:pPr>
    </w:p>
    <w:p w14:paraId="00277096">
      <w:pPr>
        <w:pStyle w:val="3"/>
        <w:spacing w:line="242" w:lineRule="auto"/>
        <w:rPr>
          <w:color w:val="auto"/>
          <w:highlight w:val="none"/>
        </w:rPr>
      </w:pPr>
    </w:p>
    <w:p w14:paraId="7377EAF5">
      <w:pPr>
        <w:pStyle w:val="3"/>
        <w:spacing w:line="242" w:lineRule="auto"/>
        <w:rPr>
          <w:color w:val="auto"/>
          <w:highlight w:val="none"/>
        </w:rPr>
      </w:pPr>
    </w:p>
    <w:p w14:paraId="5D3E2ABB">
      <w:pPr>
        <w:spacing w:before="91" w:line="224" w:lineRule="auto"/>
        <w:ind w:left="102"/>
        <w:outlineLvl w:val="1"/>
        <w:rPr>
          <w:rFonts w:ascii="楷体" w:hAnsi="楷体" w:eastAsia="楷体" w:cs="楷体"/>
          <w:color w:val="auto"/>
          <w:sz w:val="28"/>
          <w:szCs w:val="28"/>
          <w:highlight w:val="none"/>
        </w:rPr>
      </w:pPr>
      <w:r>
        <w:rPr>
          <w:rFonts w:ascii="楷体" w:hAnsi="楷体" w:eastAsia="楷体" w:cs="楷体"/>
          <w:color w:val="auto"/>
          <w:spacing w:val="-6"/>
          <w:sz w:val="28"/>
          <w:szCs w:val="28"/>
          <w:highlight w:val="none"/>
        </w:rPr>
        <w:t>1.详见工程量清单（另册）</w:t>
      </w:r>
    </w:p>
    <w:p w14:paraId="48844534">
      <w:pPr>
        <w:spacing w:before="100" w:line="227" w:lineRule="auto"/>
        <w:ind w:left="69"/>
        <w:outlineLvl w:val="1"/>
        <w:rPr>
          <w:rFonts w:ascii="楷体" w:hAnsi="楷体" w:eastAsia="楷体" w:cs="楷体"/>
          <w:color w:val="auto"/>
          <w:sz w:val="28"/>
          <w:szCs w:val="28"/>
          <w:highlight w:val="none"/>
        </w:rPr>
      </w:pPr>
      <w:r>
        <w:rPr>
          <w:rFonts w:ascii="楷体" w:hAnsi="楷体" w:eastAsia="楷体" w:cs="楷体"/>
          <w:color w:val="auto"/>
          <w:spacing w:val="-3"/>
          <w:sz w:val="28"/>
          <w:szCs w:val="28"/>
          <w:highlight w:val="none"/>
        </w:rPr>
        <w:t>2.技术标准和施工要求</w:t>
      </w:r>
    </w:p>
    <w:p w14:paraId="1542A2CC">
      <w:pPr>
        <w:spacing w:before="60" w:line="222" w:lineRule="auto"/>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2.1 本工程应按国家、建设部、工程施工技术（验收）规程、规范标准施工。</w:t>
      </w:r>
    </w:p>
    <w:p w14:paraId="778CB0FC">
      <w:pPr>
        <w:spacing w:before="244" w:line="225" w:lineRule="auto"/>
        <w:ind w:left="76"/>
        <w:outlineLvl w:val="1"/>
        <w:rPr>
          <w:rFonts w:ascii="楷体" w:hAnsi="楷体" w:eastAsia="楷体" w:cs="楷体"/>
          <w:color w:val="auto"/>
          <w:sz w:val="28"/>
          <w:szCs w:val="28"/>
          <w:highlight w:val="none"/>
        </w:rPr>
      </w:pPr>
      <w:r>
        <w:rPr>
          <w:rFonts w:ascii="楷体" w:hAnsi="楷体" w:eastAsia="楷体" w:cs="楷体"/>
          <w:color w:val="auto"/>
          <w:spacing w:val="-4"/>
          <w:sz w:val="28"/>
          <w:szCs w:val="28"/>
          <w:highlight w:val="none"/>
        </w:rPr>
        <w:t>3.商务条件</w:t>
      </w:r>
    </w:p>
    <w:p w14:paraId="212DBBF3">
      <w:pPr>
        <w:spacing w:before="71" w:line="222" w:lineRule="auto"/>
        <w:ind w:left="4"/>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3.1 工期：</w:t>
      </w:r>
      <w:r>
        <w:rPr>
          <w:rFonts w:hint="eastAsia" w:ascii="仿宋" w:hAnsi="仿宋" w:eastAsia="仿宋" w:cs="仿宋"/>
          <w:color w:val="auto"/>
          <w:spacing w:val="-10"/>
          <w:sz w:val="24"/>
          <w:szCs w:val="24"/>
          <w:highlight w:val="none"/>
          <w:lang w:val="en-US" w:eastAsia="zh-CN"/>
        </w:rPr>
        <w:t>210</w:t>
      </w:r>
      <w:r>
        <w:rPr>
          <w:rFonts w:ascii="仿宋" w:hAnsi="仿宋" w:eastAsia="仿宋" w:cs="仿宋"/>
          <w:color w:val="auto"/>
          <w:spacing w:val="-10"/>
          <w:sz w:val="24"/>
          <w:szCs w:val="24"/>
          <w:highlight w:val="none"/>
        </w:rPr>
        <w:t>日历天（具体时间以签订合同为</w:t>
      </w:r>
      <w:r>
        <w:rPr>
          <w:rFonts w:ascii="仿宋" w:hAnsi="仿宋" w:eastAsia="仿宋" w:cs="仿宋"/>
          <w:color w:val="auto"/>
          <w:spacing w:val="-11"/>
          <w:sz w:val="24"/>
          <w:szCs w:val="24"/>
          <w:highlight w:val="none"/>
        </w:rPr>
        <w:t>准）</w:t>
      </w:r>
    </w:p>
    <w:p w14:paraId="4FB7EDC7">
      <w:pPr>
        <w:spacing w:before="176" w:line="221" w:lineRule="auto"/>
        <w:ind w:left="4"/>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3.2 建设地点：</w:t>
      </w:r>
      <w:r>
        <w:rPr>
          <w:rFonts w:hint="eastAsia" w:ascii="仿宋" w:hAnsi="仿宋" w:eastAsia="仿宋" w:cs="仿宋"/>
          <w:color w:val="auto"/>
          <w:spacing w:val="-4"/>
          <w:sz w:val="24"/>
          <w:szCs w:val="24"/>
          <w:highlight w:val="none"/>
          <w:lang w:val="en-US" w:eastAsia="zh-CN"/>
        </w:rPr>
        <w:t>乌什县阿合雅镇托万克阿合亚（15）村</w:t>
      </w:r>
    </w:p>
    <w:p w14:paraId="3189AD12">
      <w:pPr>
        <w:spacing w:before="186" w:line="221" w:lineRule="auto"/>
        <w:ind w:left="6" w:hanging="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3.3 付款方式：</w:t>
      </w:r>
      <w:r>
        <w:rPr>
          <w:rFonts w:hint="eastAsia" w:ascii="仿宋" w:hAnsi="仿宋" w:eastAsia="仿宋" w:cs="仿宋"/>
          <w:color w:val="auto"/>
          <w:spacing w:val="-3"/>
          <w:sz w:val="24"/>
          <w:szCs w:val="24"/>
          <w:highlight w:val="none"/>
        </w:rPr>
        <w:t>合同签订后，支付合同价的30%作为预付款；工程进度达到 70% 时，支付合同价的40%进度款；竣工验收后，按结算价支付至97%,剩余3%质保金，质保期满一年，结清尾款。（质保金可开具质保函）</w:t>
      </w:r>
    </w:p>
    <w:p w14:paraId="2952AAEA">
      <w:pPr>
        <w:spacing w:before="176" w:line="221" w:lineRule="auto"/>
        <w:ind w:left="4"/>
        <w:rPr>
          <w:rFonts w:ascii="仿宋" w:hAnsi="仿宋" w:eastAsia="仿宋" w:cs="仿宋"/>
          <w:color w:val="auto"/>
          <w:sz w:val="24"/>
          <w:szCs w:val="24"/>
          <w:highlight w:val="none"/>
        </w:rPr>
      </w:pPr>
      <w:bookmarkStart w:id="28" w:name="bookmark30"/>
      <w:bookmarkEnd w:id="28"/>
      <w:r>
        <w:rPr>
          <w:rFonts w:ascii="仿宋" w:hAnsi="仿宋" w:eastAsia="仿宋" w:cs="仿宋"/>
          <w:color w:val="auto"/>
          <w:spacing w:val="-6"/>
          <w:sz w:val="24"/>
          <w:szCs w:val="24"/>
          <w:highlight w:val="none"/>
        </w:rPr>
        <w:t>3.4 质量要求：符合国家和地方标准。</w:t>
      </w:r>
    </w:p>
    <w:p w14:paraId="24D597B2">
      <w:pPr>
        <w:spacing w:line="221" w:lineRule="auto"/>
        <w:rPr>
          <w:rFonts w:ascii="仿宋" w:hAnsi="仿宋" w:eastAsia="仿宋" w:cs="仿宋"/>
          <w:color w:val="auto"/>
          <w:sz w:val="24"/>
          <w:szCs w:val="24"/>
          <w:highlight w:val="none"/>
        </w:rPr>
        <w:sectPr>
          <w:footerReference r:id="rId28" w:type="default"/>
          <w:pgSz w:w="11906" w:h="16840"/>
          <w:pgMar w:top="1431" w:right="1527" w:bottom="1174" w:left="1595" w:header="0" w:footer="928" w:gutter="0"/>
          <w:pgNumType w:fmt="decimal"/>
          <w:cols w:space="720" w:num="1"/>
        </w:sectPr>
      </w:pPr>
    </w:p>
    <w:p w14:paraId="6432CF45">
      <w:pPr>
        <w:spacing w:before="60" w:line="221" w:lineRule="auto"/>
        <w:ind w:left="3400"/>
        <w:outlineLvl w:val="0"/>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第四章</w:t>
      </w:r>
      <w:r>
        <w:rPr>
          <w:rFonts w:ascii="黑体" w:hAnsi="黑体" w:eastAsia="黑体" w:cs="黑体"/>
          <w:color w:val="auto"/>
          <w:spacing w:val="34"/>
          <w:sz w:val="30"/>
          <w:szCs w:val="30"/>
          <w:highlight w:val="none"/>
        </w:rPr>
        <w:t xml:space="preserve">  </w:t>
      </w:r>
      <w:r>
        <w:rPr>
          <w:rFonts w:ascii="黑体" w:hAnsi="黑体" w:eastAsia="黑体" w:cs="黑体"/>
          <w:color w:val="auto"/>
          <w:spacing w:val="4"/>
          <w:sz w:val="30"/>
          <w:szCs w:val="30"/>
          <w:highlight w:val="none"/>
        </w:rPr>
        <w:t>评审办法</w:t>
      </w:r>
    </w:p>
    <w:p w14:paraId="23EE6BF6">
      <w:pPr>
        <w:pStyle w:val="3"/>
        <w:spacing w:line="245" w:lineRule="auto"/>
        <w:rPr>
          <w:color w:val="auto"/>
          <w:highlight w:val="none"/>
        </w:rPr>
      </w:pPr>
    </w:p>
    <w:p w14:paraId="73DF9CC4">
      <w:pPr>
        <w:pStyle w:val="3"/>
        <w:spacing w:line="246" w:lineRule="auto"/>
        <w:rPr>
          <w:color w:val="auto"/>
          <w:highlight w:val="none"/>
        </w:rPr>
      </w:pPr>
    </w:p>
    <w:p w14:paraId="53048F28">
      <w:pPr>
        <w:spacing w:before="91" w:line="229" w:lineRule="auto"/>
        <w:ind w:left="185"/>
        <w:outlineLvl w:val="1"/>
        <w:rPr>
          <w:rFonts w:ascii="楷体" w:hAnsi="楷体" w:eastAsia="楷体" w:cs="楷体"/>
          <w:color w:val="auto"/>
          <w:sz w:val="28"/>
          <w:szCs w:val="28"/>
          <w:highlight w:val="none"/>
        </w:rPr>
      </w:pPr>
      <w:r>
        <w:rPr>
          <w:rFonts w:ascii="楷体" w:hAnsi="楷体" w:eastAsia="楷体" w:cs="楷体"/>
          <w:color w:val="auto"/>
          <w:spacing w:val="-10"/>
          <w:sz w:val="28"/>
          <w:szCs w:val="28"/>
          <w:highlight w:val="none"/>
        </w:rPr>
        <w:t>1.相关要求</w:t>
      </w:r>
    </w:p>
    <w:p w14:paraId="1F2544DF">
      <w:pPr>
        <w:pStyle w:val="3"/>
        <w:spacing w:line="311" w:lineRule="auto"/>
        <w:rPr>
          <w:color w:val="auto"/>
          <w:highlight w:val="none"/>
        </w:rPr>
      </w:pPr>
    </w:p>
    <w:p w14:paraId="74DA6F16">
      <w:pPr>
        <w:spacing w:before="78" w:line="327" w:lineRule="auto"/>
        <w:ind w:left="167" w:right="491" w:firstLine="498"/>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1.经磋商确定最终采购需求和提交最后报价的供应商后，由磋商小组采用综合</w:t>
      </w:r>
      <w:r>
        <w:rPr>
          <w:rFonts w:ascii="仿宋" w:hAnsi="仿宋" w:eastAsia="仿宋" w:cs="仿宋"/>
          <w:color w:val="auto"/>
          <w:spacing w:val="-2"/>
          <w:sz w:val="24"/>
          <w:szCs w:val="24"/>
          <w:highlight w:val="none"/>
        </w:rPr>
        <w:t>评 分 法对提交最后报价的供应商的响应文件和最后报</w:t>
      </w:r>
      <w:r>
        <w:rPr>
          <w:rFonts w:ascii="仿宋" w:hAnsi="仿宋" w:eastAsia="仿宋" w:cs="仿宋"/>
          <w:color w:val="auto"/>
          <w:spacing w:val="-3"/>
          <w:sz w:val="24"/>
          <w:szCs w:val="24"/>
          <w:highlight w:val="none"/>
        </w:rPr>
        <w:t>价进行综合评分。</w:t>
      </w:r>
    </w:p>
    <w:p w14:paraId="0CB01FA4">
      <w:pPr>
        <w:spacing w:before="238" w:line="327" w:lineRule="auto"/>
        <w:ind w:left="157" w:right="501" w:firstLine="487"/>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综合评分法，是指响应文件满足磋商文件全部实质性要求且按评审因素的量化</w:t>
      </w:r>
      <w:r>
        <w:rPr>
          <w:rFonts w:ascii="仿宋" w:hAnsi="仿宋" w:eastAsia="仿宋" w:cs="仿宋"/>
          <w:color w:val="auto"/>
          <w:spacing w:val="-3"/>
          <w:sz w:val="24"/>
          <w:szCs w:val="24"/>
          <w:highlight w:val="none"/>
        </w:rPr>
        <w:t>指</w:t>
      </w:r>
      <w:r>
        <w:rPr>
          <w:rFonts w:ascii="仿宋" w:hAnsi="仿宋" w:eastAsia="仿宋" w:cs="仿宋"/>
          <w:color w:val="auto"/>
          <w:spacing w:val="32"/>
          <w:sz w:val="24"/>
          <w:szCs w:val="24"/>
          <w:highlight w:val="none"/>
        </w:rPr>
        <w:t xml:space="preserve"> </w:t>
      </w:r>
      <w:r>
        <w:rPr>
          <w:rFonts w:ascii="仿宋" w:hAnsi="仿宋" w:eastAsia="仿宋" w:cs="仿宋"/>
          <w:color w:val="auto"/>
          <w:spacing w:val="-3"/>
          <w:sz w:val="24"/>
          <w:szCs w:val="24"/>
          <w:highlight w:val="none"/>
        </w:rPr>
        <w:t>标 评审得分最高的供应商为成交候选供应商的评审方法。</w:t>
      </w:r>
    </w:p>
    <w:p w14:paraId="6A639775">
      <w:pPr>
        <w:spacing w:before="237" w:line="331" w:lineRule="auto"/>
        <w:ind w:left="176" w:right="551" w:firstLine="44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2.评审时，磋商小组各成员应当独立对每个有效响应的文件进</w:t>
      </w:r>
      <w:r>
        <w:rPr>
          <w:rFonts w:ascii="仿宋" w:hAnsi="仿宋" w:eastAsia="仿宋" w:cs="仿宋"/>
          <w:color w:val="auto"/>
          <w:spacing w:val="-5"/>
          <w:sz w:val="24"/>
          <w:szCs w:val="24"/>
          <w:highlight w:val="none"/>
        </w:rPr>
        <w:t>行评价、打分，</w:t>
      </w:r>
      <w:r>
        <w:rPr>
          <w:rFonts w:ascii="仿宋" w:hAnsi="仿宋" w:eastAsia="仿宋" w:cs="仿宋"/>
          <w:color w:val="auto"/>
          <w:spacing w:val="-7"/>
          <w:sz w:val="24"/>
          <w:szCs w:val="24"/>
          <w:highlight w:val="none"/>
        </w:rPr>
        <w:t>然 后</w:t>
      </w:r>
      <w:r>
        <w:rPr>
          <w:rFonts w:ascii="仿宋" w:hAnsi="仿宋" w:eastAsia="仿宋" w:cs="仿宋"/>
          <w:color w:val="auto"/>
          <w:spacing w:val="81"/>
          <w:sz w:val="24"/>
          <w:szCs w:val="24"/>
          <w:highlight w:val="none"/>
        </w:rPr>
        <w:t xml:space="preserve"> </w:t>
      </w:r>
      <w:r>
        <w:rPr>
          <w:rFonts w:ascii="仿宋" w:hAnsi="仿宋" w:eastAsia="仿宋" w:cs="仿宋"/>
          <w:color w:val="auto"/>
          <w:spacing w:val="-7"/>
          <w:sz w:val="24"/>
          <w:szCs w:val="24"/>
          <w:highlight w:val="none"/>
        </w:rPr>
        <w:t>汇总每个供应商每项评分因素的得分。</w:t>
      </w:r>
    </w:p>
    <w:p w14:paraId="1AA15DF3">
      <w:pPr>
        <w:spacing w:before="228" w:line="340" w:lineRule="auto"/>
        <w:ind w:left="169" w:right="314" w:firstLine="460"/>
        <w:jc w:val="both"/>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3.符合《政府采购竞争性磋商采购方式管理暂行办法》（财库〔2014〕214 号</w:t>
      </w:r>
      <w:r>
        <w:rPr>
          <w:rFonts w:ascii="仿宋" w:hAnsi="仿宋" w:eastAsia="仿宋" w:cs="仿宋"/>
          <w:color w:val="auto"/>
          <w:spacing w:val="6"/>
          <w:sz w:val="24"/>
          <w:szCs w:val="24"/>
          <w:highlight w:val="none"/>
        </w:rPr>
        <w:t xml:space="preserve"> </w:t>
      </w:r>
      <w:r>
        <w:rPr>
          <w:rFonts w:ascii="仿宋" w:hAnsi="仿宋" w:eastAsia="仿宋" w:cs="仿宋"/>
          <w:color w:val="auto"/>
          <w:spacing w:val="2"/>
          <w:sz w:val="24"/>
          <w:szCs w:val="24"/>
          <w:highlight w:val="none"/>
        </w:rPr>
        <w:t>)  中</w:t>
      </w:r>
      <w:r>
        <w:rPr>
          <w:rFonts w:ascii="仿宋" w:hAnsi="仿宋" w:eastAsia="仿宋" w:cs="仿宋"/>
          <w:color w:val="auto"/>
          <w:spacing w:val="36"/>
          <w:sz w:val="24"/>
          <w:szCs w:val="24"/>
          <w:highlight w:val="none"/>
        </w:rPr>
        <w:t xml:space="preserve"> </w:t>
      </w:r>
      <w:r>
        <w:rPr>
          <w:rFonts w:ascii="仿宋" w:hAnsi="仿宋" w:eastAsia="仿宋" w:cs="仿宋"/>
          <w:color w:val="auto"/>
          <w:spacing w:val="2"/>
          <w:sz w:val="24"/>
          <w:szCs w:val="24"/>
          <w:highlight w:val="none"/>
        </w:rPr>
        <w:t>第</w:t>
      </w:r>
      <w:r>
        <w:rPr>
          <w:rFonts w:ascii="仿宋" w:hAnsi="仿宋" w:eastAsia="仿宋" w:cs="仿宋"/>
          <w:color w:val="auto"/>
          <w:spacing w:val="80"/>
          <w:sz w:val="24"/>
          <w:szCs w:val="24"/>
          <w:highlight w:val="none"/>
        </w:rPr>
        <w:t xml:space="preserve"> </w:t>
      </w:r>
      <w:r>
        <w:rPr>
          <w:rFonts w:ascii="仿宋" w:hAnsi="仿宋" w:eastAsia="仿宋" w:cs="仿宋"/>
          <w:color w:val="auto"/>
          <w:spacing w:val="2"/>
          <w:sz w:val="24"/>
          <w:szCs w:val="24"/>
          <w:highlight w:val="none"/>
        </w:rPr>
        <w:t>三条第三项的规定和执行统一价格标准的项目，其价格</w:t>
      </w:r>
      <w:r>
        <w:rPr>
          <w:rFonts w:ascii="仿宋" w:hAnsi="仿宋" w:eastAsia="仿宋" w:cs="仿宋"/>
          <w:color w:val="auto"/>
          <w:spacing w:val="1"/>
          <w:sz w:val="24"/>
          <w:szCs w:val="24"/>
          <w:highlight w:val="none"/>
        </w:rPr>
        <w:t>不列为评分因素</w:t>
      </w:r>
      <w:r>
        <w:rPr>
          <w:rFonts w:ascii="仿宋" w:hAnsi="仿宋" w:eastAsia="仿宋" w:cs="仿宋"/>
          <w:color w:val="auto"/>
          <w:sz w:val="24"/>
          <w:szCs w:val="24"/>
          <w:highlight w:val="none"/>
        </w:rPr>
        <w:t xml:space="preserve"> </w:t>
      </w:r>
      <w:r>
        <w:rPr>
          <w:rFonts w:ascii="仿宋" w:hAnsi="仿宋" w:eastAsia="仿宋" w:cs="仿宋"/>
          <w:color w:val="auto"/>
          <w:spacing w:val="5"/>
          <w:sz w:val="24"/>
          <w:szCs w:val="24"/>
          <w:highlight w:val="none"/>
        </w:rPr>
        <w:t>。有特殊</w:t>
      </w:r>
      <w:r>
        <w:rPr>
          <w:rFonts w:ascii="仿宋" w:hAnsi="仿宋" w:eastAsia="仿宋" w:cs="仿宋"/>
          <w:color w:val="auto"/>
          <w:spacing w:val="50"/>
          <w:sz w:val="24"/>
          <w:szCs w:val="24"/>
          <w:highlight w:val="none"/>
        </w:rPr>
        <w:t xml:space="preserve"> </w:t>
      </w:r>
      <w:r>
        <w:rPr>
          <w:rFonts w:ascii="仿宋" w:hAnsi="仿宋" w:eastAsia="仿宋" w:cs="仿宋"/>
          <w:color w:val="auto"/>
          <w:spacing w:val="5"/>
          <w:sz w:val="24"/>
          <w:szCs w:val="24"/>
          <w:highlight w:val="none"/>
        </w:rPr>
        <w:t>情况需</w:t>
      </w:r>
      <w:r>
        <w:rPr>
          <w:rFonts w:ascii="仿宋" w:hAnsi="仿宋" w:eastAsia="仿宋" w:cs="仿宋"/>
          <w:color w:val="auto"/>
          <w:spacing w:val="84"/>
          <w:sz w:val="24"/>
          <w:szCs w:val="24"/>
          <w:highlight w:val="none"/>
        </w:rPr>
        <w:t xml:space="preserve"> </w:t>
      </w:r>
      <w:r>
        <w:rPr>
          <w:rFonts w:ascii="仿宋" w:hAnsi="仿宋" w:eastAsia="仿宋" w:cs="仿宋"/>
          <w:color w:val="auto"/>
          <w:spacing w:val="5"/>
          <w:sz w:val="24"/>
          <w:szCs w:val="24"/>
          <w:highlight w:val="none"/>
        </w:rPr>
        <w:t>要在上述规定范围外设定价格分权重的，应当经本级人民政府</w:t>
      </w:r>
      <w:r>
        <w:rPr>
          <w:rFonts w:ascii="仿宋" w:hAnsi="仿宋" w:eastAsia="仿宋" w:cs="仿宋"/>
          <w:color w:val="auto"/>
          <w:spacing w:val="-7"/>
          <w:sz w:val="24"/>
          <w:szCs w:val="24"/>
          <w:highlight w:val="none"/>
        </w:rPr>
        <w:t>财政部门审核</w:t>
      </w:r>
      <w:r>
        <w:rPr>
          <w:rFonts w:ascii="仿宋" w:hAnsi="仿宋" w:eastAsia="仿宋" w:cs="仿宋"/>
          <w:color w:val="auto"/>
          <w:spacing w:val="48"/>
          <w:sz w:val="24"/>
          <w:szCs w:val="24"/>
          <w:highlight w:val="none"/>
        </w:rPr>
        <w:t xml:space="preserve"> </w:t>
      </w:r>
      <w:r>
        <w:rPr>
          <w:rFonts w:ascii="仿宋" w:hAnsi="仿宋" w:eastAsia="仿宋" w:cs="仿宋"/>
          <w:color w:val="auto"/>
          <w:spacing w:val="-7"/>
          <w:sz w:val="24"/>
          <w:szCs w:val="24"/>
          <w:highlight w:val="none"/>
        </w:rPr>
        <w:t>同意。</w:t>
      </w:r>
    </w:p>
    <w:p w14:paraId="0F0E7964">
      <w:pPr>
        <w:spacing w:before="260" w:line="224" w:lineRule="auto"/>
        <w:ind w:left="697"/>
        <w:outlineLvl w:val="1"/>
        <w:rPr>
          <w:rFonts w:ascii="楷体" w:hAnsi="楷体" w:eastAsia="楷体" w:cs="楷体"/>
          <w:color w:val="auto"/>
          <w:sz w:val="28"/>
          <w:szCs w:val="28"/>
          <w:highlight w:val="none"/>
        </w:rPr>
      </w:pPr>
      <w:r>
        <w:rPr>
          <w:rFonts w:ascii="楷体" w:hAnsi="楷体" w:eastAsia="楷体" w:cs="楷体"/>
          <w:color w:val="auto"/>
          <w:spacing w:val="-4"/>
          <w:sz w:val="28"/>
          <w:szCs w:val="28"/>
          <w:highlight w:val="none"/>
        </w:rPr>
        <w:t>2.评分标准</w:t>
      </w:r>
    </w:p>
    <w:p w14:paraId="0616242E">
      <w:pPr>
        <w:spacing w:line="227" w:lineRule="exact"/>
        <w:rPr>
          <w:color w:val="auto"/>
          <w:highlight w:val="none"/>
        </w:rPr>
      </w:pPr>
    </w:p>
    <w:tbl>
      <w:tblPr>
        <w:tblStyle w:val="11"/>
        <w:tblW w:w="91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5"/>
        <w:gridCol w:w="1649"/>
        <w:gridCol w:w="6379"/>
      </w:tblGrid>
      <w:tr w14:paraId="043D9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2804" w:type="dxa"/>
            <w:gridSpan w:val="2"/>
            <w:vAlign w:val="top"/>
          </w:tcPr>
          <w:p w14:paraId="416F7A18">
            <w:pPr>
              <w:pStyle w:val="12"/>
              <w:spacing w:before="219" w:line="218" w:lineRule="auto"/>
              <w:ind w:left="1107"/>
              <w:rPr>
                <w:color w:val="auto"/>
                <w:highlight w:val="none"/>
              </w:rPr>
            </w:pPr>
            <w:r>
              <w:rPr>
                <w:b/>
                <w:bCs/>
                <w:color w:val="auto"/>
                <w:spacing w:val="-13"/>
                <w:highlight w:val="none"/>
              </w:rPr>
              <w:t>条款号</w:t>
            </w:r>
          </w:p>
        </w:tc>
        <w:tc>
          <w:tcPr>
            <w:tcW w:w="6379" w:type="dxa"/>
            <w:vAlign w:val="top"/>
          </w:tcPr>
          <w:p w14:paraId="6362349F">
            <w:pPr>
              <w:pStyle w:val="12"/>
              <w:spacing w:before="219" w:line="218" w:lineRule="auto"/>
              <w:ind w:left="2785"/>
              <w:rPr>
                <w:color w:val="auto"/>
                <w:highlight w:val="none"/>
              </w:rPr>
            </w:pPr>
            <w:r>
              <w:rPr>
                <w:b/>
                <w:bCs/>
                <w:color w:val="auto"/>
                <w:spacing w:val="-12"/>
                <w:highlight w:val="none"/>
              </w:rPr>
              <w:t>评审标准</w:t>
            </w:r>
          </w:p>
        </w:tc>
      </w:tr>
      <w:tr w14:paraId="5B592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55" w:type="dxa"/>
            <w:vMerge w:val="restart"/>
            <w:tcBorders>
              <w:bottom w:val="nil"/>
            </w:tcBorders>
            <w:vAlign w:val="top"/>
          </w:tcPr>
          <w:p w14:paraId="4B1937CF">
            <w:pPr>
              <w:spacing w:line="248" w:lineRule="auto"/>
              <w:rPr>
                <w:rFonts w:ascii="Arial"/>
                <w:color w:val="auto"/>
                <w:sz w:val="21"/>
                <w:highlight w:val="none"/>
              </w:rPr>
            </w:pPr>
          </w:p>
          <w:p w14:paraId="259DB0A9">
            <w:pPr>
              <w:spacing w:line="248" w:lineRule="auto"/>
              <w:rPr>
                <w:rFonts w:ascii="Arial"/>
                <w:color w:val="auto"/>
                <w:sz w:val="21"/>
                <w:highlight w:val="none"/>
              </w:rPr>
            </w:pPr>
          </w:p>
          <w:p w14:paraId="16909CF2">
            <w:pPr>
              <w:spacing w:line="248" w:lineRule="auto"/>
              <w:rPr>
                <w:rFonts w:ascii="Arial"/>
                <w:color w:val="auto"/>
                <w:sz w:val="21"/>
                <w:highlight w:val="none"/>
              </w:rPr>
            </w:pPr>
          </w:p>
          <w:p w14:paraId="567FB13E">
            <w:pPr>
              <w:spacing w:line="248" w:lineRule="auto"/>
              <w:rPr>
                <w:rFonts w:ascii="Arial"/>
                <w:color w:val="auto"/>
                <w:sz w:val="21"/>
                <w:highlight w:val="none"/>
              </w:rPr>
            </w:pPr>
          </w:p>
          <w:p w14:paraId="08E12676">
            <w:pPr>
              <w:spacing w:line="248" w:lineRule="auto"/>
              <w:rPr>
                <w:rFonts w:ascii="Arial"/>
                <w:color w:val="auto"/>
                <w:sz w:val="21"/>
                <w:highlight w:val="none"/>
              </w:rPr>
            </w:pPr>
          </w:p>
          <w:p w14:paraId="7C01CA49">
            <w:pPr>
              <w:spacing w:line="248" w:lineRule="auto"/>
              <w:rPr>
                <w:rFonts w:ascii="Arial"/>
                <w:color w:val="auto"/>
                <w:sz w:val="21"/>
                <w:highlight w:val="none"/>
              </w:rPr>
            </w:pPr>
          </w:p>
          <w:p w14:paraId="641C3A2D">
            <w:pPr>
              <w:spacing w:line="248" w:lineRule="auto"/>
              <w:rPr>
                <w:rFonts w:ascii="Arial"/>
                <w:color w:val="auto"/>
                <w:sz w:val="21"/>
                <w:highlight w:val="none"/>
              </w:rPr>
            </w:pPr>
          </w:p>
          <w:p w14:paraId="190C6A35">
            <w:pPr>
              <w:spacing w:line="249" w:lineRule="auto"/>
              <w:rPr>
                <w:rFonts w:ascii="Arial"/>
                <w:color w:val="auto"/>
                <w:sz w:val="21"/>
                <w:highlight w:val="none"/>
              </w:rPr>
            </w:pPr>
          </w:p>
          <w:p w14:paraId="6D7FB108">
            <w:pPr>
              <w:spacing w:line="249" w:lineRule="auto"/>
              <w:rPr>
                <w:rFonts w:ascii="Arial"/>
                <w:color w:val="auto"/>
                <w:sz w:val="21"/>
                <w:highlight w:val="none"/>
              </w:rPr>
            </w:pPr>
          </w:p>
          <w:p w14:paraId="1F0DFC70">
            <w:pPr>
              <w:spacing w:line="249" w:lineRule="auto"/>
              <w:rPr>
                <w:rFonts w:ascii="Arial"/>
                <w:color w:val="auto"/>
                <w:sz w:val="21"/>
                <w:highlight w:val="none"/>
              </w:rPr>
            </w:pPr>
          </w:p>
          <w:p w14:paraId="46F66170">
            <w:pPr>
              <w:spacing w:line="249" w:lineRule="auto"/>
              <w:rPr>
                <w:rFonts w:ascii="Arial"/>
                <w:color w:val="auto"/>
                <w:sz w:val="21"/>
                <w:highlight w:val="none"/>
              </w:rPr>
            </w:pPr>
          </w:p>
          <w:p w14:paraId="0C6484F2">
            <w:pPr>
              <w:pStyle w:val="12"/>
              <w:spacing w:before="78"/>
              <w:ind w:left="306"/>
              <w:rPr>
                <w:color w:val="auto"/>
                <w:highlight w:val="none"/>
              </w:rPr>
            </w:pPr>
            <w:r>
              <w:rPr>
                <w:color w:val="auto"/>
                <w:spacing w:val="-3"/>
                <w:highlight w:val="none"/>
              </w:rPr>
              <w:t>4.1.1</w:t>
            </w:r>
          </w:p>
        </w:tc>
        <w:tc>
          <w:tcPr>
            <w:tcW w:w="1649" w:type="dxa"/>
            <w:vMerge w:val="restart"/>
            <w:tcBorders>
              <w:bottom w:val="nil"/>
            </w:tcBorders>
            <w:vAlign w:val="top"/>
          </w:tcPr>
          <w:p w14:paraId="50ECC182">
            <w:pPr>
              <w:spacing w:line="242" w:lineRule="auto"/>
              <w:rPr>
                <w:rFonts w:ascii="Arial"/>
                <w:color w:val="auto"/>
                <w:sz w:val="21"/>
                <w:highlight w:val="none"/>
              </w:rPr>
            </w:pPr>
          </w:p>
          <w:p w14:paraId="38FF48BB">
            <w:pPr>
              <w:spacing w:line="242" w:lineRule="auto"/>
              <w:rPr>
                <w:rFonts w:ascii="Arial"/>
                <w:color w:val="auto"/>
                <w:sz w:val="21"/>
                <w:highlight w:val="none"/>
              </w:rPr>
            </w:pPr>
          </w:p>
          <w:p w14:paraId="1A555E90">
            <w:pPr>
              <w:spacing w:line="242" w:lineRule="auto"/>
              <w:rPr>
                <w:rFonts w:ascii="Arial"/>
                <w:color w:val="auto"/>
                <w:sz w:val="21"/>
                <w:highlight w:val="none"/>
              </w:rPr>
            </w:pPr>
          </w:p>
          <w:p w14:paraId="2D6E0ED5">
            <w:pPr>
              <w:spacing w:line="242" w:lineRule="auto"/>
              <w:rPr>
                <w:rFonts w:ascii="Arial"/>
                <w:color w:val="auto"/>
                <w:sz w:val="21"/>
                <w:highlight w:val="none"/>
              </w:rPr>
            </w:pPr>
          </w:p>
          <w:p w14:paraId="11B0A642">
            <w:pPr>
              <w:spacing w:line="242" w:lineRule="auto"/>
              <w:rPr>
                <w:rFonts w:ascii="Arial"/>
                <w:color w:val="auto"/>
                <w:sz w:val="21"/>
                <w:highlight w:val="none"/>
              </w:rPr>
            </w:pPr>
          </w:p>
          <w:p w14:paraId="4BF260E8">
            <w:pPr>
              <w:spacing w:line="242" w:lineRule="auto"/>
              <w:rPr>
                <w:rFonts w:ascii="Arial"/>
                <w:color w:val="auto"/>
                <w:sz w:val="21"/>
                <w:highlight w:val="none"/>
              </w:rPr>
            </w:pPr>
          </w:p>
          <w:p w14:paraId="3E5482F2">
            <w:pPr>
              <w:spacing w:line="242" w:lineRule="auto"/>
              <w:rPr>
                <w:rFonts w:ascii="Arial"/>
                <w:color w:val="auto"/>
                <w:sz w:val="21"/>
                <w:highlight w:val="none"/>
              </w:rPr>
            </w:pPr>
          </w:p>
          <w:p w14:paraId="48C53971">
            <w:pPr>
              <w:spacing w:line="242" w:lineRule="auto"/>
              <w:rPr>
                <w:rFonts w:ascii="Arial"/>
                <w:color w:val="auto"/>
                <w:sz w:val="21"/>
                <w:highlight w:val="none"/>
              </w:rPr>
            </w:pPr>
          </w:p>
          <w:p w14:paraId="06E2D27B">
            <w:pPr>
              <w:spacing w:line="242" w:lineRule="auto"/>
              <w:rPr>
                <w:rFonts w:ascii="Arial"/>
                <w:color w:val="auto"/>
                <w:sz w:val="21"/>
                <w:highlight w:val="none"/>
              </w:rPr>
            </w:pPr>
          </w:p>
          <w:p w14:paraId="5DABC67C">
            <w:pPr>
              <w:pStyle w:val="12"/>
              <w:spacing w:before="78" w:line="220" w:lineRule="auto"/>
              <w:ind w:left="293"/>
              <w:rPr>
                <w:color w:val="auto"/>
                <w:highlight w:val="none"/>
              </w:rPr>
            </w:pPr>
            <w:r>
              <w:rPr>
                <w:color w:val="auto"/>
                <w:spacing w:val="-11"/>
                <w:highlight w:val="none"/>
              </w:rPr>
              <w:t>资格性审查</w:t>
            </w:r>
          </w:p>
        </w:tc>
        <w:tc>
          <w:tcPr>
            <w:tcW w:w="6379" w:type="dxa"/>
            <w:vAlign w:val="top"/>
          </w:tcPr>
          <w:p w14:paraId="2A2F893E">
            <w:pPr>
              <w:pStyle w:val="12"/>
              <w:spacing w:before="114" w:line="220" w:lineRule="auto"/>
              <w:ind w:left="153"/>
              <w:rPr>
                <w:color w:val="auto"/>
                <w:highlight w:val="none"/>
              </w:rPr>
            </w:pPr>
            <w:r>
              <w:rPr>
                <w:color w:val="auto"/>
                <w:spacing w:val="-5"/>
                <w:highlight w:val="none"/>
              </w:rPr>
              <w:t>提供有效营业执照；</w:t>
            </w:r>
          </w:p>
        </w:tc>
      </w:tr>
      <w:tr w14:paraId="596FF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1155" w:type="dxa"/>
            <w:vMerge w:val="continue"/>
            <w:tcBorders>
              <w:top w:val="nil"/>
              <w:bottom w:val="nil"/>
            </w:tcBorders>
            <w:vAlign w:val="top"/>
          </w:tcPr>
          <w:p w14:paraId="7F9EE5B2">
            <w:pPr>
              <w:rPr>
                <w:rFonts w:ascii="Arial"/>
                <w:color w:val="auto"/>
                <w:sz w:val="21"/>
                <w:highlight w:val="none"/>
              </w:rPr>
            </w:pPr>
          </w:p>
        </w:tc>
        <w:tc>
          <w:tcPr>
            <w:tcW w:w="1649" w:type="dxa"/>
            <w:vMerge w:val="continue"/>
            <w:tcBorders>
              <w:top w:val="nil"/>
              <w:bottom w:val="nil"/>
            </w:tcBorders>
            <w:vAlign w:val="top"/>
          </w:tcPr>
          <w:p w14:paraId="1303B25C">
            <w:pPr>
              <w:rPr>
                <w:rFonts w:ascii="Arial"/>
                <w:color w:val="auto"/>
                <w:sz w:val="21"/>
                <w:highlight w:val="none"/>
              </w:rPr>
            </w:pPr>
          </w:p>
        </w:tc>
        <w:tc>
          <w:tcPr>
            <w:tcW w:w="6379" w:type="dxa"/>
            <w:vAlign w:val="top"/>
          </w:tcPr>
          <w:p w14:paraId="4DAED8CC">
            <w:pPr>
              <w:pStyle w:val="12"/>
              <w:spacing w:before="150" w:line="250" w:lineRule="auto"/>
              <w:ind w:left="153" w:right="476" w:firstLine="7"/>
              <w:jc w:val="both"/>
              <w:rPr>
                <w:color w:val="auto"/>
                <w:highlight w:val="none"/>
              </w:rPr>
            </w:pPr>
            <w:r>
              <w:rPr>
                <w:color w:val="auto"/>
                <w:spacing w:val="-1"/>
                <w:highlight w:val="none"/>
              </w:rPr>
              <w:t>法定代表人投标需附法定代表人身份证明及加盖公章的身份证复印件；被授权人投标需附授权人本人加盖公章的身份证复印件、法定代表人身份证明、授权委托书；</w:t>
            </w:r>
          </w:p>
        </w:tc>
      </w:tr>
      <w:tr w14:paraId="3267B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2" w:hRule="atLeast"/>
        </w:trPr>
        <w:tc>
          <w:tcPr>
            <w:tcW w:w="1155" w:type="dxa"/>
            <w:vMerge w:val="continue"/>
            <w:tcBorders>
              <w:top w:val="nil"/>
              <w:bottom w:val="nil"/>
            </w:tcBorders>
            <w:vAlign w:val="top"/>
          </w:tcPr>
          <w:p w14:paraId="2740EEA1">
            <w:pPr>
              <w:rPr>
                <w:rFonts w:ascii="Arial"/>
                <w:color w:val="auto"/>
                <w:sz w:val="21"/>
                <w:highlight w:val="none"/>
              </w:rPr>
            </w:pPr>
          </w:p>
        </w:tc>
        <w:tc>
          <w:tcPr>
            <w:tcW w:w="1649" w:type="dxa"/>
            <w:vMerge w:val="continue"/>
            <w:tcBorders>
              <w:top w:val="nil"/>
              <w:bottom w:val="nil"/>
            </w:tcBorders>
            <w:vAlign w:val="top"/>
          </w:tcPr>
          <w:p w14:paraId="1FE12F00">
            <w:pPr>
              <w:rPr>
                <w:rFonts w:ascii="Arial"/>
                <w:color w:val="auto"/>
                <w:sz w:val="21"/>
                <w:highlight w:val="none"/>
              </w:rPr>
            </w:pPr>
          </w:p>
        </w:tc>
        <w:tc>
          <w:tcPr>
            <w:tcW w:w="6379" w:type="dxa"/>
            <w:vAlign w:val="top"/>
          </w:tcPr>
          <w:p w14:paraId="78D0AEEF">
            <w:pPr>
              <w:pStyle w:val="12"/>
              <w:spacing w:before="135" w:line="222" w:lineRule="auto"/>
              <w:ind w:left="151" w:right="238"/>
              <w:jc w:val="both"/>
              <w:rPr>
                <w:color w:val="auto"/>
                <w:highlight w:val="none"/>
              </w:rPr>
            </w:pPr>
            <w:r>
              <w:rPr>
                <w:color w:val="auto"/>
                <w:spacing w:val="-1"/>
                <w:highlight w:val="none"/>
              </w:rPr>
              <w:t>供应商为法人或其他组织，提供2023、2024、2025年度中任一年度经审计财务报告（成立不足一年的提供成立至今的财务报表，包含资产负债表、现金流量表、利润表）。</w:t>
            </w:r>
          </w:p>
        </w:tc>
      </w:tr>
      <w:tr w14:paraId="7727E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55" w:type="dxa"/>
            <w:vMerge w:val="continue"/>
            <w:tcBorders>
              <w:top w:val="nil"/>
              <w:bottom w:val="nil"/>
            </w:tcBorders>
            <w:vAlign w:val="top"/>
          </w:tcPr>
          <w:p w14:paraId="51023714">
            <w:pPr>
              <w:rPr>
                <w:rFonts w:ascii="Arial"/>
                <w:color w:val="auto"/>
                <w:sz w:val="21"/>
                <w:highlight w:val="none"/>
              </w:rPr>
            </w:pPr>
          </w:p>
        </w:tc>
        <w:tc>
          <w:tcPr>
            <w:tcW w:w="1649" w:type="dxa"/>
            <w:vMerge w:val="continue"/>
            <w:tcBorders>
              <w:top w:val="nil"/>
              <w:bottom w:val="nil"/>
            </w:tcBorders>
            <w:vAlign w:val="top"/>
          </w:tcPr>
          <w:p w14:paraId="68998EF5">
            <w:pPr>
              <w:rPr>
                <w:rFonts w:ascii="Arial"/>
                <w:color w:val="auto"/>
                <w:sz w:val="21"/>
                <w:highlight w:val="none"/>
              </w:rPr>
            </w:pPr>
          </w:p>
        </w:tc>
        <w:tc>
          <w:tcPr>
            <w:tcW w:w="6379" w:type="dxa"/>
            <w:vAlign w:val="top"/>
          </w:tcPr>
          <w:p w14:paraId="6118A7AC">
            <w:pPr>
              <w:pStyle w:val="12"/>
              <w:spacing w:before="139" w:line="210" w:lineRule="auto"/>
              <w:ind w:left="150" w:firstLine="2"/>
              <w:rPr>
                <w:color w:val="auto"/>
                <w:highlight w:val="none"/>
              </w:rPr>
            </w:pPr>
            <w:r>
              <w:rPr>
                <w:color w:val="auto"/>
                <w:spacing w:val="-1"/>
                <w:highlight w:val="none"/>
              </w:rPr>
              <w:t>提供具有履行合同所必需的设备和专业技术能力书面声明并</w:t>
            </w:r>
            <w:r>
              <w:rPr>
                <w:color w:val="auto"/>
                <w:spacing w:val="-4"/>
                <w:highlight w:val="none"/>
              </w:rPr>
              <w:t>加盖公章</w:t>
            </w:r>
          </w:p>
        </w:tc>
      </w:tr>
      <w:tr w14:paraId="45EB7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1155" w:type="dxa"/>
            <w:vMerge w:val="continue"/>
            <w:tcBorders>
              <w:top w:val="nil"/>
              <w:bottom w:val="nil"/>
            </w:tcBorders>
            <w:vAlign w:val="top"/>
          </w:tcPr>
          <w:p w14:paraId="6AF4FD31">
            <w:pPr>
              <w:rPr>
                <w:rFonts w:ascii="Arial"/>
                <w:color w:val="auto"/>
                <w:sz w:val="21"/>
                <w:highlight w:val="none"/>
              </w:rPr>
            </w:pPr>
          </w:p>
        </w:tc>
        <w:tc>
          <w:tcPr>
            <w:tcW w:w="1649" w:type="dxa"/>
            <w:vMerge w:val="continue"/>
            <w:tcBorders>
              <w:top w:val="nil"/>
              <w:bottom w:val="nil"/>
            </w:tcBorders>
            <w:vAlign w:val="top"/>
          </w:tcPr>
          <w:p w14:paraId="5AC3DADE">
            <w:pPr>
              <w:rPr>
                <w:rFonts w:ascii="Arial"/>
                <w:color w:val="auto"/>
                <w:sz w:val="21"/>
                <w:highlight w:val="none"/>
              </w:rPr>
            </w:pPr>
          </w:p>
        </w:tc>
        <w:tc>
          <w:tcPr>
            <w:tcW w:w="6379" w:type="dxa"/>
            <w:vAlign w:val="top"/>
          </w:tcPr>
          <w:p w14:paraId="005543D9">
            <w:pPr>
              <w:pStyle w:val="12"/>
              <w:spacing w:before="141" w:line="215" w:lineRule="auto"/>
              <w:ind w:left="151" w:firstLine="1"/>
              <w:jc w:val="both"/>
              <w:rPr>
                <w:color w:val="auto"/>
                <w:highlight w:val="none"/>
              </w:rPr>
            </w:pPr>
            <w:r>
              <w:rPr>
                <w:color w:val="auto"/>
                <w:spacing w:val="-1"/>
                <w:highlight w:val="none"/>
              </w:rPr>
              <w:t>提供税务部门出具近三个月依法缴纳税收的完税证明（需含增值税或印花税等税种；如无需缴税需提供税务机关出具的</w:t>
            </w:r>
            <w:r>
              <w:rPr>
                <w:color w:val="auto"/>
                <w:spacing w:val="-2"/>
                <w:highlight w:val="none"/>
              </w:rPr>
              <w:t>无欠税证明</w:t>
            </w:r>
            <w:r>
              <w:rPr>
                <w:color w:val="auto"/>
                <w:spacing w:val="14"/>
                <w:highlight w:val="none"/>
              </w:rPr>
              <w:t>），</w:t>
            </w:r>
            <w:r>
              <w:rPr>
                <w:color w:val="auto"/>
                <w:spacing w:val="-2"/>
                <w:highlight w:val="none"/>
              </w:rPr>
              <w:t>新成立公司按实际发生提供税务机关出具的</w:t>
            </w:r>
            <w:r>
              <w:rPr>
                <w:color w:val="auto"/>
                <w:spacing w:val="-3"/>
                <w:highlight w:val="none"/>
              </w:rPr>
              <w:t>无欠税证明；</w:t>
            </w:r>
          </w:p>
        </w:tc>
      </w:tr>
      <w:tr w14:paraId="5D2A1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55" w:type="dxa"/>
            <w:vMerge w:val="continue"/>
            <w:tcBorders>
              <w:top w:val="nil"/>
              <w:bottom w:val="nil"/>
            </w:tcBorders>
            <w:vAlign w:val="top"/>
          </w:tcPr>
          <w:p w14:paraId="2F27F17B">
            <w:pPr>
              <w:rPr>
                <w:rFonts w:ascii="Arial"/>
                <w:color w:val="auto"/>
                <w:sz w:val="21"/>
                <w:highlight w:val="none"/>
              </w:rPr>
            </w:pPr>
          </w:p>
        </w:tc>
        <w:tc>
          <w:tcPr>
            <w:tcW w:w="1649" w:type="dxa"/>
            <w:vMerge w:val="continue"/>
            <w:tcBorders>
              <w:top w:val="nil"/>
              <w:bottom w:val="nil"/>
            </w:tcBorders>
            <w:vAlign w:val="top"/>
          </w:tcPr>
          <w:p w14:paraId="7CE2CDE4">
            <w:pPr>
              <w:rPr>
                <w:rFonts w:ascii="Arial"/>
                <w:color w:val="auto"/>
                <w:sz w:val="21"/>
                <w:highlight w:val="none"/>
              </w:rPr>
            </w:pPr>
          </w:p>
        </w:tc>
        <w:tc>
          <w:tcPr>
            <w:tcW w:w="6379" w:type="dxa"/>
            <w:vAlign w:val="top"/>
          </w:tcPr>
          <w:p w14:paraId="7DBBF150">
            <w:pPr>
              <w:pStyle w:val="12"/>
              <w:spacing w:before="127" w:line="210" w:lineRule="auto"/>
              <w:ind w:left="152" w:right="49"/>
              <w:rPr>
                <w:color w:val="auto"/>
                <w:highlight w:val="none"/>
              </w:rPr>
            </w:pPr>
            <w:r>
              <w:rPr>
                <w:color w:val="auto"/>
                <w:spacing w:val="-3"/>
                <w:highlight w:val="none"/>
              </w:rPr>
              <w:t>提供近三个月的社保证明（法人代表或其委托代理人的社保</w:t>
            </w:r>
            <w:r>
              <w:rPr>
                <w:color w:val="auto"/>
                <w:spacing w:val="-4"/>
                <w:highlight w:val="none"/>
              </w:rPr>
              <w:t>缴纳明细，退休人员需提供退休证明</w:t>
            </w:r>
            <w:r>
              <w:rPr>
                <w:color w:val="auto"/>
                <w:spacing w:val="7"/>
                <w:highlight w:val="none"/>
              </w:rPr>
              <w:t>）；</w:t>
            </w:r>
          </w:p>
        </w:tc>
      </w:tr>
      <w:tr w14:paraId="60C8B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155" w:type="dxa"/>
            <w:vMerge w:val="continue"/>
            <w:tcBorders>
              <w:top w:val="nil"/>
            </w:tcBorders>
            <w:vAlign w:val="top"/>
          </w:tcPr>
          <w:p w14:paraId="4D73FEDC">
            <w:pPr>
              <w:rPr>
                <w:rFonts w:ascii="Arial"/>
                <w:color w:val="auto"/>
                <w:sz w:val="21"/>
                <w:highlight w:val="none"/>
              </w:rPr>
            </w:pPr>
          </w:p>
        </w:tc>
        <w:tc>
          <w:tcPr>
            <w:tcW w:w="1649" w:type="dxa"/>
            <w:vMerge w:val="continue"/>
            <w:tcBorders>
              <w:top w:val="nil"/>
            </w:tcBorders>
            <w:vAlign w:val="top"/>
          </w:tcPr>
          <w:p w14:paraId="43493D5E">
            <w:pPr>
              <w:rPr>
                <w:rFonts w:ascii="Arial"/>
                <w:color w:val="auto"/>
                <w:sz w:val="21"/>
                <w:highlight w:val="none"/>
              </w:rPr>
            </w:pPr>
          </w:p>
        </w:tc>
        <w:tc>
          <w:tcPr>
            <w:tcW w:w="6379" w:type="dxa"/>
            <w:vAlign w:val="top"/>
          </w:tcPr>
          <w:p w14:paraId="785FEE94">
            <w:pPr>
              <w:pStyle w:val="12"/>
              <w:spacing w:before="126" w:line="212" w:lineRule="auto"/>
              <w:ind w:left="154" w:right="5" w:hanging="6"/>
              <w:rPr>
                <w:color w:val="auto"/>
                <w:highlight w:val="none"/>
              </w:rPr>
            </w:pPr>
            <w:r>
              <w:rPr>
                <w:color w:val="auto"/>
                <w:spacing w:val="-1"/>
                <w:highlight w:val="none"/>
              </w:rPr>
              <w:t>提供政府采购活动前三年内，在经营活动中没有重大违法记</w:t>
            </w:r>
            <w:r>
              <w:rPr>
                <w:color w:val="auto"/>
                <w:spacing w:val="-4"/>
                <w:highlight w:val="none"/>
              </w:rPr>
              <w:t>录提供书面声明</w:t>
            </w:r>
          </w:p>
        </w:tc>
      </w:tr>
    </w:tbl>
    <w:p w14:paraId="5E25DFCE">
      <w:pPr>
        <w:pStyle w:val="3"/>
        <w:spacing w:line="194" w:lineRule="exact"/>
        <w:rPr>
          <w:color w:val="auto"/>
          <w:sz w:val="16"/>
          <w:highlight w:val="none"/>
        </w:rPr>
      </w:pPr>
    </w:p>
    <w:p w14:paraId="57BC3C02">
      <w:pPr>
        <w:spacing w:line="194" w:lineRule="exact"/>
        <w:rPr>
          <w:color w:val="auto"/>
          <w:sz w:val="16"/>
          <w:szCs w:val="16"/>
          <w:highlight w:val="none"/>
        </w:rPr>
        <w:sectPr>
          <w:footerReference r:id="rId29" w:type="default"/>
          <w:pgSz w:w="11906" w:h="16840"/>
          <w:pgMar w:top="1386" w:right="1269" w:bottom="1174" w:left="1447" w:header="0" w:footer="928" w:gutter="0"/>
          <w:pgNumType w:fmt="decimal"/>
          <w:cols w:space="720" w:num="1"/>
        </w:sectPr>
      </w:pPr>
    </w:p>
    <w:tbl>
      <w:tblPr>
        <w:tblStyle w:val="11"/>
        <w:tblW w:w="91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649"/>
        <w:gridCol w:w="1147"/>
        <w:gridCol w:w="5231"/>
      </w:tblGrid>
      <w:tr w14:paraId="1FB99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156" w:type="dxa"/>
            <w:vMerge w:val="restart"/>
            <w:tcBorders>
              <w:bottom w:val="nil"/>
            </w:tcBorders>
            <w:vAlign w:val="top"/>
          </w:tcPr>
          <w:p w14:paraId="2407211D">
            <w:pPr>
              <w:rPr>
                <w:rFonts w:ascii="Arial"/>
                <w:color w:val="auto"/>
                <w:sz w:val="21"/>
                <w:highlight w:val="none"/>
              </w:rPr>
            </w:pPr>
          </w:p>
        </w:tc>
        <w:tc>
          <w:tcPr>
            <w:tcW w:w="1649" w:type="dxa"/>
            <w:vMerge w:val="restart"/>
            <w:tcBorders>
              <w:bottom w:val="nil"/>
            </w:tcBorders>
            <w:vAlign w:val="top"/>
          </w:tcPr>
          <w:p w14:paraId="039AD8F3">
            <w:pPr>
              <w:rPr>
                <w:rFonts w:ascii="Arial"/>
                <w:color w:val="auto"/>
                <w:sz w:val="21"/>
                <w:highlight w:val="none"/>
              </w:rPr>
            </w:pPr>
          </w:p>
        </w:tc>
        <w:tc>
          <w:tcPr>
            <w:tcW w:w="6378" w:type="dxa"/>
            <w:gridSpan w:val="2"/>
            <w:vAlign w:val="top"/>
          </w:tcPr>
          <w:p w14:paraId="17872919">
            <w:pPr>
              <w:pStyle w:val="12"/>
              <w:spacing w:before="131" w:line="222" w:lineRule="auto"/>
              <w:ind w:left="152"/>
              <w:rPr>
                <w:color w:val="auto"/>
                <w:highlight w:val="none"/>
              </w:rPr>
            </w:pPr>
            <w:r>
              <w:rPr>
                <w:color w:val="auto"/>
                <w:spacing w:val="-4"/>
                <w:highlight w:val="none"/>
              </w:rPr>
              <w:t>提供《中小企业声明函》</w:t>
            </w:r>
          </w:p>
        </w:tc>
      </w:tr>
      <w:tr w14:paraId="0855D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5" w:hRule="atLeast"/>
        </w:trPr>
        <w:tc>
          <w:tcPr>
            <w:tcW w:w="1156" w:type="dxa"/>
            <w:vMerge w:val="continue"/>
            <w:tcBorders>
              <w:top w:val="nil"/>
              <w:bottom w:val="nil"/>
            </w:tcBorders>
            <w:vAlign w:val="top"/>
          </w:tcPr>
          <w:p w14:paraId="1C2B2368">
            <w:pPr>
              <w:rPr>
                <w:rFonts w:ascii="Arial"/>
                <w:color w:val="auto"/>
                <w:sz w:val="21"/>
                <w:highlight w:val="none"/>
              </w:rPr>
            </w:pPr>
          </w:p>
        </w:tc>
        <w:tc>
          <w:tcPr>
            <w:tcW w:w="1649" w:type="dxa"/>
            <w:vMerge w:val="continue"/>
            <w:tcBorders>
              <w:top w:val="nil"/>
              <w:bottom w:val="nil"/>
            </w:tcBorders>
            <w:vAlign w:val="top"/>
          </w:tcPr>
          <w:p w14:paraId="6001DD02">
            <w:pPr>
              <w:rPr>
                <w:rFonts w:ascii="Arial"/>
                <w:color w:val="auto"/>
                <w:sz w:val="21"/>
                <w:highlight w:val="none"/>
              </w:rPr>
            </w:pPr>
          </w:p>
        </w:tc>
        <w:tc>
          <w:tcPr>
            <w:tcW w:w="6378" w:type="dxa"/>
            <w:gridSpan w:val="2"/>
            <w:vAlign w:val="top"/>
          </w:tcPr>
          <w:p w14:paraId="313842E7">
            <w:pPr>
              <w:pStyle w:val="12"/>
              <w:spacing w:before="124" w:line="218" w:lineRule="auto"/>
              <w:ind w:left="150" w:right="49"/>
              <w:rPr>
                <w:color w:val="auto"/>
                <w:highlight w:val="none"/>
              </w:rPr>
            </w:pPr>
            <w:r>
              <w:rPr>
                <w:color w:val="auto"/>
                <w:spacing w:val="-3"/>
                <w:highlight w:val="none"/>
              </w:rPr>
              <w:t>供应商存在“信用中国</w:t>
            </w:r>
            <w:r>
              <w:rPr>
                <w:color w:val="auto"/>
                <w:spacing w:val="30"/>
                <w:highlight w:val="none"/>
              </w:rPr>
              <w:t xml:space="preserve"> </w:t>
            </w:r>
            <w:r>
              <w:rPr>
                <w:color w:val="auto"/>
                <w:spacing w:val="-3"/>
                <w:highlight w:val="none"/>
              </w:rPr>
              <w:t>”网站（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3"/>
                <w:highlight w:val="none"/>
              </w:rPr>
              <w:t>www.credit</w:t>
            </w:r>
            <w:r>
              <w:rPr>
                <w:color w:val="auto"/>
                <w:spacing w:val="-4"/>
                <w:highlight w:val="none"/>
              </w:rPr>
              <w:t>china.gov.cn</w:t>
            </w:r>
            <w:r>
              <w:rPr>
                <w:color w:val="auto"/>
                <w:spacing w:val="-4"/>
                <w:highlight w:val="none"/>
              </w:rPr>
              <w:fldChar w:fldCharType="end"/>
            </w:r>
            <w:r>
              <w:rPr>
                <w:color w:val="auto"/>
                <w:highlight w:val="none"/>
              </w:rPr>
              <w:t xml:space="preserve">  </w:t>
            </w:r>
            <w:r>
              <w:rPr>
                <w:color w:val="auto"/>
                <w:spacing w:val="-2"/>
                <w:highlight w:val="none"/>
              </w:rPr>
              <w:t>) 、中国政府采购网 （</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pacing w:val="-2"/>
                <w:highlight w:val="none"/>
              </w:rPr>
              <w:t>www.ccgp.go</w:t>
            </w:r>
            <w:r>
              <w:rPr>
                <w:color w:val="auto"/>
                <w:spacing w:val="-3"/>
                <w:highlight w:val="none"/>
              </w:rPr>
              <w:t>v.cn</w:t>
            </w:r>
            <w:r>
              <w:rPr>
                <w:color w:val="auto"/>
                <w:spacing w:val="-3"/>
                <w:highlight w:val="none"/>
              </w:rPr>
              <w:fldChar w:fldCharType="end"/>
            </w:r>
            <w:r>
              <w:rPr>
                <w:color w:val="auto"/>
                <w:spacing w:val="-3"/>
                <w:highlight w:val="none"/>
              </w:rPr>
              <w:t>）、国家企业信用</w:t>
            </w:r>
            <w:r>
              <w:rPr>
                <w:color w:val="auto"/>
                <w:spacing w:val="-2"/>
                <w:highlight w:val="none"/>
              </w:rPr>
              <w:t>信息公示系统（</w:t>
            </w:r>
            <w:r>
              <w:rPr>
                <w:color w:val="auto"/>
                <w:highlight w:val="none"/>
              </w:rPr>
              <w:fldChar w:fldCharType="begin"/>
            </w:r>
            <w:r>
              <w:rPr>
                <w:color w:val="auto"/>
                <w:highlight w:val="none"/>
              </w:rPr>
              <w:instrText xml:space="preserve"> HYPERLINK "https://www.gsxt.gov.cn/index.html" </w:instrText>
            </w:r>
            <w:r>
              <w:rPr>
                <w:color w:val="auto"/>
                <w:highlight w:val="none"/>
              </w:rPr>
              <w:fldChar w:fldCharType="separate"/>
            </w:r>
            <w:r>
              <w:rPr>
                <w:color w:val="auto"/>
                <w:spacing w:val="-2"/>
                <w:highlight w:val="none"/>
              </w:rPr>
              <w:t>https://www.gsxt.gov.</w:t>
            </w:r>
            <w:r>
              <w:rPr>
                <w:color w:val="auto"/>
                <w:spacing w:val="-3"/>
                <w:highlight w:val="none"/>
              </w:rPr>
              <w:t>cn/index.html</w:t>
            </w:r>
            <w:r>
              <w:rPr>
                <w:color w:val="auto"/>
                <w:spacing w:val="-3"/>
                <w:highlight w:val="none"/>
              </w:rPr>
              <w:fldChar w:fldCharType="end"/>
            </w:r>
            <w:r>
              <w:rPr>
                <w:color w:val="auto"/>
                <w:spacing w:val="-3"/>
                <w:highlight w:val="none"/>
              </w:rPr>
              <w:t>）被列入失信被执行人、重大税收违法案件当事人名单、政府采购严重违法失信行为记录名单的禁止参与本项目，响应文件</w:t>
            </w:r>
            <w:r>
              <w:rPr>
                <w:color w:val="auto"/>
                <w:spacing w:val="-7"/>
                <w:highlight w:val="none"/>
              </w:rPr>
              <w:t>无效。</w:t>
            </w:r>
          </w:p>
        </w:tc>
      </w:tr>
      <w:tr w14:paraId="2E3FF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2" w:hRule="atLeast"/>
        </w:trPr>
        <w:tc>
          <w:tcPr>
            <w:tcW w:w="1156" w:type="dxa"/>
            <w:vMerge w:val="continue"/>
            <w:tcBorders>
              <w:top w:val="nil"/>
            </w:tcBorders>
            <w:vAlign w:val="top"/>
          </w:tcPr>
          <w:p w14:paraId="7E5AF209">
            <w:pPr>
              <w:rPr>
                <w:rFonts w:ascii="Arial"/>
                <w:color w:val="auto"/>
                <w:sz w:val="21"/>
                <w:highlight w:val="none"/>
              </w:rPr>
            </w:pPr>
          </w:p>
        </w:tc>
        <w:tc>
          <w:tcPr>
            <w:tcW w:w="1649" w:type="dxa"/>
            <w:vMerge w:val="continue"/>
            <w:tcBorders>
              <w:top w:val="nil"/>
            </w:tcBorders>
            <w:vAlign w:val="top"/>
          </w:tcPr>
          <w:p w14:paraId="25D0F7FE">
            <w:pPr>
              <w:rPr>
                <w:rFonts w:ascii="Arial"/>
                <w:color w:val="auto"/>
                <w:sz w:val="21"/>
                <w:highlight w:val="none"/>
              </w:rPr>
            </w:pPr>
          </w:p>
        </w:tc>
        <w:tc>
          <w:tcPr>
            <w:tcW w:w="6378" w:type="dxa"/>
            <w:gridSpan w:val="2"/>
            <w:vAlign w:val="top"/>
          </w:tcPr>
          <w:p w14:paraId="6F4F72A2">
            <w:pPr>
              <w:pStyle w:val="12"/>
              <w:spacing w:before="125" w:line="223" w:lineRule="auto"/>
              <w:ind w:left="148" w:right="49" w:hanging="6"/>
              <w:jc w:val="both"/>
              <w:rPr>
                <w:color w:val="auto"/>
                <w:highlight w:val="none"/>
              </w:rPr>
            </w:pPr>
            <w:r>
              <w:rPr>
                <w:color w:val="auto"/>
                <w:spacing w:val="-3"/>
                <w:highlight w:val="none"/>
              </w:rPr>
              <w:t>①供应商须具备的水利水电工程施工总承包</w:t>
            </w:r>
            <w:r>
              <w:rPr>
                <w:rFonts w:hint="eastAsia"/>
                <w:color w:val="auto"/>
                <w:spacing w:val="-3"/>
                <w:highlight w:val="none"/>
                <w:lang w:val="en-US" w:eastAsia="zh-CN"/>
              </w:rPr>
              <w:t>贰</w:t>
            </w:r>
            <w:r>
              <w:rPr>
                <w:color w:val="auto"/>
                <w:spacing w:val="-3"/>
                <w:highlight w:val="none"/>
              </w:rPr>
              <w:t>级及以上资质</w:t>
            </w:r>
            <w:r>
              <w:rPr>
                <w:color w:val="auto"/>
                <w:spacing w:val="18"/>
                <w:highlight w:val="none"/>
              </w:rPr>
              <w:t xml:space="preserve"> </w:t>
            </w:r>
            <w:r>
              <w:rPr>
                <w:color w:val="auto"/>
                <w:spacing w:val="-3"/>
                <w:highlight w:val="none"/>
              </w:rPr>
              <w:t>；供应商须提供有效的安全生产许可证；在全国水利建设市场监管平台进行主体基本信息登记；要求投标人有类似工程施工业绩，并在人员、设备、资金等方面具有承担本标段施工的能力；②供应商拟派项目经理须具备水利水电工程专业二级及以上注册建造师执业资格，具有有效的水利行业安全生产考核合格证书，且未担任其他在施建设工程项目的项目</w:t>
            </w:r>
            <w:r>
              <w:rPr>
                <w:color w:val="auto"/>
                <w:spacing w:val="-6"/>
                <w:highlight w:val="none"/>
              </w:rPr>
              <w:t>经理。</w:t>
            </w:r>
          </w:p>
        </w:tc>
      </w:tr>
      <w:tr w14:paraId="041F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156" w:type="dxa"/>
            <w:vMerge w:val="restart"/>
            <w:tcBorders>
              <w:bottom w:val="nil"/>
            </w:tcBorders>
            <w:vAlign w:val="top"/>
          </w:tcPr>
          <w:p w14:paraId="12E82439">
            <w:pPr>
              <w:spacing w:line="246" w:lineRule="auto"/>
              <w:rPr>
                <w:rFonts w:ascii="Arial"/>
                <w:color w:val="auto"/>
                <w:sz w:val="21"/>
                <w:highlight w:val="none"/>
              </w:rPr>
            </w:pPr>
          </w:p>
          <w:p w14:paraId="5005639D">
            <w:pPr>
              <w:spacing w:line="246" w:lineRule="auto"/>
              <w:rPr>
                <w:rFonts w:ascii="Arial"/>
                <w:color w:val="auto"/>
                <w:sz w:val="21"/>
                <w:highlight w:val="none"/>
              </w:rPr>
            </w:pPr>
          </w:p>
          <w:p w14:paraId="2CEBFA1E">
            <w:pPr>
              <w:spacing w:line="246" w:lineRule="auto"/>
              <w:rPr>
                <w:rFonts w:ascii="Arial"/>
                <w:color w:val="auto"/>
                <w:sz w:val="21"/>
                <w:highlight w:val="none"/>
              </w:rPr>
            </w:pPr>
          </w:p>
          <w:p w14:paraId="49B33A70">
            <w:pPr>
              <w:spacing w:line="247" w:lineRule="auto"/>
              <w:rPr>
                <w:rFonts w:ascii="Arial"/>
                <w:color w:val="auto"/>
                <w:sz w:val="21"/>
                <w:highlight w:val="none"/>
              </w:rPr>
            </w:pPr>
          </w:p>
          <w:p w14:paraId="112EB72F">
            <w:pPr>
              <w:pStyle w:val="12"/>
              <w:spacing w:before="78"/>
              <w:ind w:left="306"/>
              <w:rPr>
                <w:color w:val="auto"/>
                <w:highlight w:val="none"/>
              </w:rPr>
            </w:pPr>
            <w:r>
              <w:rPr>
                <w:color w:val="auto"/>
                <w:spacing w:val="-3"/>
                <w:highlight w:val="none"/>
              </w:rPr>
              <w:t>4.1.2</w:t>
            </w:r>
          </w:p>
        </w:tc>
        <w:tc>
          <w:tcPr>
            <w:tcW w:w="1649" w:type="dxa"/>
            <w:vMerge w:val="restart"/>
            <w:tcBorders>
              <w:bottom w:val="nil"/>
            </w:tcBorders>
            <w:vAlign w:val="top"/>
          </w:tcPr>
          <w:p w14:paraId="20B1D644">
            <w:pPr>
              <w:spacing w:line="251" w:lineRule="auto"/>
              <w:rPr>
                <w:rFonts w:ascii="Arial"/>
                <w:color w:val="auto"/>
                <w:sz w:val="21"/>
                <w:highlight w:val="none"/>
              </w:rPr>
            </w:pPr>
          </w:p>
          <w:p w14:paraId="5C91F239">
            <w:pPr>
              <w:spacing w:line="251" w:lineRule="auto"/>
              <w:rPr>
                <w:rFonts w:ascii="Arial"/>
                <w:color w:val="auto"/>
                <w:sz w:val="21"/>
                <w:highlight w:val="none"/>
              </w:rPr>
            </w:pPr>
          </w:p>
          <w:p w14:paraId="643DBA13">
            <w:pPr>
              <w:spacing w:line="251" w:lineRule="auto"/>
              <w:rPr>
                <w:rFonts w:ascii="Arial"/>
                <w:color w:val="auto"/>
                <w:sz w:val="21"/>
                <w:highlight w:val="none"/>
              </w:rPr>
            </w:pPr>
          </w:p>
          <w:p w14:paraId="2172019C">
            <w:pPr>
              <w:spacing w:line="251" w:lineRule="auto"/>
              <w:rPr>
                <w:rFonts w:ascii="Arial"/>
                <w:color w:val="auto"/>
                <w:sz w:val="21"/>
                <w:highlight w:val="none"/>
              </w:rPr>
            </w:pPr>
          </w:p>
          <w:p w14:paraId="0B508F52">
            <w:pPr>
              <w:pStyle w:val="12"/>
              <w:spacing w:before="78" w:line="220" w:lineRule="auto"/>
              <w:ind w:left="285"/>
              <w:rPr>
                <w:color w:val="auto"/>
                <w:highlight w:val="none"/>
              </w:rPr>
            </w:pPr>
            <w:r>
              <w:rPr>
                <w:color w:val="auto"/>
                <w:spacing w:val="-10"/>
                <w:highlight w:val="none"/>
              </w:rPr>
              <w:t>符合性审查</w:t>
            </w:r>
          </w:p>
        </w:tc>
        <w:tc>
          <w:tcPr>
            <w:tcW w:w="6378" w:type="dxa"/>
            <w:gridSpan w:val="2"/>
            <w:vAlign w:val="top"/>
          </w:tcPr>
          <w:p w14:paraId="737BDB27">
            <w:pPr>
              <w:pStyle w:val="12"/>
              <w:spacing w:before="121" w:line="218" w:lineRule="auto"/>
              <w:ind w:left="169"/>
              <w:rPr>
                <w:color w:val="auto"/>
                <w:highlight w:val="none"/>
              </w:rPr>
            </w:pPr>
            <w:r>
              <w:rPr>
                <w:color w:val="auto"/>
                <w:spacing w:val="-5"/>
                <w:highlight w:val="none"/>
              </w:rPr>
              <w:t>响应文件格式符合竞争性磋商文件要求</w:t>
            </w:r>
          </w:p>
        </w:tc>
      </w:tr>
      <w:tr w14:paraId="51B8F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56" w:type="dxa"/>
            <w:vMerge w:val="continue"/>
            <w:tcBorders>
              <w:top w:val="nil"/>
              <w:bottom w:val="nil"/>
            </w:tcBorders>
            <w:vAlign w:val="top"/>
          </w:tcPr>
          <w:p w14:paraId="6EF87DB3">
            <w:pPr>
              <w:rPr>
                <w:rFonts w:ascii="Arial"/>
                <w:color w:val="auto"/>
                <w:sz w:val="21"/>
                <w:highlight w:val="none"/>
              </w:rPr>
            </w:pPr>
          </w:p>
        </w:tc>
        <w:tc>
          <w:tcPr>
            <w:tcW w:w="1649" w:type="dxa"/>
            <w:vMerge w:val="continue"/>
            <w:tcBorders>
              <w:top w:val="nil"/>
              <w:bottom w:val="nil"/>
            </w:tcBorders>
            <w:vAlign w:val="top"/>
          </w:tcPr>
          <w:p w14:paraId="1563F147">
            <w:pPr>
              <w:rPr>
                <w:rFonts w:ascii="Arial"/>
                <w:color w:val="auto"/>
                <w:sz w:val="21"/>
                <w:highlight w:val="none"/>
              </w:rPr>
            </w:pPr>
          </w:p>
        </w:tc>
        <w:tc>
          <w:tcPr>
            <w:tcW w:w="6378" w:type="dxa"/>
            <w:gridSpan w:val="2"/>
            <w:vAlign w:val="top"/>
          </w:tcPr>
          <w:p w14:paraId="366A6655">
            <w:pPr>
              <w:pStyle w:val="12"/>
              <w:spacing w:before="116" w:line="218" w:lineRule="auto"/>
              <w:ind w:left="169"/>
              <w:rPr>
                <w:color w:val="auto"/>
                <w:highlight w:val="none"/>
              </w:rPr>
            </w:pPr>
            <w:r>
              <w:rPr>
                <w:color w:val="auto"/>
                <w:spacing w:val="-4"/>
                <w:highlight w:val="none"/>
              </w:rPr>
              <w:t>响应文件的签名盖章符合竞争性磋商文件要求</w:t>
            </w:r>
          </w:p>
        </w:tc>
      </w:tr>
      <w:tr w14:paraId="5D79F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56" w:type="dxa"/>
            <w:vMerge w:val="continue"/>
            <w:tcBorders>
              <w:top w:val="nil"/>
              <w:bottom w:val="nil"/>
            </w:tcBorders>
            <w:vAlign w:val="top"/>
          </w:tcPr>
          <w:p w14:paraId="604E7F40">
            <w:pPr>
              <w:rPr>
                <w:rFonts w:ascii="Arial"/>
                <w:color w:val="auto"/>
                <w:sz w:val="21"/>
                <w:highlight w:val="none"/>
              </w:rPr>
            </w:pPr>
          </w:p>
        </w:tc>
        <w:tc>
          <w:tcPr>
            <w:tcW w:w="1649" w:type="dxa"/>
            <w:vMerge w:val="continue"/>
            <w:tcBorders>
              <w:top w:val="nil"/>
              <w:bottom w:val="nil"/>
            </w:tcBorders>
            <w:vAlign w:val="top"/>
          </w:tcPr>
          <w:p w14:paraId="6CCB4BDB">
            <w:pPr>
              <w:rPr>
                <w:rFonts w:ascii="Arial"/>
                <w:color w:val="auto"/>
                <w:sz w:val="21"/>
                <w:highlight w:val="none"/>
              </w:rPr>
            </w:pPr>
          </w:p>
        </w:tc>
        <w:tc>
          <w:tcPr>
            <w:tcW w:w="6378" w:type="dxa"/>
            <w:gridSpan w:val="2"/>
            <w:vAlign w:val="top"/>
          </w:tcPr>
          <w:p w14:paraId="70BB29B8">
            <w:pPr>
              <w:pStyle w:val="12"/>
              <w:spacing w:before="116" w:line="220" w:lineRule="auto"/>
              <w:ind w:left="144"/>
              <w:rPr>
                <w:color w:val="auto"/>
                <w:highlight w:val="none"/>
              </w:rPr>
            </w:pPr>
            <w:r>
              <w:rPr>
                <w:color w:val="auto"/>
                <w:spacing w:val="-3"/>
                <w:highlight w:val="none"/>
              </w:rPr>
              <w:t>投标有效期符合竞争性磋商文件要求</w:t>
            </w:r>
          </w:p>
        </w:tc>
      </w:tr>
      <w:tr w14:paraId="07763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56" w:type="dxa"/>
            <w:vMerge w:val="continue"/>
            <w:tcBorders>
              <w:top w:val="nil"/>
              <w:bottom w:val="nil"/>
            </w:tcBorders>
            <w:vAlign w:val="top"/>
          </w:tcPr>
          <w:p w14:paraId="50D9DE83">
            <w:pPr>
              <w:rPr>
                <w:rFonts w:ascii="Arial"/>
                <w:color w:val="auto"/>
                <w:sz w:val="21"/>
                <w:highlight w:val="none"/>
              </w:rPr>
            </w:pPr>
          </w:p>
        </w:tc>
        <w:tc>
          <w:tcPr>
            <w:tcW w:w="1649" w:type="dxa"/>
            <w:vMerge w:val="continue"/>
            <w:tcBorders>
              <w:top w:val="nil"/>
              <w:bottom w:val="nil"/>
            </w:tcBorders>
            <w:vAlign w:val="top"/>
          </w:tcPr>
          <w:p w14:paraId="489B1F0A">
            <w:pPr>
              <w:rPr>
                <w:rFonts w:ascii="Arial"/>
                <w:color w:val="auto"/>
                <w:sz w:val="21"/>
                <w:highlight w:val="none"/>
              </w:rPr>
            </w:pPr>
          </w:p>
        </w:tc>
        <w:tc>
          <w:tcPr>
            <w:tcW w:w="6378" w:type="dxa"/>
            <w:gridSpan w:val="2"/>
            <w:vAlign w:val="top"/>
          </w:tcPr>
          <w:p w14:paraId="735C544C">
            <w:pPr>
              <w:pStyle w:val="12"/>
              <w:spacing w:before="114" w:line="220" w:lineRule="auto"/>
              <w:ind w:left="163"/>
              <w:rPr>
                <w:color w:val="auto"/>
                <w:highlight w:val="none"/>
              </w:rPr>
            </w:pPr>
            <w:r>
              <w:rPr>
                <w:color w:val="auto"/>
                <w:spacing w:val="-5"/>
                <w:highlight w:val="none"/>
              </w:rPr>
              <w:t>工期符合竞争性磋商文件要求</w:t>
            </w:r>
          </w:p>
        </w:tc>
      </w:tr>
      <w:tr w14:paraId="2D780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56" w:type="dxa"/>
            <w:vMerge w:val="continue"/>
            <w:tcBorders>
              <w:top w:val="nil"/>
              <w:bottom w:val="nil"/>
            </w:tcBorders>
            <w:vAlign w:val="top"/>
          </w:tcPr>
          <w:p w14:paraId="67D55978">
            <w:pPr>
              <w:rPr>
                <w:rFonts w:ascii="Arial"/>
                <w:color w:val="auto"/>
                <w:sz w:val="21"/>
                <w:highlight w:val="none"/>
              </w:rPr>
            </w:pPr>
          </w:p>
        </w:tc>
        <w:tc>
          <w:tcPr>
            <w:tcW w:w="1649" w:type="dxa"/>
            <w:vMerge w:val="continue"/>
            <w:tcBorders>
              <w:top w:val="nil"/>
              <w:bottom w:val="nil"/>
            </w:tcBorders>
            <w:vAlign w:val="top"/>
          </w:tcPr>
          <w:p w14:paraId="36E0D898">
            <w:pPr>
              <w:rPr>
                <w:rFonts w:ascii="Arial"/>
                <w:color w:val="auto"/>
                <w:sz w:val="21"/>
                <w:highlight w:val="none"/>
              </w:rPr>
            </w:pPr>
          </w:p>
        </w:tc>
        <w:tc>
          <w:tcPr>
            <w:tcW w:w="6378" w:type="dxa"/>
            <w:gridSpan w:val="2"/>
            <w:vAlign w:val="top"/>
          </w:tcPr>
          <w:p w14:paraId="2A8C4304">
            <w:pPr>
              <w:pStyle w:val="12"/>
              <w:spacing w:before="114" w:line="220" w:lineRule="auto"/>
              <w:ind w:left="163"/>
              <w:rPr>
                <w:color w:val="auto"/>
                <w:highlight w:val="none"/>
              </w:rPr>
            </w:pPr>
            <w:r>
              <w:rPr>
                <w:color w:val="auto"/>
                <w:spacing w:val="-5"/>
                <w:highlight w:val="none"/>
              </w:rPr>
              <w:t>质量目标符合竞争性磋商文件要求</w:t>
            </w:r>
          </w:p>
        </w:tc>
      </w:tr>
      <w:tr w14:paraId="5E7AF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156" w:type="dxa"/>
            <w:vMerge w:val="continue"/>
            <w:tcBorders>
              <w:top w:val="nil"/>
              <w:bottom w:val="nil"/>
            </w:tcBorders>
            <w:vAlign w:val="top"/>
          </w:tcPr>
          <w:p w14:paraId="4964CDF3">
            <w:pPr>
              <w:rPr>
                <w:rFonts w:ascii="Arial"/>
                <w:color w:val="auto"/>
                <w:sz w:val="21"/>
                <w:highlight w:val="none"/>
              </w:rPr>
            </w:pPr>
          </w:p>
        </w:tc>
        <w:tc>
          <w:tcPr>
            <w:tcW w:w="1649" w:type="dxa"/>
            <w:vMerge w:val="continue"/>
            <w:tcBorders>
              <w:top w:val="nil"/>
              <w:bottom w:val="nil"/>
            </w:tcBorders>
            <w:vAlign w:val="top"/>
          </w:tcPr>
          <w:p w14:paraId="209F8B5D">
            <w:pPr>
              <w:rPr>
                <w:rFonts w:ascii="Arial"/>
                <w:color w:val="auto"/>
                <w:sz w:val="21"/>
                <w:highlight w:val="none"/>
              </w:rPr>
            </w:pPr>
          </w:p>
        </w:tc>
        <w:tc>
          <w:tcPr>
            <w:tcW w:w="6378" w:type="dxa"/>
            <w:gridSpan w:val="2"/>
            <w:vAlign w:val="top"/>
          </w:tcPr>
          <w:p w14:paraId="3184E36E">
            <w:pPr>
              <w:pStyle w:val="12"/>
              <w:spacing w:before="151" w:line="251" w:lineRule="auto"/>
              <w:ind w:left="150" w:right="320" w:hanging="3"/>
              <w:rPr>
                <w:color w:val="auto"/>
                <w:highlight w:val="none"/>
              </w:rPr>
            </w:pPr>
            <w:r>
              <w:rPr>
                <w:color w:val="auto"/>
                <w:spacing w:val="6"/>
                <w:highlight w:val="none"/>
              </w:rPr>
              <w:t>按照竞争性磋商文件规定报价只有一个有效报价且没有</w:t>
            </w:r>
            <w:r>
              <w:rPr>
                <w:color w:val="auto"/>
                <w:spacing w:val="-10"/>
                <w:highlight w:val="none"/>
              </w:rPr>
              <w:t>漏</w:t>
            </w:r>
            <w:r>
              <w:rPr>
                <w:color w:val="auto"/>
                <w:spacing w:val="23"/>
                <w:highlight w:val="none"/>
              </w:rPr>
              <w:t xml:space="preserve"> </w:t>
            </w:r>
            <w:r>
              <w:rPr>
                <w:color w:val="auto"/>
                <w:spacing w:val="-10"/>
                <w:highlight w:val="none"/>
              </w:rPr>
              <w:t>项</w:t>
            </w:r>
          </w:p>
        </w:tc>
      </w:tr>
      <w:tr w14:paraId="4CEDE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56" w:type="dxa"/>
            <w:vMerge w:val="continue"/>
            <w:tcBorders>
              <w:top w:val="nil"/>
              <w:bottom w:val="nil"/>
            </w:tcBorders>
            <w:vAlign w:val="top"/>
          </w:tcPr>
          <w:p w14:paraId="14DEABF1">
            <w:pPr>
              <w:rPr>
                <w:rFonts w:ascii="Arial"/>
                <w:color w:val="auto"/>
                <w:sz w:val="21"/>
                <w:highlight w:val="none"/>
              </w:rPr>
            </w:pPr>
          </w:p>
        </w:tc>
        <w:tc>
          <w:tcPr>
            <w:tcW w:w="1649" w:type="dxa"/>
            <w:vMerge w:val="continue"/>
            <w:tcBorders>
              <w:top w:val="nil"/>
              <w:bottom w:val="nil"/>
            </w:tcBorders>
            <w:vAlign w:val="top"/>
          </w:tcPr>
          <w:p w14:paraId="4E13D51F">
            <w:pPr>
              <w:rPr>
                <w:rFonts w:ascii="Arial"/>
                <w:color w:val="auto"/>
                <w:sz w:val="21"/>
                <w:highlight w:val="none"/>
              </w:rPr>
            </w:pPr>
          </w:p>
        </w:tc>
        <w:tc>
          <w:tcPr>
            <w:tcW w:w="6378" w:type="dxa"/>
            <w:gridSpan w:val="2"/>
            <w:vAlign w:val="top"/>
          </w:tcPr>
          <w:p w14:paraId="11B4D7C9">
            <w:pPr>
              <w:pStyle w:val="12"/>
              <w:spacing w:before="114" w:line="220" w:lineRule="auto"/>
              <w:ind w:left="147"/>
              <w:rPr>
                <w:color w:val="auto"/>
                <w:highlight w:val="none"/>
              </w:rPr>
            </w:pPr>
            <w:r>
              <w:rPr>
                <w:color w:val="auto"/>
                <w:spacing w:val="-3"/>
                <w:highlight w:val="none"/>
              </w:rPr>
              <w:t>按竞争性磋商文件要求编制了目录及页码</w:t>
            </w:r>
          </w:p>
        </w:tc>
      </w:tr>
      <w:tr w14:paraId="38A06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156" w:type="dxa"/>
            <w:vMerge w:val="continue"/>
            <w:tcBorders>
              <w:top w:val="nil"/>
            </w:tcBorders>
            <w:vAlign w:val="top"/>
          </w:tcPr>
          <w:p w14:paraId="0CAF4A76">
            <w:pPr>
              <w:rPr>
                <w:rFonts w:ascii="Arial"/>
                <w:color w:val="auto"/>
                <w:sz w:val="21"/>
                <w:highlight w:val="none"/>
              </w:rPr>
            </w:pPr>
          </w:p>
        </w:tc>
        <w:tc>
          <w:tcPr>
            <w:tcW w:w="1649" w:type="dxa"/>
            <w:vMerge w:val="continue"/>
            <w:tcBorders>
              <w:top w:val="nil"/>
            </w:tcBorders>
            <w:vAlign w:val="top"/>
          </w:tcPr>
          <w:p w14:paraId="1AFCA4EA">
            <w:pPr>
              <w:rPr>
                <w:rFonts w:ascii="Arial"/>
                <w:color w:val="auto"/>
                <w:sz w:val="21"/>
                <w:highlight w:val="none"/>
              </w:rPr>
            </w:pPr>
          </w:p>
        </w:tc>
        <w:tc>
          <w:tcPr>
            <w:tcW w:w="6378" w:type="dxa"/>
            <w:gridSpan w:val="2"/>
            <w:vAlign w:val="top"/>
          </w:tcPr>
          <w:p w14:paraId="7B786820">
            <w:pPr>
              <w:pStyle w:val="12"/>
              <w:spacing w:before="114" w:line="220" w:lineRule="auto"/>
              <w:ind w:left="152"/>
              <w:rPr>
                <w:color w:val="auto"/>
                <w:highlight w:val="none"/>
              </w:rPr>
            </w:pPr>
            <w:r>
              <w:rPr>
                <w:color w:val="auto"/>
                <w:spacing w:val="-3"/>
                <w:highlight w:val="none"/>
              </w:rPr>
              <w:t>其他不符合竞争性磋商文件的实质性要求</w:t>
            </w:r>
          </w:p>
        </w:tc>
      </w:tr>
      <w:tr w14:paraId="3330B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2805" w:type="dxa"/>
            <w:gridSpan w:val="2"/>
            <w:vAlign w:val="top"/>
          </w:tcPr>
          <w:p w14:paraId="0BB13D82">
            <w:pPr>
              <w:pStyle w:val="12"/>
              <w:spacing w:before="300"/>
              <w:ind w:left="1254"/>
              <w:rPr>
                <w:color w:val="auto"/>
                <w:highlight w:val="none"/>
              </w:rPr>
            </w:pPr>
            <w:r>
              <w:rPr>
                <w:b/>
                <w:bCs/>
                <w:color w:val="auto"/>
                <w:spacing w:val="-6"/>
                <w:highlight w:val="none"/>
              </w:rPr>
              <w:t>4.2</w:t>
            </w:r>
          </w:p>
        </w:tc>
        <w:tc>
          <w:tcPr>
            <w:tcW w:w="1147" w:type="dxa"/>
            <w:vAlign w:val="top"/>
          </w:tcPr>
          <w:p w14:paraId="3E365979">
            <w:pPr>
              <w:pStyle w:val="12"/>
              <w:spacing w:before="107" w:line="223" w:lineRule="auto"/>
              <w:ind w:left="270"/>
              <w:rPr>
                <w:color w:val="auto"/>
                <w:highlight w:val="none"/>
              </w:rPr>
            </w:pPr>
            <w:r>
              <w:rPr>
                <w:b/>
                <w:bCs/>
                <w:color w:val="auto"/>
                <w:spacing w:val="-12"/>
                <w:highlight w:val="none"/>
              </w:rPr>
              <w:t>分值</w:t>
            </w:r>
          </w:p>
          <w:p w14:paraId="204C731F">
            <w:pPr>
              <w:pStyle w:val="12"/>
              <w:spacing w:before="41" w:line="222" w:lineRule="auto"/>
              <w:ind w:left="276"/>
              <w:rPr>
                <w:color w:val="auto"/>
                <w:highlight w:val="none"/>
              </w:rPr>
            </w:pPr>
            <w:r>
              <w:rPr>
                <w:b/>
                <w:bCs/>
                <w:color w:val="auto"/>
                <w:spacing w:val="-11"/>
                <w:highlight w:val="none"/>
              </w:rPr>
              <w:t>权重</w:t>
            </w:r>
          </w:p>
          <w:p w14:paraId="2E990EFC">
            <w:pPr>
              <w:pStyle w:val="12"/>
              <w:spacing w:before="39" w:line="220" w:lineRule="auto"/>
              <w:ind w:left="276"/>
              <w:rPr>
                <w:color w:val="auto"/>
                <w:highlight w:val="none"/>
              </w:rPr>
            </w:pPr>
            <w:r>
              <w:rPr>
                <w:b/>
                <w:bCs/>
                <w:color w:val="auto"/>
                <w:spacing w:val="-11"/>
                <w:highlight w:val="none"/>
              </w:rPr>
              <w:t>构成</w:t>
            </w:r>
          </w:p>
        </w:tc>
        <w:tc>
          <w:tcPr>
            <w:tcW w:w="5231" w:type="dxa"/>
            <w:vAlign w:val="top"/>
          </w:tcPr>
          <w:p w14:paraId="170A5325">
            <w:pPr>
              <w:pStyle w:val="12"/>
              <w:spacing w:before="74" w:line="222" w:lineRule="auto"/>
              <w:ind w:left="152"/>
              <w:rPr>
                <w:color w:val="auto"/>
                <w:highlight w:val="none"/>
              </w:rPr>
            </w:pPr>
            <w:r>
              <w:rPr>
                <w:b/>
                <w:bCs/>
                <w:color w:val="auto"/>
                <w:spacing w:val="-9"/>
                <w:highlight w:val="none"/>
              </w:rPr>
              <w:t>报价得分：30</w:t>
            </w:r>
            <w:r>
              <w:rPr>
                <w:color w:val="auto"/>
                <w:spacing w:val="-19"/>
                <w:highlight w:val="none"/>
              </w:rPr>
              <w:t xml:space="preserve"> </w:t>
            </w:r>
            <w:r>
              <w:rPr>
                <w:b/>
                <w:bCs/>
                <w:color w:val="auto"/>
                <w:spacing w:val="-9"/>
                <w:highlight w:val="none"/>
              </w:rPr>
              <w:t>分</w:t>
            </w:r>
          </w:p>
          <w:p w14:paraId="46983CB3">
            <w:pPr>
              <w:pStyle w:val="12"/>
              <w:spacing w:before="78" w:line="222" w:lineRule="auto"/>
              <w:ind w:left="178"/>
              <w:rPr>
                <w:color w:val="auto"/>
                <w:highlight w:val="none"/>
              </w:rPr>
            </w:pPr>
            <w:r>
              <w:rPr>
                <w:b/>
                <w:bCs/>
                <w:color w:val="auto"/>
                <w:spacing w:val="-11"/>
                <w:highlight w:val="none"/>
              </w:rPr>
              <w:t>商务、技术得分：70</w:t>
            </w:r>
            <w:r>
              <w:rPr>
                <w:color w:val="auto"/>
                <w:spacing w:val="-11"/>
                <w:highlight w:val="none"/>
              </w:rPr>
              <w:t xml:space="preserve"> </w:t>
            </w:r>
            <w:r>
              <w:rPr>
                <w:b/>
                <w:bCs/>
                <w:color w:val="auto"/>
                <w:spacing w:val="-11"/>
                <w:highlight w:val="none"/>
              </w:rPr>
              <w:t>分</w:t>
            </w:r>
          </w:p>
        </w:tc>
      </w:tr>
      <w:tr w14:paraId="2C407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2805" w:type="dxa"/>
            <w:gridSpan w:val="2"/>
            <w:vAlign w:val="top"/>
          </w:tcPr>
          <w:p w14:paraId="75D47278">
            <w:pPr>
              <w:spacing w:line="258" w:lineRule="auto"/>
              <w:rPr>
                <w:rFonts w:ascii="Arial"/>
                <w:color w:val="auto"/>
                <w:sz w:val="21"/>
                <w:highlight w:val="none"/>
              </w:rPr>
            </w:pPr>
          </w:p>
          <w:p w14:paraId="36CCFE26">
            <w:pPr>
              <w:spacing w:line="258" w:lineRule="auto"/>
              <w:rPr>
                <w:rFonts w:ascii="Arial"/>
                <w:color w:val="auto"/>
                <w:sz w:val="21"/>
                <w:highlight w:val="none"/>
              </w:rPr>
            </w:pPr>
          </w:p>
          <w:p w14:paraId="00538A60">
            <w:pPr>
              <w:spacing w:line="258" w:lineRule="auto"/>
              <w:rPr>
                <w:rFonts w:ascii="Arial"/>
                <w:color w:val="auto"/>
                <w:sz w:val="21"/>
                <w:highlight w:val="none"/>
              </w:rPr>
            </w:pPr>
          </w:p>
          <w:p w14:paraId="24E32170">
            <w:pPr>
              <w:pStyle w:val="12"/>
              <w:spacing w:before="78"/>
              <w:ind w:left="1254"/>
              <w:rPr>
                <w:color w:val="auto"/>
                <w:highlight w:val="none"/>
              </w:rPr>
            </w:pPr>
            <w:r>
              <w:rPr>
                <w:color w:val="auto"/>
                <w:spacing w:val="-4"/>
                <w:highlight w:val="none"/>
              </w:rPr>
              <w:t>4.3</w:t>
            </w:r>
          </w:p>
        </w:tc>
        <w:tc>
          <w:tcPr>
            <w:tcW w:w="1147" w:type="dxa"/>
            <w:vAlign w:val="top"/>
          </w:tcPr>
          <w:p w14:paraId="1452463A">
            <w:pPr>
              <w:spacing w:line="397" w:lineRule="auto"/>
              <w:rPr>
                <w:rFonts w:ascii="Arial"/>
                <w:color w:val="auto"/>
                <w:sz w:val="21"/>
                <w:highlight w:val="none"/>
              </w:rPr>
            </w:pPr>
          </w:p>
          <w:p w14:paraId="1909DECE">
            <w:pPr>
              <w:pStyle w:val="12"/>
              <w:spacing w:before="78" w:line="260" w:lineRule="auto"/>
              <w:ind w:left="508" w:right="409" w:hanging="245"/>
              <w:rPr>
                <w:color w:val="auto"/>
                <w:highlight w:val="none"/>
              </w:rPr>
            </w:pPr>
            <w:r>
              <w:rPr>
                <w:color w:val="auto"/>
                <w:spacing w:val="-13"/>
                <w:highlight w:val="none"/>
              </w:rPr>
              <w:t>报价得分</w:t>
            </w:r>
          </w:p>
          <w:p w14:paraId="1343C3F0">
            <w:pPr>
              <w:pStyle w:val="12"/>
              <w:spacing w:before="31" w:line="224" w:lineRule="auto"/>
              <w:jc w:val="right"/>
              <w:rPr>
                <w:color w:val="auto"/>
                <w:highlight w:val="none"/>
              </w:rPr>
            </w:pPr>
            <w:r>
              <w:rPr>
                <w:color w:val="auto"/>
                <w:spacing w:val="-19"/>
                <w:highlight w:val="none"/>
              </w:rPr>
              <w:t>（30</w:t>
            </w:r>
            <w:r>
              <w:rPr>
                <w:color w:val="auto"/>
                <w:spacing w:val="-27"/>
                <w:highlight w:val="none"/>
              </w:rPr>
              <w:t xml:space="preserve"> </w:t>
            </w:r>
            <w:r>
              <w:rPr>
                <w:color w:val="auto"/>
                <w:spacing w:val="-19"/>
                <w:highlight w:val="none"/>
              </w:rPr>
              <w:t>分）</w:t>
            </w:r>
          </w:p>
        </w:tc>
        <w:tc>
          <w:tcPr>
            <w:tcW w:w="5231" w:type="dxa"/>
            <w:vAlign w:val="top"/>
          </w:tcPr>
          <w:p w14:paraId="18E0573E">
            <w:pPr>
              <w:pStyle w:val="12"/>
              <w:spacing w:before="110" w:line="267" w:lineRule="auto"/>
              <w:ind w:left="132" w:right="99" w:firstLine="27"/>
              <w:jc w:val="both"/>
              <w:rPr>
                <w:color w:val="auto"/>
                <w:highlight w:val="none"/>
              </w:rPr>
            </w:pPr>
            <w:r>
              <w:rPr>
                <w:color w:val="auto"/>
                <w:spacing w:val="20"/>
                <w:highlight w:val="none"/>
              </w:rPr>
              <w:t>综合评分法中的价格分统一采用低价优先法</w:t>
            </w:r>
            <w:r>
              <w:rPr>
                <w:color w:val="auto"/>
                <w:spacing w:val="1"/>
                <w:highlight w:val="none"/>
              </w:rPr>
              <w:t>计</w:t>
            </w:r>
            <w:r>
              <w:rPr>
                <w:color w:val="auto"/>
                <w:spacing w:val="50"/>
                <w:highlight w:val="none"/>
              </w:rPr>
              <w:t xml:space="preserve"> </w:t>
            </w:r>
            <w:r>
              <w:rPr>
                <w:color w:val="auto"/>
                <w:spacing w:val="1"/>
                <w:highlight w:val="none"/>
              </w:rPr>
              <w:t>算，即满足招标要求且投标价格最低的投标报价</w:t>
            </w:r>
            <w:r>
              <w:rPr>
                <w:color w:val="auto"/>
                <w:spacing w:val="47"/>
                <w:highlight w:val="none"/>
              </w:rPr>
              <w:t xml:space="preserve"> </w:t>
            </w:r>
            <w:r>
              <w:rPr>
                <w:color w:val="auto"/>
                <w:spacing w:val="1"/>
                <w:highlight w:val="none"/>
              </w:rPr>
              <w:t>为评标基准价，其价格分为满分。其他投</w:t>
            </w:r>
            <w:r>
              <w:rPr>
                <w:color w:val="auto"/>
                <w:spacing w:val="11"/>
                <w:highlight w:val="none"/>
              </w:rPr>
              <w:t>标人的</w:t>
            </w:r>
            <w:r>
              <w:rPr>
                <w:color w:val="auto"/>
                <w:spacing w:val="38"/>
                <w:highlight w:val="none"/>
              </w:rPr>
              <w:t xml:space="preserve"> </w:t>
            </w:r>
            <w:r>
              <w:rPr>
                <w:color w:val="auto"/>
                <w:spacing w:val="11"/>
                <w:highlight w:val="none"/>
              </w:rPr>
              <w:t>价格分统一按照下列公式计算：</w:t>
            </w:r>
            <w:r>
              <w:rPr>
                <w:color w:val="auto"/>
                <w:spacing w:val="-69"/>
                <w:highlight w:val="none"/>
              </w:rPr>
              <w:t xml:space="preserve"> </w:t>
            </w:r>
            <w:r>
              <w:rPr>
                <w:color w:val="auto"/>
                <w:spacing w:val="11"/>
                <w:highlight w:val="none"/>
              </w:rPr>
              <w:t>投标</w:t>
            </w:r>
            <w:r>
              <w:rPr>
                <w:color w:val="auto"/>
                <w:spacing w:val="4"/>
                <w:highlight w:val="none"/>
              </w:rPr>
              <w:t>报价得分</w:t>
            </w:r>
            <w:r>
              <w:rPr>
                <w:color w:val="auto"/>
                <w:spacing w:val="53"/>
                <w:highlight w:val="none"/>
              </w:rPr>
              <w:t xml:space="preserve"> </w:t>
            </w:r>
            <w:r>
              <w:rPr>
                <w:color w:val="auto"/>
                <w:spacing w:val="4"/>
                <w:highlight w:val="none"/>
              </w:rPr>
              <w:t>=（评标基准价／投标报价）</w:t>
            </w:r>
            <w:r>
              <w:rPr>
                <w:color w:val="auto"/>
                <w:spacing w:val="-61"/>
                <w:highlight w:val="none"/>
              </w:rPr>
              <w:t xml:space="preserve"> </w:t>
            </w:r>
            <w:r>
              <w:rPr>
                <w:color w:val="auto"/>
                <w:spacing w:val="4"/>
                <w:highlight w:val="none"/>
              </w:rPr>
              <w:t>×价格</w:t>
            </w:r>
            <w:r>
              <w:rPr>
                <w:color w:val="auto"/>
                <w:spacing w:val="-8"/>
                <w:highlight w:val="none"/>
              </w:rPr>
              <w:t>权值×</w:t>
            </w:r>
            <w:r>
              <w:rPr>
                <w:color w:val="auto"/>
                <w:spacing w:val="-33"/>
                <w:highlight w:val="none"/>
              </w:rPr>
              <w:t xml:space="preserve"> </w:t>
            </w:r>
            <w:r>
              <w:rPr>
                <w:color w:val="auto"/>
                <w:spacing w:val="-8"/>
                <w:highlight w:val="none"/>
              </w:rPr>
              <w:t>100。</w:t>
            </w:r>
          </w:p>
        </w:tc>
      </w:tr>
      <w:tr w14:paraId="77E7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156" w:type="dxa"/>
            <w:vAlign w:val="top"/>
          </w:tcPr>
          <w:p w14:paraId="22A33045">
            <w:pPr>
              <w:pStyle w:val="12"/>
              <w:spacing w:before="100" w:line="223" w:lineRule="auto"/>
              <w:ind w:left="277"/>
              <w:rPr>
                <w:color w:val="auto"/>
                <w:highlight w:val="none"/>
              </w:rPr>
            </w:pPr>
            <w:r>
              <w:rPr>
                <w:b/>
                <w:bCs/>
                <w:color w:val="auto"/>
                <w:spacing w:val="-13"/>
                <w:highlight w:val="none"/>
              </w:rPr>
              <w:t>条款号</w:t>
            </w:r>
          </w:p>
        </w:tc>
        <w:tc>
          <w:tcPr>
            <w:tcW w:w="1649" w:type="dxa"/>
            <w:vAlign w:val="top"/>
          </w:tcPr>
          <w:p w14:paraId="321DF732">
            <w:pPr>
              <w:pStyle w:val="12"/>
              <w:spacing w:before="100" w:line="222" w:lineRule="auto"/>
              <w:ind w:left="388"/>
              <w:rPr>
                <w:color w:val="auto"/>
                <w:highlight w:val="none"/>
              </w:rPr>
            </w:pPr>
            <w:r>
              <w:rPr>
                <w:b/>
                <w:bCs/>
                <w:color w:val="auto"/>
                <w:spacing w:val="-12"/>
                <w:highlight w:val="none"/>
              </w:rPr>
              <w:t>评审因素</w:t>
            </w:r>
          </w:p>
        </w:tc>
        <w:tc>
          <w:tcPr>
            <w:tcW w:w="6378" w:type="dxa"/>
            <w:gridSpan w:val="2"/>
            <w:vAlign w:val="top"/>
          </w:tcPr>
          <w:p w14:paraId="0BEAFCB2">
            <w:pPr>
              <w:pStyle w:val="12"/>
              <w:spacing w:before="100" w:line="222" w:lineRule="auto"/>
              <w:ind w:left="148"/>
              <w:rPr>
                <w:color w:val="auto"/>
                <w:highlight w:val="none"/>
              </w:rPr>
            </w:pPr>
            <w:r>
              <w:rPr>
                <w:b/>
                <w:bCs/>
                <w:color w:val="auto"/>
                <w:spacing w:val="-12"/>
                <w:highlight w:val="none"/>
              </w:rPr>
              <w:t>评审标准</w:t>
            </w:r>
          </w:p>
        </w:tc>
      </w:tr>
      <w:tr w14:paraId="4212F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156" w:type="dxa"/>
            <w:vAlign w:val="top"/>
          </w:tcPr>
          <w:p w14:paraId="2164E437">
            <w:pPr>
              <w:pStyle w:val="12"/>
              <w:spacing w:before="102"/>
              <w:ind w:left="306"/>
              <w:rPr>
                <w:color w:val="auto"/>
                <w:highlight w:val="none"/>
              </w:rPr>
            </w:pPr>
            <w:r>
              <w:rPr>
                <w:color w:val="auto"/>
                <w:spacing w:val="-3"/>
                <w:highlight w:val="none"/>
              </w:rPr>
              <w:t>4.4.1</w:t>
            </w:r>
          </w:p>
        </w:tc>
        <w:tc>
          <w:tcPr>
            <w:tcW w:w="8027" w:type="dxa"/>
            <w:gridSpan w:val="3"/>
            <w:vAlign w:val="top"/>
          </w:tcPr>
          <w:p w14:paraId="62267E95">
            <w:pPr>
              <w:pStyle w:val="12"/>
              <w:spacing w:before="102" w:line="222" w:lineRule="auto"/>
              <w:ind w:left="171"/>
              <w:rPr>
                <w:color w:val="auto"/>
                <w:highlight w:val="none"/>
              </w:rPr>
            </w:pPr>
            <w:r>
              <w:rPr>
                <w:color w:val="auto"/>
                <w:spacing w:val="-9"/>
                <w:highlight w:val="none"/>
              </w:rPr>
              <w:t>商务、技术得分（70 分）</w:t>
            </w:r>
          </w:p>
        </w:tc>
      </w:tr>
    </w:tbl>
    <w:p w14:paraId="2CDF810B">
      <w:pPr>
        <w:pStyle w:val="3"/>
        <w:rPr>
          <w:color w:val="auto"/>
          <w:highlight w:val="none"/>
        </w:rPr>
      </w:pPr>
    </w:p>
    <w:p w14:paraId="11F189A1">
      <w:pPr>
        <w:rPr>
          <w:color w:val="auto"/>
          <w:highlight w:val="none"/>
        </w:rPr>
        <w:sectPr>
          <w:footerReference r:id="rId30" w:type="default"/>
          <w:pgSz w:w="11906" w:h="16840"/>
          <w:pgMar w:top="1418" w:right="1269" w:bottom="1174" w:left="1447" w:header="0" w:footer="928" w:gutter="0"/>
          <w:pgNumType w:fmt="decimal"/>
          <w:cols w:space="720" w:num="1"/>
        </w:sectPr>
      </w:pPr>
    </w:p>
    <w:tbl>
      <w:tblPr>
        <w:tblStyle w:val="11"/>
        <w:tblW w:w="91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5"/>
        <w:gridCol w:w="1649"/>
        <w:gridCol w:w="6379"/>
      </w:tblGrid>
      <w:tr w14:paraId="0C633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1" w:hRule="atLeast"/>
        </w:trPr>
        <w:tc>
          <w:tcPr>
            <w:tcW w:w="1155" w:type="dxa"/>
            <w:vAlign w:val="top"/>
          </w:tcPr>
          <w:p w14:paraId="3B8EC9BB">
            <w:pPr>
              <w:spacing w:line="245" w:lineRule="auto"/>
              <w:rPr>
                <w:rFonts w:ascii="Arial"/>
                <w:color w:val="auto"/>
                <w:sz w:val="21"/>
                <w:highlight w:val="none"/>
              </w:rPr>
            </w:pPr>
          </w:p>
          <w:p w14:paraId="5882CB7D">
            <w:pPr>
              <w:spacing w:line="245" w:lineRule="auto"/>
              <w:rPr>
                <w:rFonts w:ascii="Arial"/>
                <w:color w:val="auto"/>
                <w:sz w:val="21"/>
                <w:highlight w:val="none"/>
              </w:rPr>
            </w:pPr>
          </w:p>
          <w:p w14:paraId="09BA9692">
            <w:pPr>
              <w:spacing w:line="245" w:lineRule="auto"/>
              <w:rPr>
                <w:rFonts w:ascii="Arial"/>
                <w:color w:val="auto"/>
                <w:sz w:val="21"/>
                <w:highlight w:val="none"/>
              </w:rPr>
            </w:pPr>
          </w:p>
          <w:p w14:paraId="16587F28">
            <w:pPr>
              <w:spacing w:line="245" w:lineRule="auto"/>
              <w:rPr>
                <w:rFonts w:ascii="Arial"/>
                <w:color w:val="auto"/>
                <w:sz w:val="21"/>
                <w:highlight w:val="none"/>
              </w:rPr>
            </w:pPr>
          </w:p>
          <w:p w14:paraId="4A8A7C38">
            <w:pPr>
              <w:spacing w:line="246" w:lineRule="auto"/>
              <w:rPr>
                <w:rFonts w:ascii="Arial"/>
                <w:color w:val="auto"/>
                <w:sz w:val="21"/>
                <w:highlight w:val="none"/>
              </w:rPr>
            </w:pPr>
          </w:p>
          <w:p w14:paraId="65013458">
            <w:pPr>
              <w:pStyle w:val="12"/>
              <w:spacing w:before="78"/>
              <w:ind w:left="186"/>
              <w:rPr>
                <w:color w:val="auto"/>
                <w:highlight w:val="none"/>
              </w:rPr>
            </w:pPr>
            <w:r>
              <w:rPr>
                <w:color w:val="auto"/>
                <w:highlight w:val="none"/>
              </w:rPr>
              <w:fldChar w:fldCharType="begin"/>
            </w:r>
            <w:r>
              <w:rPr>
                <w:color w:val="auto"/>
                <w:highlight w:val="none"/>
              </w:rPr>
              <w:instrText xml:space="preserve"> HYPERLINK "4.4.1.1" </w:instrText>
            </w:r>
            <w:r>
              <w:rPr>
                <w:color w:val="auto"/>
                <w:highlight w:val="none"/>
              </w:rPr>
              <w:fldChar w:fldCharType="separate"/>
            </w:r>
            <w:r>
              <w:rPr>
                <w:color w:val="auto"/>
                <w:spacing w:val="-3"/>
                <w:highlight w:val="none"/>
              </w:rPr>
              <w:t>4.4.1.1</w:t>
            </w:r>
            <w:r>
              <w:rPr>
                <w:color w:val="auto"/>
                <w:spacing w:val="-3"/>
                <w:highlight w:val="none"/>
              </w:rPr>
              <w:fldChar w:fldCharType="end"/>
            </w:r>
          </w:p>
        </w:tc>
        <w:tc>
          <w:tcPr>
            <w:tcW w:w="1649" w:type="dxa"/>
            <w:vAlign w:val="top"/>
          </w:tcPr>
          <w:p w14:paraId="44101CCC">
            <w:pPr>
              <w:spacing w:line="253" w:lineRule="auto"/>
              <w:rPr>
                <w:rFonts w:ascii="Arial"/>
                <w:color w:val="auto"/>
                <w:sz w:val="21"/>
                <w:highlight w:val="none"/>
              </w:rPr>
            </w:pPr>
          </w:p>
          <w:p w14:paraId="78FB4739">
            <w:pPr>
              <w:spacing w:line="253" w:lineRule="auto"/>
              <w:rPr>
                <w:rFonts w:ascii="Arial"/>
                <w:color w:val="auto"/>
                <w:sz w:val="21"/>
                <w:highlight w:val="none"/>
              </w:rPr>
            </w:pPr>
          </w:p>
          <w:p w14:paraId="38EB5777">
            <w:pPr>
              <w:spacing w:line="253" w:lineRule="auto"/>
              <w:rPr>
                <w:rFonts w:ascii="Arial"/>
                <w:color w:val="auto"/>
                <w:sz w:val="21"/>
                <w:highlight w:val="none"/>
              </w:rPr>
            </w:pPr>
          </w:p>
          <w:p w14:paraId="11A2F3F6">
            <w:pPr>
              <w:spacing w:line="253" w:lineRule="auto"/>
              <w:rPr>
                <w:rFonts w:ascii="Arial"/>
                <w:color w:val="auto"/>
                <w:sz w:val="21"/>
                <w:highlight w:val="none"/>
              </w:rPr>
            </w:pPr>
          </w:p>
          <w:p w14:paraId="2B1E6505">
            <w:pPr>
              <w:pStyle w:val="12"/>
              <w:spacing w:before="78" w:line="222" w:lineRule="auto"/>
              <w:ind w:left="148"/>
              <w:rPr>
                <w:color w:val="auto"/>
                <w:highlight w:val="none"/>
              </w:rPr>
            </w:pPr>
            <w:r>
              <w:rPr>
                <w:color w:val="auto"/>
                <w:spacing w:val="-6"/>
                <w:highlight w:val="none"/>
              </w:rPr>
              <w:t>施工组织设计</w:t>
            </w:r>
          </w:p>
          <w:p w14:paraId="5364E24A">
            <w:pPr>
              <w:pStyle w:val="12"/>
              <w:spacing w:before="178" w:line="224" w:lineRule="auto"/>
              <w:ind w:left="372"/>
              <w:rPr>
                <w:color w:val="auto"/>
                <w:highlight w:val="none"/>
              </w:rPr>
            </w:pPr>
            <w:r>
              <w:rPr>
                <w:color w:val="auto"/>
                <w:spacing w:val="-10"/>
                <w:highlight w:val="none"/>
              </w:rPr>
              <w:t>（20分）</w:t>
            </w:r>
          </w:p>
        </w:tc>
        <w:tc>
          <w:tcPr>
            <w:tcW w:w="6379" w:type="dxa"/>
            <w:vAlign w:val="top"/>
          </w:tcPr>
          <w:p w14:paraId="0A288152">
            <w:pPr>
              <w:pStyle w:val="12"/>
              <w:spacing w:before="186" w:line="363" w:lineRule="auto"/>
              <w:ind w:left="142" w:right="274" w:firstLine="28"/>
              <w:rPr>
                <w:color w:val="auto"/>
                <w:highlight w:val="none"/>
              </w:rPr>
            </w:pPr>
            <w:r>
              <w:rPr>
                <w:color w:val="auto"/>
                <w:spacing w:val="-9"/>
                <w:highlight w:val="none"/>
              </w:rPr>
              <w:t>内容包含但不限于①施工方案；②劳工程实施进度计</w:t>
            </w:r>
            <w:r>
              <w:rPr>
                <w:color w:val="auto"/>
                <w:spacing w:val="-10"/>
                <w:highlight w:val="none"/>
              </w:rPr>
              <w:t>划 (</w:t>
            </w:r>
            <w:r>
              <w:rPr>
                <w:color w:val="auto"/>
                <w:spacing w:val="-8"/>
                <w:highlight w:val="none"/>
              </w:rPr>
              <w:t>各工序工作历时安排合理且有详细计算说明</w:t>
            </w:r>
            <w:r>
              <w:rPr>
                <w:color w:val="auto"/>
                <w:spacing w:val="1"/>
                <w:highlight w:val="none"/>
              </w:rPr>
              <w:t>）；</w:t>
            </w:r>
            <w:r>
              <w:rPr>
                <w:color w:val="auto"/>
                <w:spacing w:val="-8"/>
                <w:highlight w:val="none"/>
              </w:rPr>
              <w:t>③工程特</w:t>
            </w:r>
            <w:r>
              <w:rPr>
                <w:color w:val="auto"/>
                <w:spacing w:val="-7"/>
                <w:highlight w:val="none"/>
              </w:rPr>
              <w:t>点及施工重点和难点分析； ④投入的设备和人力计划安排</w:t>
            </w:r>
          </w:p>
          <w:p w14:paraId="25149B06">
            <w:pPr>
              <w:pStyle w:val="12"/>
              <w:spacing w:before="115" w:line="166" w:lineRule="exact"/>
              <w:ind w:left="158"/>
              <w:rPr>
                <w:color w:val="auto"/>
                <w:highlight w:val="none"/>
              </w:rPr>
            </w:pPr>
            <w:r>
              <w:rPr>
                <w:color w:val="auto"/>
                <w:position w:val="2"/>
                <w:highlight w:val="none"/>
              </w:rPr>
              <w:t>;</w:t>
            </w:r>
          </w:p>
          <w:p w14:paraId="55B0E91B">
            <w:pPr>
              <w:spacing w:line="325" w:lineRule="auto"/>
              <w:rPr>
                <w:rFonts w:ascii="Arial"/>
                <w:color w:val="auto"/>
                <w:sz w:val="21"/>
                <w:highlight w:val="none"/>
              </w:rPr>
            </w:pPr>
          </w:p>
          <w:p w14:paraId="7F39F0BF">
            <w:pPr>
              <w:pStyle w:val="12"/>
              <w:spacing w:before="78" w:line="212" w:lineRule="auto"/>
              <w:ind w:left="154" w:right="159" w:firstLine="23"/>
              <w:rPr>
                <w:color w:val="auto"/>
                <w:highlight w:val="none"/>
              </w:rPr>
            </w:pPr>
            <w:r>
              <w:rPr>
                <w:color w:val="auto"/>
                <w:spacing w:val="-7"/>
                <w:highlight w:val="none"/>
              </w:rPr>
              <w:t>以上每项内容最高可得 5分，满分共20</w:t>
            </w:r>
            <w:r>
              <w:rPr>
                <w:color w:val="auto"/>
                <w:spacing w:val="-8"/>
                <w:highlight w:val="none"/>
              </w:rPr>
              <w:t>分，根据提供的内容</w:t>
            </w:r>
            <w:r>
              <w:rPr>
                <w:color w:val="auto"/>
                <w:spacing w:val="-7"/>
                <w:highlight w:val="none"/>
              </w:rPr>
              <w:t>评分，不提供不得分。</w:t>
            </w:r>
          </w:p>
        </w:tc>
      </w:tr>
      <w:tr w14:paraId="7B350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2" w:hRule="atLeast"/>
        </w:trPr>
        <w:tc>
          <w:tcPr>
            <w:tcW w:w="1155" w:type="dxa"/>
            <w:vAlign w:val="top"/>
          </w:tcPr>
          <w:p w14:paraId="76073337">
            <w:pPr>
              <w:spacing w:line="268" w:lineRule="auto"/>
              <w:rPr>
                <w:rFonts w:ascii="Arial"/>
                <w:color w:val="auto"/>
                <w:sz w:val="21"/>
                <w:highlight w:val="none"/>
              </w:rPr>
            </w:pPr>
          </w:p>
          <w:p w14:paraId="3A232487">
            <w:pPr>
              <w:spacing w:line="269" w:lineRule="auto"/>
              <w:rPr>
                <w:rFonts w:ascii="Arial"/>
                <w:color w:val="auto"/>
                <w:sz w:val="21"/>
                <w:highlight w:val="none"/>
              </w:rPr>
            </w:pPr>
          </w:p>
          <w:p w14:paraId="660B20C8">
            <w:pPr>
              <w:pStyle w:val="12"/>
              <w:spacing w:before="78"/>
              <w:ind w:left="186"/>
              <w:rPr>
                <w:color w:val="auto"/>
                <w:highlight w:val="none"/>
              </w:rPr>
            </w:pPr>
            <w:r>
              <w:rPr>
                <w:color w:val="auto"/>
                <w:highlight w:val="none"/>
              </w:rPr>
              <w:fldChar w:fldCharType="begin"/>
            </w:r>
            <w:r>
              <w:rPr>
                <w:color w:val="auto"/>
                <w:highlight w:val="none"/>
              </w:rPr>
              <w:instrText xml:space="preserve"> HYPERLINK "4.4.1.2" </w:instrText>
            </w:r>
            <w:r>
              <w:rPr>
                <w:color w:val="auto"/>
                <w:highlight w:val="none"/>
              </w:rPr>
              <w:fldChar w:fldCharType="separate"/>
            </w:r>
            <w:r>
              <w:rPr>
                <w:color w:val="auto"/>
                <w:spacing w:val="-3"/>
                <w:highlight w:val="none"/>
              </w:rPr>
              <w:t>4.4.1.2</w:t>
            </w:r>
            <w:r>
              <w:rPr>
                <w:color w:val="auto"/>
                <w:spacing w:val="-3"/>
                <w:highlight w:val="none"/>
              </w:rPr>
              <w:fldChar w:fldCharType="end"/>
            </w:r>
          </w:p>
        </w:tc>
        <w:tc>
          <w:tcPr>
            <w:tcW w:w="1649" w:type="dxa"/>
            <w:vAlign w:val="top"/>
          </w:tcPr>
          <w:p w14:paraId="640626B9">
            <w:pPr>
              <w:spacing w:line="468" w:lineRule="auto"/>
              <w:rPr>
                <w:rFonts w:ascii="Arial"/>
                <w:color w:val="auto"/>
                <w:sz w:val="21"/>
                <w:highlight w:val="none"/>
              </w:rPr>
            </w:pPr>
          </w:p>
          <w:p w14:paraId="4235B663">
            <w:pPr>
              <w:pStyle w:val="12"/>
              <w:spacing w:before="78"/>
              <w:ind w:left="23" w:right="6" w:hanging="6"/>
              <w:jc w:val="both"/>
              <w:rPr>
                <w:color w:val="auto"/>
                <w:highlight w:val="none"/>
              </w:rPr>
            </w:pPr>
            <w:r>
              <w:rPr>
                <w:color w:val="auto"/>
                <w:spacing w:val="30"/>
                <w:highlight w:val="none"/>
              </w:rPr>
              <w:t>安全管理体系</w:t>
            </w:r>
            <w:r>
              <w:rPr>
                <w:color w:val="auto"/>
                <w:spacing w:val="20"/>
                <w:highlight w:val="none"/>
              </w:rPr>
              <w:t>与措施</w:t>
            </w:r>
            <w:r>
              <w:rPr>
                <w:color w:val="auto"/>
                <w:spacing w:val="-54"/>
                <w:highlight w:val="none"/>
              </w:rPr>
              <w:t xml:space="preserve"> </w:t>
            </w:r>
            <w:r>
              <w:rPr>
                <w:color w:val="auto"/>
                <w:spacing w:val="20"/>
                <w:highlight w:val="none"/>
              </w:rPr>
              <w:t>（</w:t>
            </w:r>
            <w:r>
              <w:rPr>
                <w:color w:val="auto"/>
                <w:spacing w:val="-14"/>
                <w:highlight w:val="none"/>
              </w:rPr>
              <w:t xml:space="preserve"> </w:t>
            </w:r>
            <w:r>
              <w:rPr>
                <w:color w:val="auto"/>
                <w:spacing w:val="20"/>
                <w:highlight w:val="none"/>
              </w:rPr>
              <w:t>9分</w:t>
            </w:r>
            <w:r>
              <w:rPr>
                <w:color w:val="auto"/>
                <w:highlight w:val="none"/>
              </w:rPr>
              <w:t xml:space="preserve"> )</w:t>
            </w:r>
          </w:p>
        </w:tc>
        <w:tc>
          <w:tcPr>
            <w:tcW w:w="6379" w:type="dxa"/>
            <w:vAlign w:val="top"/>
          </w:tcPr>
          <w:p w14:paraId="5423F75B">
            <w:pPr>
              <w:pStyle w:val="12"/>
              <w:spacing w:before="171" w:line="222" w:lineRule="auto"/>
              <w:ind w:left="168"/>
              <w:rPr>
                <w:color w:val="auto"/>
                <w:highlight w:val="none"/>
              </w:rPr>
            </w:pPr>
            <w:r>
              <w:rPr>
                <w:color w:val="auto"/>
                <w:spacing w:val="-3"/>
                <w:highlight w:val="none"/>
              </w:rPr>
              <w:t>内容包含但不限于：①安全生产责任制健全、职责明确；</w:t>
            </w:r>
          </w:p>
          <w:p w14:paraId="78DF9804">
            <w:pPr>
              <w:pStyle w:val="12"/>
              <w:spacing w:before="100" w:line="298" w:lineRule="auto"/>
              <w:ind w:left="159" w:right="276" w:hanging="7"/>
              <w:rPr>
                <w:color w:val="auto"/>
                <w:highlight w:val="none"/>
              </w:rPr>
            </w:pPr>
            <w:r>
              <w:rPr>
                <w:color w:val="auto"/>
                <w:spacing w:val="-2"/>
                <w:highlight w:val="none"/>
              </w:rPr>
              <w:t>②有安全管理资源配置及措施符合相关安全</w:t>
            </w:r>
            <w:r>
              <w:rPr>
                <w:color w:val="auto"/>
                <w:spacing w:val="-3"/>
                <w:highlight w:val="none"/>
              </w:rPr>
              <w:t>技术（操作）规程；</w:t>
            </w:r>
            <w:r>
              <w:rPr>
                <w:rFonts w:ascii="宋体" w:hAnsi="宋体" w:eastAsia="宋体" w:cs="宋体"/>
                <w:color w:val="auto"/>
                <w:spacing w:val="-3"/>
                <w:highlight w:val="none"/>
              </w:rPr>
              <w:t>③</w:t>
            </w:r>
            <w:r>
              <w:rPr>
                <w:color w:val="auto"/>
                <w:spacing w:val="-3"/>
                <w:highlight w:val="none"/>
              </w:rPr>
              <w:t>合理化建议。</w:t>
            </w:r>
          </w:p>
          <w:p w14:paraId="5EC56277">
            <w:pPr>
              <w:pStyle w:val="12"/>
              <w:spacing w:before="89" w:line="203" w:lineRule="auto"/>
              <w:ind w:left="164" w:right="238" w:firstLine="11"/>
              <w:rPr>
                <w:color w:val="auto"/>
                <w:highlight w:val="none"/>
              </w:rPr>
            </w:pPr>
            <w:r>
              <w:rPr>
                <w:color w:val="auto"/>
                <w:spacing w:val="-2"/>
                <w:highlight w:val="none"/>
              </w:rPr>
              <w:t>以上每项内容最高可得3分，满分共9分，根据提供的内容评分，不提供不得分。</w:t>
            </w:r>
          </w:p>
        </w:tc>
      </w:tr>
      <w:tr w14:paraId="6D373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1155" w:type="dxa"/>
            <w:vAlign w:val="top"/>
          </w:tcPr>
          <w:p w14:paraId="05BB39D0">
            <w:pPr>
              <w:spacing w:line="242" w:lineRule="auto"/>
              <w:rPr>
                <w:rFonts w:ascii="Arial"/>
                <w:color w:val="auto"/>
                <w:sz w:val="21"/>
                <w:highlight w:val="none"/>
              </w:rPr>
            </w:pPr>
          </w:p>
          <w:p w14:paraId="1362112B">
            <w:pPr>
              <w:spacing w:line="242" w:lineRule="auto"/>
              <w:rPr>
                <w:rFonts w:ascii="Arial"/>
                <w:color w:val="auto"/>
                <w:sz w:val="21"/>
                <w:highlight w:val="none"/>
              </w:rPr>
            </w:pPr>
          </w:p>
          <w:p w14:paraId="3D4FEBE6">
            <w:pPr>
              <w:spacing w:line="242" w:lineRule="auto"/>
              <w:rPr>
                <w:rFonts w:ascii="Arial"/>
                <w:color w:val="auto"/>
                <w:sz w:val="21"/>
                <w:highlight w:val="none"/>
              </w:rPr>
            </w:pPr>
          </w:p>
          <w:p w14:paraId="298B600C">
            <w:pPr>
              <w:pStyle w:val="12"/>
              <w:spacing w:before="78"/>
              <w:ind w:left="6"/>
              <w:rPr>
                <w:color w:val="auto"/>
                <w:highlight w:val="none"/>
              </w:rPr>
            </w:pPr>
            <w:r>
              <w:rPr>
                <w:color w:val="auto"/>
                <w:highlight w:val="none"/>
              </w:rPr>
              <w:fldChar w:fldCharType="begin"/>
            </w:r>
            <w:r>
              <w:rPr>
                <w:color w:val="auto"/>
                <w:highlight w:val="none"/>
              </w:rPr>
              <w:instrText xml:space="preserve"> HYPERLINK "4.4.1.3" </w:instrText>
            </w:r>
            <w:r>
              <w:rPr>
                <w:color w:val="auto"/>
                <w:highlight w:val="none"/>
              </w:rPr>
              <w:fldChar w:fldCharType="separate"/>
            </w:r>
            <w:r>
              <w:rPr>
                <w:color w:val="auto"/>
                <w:spacing w:val="-3"/>
                <w:highlight w:val="none"/>
              </w:rPr>
              <w:t>4.4.1.3</w:t>
            </w:r>
            <w:r>
              <w:rPr>
                <w:color w:val="auto"/>
                <w:spacing w:val="-3"/>
                <w:highlight w:val="none"/>
              </w:rPr>
              <w:fldChar w:fldCharType="end"/>
            </w:r>
          </w:p>
        </w:tc>
        <w:tc>
          <w:tcPr>
            <w:tcW w:w="1649" w:type="dxa"/>
            <w:vAlign w:val="top"/>
          </w:tcPr>
          <w:p w14:paraId="3C62ABC4">
            <w:pPr>
              <w:spacing w:line="279" w:lineRule="auto"/>
              <w:rPr>
                <w:rFonts w:ascii="Arial"/>
                <w:color w:val="auto"/>
                <w:sz w:val="21"/>
                <w:highlight w:val="none"/>
              </w:rPr>
            </w:pPr>
          </w:p>
          <w:p w14:paraId="33CC99DA">
            <w:pPr>
              <w:pStyle w:val="12"/>
              <w:spacing w:before="78" w:line="225" w:lineRule="auto"/>
              <w:ind w:left="9" w:right="128" w:firstLine="6"/>
              <w:jc w:val="both"/>
              <w:rPr>
                <w:color w:val="auto"/>
                <w:highlight w:val="none"/>
              </w:rPr>
            </w:pPr>
            <w:r>
              <w:rPr>
                <w:color w:val="auto"/>
                <w:spacing w:val="9"/>
                <w:highlight w:val="none"/>
              </w:rPr>
              <w:t>确保工期的技</w:t>
            </w:r>
            <w:r>
              <w:rPr>
                <w:color w:val="auto"/>
                <w:spacing w:val="-8"/>
                <w:highlight w:val="none"/>
              </w:rPr>
              <w:t>术组织措施（1</w:t>
            </w:r>
            <w:r>
              <w:rPr>
                <w:color w:val="auto"/>
                <w:spacing w:val="1"/>
                <w:highlight w:val="none"/>
              </w:rPr>
              <w:t xml:space="preserve"> </w:t>
            </w:r>
            <w:r>
              <w:rPr>
                <w:color w:val="auto"/>
                <w:spacing w:val="-7"/>
                <w:highlight w:val="none"/>
              </w:rPr>
              <w:t>6分）</w:t>
            </w:r>
          </w:p>
        </w:tc>
        <w:tc>
          <w:tcPr>
            <w:tcW w:w="6379" w:type="dxa"/>
            <w:vAlign w:val="top"/>
          </w:tcPr>
          <w:p w14:paraId="52E4151B">
            <w:pPr>
              <w:pStyle w:val="12"/>
              <w:spacing w:before="130" w:line="270" w:lineRule="auto"/>
              <w:ind w:left="162" w:right="161" w:firstLine="18"/>
              <w:rPr>
                <w:color w:val="auto"/>
                <w:highlight w:val="none"/>
              </w:rPr>
            </w:pPr>
            <w:r>
              <w:rPr>
                <w:color w:val="auto"/>
                <w:spacing w:val="1"/>
                <w:highlight w:val="none"/>
              </w:rPr>
              <w:t>内容包含但不限于①工期安排；②工期进度保障措施；③</w:t>
            </w:r>
            <w:r>
              <w:rPr>
                <w:color w:val="auto"/>
                <w:spacing w:val="-6"/>
                <w:highlight w:val="none"/>
              </w:rPr>
              <w:t>施工总进度图；④应急管理制度。</w:t>
            </w:r>
          </w:p>
          <w:p w14:paraId="5104738A">
            <w:pPr>
              <w:pStyle w:val="12"/>
              <w:spacing w:before="59" w:line="223" w:lineRule="auto"/>
              <w:ind w:left="166" w:right="1" w:firstLine="21"/>
              <w:rPr>
                <w:color w:val="auto"/>
                <w:highlight w:val="none"/>
              </w:rPr>
            </w:pPr>
            <w:r>
              <w:rPr>
                <w:color w:val="auto"/>
                <w:spacing w:val="-6"/>
                <w:highlight w:val="none"/>
              </w:rPr>
              <w:t>以上每项内容最高可得4分，满分共16分，</w:t>
            </w:r>
            <w:r>
              <w:rPr>
                <w:color w:val="auto"/>
                <w:spacing w:val="-7"/>
                <w:highlight w:val="none"/>
              </w:rPr>
              <w:t>根据提供的内容评分，不提供不得分。</w:t>
            </w:r>
          </w:p>
        </w:tc>
      </w:tr>
      <w:tr w14:paraId="1F755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1155" w:type="dxa"/>
            <w:vAlign w:val="top"/>
          </w:tcPr>
          <w:p w14:paraId="4398C8D8">
            <w:pPr>
              <w:spacing w:line="298" w:lineRule="auto"/>
              <w:rPr>
                <w:rFonts w:ascii="Arial"/>
                <w:color w:val="auto"/>
                <w:sz w:val="21"/>
                <w:highlight w:val="none"/>
              </w:rPr>
            </w:pPr>
          </w:p>
          <w:p w14:paraId="4E3CDD9E">
            <w:pPr>
              <w:pStyle w:val="12"/>
              <w:spacing w:before="78"/>
              <w:ind w:left="186"/>
              <w:rPr>
                <w:color w:val="auto"/>
                <w:highlight w:val="none"/>
              </w:rPr>
            </w:pPr>
            <w:r>
              <w:rPr>
                <w:color w:val="auto"/>
                <w:highlight w:val="none"/>
              </w:rPr>
              <w:fldChar w:fldCharType="begin"/>
            </w:r>
            <w:r>
              <w:rPr>
                <w:color w:val="auto"/>
                <w:highlight w:val="none"/>
              </w:rPr>
              <w:instrText xml:space="preserve"> HYPERLINK "4.4.1.4" </w:instrText>
            </w:r>
            <w:r>
              <w:rPr>
                <w:color w:val="auto"/>
                <w:highlight w:val="none"/>
              </w:rPr>
              <w:fldChar w:fldCharType="separate"/>
            </w:r>
            <w:r>
              <w:rPr>
                <w:color w:val="auto"/>
                <w:spacing w:val="-3"/>
                <w:highlight w:val="none"/>
              </w:rPr>
              <w:t>4.4.1.4</w:t>
            </w:r>
            <w:r>
              <w:rPr>
                <w:color w:val="auto"/>
                <w:spacing w:val="-3"/>
                <w:highlight w:val="none"/>
              </w:rPr>
              <w:fldChar w:fldCharType="end"/>
            </w:r>
          </w:p>
        </w:tc>
        <w:tc>
          <w:tcPr>
            <w:tcW w:w="1649" w:type="dxa"/>
            <w:vAlign w:val="top"/>
          </w:tcPr>
          <w:p w14:paraId="1EEBCF66">
            <w:pPr>
              <w:pStyle w:val="12"/>
              <w:spacing w:before="97" w:line="225" w:lineRule="auto"/>
              <w:ind w:left="13" w:right="128" w:firstLine="1"/>
              <w:jc w:val="both"/>
              <w:rPr>
                <w:color w:val="auto"/>
                <w:highlight w:val="none"/>
              </w:rPr>
            </w:pPr>
            <w:r>
              <w:rPr>
                <w:color w:val="auto"/>
                <w:spacing w:val="9"/>
                <w:highlight w:val="none"/>
              </w:rPr>
              <w:t>确保工程质量</w:t>
            </w:r>
            <w:r>
              <w:rPr>
                <w:color w:val="auto"/>
                <w:spacing w:val="10"/>
                <w:highlight w:val="none"/>
              </w:rPr>
              <w:t>的技术组织措</w:t>
            </w:r>
            <w:r>
              <w:rPr>
                <w:color w:val="auto"/>
                <w:spacing w:val="-8"/>
                <w:highlight w:val="none"/>
              </w:rPr>
              <w:t>施（12分</w:t>
            </w:r>
            <w:r>
              <w:rPr>
                <w:color w:val="auto"/>
                <w:spacing w:val="-12"/>
                <w:highlight w:val="none"/>
              </w:rPr>
              <w:t xml:space="preserve"> </w:t>
            </w:r>
            <w:r>
              <w:rPr>
                <w:color w:val="auto"/>
                <w:spacing w:val="-8"/>
                <w:highlight w:val="none"/>
              </w:rPr>
              <w:t>）</w:t>
            </w:r>
          </w:p>
        </w:tc>
        <w:tc>
          <w:tcPr>
            <w:tcW w:w="6379" w:type="dxa"/>
            <w:vAlign w:val="top"/>
          </w:tcPr>
          <w:p w14:paraId="73153657">
            <w:pPr>
              <w:pStyle w:val="12"/>
              <w:spacing w:before="107" w:line="221" w:lineRule="auto"/>
              <w:ind w:left="152" w:right="238" w:firstLine="28"/>
              <w:rPr>
                <w:color w:val="auto"/>
                <w:highlight w:val="none"/>
              </w:rPr>
            </w:pPr>
            <w:r>
              <w:rPr>
                <w:color w:val="auto"/>
                <w:spacing w:val="-9"/>
                <w:highlight w:val="none"/>
              </w:rPr>
              <w:t>内容包含但不限于①工程质量保障措施；②工程质量保证</w:t>
            </w:r>
            <w:r>
              <w:rPr>
                <w:color w:val="auto"/>
                <w:spacing w:val="-1"/>
                <w:highlight w:val="none"/>
              </w:rPr>
              <w:t>体系； ③工程所用原材料、中间产品、金属结构等检测的种类、数量符合相关规程规范；④质量检测设备、数量</w:t>
            </w:r>
            <w:r>
              <w:rPr>
                <w:color w:val="auto"/>
                <w:spacing w:val="-4"/>
                <w:highlight w:val="none"/>
              </w:rPr>
              <w:t>满足要求。</w:t>
            </w:r>
          </w:p>
          <w:p w14:paraId="6567E0CA">
            <w:pPr>
              <w:pStyle w:val="12"/>
              <w:spacing w:before="190" w:line="211" w:lineRule="auto"/>
              <w:ind w:left="154" w:right="169" w:firstLine="23"/>
              <w:rPr>
                <w:color w:val="auto"/>
                <w:highlight w:val="none"/>
              </w:rPr>
            </w:pPr>
            <w:r>
              <w:rPr>
                <w:color w:val="auto"/>
                <w:spacing w:val="-4"/>
                <w:highlight w:val="none"/>
              </w:rPr>
              <w:t>以上每项内容最高可得3分，满分共12分，根据提供的内容评分，不提供不得分。</w:t>
            </w:r>
          </w:p>
        </w:tc>
      </w:tr>
      <w:tr w14:paraId="01D01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1155" w:type="dxa"/>
            <w:vAlign w:val="top"/>
          </w:tcPr>
          <w:p w14:paraId="2A45FD3E">
            <w:pPr>
              <w:spacing w:line="280" w:lineRule="auto"/>
              <w:rPr>
                <w:rFonts w:ascii="Arial"/>
                <w:color w:val="auto"/>
                <w:sz w:val="21"/>
                <w:highlight w:val="none"/>
              </w:rPr>
            </w:pPr>
          </w:p>
          <w:p w14:paraId="18B2B334">
            <w:pPr>
              <w:spacing w:line="280" w:lineRule="auto"/>
              <w:rPr>
                <w:rFonts w:ascii="Arial"/>
                <w:color w:val="auto"/>
                <w:sz w:val="21"/>
                <w:highlight w:val="none"/>
              </w:rPr>
            </w:pPr>
          </w:p>
          <w:p w14:paraId="7F412BE6">
            <w:pPr>
              <w:pStyle w:val="12"/>
              <w:spacing w:before="78"/>
              <w:ind w:left="186"/>
              <w:rPr>
                <w:color w:val="auto"/>
                <w:highlight w:val="none"/>
              </w:rPr>
            </w:pPr>
            <w:r>
              <w:rPr>
                <w:color w:val="auto"/>
                <w:highlight w:val="none"/>
              </w:rPr>
              <w:fldChar w:fldCharType="begin"/>
            </w:r>
            <w:r>
              <w:rPr>
                <w:color w:val="auto"/>
                <w:highlight w:val="none"/>
              </w:rPr>
              <w:instrText xml:space="preserve"> HYPERLINK "4.4.1.5" </w:instrText>
            </w:r>
            <w:r>
              <w:rPr>
                <w:color w:val="auto"/>
                <w:highlight w:val="none"/>
              </w:rPr>
              <w:fldChar w:fldCharType="separate"/>
            </w:r>
            <w:r>
              <w:rPr>
                <w:color w:val="auto"/>
                <w:spacing w:val="-3"/>
                <w:highlight w:val="none"/>
              </w:rPr>
              <w:t>4.4.1.5</w:t>
            </w:r>
            <w:r>
              <w:rPr>
                <w:color w:val="auto"/>
                <w:spacing w:val="-3"/>
                <w:highlight w:val="none"/>
              </w:rPr>
              <w:fldChar w:fldCharType="end"/>
            </w:r>
          </w:p>
        </w:tc>
        <w:tc>
          <w:tcPr>
            <w:tcW w:w="1649" w:type="dxa"/>
            <w:vAlign w:val="top"/>
          </w:tcPr>
          <w:p w14:paraId="70BBE779">
            <w:pPr>
              <w:spacing w:line="327" w:lineRule="auto"/>
              <w:rPr>
                <w:rFonts w:ascii="Arial"/>
                <w:color w:val="auto"/>
                <w:sz w:val="21"/>
                <w:highlight w:val="none"/>
              </w:rPr>
            </w:pPr>
          </w:p>
          <w:p w14:paraId="672CF728">
            <w:pPr>
              <w:pStyle w:val="12"/>
              <w:spacing w:before="78"/>
              <w:ind w:left="18" w:firstLine="2"/>
              <w:jc w:val="both"/>
              <w:rPr>
                <w:color w:val="auto"/>
                <w:highlight w:val="none"/>
              </w:rPr>
            </w:pPr>
            <w:r>
              <w:rPr>
                <w:color w:val="auto"/>
                <w:spacing w:val="-16"/>
                <w:highlight w:val="none"/>
              </w:rPr>
              <w:t>注</w:t>
            </w:r>
            <w:r>
              <w:rPr>
                <w:color w:val="auto"/>
                <w:spacing w:val="-62"/>
                <w:highlight w:val="none"/>
              </w:rPr>
              <w:t xml:space="preserve"> </w:t>
            </w:r>
            <w:r>
              <w:rPr>
                <w:color w:val="auto"/>
                <w:spacing w:val="-16"/>
                <w:highlight w:val="none"/>
              </w:rPr>
              <w:t>册</w:t>
            </w:r>
            <w:r>
              <w:rPr>
                <w:color w:val="auto"/>
                <w:spacing w:val="-66"/>
                <w:highlight w:val="none"/>
              </w:rPr>
              <w:t xml:space="preserve"> </w:t>
            </w:r>
            <w:r>
              <w:rPr>
                <w:color w:val="auto"/>
                <w:spacing w:val="-16"/>
                <w:highlight w:val="none"/>
              </w:rPr>
              <w:t>建</w:t>
            </w:r>
            <w:r>
              <w:rPr>
                <w:color w:val="auto"/>
                <w:spacing w:val="-65"/>
                <w:highlight w:val="none"/>
              </w:rPr>
              <w:t xml:space="preserve"> </w:t>
            </w:r>
            <w:r>
              <w:rPr>
                <w:color w:val="auto"/>
                <w:spacing w:val="-16"/>
                <w:highlight w:val="none"/>
              </w:rPr>
              <w:t>造师</w:t>
            </w:r>
            <w:r>
              <w:rPr>
                <w:color w:val="auto"/>
                <w:spacing w:val="53"/>
                <w:highlight w:val="none"/>
              </w:rPr>
              <w:t xml:space="preserve"> </w:t>
            </w:r>
            <w:r>
              <w:rPr>
                <w:color w:val="auto"/>
                <w:spacing w:val="-16"/>
                <w:highlight w:val="none"/>
              </w:rPr>
              <w:t>(</w:t>
            </w:r>
            <w:r>
              <w:rPr>
                <w:color w:val="auto"/>
                <w:spacing w:val="30"/>
                <w:highlight w:val="none"/>
              </w:rPr>
              <w:t>或项目经理）</w:t>
            </w:r>
            <w:r>
              <w:rPr>
                <w:color w:val="auto"/>
                <w:spacing w:val="4"/>
                <w:highlight w:val="none"/>
              </w:rPr>
              <w:t xml:space="preserve"> </w:t>
            </w:r>
            <w:r>
              <w:rPr>
                <w:color w:val="auto"/>
                <w:spacing w:val="-15"/>
                <w:highlight w:val="none"/>
              </w:rPr>
              <w:t>（2分）</w:t>
            </w:r>
          </w:p>
        </w:tc>
        <w:tc>
          <w:tcPr>
            <w:tcW w:w="6379" w:type="dxa"/>
            <w:vAlign w:val="top"/>
          </w:tcPr>
          <w:p w14:paraId="27526B7C">
            <w:pPr>
              <w:pStyle w:val="12"/>
              <w:spacing w:before="203" w:line="337" w:lineRule="auto"/>
              <w:ind w:left="198" w:right="77"/>
              <w:jc w:val="both"/>
              <w:rPr>
                <w:color w:val="auto"/>
                <w:highlight w:val="none"/>
              </w:rPr>
            </w:pPr>
            <w:r>
              <w:rPr>
                <w:color w:val="auto"/>
                <w:spacing w:val="-6"/>
                <w:highlight w:val="none"/>
              </w:rPr>
              <w:t>提供项目经理有类似业绩，每个有效业绩得1分，最多得2分</w:t>
            </w:r>
            <w:r>
              <w:rPr>
                <w:color w:val="auto"/>
                <w:spacing w:val="18"/>
                <w:highlight w:val="none"/>
              </w:rPr>
              <w:t xml:space="preserve"> </w:t>
            </w:r>
            <w:r>
              <w:rPr>
                <w:color w:val="auto"/>
                <w:spacing w:val="3"/>
                <w:highlight w:val="none"/>
              </w:rPr>
              <w:t>。 有效业绩：附中标通知书或合同协议书， 中标通知书</w:t>
            </w:r>
            <w:r>
              <w:rPr>
                <w:color w:val="auto"/>
                <w:spacing w:val="-4"/>
                <w:highlight w:val="none"/>
              </w:rPr>
              <w:t>或合同协议书上必须有本项目建造师姓名）</w:t>
            </w:r>
          </w:p>
        </w:tc>
      </w:tr>
      <w:tr w14:paraId="65519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1" w:hRule="atLeast"/>
        </w:trPr>
        <w:tc>
          <w:tcPr>
            <w:tcW w:w="1155" w:type="dxa"/>
            <w:vAlign w:val="top"/>
          </w:tcPr>
          <w:p w14:paraId="6B5707E1">
            <w:pPr>
              <w:spacing w:line="325" w:lineRule="auto"/>
              <w:rPr>
                <w:rFonts w:ascii="Arial"/>
                <w:color w:val="auto"/>
                <w:sz w:val="21"/>
                <w:highlight w:val="none"/>
              </w:rPr>
            </w:pPr>
          </w:p>
          <w:p w14:paraId="16B5978C">
            <w:pPr>
              <w:spacing w:line="326" w:lineRule="auto"/>
              <w:rPr>
                <w:rFonts w:ascii="Arial"/>
                <w:color w:val="auto"/>
                <w:sz w:val="21"/>
                <w:highlight w:val="none"/>
              </w:rPr>
            </w:pPr>
          </w:p>
          <w:p w14:paraId="12C2D4BF">
            <w:pPr>
              <w:pStyle w:val="12"/>
              <w:spacing w:before="78"/>
              <w:ind w:left="261"/>
              <w:rPr>
                <w:color w:val="auto"/>
                <w:highlight w:val="none"/>
              </w:rPr>
            </w:pPr>
            <w:r>
              <w:rPr>
                <w:color w:val="auto"/>
                <w:highlight w:val="none"/>
              </w:rPr>
              <w:fldChar w:fldCharType="begin"/>
            </w:r>
            <w:r>
              <w:rPr>
                <w:color w:val="auto"/>
                <w:highlight w:val="none"/>
              </w:rPr>
              <w:instrText xml:space="preserve"> HYPERLINK "4.4.1.6" </w:instrText>
            </w:r>
            <w:r>
              <w:rPr>
                <w:color w:val="auto"/>
                <w:highlight w:val="none"/>
              </w:rPr>
              <w:fldChar w:fldCharType="separate"/>
            </w:r>
            <w:r>
              <w:rPr>
                <w:color w:val="auto"/>
                <w:spacing w:val="-3"/>
                <w:highlight w:val="none"/>
              </w:rPr>
              <w:t>4.4.1.6</w:t>
            </w:r>
            <w:r>
              <w:rPr>
                <w:color w:val="auto"/>
                <w:spacing w:val="-3"/>
                <w:highlight w:val="none"/>
              </w:rPr>
              <w:fldChar w:fldCharType="end"/>
            </w:r>
          </w:p>
        </w:tc>
        <w:tc>
          <w:tcPr>
            <w:tcW w:w="1649" w:type="dxa"/>
            <w:vAlign w:val="top"/>
          </w:tcPr>
          <w:p w14:paraId="4D873D4D">
            <w:pPr>
              <w:spacing w:line="257" w:lineRule="auto"/>
              <w:rPr>
                <w:rFonts w:ascii="Arial"/>
                <w:color w:val="auto"/>
                <w:sz w:val="21"/>
                <w:highlight w:val="none"/>
              </w:rPr>
            </w:pPr>
          </w:p>
          <w:p w14:paraId="4D2B5D7C">
            <w:pPr>
              <w:spacing w:line="257" w:lineRule="auto"/>
              <w:rPr>
                <w:rFonts w:ascii="Arial"/>
                <w:color w:val="auto"/>
                <w:sz w:val="21"/>
                <w:highlight w:val="none"/>
              </w:rPr>
            </w:pPr>
          </w:p>
          <w:p w14:paraId="19FED408">
            <w:pPr>
              <w:pStyle w:val="12"/>
              <w:spacing w:before="78" w:line="242" w:lineRule="auto"/>
              <w:ind w:left="32" w:right="85" w:hanging="18"/>
              <w:rPr>
                <w:color w:val="auto"/>
                <w:highlight w:val="none"/>
              </w:rPr>
            </w:pPr>
            <w:r>
              <w:rPr>
                <w:color w:val="auto"/>
                <w:spacing w:val="-3"/>
                <w:highlight w:val="none"/>
              </w:rPr>
              <w:t>应急预案（3分</w:t>
            </w:r>
            <w:r>
              <w:rPr>
                <w:color w:val="auto"/>
                <w:spacing w:val="4"/>
                <w:highlight w:val="none"/>
              </w:rPr>
              <w:t xml:space="preserve"> </w:t>
            </w:r>
            <w:r>
              <w:rPr>
                <w:color w:val="auto"/>
                <w:highlight w:val="none"/>
              </w:rPr>
              <w:t>)</w:t>
            </w:r>
          </w:p>
        </w:tc>
        <w:tc>
          <w:tcPr>
            <w:tcW w:w="6379" w:type="dxa"/>
            <w:vAlign w:val="top"/>
          </w:tcPr>
          <w:p w14:paraId="3ED75F6D">
            <w:pPr>
              <w:pStyle w:val="12"/>
              <w:spacing w:before="249" w:line="241" w:lineRule="auto"/>
              <w:ind w:left="27" w:right="135" w:hanging="13"/>
              <w:rPr>
                <w:color w:val="auto"/>
                <w:highlight w:val="none"/>
              </w:rPr>
            </w:pPr>
            <w:r>
              <w:rPr>
                <w:color w:val="auto"/>
                <w:spacing w:val="-1"/>
                <w:highlight w:val="none"/>
              </w:rPr>
              <w:t>应急预案包含但不限于（1）应急预案的方针与原则（2）应</w:t>
            </w:r>
            <w:r>
              <w:rPr>
                <w:color w:val="auto"/>
                <w:spacing w:val="-2"/>
                <w:highlight w:val="none"/>
              </w:rPr>
              <w:t>急事故发生处理流程（3）应急设备配置。</w:t>
            </w:r>
          </w:p>
          <w:p w14:paraId="228E44D4">
            <w:pPr>
              <w:pStyle w:val="12"/>
              <w:spacing w:before="68"/>
              <w:ind w:left="17" w:right="135" w:firstLine="21"/>
              <w:rPr>
                <w:color w:val="auto"/>
                <w:highlight w:val="none"/>
              </w:rPr>
            </w:pPr>
            <w:r>
              <w:rPr>
                <w:color w:val="auto"/>
                <w:spacing w:val="-2"/>
                <w:highlight w:val="none"/>
              </w:rPr>
              <w:t>以上内容每项1分，满分3分，根据内容打分，不提供则不得</w:t>
            </w:r>
            <w:r>
              <w:rPr>
                <w:color w:val="auto"/>
                <w:spacing w:val="-10"/>
                <w:highlight w:val="none"/>
              </w:rPr>
              <w:t>分。</w:t>
            </w:r>
          </w:p>
        </w:tc>
      </w:tr>
      <w:tr w14:paraId="7E628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7" w:hRule="atLeast"/>
        </w:trPr>
        <w:tc>
          <w:tcPr>
            <w:tcW w:w="1155" w:type="dxa"/>
            <w:vAlign w:val="top"/>
          </w:tcPr>
          <w:p w14:paraId="16EEACB4">
            <w:pPr>
              <w:spacing w:line="268" w:lineRule="auto"/>
              <w:rPr>
                <w:rFonts w:ascii="Arial"/>
                <w:color w:val="auto"/>
                <w:sz w:val="21"/>
                <w:highlight w:val="none"/>
              </w:rPr>
            </w:pPr>
          </w:p>
          <w:p w14:paraId="3407B63D">
            <w:pPr>
              <w:spacing w:line="268" w:lineRule="auto"/>
              <w:rPr>
                <w:rFonts w:ascii="Arial"/>
                <w:color w:val="auto"/>
                <w:sz w:val="21"/>
                <w:highlight w:val="none"/>
              </w:rPr>
            </w:pPr>
          </w:p>
          <w:p w14:paraId="6CB7F644">
            <w:pPr>
              <w:pStyle w:val="12"/>
              <w:spacing w:before="78"/>
              <w:ind w:left="186"/>
              <w:rPr>
                <w:color w:val="auto"/>
                <w:highlight w:val="none"/>
              </w:rPr>
            </w:pPr>
            <w:r>
              <w:rPr>
                <w:color w:val="auto"/>
                <w:highlight w:val="none"/>
              </w:rPr>
              <w:fldChar w:fldCharType="begin"/>
            </w:r>
            <w:r>
              <w:rPr>
                <w:color w:val="auto"/>
                <w:highlight w:val="none"/>
              </w:rPr>
              <w:instrText xml:space="preserve"> HYPERLINK "4.4.1.6" </w:instrText>
            </w:r>
            <w:r>
              <w:rPr>
                <w:color w:val="auto"/>
                <w:highlight w:val="none"/>
              </w:rPr>
              <w:fldChar w:fldCharType="separate"/>
            </w:r>
            <w:r>
              <w:rPr>
                <w:color w:val="auto"/>
                <w:spacing w:val="-3"/>
                <w:highlight w:val="none"/>
              </w:rPr>
              <w:t>4.4.1.7</w:t>
            </w:r>
            <w:r>
              <w:rPr>
                <w:color w:val="auto"/>
                <w:spacing w:val="-3"/>
                <w:highlight w:val="none"/>
              </w:rPr>
              <w:fldChar w:fldCharType="end"/>
            </w:r>
          </w:p>
        </w:tc>
        <w:tc>
          <w:tcPr>
            <w:tcW w:w="1649" w:type="dxa"/>
            <w:vAlign w:val="top"/>
          </w:tcPr>
          <w:p w14:paraId="426705A8">
            <w:pPr>
              <w:spacing w:line="341" w:lineRule="auto"/>
              <w:rPr>
                <w:rFonts w:ascii="Arial"/>
                <w:color w:val="auto"/>
                <w:sz w:val="21"/>
                <w:highlight w:val="none"/>
              </w:rPr>
            </w:pPr>
          </w:p>
          <w:p w14:paraId="2F96D88B">
            <w:pPr>
              <w:pStyle w:val="12"/>
              <w:spacing w:before="78" w:line="367" w:lineRule="auto"/>
              <w:ind w:left="297" w:right="454" w:hanging="3"/>
              <w:rPr>
                <w:color w:val="auto"/>
                <w:highlight w:val="none"/>
              </w:rPr>
            </w:pPr>
            <w:r>
              <w:rPr>
                <w:color w:val="auto"/>
                <w:spacing w:val="-17"/>
                <w:highlight w:val="none"/>
              </w:rPr>
              <w:t>后续服务</w:t>
            </w:r>
            <w:r>
              <w:rPr>
                <w:color w:val="auto"/>
                <w:spacing w:val="-15"/>
                <w:highlight w:val="none"/>
              </w:rPr>
              <w:t>（5</w:t>
            </w:r>
            <w:r>
              <w:rPr>
                <w:color w:val="auto"/>
                <w:spacing w:val="-25"/>
                <w:highlight w:val="none"/>
              </w:rPr>
              <w:t xml:space="preserve"> </w:t>
            </w:r>
            <w:r>
              <w:rPr>
                <w:color w:val="auto"/>
                <w:spacing w:val="-15"/>
                <w:highlight w:val="none"/>
              </w:rPr>
              <w:t>分）</w:t>
            </w:r>
          </w:p>
        </w:tc>
        <w:tc>
          <w:tcPr>
            <w:tcW w:w="6379" w:type="dxa"/>
            <w:vAlign w:val="top"/>
          </w:tcPr>
          <w:p w14:paraId="293A13F1">
            <w:pPr>
              <w:pStyle w:val="12"/>
              <w:spacing w:before="204" w:line="305" w:lineRule="auto"/>
              <w:ind w:left="193" w:right="195" w:firstLine="2"/>
              <w:jc w:val="both"/>
              <w:rPr>
                <w:color w:val="auto"/>
                <w:highlight w:val="none"/>
              </w:rPr>
            </w:pPr>
            <w:r>
              <w:rPr>
                <w:color w:val="auto"/>
                <w:spacing w:val="-1"/>
                <w:highlight w:val="none"/>
              </w:rPr>
              <w:t>后续服务包含但不限于（1）质保期内外服务措施（2）响应时间及问题处理措施（3）后续服务质量保</w:t>
            </w:r>
            <w:r>
              <w:rPr>
                <w:color w:val="auto"/>
                <w:spacing w:val="-2"/>
                <w:highlight w:val="none"/>
              </w:rPr>
              <w:t>障措施（4）</w:t>
            </w:r>
            <w:r>
              <w:rPr>
                <w:color w:val="auto"/>
                <w:spacing w:val="-1"/>
                <w:highlight w:val="none"/>
              </w:rPr>
              <w:t>针对本项目提供的后续服务人员配备方案及服务承诺（5</w:t>
            </w:r>
            <w:r>
              <w:rPr>
                <w:color w:val="auto"/>
                <w:spacing w:val="4"/>
                <w:highlight w:val="none"/>
              </w:rPr>
              <w:t xml:space="preserve">  </w:t>
            </w:r>
            <w:r>
              <w:rPr>
                <w:color w:val="auto"/>
                <w:spacing w:val="-2"/>
                <w:highlight w:val="none"/>
              </w:rPr>
              <w:t>)</w:t>
            </w:r>
            <w:r>
              <w:rPr>
                <w:color w:val="auto"/>
                <w:spacing w:val="35"/>
                <w:highlight w:val="none"/>
              </w:rPr>
              <w:t xml:space="preserve"> </w:t>
            </w:r>
            <w:r>
              <w:rPr>
                <w:color w:val="auto"/>
                <w:spacing w:val="-2"/>
                <w:highlight w:val="none"/>
              </w:rPr>
              <w:t>人员响应及时到场情况。以上每项内容得1分，满分共5分，不提供不得分。</w:t>
            </w:r>
          </w:p>
        </w:tc>
      </w:tr>
    </w:tbl>
    <w:p w14:paraId="7B1A7049">
      <w:pPr>
        <w:pStyle w:val="3"/>
        <w:spacing w:line="166" w:lineRule="exact"/>
        <w:rPr>
          <w:color w:val="auto"/>
          <w:sz w:val="14"/>
          <w:highlight w:val="none"/>
        </w:rPr>
      </w:pPr>
    </w:p>
    <w:p w14:paraId="41AF8D31">
      <w:pPr>
        <w:spacing w:line="166" w:lineRule="exact"/>
        <w:rPr>
          <w:color w:val="auto"/>
          <w:sz w:val="14"/>
          <w:szCs w:val="14"/>
          <w:highlight w:val="none"/>
        </w:rPr>
        <w:sectPr>
          <w:footerReference r:id="rId31" w:type="default"/>
          <w:pgSz w:w="11906" w:h="16840"/>
          <w:pgMar w:top="1418" w:right="1269" w:bottom="1174" w:left="1447" w:header="0" w:footer="928" w:gutter="0"/>
          <w:pgNumType w:fmt="decimal"/>
          <w:cols w:space="720" w:num="1"/>
        </w:sectPr>
      </w:pPr>
    </w:p>
    <w:tbl>
      <w:tblPr>
        <w:tblStyle w:val="11"/>
        <w:tblW w:w="91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5"/>
        <w:gridCol w:w="1649"/>
        <w:gridCol w:w="6379"/>
      </w:tblGrid>
      <w:tr w14:paraId="2EC73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76" w:hRule="atLeast"/>
        </w:trPr>
        <w:tc>
          <w:tcPr>
            <w:tcW w:w="1155" w:type="dxa"/>
            <w:vAlign w:val="top"/>
          </w:tcPr>
          <w:p w14:paraId="5E3D80B3">
            <w:pPr>
              <w:spacing w:line="267" w:lineRule="auto"/>
              <w:rPr>
                <w:rFonts w:ascii="Arial"/>
                <w:color w:val="auto"/>
                <w:sz w:val="21"/>
                <w:highlight w:val="none"/>
              </w:rPr>
            </w:pPr>
          </w:p>
          <w:p w14:paraId="253DBC20">
            <w:pPr>
              <w:spacing w:line="267" w:lineRule="auto"/>
              <w:rPr>
                <w:rFonts w:ascii="Arial"/>
                <w:color w:val="auto"/>
                <w:sz w:val="21"/>
                <w:highlight w:val="none"/>
              </w:rPr>
            </w:pPr>
          </w:p>
          <w:p w14:paraId="5CDF5E52">
            <w:pPr>
              <w:pStyle w:val="12"/>
              <w:spacing w:before="79"/>
              <w:ind w:left="186"/>
              <w:rPr>
                <w:color w:val="auto"/>
                <w:highlight w:val="none"/>
              </w:rPr>
            </w:pPr>
            <w:r>
              <w:rPr>
                <w:color w:val="auto"/>
                <w:highlight w:val="none"/>
              </w:rPr>
              <w:fldChar w:fldCharType="begin"/>
            </w:r>
            <w:r>
              <w:rPr>
                <w:color w:val="auto"/>
                <w:highlight w:val="none"/>
              </w:rPr>
              <w:instrText xml:space="preserve"> HYPERLINK "4.4.1.7" </w:instrText>
            </w:r>
            <w:r>
              <w:rPr>
                <w:color w:val="auto"/>
                <w:highlight w:val="none"/>
              </w:rPr>
              <w:fldChar w:fldCharType="separate"/>
            </w:r>
            <w:r>
              <w:rPr>
                <w:color w:val="auto"/>
                <w:spacing w:val="-3"/>
                <w:highlight w:val="none"/>
              </w:rPr>
              <w:t>4.4.1.8</w:t>
            </w:r>
            <w:r>
              <w:rPr>
                <w:color w:val="auto"/>
                <w:spacing w:val="-3"/>
                <w:highlight w:val="none"/>
              </w:rPr>
              <w:fldChar w:fldCharType="end"/>
            </w:r>
          </w:p>
        </w:tc>
        <w:tc>
          <w:tcPr>
            <w:tcW w:w="1649" w:type="dxa"/>
            <w:vAlign w:val="top"/>
          </w:tcPr>
          <w:p w14:paraId="19D28DC7">
            <w:pPr>
              <w:spacing w:line="324" w:lineRule="auto"/>
              <w:rPr>
                <w:rFonts w:ascii="Arial"/>
                <w:color w:val="auto"/>
                <w:sz w:val="21"/>
                <w:highlight w:val="none"/>
              </w:rPr>
            </w:pPr>
          </w:p>
          <w:p w14:paraId="7FBBE87D">
            <w:pPr>
              <w:pStyle w:val="12"/>
              <w:spacing w:before="78" w:line="239" w:lineRule="auto"/>
              <w:ind w:left="28" w:right="6" w:hanging="14"/>
              <w:rPr>
                <w:color w:val="auto"/>
                <w:highlight w:val="none"/>
              </w:rPr>
            </w:pPr>
            <w:r>
              <w:rPr>
                <w:color w:val="auto"/>
                <w:spacing w:val="30"/>
                <w:highlight w:val="none"/>
              </w:rPr>
              <w:t>近三年已完成</w:t>
            </w:r>
            <w:r>
              <w:rPr>
                <w:color w:val="auto"/>
                <w:spacing w:val="-2"/>
                <w:highlight w:val="none"/>
              </w:rPr>
              <w:t>的类似业绩</w:t>
            </w:r>
          </w:p>
          <w:p w14:paraId="47713AF2">
            <w:pPr>
              <w:pStyle w:val="12"/>
              <w:spacing w:line="223" w:lineRule="auto"/>
              <w:ind w:left="19"/>
              <w:rPr>
                <w:color w:val="auto"/>
                <w:highlight w:val="none"/>
              </w:rPr>
            </w:pPr>
            <w:r>
              <w:rPr>
                <w:color w:val="auto"/>
                <w:spacing w:val="-8"/>
                <w:highlight w:val="none"/>
              </w:rPr>
              <w:t>（</w:t>
            </w:r>
            <w:r>
              <w:rPr>
                <w:color w:val="auto"/>
                <w:spacing w:val="26"/>
                <w:highlight w:val="none"/>
              </w:rPr>
              <w:t xml:space="preserve"> </w:t>
            </w:r>
            <w:r>
              <w:rPr>
                <w:color w:val="auto"/>
                <w:spacing w:val="-8"/>
                <w:highlight w:val="none"/>
              </w:rPr>
              <w:t>3分</w:t>
            </w:r>
            <w:r>
              <w:rPr>
                <w:color w:val="auto"/>
                <w:spacing w:val="13"/>
                <w:highlight w:val="none"/>
              </w:rPr>
              <w:t xml:space="preserve"> </w:t>
            </w:r>
            <w:r>
              <w:rPr>
                <w:color w:val="auto"/>
                <w:spacing w:val="-8"/>
                <w:highlight w:val="none"/>
              </w:rPr>
              <w:t>）</w:t>
            </w:r>
          </w:p>
        </w:tc>
        <w:tc>
          <w:tcPr>
            <w:tcW w:w="6379" w:type="dxa"/>
            <w:vAlign w:val="top"/>
          </w:tcPr>
          <w:p w14:paraId="3E7B2292">
            <w:pPr>
              <w:pStyle w:val="12"/>
              <w:spacing w:before="153" w:line="358" w:lineRule="auto"/>
              <w:ind w:left="136" w:right="245" w:firstLine="11"/>
              <w:rPr>
                <w:color w:val="auto"/>
                <w:highlight w:val="none"/>
              </w:rPr>
            </w:pPr>
            <w:r>
              <w:rPr>
                <w:color w:val="auto"/>
                <w:spacing w:val="-6"/>
                <w:highlight w:val="none"/>
              </w:rPr>
              <w:t>施工企业有类似业绩，每一个有效业绩加1分，本项最高得</w:t>
            </w:r>
            <w:r>
              <w:rPr>
                <w:color w:val="auto"/>
                <w:spacing w:val="-10"/>
                <w:highlight w:val="none"/>
              </w:rPr>
              <w:t>3</w:t>
            </w:r>
            <w:r>
              <w:rPr>
                <w:color w:val="auto"/>
                <w:spacing w:val="-23"/>
                <w:highlight w:val="none"/>
              </w:rPr>
              <w:t xml:space="preserve"> </w:t>
            </w:r>
            <w:r>
              <w:rPr>
                <w:color w:val="auto"/>
                <w:spacing w:val="-10"/>
                <w:highlight w:val="none"/>
              </w:rPr>
              <w:t>分，未提供不得分。</w:t>
            </w:r>
          </w:p>
          <w:p w14:paraId="5E962713">
            <w:pPr>
              <w:pStyle w:val="12"/>
              <w:spacing w:line="222" w:lineRule="auto"/>
              <w:ind w:left="141"/>
              <w:rPr>
                <w:color w:val="auto"/>
                <w:highlight w:val="none"/>
              </w:rPr>
            </w:pPr>
            <w:r>
              <w:rPr>
                <w:color w:val="auto"/>
                <w:spacing w:val="-3"/>
                <w:highlight w:val="none"/>
              </w:rPr>
              <w:t>有效业绩：附中标通知书或合同协议书，否则视为无效；</w:t>
            </w:r>
          </w:p>
        </w:tc>
      </w:tr>
    </w:tbl>
    <w:p w14:paraId="4C93C047">
      <w:pPr>
        <w:pStyle w:val="3"/>
        <w:spacing w:line="291" w:lineRule="auto"/>
        <w:rPr>
          <w:color w:val="auto"/>
          <w:highlight w:val="none"/>
        </w:rPr>
      </w:pPr>
    </w:p>
    <w:p w14:paraId="1A3C91B2">
      <w:pPr>
        <w:spacing w:before="78" w:line="206" w:lineRule="auto"/>
        <w:ind w:left="611"/>
        <w:rPr>
          <w:rFonts w:ascii="楷体" w:hAnsi="楷体" w:eastAsia="楷体" w:cs="楷体"/>
          <w:color w:val="auto"/>
          <w:sz w:val="24"/>
          <w:szCs w:val="24"/>
          <w:highlight w:val="none"/>
        </w:rPr>
      </w:pPr>
      <w:r>
        <w:rPr>
          <w:rFonts w:ascii="楷体" w:hAnsi="楷体" w:eastAsia="楷体" w:cs="楷体"/>
          <w:color w:val="auto"/>
          <w:spacing w:val="-3"/>
          <w:sz w:val="24"/>
          <w:szCs w:val="24"/>
          <w:highlight w:val="none"/>
        </w:rPr>
        <w:t>2.1.政策加分以及计算方法</w:t>
      </w:r>
    </w:p>
    <w:tbl>
      <w:tblPr>
        <w:tblStyle w:val="11"/>
        <w:tblW w:w="9226"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7"/>
        <w:gridCol w:w="7879"/>
      </w:tblGrid>
      <w:tr w14:paraId="79013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9226" w:type="dxa"/>
            <w:gridSpan w:val="2"/>
            <w:vAlign w:val="top"/>
          </w:tcPr>
          <w:p w14:paraId="70D735A6">
            <w:pPr>
              <w:pStyle w:val="12"/>
              <w:spacing w:before="216" w:line="206" w:lineRule="auto"/>
              <w:ind w:left="2067" w:right="153" w:hanging="62"/>
              <w:rPr>
                <w:color w:val="auto"/>
                <w:highlight w:val="none"/>
              </w:rPr>
            </w:pPr>
            <w:r>
              <w:rPr>
                <w:b/>
                <w:bCs/>
                <w:color w:val="auto"/>
                <w:spacing w:val="-6"/>
                <w:highlight w:val="none"/>
              </w:rPr>
              <w:t>小型、微型企业和监狱企业产品价格扣除的要求</w:t>
            </w:r>
            <w:r>
              <w:rPr>
                <w:b/>
                <w:bCs/>
                <w:color w:val="auto"/>
                <w:spacing w:val="-24"/>
                <w:highlight w:val="none"/>
              </w:rPr>
              <w:t>：（</w:t>
            </w:r>
            <w:r>
              <w:rPr>
                <w:b/>
                <w:bCs/>
                <w:color w:val="auto"/>
                <w:spacing w:val="-6"/>
                <w:highlight w:val="none"/>
              </w:rPr>
              <w:t>本项目专门面向</w:t>
            </w:r>
            <w:r>
              <w:rPr>
                <w:b/>
                <w:bCs/>
                <w:color w:val="auto"/>
                <w:spacing w:val="-15"/>
                <w:highlight w:val="none"/>
              </w:rPr>
              <w:t>中小企业，不适用）</w:t>
            </w:r>
          </w:p>
        </w:tc>
      </w:tr>
      <w:tr w14:paraId="1480D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347" w:type="dxa"/>
            <w:vAlign w:val="top"/>
          </w:tcPr>
          <w:p w14:paraId="32E65619">
            <w:pPr>
              <w:pStyle w:val="12"/>
              <w:spacing w:before="210" w:line="216" w:lineRule="auto"/>
              <w:ind w:left="237"/>
              <w:rPr>
                <w:color w:val="auto"/>
                <w:highlight w:val="none"/>
              </w:rPr>
            </w:pPr>
            <w:r>
              <w:rPr>
                <w:color w:val="auto"/>
                <w:spacing w:val="-8"/>
                <w:highlight w:val="none"/>
              </w:rPr>
              <w:t>评审内容</w:t>
            </w:r>
          </w:p>
        </w:tc>
        <w:tc>
          <w:tcPr>
            <w:tcW w:w="7879" w:type="dxa"/>
            <w:vAlign w:val="top"/>
          </w:tcPr>
          <w:p w14:paraId="4B0FEA37">
            <w:pPr>
              <w:pStyle w:val="12"/>
              <w:spacing w:before="210" w:line="216" w:lineRule="auto"/>
              <w:ind w:left="3503"/>
              <w:rPr>
                <w:color w:val="auto"/>
                <w:highlight w:val="none"/>
              </w:rPr>
            </w:pPr>
            <w:r>
              <w:rPr>
                <w:color w:val="auto"/>
                <w:spacing w:val="-8"/>
                <w:highlight w:val="none"/>
              </w:rPr>
              <w:t>评分标准</w:t>
            </w:r>
          </w:p>
        </w:tc>
      </w:tr>
      <w:tr w14:paraId="09FD1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0" w:hRule="atLeast"/>
        </w:trPr>
        <w:tc>
          <w:tcPr>
            <w:tcW w:w="1347" w:type="dxa"/>
            <w:vAlign w:val="top"/>
          </w:tcPr>
          <w:p w14:paraId="3C45E6FE">
            <w:pPr>
              <w:spacing w:line="278" w:lineRule="auto"/>
              <w:rPr>
                <w:rFonts w:ascii="Arial"/>
                <w:color w:val="auto"/>
                <w:sz w:val="21"/>
                <w:highlight w:val="none"/>
              </w:rPr>
            </w:pPr>
          </w:p>
          <w:p w14:paraId="610C6435">
            <w:pPr>
              <w:spacing w:line="278" w:lineRule="auto"/>
              <w:rPr>
                <w:rFonts w:ascii="Arial"/>
                <w:color w:val="auto"/>
                <w:sz w:val="21"/>
                <w:highlight w:val="none"/>
              </w:rPr>
            </w:pPr>
          </w:p>
          <w:p w14:paraId="255AE49C">
            <w:pPr>
              <w:spacing w:line="278" w:lineRule="auto"/>
              <w:rPr>
                <w:rFonts w:ascii="Arial"/>
                <w:color w:val="auto"/>
                <w:sz w:val="21"/>
                <w:highlight w:val="none"/>
              </w:rPr>
            </w:pPr>
          </w:p>
          <w:p w14:paraId="3A650CCB">
            <w:pPr>
              <w:pStyle w:val="12"/>
              <w:spacing w:before="78" w:line="222" w:lineRule="auto"/>
              <w:ind w:left="327"/>
              <w:rPr>
                <w:color w:val="auto"/>
                <w:highlight w:val="none"/>
              </w:rPr>
            </w:pPr>
            <w:r>
              <w:rPr>
                <w:color w:val="auto"/>
                <w:spacing w:val="-21"/>
                <w:highlight w:val="none"/>
              </w:rPr>
              <w:t>中小微型</w:t>
            </w:r>
          </w:p>
          <w:p w14:paraId="54BCBECF">
            <w:pPr>
              <w:pStyle w:val="12"/>
              <w:spacing w:before="112" w:line="222" w:lineRule="auto"/>
              <w:ind w:left="237"/>
              <w:rPr>
                <w:color w:val="auto"/>
                <w:highlight w:val="none"/>
              </w:rPr>
            </w:pPr>
            <w:r>
              <w:rPr>
                <w:color w:val="auto"/>
                <w:spacing w:val="-8"/>
                <w:highlight w:val="none"/>
              </w:rPr>
              <w:t>企业有关</w:t>
            </w:r>
          </w:p>
          <w:p w14:paraId="753EA5A1">
            <w:pPr>
              <w:pStyle w:val="12"/>
              <w:spacing w:before="116" w:line="222" w:lineRule="auto"/>
              <w:ind w:left="477"/>
              <w:rPr>
                <w:color w:val="auto"/>
                <w:highlight w:val="none"/>
              </w:rPr>
            </w:pPr>
            <w:r>
              <w:rPr>
                <w:color w:val="auto"/>
                <w:spacing w:val="-9"/>
                <w:highlight w:val="none"/>
              </w:rPr>
              <w:t>政策</w:t>
            </w:r>
          </w:p>
        </w:tc>
        <w:tc>
          <w:tcPr>
            <w:tcW w:w="7879" w:type="dxa"/>
            <w:vAlign w:val="top"/>
          </w:tcPr>
          <w:p w14:paraId="01F02A8F">
            <w:pPr>
              <w:pStyle w:val="12"/>
              <w:spacing w:before="252"/>
              <w:ind w:left="168" w:right="127" w:firstLine="53"/>
              <w:rPr>
                <w:color w:val="auto"/>
                <w:highlight w:val="none"/>
              </w:rPr>
            </w:pPr>
            <w:r>
              <w:rPr>
                <w:color w:val="auto"/>
                <w:spacing w:val="-1"/>
                <w:highlight w:val="none"/>
              </w:rPr>
              <w:t>（1）国家统计局关于印发《统计上大中小微型企业划分办法（201</w:t>
            </w:r>
            <w:r>
              <w:rPr>
                <w:color w:val="auto"/>
                <w:spacing w:val="-2"/>
                <w:highlight w:val="none"/>
              </w:rPr>
              <w:t>7）》</w:t>
            </w:r>
            <w:r>
              <w:rPr>
                <w:color w:val="auto"/>
                <w:spacing w:val="-13"/>
                <w:highlight w:val="none"/>
              </w:rPr>
              <w:t>的</w:t>
            </w:r>
            <w:r>
              <w:rPr>
                <w:color w:val="auto"/>
                <w:spacing w:val="25"/>
                <w:highlight w:val="none"/>
              </w:rPr>
              <w:t xml:space="preserve"> </w:t>
            </w:r>
            <w:r>
              <w:rPr>
                <w:color w:val="auto"/>
                <w:spacing w:val="-13"/>
                <w:highlight w:val="none"/>
              </w:rPr>
              <w:t>通知执行；</w:t>
            </w:r>
          </w:p>
          <w:p w14:paraId="64072A00">
            <w:pPr>
              <w:pStyle w:val="12"/>
              <w:spacing w:before="270" w:line="262" w:lineRule="auto"/>
              <w:ind w:left="151" w:right="230" w:firstLine="67"/>
              <w:rPr>
                <w:color w:val="auto"/>
                <w:highlight w:val="none"/>
              </w:rPr>
            </w:pPr>
            <w:r>
              <w:rPr>
                <w:color w:val="auto"/>
                <w:spacing w:val="-5"/>
                <w:highlight w:val="none"/>
              </w:rPr>
              <w:t>（2）按照《财政部司法部关于政府采购支持监狱企业发展有关问题的通知》 （财库〔2014〕68 号）文件规定，在政府采</w:t>
            </w:r>
            <w:r>
              <w:rPr>
                <w:color w:val="auto"/>
                <w:spacing w:val="-6"/>
                <w:highlight w:val="none"/>
              </w:rPr>
              <w:t>购活动中，对小型和微</w:t>
            </w:r>
            <w:r>
              <w:rPr>
                <w:color w:val="auto"/>
                <w:spacing w:val="-3"/>
                <w:highlight w:val="none"/>
              </w:rPr>
              <w:t>型企业 产品的价格给予扣除，用扣除后的价格参与评审。</w:t>
            </w:r>
          </w:p>
          <w:p w14:paraId="007A4837">
            <w:pPr>
              <w:pStyle w:val="12"/>
              <w:spacing w:before="250" w:line="222" w:lineRule="auto"/>
              <w:ind w:left="222"/>
              <w:rPr>
                <w:color w:val="auto"/>
                <w:highlight w:val="none"/>
              </w:rPr>
            </w:pPr>
            <w:r>
              <w:rPr>
                <w:color w:val="auto"/>
                <w:spacing w:val="-7"/>
                <w:highlight w:val="none"/>
              </w:rPr>
              <w:t>（3）价格扣除幅度</w:t>
            </w:r>
            <w:r>
              <w:rPr>
                <w:color w:val="auto"/>
                <w:spacing w:val="-24"/>
                <w:highlight w:val="none"/>
              </w:rPr>
              <w:t>：（</w:t>
            </w:r>
            <w:r>
              <w:rPr>
                <w:color w:val="auto"/>
                <w:spacing w:val="-7"/>
                <w:highlight w:val="none"/>
              </w:rPr>
              <w:t>本项目专门面向中小企业，不适用）</w:t>
            </w:r>
          </w:p>
        </w:tc>
      </w:tr>
    </w:tbl>
    <w:p w14:paraId="5E8259A6">
      <w:pPr>
        <w:spacing w:before="149" w:line="224" w:lineRule="auto"/>
        <w:ind w:left="640"/>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说明：</w:t>
      </w:r>
    </w:p>
    <w:p w14:paraId="2CC76071">
      <w:pPr>
        <w:spacing w:before="140" w:line="264" w:lineRule="auto"/>
        <w:ind w:left="158" w:right="629" w:firstLine="495"/>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（1）供应商所提供的材料或者填写的内容必须真实、可靠，如有虚假或隐瞒</w:t>
      </w:r>
      <w:r>
        <w:rPr>
          <w:rFonts w:ascii="仿宋" w:hAnsi="仿宋" w:eastAsia="仿宋" w:cs="仿宋"/>
          <w:color w:val="auto"/>
          <w:spacing w:val="2"/>
          <w:sz w:val="24"/>
          <w:szCs w:val="24"/>
          <w:highlight w:val="none"/>
        </w:rPr>
        <w:t xml:space="preserve"> </w:t>
      </w:r>
      <w:r>
        <w:rPr>
          <w:rFonts w:ascii="仿宋" w:hAnsi="仿宋" w:eastAsia="仿宋" w:cs="仿宋"/>
          <w:color w:val="auto"/>
          <w:spacing w:val="-10"/>
          <w:sz w:val="24"/>
          <w:szCs w:val="24"/>
          <w:highlight w:val="none"/>
        </w:rPr>
        <w:t>,</w:t>
      </w:r>
      <w:r>
        <w:rPr>
          <w:rFonts w:ascii="仿宋" w:hAnsi="仿宋" w:eastAsia="仿宋" w:cs="仿宋"/>
          <w:color w:val="auto"/>
          <w:spacing w:val="35"/>
          <w:sz w:val="24"/>
          <w:szCs w:val="24"/>
          <w:highlight w:val="none"/>
        </w:rPr>
        <w:t xml:space="preserve">  </w:t>
      </w:r>
      <w:r>
        <w:rPr>
          <w:rFonts w:ascii="仿宋" w:hAnsi="仿宋" w:eastAsia="仿宋" w:cs="仿宋"/>
          <w:color w:val="auto"/>
          <w:spacing w:val="-10"/>
          <w:sz w:val="24"/>
          <w:szCs w:val="24"/>
          <w:highlight w:val="none"/>
        </w:rPr>
        <w:t>一经查实将导致投标被拒绝，并按照《中</w:t>
      </w:r>
      <w:r>
        <w:rPr>
          <w:rFonts w:ascii="仿宋" w:hAnsi="仿宋" w:eastAsia="仿宋" w:cs="仿宋"/>
          <w:color w:val="auto"/>
          <w:spacing w:val="-11"/>
          <w:sz w:val="24"/>
          <w:szCs w:val="24"/>
          <w:highlight w:val="none"/>
        </w:rPr>
        <w:t>华人民共和国政府采购法》第七十七条</w:t>
      </w:r>
      <w:r>
        <w:rPr>
          <w:rFonts w:ascii="仿宋" w:hAnsi="仿宋" w:eastAsia="仿宋" w:cs="仿宋"/>
          <w:color w:val="auto"/>
          <w:spacing w:val="-5"/>
          <w:sz w:val="24"/>
          <w:szCs w:val="24"/>
          <w:highlight w:val="none"/>
        </w:rPr>
        <w:t>第一款“提 供虚假材料谋取中标、成交的</w:t>
      </w:r>
      <w:r>
        <w:rPr>
          <w:rFonts w:ascii="仿宋" w:hAnsi="仿宋" w:eastAsia="仿宋" w:cs="仿宋"/>
          <w:color w:val="auto"/>
          <w:spacing w:val="-12"/>
          <w:sz w:val="24"/>
          <w:szCs w:val="24"/>
          <w:highlight w:val="none"/>
        </w:rPr>
        <w:t xml:space="preserve"> </w:t>
      </w:r>
      <w:r>
        <w:rPr>
          <w:rFonts w:ascii="仿宋" w:hAnsi="仿宋" w:eastAsia="仿宋" w:cs="仿宋"/>
          <w:color w:val="auto"/>
          <w:spacing w:val="-5"/>
          <w:sz w:val="24"/>
          <w:szCs w:val="24"/>
          <w:highlight w:val="none"/>
        </w:rPr>
        <w:t>”进行处罚，给采购人造成损失的应承</w:t>
      </w:r>
      <w:r>
        <w:rPr>
          <w:rFonts w:ascii="仿宋" w:hAnsi="仿宋" w:eastAsia="仿宋" w:cs="仿宋"/>
          <w:color w:val="auto"/>
          <w:spacing w:val="-6"/>
          <w:sz w:val="24"/>
          <w:szCs w:val="24"/>
          <w:highlight w:val="none"/>
        </w:rPr>
        <w:t>担赔偿责任。</w:t>
      </w:r>
    </w:p>
    <w:p w14:paraId="0CE32BF0">
      <w:pPr>
        <w:spacing w:before="183" w:line="241" w:lineRule="auto"/>
        <w:ind w:left="163" w:right="589" w:firstLine="488"/>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（2）以上评标标准中要求供应商提交相关证明材料原件（或复印件）的，未</w:t>
      </w:r>
      <w:r>
        <w:rPr>
          <w:rFonts w:ascii="仿宋" w:hAnsi="仿宋" w:eastAsia="仿宋" w:cs="仿宋"/>
          <w:color w:val="auto"/>
          <w:spacing w:val="-6"/>
          <w:sz w:val="24"/>
          <w:szCs w:val="24"/>
          <w:highlight w:val="none"/>
        </w:rPr>
        <w:t>装订应文件中的不得分。</w:t>
      </w:r>
    </w:p>
    <w:p w14:paraId="2330A6D3">
      <w:pPr>
        <w:spacing w:before="170" w:line="242" w:lineRule="auto"/>
        <w:ind w:left="163" w:right="591" w:firstLine="485"/>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（3）投标单位以联合体的身份参与政府采购项目的，以商务部分加分最多的</w:t>
      </w:r>
      <w:r>
        <w:rPr>
          <w:rFonts w:ascii="仿宋" w:hAnsi="仿宋" w:eastAsia="仿宋" w:cs="仿宋"/>
          <w:color w:val="auto"/>
          <w:spacing w:val="-3"/>
          <w:sz w:val="24"/>
          <w:szCs w:val="24"/>
          <w:highlight w:val="none"/>
        </w:rPr>
        <w:t>一家投标单位的加分为商务部分的加分。</w:t>
      </w:r>
    </w:p>
    <w:p w14:paraId="109DBB36">
      <w:pPr>
        <w:spacing w:before="128" w:line="221" w:lineRule="auto"/>
        <w:ind w:left="654"/>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（4）资产负债率=年末负债合计÷年末资产总计。</w:t>
      </w:r>
    </w:p>
    <w:p w14:paraId="2ED5320C">
      <w:pPr>
        <w:spacing w:before="112" w:line="222" w:lineRule="auto"/>
        <w:ind w:left="62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3.2 给予小型和微型企业价格扣除</w:t>
      </w:r>
    </w:p>
    <w:p w14:paraId="5AE7B321">
      <w:pPr>
        <w:spacing w:before="146" w:line="242" w:lineRule="auto"/>
        <w:ind w:left="187" w:right="555" w:firstLine="442"/>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3.2.1 给予小型和微型企业（包括相</w:t>
      </w:r>
      <w:r>
        <w:rPr>
          <w:rFonts w:ascii="仿宋" w:hAnsi="仿宋" w:eastAsia="仿宋" w:cs="仿宋"/>
          <w:color w:val="auto"/>
          <w:spacing w:val="-5"/>
          <w:sz w:val="24"/>
          <w:szCs w:val="24"/>
          <w:highlight w:val="none"/>
        </w:rPr>
        <w:t>互之间组成的联合体）产品的价格</w:t>
      </w:r>
      <w:r>
        <w:rPr>
          <w:rFonts w:ascii="仿宋" w:hAnsi="仿宋" w:eastAsia="仿宋" w:cs="仿宋"/>
          <w:color w:val="auto"/>
          <w:spacing w:val="-36"/>
          <w:sz w:val="24"/>
          <w:szCs w:val="24"/>
          <w:highlight w:val="none"/>
        </w:rPr>
        <w:t xml:space="preserve"> </w:t>
      </w:r>
      <w:r>
        <w:rPr>
          <w:rFonts w:ascii="仿宋" w:hAnsi="仿宋" w:eastAsia="仿宋" w:cs="仿宋"/>
          <w:color w:val="auto"/>
          <w:spacing w:val="-5"/>
          <w:sz w:val="24"/>
          <w:szCs w:val="24"/>
          <w:highlight w:val="none"/>
        </w:rPr>
        <w:t>6%的扣</w:t>
      </w:r>
      <w:r>
        <w:rPr>
          <w:rFonts w:ascii="仿宋" w:hAnsi="仿宋" w:eastAsia="仿宋" w:cs="仿宋"/>
          <w:color w:val="auto"/>
          <w:spacing w:val="-13"/>
          <w:sz w:val="24"/>
          <w:szCs w:val="24"/>
          <w:highlight w:val="none"/>
        </w:rPr>
        <w:t>除；计算方法是：</w:t>
      </w:r>
    </w:p>
    <w:p w14:paraId="66FAE538">
      <w:pPr>
        <w:spacing w:before="130" w:line="222" w:lineRule="auto"/>
        <w:ind w:left="65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最终价格＝投标报价×94%，按照最终价格计算其价格分得分。</w:t>
      </w:r>
    </w:p>
    <w:p w14:paraId="7CC1B27B">
      <w:pPr>
        <w:spacing w:before="146" w:line="243" w:lineRule="auto"/>
        <w:ind w:left="179" w:right="615" w:firstLine="453"/>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开标时，供应商须提供《中小企业声明函》原</w:t>
      </w:r>
      <w:r>
        <w:rPr>
          <w:rFonts w:ascii="仿宋" w:hAnsi="仿宋" w:eastAsia="仿宋" w:cs="仿宋"/>
          <w:color w:val="auto"/>
          <w:spacing w:val="-5"/>
          <w:sz w:val="24"/>
          <w:szCs w:val="24"/>
          <w:highlight w:val="none"/>
        </w:rPr>
        <w:t>件并对声明函的真实性负责，否</w:t>
      </w:r>
      <w:r>
        <w:rPr>
          <w:rFonts w:ascii="仿宋" w:hAnsi="仿宋" w:eastAsia="仿宋" w:cs="仿宋"/>
          <w:color w:val="auto"/>
          <w:spacing w:val="-6"/>
          <w:sz w:val="24"/>
          <w:szCs w:val="24"/>
          <w:highlight w:val="none"/>
        </w:rPr>
        <w:t>则不给予价格扣除。</w:t>
      </w:r>
    </w:p>
    <w:p w14:paraId="244D3256">
      <w:pPr>
        <w:spacing w:before="75" w:line="287" w:lineRule="auto"/>
        <w:ind w:left="139" w:right="334" w:firstLine="473"/>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3.2.2 大中型企业和其他自然人、法人或者其他组</w:t>
      </w:r>
      <w:r>
        <w:rPr>
          <w:rFonts w:ascii="仿宋" w:hAnsi="仿宋" w:eastAsia="仿宋" w:cs="仿宋"/>
          <w:color w:val="auto"/>
          <w:spacing w:val="-3"/>
          <w:sz w:val="24"/>
          <w:szCs w:val="24"/>
          <w:highlight w:val="none"/>
        </w:rPr>
        <w:t>织与小型、微型企业组成联合</w:t>
      </w:r>
      <w:r>
        <w:rPr>
          <w:rFonts w:ascii="仿宋" w:hAnsi="仿宋" w:eastAsia="仿宋" w:cs="仿宋"/>
          <w:color w:val="auto"/>
          <w:sz w:val="24"/>
          <w:szCs w:val="24"/>
          <w:highlight w:val="none"/>
        </w:rPr>
        <w:t>体投标，联合协议中约定，小型、微型企业</w:t>
      </w:r>
      <w:r>
        <w:rPr>
          <w:rFonts w:ascii="仿宋" w:hAnsi="仿宋" w:eastAsia="仿宋" w:cs="仿宋"/>
          <w:color w:val="auto"/>
          <w:spacing w:val="-1"/>
          <w:sz w:val="24"/>
          <w:szCs w:val="24"/>
          <w:highlight w:val="none"/>
        </w:rPr>
        <w:t>的协议合同金额占到联合体协议合同金</w:t>
      </w:r>
      <w:r>
        <w:rPr>
          <w:rFonts w:ascii="仿宋" w:hAnsi="仿宋" w:eastAsia="仿宋" w:cs="仿宋"/>
          <w:color w:val="auto"/>
          <w:spacing w:val="-2"/>
          <w:sz w:val="24"/>
          <w:szCs w:val="24"/>
          <w:highlight w:val="none"/>
        </w:rPr>
        <w:t>额30%以上的，可给予联合体3%的价格扣除。计算方法是：</w:t>
      </w:r>
    </w:p>
    <w:p w14:paraId="3C62746C">
      <w:pPr>
        <w:spacing w:before="36" w:line="222" w:lineRule="auto"/>
        <w:ind w:left="64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最终价格＝投标报价×97%，按照最终价格计算其价格分得分。</w:t>
      </w:r>
    </w:p>
    <w:p w14:paraId="26345EC9">
      <w:pPr>
        <w:spacing w:line="222" w:lineRule="auto"/>
        <w:rPr>
          <w:rFonts w:ascii="仿宋" w:hAnsi="仿宋" w:eastAsia="仿宋" w:cs="仿宋"/>
          <w:color w:val="auto"/>
          <w:sz w:val="24"/>
          <w:szCs w:val="24"/>
          <w:highlight w:val="none"/>
        </w:rPr>
        <w:sectPr>
          <w:footerReference r:id="rId32" w:type="default"/>
          <w:pgSz w:w="11906" w:h="16840"/>
          <w:pgMar w:top="1418" w:right="1198" w:bottom="1174" w:left="1447" w:header="0" w:footer="928" w:gutter="0"/>
          <w:pgNumType w:fmt="decimal"/>
          <w:cols w:space="720" w:num="1"/>
        </w:sectPr>
      </w:pPr>
    </w:p>
    <w:p w14:paraId="74E7EA4D">
      <w:pPr>
        <w:spacing w:before="48" w:line="280" w:lineRule="auto"/>
        <w:ind w:left="128" w:right="201" w:firstLine="474"/>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开标时，供应商须提供《中小企业声明函》原件并对声明函的真实性负责和联合</w:t>
      </w:r>
      <w:r>
        <w:rPr>
          <w:rFonts w:ascii="仿宋" w:hAnsi="仿宋" w:eastAsia="仿宋" w:cs="仿宋"/>
          <w:color w:val="auto"/>
          <w:spacing w:val="-4"/>
          <w:sz w:val="24"/>
          <w:szCs w:val="24"/>
          <w:highlight w:val="none"/>
        </w:rPr>
        <w:t>体协议原件，否则不给予价格扣除。</w:t>
      </w:r>
    </w:p>
    <w:p w14:paraId="2E89F8AF">
      <w:pPr>
        <w:spacing w:before="66" w:line="280" w:lineRule="auto"/>
        <w:ind w:left="133" w:right="352" w:firstLine="47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在政府采购活动中，供应商提供的货物、工程或者服务符合下列情形的，享受</w:t>
      </w:r>
      <w:r>
        <w:rPr>
          <w:rFonts w:ascii="仿宋" w:hAnsi="仿宋" w:eastAsia="仿宋" w:cs="仿宋"/>
          <w:color w:val="auto"/>
          <w:spacing w:val="-6"/>
          <w:sz w:val="24"/>
          <w:szCs w:val="24"/>
          <w:highlight w:val="none"/>
        </w:rPr>
        <w:t>本办法规定的中小企业扶持政策：</w:t>
      </w:r>
    </w:p>
    <w:p w14:paraId="067E8189">
      <w:pPr>
        <w:spacing w:before="138" w:line="243" w:lineRule="auto"/>
        <w:ind w:right="230" w:firstLine="494"/>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（一）在货物采购项目中，货物由中小企业制造，即货物由中小企业生产且使用</w:t>
      </w:r>
      <w:r>
        <w:rPr>
          <w:rFonts w:ascii="仿宋" w:hAnsi="仿宋" w:eastAsia="仿宋" w:cs="仿宋"/>
          <w:color w:val="auto"/>
          <w:spacing w:val="-4"/>
          <w:sz w:val="24"/>
          <w:szCs w:val="24"/>
          <w:highlight w:val="none"/>
        </w:rPr>
        <w:t>该中小企业商号或者注册商标；</w:t>
      </w:r>
    </w:p>
    <w:p w14:paraId="11FA299C">
      <w:pPr>
        <w:spacing w:before="122" w:line="219" w:lineRule="auto"/>
        <w:ind w:left="49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（二）在工程采购项目中，工程由中小企业承建，即工程施工单位为中小企业；</w:t>
      </w:r>
    </w:p>
    <w:p w14:paraId="02C2FC5E">
      <w:pPr>
        <w:spacing w:before="155" w:line="242" w:lineRule="auto"/>
        <w:ind w:left="18" w:right="96" w:firstLine="47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（三）在服务采购项目中，服务由中小企业承接，即提供服务的人员为中小企业依</w:t>
      </w:r>
      <w:r>
        <w:rPr>
          <w:rFonts w:ascii="仿宋" w:hAnsi="仿宋" w:eastAsia="仿宋" w:cs="仿宋"/>
          <w:color w:val="auto"/>
          <w:spacing w:val="-3"/>
          <w:sz w:val="24"/>
          <w:szCs w:val="24"/>
          <w:highlight w:val="none"/>
        </w:rPr>
        <w:t>照《中华人民共和国劳动合同法》订立劳动合同的从业人员。</w:t>
      </w:r>
    </w:p>
    <w:p w14:paraId="173BB95B">
      <w:pPr>
        <w:spacing w:before="162" w:line="277" w:lineRule="auto"/>
        <w:ind w:right="235" w:firstLine="487"/>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在货物采购项目中，供应商提供的货物既有中小企业制造货物，也有大型企业制</w:t>
      </w:r>
      <w:r>
        <w:rPr>
          <w:rFonts w:ascii="仿宋" w:hAnsi="仿宋" w:eastAsia="仿宋" w:cs="仿宋"/>
          <w:color w:val="auto"/>
          <w:spacing w:val="-3"/>
          <w:sz w:val="24"/>
          <w:szCs w:val="24"/>
          <w:highlight w:val="none"/>
        </w:rPr>
        <w:t>造货物的，不享受本办法规定的中小企业扶持政策。</w:t>
      </w:r>
    </w:p>
    <w:p w14:paraId="39EFD71B">
      <w:pPr>
        <w:spacing w:before="76" w:line="278" w:lineRule="auto"/>
        <w:ind w:left="4" w:right="204" w:firstLine="54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以联合体形式参加政府采购活动，联合体各方均为中小企业的，联合体视同中小</w:t>
      </w:r>
      <w:r>
        <w:rPr>
          <w:rFonts w:ascii="仿宋" w:hAnsi="仿宋" w:eastAsia="仿宋" w:cs="仿宋"/>
          <w:color w:val="auto"/>
          <w:spacing w:val="-3"/>
          <w:sz w:val="24"/>
          <w:szCs w:val="24"/>
          <w:highlight w:val="none"/>
        </w:rPr>
        <w:t>企业。其中，联合体各方均为小微企业的，联合体视同小微企业。</w:t>
      </w:r>
    </w:p>
    <w:p w14:paraId="7317FADE">
      <w:pPr>
        <w:spacing w:before="322" w:line="224" w:lineRule="auto"/>
        <w:ind w:left="545"/>
        <w:outlineLvl w:val="1"/>
        <w:rPr>
          <w:rFonts w:ascii="楷体" w:hAnsi="楷体" w:eastAsia="楷体" w:cs="楷体"/>
          <w:color w:val="auto"/>
          <w:sz w:val="28"/>
          <w:szCs w:val="28"/>
          <w:highlight w:val="none"/>
        </w:rPr>
      </w:pPr>
      <w:r>
        <w:rPr>
          <w:rFonts w:ascii="楷体" w:hAnsi="楷体" w:eastAsia="楷体" w:cs="楷体"/>
          <w:color w:val="auto"/>
          <w:spacing w:val="-4"/>
          <w:sz w:val="28"/>
          <w:szCs w:val="28"/>
          <w:highlight w:val="none"/>
        </w:rPr>
        <w:t>3.评审方法</w:t>
      </w:r>
    </w:p>
    <w:p w14:paraId="1C2CD188">
      <w:pPr>
        <w:spacing w:before="280" w:line="291" w:lineRule="auto"/>
        <w:ind w:firstLine="484"/>
        <w:jc w:val="both"/>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本项目评审办法为综合评分法。磋商小组对满足磋商文件实质性要求的响应文件，</w:t>
      </w:r>
      <w:r>
        <w:rPr>
          <w:rFonts w:ascii="仿宋" w:hAnsi="仿宋" w:eastAsia="仿宋" w:cs="仿宋"/>
          <w:color w:val="auto"/>
          <w:sz w:val="24"/>
          <w:szCs w:val="24"/>
          <w:highlight w:val="none"/>
        </w:rPr>
        <w:t>按照本章第 2.3、2.4 款规定的评分标准进</w:t>
      </w:r>
      <w:r>
        <w:rPr>
          <w:rFonts w:ascii="仿宋" w:hAnsi="仿宋" w:eastAsia="仿宋" w:cs="仿宋"/>
          <w:color w:val="auto"/>
          <w:spacing w:val="-1"/>
          <w:sz w:val="24"/>
          <w:szCs w:val="24"/>
          <w:highlight w:val="none"/>
        </w:rPr>
        <w:t>行打分，并按综合得分由高到低顺序推荐中</w:t>
      </w:r>
      <w:r>
        <w:rPr>
          <w:rFonts w:ascii="仿宋" w:hAnsi="仿宋" w:eastAsia="仿宋" w:cs="仿宋"/>
          <w:color w:val="auto"/>
          <w:sz w:val="24"/>
          <w:szCs w:val="24"/>
          <w:highlight w:val="none"/>
        </w:rPr>
        <w:t>标候选人，或根据采购人授权直接确定中标人。</w:t>
      </w:r>
      <w:r>
        <w:rPr>
          <w:rFonts w:ascii="仿宋" w:hAnsi="仿宋" w:eastAsia="仿宋" w:cs="仿宋"/>
          <w:color w:val="auto"/>
          <w:spacing w:val="-1"/>
          <w:sz w:val="24"/>
          <w:szCs w:val="24"/>
          <w:highlight w:val="none"/>
        </w:rPr>
        <w:t>综合评分相等时，以报价低的优先；报</w:t>
      </w:r>
      <w:r>
        <w:rPr>
          <w:rFonts w:ascii="仿宋" w:hAnsi="仿宋" w:eastAsia="仿宋" w:cs="仿宋"/>
          <w:color w:val="auto"/>
          <w:spacing w:val="-4"/>
          <w:sz w:val="24"/>
          <w:szCs w:val="24"/>
          <w:highlight w:val="none"/>
        </w:rPr>
        <w:t>价也相等的，由采购人自行确定。</w:t>
      </w:r>
    </w:p>
    <w:p w14:paraId="75C654ED">
      <w:pPr>
        <w:spacing w:before="327" w:line="224" w:lineRule="auto"/>
        <w:ind w:left="523"/>
        <w:outlineLvl w:val="1"/>
        <w:rPr>
          <w:rFonts w:ascii="楷体" w:hAnsi="楷体" w:eastAsia="楷体" w:cs="楷体"/>
          <w:color w:val="auto"/>
          <w:sz w:val="28"/>
          <w:szCs w:val="28"/>
          <w:highlight w:val="none"/>
        </w:rPr>
      </w:pPr>
      <w:r>
        <w:rPr>
          <w:rFonts w:ascii="楷体" w:hAnsi="楷体" w:eastAsia="楷体" w:cs="楷体"/>
          <w:color w:val="auto"/>
          <w:spacing w:val="-2"/>
          <w:sz w:val="28"/>
          <w:szCs w:val="28"/>
          <w:highlight w:val="none"/>
        </w:rPr>
        <w:t>4.评审标准</w:t>
      </w:r>
    </w:p>
    <w:p w14:paraId="46C864F7">
      <w:pPr>
        <w:spacing w:before="243" w:line="222" w:lineRule="auto"/>
        <w:ind w:left="457"/>
        <w:outlineLvl w:val="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4.1</w:t>
      </w:r>
      <w:r>
        <w:rPr>
          <w:rFonts w:ascii="仿宋" w:hAnsi="仿宋" w:eastAsia="仿宋" w:cs="仿宋"/>
          <w:color w:val="auto"/>
          <w:spacing w:val="-17"/>
          <w:sz w:val="24"/>
          <w:szCs w:val="24"/>
          <w:highlight w:val="none"/>
        </w:rPr>
        <w:t xml:space="preserve"> </w:t>
      </w:r>
      <w:r>
        <w:rPr>
          <w:rFonts w:ascii="仿宋" w:hAnsi="仿宋" w:eastAsia="仿宋" w:cs="仿宋"/>
          <w:color w:val="auto"/>
          <w:spacing w:val="-6"/>
          <w:sz w:val="24"/>
          <w:szCs w:val="24"/>
          <w:highlight w:val="none"/>
        </w:rPr>
        <w:t>初步评审标准</w:t>
      </w:r>
    </w:p>
    <w:p w14:paraId="078CC35B">
      <w:pPr>
        <w:spacing w:before="107" w:line="220" w:lineRule="auto"/>
        <w:ind w:left="457"/>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4.1.1 资格性审查：详见评审办法前附表；</w:t>
      </w:r>
    </w:p>
    <w:p w14:paraId="55CF8BCF">
      <w:pPr>
        <w:spacing w:before="113" w:line="220" w:lineRule="auto"/>
        <w:ind w:left="457"/>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4.1.2 符合性审查：详见评审办法前附表。</w:t>
      </w:r>
    </w:p>
    <w:p w14:paraId="0E0B8F69">
      <w:pPr>
        <w:spacing w:before="115" w:line="222" w:lineRule="auto"/>
        <w:ind w:left="457"/>
        <w:outlineLvl w:val="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4.2 分值构成与评分标准</w:t>
      </w:r>
    </w:p>
    <w:p w14:paraId="1E104AA1">
      <w:pPr>
        <w:spacing w:before="107" w:line="221" w:lineRule="auto"/>
        <w:ind w:left="457"/>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4.2.1 分值构成：详见评审办法前附</w:t>
      </w:r>
      <w:r>
        <w:rPr>
          <w:rFonts w:ascii="仿宋" w:hAnsi="仿宋" w:eastAsia="仿宋" w:cs="仿宋"/>
          <w:color w:val="auto"/>
          <w:spacing w:val="-5"/>
          <w:sz w:val="24"/>
          <w:szCs w:val="24"/>
          <w:highlight w:val="none"/>
        </w:rPr>
        <w:t>表。</w:t>
      </w:r>
    </w:p>
    <w:p w14:paraId="7F1B4411">
      <w:pPr>
        <w:spacing w:before="151" w:line="243" w:lineRule="auto"/>
        <w:ind w:left="7" w:right="244" w:firstLine="448"/>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4.2.2 评审基准价的确定：即满足采购要求且最终价格最低的报价为评审基</w:t>
      </w:r>
      <w:r>
        <w:rPr>
          <w:rFonts w:ascii="仿宋" w:hAnsi="仿宋" w:eastAsia="仿宋" w:cs="仿宋"/>
          <w:color w:val="auto"/>
          <w:spacing w:val="-7"/>
          <w:sz w:val="24"/>
          <w:szCs w:val="24"/>
          <w:highlight w:val="none"/>
        </w:rPr>
        <w:t>准价，其价格分为满分。</w:t>
      </w:r>
    </w:p>
    <w:p w14:paraId="1B72DB4C">
      <w:pPr>
        <w:spacing w:before="129" w:line="222" w:lineRule="auto"/>
        <w:ind w:left="457"/>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4.2.3 报价的得分计算</w:t>
      </w:r>
    </w:p>
    <w:p w14:paraId="67C78297">
      <w:pPr>
        <w:spacing w:line="222" w:lineRule="auto"/>
        <w:rPr>
          <w:rFonts w:ascii="仿宋" w:hAnsi="仿宋" w:eastAsia="仿宋" w:cs="仿宋"/>
          <w:color w:val="auto"/>
          <w:sz w:val="24"/>
          <w:szCs w:val="24"/>
          <w:highlight w:val="none"/>
        </w:rPr>
        <w:sectPr>
          <w:footerReference r:id="rId33" w:type="default"/>
          <w:pgSz w:w="11906" w:h="16840"/>
          <w:pgMar w:top="1404" w:right="1336" w:bottom="1118" w:left="1464" w:header="0" w:footer="948" w:gutter="0"/>
          <w:pgNumType w:fmt="decimal"/>
          <w:cols w:space="720" w:num="1"/>
        </w:sectPr>
      </w:pPr>
    </w:p>
    <w:p w14:paraId="24B82EC3">
      <w:pPr>
        <w:spacing w:before="49" w:line="222" w:lineRule="auto"/>
        <w:ind w:left="48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报价得分=（评审基准价／最终报价）</w:t>
      </w:r>
      <w:r>
        <w:rPr>
          <w:rFonts w:ascii="仿宋" w:hAnsi="仿宋" w:eastAsia="仿宋" w:cs="仿宋"/>
          <w:color w:val="auto"/>
          <w:spacing w:val="-76"/>
          <w:sz w:val="24"/>
          <w:szCs w:val="24"/>
          <w:highlight w:val="none"/>
        </w:rPr>
        <w:t xml:space="preserve"> </w:t>
      </w:r>
      <w:r>
        <w:rPr>
          <w:rFonts w:ascii="仿宋" w:hAnsi="仿宋" w:eastAsia="仿宋" w:cs="仿宋"/>
          <w:color w:val="auto"/>
          <w:spacing w:val="-6"/>
          <w:sz w:val="24"/>
          <w:szCs w:val="24"/>
          <w:highlight w:val="none"/>
        </w:rPr>
        <w:t>×价格权值×</w:t>
      </w:r>
      <w:r>
        <w:rPr>
          <w:rFonts w:ascii="仿宋" w:hAnsi="仿宋" w:eastAsia="仿宋" w:cs="仿宋"/>
          <w:color w:val="auto"/>
          <w:spacing w:val="-36"/>
          <w:sz w:val="24"/>
          <w:szCs w:val="24"/>
          <w:highlight w:val="none"/>
        </w:rPr>
        <w:t xml:space="preserve"> </w:t>
      </w:r>
      <w:r>
        <w:rPr>
          <w:rFonts w:ascii="仿宋" w:hAnsi="仿宋" w:eastAsia="仿宋" w:cs="仿宋"/>
          <w:color w:val="auto"/>
          <w:spacing w:val="-6"/>
          <w:sz w:val="24"/>
          <w:szCs w:val="24"/>
          <w:highlight w:val="none"/>
        </w:rPr>
        <w:t>100。</w:t>
      </w:r>
    </w:p>
    <w:p w14:paraId="1A0F6BCB">
      <w:pPr>
        <w:spacing w:before="141" w:line="241" w:lineRule="auto"/>
        <w:ind w:left="5" w:right="98" w:firstLine="451"/>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4.2.4 发包人有权接受或拒绝供应商在响应文件中提出偏离、保</w:t>
      </w:r>
      <w:r>
        <w:rPr>
          <w:rFonts w:ascii="仿宋" w:hAnsi="仿宋" w:eastAsia="仿宋" w:cs="仿宋"/>
          <w:color w:val="auto"/>
          <w:spacing w:val="-3"/>
          <w:sz w:val="24"/>
          <w:szCs w:val="24"/>
          <w:highlight w:val="none"/>
        </w:rPr>
        <w:t>留。发包人不接受</w:t>
      </w:r>
      <w:r>
        <w:rPr>
          <w:rFonts w:ascii="仿宋" w:hAnsi="仿宋" w:eastAsia="仿宋" w:cs="仿宋"/>
          <w:color w:val="auto"/>
          <w:spacing w:val="-4"/>
          <w:sz w:val="24"/>
          <w:szCs w:val="24"/>
          <w:highlight w:val="none"/>
        </w:rPr>
        <w:t>供应商在开标后提出的优惠条件。</w:t>
      </w:r>
    </w:p>
    <w:p w14:paraId="52F8E7CE">
      <w:pPr>
        <w:spacing w:before="133" w:line="221" w:lineRule="auto"/>
        <w:ind w:left="457"/>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4.2.5 评分标准：详见评审附表。</w:t>
      </w:r>
    </w:p>
    <w:p w14:paraId="5EF146D8">
      <w:pPr>
        <w:pStyle w:val="3"/>
        <w:spacing w:line="304" w:lineRule="auto"/>
        <w:rPr>
          <w:color w:val="auto"/>
          <w:highlight w:val="none"/>
        </w:rPr>
      </w:pPr>
    </w:p>
    <w:p w14:paraId="4725BC0A">
      <w:pPr>
        <w:spacing w:before="91" w:line="224" w:lineRule="auto"/>
        <w:ind w:left="526"/>
        <w:outlineLvl w:val="1"/>
        <w:rPr>
          <w:rFonts w:ascii="楷体" w:hAnsi="楷体" w:eastAsia="楷体" w:cs="楷体"/>
          <w:color w:val="auto"/>
          <w:sz w:val="28"/>
          <w:szCs w:val="28"/>
          <w:highlight w:val="none"/>
        </w:rPr>
      </w:pPr>
      <w:r>
        <w:rPr>
          <w:rFonts w:ascii="楷体" w:hAnsi="楷体" w:eastAsia="楷体" w:cs="楷体"/>
          <w:color w:val="auto"/>
          <w:spacing w:val="-2"/>
          <w:sz w:val="28"/>
          <w:szCs w:val="28"/>
          <w:highlight w:val="none"/>
        </w:rPr>
        <w:t>5.评审程序</w:t>
      </w:r>
    </w:p>
    <w:p w14:paraId="7CDD6F45">
      <w:pPr>
        <w:spacing w:before="248" w:line="222" w:lineRule="auto"/>
        <w:ind w:left="475"/>
        <w:outlineLvl w:val="2"/>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5.1</w:t>
      </w:r>
      <w:r>
        <w:rPr>
          <w:rFonts w:ascii="仿宋" w:hAnsi="仿宋" w:eastAsia="仿宋" w:cs="仿宋"/>
          <w:color w:val="auto"/>
          <w:spacing w:val="-26"/>
          <w:sz w:val="24"/>
          <w:szCs w:val="24"/>
          <w:highlight w:val="none"/>
        </w:rPr>
        <w:t xml:space="preserve"> </w:t>
      </w:r>
      <w:r>
        <w:rPr>
          <w:rFonts w:ascii="仿宋" w:hAnsi="仿宋" w:eastAsia="仿宋" w:cs="仿宋"/>
          <w:color w:val="auto"/>
          <w:spacing w:val="-8"/>
          <w:sz w:val="24"/>
          <w:szCs w:val="24"/>
          <w:highlight w:val="none"/>
        </w:rPr>
        <w:t>初步评审</w:t>
      </w:r>
    </w:p>
    <w:p w14:paraId="7EFDC279">
      <w:pPr>
        <w:spacing w:before="89" w:line="220" w:lineRule="auto"/>
        <w:ind w:left="5" w:right="88" w:hanging="5"/>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5.1.1</w:t>
      </w:r>
      <w:r>
        <w:rPr>
          <w:rFonts w:ascii="仿宋" w:hAnsi="仿宋" w:eastAsia="仿宋" w:cs="仿宋"/>
          <w:color w:val="auto"/>
          <w:spacing w:val="-25"/>
          <w:sz w:val="24"/>
          <w:szCs w:val="24"/>
          <w:highlight w:val="none"/>
        </w:rPr>
        <w:t xml:space="preserve"> </w:t>
      </w:r>
      <w:r>
        <w:rPr>
          <w:rFonts w:ascii="仿宋" w:hAnsi="仿宋" w:eastAsia="仿宋" w:cs="仿宋"/>
          <w:color w:val="auto"/>
          <w:spacing w:val="-7"/>
          <w:sz w:val="24"/>
          <w:szCs w:val="24"/>
          <w:highlight w:val="none"/>
        </w:rPr>
        <w:t>磋商小组可以要求供应商提交第二章“供应商须知</w:t>
      </w:r>
      <w:r>
        <w:rPr>
          <w:rFonts w:ascii="仿宋" w:hAnsi="仿宋" w:eastAsia="仿宋" w:cs="仿宋"/>
          <w:color w:val="auto"/>
          <w:spacing w:val="-28"/>
          <w:sz w:val="24"/>
          <w:szCs w:val="24"/>
          <w:highlight w:val="none"/>
        </w:rPr>
        <w:t xml:space="preserve"> </w:t>
      </w:r>
      <w:r>
        <w:rPr>
          <w:rFonts w:ascii="仿宋" w:hAnsi="仿宋" w:eastAsia="仿宋" w:cs="仿宋"/>
          <w:color w:val="auto"/>
          <w:spacing w:val="-7"/>
          <w:sz w:val="24"/>
          <w:szCs w:val="24"/>
          <w:highlight w:val="none"/>
        </w:rPr>
        <w:t>”第</w:t>
      </w:r>
      <w:r>
        <w:rPr>
          <w:rFonts w:ascii="仿宋" w:hAnsi="仿宋" w:eastAsia="仿宋" w:cs="仿宋"/>
          <w:color w:val="auto"/>
          <w:spacing w:val="-27"/>
          <w:sz w:val="24"/>
          <w:szCs w:val="24"/>
          <w:highlight w:val="none"/>
        </w:rPr>
        <w:t xml:space="preserve"> </w:t>
      </w:r>
      <w:r>
        <w:rPr>
          <w:rFonts w:ascii="仿宋" w:hAnsi="仿宋" w:eastAsia="仿宋" w:cs="仿宋"/>
          <w:color w:val="auto"/>
          <w:spacing w:val="-7"/>
          <w:sz w:val="24"/>
          <w:szCs w:val="24"/>
          <w:highlight w:val="none"/>
        </w:rPr>
        <w:t>35.1</w:t>
      </w:r>
      <w:r>
        <w:rPr>
          <w:rFonts w:ascii="仿宋" w:hAnsi="仿宋" w:eastAsia="仿宋" w:cs="仿宋"/>
          <w:color w:val="auto"/>
          <w:spacing w:val="-27"/>
          <w:sz w:val="24"/>
          <w:szCs w:val="24"/>
          <w:highlight w:val="none"/>
        </w:rPr>
        <w:t xml:space="preserve"> </w:t>
      </w:r>
      <w:r>
        <w:rPr>
          <w:rFonts w:ascii="仿宋" w:hAnsi="仿宋" w:eastAsia="仿宋" w:cs="仿宋"/>
          <w:color w:val="auto"/>
          <w:spacing w:val="-7"/>
          <w:sz w:val="24"/>
          <w:szCs w:val="24"/>
          <w:highlight w:val="none"/>
        </w:rPr>
        <w:t>项规定的有关证</w:t>
      </w:r>
      <w:r>
        <w:rPr>
          <w:rFonts w:ascii="仿宋" w:hAnsi="仿宋" w:eastAsia="仿宋" w:cs="仿宋"/>
          <w:color w:val="auto"/>
          <w:spacing w:val="55"/>
          <w:sz w:val="24"/>
          <w:szCs w:val="24"/>
          <w:highlight w:val="none"/>
        </w:rPr>
        <w:t xml:space="preserve"> </w:t>
      </w:r>
      <w:r>
        <w:rPr>
          <w:rFonts w:ascii="仿宋" w:hAnsi="仿宋" w:eastAsia="仿宋" w:cs="仿宋"/>
          <w:color w:val="auto"/>
          <w:spacing w:val="-7"/>
          <w:sz w:val="24"/>
          <w:szCs w:val="24"/>
          <w:highlight w:val="none"/>
        </w:rPr>
        <w:t>明</w:t>
      </w:r>
      <w:r>
        <w:rPr>
          <w:rFonts w:ascii="仿宋" w:hAnsi="仿宋" w:eastAsia="仿宋" w:cs="仿宋"/>
          <w:color w:val="auto"/>
          <w:spacing w:val="-5"/>
          <w:sz w:val="24"/>
          <w:szCs w:val="24"/>
          <w:highlight w:val="none"/>
        </w:rPr>
        <w:t>和证件的原件，以便核验。磋商小组依据本章第</w:t>
      </w:r>
      <w:r>
        <w:rPr>
          <w:rFonts w:ascii="仿宋" w:hAnsi="仿宋" w:eastAsia="仿宋" w:cs="仿宋"/>
          <w:color w:val="auto"/>
          <w:spacing w:val="-10"/>
          <w:sz w:val="24"/>
          <w:szCs w:val="24"/>
          <w:highlight w:val="none"/>
        </w:rPr>
        <w:t xml:space="preserve"> </w:t>
      </w:r>
      <w:r>
        <w:rPr>
          <w:rFonts w:ascii="仿宋" w:hAnsi="仿宋" w:eastAsia="仿宋" w:cs="仿宋"/>
          <w:color w:val="auto"/>
          <w:spacing w:val="-5"/>
          <w:sz w:val="24"/>
          <w:szCs w:val="24"/>
          <w:highlight w:val="none"/>
        </w:rPr>
        <w:t>2.1</w:t>
      </w:r>
      <w:r>
        <w:rPr>
          <w:rFonts w:ascii="仿宋" w:hAnsi="仿宋" w:eastAsia="仿宋" w:cs="仿宋"/>
          <w:color w:val="auto"/>
          <w:spacing w:val="-24"/>
          <w:sz w:val="24"/>
          <w:szCs w:val="24"/>
          <w:highlight w:val="none"/>
        </w:rPr>
        <w:t xml:space="preserve"> </w:t>
      </w:r>
      <w:r>
        <w:rPr>
          <w:rFonts w:ascii="仿宋" w:hAnsi="仿宋" w:eastAsia="仿宋" w:cs="仿宋"/>
          <w:color w:val="auto"/>
          <w:spacing w:val="-5"/>
          <w:sz w:val="24"/>
          <w:szCs w:val="24"/>
          <w:highlight w:val="none"/>
        </w:rPr>
        <w:t>款规定的标准对响应文件进行初步</w:t>
      </w:r>
      <w:r>
        <w:rPr>
          <w:rFonts w:ascii="仿宋" w:hAnsi="仿宋" w:eastAsia="仿宋" w:cs="仿宋"/>
          <w:color w:val="auto"/>
          <w:spacing w:val="-3"/>
          <w:sz w:val="24"/>
          <w:szCs w:val="24"/>
          <w:highlight w:val="none"/>
        </w:rPr>
        <w:t>评审。有一项不符合评审标准的，作废标处理。</w:t>
      </w:r>
    </w:p>
    <w:p w14:paraId="6788F2AC">
      <w:pPr>
        <w:spacing w:before="115" w:line="220" w:lineRule="auto"/>
        <w:ind w:left="475"/>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5.1.2 供应商有以下情形之一的，其投标作废标处理：</w:t>
      </w:r>
    </w:p>
    <w:p w14:paraId="1BE0B0A2">
      <w:pPr>
        <w:spacing w:before="108" w:line="219" w:lineRule="auto"/>
        <w:ind w:left="49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（1）串通投标或弄虚作假或有其他违法行为的；</w:t>
      </w:r>
    </w:p>
    <w:p w14:paraId="76DCD04B">
      <w:pPr>
        <w:spacing w:before="117" w:line="222" w:lineRule="auto"/>
        <w:ind w:left="49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（2）不按磋商小组要求澄清、说明或补正的。</w:t>
      </w:r>
    </w:p>
    <w:p w14:paraId="602DE1A0">
      <w:pPr>
        <w:spacing w:before="108" w:line="220" w:lineRule="auto"/>
        <w:ind w:left="49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（3）报价函中报价与采购清单汇总价不一致时响应文件作废标处理。</w:t>
      </w:r>
    </w:p>
    <w:p w14:paraId="0DA1A711">
      <w:pPr>
        <w:spacing w:before="110" w:line="220" w:lineRule="auto"/>
        <w:ind w:left="49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（4）提供虚假资料的响应文件作废标处理。</w:t>
      </w:r>
    </w:p>
    <w:p w14:paraId="1412DABF">
      <w:pPr>
        <w:spacing w:before="153" w:line="242" w:lineRule="auto"/>
        <w:ind w:left="38" w:right="115" w:firstLine="458"/>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（5）供应商在开标时资格审查时递交的法人授权委托书公证件原件，其内容应与</w:t>
      </w:r>
      <w:r>
        <w:rPr>
          <w:rFonts w:ascii="仿宋" w:hAnsi="仿宋" w:eastAsia="仿宋" w:cs="仿宋"/>
          <w:color w:val="auto"/>
          <w:spacing w:val="-3"/>
          <w:sz w:val="24"/>
          <w:szCs w:val="24"/>
          <w:highlight w:val="none"/>
        </w:rPr>
        <w:t>资格预审、响应文件的内容一致，其中委托代理人均为同一人，不一致作废标处理。</w:t>
      </w:r>
    </w:p>
    <w:p w14:paraId="2EF224C9">
      <w:pPr>
        <w:spacing w:before="132" w:line="222" w:lineRule="auto"/>
        <w:ind w:left="49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（6）磋商小组认定供应商以低于成本报价竞标的。</w:t>
      </w:r>
    </w:p>
    <w:p w14:paraId="55DAB2EC">
      <w:pPr>
        <w:spacing w:before="109" w:line="222" w:lineRule="auto"/>
        <w:ind w:left="497"/>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（7）供应商附有采购人不能接受的条件。</w:t>
      </w:r>
    </w:p>
    <w:p w14:paraId="57783586">
      <w:pPr>
        <w:spacing w:before="111" w:line="220" w:lineRule="auto"/>
        <w:ind w:left="49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（8）响应文件偏离磋商文件实质性要求和条件的。</w:t>
      </w:r>
    </w:p>
    <w:p w14:paraId="55DCE8E4">
      <w:pPr>
        <w:spacing w:before="150" w:line="243" w:lineRule="auto"/>
        <w:ind w:left="13" w:right="115" w:firstLine="483"/>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（9）一个供应商递交两份或多份内容不同的响应文件，或在一份响应文件中对同</w:t>
      </w:r>
      <w:r>
        <w:rPr>
          <w:rFonts w:ascii="仿宋" w:hAnsi="仿宋" w:eastAsia="仿宋" w:cs="仿宋"/>
          <w:color w:val="auto"/>
          <w:spacing w:val="-3"/>
          <w:sz w:val="24"/>
          <w:szCs w:val="24"/>
          <w:highlight w:val="none"/>
        </w:rPr>
        <w:t>一招标项目有两个或多个报价，且未声明哪一个报价有效的。</w:t>
      </w:r>
    </w:p>
    <w:p w14:paraId="3C67E5DD">
      <w:pPr>
        <w:spacing w:before="165" w:line="242" w:lineRule="auto"/>
        <w:ind w:left="2" w:right="86" w:firstLine="472"/>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5.1.3 报价有算术错误的，磋商小组按以下原则对</w:t>
      </w:r>
      <w:r>
        <w:rPr>
          <w:rFonts w:ascii="仿宋" w:hAnsi="仿宋" w:eastAsia="仿宋" w:cs="仿宋"/>
          <w:color w:val="auto"/>
          <w:spacing w:val="-3"/>
          <w:sz w:val="24"/>
          <w:szCs w:val="24"/>
          <w:highlight w:val="none"/>
        </w:rPr>
        <w:t>报价进行修正，修正的价格经供</w:t>
      </w:r>
      <w:r>
        <w:rPr>
          <w:rFonts w:ascii="仿宋" w:hAnsi="仿宋" w:eastAsia="仿宋" w:cs="仿宋"/>
          <w:color w:val="auto"/>
          <w:spacing w:val="-2"/>
          <w:sz w:val="24"/>
          <w:szCs w:val="24"/>
          <w:highlight w:val="none"/>
        </w:rPr>
        <w:t>应商书面确认后具有约束力。供应商不接受修正价格的，其投标作废标处理。</w:t>
      </w:r>
    </w:p>
    <w:p w14:paraId="50C0E25A">
      <w:pPr>
        <w:spacing w:before="132" w:line="222" w:lineRule="auto"/>
        <w:ind w:left="49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（1）响应文件中的大写金额与小写金额不一致的，以大写金额为准；</w:t>
      </w:r>
    </w:p>
    <w:p w14:paraId="3A61AE6C">
      <w:pPr>
        <w:spacing w:before="146" w:line="242" w:lineRule="auto"/>
        <w:ind w:left="17" w:right="115" w:firstLine="480"/>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（2）总价金额与依据单价计算出的结果不一致的，以单价金额为准修正总价，但</w:t>
      </w:r>
      <w:r>
        <w:rPr>
          <w:rFonts w:ascii="仿宋" w:hAnsi="仿宋" w:eastAsia="仿宋" w:cs="仿宋"/>
          <w:color w:val="auto"/>
          <w:spacing w:val="-5"/>
          <w:sz w:val="24"/>
          <w:szCs w:val="24"/>
          <w:highlight w:val="none"/>
        </w:rPr>
        <w:t>单价金额小数点有明显错误的除外。</w:t>
      </w:r>
    </w:p>
    <w:p w14:paraId="2AE14FBE">
      <w:pPr>
        <w:spacing w:before="129" w:line="221" w:lineRule="auto"/>
        <w:ind w:left="475"/>
        <w:outlineLvl w:val="2"/>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5.2</w:t>
      </w:r>
      <w:r>
        <w:rPr>
          <w:rFonts w:ascii="仿宋" w:hAnsi="仿宋" w:eastAsia="仿宋" w:cs="仿宋"/>
          <w:color w:val="auto"/>
          <w:spacing w:val="-26"/>
          <w:sz w:val="24"/>
          <w:szCs w:val="24"/>
          <w:highlight w:val="none"/>
        </w:rPr>
        <w:t xml:space="preserve"> </w:t>
      </w:r>
      <w:r>
        <w:rPr>
          <w:rFonts w:ascii="仿宋" w:hAnsi="仿宋" w:eastAsia="仿宋" w:cs="仿宋"/>
          <w:color w:val="auto"/>
          <w:spacing w:val="-8"/>
          <w:sz w:val="24"/>
          <w:szCs w:val="24"/>
          <w:highlight w:val="none"/>
        </w:rPr>
        <w:t>详细评审</w:t>
      </w:r>
    </w:p>
    <w:p w14:paraId="5796FFCF">
      <w:pPr>
        <w:spacing w:before="148" w:line="274" w:lineRule="auto"/>
        <w:ind w:left="6" w:right="91" w:firstLine="47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磋商小组分别进行技术评审、商务评审和信用与业绩评审，在技术组评委技术评分</w:t>
      </w:r>
      <w:r>
        <w:rPr>
          <w:rFonts w:ascii="仿宋" w:hAnsi="仿宋" w:eastAsia="仿宋" w:cs="仿宋"/>
          <w:color w:val="auto"/>
          <w:spacing w:val="-4"/>
          <w:sz w:val="24"/>
          <w:szCs w:val="24"/>
          <w:highlight w:val="none"/>
        </w:rPr>
        <w:t>表提交后，再进行商务评分汇总。</w:t>
      </w:r>
    </w:p>
    <w:p w14:paraId="4893D7AC">
      <w:pPr>
        <w:spacing w:before="85" w:line="291" w:lineRule="auto"/>
        <w:ind w:left="2" w:firstLine="480"/>
        <w:jc w:val="both"/>
        <w:rPr>
          <w:rFonts w:ascii="仿宋" w:hAnsi="仿宋" w:eastAsia="仿宋" w:cs="仿宋"/>
          <w:color w:val="auto"/>
          <w:sz w:val="24"/>
          <w:szCs w:val="24"/>
          <w:highlight w:val="none"/>
        </w:rPr>
      </w:pPr>
      <w:r>
        <w:rPr>
          <w:rFonts w:ascii="仿宋" w:hAnsi="仿宋" w:eastAsia="仿宋" w:cs="仿宋"/>
          <w:color w:val="auto"/>
          <w:sz w:val="24"/>
          <w:szCs w:val="24"/>
          <w:highlight w:val="none"/>
        </w:rPr>
        <w:t>报价部分由磋商小组与供应商进行磋商，供应商进行</w:t>
      </w:r>
      <w:r>
        <w:rPr>
          <w:rFonts w:ascii="仿宋" w:hAnsi="仿宋" w:eastAsia="仿宋" w:cs="仿宋"/>
          <w:color w:val="auto"/>
          <w:spacing w:val="-1"/>
          <w:sz w:val="24"/>
          <w:szCs w:val="24"/>
          <w:highlight w:val="none"/>
        </w:rPr>
        <w:t>二轮报价。第一轮报价为响应</w:t>
      </w:r>
      <w:r>
        <w:rPr>
          <w:rFonts w:ascii="仿宋" w:hAnsi="仿宋" w:eastAsia="仿宋" w:cs="仿宋"/>
          <w:color w:val="auto"/>
          <w:sz w:val="24"/>
          <w:szCs w:val="24"/>
          <w:highlight w:val="none"/>
        </w:rPr>
        <w:t>文件内报价，第二轮报价由磋商小组与供应商单独磋商后</w:t>
      </w:r>
      <w:r>
        <w:rPr>
          <w:rFonts w:ascii="仿宋" w:hAnsi="仿宋" w:eastAsia="仿宋" w:cs="仿宋"/>
          <w:color w:val="auto"/>
          <w:spacing w:val="-1"/>
          <w:sz w:val="24"/>
          <w:szCs w:val="24"/>
          <w:highlight w:val="none"/>
        </w:rPr>
        <w:t>报价，第二轮报价所有供应商</w:t>
      </w:r>
      <w:r>
        <w:rPr>
          <w:rFonts w:ascii="仿宋" w:hAnsi="仿宋" w:eastAsia="仿宋" w:cs="仿宋"/>
          <w:color w:val="auto"/>
          <w:sz w:val="24"/>
          <w:szCs w:val="24"/>
          <w:highlight w:val="none"/>
        </w:rPr>
        <w:t>同时报价。以最后一轮的最终报价由低到高进行排序，磋</w:t>
      </w:r>
      <w:r>
        <w:rPr>
          <w:rFonts w:ascii="仿宋" w:hAnsi="仿宋" w:eastAsia="仿宋" w:cs="仿宋"/>
          <w:color w:val="auto"/>
          <w:spacing w:val="-1"/>
          <w:sz w:val="24"/>
          <w:szCs w:val="24"/>
          <w:highlight w:val="none"/>
        </w:rPr>
        <w:t>商小组推荐报价最低的三名供</w:t>
      </w:r>
      <w:r>
        <w:rPr>
          <w:rFonts w:ascii="仿宋" w:hAnsi="仿宋" w:eastAsia="仿宋" w:cs="仿宋"/>
          <w:color w:val="auto"/>
          <w:spacing w:val="-2"/>
          <w:sz w:val="24"/>
          <w:szCs w:val="24"/>
          <w:highlight w:val="none"/>
        </w:rPr>
        <w:t>应商为成交候选人推荐给采购人，由采购人</w:t>
      </w:r>
      <w:r>
        <w:rPr>
          <w:rFonts w:ascii="仿宋" w:hAnsi="仿宋" w:eastAsia="仿宋" w:cs="仿宋"/>
          <w:color w:val="auto"/>
          <w:spacing w:val="-3"/>
          <w:sz w:val="24"/>
          <w:szCs w:val="24"/>
          <w:highlight w:val="none"/>
        </w:rPr>
        <w:t>确定一名供应商为成交供应商。</w:t>
      </w:r>
    </w:p>
    <w:p w14:paraId="39ED3183">
      <w:pPr>
        <w:spacing w:before="81" w:line="250" w:lineRule="auto"/>
        <w:ind w:left="8" w:right="216" w:firstLine="464"/>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5.2.1 磋商小组按照本章第</w:t>
      </w:r>
      <w:r>
        <w:rPr>
          <w:rFonts w:ascii="仿宋" w:hAnsi="仿宋" w:eastAsia="仿宋" w:cs="仿宋"/>
          <w:color w:val="auto"/>
          <w:spacing w:val="-19"/>
          <w:sz w:val="24"/>
          <w:szCs w:val="24"/>
          <w:highlight w:val="none"/>
        </w:rPr>
        <w:t xml:space="preserve"> </w:t>
      </w:r>
      <w:r>
        <w:rPr>
          <w:rFonts w:ascii="仿宋" w:hAnsi="仿宋" w:eastAsia="仿宋" w:cs="仿宋"/>
          <w:color w:val="auto"/>
          <w:spacing w:val="-2"/>
          <w:sz w:val="24"/>
          <w:szCs w:val="24"/>
          <w:highlight w:val="none"/>
        </w:rPr>
        <w:t>2.2 款规定的量化因素和分值进行打分，计算出综合</w:t>
      </w:r>
      <w:r>
        <w:rPr>
          <w:rFonts w:ascii="仿宋" w:hAnsi="仿宋" w:eastAsia="仿宋" w:cs="仿宋"/>
          <w:color w:val="auto"/>
          <w:spacing w:val="-3"/>
          <w:sz w:val="24"/>
          <w:szCs w:val="24"/>
          <w:highlight w:val="none"/>
        </w:rPr>
        <w:t>评 分得分，供应商的总得分等于评委评分的算术和的平均值。</w:t>
      </w:r>
    </w:p>
    <w:p w14:paraId="6D13141E">
      <w:pPr>
        <w:spacing w:line="250" w:lineRule="auto"/>
        <w:rPr>
          <w:rFonts w:ascii="仿宋" w:hAnsi="仿宋" w:eastAsia="仿宋" w:cs="仿宋"/>
          <w:color w:val="auto"/>
          <w:sz w:val="24"/>
          <w:szCs w:val="24"/>
          <w:highlight w:val="none"/>
        </w:rPr>
        <w:sectPr>
          <w:footerReference r:id="rId34" w:type="default"/>
          <w:pgSz w:w="11906" w:h="16840"/>
          <w:pgMar w:top="1416" w:right="1331" w:bottom="1118" w:left="1462" w:header="0" w:footer="948" w:gutter="0"/>
          <w:pgNumType w:fmt="decimal"/>
          <w:cols w:space="720" w:num="1"/>
        </w:sectPr>
      </w:pPr>
    </w:p>
    <w:p w14:paraId="4304586D">
      <w:pPr>
        <w:spacing w:before="48" w:line="222" w:lineRule="auto"/>
        <w:ind w:left="49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（1）按本章规定的评审项目及内容对技术因素部分计算出得分∑</w:t>
      </w:r>
      <w:r>
        <w:rPr>
          <w:rFonts w:ascii="仿宋" w:hAnsi="仿宋" w:eastAsia="仿宋" w:cs="仿宋"/>
          <w:color w:val="auto"/>
          <w:spacing w:val="-21"/>
          <w:sz w:val="24"/>
          <w:szCs w:val="24"/>
          <w:highlight w:val="none"/>
        </w:rPr>
        <w:t xml:space="preserve"> </w:t>
      </w:r>
      <w:r>
        <w:rPr>
          <w:rFonts w:ascii="仿宋" w:hAnsi="仿宋" w:eastAsia="仿宋" w:cs="仿宋"/>
          <w:color w:val="auto"/>
          <w:spacing w:val="-5"/>
          <w:sz w:val="24"/>
          <w:szCs w:val="24"/>
          <w:highlight w:val="none"/>
        </w:rPr>
        <w:t>1；</w:t>
      </w:r>
    </w:p>
    <w:p w14:paraId="69395448">
      <w:pPr>
        <w:spacing w:before="107" w:line="222" w:lineRule="auto"/>
        <w:ind w:left="49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（2）按本章规定的评审项目及内容对商务因素部分计算出∑2；</w:t>
      </w:r>
    </w:p>
    <w:p w14:paraId="026A66CD">
      <w:pPr>
        <w:spacing w:before="107" w:line="221" w:lineRule="auto"/>
        <w:ind w:left="46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5.2.2 评分分值计算保留小数点后两位，小数点后第三位按“ 四舍五入</w:t>
      </w:r>
      <w:r>
        <w:rPr>
          <w:rFonts w:ascii="仿宋" w:hAnsi="仿宋" w:eastAsia="仿宋" w:cs="仿宋"/>
          <w:color w:val="auto"/>
          <w:spacing w:val="-17"/>
          <w:sz w:val="24"/>
          <w:szCs w:val="24"/>
          <w:highlight w:val="none"/>
        </w:rPr>
        <w:t xml:space="preserve"> </w:t>
      </w:r>
      <w:r>
        <w:rPr>
          <w:rFonts w:ascii="仿宋" w:hAnsi="仿宋" w:eastAsia="仿宋" w:cs="仿宋"/>
          <w:color w:val="auto"/>
          <w:spacing w:val="-6"/>
          <w:sz w:val="24"/>
          <w:szCs w:val="24"/>
          <w:highlight w:val="none"/>
        </w:rPr>
        <w:t>”；</w:t>
      </w:r>
    </w:p>
    <w:p w14:paraId="2F1527D4">
      <w:pPr>
        <w:spacing w:before="116" w:line="222" w:lineRule="auto"/>
        <w:ind w:left="469"/>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5.2.3</w:t>
      </w:r>
      <w:r>
        <w:rPr>
          <w:rFonts w:ascii="仿宋" w:hAnsi="仿宋" w:eastAsia="仿宋" w:cs="仿宋"/>
          <w:color w:val="auto"/>
          <w:spacing w:val="-23"/>
          <w:sz w:val="24"/>
          <w:szCs w:val="24"/>
          <w:highlight w:val="none"/>
        </w:rPr>
        <w:t xml:space="preserve"> </w:t>
      </w:r>
      <w:r>
        <w:rPr>
          <w:rFonts w:ascii="仿宋" w:hAnsi="仿宋" w:eastAsia="仿宋" w:cs="仿宋"/>
          <w:color w:val="auto"/>
          <w:spacing w:val="-13"/>
          <w:sz w:val="24"/>
          <w:szCs w:val="24"/>
          <w:highlight w:val="none"/>
        </w:rPr>
        <w:t>供应商得分：</w:t>
      </w:r>
      <w:r>
        <w:rPr>
          <w:rFonts w:ascii="仿宋" w:hAnsi="仿宋" w:eastAsia="仿宋" w:cs="仿宋"/>
          <w:color w:val="auto"/>
          <w:spacing w:val="-23"/>
          <w:sz w:val="24"/>
          <w:szCs w:val="24"/>
          <w:highlight w:val="none"/>
        </w:rPr>
        <w:t xml:space="preserve"> </w:t>
      </w:r>
      <w:r>
        <w:rPr>
          <w:rFonts w:ascii="仿宋" w:hAnsi="仿宋" w:eastAsia="仿宋" w:cs="仿宋"/>
          <w:color w:val="auto"/>
          <w:spacing w:val="-13"/>
          <w:sz w:val="24"/>
          <w:szCs w:val="24"/>
          <w:highlight w:val="none"/>
        </w:rPr>
        <w:t>∑</w:t>
      </w:r>
      <w:r>
        <w:rPr>
          <w:rFonts w:ascii="仿宋" w:hAnsi="仿宋" w:eastAsia="仿宋" w:cs="仿宋"/>
          <w:color w:val="auto"/>
          <w:spacing w:val="-61"/>
          <w:sz w:val="24"/>
          <w:szCs w:val="24"/>
          <w:highlight w:val="none"/>
        </w:rPr>
        <w:t xml:space="preserve"> </w:t>
      </w:r>
      <w:r>
        <w:rPr>
          <w:rFonts w:ascii="仿宋" w:hAnsi="仿宋" w:eastAsia="仿宋" w:cs="仿宋"/>
          <w:color w:val="auto"/>
          <w:spacing w:val="-13"/>
          <w:sz w:val="24"/>
          <w:szCs w:val="24"/>
          <w:highlight w:val="none"/>
        </w:rPr>
        <w:t>1+∑2</w:t>
      </w:r>
    </w:p>
    <w:p w14:paraId="58A8B784">
      <w:pPr>
        <w:spacing w:before="109" w:line="222" w:lineRule="auto"/>
        <w:ind w:left="469"/>
        <w:outlineLvl w:val="2"/>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5.3 响应文件的澄清和补正</w:t>
      </w:r>
    </w:p>
    <w:p w14:paraId="20D62032">
      <w:pPr>
        <w:spacing w:before="145" w:line="272" w:lineRule="auto"/>
        <w:ind w:firstLine="466"/>
        <w:rPr>
          <w:rFonts w:ascii="仿宋" w:hAnsi="仿宋" w:eastAsia="仿宋" w:cs="仿宋"/>
          <w:color w:val="auto"/>
          <w:sz w:val="24"/>
          <w:szCs w:val="24"/>
          <w:highlight w:val="none"/>
        </w:rPr>
      </w:pPr>
      <w:r>
        <w:rPr>
          <w:rFonts w:ascii="仿宋" w:hAnsi="仿宋" w:eastAsia="仿宋" w:cs="仿宋"/>
          <w:color w:val="auto"/>
          <w:sz w:val="24"/>
          <w:szCs w:val="24"/>
          <w:highlight w:val="none"/>
        </w:rPr>
        <w:t>5.3.1 在评审过程中，磋商小组可以书面形式要</w:t>
      </w:r>
      <w:r>
        <w:rPr>
          <w:rFonts w:ascii="仿宋" w:hAnsi="仿宋" w:eastAsia="仿宋" w:cs="仿宋"/>
          <w:color w:val="auto"/>
          <w:spacing w:val="-1"/>
          <w:sz w:val="24"/>
          <w:szCs w:val="24"/>
          <w:highlight w:val="none"/>
        </w:rPr>
        <w:t>求供应商对所提交响应文件中不明</w:t>
      </w:r>
      <w:r>
        <w:rPr>
          <w:rFonts w:ascii="仿宋" w:hAnsi="仿宋" w:eastAsia="仿宋" w:cs="仿宋"/>
          <w:color w:val="auto"/>
          <w:sz w:val="24"/>
          <w:szCs w:val="24"/>
          <w:highlight w:val="none"/>
        </w:rPr>
        <w:t>确的内容进行书面澄清或说明，或者对细微偏</w:t>
      </w:r>
      <w:r>
        <w:rPr>
          <w:rFonts w:ascii="仿宋" w:hAnsi="仿宋" w:eastAsia="仿宋" w:cs="仿宋"/>
          <w:color w:val="auto"/>
          <w:spacing w:val="-1"/>
          <w:sz w:val="24"/>
          <w:szCs w:val="24"/>
          <w:highlight w:val="none"/>
        </w:rPr>
        <w:t>差进行补正。磋商小组不接受供应商主动</w:t>
      </w:r>
      <w:r>
        <w:rPr>
          <w:rFonts w:ascii="仿宋" w:hAnsi="仿宋" w:eastAsia="仿宋" w:cs="仿宋"/>
          <w:color w:val="auto"/>
          <w:spacing w:val="-5"/>
          <w:sz w:val="24"/>
          <w:szCs w:val="24"/>
          <w:highlight w:val="none"/>
        </w:rPr>
        <w:t>提出的澄清、说明或补正。</w:t>
      </w:r>
    </w:p>
    <w:p w14:paraId="55D1D66E">
      <w:pPr>
        <w:spacing w:before="199" w:line="242" w:lineRule="auto"/>
        <w:ind w:right="58" w:firstLine="466"/>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5.3.2 澄清、说明和补正不得改变响应文件的实质性内容（算</w:t>
      </w:r>
      <w:r>
        <w:rPr>
          <w:rFonts w:ascii="仿宋" w:hAnsi="仿宋" w:eastAsia="仿宋" w:cs="仿宋"/>
          <w:color w:val="auto"/>
          <w:spacing w:val="-14"/>
          <w:sz w:val="24"/>
          <w:szCs w:val="24"/>
          <w:highlight w:val="none"/>
        </w:rPr>
        <w:t>术性错误修正的除外）。</w:t>
      </w:r>
      <w:r>
        <w:rPr>
          <w:rFonts w:ascii="仿宋" w:hAnsi="仿宋" w:eastAsia="仿宋" w:cs="仿宋"/>
          <w:color w:val="auto"/>
          <w:spacing w:val="-3"/>
          <w:sz w:val="24"/>
          <w:szCs w:val="24"/>
          <w:highlight w:val="none"/>
        </w:rPr>
        <w:t>供应商的书面澄清、说明和补正属于响应文件的组成部分。</w:t>
      </w:r>
    </w:p>
    <w:p w14:paraId="3D6AA5DE">
      <w:pPr>
        <w:spacing w:before="165" w:line="242" w:lineRule="auto"/>
        <w:ind w:left="1" w:right="86" w:firstLine="462"/>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5.3.3 磋商小组对供应商提交的澄清、说明或补正有疑问</w:t>
      </w:r>
      <w:r>
        <w:rPr>
          <w:rFonts w:ascii="仿宋" w:hAnsi="仿宋" w:eastAsia="仿宋" w:cs="仿宋"/>
          <w:color w:val="auto"/>
          <w:spacing w:val="-3"/>
          <w:sz w:val="24"/>
          <w:szCs w:val="24"/>
          <w:highlight w:val="none"/>
        </w:rPr>
        <w:t>的，可以要求供应商进一步澄清、说明或补正，直至满足磋商小组的要求。</w:t>
      </w:r>
    </w:p>
    <w:p w14:paraId="1091B724">
      <w:pPr>
        <w:spacing w:before="136" w:line="222" w:lineRule="auto"/>
        <w:ind w:left="466"/>
        <w:outlineLvl w:val="2"/>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5.4</w:t>
      </w:r>
      <w:r>
        <w:rPr>
          <w:rFonts w:ascii="仿宋" w:hAnsi="仿宋" w:eastAsia="仿宋" w:cs="仿宋"/>
          <w:color w:val="auto"/>
          <w:spacing w:val="-19"/>
          <w:sz w:val="24"/>
          <w:szCs w:val="24"/>
          <w:highlight w:val="none"/>
        </w:rPr>
        <w:t xml:space="preserve"> </w:t>
      </w:r>
      <w:r>
        <w:rPr>
          <w:rFonts w:ascii="仿宋" w:hAnsi="仿宋" w:eastAsia="仿宋" w:cs="仿宋"/>
          <w:color w:val="auto"/>
          <w:spacing w:val="-9"/>
          <w:sz w:val="24"/>
          <w:szCs w:val="24"/>
          <w:highlight w:val="none"/>
        </w:rPr>
        <w:t>评审结果</w:t>
      </w:r>
    </w:p>
    <w:p w14:paraId="709B7BE5">
      <w:pPr>
        <w:spacing w:before="140" w:line="275" w:lineRule="auto"/>
        <w:ind w:left="19" w:right="86" w:firstLine="444"/>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5.4.1 磋商小组依据本章第评分标准进行评分，按评审办</w:t>
      </w:r>
      <w:r>
        <w:rPr>
          <w:rFonts w:ascii="仿宋" w:hAnsi="仿宋" w:eastAsia="仿宋" w:cs="仿宋"/>
          <w:color w:val="auto"/>
          <w:spacing w:val="-3"/>
          <w:sz w:val="24"/>
          <w:szCs w:val="24"/>
          <w:highlight w:val="none"/>
        </w:rPr>
        <w:t>法前附表的约定计算供应</w:t>
      </w:r>
      <w:r>
        <w:rPr>
          <w:rFonts w:ascii="仿宋" w:hAnsi="仿宋" w:eastAsia="仿宋" w:cs="仿宋"/>
          <w:color w:val="auto"/>
          <w:spacing w:val="-5"/>
          <w:sz w:val="24"/>
          <w:szCs w:val="24"/>
          <w:highlight w:val="none"/>
        </w:rPr>
        <w:t>商最终得分，根据得分由高到低的顺序推荐 3 名中标候选人，并标明推荐顺</w:t>
      </w:r>
      <w:r>
        <w:rPr>
          <w:rFonts w:ascii="仿宋" w:hAnsi="仿宋" w:eastAsia="仿宋" w:cs="仿宋"/>
          <w:color w:val="auto"/>
          <w:spacing w:val="-6"/>
          <w:sz w:val="24"/>
          <w:szCs w:val="24"/>
          <w:highlight w:val="none"/>
        </w:rPr>
        <w:t>序。</w:t>
      </w:r>
    </w:p>
    <w:p w14:paraId="7B64FC20">
      <w:pPr>
        <w:spacing w:before="61" w:line="222" w:lineRule="auto"/>
        <w:ind w:left="466"/>
        <w:outlineLvl w:val="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5.4.2 磋商小组完成评审后，应当向采购人提交书</w:t>
      </w:r>
      <w:r>
        <w:rPr>
          <w:rFonts w:ascii="仿宋" w:hAnsi="仿宋" w:eastAsia="仿宋" w:cs="仿宋"/>
          <w:color w:val="auto"/>
          <w:spacing w:val="-4"/>
          <w:sz w:val="24"/>
          <w:szCs w:val="24"/>
          <w:highlight w:val="none"/>
        </w:rPr>
        <w:t>面评审报告。</w:t>
      </w:r>
    </w:p>
    <w:p w14:paraId="4A16FFB7">
      <w:pPr>
        <w:spacing w:line="222" w:lineRule="auto"/>
        <w:rPr>
          <w:rFonts w:ascii="仿宋" w:hAnsi="仿宋" w:eastAsia="仿宋" w:cs="仿宋"/>
          <w:color w:val="auto"/>
          <w:sz w:val="24"/>
          <w:szCs w:val="24"/>
          <w:highlight w:val="none"/>
        </w:rPr>
        <w:sectPr>
          <w:footerReference r:id="rId35" w:type="default"/>
          <w:pgSz w:w="11906" w:h="16840"/>
          <w:pgMar w:top="1416" w:right="1334" w:bottom="1174" w:left="1468" w:header="0" w:footer="928" w:gutter="0"/>
          <w:pgNumType w:fmt="decimal"/>
          <w:cols w:space="720" w:num="1"/>
        </w:sectPr>
      </w:pPr>
    </w:p>
    <w:p w14:paraId="40F144D5">
      <w:pPr>
        <w:spacing w:before="195" w:line="222" w:lineRule="auto"/>
        <w:ind w:left="2117"/>
        <w:outlineLvl w:val="0"/>
        <w:rPr>
          <w:rFonts w:ascii="黑体" w:hAnsi="黑体" w:eastAsia="黑体" w:cs="黑体"/>
          <w:color w:val="auto"/>
          <w:sz w:val="30"/>
          <w:szCs w:val="30"/>
          <w:highlight w:val="none"/>
        </w:rPr>
      </w:pPr>
      <w:bookmarkStart w:id="29" w:name="bookmark32"/>
      <w:bookmarkEnd w:id="29"/>
      <w:bookmarkStart w:id="30" w:name="bookmark31"/>
      <w:bookmarkEnd w:id="30"/>
      <w:r>
        <w:rPr>
          <w:rFonts w:ascii="黑体" w:hAnsi="黑体" w:eastAsia="黑体" w:cs="黑体"/>
          <w:color w:val="auto"/>
          <w:spacing w:val="7"/>
          <w:sz w:val="30"/>
          <w:szCs w:val="30"/>
          <w:highlight w:val="none"/>
        </w:rPr>
        <w:t>第五章</w:t>
      </w:r>
      <w:r>
        <w:rPr>
          <w:rFonts w:ascii="黑体" w:hAnsi="黑体" w:eastAsia="黑体" w:cs="黑体"/>
          <w:color w:val="auto"/>
          <w:spacing w:val="34"/>
          <w:sz w:val="30"/>
          <w:szCs w:val="30"/>
          <w:highlight w:val="none"/>
        </w:rPr>
        <w:t xml:space="preserve">  </w:t>
      </w:r>
      <w:r>
        <w:rPr>
          <w:rFonts w:ascii="黑体" w:hAnsi="黑体" w:eastAsia="黑体" w:cs="黑体"/>
          <w:color w:val="auto"/>
          <w:spacing w:val="7"/>
          <w:sz w:val="30"/>
          <w:szCs w:val="30"/>
          <w:highlight w:val="none"/>
        </w:rPr>
        <w:t>签订合同</w:t>
      </w:r>
      <w:r>
        <w:rPr>
          <w:rFonts w:ascii="黑体" w:hAnsi="黑体" w:eastAsia="黑体" w:cs="黑体"/>
          <w:color w:val="auto"/>
          <w:spacing w:val="-89"/>
          <w:sz w:val="30"/>
          <w:szCs w:val="30"/>
          <w:highlight w:val="none"/>
        </w:rPr>
        <w:t xml:space="preserve"> </w:t>
      </w:r>
      <w:r>
        <w:rPr>
          <w:rFonts w:ascii="黑体" w:hAnsi="黑体" w:eastAsia="黑体" w:cs="黑体"/>
          <w:color w:val="auto"/>
          <w:spacing w:val="7"/>
          <w:sz w:val="30"/>
          <w:szCs w:val="30"/>
          <w:highlight w:val="none"/>
        </w:rPr>
        <w:t>、合同主要条款</w:t>
      </w:r>
    </w:p>
    <w:p w14:paraId="1A805018">
      <w:pPr>
        <w:spacing w:before="308" w:line="222" w:lineRule="auto"/>
        <w:ind w:left="2919"/>
        <w:outlineLvl w:val="1"/>
        <w:rPr>
          <w:rFonts w:ascii="黑体" w:hAnsi="黑体" w:eastAsia="黑体" w:cs="黑体"/>
          <w:color w:val="auto"/>
          <w:sz w:val="30"/>
          <w:szCs w:val="30"/>
          <w:highlight w:val="none"/>
        </w:rPr>
      </w:pPr>
      <w:r>
        <w:rPr>
          <w:rFonts w:ascii="黑体" w:hAnsi="黑体" w:eastAsia="黑体" w:cs="黑体"/>
          <w:color w:val="auto"/>
          <w:spacing w:val="6"/>
          <w:sz w:val="30"/>
          <w:szCs w:val="30"/>
          <w:highlight w:val="none"/>
        </w:rPr>
        <w:t>第一节</w:t>
      </w:r>
      <w:r>
        <w:rPr>
          <w:rFonts w:ascii="黑体" w:hAnsi="黑体" w:eastAsia="黑体" w:cs="黑体"/>
          <w:color w:val="auto"/>
          <w:spacing w:val="37"/>
          <w:sz w:val="30"/>
          <w:szCs w:val="30"/>
          <w:highlight w:val="none"/>
        </w:rPr>
        <w:t xml:space="preserve">  </w:t>
      </w:r>
      <w:r>
        <w:rPr>
          <w:rFonts w:ascii="黑体" w:hAnsi="黑体" w:eastAsia="黑体" w:cs="黑体"/>
          <w:color w:val="auto"/>
          <w:spacing w:val="6"/>
          <w:sz w:val="30"/>
          <w:szCs w:val="30"/>
          <w:highlight w:val="none"/>
        </w:rPr>
        <w:t>通用合同条款</w:t>
      </w:r>
    </w:p>
    <w:p w14:paraId="0B9B97B7">
      <w:pPr>
        <w:pStyle w:val="3"/>
        <w:spacing w:line="319" w:lineRule="auto"/>
        <w:rPr>
          <w:color w:val="auto"/>
          <w:highlight w:val="none"/>
        </w:rPr>
      </w:pPr>
    </w:p>
    <w:p w14:paraId="1C607450">
      <w:pPr>
        <w:spacing w:before="78" w:line="213" w:lineRule="auto"/>
        <w:jc w:val="right"/>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执行《建设工程施工合同（示范文本）》（GF-2017-0201）通用合同条款，此</w:t>
      </w:r>
      <w:r>
        <w:rPr>
          <w:rFonts w:ascii="黑体" w:hAnsi="黑体" w:eastAsia="黑体" w:cs="黑体"/>
          <w:color w:val="auto"/>
          <w:spacing w:val="-2"/>
          <w:sz w:val="24"/>
          <w:szCs w:val="24"/>
          <w:highlight w:val="none"/>
        </w:rPr>
        <w:t>处略。</w:t>
      </w:r>
    </w:p>
    <w:p w14:paraId="37960527">
      <w:pPr>
        <w:spacing w:line="213" w:lineRule="auto"/>
        <w:rPr>
          <w:rFonts w:ascii="黑体" w:hAnsi="黑体" w:eastAsia="黑体" w:cs="黑体"/>
          <w:color w:val="auto"/>
          <w:sz w:val="24"/>
          <w:szCs w:val="24"/>
          <w:highlight w:val="none"/>
        </w:rPr>
        <w:sectPr>
          <w:footerReference r:id="rId36" w:type="default"/>
          <w:pgSz w:w="11906" w:h="16840"/>
          <w:pgMar w:top="1431" w:right="1600" w:bottom="1117" w:left="1470" w:header="0" w:footer="948" w:gutter="0"/>
          <w:pgNumType w:fmt="decimal"/>
          <w:cols w:space="720" w:num="1"/>
        </w:sectPr>
      </w:pPr>
    </w:p>
    <w:p w14:paraId="77E9A92C">
      <w:pPr>
        <w:spacing w:before="190" w:line="222" w:lineRule="auto"/>
        <w:ind w:left="2894"/>
        <w:outlineLvl w:val="1"/>
        <w:rPr>
          <w:rFonts w:ascii="黑体" w:hAnsi="黑体" w:eastAsia="黑体" w:cs="黑体"/>
          <w:color w:val="auto"/>
          <w:sz w:val="30"/>
          <w:szCs w:val="30"/>
          <w:highlight w:val="none"/>
        </w:rPr>
      </w:pPr>
      <w:bookmarkStart w:id="31" w:name="bookmark33"/>
      <w:bookmarkEnd w:id="31"/>
      <w:r>
        <w:rPr>
          <w:rFonts w:ascii="黑体" w:hAnsi="黑体" w:eastAsia="黑体" w:cs="黑体"/>
          <w:color w:val="auto"/>
          <w:spacing w:val="5"/>
          <w:sz w:val="30"/>
          <w:szCs w:val="30"/>
          <w:highlight w:val="none"/>
        </w:rPr>
        <w:t>第二节</w:t>
      </w:r>
      <w:r>
        <w:rPr>
          <w:rFonts w:ascii="黑体" w:hAnsi="黑体" w:eastAsia="黑体" w:cs="黑体"/>
          <w:color w:val="auto"/>
          <w:spacing w:val="43"/>
          <w:sz w:val="30"/>
          <w:szCs w:val="30"/>
          <w:highlight w:val="none"/>
        </w:rPr>
        <w:t xml:space="preserve">  </w:t>
      </w:r>
      <w:r>
        <w:rPr>
          <w:rFonts w:ascii="黑体" w:hAnsi="黑体" w:eastAsia="黑体" w:cs="黑体"/>
          <w:color w:val="auto"/>
          <w:spacing w:val="5"/>
          <w:sz w:val="30"/>
          <w:szCs w:val="30"/>
          <w:highlight w:val="none"/>
        </w:rPr>
        <w:t>专用合同条款</w:t>
      </w:r>
    </w:p>
    <w:p w14:paraId="1EF0F50F">
      <w:pPr>
        <w:spacing w:before="219" w:line="228" w:lineRule="auto"/>
        <w:ind w:left="23"/>
        <w:rPr>
          <w:rFonts w:ascii="仿宋" w:hAnsi="仿宋" w:eastAsia="仿宋" w:cs="仿宋"/>
          <w:color w:val="auto"/>
          <w:sz w:val="24"/>
          <w:szCs w:val="24"/>
          <w:highlight w:val="none"/>
        </w:rPr>
      </w:pPr>
      <w:r>
        <w:rPr>
          <w:rFonts w:ascii="仿宋" w:hAnsi="仿宋" w:eastAsia="仿宋" w:cs="仿宋"/>
          <w:b/>
          <w:bCs/>
          <w:color w:val="auto"/>
          <w:spacing w:val="-20"/>
          <w:sz w:val="30"/>
          <w:szCs w:val="30"/>
          <w:highlight w:val="none"/>
        </w:rPr>
        <w:t>1</w:t>
      </w:r>
      <w:r>
        <w:rPr>
          <w:rFonts w:ascii="仿宋" w:hAnsi="仿宋" w:eastAsia="仿宋" w:cs="仿宋"/>
          <w:b/>
          <w:bCs/>
          <w:color w:val="auto"/>
          <w:spacing w:val="-20"/>
          <w:sz w:val="24"/>
          <w:szCs w:val="24"/>
          <w:highlight w:val="none"/>
        </w:rPr>
        <w:t>.</w:t>
      </w:r>
      <w:r>
        <w:rPr>
          <w:rFonts w:ascii="仿宋" w:hAnsi="仿宋" w:eastAsia="仿宋" w:cs="仿宋"/>
          <w:color w:val="auto"/>
          <w:spacing w:val="40"/>
          <w:sz w:val="24"/>
          <w:szCs w:val="24"/>
          <w:highlight w:val="none"/>
        </w:rPr>
        <w:t xml:space="preserve"> </w:t>
      </w:r>
      <w:r>
        <w:rPr>
          <w:rFonts w:ascii="仿宋" w:hAnsi="仿宋" w:eastAsia="仿宋" w:cs="仿宋"/>
          <w:b/>
          <w:bCs/>
          <w:color w:val="auto"/>
          <w:spacing w:val="-20"/>
          <w:sz w:val="24"/>
          <w:szCs w:val="24"/>
          <w:highlight w:val="none"/>
        </w:rPr>
        <w:t>一般约定</w:t>
      </w:r>
    </w:p>
    <w:p w14:paraId="179B5DE0">
      <w:pPr>
        <w:spacing w:before="240" w:line="224" w:lineRule="auto"/>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1.1</w:t>
      </w:r>
      <w:r>
        <w:rPr>
          <w:rFonts w:ascii="仿宋" w:hAnsi="仿宋" w:eastAsia="仿宋" w:cs="仿宋"/>
          <w:color w:val="auto"/>
          <w:spacing w:val="35"/>
          <w:sz w:val="24"/>
          <w:szCs w:val="24"/>
          <w:highlight w:val="none"/>
        </w:rPr>
        <w:t xml:space="preserve"> </w:t>
      </w:r>
      <w:r>
        <w:rPr>
          <w:rFonts w:ascii="仿宋" w:hAnsi="仿宋" w:eastAsia="仿宋" w:cs="仿宋"/>
          <w:color w:val="auto"/>
          <w:spacing w:val="-12"/>
          <w:sz w:val="24"/>
          <w:szCs w:val="24"/>
          <w:highlight w:val="none"/>
        </w:rPr>
        <w:t>词语定义</w:t>
      </w:r>
    </w:p>
    <w:p w14:paraId="1A2FD49C">
      <w:pPr>
        <w:spacing w:before="284" w:line="224" w:lineRule="auto"/>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1.1.1</w:t>
      </w:r>
      <w:r>
        <w:rPr>
          <w:rFonts w:ascii="仿宋" w:hAnsi="仿宋" w:eastAsia="仿宋" w:cs="仿宋"/>
          <w:color w:val="auto"/>
          <w:spacing w:val="-16"/>
          <w:sz w:val="24"/>
          <w:szCs w:val="24"/>
          <w:highlight w:val="none"/>
        </w:rPr>
        <w:t xml:space="preserve"> </w:t>
      </w:r>
      <w:r>
        <w:rPr>
          <w:rFonts w:ascii="仿宋" w:hAnsi="仿宋" w:eastAsia="仿宋" w:cs="仿宋"/>
          <w:color w:val="auto"/>
          <w:spacing w:val="-13"/>
          <w:sz w:val="24"/>
          <w:szCs w:val="24"/>
          <w:highlight w:val="none"/>
        </w:rPr>
        <w:t>合同</w:t>
      </w:r>
    </w:p>
    <w:p w14:paraId="67C7921A">
      <w:pPr>
        <w:spacing w:before="126" w:line="286"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"1.1.1.10" </w:instrText>
      </w:r>
      <w:r>
        <w:rPr>
          <w:color w:val="auto"/>
          <w:highlight w:val="none"/>
        </w:rPr>
        <w:fldChar w:fldCharType="separate"/>
      </w:r>
      <w:r>
        <w:rPr>
          <w:rFonts w:ascii="仿宋" w:hAnsi="仿宋" w:eastAsia="仿宋" w:cs="仿宋"/>
          <w:color w:val="auto"/>
          <w:spacing w:val="-3"/>
          <w:sz w:val="24"/>
          <w:szCs w:val="24"/>
          <w:highlight w:val="none"/>
        </w:rPr>
        <w:t>1.1.1.10</w:t>
      </w:r>
      <w:r>
        <w:rPr>
          <w:rFonts w:ascii="仿宋" w:hAnsi="仿宋" w:eastAsia="仿宋" w:cs="仿宋"/>
          <w:color w:val="auto"/>
          <w:spacing w:val="-3"/>
          <w:sz w:val="24"/>
          <w:szCs w:val="24"/>
          <w:highlight w:val="none"/>
        </w:rPr>
        <w:fldChar w:fldCharType="end"/>
      </w:r>
      <w:r>
        <w:rPr>
          <w:rFonts w:ascii="仿宋" w:hAnsi="仿宋" w:eastAsia="仿宋" w:cs="仿宋"/>
          <w:color w:val="auto"/>
          <w:spacing w:val="-3"/>
          <w:sz w:val="24"/>
          <w:szCs w:val="24"/>
          <w:highlight w:val="none"/>
        </w:rPr>
        <w:t xml:space="preserve"> 其他合同文件包括：</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14:paraId="4EA1AED8">
      <w:pPr>
        <w:spacing w:before="140" w:line="222" w:lineRule="auto"/>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1.1.2 合同当事人及其他相关方</w:t>
      </w:r>
    </w:p>
    <w:sdt>
      <w:sdtPr>
        <w:rPr>
          <w:rFonts w:ascii="仿宋" w:hAnsi="仿宋" w:eastAsia="仿宋" w:cs="仿宋"/>
          <w:color w:val="auto"/>
          <w:sz w:val="24"/>
          <w:szCs w:val="24"/>
          <w:highlight w:val="none"/>
        </w:rPr>
        <w:id w:val="147474945"/>
        <w:docPartObj>
          <w:docPartGallery w:val="Table of Contents"/>
          <w:docPartUnique/>
        </w:docPartObj>
      </w:sdtPr>
      <w:sdtEndPr>
        <w:rPr>
          <w:rFonts w:ascii="仿宋" w:hAnsi="仿宋" w:eastAsia="仿宋" w:cs="仿宋"/>
          <w:color w:val="auto"/>
          <w:sz w:val="24"/>
          <w:szCs w:val="24"/>
          <w:highlight w:val="none"/>
        </w:rPr>
      </w:sdtEndPr>
      <w:sdtContent>
        <w:p w14:paraId="02914A6E">
          <w:pPr>
            <w:spacing w:before="35" w:line="377" w:lineRule="exac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"1.1.2.4" </w:instrText>
          </w:r>
          <w:r>
            <w:rPr>
              <w:color w:val="auto"/>
              <w:highlight w:val="none"/>
            </w:rPr>
            <w:fldChar w:fldCharType="separate"/>
          </w:r>
          <w:r>
            <w:rPr>
              <w:rFonts w:ascii="仿宋" w:hAnsi="仿宋" w:eastAsia="仿宋" w:cs="仿宋"/>
              <w:color w:val="auto"/>
              <w:spacing w:val="-10"/>
              <w:position w:val="3"/>
              <w:sz w:val="24"/>
              <w:szCs w:val="24"/>
              <w:highlight w:val="none"/>
            </w:rPr>
            <w:t>1.1.2.4</w:t>
          </w:r>
          <w:r>
            <w:rPr>
              <w:rFonts w:ascii="仿宋" w:hAnsi="仿宋" w:eastAsia="仿宋" w:cs="仿宋"/>
              <w:color w:val="auto"/>
              <w:spacing w:val="-10"/>
              <w:position w:val="3"/>
              <w:sz w:val="24"/>
              <w:szCs w:val="24"/>
              <w:highlight w:val="none"/>
            </w:rPr>
            <w:fldChar w:fldCharType="end"/>
          </w:r>
          <w:r>
            <w:rPr>
              <w:rFonts w:ascii="仿宋" w:hAnsi="仿宋" w:eastAsia="仿宋" w:cs="仿宋"/>
              <w:color w:val="auto"/>
              <w:spacing w:val="-10"/>
              <w:position w:val="3"/>
              <w:sz w:val="24"/>
              <w:szCs w:val="24"/>
              <w:highlight w:val="none"/>
            </w:rPr>
            <w:t xml:space="preserve"> 监理人：</w:t>
          </w:r>
        </w:p>
        <w:p w14:paraId="5367E077">
          <w:pPr>
            <w:spacing w:before="217" w:line="221" w:lineRule="auto"/>
            <w:ind w:left="451"/>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名</w:t>
          </w:r>
          <w:r>
            <w:rPr>
              <w:rFonts w:ascii="仿宋" w:hAnsi="仿宋" w:eastAsia="仿宋" w:cs="仿宋"/>
              <w:color w:val="auto"/>
              <w:spacing w:val="3"/>
              <w:sz w:val="24"/>
              <w:szCs w:val="24"/>
              <w:highlight w:val="none"/>
            </w:rPr>
            <w:t xml:space="preserve">    </w:t>
          </w:r>
          <w:r>
            <w:rPr>
              <w:rFonts w:ascii="仿宋" w:hAnsi="仿宋" w:eastAsia="仿宋" w:cs="仿宋"/>
              <w:color w:val="auto"/>
              <w:spacing w:val="-17"/>
              <w:sz w:val="24"/>
              <w:szCs w:val="24"/>
              <w:highlight w:val="none"/>
            </w:rPr>
            <w:t>称</w:t>
          </w:r>
          <w:r>
            <w:rPr>
              <w:rFonts w:ascii="仿宋" w:hAnsi="仿宋" w:eastAsia="仿宋" w:cs="仿宋"/>
              <w:color w:val="auto"/>
              <w:spacing w:val="-16"/>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6"/>
              <w:sz w:val="24"/>
              <w:szCs w:val="24"/>
              <w:highlight w:val="none"/>
            </w:rPr>
            <w:t>；</w:t>
          </w:r>
        </w:p>
      </w:sdtContent>
    </w:sdt>
    <w:p w14:paraId="0AB8D1C9">
      <w:pPr>
        <w:spacing w:before="171" w:line="222" w:lineRule="auto"/>
        <w:ind w:left="484"/>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资质类别和等级</w:t>
      </w:r>
      <w:r>
        <w:rPr>
          <w:rFonts w:ascii="仿宋" w:hAnsi="仿宋" w:eastAsia="仿宋" w:cs="仿宋"/>
          <w:color w:val="auto"/>
          <w:spacing w:val="-18"/>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8"/>
          <w:sz w:val="24"/>
          <w:szCs w:val="24"/>
          <w:highlight w:val="none"/>
        </w:rPr>
        <w:t>；</w:t>
      </w:r>
    </w:p>
    <w:p w14:paraId="74491B6D">
      <w:pPr>
        <w:spacing w:before="153" w:line="222" w:lineRule="auto"/>
        <w:ind w:left="440"/>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联系电话</w:t>
      </w:r>
      <w:r>
        <w:rPr>
          <w:rFonts w:ascii="仿宋" w:hAnsi="仿宋" w:eastAsia="仿宋" w:cs="仿宋"/>
          <w:color w:val="auto"/>
          <w:spacing w:val="-4"/>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
          <w:sz w:val="24"/>
          <w:szCs w:val="24"/>
          <w:highlight w:val="none"/>
        </w:rPr>
        <w:t>；</w:t>
      </w:r>
    </w:p>
    <w:p w14:paraId="749B2B15">
      <w:pPr>
        <w:spacing w:before="186" w:line="221" w:lineRule="auto"/>
        <w:ind w:left="527"/>
        <w:rPr>
          <w:rFonts w:ascii="仿宋" w:hAnsi="仿宋" w:eastAsia="仿宋" w:cs="仿宋"/>
          <w:color w:val="auto"/>
          <w:sz w:val="24"/>
          <w:szCs w:val="24"/>
          <w:highlight w:val="none"/>
        </w:rPr>
      </w:pPr>
      <w:r>
        <w:rPr>
          <w:rFonts w:ascii="仿宋" w:hAnsi="仿宋" w:eastAsia="仿宋" w:cs="仿宋"/>
          <w:color w:val="auto"/>
          <w:spacing w:val="-25"/>
          <w:sz w:val="24"/>
          <w:szCs w:val="24"/>
          <w:highlight w:val="none"/>
        </w:rPr>
        <w:t>电子信箱</w:t>
      </w:r>
      <w:r>
        <w:rPr>
          <w:rFonts w:ascii="仿宋" w:hAnsi="仿宋" w:eastAsia="仿宋" w:cs="仿宋"/>
          <w:color w:val="auto"/>
          <w:spacing w:val="-27"/>
          <w:sz w:val="24"/>
          <w:szCs w:val="24"/>
          <w:highlight w:val="none"/>
        </w:rPr>
        <w:t>：</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27"/>
          <w:sz w:val="24"/>
          <w:szCs w:val="24"/>
          <w:highlight w:val="none"/>
        </w:rPr>
        <w:t>；</w:t>
      </w:r>
    </w:p>
    <w:p w14:paraId="617F4E65">
      <w:pPr>
        <w:spacing w:before="154" w:line="222" w:lineRule="auto"/>
        <w:ind w:left="462"/>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通信地址：</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10"/>
          <w:sz w:val="24"/>
          <w:szCs w:val="24"/>
          <w:highlight w:val="none"/>
        </w:rPr>
        <w:t>。</w:t>
      </w:r>
    </w:p>
    <w:p w14:paraId="64902952">
      <w:pPr>
        <w:spacing w:before="117" w:line="440" w:lineRule="exact"/>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"1.1.2.5" </w:instrText>
      </w:r>
      <w:r>
        <w:rPr>
          <w:color w:val="auto"/>
          <w:highlight w:val="none"/>
        </w:rPr>
        <w:fldChar w:fldCharType="separate"/>
      </w:r>
      <w:r>
        <w:rPr>
          <w:rFonts w:ascii="仿宋" w:hAnsi="仿宋" w:eastAsia="仿宋" w:cs="仿宋"/>
          <w:color w:val="auto"/>
          <w:spacing w:val="-9"/>
          <w:position w:val="5"/>
          <w:sz w:val="24"/>
          <w:szCs w:val="24"/>
          <w:highlight w:val="none"/>
        </w:rPr>
        <w:t>1.1.2.5</w:t>
      </w:r>
      <w:r>
        <w:rPr>
          <w:rFonts w:ascii="仿宋" w:hAnsi="仿宋" w:eastAsia="仿宋" w:cs="仿宋"/>
          <w:color w:val="auto"/>
          <w:spacing w:val="-9"/>
          <w:position w:val="5"/>
          <w:sz w:val="24"/>
          <w:szCs w:val="24"/>
          <w:highlight w:val="none"/>
        </w:rPr>
        <w:fldChar w:fldCharType="end"/>
      </w:r>
      <w:r>
        <w:rPr>
          <w:rFonts w:ascii="仿宋" w:hAnsi="仿宋" w:eastAsia="仿宋" w:cs="仿宋"/>
          <w:color w:val="auto"/>
          <w:spacing w:val="40"/>
          <w:position w:val="5"/>
          <w:sz w:val="24"/>
          <w:szCs w:val="24"/>
          <w:highlight w:val="none"/>
        </w:rPr>
        <w:t xml:space="preserve"> </w:t>
      </w:r>
      <w:r>
        <w:rPr>
          <w:rFonts w:ascii="仿宋" w:hAnsi="仿宋" w:eastAsia="仿宋" w:cs="仿宋"/>
          <w:color w:val="auto"/>
          <w:spacing w:val="-9"/>
          <w:position w:val="5"/>
          <w:sz w:val="24"/>
          <w:szCs w:val="24"/>
          <w:highlight w:val="none"/>
        </w:rPr>
        <w:t>设计人：</w:t>
      </w:r>
    </w:p>
    <w:p w14:paraId="73018A42">
      <w:pPr>
        <w:spacing w:before="69" w:line="221" w:lineRule="auto"/>
        <w:ind w:left="451"/>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名</w:t>
      </w:r>
      <w:r>
        <w:rPr>
          <w:rFonts w:ascii="仿宋" w:hAnsi="仿宋" w:eastAsia="仿宋" w:cs="仿宋"/>
          <w:color w:val="auto"/>
          <w:spacing w:val="1"/>
          <w:sz w:val="24"/>
          <w:szCs w:val="24"/>
          <w:highlight w:val="none"/>
        </w:rPr>
        <w:t xml:space="preserve">    </w:t>
      </w:r>
      <w:r>
        <w:rPr>
          <w:rFonts w:ascii="仿宋" w:hAnsi="仿宋" w:eastAsia="仿宋" w:cs="仿宋"/>
          <w:color w:val="auto"/>
          <w:spacing w:val="-17"/>
          <w:sz w:val="24"/>
          <w:szCs w:val="24"/>
          <w:highlight w:val="none"/>
        </w:rPr>
        <w:t>称</w:t>
      </w:r>
      <w:r>
        <w:rPr>
          <w:rFonts w:ascii="仿宋" w:hAnsi="仿宋" w:eastAsia="仿宋" w:cs="仿宋"/>
          <w:color w:val="auto"/>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z w:val="24"/>
          <w:szCs w:val="24"/>
          <w:highlight w:val="none"/>
        </w:rPr>
        <w:t>；</w:t>
      </w:r>
    </w:p>
    <w:p w14:paraId="5AE63E00">
      <w:pPr>
        <w:spacing w:before="208" w:line="222" w:lineRule="auto"/>
        <w:ind w:left="484"/>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资质类别和等级</w:t>
      </w:r>
      <w:r>
        <w:rPr>
          <w:rFonts w:ascii="仿宋" w:hAnsi="仿宋" w:eastAsia="仿宋" w:cs="仿宋"/>
          <w:color w:val="auto"/>
          <w:spacing w:val="-24"/>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4"/>
          <w:sz w:val="24"/>
          <w:szCs w:val="24"/>
          <w:highlight w:val="none"/>
        </w:rPr>
        <w:t>；</w:t>
      </w:r>
    </w:p>
    <w:p w14:paraId="05BFDD8E">
      <w:pPr>
        <w:spacing w:before="134" w:line="222" w:lineRule="auto"/>
        <w:ind w:left="440"/>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联系电话</w:t>
      </w:r>
      <w:r>
        <w:rPr>
          <w:rFonts w:ascii="仿宋" w:hAnsi="仿宋" w:eastAsia="仿宋" w:cs="仿宋"/>
          <w:color w:val="auto"/>
          <w:spacing w:val="-4"/>
          <w:sz w:val="24"/>
          <w:szCs w:val="24"/>
          <w:highlight w:val="none"/>
        </w:rPr>
        <w:t>：</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4"/>
          <w:sz w:val="24"/>
          <w:szCs w:val="24"/>
          <w:highlight w:val="none"/>
        </w:rPr>
        <w:t>；</w:t>
      </w:r>
    </w:p>
    <w:p w14:paraId="3BF1DD14">
      <w:pPr>
        <w:spacing w:before="205" w:line="221" w:lineRule="auto"/>
        <w:ind w:left="527"/>
        <w:rPr>
          <w:rFonts w:ascii="仿宋" w:hAnsi="仿宋" w:eastAsia="仿宋" w:cs="仿宋"/>
          <w:color w:val="auto"/>
          <w:sz w:val="24"/>
          <w:szCs w:val="24"/>
          <w:highlight w:val="none"/>
        </w:rPr>
      </w:pPr>
      <w:r>
        <w:rPr>
          <w:rFonts w:ascii="仿宋" w:hAnsi="仿宋" w:eastAsia="仿宋" w:cs="仿宋"/>
          <w:color w:val="auto"/>
          <w:spacing w:val="-25"/>
          <w:sz w:val="24"/>
          <w:szCs w:val="24"/>
          <w:highlight w:val="none"/>
        </w:rPr>
        <w:t>电子信箱</w:t>
      </w:r>
      <w:r>
        <w:rPr>
          <w:rFonts w:ascii="仿宋" w:hAnsi="仿宋" w:eastAsia="仿宋" w:cs="仿宋"/>
          <w:color w:val="auto"/>
          <w:spacing w:val="-36"/>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6"/>
          <w:sz w:val="24"/>
          <w:szCs w:val="24"/>
          <w:highlight w:val="none"/>
        </w:rPr>
        <w:t>；</w:t>
      </w:r>
    </w:p>
    <w:p w14:paraId="2D6080A8">
      <w:pPr>
        <w:spacing w:before="132" w:line="222" w:lineRule="auto"/>
        <w:ind w:left="462"/>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通信地址：</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0"/>
          <w:sz w:val="24"/>
          <w:szCs w:val="24"/>
          <w:highlight w:val="none"/>
        </w:rPr>
        <w:t>。</w:t>
      </w:r>
    </w:p>
    <w:p w14:paraId="7E4961A2">
      <w:pPr>
        <w:spacing w:before="173" w:line="223" w:lineRule="auto"/>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1.1.3</w:t>
      </w:r>
      <w:r>
        <w:rPr>
          <w:rFonts w:ascii="仿宋" w:hAnsi="仿宋" w:eastAsia="仿宋" w:cs="仿宋"/>
          <w:color w:val="auto"/>
          <w:spacing w:val="54"/>
          <w:sz w:val="24"/>
          <w:szCs w:val="24"/>
          <w:highlight w:val="none"/>
        </w:rPr>
        <w:t xml:space="preserve"> </w:t>
      </w:r>
      <w:r>
        <w:rPr>
          <w:rFonts w:ascii="仿宋" w:hAnsi="仿宋" w:eastAsia="仿宋" w:cs="仿宋"/>
          <w:color w:val="auto"/>
          <w:spacing w:val="-11"/>
          <w:sz w:val="24"/>
          <w:szCs w:val="24"/>
          <w:highlight w:val="none"/>
        </w:rPr>
        <w:t>工程和设备</w:t>
      </w:r>
    </w:p>
    <w:p w14:paraId="4E1A6701">
      <w:pPr>
        <w:spacing w:before="133" w:line="281"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"1.1.3.7" </w:instrText>
      </w:r>
      <w:r>
        <w:rPr>
          <w:color w:val="auto"/>
          <w:highlight w:val="none"/>
        </w:rPr>
        <w:fldChar w:fldCharType="separate"/>
      </w:r>
      <w:r>
        <w:rPr>
          <w:rFonts w:ascii="仿宋" w:hAnsi="仿宋" w:eastAsia="仿宋" w:cs="仿宋"/>
          <w:color w:val="auto"/>
          <w:spacing w:val="-1"/>
          <w:sz w:val="24"/>
          <w:szCs w:val="24"/>
          <w:highlight w:val="none"/>
        </w:rPr>
        <w:t>1.1.3.7</w:t>
      </w:r>
      <w:r>
        <w:rPr>
          <w:rFonts w:ascii="仿宋" w:hAnsi="仿宋" w:eastAsia="仿宋" w:cs="仿宋"/>
          <w:color w:val="auto"/>
          <w:spacing w:val="-1"/>
          <w:sz w:val="24"/>
          <w:szCs w:val="24"/>
          <w:highlight w:val="none"/>
        </w:rPr>
        <w:fldChar w:fldCharType="end"/>
      </w:r>
      <w:r>
        <w:rPr>
          <w:rFonts w:ascii="仿宋" w:hAnsi="仿宋" w:eastAsia="仿宋" w:cs="仿宋"/>
          <w:color w:val="auto"/>
          <w:spacing w:val="-1"/>
          <w:sz w:val="24"/>
          <w:szCs w:val="24"/>
          <w:highlight w:val="none"/>
        </w:rPr>
        <w:t xml:space="preserve"> 作为施工现场组成部分的其他场</w:t>
      </w:r>
      <w:r>
        <w:rPr>
          <w:rFonts w:ascii="仿宋" w:hAnsi="仿宋" w:eastAsia="仿宋" w:cs="仿宋"/>
          <w:color w:val="auto"/>
          <w:spacing w:val="-2"/>
          <w:sz w:val="24"/>
          <w:szCs w:val="24"/>
          <w:highlight w:val="none"/>
        </w:rPr>
        <w:t>所包括：</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4137B160">
      <w:pPr>
        <w:spacing w:before="94" w:line="287"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"1.1.3.9" </w:instrText>
      </w:r>
      <w:r>
        <w:rPr>
          <w:color w:val="auto"/>
          <w:highlight w:val="none"/>
        </w:rPr>
        <w:fldChar w:fldCharType="separate"/>
      </w:r>
      <w:r>
        <w:rPr>
          <w:rFonts w:ascii="仿宋" w:hAnsi="仿宋" w:eastAsia="仿宋" w:cs="仿宋"/>
          <w:color w:val="auto"/>
          <w:spacing w:val="-4"/>
          <w:sz w:val="24"/>
          <w:szCs w:val="24"/>
          <w:highlight w:val="none"/>
        </w:rPr>
        <w:t>1.1.3.9</w:t>
      </w:r>
      <w:r>
        <w:rPr>
          <w:rFonts w:ascii="仿宋" w:hAnsi="仿宋" w:eastAsia="仿宋" w:cs="仿宋"/>
          <w:color w:val="auto"/>
          <w:spacing w:val="-4"/>
          <w:sz w:val="24"/>
          <w:szCs w:val="24"/>
          <w:highlight w:val="none"/>
        </w:rPr>
        <w:fldChar w:fldCharType="end"/>
      </w:r>
      <w:r>
        <w:rPr>
          <w:rFonts w:ascii="仿宋" w:hAnsi="仿宋" w:eastAsia="仿宋" w:cs="仿宋"/>
          <w:color w:val="auto"/>
          <w:spacing w:val="-4"/>
          <w:sz w:val="24"/>
          <w:szCs w:val="24"/>
          <w:highlight w:val="none"/>
        </w:rPr>
        <w:t xml:space="preserve"> 永久占地包括：</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p>
    <w:p w14:paraId="561A7DFF">
      <w:pPr>
        <w:spacing w:before="86" w:line="290" w:lineRule="auto"/>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"1.1.3.10" </w:instrText>
      </w:r>
      <w:r>
        <w:rPr>
          <w:color w:val="auto"/>
          <w:highlight w:val="none"/>
        </w:rPr>
        <w:fldChar w:fldCharType="separate"/>
      </w:r>
      <w:r>
        <w:rPr>
          <w:rFonts w:ascii="仿宋" w:hAnsi="仿宋" w:eastAsia="仿宋" w:cs="仿宋"/>
          <w:color w:val="auto"/>
          <w:spacing w:val="-7"/>
          <w:sz w:val="24"/>
          <w:szCs w:val="24"/>
          <w:highlight w:val="none"/>
        </w:rPr>
        <w:t>1.1.3.10</w:t>
      </w:r>
      <w:r>
        <w:rPr>
          <w:rFonts w:ascii="仿宋" w:hAnsi="仿宋" w:eastAsia="仿宋" w:cs="仿宋"/>
          <w:color w:val="auto"/>
          <w:spacing w:val="-7"/>
          <w:sz w:val="24"/>
          <w:szCs w:val="24"/>
          <w:highlight w:val="none"/>
        </w:rPr>
        <w:fldChar w:fldCharType="end"/>
      </w:r>
      <w:r>
        <w:rPr>
          <w:rFonts w:ascii="仿宋" w:hAnsi="仿宋" w:eastAsia="仿宋" w:cs="仿宋"/>
          <w:color w:val="auto"/>
          <w:spacing w:val="84"/>
          <w:sz w:val="24"/>
          <w:szCs w:val="24"/>
          <w:highlight w:val="none"/>
        </w:rPr>
        <w:t xml:space="preserve"> </w:t>
      </w:r>
      <w:r>
        <w:rPr>
          <w:rFonts w:ascii="仿宋" w:hAnsi="仿宋" w:eastAsia="仿宋" w:cs="仿宋"/>
          <w:color w:val="auto"/>
          <w:spacing w:val="-7"/>
          <w:sz w:val="24"/>
          <w:szCs w:val="24"/>
          <w:highlight w:val="none"/>
        </w:rPr>
        <w:t>临时占地包括：</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7"/>
          <w:sz w:val="24"/>
          <w:szCs w:val="24"/>
          <w:highlight w:val="none"/>
        </w:rPr>
        <w:t>。</w:t>
      </w:r>
    </w:p>
    <w:p w14:paraId="606EA251">
      <w:pPr>
        <w:spacing w:before="116" w:line="222" w:lineRule="auto"/>
        <w:rPr>
          <w:rFonts w:ascii="仿宋" w:hAnsi="仿宋" w:eastAsia="仿宋" w:cs="仿宋"/>
          <w:color w:val="auto"/>
          <w:sz w:val="24"/>
          <w:szCs w:val="24"/>
          <w:highlight w:val="none"/>
        </w:rPr>
      </w:pPr>
      <w:r>
        <w:rPr>
          <w:rFonts w:ascii="仿宋" w:hAnsi="仿宋" w:eastAsia="仿宋" w:cs="仿宋"/>
          <w:color w:val="auto"/>
          <w:spacing w:val="-15"/>
          <w:sz w:val="24"/>
          <w:szCs w:val="24"/>
          <w:highlight w:val="none"/>
        </w:rPr>
        <w:t>1.3</w:t>
      </w:r>
      <w:r>
        <w:rPr>
          <w:rFonts w:ascii="仿宋" w:hAnsi="仿宋" w:eastAsia="仿宋" w:cs="仿宋"/>
          <w:color w:val="auto"/>
          <w:spacing w:val="-17"/>
          <w:sz w:val="24"/>
          <w:szCs w:val="24"/>
          <w:highlight w:val="none"/>
        </w:rPr>
        <w:t xml:space="preserve"> </w:t>
      </w:r>
      <w:r>
        <w:rPr>
          <w:rFonts w:ascii="仿宋" w:hAnsi="仿宋" w:eastAsia="仿宋" w:cs="仿宋"/>
          <w:color w:val="auto"/>
          <w:spacing w:val="-15"/>
          <w:sz w:val="24"/>
          <w:szCs w:val="24"/>
          <w:highlight w:val="none"/>
        </w:rPr>
        <w:t>法律</w:t>
      </w:r>
    </w:p>
    <w:p w14:paraId="57E0AB30">
      <w:pPr>
        <w:spacing w:before="287" w:line="220" w:lineRule="auto"/>
        <w:ind w:left="56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适用于合同的其他规范性文件：</w:t>
      </w:r>
      <w:r>
        <w:rPr>
          <w:rFonts w:ascii="仿宋" w:hAnsi="仿宋" w:eastAsia="仿宋" w:cs="仿宋"/>
          <w:color w:val="auto"/>
          <w:spacing w:val="14"/>
          <w:sz w:val="24"/>
          <w:szCs w:val="24"/>
          <w:highlight w:val="none"/>
          <w:u w:val="single" w:color="auto"/>
        </w:rPr>
        <w:t xml:space="preserve">       </w:t>
      </w:r>
      <w:r>
        <w:rPr>
          <w:rFonts w:ascii="仿宋" w:hAnsi="仿宋" w:eastAsia="仿宋" w:cs="仿宋"/>
          <w:color w:val="auto"/>
          <w:spacing w:val="-3"/>
          <w:sz w:val="24"/>
          <w:szCs w:val="24"/>
          <w:highlight w:val="none"/>
        </w:rPr>
        <w:t>。</w:t>
      </w:r>
    </w:p>
    <w:p w14:paraId="00A2EA9A">
      <w:pPr>
        <w:spacing w:before="177" w:line="222" w:lineRule="auto"/>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1.4</w:t>
      </w:r>
      <w:r>
        <w:rPr>
          <w:rFonts w:ascii="仿宋" w:hAnsi="仿宋" w:eastAsia="仿宋" w:cs="仿宋"/>
          <w:color w:val="auto"/>
          <w:spacing w:val="34"/>
          <w:sz w:val="24"/>
          <w:szCs w:val="24"/>
          <w:highlight w:val="none"/>
        </w:rPr>
        <w:t xml:space="preserve"> </w:t>
      </w:r>
      <w:r>
        <w:rPr>
          <w:rFonts w:ascii="仿宋" w:hAnsi="仿宋" w:eastAsia="仿宋" w:cs="仿宋"/>
          <w:color w:val="auto"/>
          <w:spacing w:val="-11"/>
          <w:sz w:val="24"/>
          <w:szCs w:val="24"/>
          <w:highlight w:val="none"/>
        </w:rPr>
        <w:t>标准和规范</w:t>
      </w:r>
    </w:p>
    <w:p w14:paraId="47D9E74D">
      <w:pPr>
        <w:spacing w:before="290" w:line="222" w:lineRule="auto"/>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1.4.1 适用于工程的标准规范包括：</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p>
    <w:p w14:paraId="21BC2D79">
      <w:pPr>
        <w:spacing w:before="208" w:line="278" w:lineRule="auto"/>
        <w:ind w:left="469" w:right="296" w:hanging="46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1.4.2 发包人提供国外标准、规范的</w:t>
      </w:r>
      <w:r>
        <w:rPr>
          <w:rFonts w:ascii="仿宋" w:hAnsi="仿宋" w:eastAsia="仿宋" w:cs="仿宋"/>
          <w:color w:val="auto"/>
          <w:spacing w:val="-6"/>
          <w:sz w:val="24"/>
          <w:szCs w:val="24"/>
          <w:highlight w:val="none"/>
        </w:rPr>
        <w:t>名称</w:t>
      </w:r>
      <w:r>
        <w:rPr>
          <w:rFonts w:ascii="仿宋" w:hAnsi="仿宋" w:eastAsia="仿宋" w:cs="仿宋"/>
          <w:color w:val="auto"/>
          <w:spacing w:val="-43"/>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3"/>
          <w:sz w:val="24"/>
          <w:szCs w:val="24"/>
          <w:highlight w:val="none"/>
        </w:rPr>
        <w:t>；</w:t>
      </w:r>
      <w:r>
        <w:rPr>
          <w:rFonts w:ascii="仿宋" w:hAnsi="仿宋" w:eastAsia="仿宋" w:cs="仿宋"/>
          <w:color w:val="auto"/>
          <w:spacing w:val="-6"/>
          <w:sz w:val="24"/>
          <w:szCs w:val="24"/>
          <w:highlight w:val="none"/>
        </w:rPr>
        <w:t>发包人提供国外标准、规范的份数</w:t>
      </w:r>
      <w:r>
        <w:rPr>
          <w:rFonts w:ascii="仿宋" w:hAnsi="仿宋" w:eastAsia="仿宋" w:cs="仿宋"/>
          <w:color w:val="auto"/>
          <w:spacing w:val="-46"/>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6"/>
          <w:sz w:val="24"/>
          <w:szCs w:val="24"/>
          <w:highlight w:val="none"/>
        </w:rPr>
        <w:t>；</w:t>
      </w:r>
      <w:r>
        <w:rPr>
          <w:rFonts w:ascii="仿宋" w:hAnsi="仿宋" w:eastAsia="仿宋" w:cs="仿宋"/>
          <w:color w:val="auto"/>
          <w:spacing w:val="-2"/>
          <w:sz w:val="24"/>
          <w:szCs w:val="24"/>
          <w:highlight w:val="none"/>
        </w:rPr>
        <w:t>发包人提供国外标准、规范的名称：</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32BB31FC">
      <w:pPr>
        <w:spacing w:line="278" w:lineRule="auto"/>
        <w:rPr>
          <w:rFonts w:ascii="仿宋" w:hAnsi="仿宋" w:eastAsia="仿宋" w:cs="仿宋"/>
          <w:color w:val="auto"/>
          <w:sz w:val="24"/>
          <w:szCs w:val="24"/>
          <w:highlight w:val="none"/>
        </w:rPr>
        <w:sectPr>
          <w:footerReference r:id="rId37" w:type="default"/>
          <w:pgSz w:w="11906" w:h="16840"/>
          <w:pgMar w:top="1431" w:right="1785" w:bottom="1174" w:left="1494" w:header="0" w:footer="928" w:gutter="0"/>
          <w:pgNumType w:fmt="decimal"/>
          <w:cols w:space="720" w:num="1"/>
        </w:sectPr>
      </w:pPr>
    </w:p>
    <w:p w14:paraId="56CA5B35">
      <w:pPr>
        <w:spacing w:before="227" w:line="222"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1.5</w:t>
      </w:r>
      <w:r>
        <w:rPr>
          <w:rFonts w:ascii="仿宋" w:hAnsi="仿宋" w:eastAsia="仿宋" w:cs="仿宋"/>
          <w:color w:val="auto"/>
          <w:spacing w:val="63"/>
          <w:sz w:val="24"/>
          <w:szCs w:val="24"/>
          <w:highlight w:val="none"/>
        </w:rPr>
        <w:t xml:space="preserve"> </w:t>
      </w:r>
      <w:r>
        <w:rPr>
          <w:rFonts w:ascii="仿宋" w:hAnsi="仿宋" w:eastAsia="仿宋" w:cs="仿宋"/>
          <w:color w:val="auto"/>
          <w:spacing w:val="-10"/>
          <w:sz w:val="24"/>
          <w:szCs w:val="24"/>
          <w:highlight w:val="none"/>
        </w:rPr>
        <w:t>合同文件的优先顺序</w:t>
      </w:r>
    </w:p>
    <w:p w14:paraId="5B79EB32">
      <w:pPr>
        <w:spacing w:before="289" w:line="222" w:lineRule="auto"/>
        <w:ind w:left="54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合同文件组成及优先顺序为：</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03C85BE2">
      <w:pPr>
        <w:spacing w:before="172" w:line="222" w:lineRule="auto"/>
        <w:ind w:left="76"/>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1.6</w:t>
      </w:r>
      <w:r>
        <w:rPr>
          <w:rFonts w:ascii="仿宋" w:hAnsi="仿宋" w:eastAsia="仿宋" w:cs="仿宋"/>
          <w:color w:val="auto"/>
          <w:spacing w:val="102"/>
          <w:sz w:val="24"/>
          <w:szCs w:val="24"/>
          <w:highlight w:val="none"/>
        </w:rPr>
        <w:t xml:space="preserve"> </w:t>
      </w:r>
      <w:r>
        <w:rPr>
          <w:rFonts w:ascii="仿宋" w:hAnsi="仿宋" w:eastAsia="仿宋" w:cs="仿宋"/>
          <w:color w:val="auto"/>
          <w:spacing w:val="-14"/>
          <w:sz w:val="24"/>
          <w:szCs w:val="24"/>
          <w:highlight w:val="none"/>
        </w:rPr>
        <w:t>图纸和承包人文件</w:t>
      </w:r>
    </w:p>
    <w:p w14:paraId="663725C4">
      <w:pPr>
        <w:spacing w:before="287" w:line="223" w:lineRule="auto"/>
        <w:ind w:left="76"/>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1.6.1  图纸的提供</w:t>
      </w:r>
    </w:p>
    <w:p w14:paraId="05B970A3">
      <w:pPr>
        <w:spacing w:before="202" w:line="222" w:lineRule="auto"/>
        <w:ind w:left="54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发包人向承包人提供图纸的期限</w:t>
      </w:r>
      <w:r>
        <w:rPr>
          <w:rFonts w:ascii="仿宋" w:hAnsi="仿宋" w:eastAsia="仿宋" w:cs="仿宋"/>
          <w:color w:val="auto"/>
          <w:spacing w:val="-1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5"/>
          <w:sz w:val="24"/>
          <w:szCs w:val="24"/>
          <w:highlight w:val="none"/>
        </w:rPr>
        <w:t>；</w:t>
      </w:r>
    </w:p>
    <w:p w14:paraId="38CB3A91">
      <w:pPr>
        <w:spacing w:before="143" w:line="222" w:lineRule="auto"/>
        <w:ind w:left="54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发包人向承包人提供图纸的数量</w:t>
      </w:r>
      <w:r>
        <w:rPr>
          <w:rFonts w:ascii="仿宋" w:hAnsi="仿宋" w:eastAsia="仿宋" w:cs="仿宋"/>
          <w:color w:val="auto"/>
          <w:spacing w:val="-1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5"/>
          <w:sz w:val="24"/>
          <w:szCs w:val="24"/>
          <w:highlight w:val="none"/>
        </w:rPr>
        <w:t>；</w:t>
      </w:r>
    </w:p>
    <w:p w14:paraId="5DB91839">
      <w:pPr>
        <w:spacing w:before="143" w:line="222" w:lineRule="auto"/>
        <w:ind w:left="54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发包人向承包人提供图纸的内容：</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4"/>
          <w:sz w:val="24"/>
          <w:szCs w:val="24"/>
          <w:highlight w:val="none"/>
        </w:rPr>
        <w:t>。</w:t>
      </w:r>
    </w:p>
    <w:p w14:paraId="7103A6DA">
      <w:pPr>
        <w:spacing w:before="187" w:line="222"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1.6.4</w:t>
      </w:r>
      <w:r>
        <w:rPr>
          <w:rFonts w:ascii="仿宋" w:hAnsi="仿宋" w:eastAsia="仿宋" w:cs="仿宋"/>
          <w:color w:val="auto"/>
          <w:spacing w:val="44"/>
          <w:sz w:val="24"/>
          <w:szCs w:val="24"/>
          <w:highlight w:val="none"/>
        </w:rPr>
        <w:t xml:space="preserve"> </w:t>
      </w:r>
      <w:r>
        <w:rPr>
          <w:rFonts w:ascii="仿宋" w:hAnsi="仿宋" w:eastAsia="仿宋" w:cs="仿宋"/>
          <w:color w:val="auto"/>
          <w:spacing w:val="-10"/>
          <w:sz w:val="24"/>
          <w:szCs w:val="24"/>
          <w:highlight w:val="none"/>
        </w:rPr>
        <w:t>承包人文件</w:t>
      </w:r>
    </w:p>
    <w:p w14:paraId="5FE3EBBA">
      <w:pPr>
        <w:spacing w:before="208" w:line="222" w:lineRule="auto"/>
        <w:ind w:left="553"/>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需要由承包人提供的文件，包括</w:t>
      </w:r>
      <w:r>
        <w:rPr>
          <w:rFonts w:ascii="仿宋" w:hAnsi="仿宋" w:eastAsia="仿宋" w:cs="仿宋"/>
          <w:color w:val="auto"/>
          <w:spacing w:val="-21"/>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1"/>
          <w:sz w:val="24"/>
          <w:szCs w:val="24"/>
          <w:highlight w:val="none"/>
        </w:rPr>
        <w:t>；</w:t>
      </w:r>
    </w:p>
    <w:p w14:paraId="4783112D">
      <w:pPr>
        <w:spacing w:before="156" w:line="222" w:lineRule="auto"/>
        <w:ind w:left="525"/>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承包人提供的文件的期限为</w:t>
      </w:r>
      <w:r>
        <w:rPr>
          <w:rFonts w:ascii="仿宋" w:hAnsi="仿宋" w:eastAsia="仿宋" w:cs="仿宋"/>
          <w:color w:val="auto"/>
          <w:spacing w:val="-8"/>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52"/>
          <w:sz w:val="24"/>
          <w:szCs w:val="24"/>
          <w:highlight w:val="none"/>
        </w:rPr>
        <w:t xml:space="preserve"> </w:t>
      </w:r>
      <w:r>
        <w:rPr>
          <w:rFonts w:ascii="仿宋" w:hAnsi="仿宋" w:eastAsia="仿宋" w:cs="仿宋"/>
          <w:color w:val="auto"/>
          <w:spacing w:val="-8"/>
          <w:sz w:val="24"/>
          <w:szCs w:val="24"/>
          <w:highlight w:val="none"/>
        </w:rPr>
        <w:t>；</w:t>
      </w:r>
    </w:p>
    <w:p w14:paraId="3B7E4E45">
      <w:pPr>
        <w:spacing w:before="155" w:line="222" w:lineRule="auto"/>
        <w:ind w:left="525"/>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承包人提供的文件的数量为</w:t>
      </w:r>
      <w:r>
        <w:rPr>
          <w:rFonts w:ascii="仿宋" w:hAnsi="仿宋" w:eastAsia="仿宋" w:cs="仿宋"/>
          <w:color w:val="auto"/>
          <w:spacing w:val="-8"/>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52"/>
          <w:sz w:val="24"/>
          <w:szCs w:val="24"/>
          <w:highlight w:val="none"/>
        </w:rPr>
        <w:t xml:space="preserve"> </w:t>
      </w:r>
      <w:r>
        <w:rPr>
          <w:rFonts w:ascii="仿宋" w:hAnsi="仿宋" w:eastAsia="仿宋" w:cs="仿宋"/>
          <w:color w:val="auto"/>
          <w:spacing w:val="-8"/>
          <w:sz w:val="24"/>
          <w:szCs w:val="24"/>
          <w:highlight w:val="none"/>
        </w:rPr>
        <w:t>；</w:t>
      </w:r>
    </w:p>
    <w:p w14:paraId="6FF14B74">
      <w:pPr>
        <w:spacing w:before="158" w:line="222" w:lineRule="auto"/>
        <w:ind w:left="525"/>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承包人提供的文件的形式为</w:t>
      </w:r>
      <w:r>
        <w:rPr>
          <w:rFonts w:ascii="仿宋" w:hAnsi="仿宋" w:eastAsia="仿宋" w:cs="仿宋"/>
          <w:color w:val="auto"/>
          <w:sz w:val="24"/>
          <w:szCs w:val="24"/>
          <w:highlight w:val="none"/>
        </w:rPr>
        <w:t>：</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75"/>
          <w:sz w:val="24"/>
          <w:szCs w:val="24"/>
          <w:highlight w:val="none"/>
        </w:rPr>
        <w:t xml:space="preserve"> </w:t>
      </w:r>
      <w:r>
        <w:rPr>
          <w:rFonts w:ascii="仿宋" w:hAnsi="仿宋" w:eastAsia="仿宋" w:cs="仿宋"/>
          <w:color w:val="auto"/>
          <w:sz w:val="24"/>
          <w:szCs w:val="24"/>
          <w:highlight w:val="none"/>
        </w:rPr>
        <w:t>；</w:t>
      </w:r>
    </w:p>
    <w:p w14:paraId="6EE864FF">
      <w:pPr>
        <w:spacing w:before="155" w:line="222" w:lineRule="auto"/>
        <w:ind w:left="531"/>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发包人审批承包人文件的期限：</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62349DBE">
      <w:pPr>
        <w:spacing w:before="184" w:line="222" w:lineRule="auto"/>
        <w:ind w:left="7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1.6.5 现场图纸准备</w:t>
      </w:r>
    </w:p>
    <w:p w14:paraId="2EB63B9E">
      <w:pPr>
        <w:spacing w:before="173" w:line="222" w:lineRule="auto"/>
        <w:ind w:left="54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关于现场图纸准备的约定：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285A20C6">
      <w:pPr>
        <w:spacing w:before="164" w:line="222"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1.7</w:t>
      </w:r>
      <w:r>
        <w:rPr>
          <w:rFonts w:ascii="仿宋" w:hAnsi="仿宋" w:eastAsia="仿宋" w:cs="仿宋"/>
          <w:color w:val="auto"/>
          <w:spacing w:val="16"/>
          <w:sz w:val="24"/>
          <w:szCs w:val="24"/>
          <w:highlight w:val="none"/>
        </w:rPr>
        <w:t xml:space="preserve"> </w:t>
      </w:r>
      <w:r>
        <w:rPr>
          <w:rFonts w:ascii="仿宋" w:hAnsi="仿宋" w:eastAsia="仿宋" w:cs="仿宋"/>
          <w:color w:val="auto"/>
          <w:spacing w:val="-12"/>
          <w:sz w:val="24"/>
          <w:szCs w:val="24"/>
          <w:highlight w:val="none"/>
        </w:rPr>
        <w:t>联络</w:t>
      </w:r>
    </w:p>
    <w:p w14:paraId="19B358C5">
      <w:pPr>
        <w:pStyle w:val="3"/>
        <w:spacing w:line="248" w:lineRule="auto"/>
        <w:rPr>
          <w:color w:val="auto"/>
          <w:highlight w:val="none"/>
        </w:rPr>
      </w:pPr>
    </w:p>
    <w:p w14:paraId="3532E573">
      <w:pPr>
        <w:spacing w:before="78" w:line="253" w:lineRule="auto"/>
        <w:ind w:left="45" w:firstLine="31"/>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1.7.1 发包人和承包人应当在</w:t>
      </w:r>
      <w:r>
        <w:rPr>
          <w:rFonts w:ascii="仿宋" w:hAnsi="仿宋" w:eastAsia="仿宋" w:cs="仿宋"/>
          <w:color w:val="auto"/>
          <w:spacing w:val="29"/>
          <w:sz w:val="24"/>
          <w:szCs w:val="24"/>
          <w:highlight w:val="none"/>
          <w:u w:val="single" w:color="auto"/>
        </w:rPr>
        <w:t xml:space="preserve">   </w:t>
      </w:r>
      <w:r>
        <w:rPr>
          <w:rFonts w:ascii="仿宋" w:hAnsi="仿宋" w:eastAsia="仿宋" w:cs="仿宋"/>
          <w:color w:val="auto"/>
          <w:spacing w:val="-56"/>
          <w:sz w:val="24"/>
          <w:szCs w:val="24"/>
          <w:highlight w:val="none"/>
        </w:rPr>
        <w:t xml:space="preserve"> </w:t>
      </w:r>
      <w:r>
        <w:rPr>
          <w:rFonts w:ascii="仿宋" w:hAnsi="仿宋" w:eastAsia="仿宋" w:cs="仿宋"/>
          <w:color w:val="auto"/>
          <w:spacing w:val="-10"/>
          <w:sz w:val="24"/>
          <w:szCs w:val="24"/>
          <w:highlight w:val="none"/>
        </w:rPr>
        <w:t>天内将与合同有关的通知、批准、证明、证书、指示、</w:t>
      </w:r>
      <w:r>
        <w:rPr>
          <w:rFonts w:ascii="仿宋" w:hAnsi="仿宋" w:eastAsia="仿宋" w:cs="仿宋"/>
          <w:color w:val="auto"/>
          <w:spacing w:val="-2"/>
          <w:sz w:val="24"/>
          <w:szCs w:val="24"/>
          <w:highlight w:val="none"/>
        </w:rPr>
        <w:t>指令、要求、请求、同意、意见、确定和决</w:t>
      </w:r>
      <w:r>
        <w:rPr>
          <w:rFonts w:ascii="仿宋" w:hAnsi="仿宋" w:eastAsia="仿宋" w:cs="仿宋"/>
          <w:color w:val="auto"/>
          <w:spacing w:val="-3"/>
          <w:sz w:val="24"/>
          <w:szCs w:val="24"/>
          <w:highlight w:val="none"/>
        </w:rPr>
        <w:t>定等书面函件送达对方当事人。</w:t>
      </w:r>
    </w:p>
    <w:p w14:paraId="178EE645">
      <w:pPr>
        <w:spacing w:before="263" w:line="222" w:lineRule="auto"/>
        <w:ind w:left="7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1.7.2 发包人接收文件的地点</w:t>
      </w:r>
      <w:r>
        <w:rPr>
          <w:rFonts w:ascii="仿宋" w:hAnsi="仿宋" w:eastAsia="仿宋" w:cs="仿宋"/>
          <w:color w:val="auto"/>
          <w:spacing w:val="-14"/>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4"/>
          <w:sz w:val="24"/>
          <w:szCs w:val="24"/>
          <w:highlight w:val="none"/>
        </w:rPr>
        <w:t>；</w:t>
      </w:r>
    </w:p>
    <w:p w14:paraId="376BAE7E">
      <w:pPr>
        <w:spacing w:before="119" w:line="223" w:lineRule="auto"/>
        <w:ind w:left="531"/>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发包人指定的接收人为：</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1"/>
          <w:sz w:val="24"/>
          <w:szCs w:val="24"/>
          <w:highlight w:val="none"/>
        </w:rPr>
        <w:t>。</w:t>
      </w:r>
    </w:p>
    <w:p w14:paraId="41BB1B4C">
      <w:pPr>
        <w:spacing w:before="116" w:line="222" w:lineRule="auto"/>
        <w:ind w:left="525"/>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承包人接收文件的地点</w:t>
      </w:r>
      <w:r>
        <w:rPr>
          <w:rFonts w:ascii="仿宋" w:hAnsi="仿宋" w:eastAsia="仿宋" w:cs="仿宋"/>
          <w:color w:val="auto"/>
          <w:spacing w:val="-17"/>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7"/>
          <w:sz w:val="24"/>
          <w:szCs w:val="24"/>
          <w:highlight w:val="none"/>
        </w:rPr>
        <w:t>；</w:t>
      </w:r>
    </w:p>
    <w:p w14:paraId="0EE019A0">
      <w:pPr>
        <w:spacing w:before="116" w:line="223" w:lineRule="auto"/>
        <w:ind w:left="525"/>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承包人指定的接收人为：</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0"/>
          <w:sz w:val="24"/>
          <w:szCs w:val="24"/>
          <w:highlight w:val="none"/>
        </w:rPr>
        <w:t>。</w:t>
      </w:r>
    </w:p>
    <w:p w14:paraId="0BEEC867">
      <w:pPr>
        <w:spacing w:before="117" w:line="222" w:lineRule="auto"/>
        <w:ind w:left="531"/>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监理人接收文件的地点</w:t>
      </w:r>
      <w:r>
        <w:rPr>
          <w:rFonts w:ascii="仿宋" w:hAnsi="仿宋" w:eastAsia="仿宋" w:cs="仿宋"/>
          <w:color w:val="auto"/>
          <w:spacing w:val="-20"/>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0"/>
          <w:sz w:val="24"/>
          <w:szCs w:val="24"/>
          <w:highlight w:val="none"/>
        </w:rPr>
        <w:t>；</w:t>
      </w:r>
    </w:p>
    <w:p w14:paraId="17C634BC">
      <w:pPr>
        <w:spacing w:before="116" w:line="223" w:lineRule="auto"/>
        <w:ind w:left="531"/>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监理人指定的接收人为：</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1"/>
          <w:sz w:val="24"/>
          <w:szCs w:val="24"/>
          <w:highlight w:val="none"/>
        </w:rPr>
        <w:t>。</w:t>
      </w:r>
    </w:p>
    <w:p w14:paraId="37487625">
      <w:pPr>
        <w:pStyle w:val="3"/>
        <w:spacing w:line="309" w:lineRule="auto"/>
        <w:rPr>
          <w:color w:val="auto"/>
          <w:highlight w:val="none"/>
        </w:rPr>
      </w:pPr>
    </w:p>
    <w:p w14:paraId="6FC98F41">
      <w:pPr>
        <w:spacing w:before="78" w:line="224"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1.10</w:t>
      </w:r>
      <w:r>
        <w:rPr>
          <w:rFonts w:ascii="仿宋" w:hAnsi="仿宋" w:eastAsia="仿宋" w:cs="仿宋"/>
          <w:color w:val="auto"/>
          <w:spacing w:val="47"/>
          <w:sz w:val="24"/>
          <w:szCs w:val="24"/>
          <w:highlight w:val="none"/>
        </w:rPr>
        <w:t xml:space="preserve"> </w:t>
      </w:r>
      <w:r>
        <w:rPr>
          <w:rFonts w:ascii="仿宋" w:hAnsi="仿宋" w:eastAsia="仿宋" w:cs="仿宋"/>
          <w:color w:val="auto"/>
          <w:spacing w:val="-12"/>
          <w:sz w:val="24"/>
          <w:szCs w:val="24"/>
          <w:highlight w:val="none"/>
        </w:rPr>
        <w:t>交通运输</w:t>
      </w:r>
    </w:p>
    <w:p w14:paraId="01A3DC70">
      <w:pPr>
        <w:spacing w:before="288" w:line="222"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1.10.1  出入现场的权利</w:t>
      </w:r>
    </w:p>
    <w:p w14:paraId="16B7BEA6">
      <w:pPr>
        <w:spacing w:before="170" w:line="222" w:lineRule="auto"/>
        <w:ind w:left="661"/>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关于出入现场的权利的约定：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421744CC">
      <w:pPr>
        <w:spacing w:line="222" w:lineRule="auto"/>
        <w:rPr>
          <w:rFonts w:ascii="仿宋" w:hAnsi="仿宋" w:eastAsia="仿宋" w:cs="仿宋"/>
          <w:color w:val="auto"/>
          <w:sz w:val="24"/>
          <w:szCs w:val="24"/>
          <w:highlight w:val="none"/>
        </w:rPr>
        <w:sectPr>
          <w:headerReference r:id="rId38" w:type="default"/>
          <w:footerReference r:id="rId39" w:type="default"/>
          <w:pgSz w:w="11906" w:h="16840"/>
          <w:pgMar w:top="1967" w:right="1418" w:bottom="1174" w:left="1418" w:header="1552" w:footer="928" w:gutter="0"/>
          <w:pgNumType w:fmt="decimal"/>
          <w:cols w:space="720" w:num="1"/>
        </w:sectPr>
      </w:pPr>
    </w:p>
    <w:p w14:paraId="56E7011C">
      <w:pPr>
        <w:pStyle w:val="3"/>
        <w:spacing w:line="282" w:lineRule="auto"/>
        <w:rPr>
          <w:color w:val="auto"/>
          <w:highlight w:val="none"/>
        </w:rPr>
      </w:pPr>
    </w:p>
    <w:p w14:paraId="3C52DA87">
      <w:pPr>
        <w:pStyle w:val="3"/>
        <w:spacing w:line="282" w:lineRule="auto"/>
        <w:rPr>
          <w:color w:val="auto"/>
          <w:highlight w:val="none"/>
        </w:rPr>
      </w:pPr>
    </w:p>
    <w:p w14:paraId="44F60169">
      <w:pPr>
        <w:pStyle w:val="3"/>
        <w:spacing w:line="282" w:lineRule="auto"/>
        <w:rPr>
          <w:color w:val="auto"/>
          <w:highlight w:val="none"/>
        </w:rPr>
      </w:pPr>
    </w:p>
    <w:p w14:paraId="72AB668E">
      <w:pPr>
        <w:pStyle w:val="3"/>
        <w:spacing w:line="283" w:lineRule="auto"/>
        <w:rPr>
          <w:color w:val="auto"/>
          <w:highlight w:val="none"/>
        </w:rPr>
      </w:pPr>
    </w:p>
    <w:p w14:paraId="273F2844">
      <w:pPr>
        <w:spacing w:before="78" w:line="222" w:lineRule="auto"/>
        <w:ind w:left="43"/>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1.10.3</w:t>
      </w:r>
      <w:r>
        <w:rPr>
          <w:rFonts w:ascii="仿宋" w:hAnsi="仿宋" w:eastAsia="仿宋" w:cs="仿宋"/>
          <w:color w:val="auto"/>
          <w:spacing w:val="41"/>
          <w:sz w:val="24"/>
          <w:szCs w:val="24"/>
          <w:highlight w:val="none"/>
        </w:rPr>
        <w:t xml:space="preserve"> </w:t>
      </w:r>
      <w:r>
        <w:rPr>
          <w:rFonts w:ascii="仿宋" w:hAnsi="仿宋" w:eastAsia="仿宋" w:cs="仿宋"/>
          <w:color w:val="auto"/>
          <w:spacing w:val="-10"/>
          <w:sz w:val="24"/>
          <w:szCs w:val="24"/>
          <w:highlight w:val="none"/>
        </w:rPr>
        <w:t>场内交通</w:t>
      </w:r>
    </w:p>
    <w:p w14:paraId="4C02C174">
      <w:pPr>
        <w:spacing w:before="167" w:line="222" w:lineRule="auto"/>
        <w:ind w:left="512"/>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关于场外交通和场内交通的边界的约定：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1BA4EA76">
      <w:pPr>
        <w:spacing w:before="202" w:line="338" w:lineRule="auto"/>
        <w:ind w:left="26" w:right="710" w:firstLine="48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关于发包人向承包人免费提供满足工程施工需要的场内道路和交通设施的约</w:t>
      </w:r>
      <w:r>
        <w:rPr>
          <w:rFonts w:ascii="仿宋" w:hAnsi="仿宋" w:eastAsia="仿宋" w:cs="仿宋"/>
          <w:color w:val="auto"/>
          <w:spacing w:val="-12"/>
          <w:sz w:val="24"/>
          <w:szCs w:val="24"/>
          <w:highlight w:val="none"/>
        </w:rPr>
        <w:t>定：</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2"/>
          <w:sz w:val="24"/>
          <w:szCs w:val="24"/>
          <w:highlight w:val="none"/>
        </w:rPr>
        <w:t>。</w:t>
      </w:r>
    </w:p>
    <w:p w14:paraId="211BAD44">
      <w:pPr>
        <w:spacing w:before="5" w:line="222" w:lineRule="auto"/>
        <w:ind w:left="43"/>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1.10.4 超大件和超重件的运输</w:t>
      </w:r>
    </w:p>
    <w:p w14:paraId="344E7040">
      <w:pPr>
        <w:spacing w:before="202" w:line="327" w:lineRule="auto"/>
        <w:ind w:left="11" w:right="39" w:firstLine="484"/>
        <w:rPr>
          <w:rFonts w:ascii="仿宋" w:hAnsi="仿宋" w:eastAsia="仿宋" w:cs="仿宋"/>
          <w:color w:val="auto"/>
          <w:sz w:val="24"/>
          <w:szCs w:val="24"/>
          <w:highlight w:val="none"/>
        </w:rPr>
      </w:pPr>
      <w:r>
        <w:rPr>
          <w:rFonts w:ascii="仿宋" w:hAnsi="仿宋" w:eastAsia="仿宋" w:cs="仿宋"/>
          <w:color w:val="auto"/>
          <w:sz w:val="24"/>
          <w:szCs w:val="24"/>
          <w:highlight w:val="none"/>
        </w:rPr>
        <w:t>运输超大件或超重件所需的道路和桥梁临时加固改造费用和其他有关费用由</w:t>
      </w:r>
      <w:r>
        <w:rPr>
          <w:rFonts w:ascii="仿宋" w:hAnsi="仿宋" w:eastAsia="仿宋" w:cs="仿宋"/>
          <w:color w:val="auto"/>
          <w:spacing w:val="29"/>
          <w:sz w:val="24"/>
          <w:szCs w:val="24"/>
          <w:highlight w:val="none"/>
          <w:u w:val="single" w:color="auto"/>
        </w:rPr>
        <w:t xml:space="preserve">    </w:t>
      </w:r>
      <w:r>
        <w:rPr>
          <w:rFonts w:ascii="仿宋" w:hAnsi="仿宋" w:eastAsia="仿宋" w:cs="仿宋"/>
          <w:color w:val="auto"/>
          <w:spacing w:val="-8"/>
          <w:sz w:val="24"/>
          <w:szCs w:val="24"/>
          <w:highlight w:val="none"/>
        </w:rPr>
        <w:t>承担。</w:t>
      </w:r>
    </w:p>
    <w:p w14:paraId="04B9EE88">
      <w:pPr>
        <w:spacing w:before="34" w:line="222" w:lineRule="auto"/>
        <w:ind w:left="43"/>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1.11</w:t>
      </w:r>
      <w:r>
        <w:rPr>
          <w:rFonts w:ascii="仿宋" w:hAnsi="仿宋" w:eastAsia="仿宋" w:cs="仿宋"/>
          <w:color w:val="auto"/>
          <w:spacing w:val="34"/>
          <w:sz w:val="24"/>
          <w:szCs w:val="24"/>
          <w:highlight w:val="none"/>
        </w:rPr>
        <w:t xml:space="preserve"> </w:t>
      </w:r>
      <w:r>
        <w:rPr>
          <w:rFonts w:ascii="仿宋" w:hAnsi="仿宋" w:eastAsia="仿宋" w:cs="仿宋"/>
          <w:color w:val="auto"/>
          <w:spacing w:val="-11"/>
          <w:sz w:val="24"/>
          <w:szCs w:val="24"/>
          <w:highlight w:val="none"/>
        </w:rPr>
        <w:t>知识产权</w:t>
      </w:r>
    </w:p>
    <w:p w14:paraId="3ADDA796">
      <w:pPr>
        <w:spacing w:before="317" w:line="301" w:lineRule="auto"/>
        <w:ind w:left="11" w:firstLine="30"/>
        <w:jc w:val="both"/>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1.11.1 关于发包人提供给承包人的图纸、发包人为实施工程自行编制或委托编制的技术</w:t>
      </w:r>
      <w:r>
        <w:rPr>
          <w:rFonts w:ascii="仿宋" w:hAnsi="仿宋" w:eastAsia="仿宋" w:cs="仿宋"/>
          <w:color w:val="auto"/>
          <w:spacing w:val="-21"/>
          <w:sz w:val="24"/>
          <w:szCs w:val="24"/>
          <w:highlight w:val="none"/>
        </w:rPr>
        <w:t>规 范 以</w:t>
      </w:r>
      <w:r>
        <w:rPr>
          <w:rFonts w:ascii="仿宋" w:hAnsi="仿宋" w:eastAsia="仿宋" w:cs="仿宋"/>
          <w:color w:val="auto"/>
          <w:spacing w:val="-44"/>
          <w:sz w:val="24"/>
          <w:szCs w:val="24"/>
          <w:highlight w:val="none"/>
        </w:rPr>
        <w:t xml:space="preserve"> </w:t>
      </w:r>
      <w:r>
        <w:rPr>
          <w:rFonts w:ascii="仿宋" w:hAnsi="仿宋" w:eastAsia="仿宋" w:cs="仿宋"/>
          <w:color w:val="auto"/>
          <w:spacing w:val="-21"/>
          <w:sz w:val="24"/>
          <w:szCs w:val="24"/>
          <w:highlight w:val="none"/>
        </w:rPr>
        <w:t>及</w:t>
      </w:r>
      <w:r>
        <w:rPr>
          <w:rFonts w:ascii="仿宋" w:hAnsi="仿宋" w:eastAsia="仿宋" w:cs="仿宋"/>
          <w:color w:val="auto"/>
          <w:spacing w:val="-50"/>
          <w:sz w:val="24"/>
          <w:szCs w:val="24"/>
          <w:highlight w:val="none"/>
        </w:rPr>
        <w:t xml:space="preserve"> </w:t>
      </w:r>
      <w:r>
        <w:rPr>
          <w:rFonts w:ascii="仿宋" w:hAnsi="仿宋" w:eastAsia="仿宋" w:cs="仿宋"/>
          <w:color w:val="auto"/>
          <w:spacing w:val="-21"/>
          <w:sz w:val="24"/>
          <w:szCs w:val="24"/>
          <w:highlight w:val="none"/>
        </w:rPr>
        <w:t>反</w:t>
      </w:r>
      <w:r>
        <w:rPr>
          <w:rFonts w:ascii="仿宋" w:hAnsi="仿宋" w:eastAsia="仿宋" w:cs="仿宋"/>
          <w:color w:val="auto"/>
          <w:spacing w:val="-34"/>
          <w:sz w:val="24"/>
          <w:szCs w:val="24"/>
          <w:highlight w:val="none"/>
        </w:rPr>
        <w:t xml:space="preserve"> </w:t>
      </w:r>
      <w:r>
        <w:rPr>
          <w:rFonts w:ascii="仿宋" w:hAnsi="仿宋" w:eastAsia="仿宋" w:cs="仿宋"/>
          <w:color w:val="auto"/>
          <w:spacing w:val="-21"/>
          <w:sz w:val="24"/>
          <w:szCs w:val="24"/>
          <w:highlight w:val="none"/>
        </w:rPr>
        <w:t>映</w:t>
      </w:r>
      <w:r>
        <w:rPr>
          <w:rFonts w:ascii="仿宋" w:hAnsi="仿宋" w:eastAsia="仿宋" w:cs="仿宋"/>
          <w:color w:val="auto"/>
          <w:spacing w:val="-37"/>
          <w:sz w:val="24"/>
          <w:szCs w:val="24"/>
          <w:highlight w:val="none"/>
        </w:rPr>
        <w:t xml:space="preserve"> </w:t>
      </w:r>
      <w:r>
        <w:rPr>
          <w:rFonts w:ascii="仿宋" w:hAnsi="仿宋" w:eastAsia="仿宋" w:cs="仿宋"/>
          <w:color w:val="auto"/>
          <w:spacing w:val="-21"/>
          <w:sz w:val="24"/>
          <w:szCs w:val="24"/>
          <w:highlight w:val="none"/>
        </w:rPr>
        <w:t>发</w:t>
      </w:r>
      <w:r>
        <w:rPr>
          <w:rFonts w:ascii="仿宋" w:hAnsi="仿宋" w:eastAsia="仿宋" w:cs="仿宋"/>
          <w:color w:val="auto"/>
          <w:spacing w:val="-35"/>
          <w:sz w:val="24"/>
          <w:szCs w:val="24"/>
          <w:highlight w:val="none"/>
        </w:rPr>
        <w:t xml:space="preserve"> </w:t>
      </w:r>
      <w:r>
        <w:rPr>
          <w:rFonts w:ascii="仿宋" w:hAnsi="仿宋" w:eastAsia="仿宋" w:cs="仿宋"/>
          <w:color w:val="auto"/>
          <w:spacing w:val="-21"/>
          <w:sz w:val="24"/>
          <w:szCs w:val="24"/>
          <w:highlight w:val="none"/>
        </w:rPr>
        <w:t>包</w:t>
      </w:r>
      <w:r>
        <w:rPr>
          <w:rFonts w:ascii="仿宋" w:hAnsi="仿宋" w:eastAsia="仿宋" w:cs="仿宋"/>
          <w:color w:val="auto"/>
          <w:spacing w:val="-45"/>
          <w:sz w:val="24"/>
          <w:szCs w:val="24"/>
          <w:highlight w:val="none"/>
        </w:rPr>
        <w:t xml:space="preserve"> </w:t>
      </w:r>
      <w:r>
        <w:rPr>
          <w:rFonts w:ascii="仿宋" w:hAnsi="仿宋" w:eastAsia="仿宋" w:cs="仿宋"/>
          <w:color w:val="auto"/>
          <w:spacing w:val="-21"/>
          <w:sz w:val="24"/>
          <w:szCs w:val="24"/>
          <w:highlight w:val="none"/>
        </w:rPr>
        <w:t>人</w:t>
      </w:r>
      <w:r>
        <w:rPr>
          <w:rFonts w:ascii="仿宋" w:hAnsi="仿宋" w:eastAsia="仿宋" w:cs="仿宋"/>
          <w:color w:val="auto"/>
          <w:spacing w:val="-38"/>
          <w:sz w:val="24"/>
          <w:szCs w:val="24"/>
          <w:highlight w:val="none"/>
        </w:rPr>
        <w:t xml:space="preserve"> </w:t>
      </w:r>
      <w:r>
        <w:rPr>
          <w:rFonts w:ascii="仿宋" w:hAnsi="仿宋" w:eastAsia="仿宋" w:cs="仿宋"/>
          <w:color w:val="auto"/>
          <w:spacing w:val="-21"/>
          <w:sz w:val="24"/>
          <w:szCs w:val="24"/>
          <w:highlight w:val="none"/>
        </w:rPr>
        <w:t>关</w:t>
      </w:r>
      <w:r>
        <w:rPr>
          <w:rFonts w:ascii="仿宋" w:hAnsi="仿宋" w:eastAsia="仿宋" w:cs="仿宋"/>
          <w:color w:val="auto"/>
          <w:spacing w:val="-41"/>
          <w:sz w:val="24"/>
          <w:szCs w:val="24"/>
          <w:highlight w:val="none"/>
        </w:rPr>
        <w:t xml:space="preserve"> </w:t>
      </w:r>
      <w:r>
        <w:rPr>
          <w:rFonts w:ascii="仿宋" w:hAnsi="仿宋" w:eastAsia="仿宋" w:cs="仿宋"/>
          <w:color w:val="auto"/>
          <w:spacing w:val="-21"/>
          <w:sz w:val="24"/>
          <w:szCs w:val="24"/>
          <w:highlight w:val="none"/>
        </w:rPr>
        <w:t>于</w:t>
      </w:r>
      <w:r>
        <w:rPr>
          <w:rFonts w:ascii="仿宋" w:hAnsi="仿宋" w:eastAsia="仿宋" w:cs="仿宋"/>
          <w:color w:val="auto"/>
          <w:spacing w:val="-43"/>
          <w:sz w:val="24"/>
          <w:szCs w:val="24"/>
          <w:highlight w:val="none"/>
        </w:rPr>
        <w:t xml:space="preserve"> </w:t>
      </w:r>
      <w:r>
        <w:rPr>
          <w:rFonts w:ascii="仿宋" w:hAnsi="仿宋" w:eastAsia="仿宋" w:cs="仿宋"/>
          <w:color w:val="auto"/>
          <w:spacing w:val="-21"/>
          <w:sz w:val="24"/>
          <w:szCs w:val="24"/>
          <w:highlight w:val="none"/>
        </w:rPr>
        <w:t>合 同</w:t>
      </w:r>
      <w:r>
        <w:rPr>
          <w:rFonts w:ascii="仿宋" w:hAnsi="仿宋" w:eastAsia="仿宋" w:cs="仿宋"/>
          <w:color w:val="auto"/>
          <w:spacing w:val="-41"/>
          <w:sz w:val="24"/>
          <w:szCs w:val="24"/>
          <w:highlight w:val="none"/>
        </w:rPr>
        <w:t xml:space="preserve"> </w:t>
      </w:r>
      <w:r>
        <w:rPr>
          <w:rFonts w:ascii="仿宋" w:hAnsi="仿宋" w:eastAsia="仿宋" w:cs="仿宋"/>
          <w:color w:val="auto"/>
          <w:spacing w:val="-21"/>
          <w:sz w:val="24"/>
          <w:szCs w:val="24"/>
          <w:highlight w:val="none"/>
        </w:rPr>
        <w:t>要</w:t>
      </w:r>
      <w:r>
        <w:rPr>
          <w:rFonts w:ascii="仿宋" w:hAnsi="仿宋" w:eastAsia="仿宋" w:cs="仿宋"/>
          <w:color w:val="auto"/>
          <w:spacing w:val="-40"/>
          <w:sz w:val="24"/>
          <w:szCs w:val="24"/>
          <w:highlight w:val="none"/>
        </w:rPr>
        <w:t xml:space="preserve"> </w:t>
      </w:r>
      <w:r>
        <w:rPr>
          <w:rFonts w:ascii="仿宋" w:hAnsi="仿宋" w:eastAsia="仿宋" w:cs="仿宋"/>
          <w:color w:val="auto"/>
          <w:spacing w:val="-21"/>
          <w:sz w:val="24"/>
          <w:szCs w:val="24"/>
          <w:highlight w:val="none"/>
        </w:rPr>
        <w:t>求</w:t>
      </w:r>
      <w:r>
        <w:rPr>
          <w:rFonts w:ascii="仿宋" w:hAnsi="仿宋" w:eastAsia="仿宋" w:cs="仿宋"/>
          <w:color w:val="auto"/>
          <w:spacing w:val="-43"/>
          <w:sz w:val="24"/>
          <w:szCs w:val="24"/>
          <w:highlight w:val="none"/>
        </w:rPr>
        <w:t xml:space="preserve"> </w:t>
      </w:r>
      <w:r>
        <w:rPr>
          <w:rFonts w:ascii="仿宋" w:hAnsi="仿宋" w:eastAsia="仿宋" w:cs="仿宋"/>
          <w:color w:val="auto"/>
          <w:spacing w:val="-21"/>
          <w:sz w:val="24"/>
          <w:szCs w:val="24"/>
          <w:highlight w:val="none"/>
        </w:rPr>
        <w:t>或</w:t>
      </w:r>
      <w:r>
        <w:rPr>
          <w:rFonts w:ascii="仿宋" w:hAnsi="仿宋" w:eastAsia="仿宋" w:cs="仿宋"/>
          <w:color w:val="auto"/>
          <w:spacing w:val="-49"/>
          <w:sz w:val="24"/>
          <w:szCs w:val="24"/>
          <w:highlight w:val="none"/>
        </w:rPr>
        <w:t xml:space="preserve"> </w:t>
      </w:r>
      <w:r>
        <w:rPr>
          <w:rFonts w:ascii="仿宋" w:hAnsi="仿宋" w:eastAsia="仿宋" w:cs="仿宋"/>
          <w:color w:val="auto"/>
          <w:spacing w:val="-21"/>
          <w:sz w:val="24"/>
          <w:szCs w:val="24"/>
          <w:highlight w:val="none"/>
        </w:rPr>
        <w:t>其</w:t>
      </w:r>
      <w:r>
        <w:rPr>
          <w:rFonts w:ascii="仿宋" w:hAnsi="仿宋" w:eastAsia="仿宋" w:cs="仿宋"/>
          <w:color w:val="auto"/>
          <w:spacing w:val="-51"/>
          <w:sz w:val="24"/>
          <w:szCs w:val="24"/>
          <w:highlight w:val="none"/>
        </w:rPr>
        <w:t xml:space="preserve"> </w:t>
      </w:r>
      <w:r>
        <w:rPr>
          <w:rFonts w:ascii="仿宋" w:hAnsi="仿宋" w:eastAsia="仿宋" w:cs="仿宋"/>
          <w:color w:val="auto"/>
          <w:spacing w:val="-21"/>
          <w:sz w:val="24"/>
          <w:szCs w:val="24"/>
          <w:highlight w:val="none"/>
        </w:rPr>
        <w:t>他类</w:t>
      </w:r>
      <w:r>
        <w:rPr>
          <w:rFonts w:ascii="仿宋" w:hAnsi="仿宋" w:eastAsia="仿宋" w:cs="仿宋"/>
          <w:color w:val="auto"/>
          <w:spacing w:val="-51"/>
          <w:sz w:val="24"/>
          <w:szCs w:val="24"/>
          <w:highlight w:val="none"/>
        </w:rPr>
        <w:t xml:space="preserve"> </w:t>
      </w:r>
      <w:r>
        <w:rPr>
          <w:rFonts w:ascii="仿宋" w:hAnsi="仿宋" w:eastAsia="仿宋" w:cs="仿宋"/>
          <w:color w:val="auto"/>
          <w:spacing w:val="-21"/>
          <w:sz w:val="24"/>
          <w:szCs w:val="24"/>
          <w:highlight w:val="none"/>
        </w:rPr>
        <w:t>似性</w:t>
      </w:r>
      <w:r>
        <w:rPr>
          <w:rFonts w:ascii="仿宋" w:hAnsi="仿宋" w:eastAsia="仿宋" w:cs="仿宋"/>
          <w:color w:val="auto"/>
          <w:spacing w:val="-41"/>
          <w:sz w:val="24"/>
          <w:szCs w:val="24"/>
          <w:highlight w:val="none"/>
        </w:rPr>
        <w:t xml:space="preserve"> </w:t>
      </w:r>
      <w:r>
        <w:rPr>
          <w:rFonts w:ascii="仿宋" w:hAnsi="仿宋" w:eastAsia="仿宋" w:cs="仿宋"/>
          <w:color w:val="auto"/>
          <w:spacing w:val="-22"/>
          <w:sz w:val="24"/>
          <w:szCs w:val="24"/>
          <w:highlight w:val="none"/>
        </w:rPr>
        <w:t>质 的</w:t>
      </w:r>
      <w:r>
        <w:rPr>
          <w:rFonts w:ascii="仿宋" w:hAnsi="仿宋" w:eastAsia="仿宋" w:cs="仿宋"/>
          <w:color w:val="auto"/>
          <w:spacing w:val="-54"/>
          <w:sz w:val="24"/>
          <w:szCs w:val="24"/>
          <w:highlight w:val="none"/>
        </w:rPr>
        <w:t xml:space="preserve"> </w:t>
      </w:r>
      <w:r>
        <w:rPr>
          <w:rFonts w:ascii="仿宋" w:hAnsi="仿宋" w:eastAsia="仿宋" w:cs="仿宋"/>
          <w:color w:val="auto"/>
          <w:spacing w:val="-22"/>
          <w:sz w:val="24"/>
          <w:szCs w:val="24"/>
          <w:highlight w:val="none"/>
        </w:rPr>
        <w:t>文</w:t>
      </w:r>
      <w:r>
        <w:rPr>
          <w:rFonts w:ascii="仿宋" w:hAnsi="仿宋" w:eastAsia="仿宋" w:cs="仿宋"/>
          <w:color w:val="auto"/>
          <w:spacing w:val="-51"/>
          <w:sz w:val="24"/>
          <w:szCs w:val="24"/>
          <w:highlight w:val="none"/>
        </w:rPr>
        <w:t xml:space="preserve"> </w:t>
      </w:r>
      <w:r>
        <w:rPr>
          <w:rFonts w:ascii="仿宋" w:hAnsi="仿宋" w:eastAsia="仿宋" w:cs="仿宋"/>
          <w:color w:val="auto"/>
          <w:spacing w:val="-22"/>
          <w:sz w:val="24"/>
          <w:szCs w:val="24"/>
          <w:highlight w:val="none"/>
        </w:rPr>
        <w:t>件 的</w:t>
      </w:r>
      <w:r>
        <w:rPr>
          <w:rFonts w:ascii="仿宋" w:hAnsi="仿宋" w:eastAsia="仿宋" w:cs="仿宋"/>
          <w:color w:val="auto"/>
          <w:spacing w:val="-54"/>
          <w:sz w:val="24"/>
          <w:szCs w:val="24"/>
          <w:highlight w:val="none"/>
        </w:rPr>
        <w:t xml:space="preserve"> </w:t>
      </w:r>
      <w:r>
        <w:rPr>
          <w:rFonts w:ascii="仿宋" w:hAnsi="仿宋" w:eastAsia="仿宋" w:cs="仿宋"/>
          <w:color w:val="auto"/>
          <w:spacing w:val="-22"/>
          <w:sz w:val="24"/>
          <w:szCs w:val="24"/>
          <w:highlight w:val="none"/>
        </w:rPr>
        <w:t>著</w:t>
      </w:r>
      <w:r>
        <w:rPr>
          <w:rFonts w:ascii="仿宋" w:hAnsi="仿宋" w:eastAsia="仿宋" w:cs="仿宋"/>
          <w:color w:val="auto"/>
          <w:spacing w:val="-45"/>
          <w:sz w:val="24"/>
          <w:szCs w:val="24"/>
          <w:highlight w:val="none"/>
        </w:rPr>
        <w:t xml:space="preserve"> </w:t>
      </w:r>
      <w:r>
        <w:rPr>
          <w:rFonts w:ascii="仿宋" w:hAnsi="仿宋" w:eastAsia="仿宋" w:cs="仿宋"/>
          <w:color w:val="auto"/>
          <w:spacing w:val="-22"/>
          <w:sz w:val="24"/>
          <w:szCs w:val="24"/>
          <w:highlight w:val="none"/>
        </w:rPr>
        <w:t>作</w:t>
      </w:r>
      <w:r>
        <w:rPr>
          <w:rFonts w:ascii="仿宋" w:hAnsi="仿宋" w:eastAsia="仿宋" w:cs="仿宋"/>
          <w:color w:val="auto"/>
          <w:spacing w:val="-52"/>
          <w:sz w:val="24"/>
          <w:szCs w:val="24"/>
          <w:highlight w:val="none"/>
        </w:rPr>
        <w:t xml:space="preserve"> </w:t>
      </w:r>
      <w:r>
        <w:rPr>
          <w:rFonts w:ascii="仿宋" w:hAnsi="仿宋" w:eastAsia="仿宋" w:cs="仿宋"/>
          <w:color w:val="auto"/>
          <w:spacing w:val="-22"/>
          <w:sz w:val="24"/>
          <w:szCs w:val="24"/>
          <w:highlight w:val="none"/>
        </w:rPr>
        <w:t>权</w:t>
      </w:r>
      <w:r>
        <w:rPr>
          <w:rFonts w:ascii="仿宋" w:hAnsi="仿宋" w:eastAsia="仿宋" w:cs="仿宋"/>
          <w:color w:val="auto"/>
          <w:spacing w:val="-28"/>
          <w:sz w:val="24"/>
          <w:szCs w:val="24"/>
          <w:highlight w:val="none"/>
        </w:rPr>
        <w:t xml:space="preserve"> </w:t>
      </w:r>
      <w:r>
        <w:rPr>
          <w:rFonts w:ascii="仿宋" w:hAnsi="仿宋" w:eastAsia="仿宋" w:cs="仿宋"/>
          <w:color w:val="auto"/>
          <w:spacing w:val="-22"/>
          <w:sz w:val="24"/>
          <w:szCs w:val="24"/>
          <w:highlight w:val="none"/>
        </w:rPr>
        <w:t>的 归</w:t>
      </w:r>
      <w:r>
        <w:rPr>
          <w:rFonts w:ascii="仿宋" w:hAnsi="仿宋" w:eastAsia="仿宋" w:cs="仿宋"/>
          <w:color w:val="auto"/>
          <w:spacing w:val="-4"/>
          <w:sz w:val="24"/>
          <w:szCs w:val="24"/>
          <w:highlight w:val="none"/>
        </w:rPr>
        <w:t>属：</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5"/>
          <w:sz w:val="24"/>
          <w:szCs w:val="24"/>
          <w:highlight w:val="none"/>
        </w:rPr>
        <w:t>。</w:t>
      </w:r>
    </w:p>
    <w:p w14:paraId="78DDCC22">
      <w:pPr>
        <w:spacing w:before="206" w:line="222" w:lineRule="auto"/>
        <w:ind w:left="652"/>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关于发包人提供的上述文件的使用限制的要求：</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4"/>
          <w:sz w:val="24"/>
          <w:szCs w:val="24"/>
          <w:highlight w:val="none"/>
        </w:rPr>
        <w:t>。</w:t>
      </w:r>
    </w:p>
    <w:p w14:paraId="3D28409E">
      <w:pPr>
        <w:spacing w:before="144" w:line="220" w:lineRule="auto"/>
        <w:ind w:left="6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1.11.2 关于承包人为实施工程所编制文</w:t>
      </w:r>
      <w:r>
        <w:rPr>
          <w:rFonts w:ascii="仿宋" w:hAnsi="仿宋" w:eastAsia="仿宋" w:cs="仿宋"/>
          <w:color w:val="auto"/>
          <w:spacing w:val="-4"/>
          <w:sz w:val="24"/>
          <w:szCs w:val="24"/>
          <w:highlight w:val="none"/>
        </w:rPr>
        <w:t>件的著作权的归属：</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p>
    <w:p w14:paraId="2BBC18C0">
      <w:pPr>
        <w:spacing w:before="146" w:line="222" w:lineRule="auto"/>
        <w:ind w:left="455"/>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关于承包人提供的上述文件的使用限制的要求</w:t>
      </w:r>
      <w:r>
        <w:rPr>
          <w:rFonts w:ascii="仿宋" w:hAnsi="仿宋" w:eastAsia="仿宋" w:cs="仿宋"/>
          <w:color w:val="auto"/>
          <w:spacing w:val="-3"/>
          <w:sz w:val="24"/>
          <w:szCs w:val="24"/>
          <w:highlight w:val="none"/>
        </w:rPr>
        <w:t>：</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3"/>
          <w:sz w:val="24"/>
          <w:szCs w:val="24"/>
          <w:highlight w:val="none"/>
        </w:rPr>
        <w:t>。</w:t>
      </w:r>
    </w:p>
    <w:p w14:paraId="16A42A15">
      <w:pPr>
        <w:spacing w:before="218" w:line="256" w:lineRule="auto"/>
        <w:ind w:left="31" w:right="38" w:firstLine="9"/>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1.11.4</w:t>
      </w:r>
      <w:r>
        <w:rPr>
          <w:rFonts w:ascii="仿宋" w:hAnsi="仿宋" w:eastAsia="仿宋" w:cs="仿宋"/>
          <w:color w:val="auto"/>
          <w:spacing w:val="76"/>
          <w:sz w:val="24"/>
          <w:szCs w:val="24"/>
          <w:highlight w:val="none"/>
        </w:rPr>
        <w:t xml:space="preserve"> </w:t>
      </w:r>
      <w:r>
        <w:rPr>
          <w:rFonts w:ascii="仿宋" w:hAnsi="仿宋" w:eastAsia="仿宋" w:cs="仿宋"/>
          <w:color w:val="auto"/>
          <w:spacing w:val="4"/>
          <w:sz w:val="24"/>
          <w:szCs w:val="24"/>
          <w:highlight w:val="none"/>
        </w:rPr>
        <w:t>承包人在施工过程中所采用的专利、</w:t>
      </w:r>
      <w:r>
        <w:rPr>
          <w:rFonts w:ascii="仿宋" w:hAnsi="仿宋" w:eastAsia="仿宋" w:cs="仿宋"/>
          <w:color w:val="auto"/>
          <w:spacing w:val="3"/>
          <w:sz w:val="24"/>
          <w:szCs w:val="24"/>
          <w:highlight w:val="none"/>
        </w:rPr>
        <w:t>专有技术、技术秘密的使用费的承担方</w:t>
      </w:r>
      <w:r>
        <w:rPr>
          <w:rFonts w:ascii="仿宋" w:hAnsi="仿宋" w:eastAsia="仿宋" w:cs="仿宋"/>
          <w:color w:val="auto"/>
          <w:spacing w:val="-12"/>
          <w:sz w:val="24"/>
          <w:szCs w:val="24"/>
          <w:highlight w:val="none"/>
        </w:rPr>
        <w:t>式：</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2"/>
          <w:sz w:val="24"/>
          <w:szCs w:val="24"/>
          <w:highlight w:val="none"/>
        </w:rPr>
        <w:t>。</w:t>
      </w:r>
    </w:p>
    <w:p w14:paraId="6F1D6AFF">
      <w:pPr>
        <w:spacing w:before="215" w:line="221" w:lineRule="auto"/>
        <w:ind w:left="43"/>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1.13 工程量清单错误的修正</w:t>
      </w:r>
    </w:p>
    <w:p w14:paraId="54F66692">
      <w:pPr>
        <w:pStyle w:val="3"/>
        <w:spacing w:line="249" w:lineRule="auto"/>
        <w:rPr>
          <w:color w:val="auto"/>
          <w:highlight w:val="none"/>
        </w:rPr>
      </w:pPr>
    </w:p>
    <w:p w14:paraId="1BB50596">
      <w:pPr>
        <w:spacing w:before="79" w:line="221" w:lineRule="auto"/>
        <w:ind w:left="564"/>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出现工程量清单错误时，是否调整合同价格：</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5"/>
          <w:sz w:val="24"/>
          <w:szCs w:val="24"/>
          <w:highlight w:val="none"/>
        </w:rPr>
        <w:t>。</w:t>
      </w:r>
    </w:p>
    <w:p w14:paraId="247FFDD9">
      <w:pPr>
        <w:spacing w:before="131" w:line="222" w:lineRule="auto"/>
        <w:ind w:left="512"/>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允许调整合同价格的工程量偏差范围：</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4"/>
          <w:sz w:val="24"/>
          <w:szCs w:val="24"/>
          <w:highlight w:val="none"/>
        </w:rPr>
        <w:t>。</w:t>
      </w:r>
    </w:p>
    <w:p w14:paraId="7D0B2006">
      <w:pPr>
        <w:spacing w:before="296" w:line="224" w:lineRule="auto"/>
        <w:rPr>
          <w:rFonts w:ascii="仿宋" w:hAnsi="仿宋" w:eastAsia="仿宋" w:cs="仿宋"/>
          <w:color w:val="auto"/>
          <w:sz w:val="24"/>
          <w:szCs w:val="24"/>
          <w:highlight w:val="none"/>
        </w:rPr>
      </w:pPr>
      <w:r>
        <w:rPr>
          <w:rFonts w:ascii="仿宋" w:hAnsi="仿宋" w:eastAsia="仿宋" w:cs="仿宋"/>
          <w:b/>
          <w:bCs/>
          <w:color w:val="auto"/>
          <w:spacing w:val="-14"/>
          <w:sz w:val="24"/>
          <w:szCs w:val="24"/>
          <w:highlight w:val="none"/>
        </w:rPr>
        <w:t>2.</w:t>
      </w:r>
      <w:r>
        <w:rPr>
          <w:rFonts w:ascii="仿宋" w:hAnsi="仿宋" w:eastAsia="仿宋" w:cs="仿宋"/>
          <w:color w:val="auto"/>
          <w:spacing w:val="45"/>
          <w:sz w:val="24"/>
          <w:szCs w:val="24"/>
          <w:highlight w:val="none"/>
        </w:rPr>
        <w:t xml:space="preserve"> </w:t>
      </w:r>
      <w:r>
        <w:rPr>
          <w:rFonts w:ascii="仿宋" w:hAnsi="仿宋" w:eastAsia="仿宋" w:cs="仿宋"/>
          <w:b/>
          <w:bCs/>
          <w:color w:val="auto"/>
          <w:spacing w:val="-14"/>
          <w:sz w:val="24"/>
          <w:szCs w:val="24"/>
          <w:highlight w:val="none"/>
        </w:rPr>
        <w:t>发包人</w:t>
      </w:r>
    </w:p>
    <w:p w14:paraId="0ECA5B0A">
      <w:pPr>
        <w:spacing w:before="286" w:line="404" w:lineRule="auto"/>
        <w:ind w:right="7220"/>
        <w:jc w:val="right"/>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2.2</w:t>
      </w:r>
      <w:r>
        <w:rPr>
          <w:rFonts w:ascii="仿宋" w:hAnsi="仿宋" w:eastAsia="仿宋" w:cs="仿宋"/>
          <w:color w:val="auto"/>
          <w:spacing w:val="58"/>
          <w:sz w:val="24"/>
          <w:szCs w:val="24"/>
          <w:highlight w:val="none"/>
        </w:rPr>
        <w:t xml:space="preserve"> </w:t>
      </w:r>
      <w:r>
        <w:rPr>
          <w:rFonts w:ascii="仿宋" w:hAnsi="仿宋" w:eastAsia="仿宋" w:cs="仿宋"/>
          <w:color w:val="auto"/>
          <w:spacing w:val="-10"/>
          <w:sz w:val="24"/>
          <w:szCs w:val="24"/>
          <w:highlight w:val="none"/>
        </w:rPr>
        <w:t>发包人代表</w:t>
      </w:r>
      <w:r>
        <w:rPr>
          <w:rFonts w:ascii="仿宋" w:hAnsi="仿宋" w:eastAsia="仿宋" w:cs="仿宋"/>
          <w:color w:val="auto"/>
          <w:spacing w:val="-9"/>
          <w:sz w:val="24"/>
          <w:szCs w:val="24"/>
          <w:highlight w:val="none"/>
        </w:rPr>
        <w:t>发包人代表：</w:t>
      </w:r>
    </w:p>
    <w:p w14:paraId="7B03398A">
      <w:pPr>
        <w:spacing w:before="1" w:line="222" w:lineRule="auto"/>
        <w:ind w:left="491"/>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姓</w:t>
      </w:r>
      <w:r>
        <w:rPr>
          <w:rFonts w:ascii="仿宋" w:hAnsi="仿宋" w:eastAsia="仿宋" w:cs="仿宋"/>
          <w:color w:val="auto"/>
          <w:spacing w:val="3"/>
          <w:sz w:val="24"/>
          <w:szCs w:val="24"/>
          <w:highlight w:val="none"/>
        </w:rPr>
        <w:t xml:space="preserve">    </w:t>
      </w:r>
      <w:r>
        <w:rPr>
          <w:rFonts w:ascii="仿宋" w:hAnsi="仿宋" w:eastAsia="仿宋" w:cs="仿宋"/>
          <w:color w:val="auto"/>
          <w:spacing w:val="-17"/>
          <w:sz w:val="24"/>
          <w:szCs w:val="24"/>
          <w:highlight w:val="none"/>
        </w:rPr>
        <w:t>名</w:t>
      </w:r>
      <w:r>
        <w:rPr>
          <w:rFonts w:ascii="仿宋" w:hAnsi="仿宋" w:eastAsia="仿宋" w:cs="仿宋"/>
          <w:color w:val="auto"/>
          <w:spacing w:val="-14"/>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4"/>
          <w:sz w:val="24"/>
          <w:szCs w:val="24"/>
          <w:highlight w:val="none"/>
        </w:rPr>
        <w:t>；</w:t>
      </w:r>
    </w:p>
    <w:p w14:paraId="4D853DFD">
      <w:pPr>
        <w:spacing w:before="165" w:line="222" w:lineRule="auto"/>
        <w:ind w:left="489"/>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身份证号</w:t>
      </w:r>
      <w:r>
        <w:rPr>
          <w:rFonts w:ascii="仿宋" w:hAnsi="仿宋" w:eastAsia="仿宋" w:cs="仿宋"/>
          <w:color w:val="auto"/>
          <w:spacing w:val="-9"/>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9"/>
          <w:sz w:val="24"/>
          <w:szCs w:val="24"/>
          <w:highlight w:val="none"/>
        </w:rPr>
        <w:t>；</w:t>
      </w:r>
    </w:p>
    <w:p w14:paraId="1B043BFC">
      <w:pPr>
        <w:spacing w:before="162" w:line="222" w:lineRule="auto"/>
        <w:ind w:left="488"/>
        <w:rPr>
          <w:rFonts w:ascii="仿宋" w:hAnsi="仿宋" w:eastAsia="仿宋" w:cs="仿宋"/>
          <w:color w:val="auto"/>
          <w:sz w:val="24"/>
          <w:szCs w:val="24"/>
          <w:highlight w:val="none"/>
        </w:rPr>
      </w:pPr>
      <w:r>
        <w:rPr>
          <w:rFonts w:ascii="仿宋" w:hAnsi="仿宋" w:eastAsia="仿宋" w:cs="仿宋"/>
          <w:color w:val="auto"/>
          <w:spacing w:val="-19"/>
          <w:sz w:val="24"/>
          <w:szCs w:val="24"/>
          <w:highlight w:val="none"/>
        </w:rPr>
        <w:t>职</w:t>
      </w:r>
      <w:r>
        <w:rPr>
          <w:rFonts w:ascii="仿宋" w:hAnsi="仿宋" w:eastAsia="仿宋" w:cs="仿宋"/>
          <w:color w:val="auto"/>
          <w:spacing w:val="6"/>
          <w:sz w:val="24"/>
          <w:szCs w:val="24"/>
          <w:highlight w:val="none"/>
        </w:rPr>
        <w:t xml:space="preserve">    </w:t>
      </w:r>
      <w:r>
        <w:rPr>
          <w:rFonts w:ascii="仿宋" w:hAnsi="仿宋" w:eastAsia="仿宋" w:cs="仿宋"/>
          <w:color w:val="auto"/>
          <w:spacing w:val="-19"/>
          <w:sz w:val="24"/>
          <w:szCs w:val="24"/>
          <w:highlight w:val="none"/>
        </w:rPr>
        <w:t>务</w:t>
      </w:r>
      <w:r>
        <w:rPr>
          <w:rFonts w:ascii="仿宋" w:hAnsi="仿宋" w:eastAsia="仿宋" w:cs="仿宋"/>
          <w:color w:val="auto"/>
          <w:spacing w:val="-1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5"/>
          <w:sz w:val="24"/>
          <w:szCs w:val="24"/>
          <w:highlight w:val="none"/>
        </w:rPr>
        <w:t>；</w:t>
      </w:r>
    </w:p>
    <w:p w14:paraId="6AD11FD1">
      <w:pPr>
        <w:spacing w:before="180" w:line="222" w:lineRule="auto"/>
        <w:ind w:left="484"/>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联系电话</w:t>
      </w:r>
      <w:r>
        <w:rPr>
          <w:rFonts w:ascii="仿宋" w:hAnsi="仿宋" w:eastAsia="仿宋" w:cs="仿宋"/>
          <w:color w:val="auto"/>
          <w:spacing w:val="-21"/>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1"/>
          <w:sz w:val="24"/>
          <w:szCs w:val="24"/>
          <w:highlight w:val="none"/>
        </w:rPr>
        <w:t>；</w:t>
      </w:r>
    </w:p>
    <w:p w14:paraId="0966244C">
      <w:pPr>
        <w:spacing w:before="150" w:line="221" w:lineRule="auto"/>
        <w:ind w:left="520"/>
        <w:rPr>
          <w:rFonts w:ascii="仿宋" w:hAnsi="仿宋" w:eastAsia="仿宋" w:cs="仿宋"/>
          <w:color w:val="auto"/>
          <w:sz w:val="24"/>
          <w:szCs w:val="24"/>
          <w:highlight w:val="none"/>
        </w:rPr>
      </w:pPr>
      <w:r>
        <w:rPr>
          <w:rFonts w:ascii="仿宋" w:hAnsi="仿宋" w:eastAsia="仿宋" w:cs="仿宋"/>
          <w:color w:val="auto"/>
          <w:spacing w:val="-18"/>
          <w:sz w:val="24"/>
          <w:szCs w:val="24"/>
          <w:highlight w:val="none"/>
        </w:rPr>
        <w:t>电子信箱</w:t>
      </w:r>
      <w:r>
        <w:rPr>
          <w:rFonts w:ascii="仿宋" w:hAnsi="仿宋" w:eastAsia="仿宋" w:cs="仿宋"/>
          <w:color w:val="auto"/>
          <w:spacing w:val="-21"/>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1"/>
          <w:sz w:val="24"/>
          <w:szCs w:val="24"/>
          <w:highlight w:val="none"/>
        </w:rPr>
        <w:t>；</w:t>
      </w:r>
    </w:p>
    <w:p w14:paraId="51731CCF">
      <w:pPr>
        <w:spacing w:before="151" w:line="222" w:lineRule="auto"/>
        <w:ind w:left="498"/>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通信地址：</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2"/>
          <w:sz w:val="24"/>
          <w:szCs w:val="24"/>
          <w:highlight w:val="none"/>
        </w:rPr>
        <w:t>。</w:t>
      </w:r>
    </w:p>
    <w:p w14:paraId="64010A7C">
      <w:pPr>
        <w:spacing w:before="195" w:line="222" w:lineRule="auto"/>
        <w:ind w:left="512"/>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发包人对发包人代表的授权范围如下：</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499D4A8E">
      <w:pPr>
        <w:spacing w:line="222" w:lineRule="auto"/>
        <w:rPr>
          <w:rFonts w:ascii="仿宋" w:hAnsi="仿宋" w:eastAsia="仿宋" w:cs="仿宋"/>
          <w:color w:val="auto"/>
          <w:sz w:val="24"/>
          <w:szCs w:val="24"/>
          <w:highlight w:val="none"/>
        </w:rPr>
        <w:sectPr>
          <w:headerReference r:id="rId40" w:type="default"/>
          <w:footerReference r:id="rId41" w:type="default"/>
          <w:pgSz w:w="11906" w:h="16840"/>
          <w:pgMar w:top="400" w:right="1398" w:bottom="1117" w:left="1451" w:header="0" w:footer="948" w:gutter="0"/>
          <w:pgNumType w:fmt="decimal"/>
          <w:cols w:space="720" w:num="1"/>
        </w:sectPr>
      </w:pPr>
    </w:p>
    <w:p w14:paraId="4CC8017C">
      <w:pPr>
        <w:pStyle w:val="3"/>
        <w:spacing w:line="281" w:lineRule="auto"/>
        <w:rPr>
          <w:color w:val="auto"/>
          <w:highlight w:val="none"/>
        </w:rPr>
      </w:pPr>
    </w:p>
    <w:p w14:paraId="55FF70F2">
      <w:pPr>
        <w:pStyle w:val="3"/>
        <w:spacing w:line="281" w:lineRule="auto"/>
        <w:rPr>
          <w:color w:val="auto"/>
          <w:highlight w:val="none"/>
        </w:rPr>
      </w:pPr>
    </w:p>
    <w:p w14:paraId="467FE49B">
      <w:pPr>
        <w:pStyle w:val="3"/>
        <w:spacing w:line="281" w:lineRule="auto"/>
        <w:rPr>
          <w:color w:val="auto"/>
          <w:highlight w:val="none"/>
        </w:rPr>
      </w:pPr>
    </w:p>
    <w:p w14:paraId="01CDF10C">
      <w:pPr>
        <w:pStyle w:val="3"/>
        <w:spacing w:line="281" w:lineRule="auto"/>
        <w:rPr>
          <w:color w:val="auto"/>
          <w:highlight w:val="none"/>
        </w:rPr>
      </w:pPr>
    </w:p>
    <w:p w14:paraId="1DF8B6F0">
      <w:pPr>
        <w:spacing w:before="78" w:line="220" w:lineRule="auto"/>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2.4 施工现场、施工条件和基础资料的提供</w:t>
      </w:r>
    </w:p>
    <w:p w14:paraId="07E4771D">
      <w:pPr>
        <w:spacing w:before="299" w:line="223" w:lineRule="auto"/>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2.4.1</w:t>
      </w:r>
      <w:r>
        <w:rPr>
          <w:rFonts w:ascii="仿宋" w:hAnsi="仿宋" w:eastAsia="仿宋" w:cs="仿宋"/>
          <w:color w:val="auto"/>
          <w:spacing w:val="44"/>
          <w:sz w:val="24"/>
          <w:szCs w:val="24"/>
          <w:highlight w:val="none"/>
        </w:rPr>
        <w:t xml:space="preserve"> </w:t>
      </w:r>
      <w:r>
        <w:rPr>
          <w:rFonts w:ascii="仿宋" w:hAnsi="仿宋" w:eastAsia="仿宋" w:cs="仿宋"/>
          <w:color w:val="auto"/>
          <w:spacing w:val="-6"/>
          <w:sz w:val="24"/>
          <w:szCs w:val="24"/>
          <w:highlight w:val="none"/>
        </w:rPr>
        <w:t>提供施工现场</w:t>
      </w:r>
    </w:p>
    <w:p w14:paraId="0A97D23D">
      <w:pPr>
        <w:spacing w:before="164" w:line="222" w:lineRule="auto"/>
        <w:ind w:left="51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关于发包人移交施工现场的期限要求</w:t>
      </w:r>
      <w:r>
        <w:rPr>
          <w:rFonts w:ascii="仿宋" w:hAnsi="仿宋" w:eastAsia="仿宋" w:cs="仿宋"/>
          <w:color w:val="auto"/>
          <w:spacing w:val="-3"/>
          <w:sz w:val="24"/>
          <w:szCs w:val="24"/>
          <w:highlight w:val="none"/>
          <w:u w:val="single" w:color="auto"/>
        </w:rPr>
        <w:t>：</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3"/>
          <w:sz w:val="24"/>
          <w:szCs w:val="24"/>
          <w:highlight w:val="none"/>
        </w:rPr>
        <w:t>。</w:t>
      </w:r>
    </w:p>
    <w:p w14:paraId="69F004D8">
      <w:pPr>
        <w:spacing w:before="172" w:line="222" w:lineRule="auto"/>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2.4.2</w:t>
      </w:r>
      <w:r>
        <w:rPr>
          <w:rFonts w:ascii="仿宋" w:hAnsi="仿宋" w:eastAsia="仿宋" w:cs="仿宋"/>
          <w:color w:val="auto"/>
          <w:spacing w:val="44"/>
          <w:sz w:val="24"/>
          <w:szCs w:val="24"/>
          <w:highlight w:val="none"/>
        </w:rPr>
        <w:t xml:space="preserve"> </w:t>
      </w:r>
      <w:r>
        <w:rPr>
          <w:rFonts w:ascii="仿宋" w:hAnsi="仿宋" w:eastAsia="仿宋" w:cs="仿宋"/>
          <w:color w:val="auto"/>
          <w:spacing w:val="-6"/>
          <w:sz w:val="24"/>
          <w:szCs w:val="24"/>
          <w:highlight w:val="none"/>
        </w:rPr>
        <w:t>提供施工条件</w:t>
      </w:r>
    </w:p>
    <w:p w14:paraId="3613454C">
      <w:pPr>
        <w:spacing w:before="167" w:line="222" w:lineRule="auto"/>
        <w:ind w:left="433"/>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关于发包人应负责提供施工所需要的条件，包括：</w:t>
      </w:r>
      <w:r>
        <w:rPr>
          <w:rFonts w:ascii="仿宋" w:hAnsi="仿宋" w:eastAsia="仿宋" w:cs="仿宋"/>
          <w:color w:val="auto"/>
          <w:spacing w:val="-10"/>
          <w:sz w:val="24"/>
          <w:szCs w:val="24"/>
          <w:highlight w:val="none"/>
          <w:u w:val="single" w:color="auto"/>
        </w:rPr>
        <w:t xml:space="preserve">                   </w:t>
      </w:r>
      <w:r>
        <w:rPr>
          <w:rFonts w:ascii="仿宋" w:hAnsi="仿宋" w:eastAsia="仿宋" w:cs="仿宋"/>
          <w:color w:val="auto"/>
          <w:spacing w:val="-10"/>
          <w:sz w:val="24"/>
          <w:szCs w:val="24"/>
          <w:highlight w:val="none"/>
        </w:rPr>
        <w:t>。</w:t>
      </w:r>
    </w:p>
    <w:p w14:paraId="726DD5AA">
      <w:pPr>
        <w:spacing w:before="164" w:line="221" w:lineRule="auto"/>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2.5</w:t>
      </w:r>
      <w:r>
        <w:rPr>
          <w:rFonts w:ascii="仿宋" w:hAnsi="仿宋" w:eastAsia="仿宋" w:cs="仿宋"/>
          <w:color w:val="auto"/>
          <w:spacing w:val="92"/>
          <w:sz w:val="24"/>
          <w:szCs w:val="24"/>
          <w:highlight w:val="none"/>
        </w:rPr>
        <w:t xml:space="preserve"> </w:t>
      </w:r>
      <w:r>
        <w:rPr>
          <w:rFonts w:ascii="仿宋" w:hAnsi="仿宋" w:eastAsia="仿宋" w:cs="仿宋"/>
          <w:color w:val="auto"/>
          <w:spacing w:val="-8"/>
          <w:sz w:val="24"/>
          <w:szCs w:val="24"/>
          <w:highlight w:val="none"/>
        </w:rPr>
        <w:t>资金来源证明及支付担保</w:t>
      </w:r>
    </w:p>
    <w:p w14:paraId="516FA52C">
      <w:pPr>
        <w:pStyle w:val="3"/>
        <w:spacing w:line="250" w:lineRule="auto"/>
        <w:rPr>
          <w:color w:val="auto"/>
          <w:highlight w:val="none"/>
        </w:rPr>
      </w:pPr>
    </w:p>
    <w:p w14:paraId="4B73C1DA">
      <w:pPr>
        <w:spacing w:before="78" w:line="332" w:lineRule="auto"/>
        <w:ind w:left="512" w:right="396"/>
        <w:jc w:val="both"/>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发包人提供资金来源证明的期限要求：</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5"/>
          <w:sz w:val="24"/>
          <w:szCs w:val="24"/>
          <w:highlight w:val="none"/>
        </w:rPr>
        <w:t>。</w:t>
      </w:r>
      <w:r>
        <w:rPr>
          <w:rFonts w:ascii="仿宋" w:hAnsi="仿宋" w:eastAsia="仿宋" w:cs="仿宋"/>
          <w:color w:val="auto"/>
          <w:spacing w:val="-7"/>
          <w:sz w:val="24"/>
          <w:szCs w:val="24"/>
          <w:highlight w:val="none"/>
        </w:rPr>
        <w:t>发包人是否提供支付担保：</w:t>
      </w:r>
      <w:r>
        <w:rPr>
          <w:rFonts w:ascii="仿宋" w:hAnsi="仿宋" w:eastAsia="仿宋" w:cs="仿宋"/>
          <w:color w:val="auto"/>
          <w:spacing w:val="-7"/>
          <w:sz w:val="24"/>
          <w:szCs w:val="24"/>
          <w:highlight w:val="none"/>
          <w:u w:val="single" w:color="auto"/>
        </w:rPr>
        <w:t xml:space="preserve">                          </w:t>
      </w:r>
      <w:r>
        <w:rPr>
          <w:rFonts w:ascii="仿宋" w:hAnsi="仿宋" w:eastAsia="仿宋" w:cs="仿宋"/>
          <w:color w:val="auto"/>
          <w:spacing w:val="-8"/>
          <w:sz w:val="24"/>
          <w:szCs w:val="24"/>
          <w:highlight w:val="none"/>
          <w:u w:val="single" w:color="auto"/>
        </w:rPr>
        <w:t xml:space="preserve">                </w:t>
      </w:r>
      <w:r>
        <w:rPr>
          <w:rFonts w:ascii="仿宋" w:hAnsi="仿宋" w:eastAsia="仿宋" w:cs="仿宋"/>
          <w:color w:val="auto"/>
          <w:spacing w:val="-8"/>
          <w:sz w:val="24"/>
          <w:szCs w:val="24"/>
          <w:highlight w:val="none"/>
        </w:rPr>
        <w:t>。发包人提供支付担保的形式：</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8"/>
          <w:sz w:val="24"/>
          <w:szCs w:val="24"/>
          <w:highlight w:val="none"/>
        </w:rPr>
        <w:t>。</w:t>
      </w:r>
    </w:p>
    <w:p w14:paraId="20F684EE">
      <w:pPr>
        <w:spacing w:before="166" w:line="224" w:lineRule="auto"/>
        <w:ind w:left="4"/>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3.</w:t>
      </w:r>
      <w:r>
        <w:rPr>
          <w:rFonts w:ascii="仿宋" w:hAnsi="仿宋" w:eastAsia="仿宋" w:cs="仿宋"/>
          <w:color w:val="auto"/>
          <w:spacing w:val="25"/>
          <w:sz w:val="24"/>
          <w:szCs w:val="24"/>
          <w:highlight w:val="none"/>
        </w:rPr>
        <w:t xml:space="preserve"> </w:t>
      </w:r>
      <w:r>
        <w:rPr>
          <w:rFonts w:ascii="仿宋" w:hAnsi="仿宋" w:eastAsia="仿宋" w:cs="仿宋"/>
          <w:b/>
          <w:bCs/>
          <w:color w:val="auto"/>
          <w:spacing w:val="-12"/>
          <w:sz w:val="24"/>
          <w:szCs w:val="24"/>
          <w:highlight w:val="none"/>
        </w:rPr>
        <w:t>承包人</w:t>
      </w:r>
    </w:p>
    <w:p w14:paraId="0B1A9D75">
      <w:pPr>
        <w:spacing w:before="288" w:line="223" w:lineRule="auto"/>
        <w:ind w:left="4"/>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3.1 承包人的一般义务</w:t>
      </w:r>
    </w:p>
    <w:p w14:paraId="7AE6F309">
      <w:pPr>
        <w:spacing w:before="319" w:line="305" w:lineRule="auto"/>
        <w:ind w:left="611" w:right="293" w:hanging="10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（5）承包人提交的竣工资料的内容：</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 xml:space="preserve"> 。</w:t>
      </w:r>
      <w:r>
        <w:rPr>
          <w:rFonts w:ascii="仿宋" w:hAnsi="仿宋" w:eastAsia="仿宋" w:cs="仿宋"/>
          <w:color w:val="auto"/>
          <w:spacing w:val="-3"/>
          <w:sz w:val="24"/>
          <w:szCs w:val="24"/>
          <w:highlight w:val="none"/>
        </w:rPr>
        <w:t>承包人需要提交的竣工资料套数：</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r>
        <w:rPr>
          <w:rFonts w:ascii="仿宋" w:hAnsi="仿宋" w:eastAsia="仿宋" w:cs="仿宋"/>
          <w:color w:val="auto"/>
          <w:spacing w:val="-1"/>
          <w:sz w:val="24"/>
          <w:szCs w:val="24"/>
          <w:highlight w:val="none"/>
        </w:rPr>
        <w:t>承包人提交的竣工资料的费用承担：</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81"/>
          <w:sz w:val="24"/>
          <w:szCs w:val="24"/>
          <w:highlight w:val="none"/>
        </w:rPr>
        <w:t xml:space="preserve"> </w:t>
      </w:r>
      <w:r>
        <w:rPr>
          <w:rFonts w:ascii="仿宋" w:hAnsi="仿宋" w:eastAsia="仿宋" w:cs="仿宋"/>
          <w:color w:val="auto"/>
          <w:spacing w:val="-2"/>
          <w:sz w:val="24"/>
          <w:szCs w:val="24"/>
          <w:highlight w:val="none"/>
        </w:rPr>
        <w:t>。</w:t>
      </w:r>
      <w:r>
        <w:rPr>
          <w:rFonts w:ascii="仿宋" w:hAnsi="仿宋" w:eastAsia="仿宋" w:cs="仿宋"/>
          <w:color w:val="auto"/>
          <w:spacing w:val="-1"/>
          <w:sz w:val="24"/>
          <w:szCs w:val="24"/>
          <w:highlight w:val="none"/>
        </w:rPr>
        <w:t>承包人提交的竣工资料移交时间：</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78"/>
          <w:sz w:val="24"/>
          <w:szCs w:val="24"/>
          <w:highlight w:val="none"/>
        </w:rPr>
        <w:t xml:space="preserve"> </w:t>
      </w:r>
      <w:r>
        <w:rPr>
          <w:rFonts w:ascii="仿宋" w:hAnsi="仿宋" w:eastAsia="仿宋" w:cs="仿宋"/>
          <w:color w:val="auto"/>
          <w:spacing w:val="-2"/>
          <w:sz w:val="24"/>
          <w:szCs w:val="24"/>
          <w:highlight w:val="none"/>
        </w:rPr>
        <w:t>。承包人提交的竣工资料形式要求：</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6E82AE70">
      <w:pPr>
        <w:spacing w:before="269" w:line="221" w:lineRule="auto"/>
        <w:ind w:left="50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（6）承包人应履行的其他义务：</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7AB692B9">
      <w:pPr>
        <w:spacing w:before="180" w:line="224" w:lineRule="auto"/>
        <w:ind w:left="4"/>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3.2</w:t>
      </w:r>
      <w:r>
        <w:rPr>
          <w:rFonts w:ascii="仿宋" w:hAnsi="仿宋" w:eastAsia="仿宋" w:cs="仿宋"/>
          <w:color w:val="auto"/>
          <w:spacing w:val="40"/>
          <w:sz w:val="24"/>
          <w:szCs w:val="24"/>
          <w:highlight w:val="none"/>
        </w:rPr>
        <w:t xml:space="preserve"> </w:t>
      </w:r>
      <w:r>
        <w:rPr>
          <w:rFonts w:ascii="仿宋" w:hAnsi="仿宋" w:eastAsia="仿宋" w:cs="仿宋"/>
          <w:color w:val="auto"/>
          <w:spacing w:val="-8"/>
          <w:sz w:val="24"/>
          <w:szCs w:val="24"/>
          <w:highlight w:val="none"/>
        </w:rPr>
        <w:t>项目负责人</w:t>
      </w:r>
    </w:p>
    <w:p w14:paraId="67BDEC88">
      <w:pPr>
        <w:spacing w:before="288" w:line="224" w:lineRule="auto"/>
        <w:ind w:left="4"/>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3.2.1 项目负责人：</w:t>
      </w:r>
    </w:p>
    <w:p w14:paraId="5FCF3FE1">
      <w:pPr>
        <w:spacing w:before="201" w:line="222" w:lineRule="auto"/>
        <w:ind w:left="491"/>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姓</w:t>
      </w:r>
      <w:r>
        <w:rPr>
          <w:rFonts w:ascii="仿宋" w:hAnsi="仿宋" w:eastAsia="仿宋" w:cs="仿宋"/>
          <w:color w:val="auto"/>
          <w:spacing w:val="4"/>
          <w:sz w:val="24"/>
          <w:szCs w:val="24"/>
          <w:highlight w:val="none"/>
        </w:rPr>
        <w:t xml:space="preserve">    </w:t>
      </w:r>
      <w:r>
        <w:rPr>
          <w:rFonts w:ascii="仿宋" w:hAnsi="仿宋" w:eastAsia="仿宋" w:cs="仿宋"/>
          <w:color w:val="auto"/>
          <w:spacing w:val="-17"/>
          <w:sz w:val="24"/>
          <w:szCs w:val="24"/>
          <w:highlight w:val="none"/>
        </w:rPr>
        <w:t>名</w:t>
      </w:r>
      <w:r>
        <w:rPr>
          <w:rFonts w:ascii="仿宋" w:hAnsi="仿宋" w:eastAsia="仿宋" w:cs="仿宋"/>
          <w:color w:val="auto"/>
          <w:spacing w:val="-21"/>
          <w:sz w:val="24"/>
          <w:szCs w:val="24"/>
          <w:highlight w:val="none"/>
        </w:rPr>
        <w:t>：</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79"/>
          <w:sz w:val="24"/>
          <w:szCs w:val="24"/>
          <w:highlight w:val="none"/>
        </w:rPr>
        <w:t xml:space="preserve"> </w:t>
      </w:r>
      <w:r>
        <w:rPr>
          <w:rFonts w:ascii="仿宋" w:hAnsi="仿宋" w:eastAsia="仿宋" w:cs="仿宋"/>
          <w:color w:val="auto"/>
          <w:spacing w:val="-21"/>
          <w:sz w:val="24"/>
          <w:szCs w:val="24"/>
          <w:highlight w:val="none"/>
        </w:rPr>
        <w:t>；</w:t>
      </w:r>
    </w:p>
    <w:p w14:paraId="0204797B">
      <w:pPr>
        <w:spacing w:before="158" w:line="222" w:lineRule="auto"/>
        <w:ind w:left="486"/>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身份证号</w:t>
      </w:r>
      <w:r>
        <w:rPr>
          <w:rFonts w:ascii="仿宋" w:hAnsi="仿宋" w:eastAsia="仿宋" w:cs="仿宋"/>
          <w:color w:val="auto"/>
          <w:spacing w:val="-12"/>
          <w:sz w:val="24"/>
          <w:szCs w:val="24"/>
          <w:highlight w:val="none"/>
        </w:rPr>
        <w:t>：</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82"/>
          <w:sz w:val="24"/>
          <w:szCs w:val="24"/>
          <w:highlight w:val="none"/>
        </w:rPr>
        <w:t xml:space="preserve"> </w:t>
      </w:r>
      <w:r>
        <w:rPr>
          <w:rFonts w:ascii="仿宋" w:hAnsi="仿宋" w:eastAsia="仿宋" w:cs="仿宋"/>
          <w:color w:val="auto"/>
          <w:spacing w:val="-12"/>
          <w:sz w:val="24"/>
          <w:szCs w:val="24"/>
          <w:highlight w:val="none"/>
        </w:rPr>
        <w:t>；</w:t>
      </w:r>
    </w:p>
    <w:p w14:paraId="4982C8DE">
      <w:pPr>
        <w:spacing w:before="158" w:line="222" w:lineRule="auto"/>
        <w:ind w:left="48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建造师执业资格等级</w:t>
      </w:r>
      <w:r>
        <w:rPr>
          <w:rFonts w:ascii="仿宋" w:hAnsi="仿宋" w:eastAsia="仿宋" w:cs="仿宋"/>
          <w:color w:val="auto"/>
          <w:spacing w:val="-7"/>
          <w:sz w:val="24"/>
          <w:szCs w:val="24"/>
          <w:highlight w:val="none"/>
        </w:rPr>
        <w:t>：</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80"/>
          <w:sz w:val="24"/>
          <w:szCs w:val="24"/>
          <w:highlight w:val="none"/>
        </w:rPr>
        <w:t xml:space="preserve"> </w:t>
      </w:r>
      <w:r>
        <w:rPr>
          <w:rFonts w:ascii="仿宋" w:hAnsi="仿宋" w:eastAsia="仿宋" w:cs="仿宋"/>
          <w:color w:val="auto"/>
          <w:spacing w:val="-7"/>
          <w:sz w:val="24"/>
          <w:szCs w:val="24"/>
          <w:highlight w:val="none"/>
        </w:rPr>
        <w:t>；</w:t>
      </w:r>
    </w:p>
    <w:p w14:paraId="03756708">
      <w:pPr>
        <w:spacing w:before="160" w:line="222" w:lineRule="auto"/>
        <w:ind w:left="48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建造师注册证书号</w:t>
      </w:r>
      <w:r>
        <w:rPr>
          <w:rFonts w:ascii="仿宋" w:hAnsi="仿宋" w:eastAsia="仿宋" w:cs="仿宋"/>
          <w:color w:val="auto"/>
          <w:spacing w:val="-8"/>
          <w:sz w:val="24"/>
          <w:szCs w:val="24"/>
          <w:highlight w:val="none"/>
        </w:rPr>
        <w:t>：</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82"/>
          <w:sz w:val="24"/>
          <w:szCs w:val="24"/>
          <w:highlight w:val="none"/>
        </w:rPr>
        <w:t xml:space="preserve"> </w:t>
      </w:r>
      <w:r>
        <w:rPr>
          <w:rFonts w:ascii="仿宋" w:hAnsi="仿宋" w:eastAsia="仿宋" w:cs="仿宋"/>
          <w:color w:val="auto"/>
          <w:spacing w:val="-8"/>
          <w:sz w:val="24"/>
          <w:szCs w:val="24"/>
          <w:highlight w:val="none"/>
        </w:rPr>
        <w:t>；</w:t>
      </w:r>
    </w:p>
    <w:p w14:paraId="5C195F83">
      <w:pPr>
        <w:spacing w:before="157" w:line="222" w:lineRule="auto"/>
        <w:ind w:left="48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建造师执业印章号</w:t>
      </w:r>
      <w:r>
        <w:rPr>
          <w:rFonts w:ascii="仿宋" w:hAnsi="仿宋" w:eastAsia="仿宋" w:cs="仿宋"/>
          <w:color w:val="auto"/>
          <w:spacing w:val="-8"/>
          <w:sz w:val="24"/>
          <w:szCs w:val="24"/>
          <w:highlight w:val="none"/>
        </w:rPr>
        <w:t>：</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82"/>
          <w:sz w:val="24"/>
          <w:szCs w:val="24"/>
          <w:highlight w:val="none"/>
        </w:rPr>
        <w:t xml:space="preserve"> </w:t>
      </w:r>
      <w:r>
        <w:rPr>
          <w:rFonts w:ascii="仿宋" w:hAnsi="仿宋" w:eastAsia="仿宋" w:cs="仿宋"/>
          <w:color w:val="auto"/>
          <w:spacing w:val="-8"/>
          <w:sz w:val="24"/>
          <w:szCs w:val="24"/>
          <w:highlight w:val="none"/>
        </w:rPr>
        <w:t>；</w:t>
      </w:r>
    </w:p>
    <w:p w14:paraId="59DF0A63">
      <w:pPr>
        <w:spacing w:before="161" w:line="222" w:lineRule="auto"/>
        <w:ind w:left="48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安全生产考核合格证书号</w:t>
      </w:r>
      <w:r>
        <w:rPr>
          <w:rFonts w:ascii="仿宋" w:hAnsi="仿宋" w:eastAsia="仿宋" w:cs="仿宋"/>
          <w:color w:val="auto"/>
          <w:spacing w:val="-19"/>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9"/>
          <w:sz w:val="24"/>
          <w:szCs w:val="24"/>
          <w:highlight w:val="none"/>
        </w:rPr>
        <w:t>；</w:t>
      </w:r>
    </w:p>
    <w:p w14:paraId="2DA292D2">
      <w:pPr>
        <w:spacing w:before="158" w:line="222" w:lineRule="auto"/>
        <w:ind w:left="484"/>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联系电话</w:t>
      </w:r>
      <w:r>
        <w:rPr>
          <w:rFonts w:ascii="仿宋" w:hAnsi="仿宋" w:eastAsia="仿宋" w:cs="仿宋"/>
          <w:color w:val="auto"/>
          <w:spacing w:val="-26"/>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6"/>
          <w:sz w:val="24"/>
          <w:szCs w:val="24"/>
          <w:highlight w:val="none"/>
        </w:rPr>
        <w:t>；</w:t>
      </w:r>
    </w:p>
    <w:p w14:paraId="5505AE25">
      <w:pPr>
        <w:spacing w:before="159" w:line="221" w:lineRule="auto"/>
        <w:ind w:left="513"/>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电子信箱</w:t>
      </w:r>
      <w:r>
        <w:rPr>
          <w:rFonts w:ascii="仿宋" w:hAnsi="仿宋" w:eastAsia="仿宋" w:cs="仿宋"/>
          <w:color w:val="auto"/>
          <w:spacing w:val="-2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5"/>
          <w:sz w:val="24"/>
          <w:szCs w:val="24"/>
          <w:highlight w:val="none"/>
        </w:rPr>
        <w:t>；</w:t>
      </w:r>
    </w:p>
    <w:p w14:paraId="1B9DE210">
      <w:pPr>
        <w:spacing w:line="221" w:lineRule="auto"/>
        <w:rPr>
          <w:rFonts w:ascii="仿宋" w:hAnsi="仿宋" w:eastAsia="仿宋" w:cs="仿宋"/>
          <w:color w:val="auto"/>
          <w:sz w:val="24"/>
          <w:szCs w:val="24"/>
          <w:highlight w:val="none"/>
        </w:rPr>
        <w:sectPr>
          <w:footerReference r:id="rId42" w:type="default"/>
          <w:pgSz w:w="11906" w:h="16840"/>
          <w:pgMar w:top="400" w:right="1785" w:bottom="1174" w:left="1451" w:header="0" w:footer="928" w:gutter="0"/>
          <w:pgNumType w:fmt="decimal"/>
          <w:cols w:space="720" w:num="1"/>
        </w:sectPr>
      </w:pPr>
    </w:p>
    <w:p w14:paraId="70FAE73C">
      <w:pPr>
        <w:pStyle w:val="3"/>
        <w:spacing w:line="282" w:lineRule="auto"/>
        <w:rPr>
          <w:color w:val="auto"/>
          <w:highlight w:val="none"/>
        </w:rPr>
      </w:pPr>
    </w:p>
    <w:p w14:paraId="18D8B826">
      <w:pPr>
        <w:pStyle w:val="3"/>
        <w:spacing w:line="282" w:lineRule="auto"/>
        <w:rPr>
          <w:color w:val="auto"/>
          <w:highlight w:val="none"/>
        </w:rPr>
      </w:pPr>
    </w:p>
    <w:p w14:paraId="21A543D8">
      <w:pPr>
        <w:pStyle w:val="3"/>
        <w:spacing w:line="282" w:lineRule="auto"/>
        <w:rPr>
          <w:color w:val="auto"/>
          <w:highlight w:val="none"/>
        </w:rPr>
      </w:pPr>
    </w:p>
    <w:p w14:paraId="4F08D624">
      <w:pPr>
        <w:pStyle w:val="3"/>
        <w:spacing w:line="282" w:lineRule="auto"/>
        <w:rPr>
          <w:color w:val="auto"/>
          <w:highlight w:val="none"/>
        </w:rPr>
      </w:pPr>
    </w:p>
    <w:p w14:paraId="1E1B61C5">
      <w:pPr>
        <w:spacing w:before="78" w:line="222" w:lineRule="auto"/>
        <w:ind w:left="541"/>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通信地址</w:t>
      </w:r>
      <w:r>
        <w:rPr>
          <w:rFonts w:ascii="仿宋" w:hAnsi="仿宋" w:eastAsia="仿宋" w:cs="仿宋"/>
          <w:color w:val="auto"/>
          <w:spacing w:val="-6"/>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6"/>
          <w:sz w:val="24"/>
          <w:szCs w:val="24"/>
          <w:highlight w:val="none"/>
        </w:rPr>
        <w:t>；</w:t>
      </w:r>
    </w:p>
    <w:p w14:paraId="521E5287">
      <w:pPr>
        <w:spacing w:before="206" w:line="222" w:lineRule="auto"/>
        <w:ind w:left="525"/>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承包人对项目负责人的授权范围如下：</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7"/>
          <w:sz w:val="24"/>
          <w:szCs w:val="24"/>
          <w:highlight w:val="none"/>
        </w:rPr>
        <w:t>。</w:t>
      </w:r>
    </w:p>
    <w:p w14:paraId="1589BD9F">
      <w:pPr>
        <w:spacing w:before="167" w:line="219" w:lineRule="auto"/>
        <w:ind w:left="54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关于项目负责人每月在施工现场的时间要求：</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44F78FC8">
      <w:pPr>
        <w:spacing w:before="215" w:line="323" w:lineRule="auto"/>
        <w:ind w:left="46" w:firstLine="47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承包人未提交劳动合同 ，</w:t>
      </w:r>
      <w:r>
        <w:rPr>
          <w:rFonts w:ascii="仿宋" w:hAnsi="仿宋" w:eastAsia="仿宋" w:cs="仿宋"/>
          <w:color w:val="auto"/>
          <w:spacing w:val="56"/>
          <w:sz w:val="24"/>
          <w:szCs w:val="24"/>
          <w:highlight w:val="none"/>
        </w:rPr>
        <w:t xml:space="preserve"> </w:t>
      </w:r>
      <w:r>
        <w:rPr>
          <w:rFonts w:ascii="仿宋" w:hAnsi="仿宋" w:eastAsia="仿宋" w:cs="仿宋"/>
          <w:color w:val="auto"/>
          <w:spacing w:val="3"/>
          <w:sz w:val="24"/>
          <w:szCs w:val="24"/>
          <w:highlight w:val="none"/>
        </w:rPr>
        <w:t>以及没有为项</w:t>
      </w:r>
      <w:r>
        <w:rPr>
          <w:rFonts w:ascii="仿宋" w:hAnsi="仿宋" w:eastAsia="仿宋" w:cs="仿宋"/>
          <w:color w:val="auto"/>
          <w:spacing w:val="75"/>
          <w:sz w:val="24"/>
          <w:szCs w:val="24"/>
          <w:highlight w:val="none"/>
        </w:rPr>
        <w:t xml:space="preserve"> </w:t>
      </w:r>
      <w:r>
        <w:rPr>
          <w:rFonts w:ascii="仿宋" w:hAnsi="仿宋" w:eastAsia="仿宋" w:cs="仿宋"/>
          <w:color w:val="auto"/>
          <w:spacing w:val="3"/>
          <w:sz w:val="24"/>
          <w:szCs w:val="24"/>
          <w:highlight w:val="none"/>
        </w:rPr>
        <w:t>目负责人缴纳社会保险证明的违约</w:t>
      </w:r>
      <w:r>
        <w:rPr>
          <w:rFonts w:ascii="仿宋" w:hAnsi="仿宋" w:eastAsia="仿宋" w:cs="仿宋"/>
          <w:color w:val="auto"/>
          <w:spacing w:val="-19"/>
          <w:sz w:val="24"/>
          <w:szCs w:val="24"/>
          <w:highlight w:val="none"/>
        </w:rPr>
        <w:t>责</w:t>
      </w:r>
      <w:r>
        <w:rPr>
          <w:rFonts w:ascii="仿宋" w:hAnsi="仿宋" w:eastAsia="仿宋" w:cs="仿宋"/>
          <w:color w:val="auto"/>
          <w:spacing w:val="25"/>
          <w:sz w:val="24"/>
          <w:szCs w:val="24"/>
          <w:highlight w:val="none"/>
        </w:rPr>
        <w:t xml:space="preserve"> </w:t>
      </w:r>
      <w:r>
        <w:rPr>
          <w:rFonts w:ascii="仿宋" w:hAnsi="仿宋" w:eastAsia="仿宋" w:cs="仿宋"/>
          <w:color w:val="auto"/>
          <w:spacing w:val="-19"/>
          <w:sz w:val="24"/>
          <w:szCs w:val="24"/>
          <w:highlight w:val="none"/>
        </w:rPr>
        <w:t>任：</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9"/>
          <w:sz w:val="24"/>
          <w:szCs w:val="24"/>
          <w:highlight w:val="none"/>
        </w:rPr>
        <w:t>。</w:t>
      </w:r>
    </w:p>
    <w:p w14:paraId="682AA119">
      <w:pPr>
        <w:spacing w:before="78" w:line="222" w:lineRule="auto"/>
        <w:ind w:left="525"/>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项目负责人未经批准，擅自离开施工现场的违约责任：</w:t>
      </w:r>
      <w:r>
        <w:rPr>
          <w:rFonts w:ascii="仿宋" w:hAnsi="仿宋" w:eastAsia="仿宋" w:cs="仿宋"/>
          <w:color w:val="auto"/>
          <w:spacing w:val="-14"/>
          <w:sz w:val="24"/>
          <w:szCs w:val="24"/>
          <w:highlight w:val="none"/>
          <w:u w:val="single" w:color="auto"/>
        </w:rPr>
        <w:t xml:space="preserve">                       </w:t>
      </w:r>
      <w:r>
        <w:rPr>
          <w:rFonts w:ascii="仿宋" w:hAnsi="仿宋" w:eastAsia="仿宋" w:cs="仿宋"/>
          <w:color w:val="auto"/>
          <w:spacing w:val="-14"/>
          <w:sz w:val="24"/>
          <w:szCs w:val="24"/>
          <w:highlight w:val="none"/>
        </w:rPr>
        <w:t>。</w:t>
      </w:r>
    </w:p>
    <w:p w14:paraId="6ED561E0">
      <w:pPr>
        <w:spacing w:before="167" w:line="223" w:lineRule="auto"/>
        <w:ind w:left="3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3.2.3 承包人擅自更换项目负责人的违约</w:t>
      </w:r>
      <w:r>
        <w:rPr>
          <w:rFonts w:ascii="仿宋" w:hAnsi="仿宋" w:eastAsia="仿宋" w:cs="仿宋"/>
          <w:color w:val="auto"/>
          <w:spacing w:val="-4"/>
          <w:sz w:val="24"/>
          <w:szCs w:val="24"/>
          <w:highlight w:val="none"/>
        </w:rPr>
        <w:t>责任：</w:t>
      </w:r>
      <w:r>
        <w:rPr>
          <w:rFonts w:ascii="仿宋" w:hAnsi="仿宋" w:eastAsia="仿宋" w:cs="仿宋"/>
          <w:color w:val="auto"/>
          <w:spacing w:val="-4"/>
          <w:sz w:val="24"/>
          <w:szCs w:val="24"/>
          <w:highlight w:val="none"/>
          <w:u w:val="single" w:color="auto"/>
        </w:rPr>
        <w:t xml:space="preserve">                           </w:t>
      </w:r>
    </w:p>
    <w:p w14:paraId="703ECAC7">
      <w:pPr>
        <w:pStyle w:val="3"/>
        <w:spacing w:line="325" w:lineRule="auto"/>
        <w:rPr>
          <w:color w:val="auto"/>
          <w:highlight w:val="none"/>
        </w:rPr>
      </w:pPr>
    </w:p>
    <w:p w14:paraId="5B0660A4">
      <w:pPr>
        <w:tabs>
          <w:tab w:val="left" w:pos="8157"/>
        </w:tabs>
        <w:spacing w:before="2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8"/>
          <w:w w:val="101"/>
          <w:sz w:val="6"/>
          <w:szCs w:val="6"/>
          <w:highlight w:val="none"/>
        </w:rPr>
        <w:t xml:space="preserve"> </w:t>
      </w:r>
      <w:r>
        <w:rPr>
          <w:rFonts w:ascii="仿宋" w:hAnsi="仿宋" w:eastAsia="仿宋" w:cs="仿宋"/>
          <w:color w:val="auto"/>
          <w:sz w:val="6"/>
          <w:szCs w:val="6"/>
          <w:highlight w:val="none"/>
        </w:rPr>
        <w:t>。</w:t>
      </w:r>
    </w:p>
    <w:p w14:paraId="7A04FB2C">
      <w:pPr>
        <w:spacing w:before="285" w:line="223" w:lineRule="auto"/>
        <w:ind w:left="37"/>
        <w:rPr>
          <w:rFonts w:ascii="仿宋" w:hAnsi="仿宋" w:eastAsia="仿宋" w:cs="仿宋"/>
          <w:color w:val="auto"/>
          <w:sz w:val="24"/>
          <w:szCs w:val="24"/>
          <w:highlight w:val="none"/>
        </w:rPr>
      </w:pPr>
      <w:r>
        <w:rPr>
          <w:rFonts w:ascii="仿宋" w:hAnsi="仿宋" w:eastAsia="仿宋" w:cs="仿宋"/>
          <w:color w:val="auto"/>
          <w:spacing w:val="-15"/>
          <w:sz w:val="24"/>
          <w:szCs w:val="24"/>
          <w:highlight w:val="none"/>
        </w:rPr>
        <w:t>3.2.4</w:t>
      </w:r>
      <w:r>
        <w:rPr>
          <w:rFonts w:ascii="仿宋" w:hAnsi="仿宋" w:eastAsia="仿宋" w:cs="仿宋"/>
          <w:color w:val="auto"/>
          <w:spacing w:val="29"/>
          <w:sz w:val="24"/>
          <w:szCs w:val="24"/>
          <w:highlight w:val="none"/>
        </w:rPr>
        <w:t xml:space="preserve">  </w:t>
      </w:r>
      <w:r>
        <w:rPr>
          <w:rFonts w:ascii="仿宋" w:hAnsi="仿宋" w:eastAsia="仿宋" w:cs="仿宋"/>
          <w:color w:val="auto"/>
          <w:spacing w:val="-15"/>
          <w:sz w:val="24"/>
          <w:szCs w:val="24"/>
          <w:highlight w:val="none"/>
        </w:rPr>
        <w:t>承包人无正当理由拒绝更换项目负责人的违约责任：</w:t>
      </w:r>
      <w:r>
        <w:rPr>
          <w:rFonts w:ascii="仿宋" w:hAnsi="仿宋" w:eastAsia="仿宋" w:cs="仿宋"/>
          <w:color w:val="auto"/>
          <w:spacing w:val="-16"/>
          <w:sz w:val="24"/>
          <w:szCs w:val="24"/>
          <w:highlight w:val="none"/>
          <w:u w:val="single" w:color="auto"/>
        </w:rPr>
        <w:t xml:space="preserve">                     </w:t>
      </w:r>
      <w:r>
        <w:rPr>
          <w:rFonts w:ascii="仿宋" w:hAnsi="仿宋" w:eastAsia="仿宋" w:cs="仿宋"/>
          <w:color w:val="auto"/>
          <w:spacing w:val="-16"/>
          <w:sz w:val="24"/>
          <w:szCs w:val="24"/>
          <w:highlight w:val="none"/>
        </w:rPr>
        <w:t>。</w:t>
      </w:r>
    </w:p>
    <w:p w14:paraId="40A22298">
      <w:pPr>
        <w:spacing w:before="264" w:line="224" w:lineRule="auto"/>
        <w:ind w:left="37"/>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3.3</w:t>
      </w:r>
      <w:r>
        <w:rPr>
          <w:rFonts w:ascii="仿宋" w:hAnsi="仿宋" w:eastAsia="仿宋" w:cs="仿宋"/>
          <w:color w:val="auto"/>
          <w:spacing w:val="40"/>
          <w:sz w:val="24"/>
          <w:szCs w:val="24"/>
          <w:highlight w:val="none"/>
        </w:rPr>
        <w:t xml:space="preserve"> </w:t>
      </w:r>
      <w:r>
        <w:rPr>
          <w:rFonts w:ascii="仿宋" w:hAnsi="仿宋" w:eastAsia="仿宋" w:cs="仿宋"/>
          <w:color w:val="auto"/>
          <w:spacing w:val="-8"/>
          <w:sz w:val="24"/>
          <w:szCs w:val="24"/>
          <w:highlight w:val="none"/>
        </w:rPr>
        <w:t>承包人人员</w:t>
      </w:r>
    </w:p>
    <w:p w14:paraId="123E5305">
      <w:pPr>
        <w:spacing w:before="319" w:line="222" w:lineRule="auto"/>
        <w:jc w:val="right"/>
        <w:rPr>
          <w:rFonts w:ascii="仿宋" w:hAnsi="仿宋" w:eastAsia="仿宋" w:cs="仿宋"/>
          <w:color w:val="auto"/>
          <w:sz w:val="24"/>
          <w:szCs w:val="24"/>
          <w:highlight w:val="none"/>
        </w:rPr>
      </w:pPr>
      <w:r>
        <w:rPr>
          <w:rFonts w:ascii="仿宋" w:hAnsi="仿宋" w:eastAsia="仿宋" w:cs="仿宋"/>
          <w:color w:val="auto"/>
          <w:spacing w:val="-15"/>
          <w:sz w:val="24"/>
          <w:szCs w:val="24"/>
          <w:highlight w:val="none"/>
        </w:rPr>
        <w:t>3.3.1</w:t>
      </w:r>
      <w:r>
        <w:rPr>
          <w:rFonts w:ascii="仿宋" w:hAnsi="仿宋" w:eastAsia="仿宋" w:cs="仿宋"/>
          <w:color w:val="auto"/>
          <w:spacing w:val="95"/>
          <w:sz w:val="24"/>
          <w:szCs w:val="24"/>
          <w:highlight w:val="none"/>
        </w:rPr>
        <w:t xml:space="preserve"> </w:t>
      </w:r>
      <w:r>
        <w:rPr>
          <w:rFonts w:ascii="仿宋" w:hAnsi="仿宋" w:eastAsia="仿宋" w:cs="仿宋"/>
          <w:color w:val="auto"/>
          <w:spacing w:val="-15"/>
          <w:sz w:val="24"/>
          <w:szCs w:val="24"/>
          <w:highlight w:val="none"/>
        </w:rPr>
        <w:t>承包人提交项目管理机构及施工现场管理</w:t>
      </w:r>
      <w:r>
        <w:rPr>
          <w:rFonts w:ascii="仿宋" w:hAnsi="仿宋" w:eastAsia="仿宋" w:cs="仿宋"/>
          <w:color w:val="auto"/>
          <w:spacing w:val="-16"/>
          <w:sz w:val="24"/>
          <w:szCs w:val="24"/>
          <w:highlight w:val="none"/>
        </w:rPr>
        <w:t>人员安排报告的期限：</w:t>
      </w:r>
      <w:r>
        <w:rPr>
          <w:rFonts w:ascii="仿宋" w:hAnsi="仿宋" w:eastAsia="仿宋" w:cs="仿宋"/>
          <w:color w:val="auto"/>
          <w:spacing w:val="-16"/>
          <w:sz w:val="24"/>
          <w:szCs w:val="24"/>
          <w:highlight w:val="none"/>
          <w:u w:val="single" w:color="auto"/>
        </w:rPr>
        <w:t xml:space="preserve">               </w:t>
      </w:r>
      <w:r>
        <w:rPr>
          <w:rFonts w:ascii="仿宋" w:hAnsi="仿宋" w:eastAsia="仿宋" w:cs="仿宋"/>
          <w:color w:val="auto"/>
          <w:spacing w:val="-16"/>
          <w:sz w:val="24"/>
          <w:szCs w:val="24"/>
          <w:highlight w:val="none"/>
        </w:rPr>
        <w:t>。</w:t>
      </w:r>
    </w:p>
    <w:p w14:paraId="601F3831">
      <w:pPr>
        <w:spacing w:before="297" w:line="223" w:lineRule="auto"/>
        <w:ind w:left="37"/>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3.3.3</w:t>
      </w:r>
      <w:r>
        <w:rPr>
          <w:rFonts w:ascii="仿宋" w:hAnsi="仿宋" w:eastAsia="仿宋" w:cs="仿宋"/>
          <w:color w:val="auto"/>
          <w:spacing w:val="89"/>
          <w:sz w:val="24"/>
          <w:szCs w:val="24"/>
          <w:highlight w:val="none"/>
        </w:rPr>
        <w:t xml:space="preserve"> </w:t>
      </w:r>
      <w:r>
        <w:rPr>
          <w:rFonts w:ascii="仿宋" w:hAnsi="仿宋" w:eastAsia="仿宋" w:cs="仿宋"/>
          <w:color w:val="auto"/>
          <w:spacing w:val="-14"/>
          <w:sz w:val="24"/>
          <w:szCs w:val="24"/>
          <w:highlight w:val="none"/>
        </w:rPr>
        <w:t>承包人无正当理由拒绝撤换主要施工管理人员的违约责任：</w:t>
      </w:r>
      <w:r>
        <w:rPr>
          <w:rFonts w:ascii="仿宋" w:hAnsi="仿宋" w:eastAsia="仿宋" w:cs="仿宋"/>
          <w:color w:val="auto"/>
          <w:spacing w:val="-14"/>
          <w:sz w:val="24"/>
          <w:szCs w:val="24"/>
          <w:highlight w:val="none"/>
          <w:u w:val="single" w:color="auto"/>
        </w:rPr>
        <w:t xml:space="preserve">             </w:t>
      </w:r>
      <w:r>
        <w:rPr>
          <w:rFonts w:ascii="仿宋" w:hAnsi="仿宋" w:eastAsia="仿宋" w:cs="仿宋"/>
          <w:color w:val="auto"/>
          <w:spacing w:val="-14"/>
          <w:sz w:val="24"/>
          <w:szCs w:val="24"/>
          <w:highlight w:val="none"/>
        </w:rPr>
        <w:t>。</w:t>
      </w:r>
    </w:p>
    <w:p w14:paraId="74B2D0BA">
      <w:pPr>
        <w:spacing w:before="260" w:line="222" w:lineRule="auto"/>
        <w:ind w:left="37"/>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3.3.4 承包人主要施工管理人员离开施工现场的批准要求：</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35AE8DF8">
      <w:pPr>
        <w:spacing w:before="206" w:line="223" w:lineRule="auto"/>
        <w:ind w:left="37"/>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3.3.5</w:t>
      </w:r>
      <w:r>
        <w:rPr>
          <w:rFonts w:ascii="仿宋" w:hAnsi="仿宋" w:eastAsia="仿宋" w:cs="仿宋"/>
          <w:color w:val="auto"/>
          <w:spacing w:val="26"/>
          <w:sz w:val="24"/>
          <w:szCs w:val="24"/>
          <w:highlight w:val="none"/>
        </w:rPr>
        <w:t xml:space="preserve">  </w:t>
      </w:r>
      <w:r>
        <w:rPr>
          <w:rFonts w:ascii="仿宋" w:hAnsi="仿宋" w:eastAsia="仿宋" w:cs="仿宋"/>
          <w:color w:val="auto"/>
          <w:spacing w:val="-14"/>
          <w:sz w:val="24"/>
          <w:szCs w:val="24"/>
          <w:highlight w:val="none"/>
        </w:rPr>
        <w:t>承包人擅自更换主要施工管理人员的违约责任：</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4"/>
          <w:sz w:val="24"/>
          <w:szCs w:val="24"/>
          <w:highlight w:val="none"/>
        </w:rPr>
        <w:t>。</w:t>
      </w:r>
    </w:p>
    <w:p w14:paraId="19DC3359">
      <w:pPr>
        <w:spacing w:before="298" w:line="222" w:lineRule="auto"/>
        <w:ind w:left="525"/>
        <w:rPr>
          <w:rFonts w:ascii="仿宋" w:hAnsi="仿宋" w:eastAsia="仿宋" w:cs="仿宋"/>
          <w:color w:val="auto"/>
          <w:sz w:val="24"/>
          <w:szCs w:val="24"/>
          <w:highlight w:val="none"/>
        </w:rPr>
      </w:pPr>
      <w:r>
        <w:rPr>
          <w:rFonts w:ascii="仿宋" w:hAnsi="仿宋" w:eastAsia="仿宋" w:cs="仿宋"/>
          <w:color w:val="auto"/>
          <w:spacing w:val="-20"/>
          <w:sz w:val="24"/>
          <w:szCs w:val="24"/>
          <w:highlight w:val="none"/>
        </w:rPr>
        <w:t>承包人主要施工管理人员擅自离开施工现场的违约责任：</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20"/>
          <w:sz w:val="24"/>
          <w:szCs w:val="24"/>
          <w:highlight w:val="none"/>
        </w:rPr>
        <w:t>。</w:t>
      </w:r>
    </w:p>
    <w:p w14:paraId="30C52F27">
      <w:pPr>
        <w:spacing w:before="174" w:line="224" w:lineRule="auto"/>
        <w:ind w:left="37"/>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3.5</w:t>
      </w:r>
      <w:r>
        <w:rPr>
          <w:rFonts w:ascii="仿宋" w:hAnsi="仿宋" w:eastAsia="仿宋" w:cs="仿宋"/>
          <w:color w:val="auto"/>
          <w:spacing w:val="38"/>
          <w:sz w:val="24"/>
          <w:szCs w:val="24"/>
          <w:highlight w:val="none"/>
        </w:rPr>
        <w:t xml:space="preserve"> </w:t>
      </w:r>
      <w:r>
        <w:rPr>
          <w:rFonts w:ascii="仿宋" w:hAnsi="仿宋" w:eastAsia="仿宋" w:cs="仿宋"/>
          <w:color w:val="auto"/>
          <w:spacing w:val="-10"/>
          <w:sz w:val="24"/>
          <w:szCs w:val="24"/>
          <w:highlight w:val="none"/>
        </w:rPr>
        <w:t>分包</w:t>
      </w:r>
    </w:p>
    <w:p w14:paraId="496746A7">
      <w:pPr>
        <w:spacing w:before="285" w:line="224" w:lineRule="auto"/>
        <w:ind w:left="37"/>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3.5.1 分包的一般约定</w:t>
      </w:r>
    </w:p>
    <w:p w14:paraId="3C193DC3">
      <w:pPr>
        <w:spacing w:before="201" w:line="223" w:lineRule="auto"/>
        <w:ind w:left="54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禁止分包的工程包括：</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5"/>
          <w:sz w:val="24"/>
          <w:szCs w:val="24"/>
          <w:highlight w:val="none"/>
          <w:u w:val="single" w:color="auto"/>
        </w:rPr>
        <w:t xml:space="preserve">                                  </w:t>
      </w:r>
    </w:p>
    <w:p w14:paraId="323347F8">
      <w:pPr>
        <w:spacing w:before="128" w:line="220" w:lineRule="auto"/>
        <w:ind w:left="557"/>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 主体结构、关键性工作的范围：</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p>
    <w:p w14:paraId="7D235485">
      <w:pPr>
        <w:pStyle w:val="3"/>
        <w:spacing w:line="276" w:lineRule="auto"/>
        <w:rPr>
          <w:color w:val="auto"/>
          <w:highlight w:val="none"/>
        </w:rPr>
      </w:pPr>
    </w:p>
    <w:p w14:paraId="09643B99">
      <w:pPr>
        <w:spacing w:before="79" w:line="224" w:lineRule="auto"/>
        <w:ind w:left="37"/>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3.5.2 分包的确定</w:t>
      </w:r>
    </w:p>
    <w:p w14:paraId="5AEA141F">
      <w:pPr>
        <w:spacing w:before="165" w:line="222" w:lineRule="auto"/>
        <w:ind w:left="54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允许分包的专业工程包括：</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28E01976">
      <w:pPr>
        <w:spacing w:before="167" w:line="189" w:lineRule="auto"/>
        <w:ind w:left="54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其他关于分包的约定：</w:t>
      </w:r>
    </w:p>
    <w:p w14:paraId="71505FE3">
      <w:pPr>
        <w:tabs>
          <w:tab w:val="left" w:pos="6882"/>
        </w:tabs>
        <w:spacing w:before="55"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3B5EF0CF">
      <w:pPr>
        <w:spacing w:before="252" w:line="222" w:lineRule="auto"/>
        <w:ind w:left="37"/>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3.5.4</w:t>
      </w:r>
      <w:r>
        <w:rPr>
          <w:rFonts w:ascii="仿宋" w:hAnsi="仿宋" w:eastAsia="仿宋" w:cs="仿宋"/>
          <w:color w:val="auto"/>
          <w:spacing w:val="50"/>
          <w:sz w:val="24"/>
          <w:szCs w:val="24"/>
          <w:highlight w:val="none"/>
        </w:rPr>
        <w:t xml:space="preserve"> </w:t>
      </w:r>
      <w:r>
        <w:rPr>
          <w:rFonts w:ascii="仿宋" w:hAnsi="仿宋" w:eastAsia="仿宋" w:cs="仿宋"/>
          <w:color w:val="auto"/>
          <w:spacing w:val="-7"/>
          <w:sz w:val="24"/>
          <w:szCs w:val="24"/>
          <w:highlight w:val="none"/>
        </w:rPr>
        <w:t>分包合同价款</w:t>
      </w:r>
    </w:p>
    <w:p w14:paraId="6862EADA">
      <w:pPr>
        <w:spacing w:before="172" w:line="222" w:lineRule="auto"/>
        <w:ind w:left="54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关于分包合同价款支付的约定：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1A6BE483">
      <w:pPr>
        <w:spacing w:before="167" w:line="221" w:lineRule="auto"/>
        <w:ind w:left="3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3.6 工程照管与成品、半成品保护</w:t>
      </w:r>
    </w:p>
    <w:p w14:paraId="2E98FEDF">
      <w:pPr>
        <w:pStyle w:val="3"/>
        <w:spacing w:line="245" w:lineRule="auto"/>
        <w:rPr>
          <w:color w:val="auto"/>
          <w:highlight w:val="none"/>
        </w:rPr>
      </w:pPr>
    </w:p>
    <w:p w14:paraId="2A8921F5">
      <w:pPr>
        <w:spacing w:before="78" w:line="220" w:lineRule="auto"/>
        <w:ind w:left="525"/>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承包人负责照管工程及工程相关的材料、工程设</w:t>
      </w:r>
      <w:r>
        <w:rPr>
          <w:rFonts w:ascii="仿宋" w:hAnsi="仿宋" w:eastAsia="仿宋" w:cs="仿宋"/>
          <w:color w:val="auto"/>
          <w:spacing w:val="-17"/>
          <w:sz w:val="24"/>
          <w:szCs w:val="24"/>
          <w:highlight w:val="none"/>
        </w:rPr>
        <w:t>备的起始时间：</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7"/>
          <w:sz w:val="24"/>
          <w:szCs w:val="24"/>
          <w:highlight w:val="none"/>
        </w:rPr>
        <w:t>。</w:t>
      </w:r>
    </w:p>
    <w:p w14:paraId="64538258">
      <w:pPr>
        <w:spacing w:before="292" w:line="221" w:lineRule="auto"/>
        <w:ind w:left="37"/>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3.7</w:t>
      </w:r>
      <w:r>
        <w:rPr>
          <w:rFonts w:ascii="仿宋" w:hAnsi="仿宋" w:eastAsia="仿宋" w:cs="仿宋"/>
          <w:color w:val="auto"/>
          <w:spacing w:val="44"/>
          <w:sz w:val="24"/>
          <w:szCs w:val="24"/>
          <w:highlight w:val="none"/>
        </w:rPr>
        <w:t xml:space="preserve"> </w:t>
      </w:r>
      <w:r>
        <w:rPr>
          <w:rFonts w:ascii="仿宋" w:hAnsi="仿宋" w:eastAsia="仿宋" w:cs="仿宋"/>
          <w:color w:val="auto"/>
          <w:spacing w:val="-9"/>
          <w:sz w:val="24"/>
          <w:szCs w:val="24"/>
          <w:highlight w:val="none"/>
        </w:rPr>
        <w:t>履约担保</w:t>
      </w:r>
    </w:p>
    <w:p w14:paraId="417E09C6">
      <w:pPr>
        <w:spacing w:line="221" w:lineRule="auto"/>
        <w:rPr>
          <w:rFonts w:ascii="仿宋" w:hAnsi="仿宋" w:eastAsia="仿宋" w:cs="仿宋"/>
          <w:color w:val="auto"/>
          <w:sz w:val="24"/>
          <w:szCs w:val="24"/>
          <w:highlight w:val="none"/>
        </w:rPr>
        <w:sectPr>
          <w:footerReference r:id="rId43" w:type="default"/>
          <w:pgSz w:w="11906" w:h="16840"/>
          <w:pgMar w:top="400" w:right="1634" w:bottom="1174" w:left="1418" w:header="0" w:footer="928" w:gutter="0"/>
          <w:pgNumType w:fmt="decimal"/>
          <w:cols w:space="720" w:num="1"/>
        </w:sectPr>
      </w:pPr>
    </w:p>
    <w:p w14:paraId="2DC57791">
      <w:pPr>
        <w:pStyle w:val="3"/>
        <w:spacing w:line="245" w:lineRule="auto"/>
        <w:rPr>
          <w:color w:val="auto"/>
          <w:highlight w:val="none"/>
        </w:rPr>
      </w:pPr>
    </w:p>
    <w:p w14:paraId="0F0F5E4F">
      <w:pPr>
        <w:pStyle w:val="3"/>
        <w:spacing w:line="246" w:lineRule="auto"/>
        <w:rPr>
          <w:color w:val="auto"/>
          <w:highlight w:val="none"/>
        </w:rPr>
      </w:pPr>
    </w:p>
    <w:p w14:paraId="1EB51F0C">
      <w:pPr>
        <w:pStyle w:val="3"/>
        <w:spacing w:line="246" w:lineRule="auto"/>
        <w:rPr>
          <w:color w:val="auto"/>
          <w:highlight w:val="none"/>
        </w:rPr>
      </w:pPr>
    </w:p>
    <w:p w14:paraId="0A2518F2">
      <w:pPr>
        <w:pStyle w:val="3"/>
        <w:spacing w:line="246" w:lineRule="auto"/>
        <w:rPr>
          <w:color w:val="auto"/>
          <w:highlight w:val="none"/>
        </w:rPr>
      </w:pPr>
    </w:p>
    <w:p w14:paraId="522436C7">
      <w:pPr>
        <w:spacing w:before="78" w:line="221" w:lineRule="auto"/>
        <w:ind w:left="525"/>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承包人是否提供履约担保：</w:t>
      </w:r>
      <w:r>
        <w:rPr>
          <w:rFonts w:ascii="仿宋" w:hAnsi="仿宋" w:eastAsia="仿宋" w:cs="仿宋"/>
          <w:color w:val="auto"/>
          <w:sz w:val="24"/>
          <w:szCs w:val="24"/>
          <w:highlight w:val="none"/>
          <w:u w:val="single" w:color="auto"/>
        </w:rPr>
        <w:t xml:space="preserve">                                         </w:t>
      </w:r>
    </w:p>
    <w:p w14:paraId="326226E6">
      <w:pPr>
        <w:spacing w:before="127" w:line="221" w:lineRule="auto"/>
        <w:ind w:left="543"/>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 承包人提供履约担保的形式、金额及期限的：</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2BC79612">
      <w:pPr>
        <w:spacing w:before="197" w:line="227" w:lineRule="auto"/>
        <w:ind w:left="22"/>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4.</w:t>
      </w:r>
      <w:r>
        <w:rPr>
          <w:rFonts w:ascii="仿宋" w:hAnsi="仿宋" w:eastAsia="仿宋" w:cs="仿宋"/>
          <w:color w:val="auto"/>
          <w:spacing w:val="41"/>
          <w:sz w:val="24"/>
          <w:szCs w:val="24"/>
          <w:highlight w:val="none"/>
        </w:rPr>
        <w:t xml:space="preserve"> </w:t>
      </w:r>
      <w:r>
        <w:rPr>
          <w:rFonts w:ascii="仿宋" w:hAnsi="仿宋" w:eastAsia="仿宋" w:cs="仿宋"/>
          <w:b/>
          <w:bCs/>
          <w:color w:val="auto"/>
          <w:spacing w:val="-12"/>
          <w:sz w:val="24"/>
          <w:szCs w:val="24"/>
          <w:highlight w:val="none"/>
        </w:rPr>
        <w:t>监理人</w:t>
      </w:r>
    </w:p>
    <w:p w14:paraId="1EC02960">
      <w:pPr>
        <w:spacing w:before="281" w:line="224" w:lineRule="auto"/>
        <w:ind w:left="22"/>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4.1 监理人的一般规定</w:t>
      </w:r>
    </w:p>
    <w:p w14:paraId="5D47E8FA">
      <w:pPr>
        <w:spacing w:before="316" w:line="222" w:lineRule="auto"/>
        <w:ind w:left="546"/>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关于监理人的监理内容：</w:t>
      </w:r>
      <w:r>
        <w:rPr>
          <w:rFonts w:ascii="仿宋" w:hAnsi="仿宋" w:eastAsia="仿宋" w:cs="仿宋"/>
          <w:color w:val="auto"/>
          <w:sz w:val="24"/>
          <w:szCs w:val="24"/>
          <w:highlight w:val="none"/>
          <w:u w:val="single" w:color="auto"/>
        </w:rPr>
        <w:t xml:space="preserve">                                           </w:t>
      </w:r>
    </w:p>
    <w:p w14:paraId="321578CB">
      <w:pPr>
        <w:spacing w:before="131" w:line="222" w:lineRule="auto"/>
        <w:ind w:left="557"/>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 关于监理人的监理权限：</w:t>
      </w:r>
      <w:r>
        <w:rPr>
          <w:rFonts w:ascii="仿宋" w:hAnsi="仿宋" w:eastAsia="仿宋" w:cs="仿宋"/>
          <w:color w:val="auto"/>
          <w:sz w:val="24"/>
          <w:szCs w:val="24"/>
          <w:highlight w:val="none"/>
          <w:u w:val="single" w:color="auto"/>
        </w:rPr>
        <w:t xml:space="preserve">                                          </w:t>
      </w:r>
    </w:p>
    <w:p w14:paraId="7A4CFD01">
      <w:pPr>
        <w:spacing w:before="289" w:line="115" w:lineRule="exact"/>
        <w:ind w:left="557"/>
        <w:rPr>
          <w:rFonts w:ascii="仿宋" w:hAnsi="仿宋" w:eastAsia="仿宋" w:cs="仿宋"/>
          <w:color w:val="auto"/>
          <w:sz w:val="24"/>
          <w:szCs w:val="24"/>
          <w:highlight w:val="none"/>
        </w:rPr>
      </w:pPr>
      <w:r>
        <w:rPr>
          <w:rFonts w:ascii="仿宋" w:hAnsi="仿宋" w:eastAsia="仿宋" w:cs="仿宋"/>
          <w:color w:val="auto"/>
          <w:position w:val="2"/>
          <w:sz w:val="24"/>
          <w:szCs w:val="24"/>
          <w:highlight w:val="none"/>
        </w:rPr>
        <w:t>。</w:t>
      </w:r>
    </w:p>
    <w:p w14:paraId="0100E73E">
      <w:pPr>
        <w:spacing w:before="184" w:line="219" w:lineRule="auto"/>
        <w:ind w:left="54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关于监理人在施工现场的办公场所、生活场所的提供和费用承担的约定：</w:t>
      </w:r>
      <w:r>
        <w:rPr>
          <w:rFonts w:ascii="仿宋" w:hAnsi="仿宋" w:eastAsia="仿宋" w:cs="仿宋"/>
          <w:color w:val="auto"/>
          <w:spacing w:val="-4"/>
          <w:sz w:val="24"/>
          <w:szCs w:val="24"/>
          <w:highlight w:val="none"/>
          <w:u w:val="single" w:color="auto"/>
        </w:rPr>
        <w:t xml:space="preserve">        </w:t>
      </w:r>
    </w:p>
    <w:p w14:paraId="45B7DED8">
      <w:pPr>
        <w:tabs>
          <w:tab w:val="left" w:pos="6837"/>
        </w:tabs>
        <w:spacing w:before="17"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7"/>
          <w:sz w:val="6"/>
          <w:szCs w:val="6"/>
          <w:highlight w:val="none"/>
        </w:rPr>
        <w:t xml:space="preserve"> </w:t>
      </w:r>
      <w:r>
        <w:rPr>
          <w:rFonts w:ascii="仿宋" w:hAnsi="仿宋" w:eastAsia="仿宋" w:cs="仿宋"/>
          <w:color w:val="auto"/>
          <w:sz w:val="6"/>
          <w:szCs w:val="6"/>
          <w:highlight w:val="none"/>
        </w:rPr>
        <w:t>。</w:t>
      </w:r>
    </w:p>
    <w:p w14:paraId="6AD5069D">
      <w:pPr>
        <w:spacing w:before="255" w:line="224" w:lineRule="auto"/>
        <w:ind w:left="22"/>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4.2</w:t>
      </w:r>
      <w:r>
        <w:rPr>
          <w:rFonts w:ascii="仿宋" w:hAnsi="仿宋" w:eastAsia="仿宋" w:cs="仿宋"/>
          <w:color w:val="auto"/>
          <w:spacing w:val="52"/>
          <w:sz w:val="24"/>
          <w:szCs w:val="24"/>
          <w:highlight w:val="none"/>
        </w:rPr>
        <w:t xml:space="preserve"> </w:t>
      </w:r>
      <w:r>
        <w:rPr>
          <w:rFonts w:ascii="仿宋" w:hAnsi="仿宋" w:eastAsia="仿宋" w:cs="仿宋"/>
          <w:color w:val="auto"/>
          <w:spacing w:val="-8"/>
          <w:sz w:val="24"/>
          <w:szCs w:val="24"/>
          <w:highlight w:val="none"/>
        </w:rPr>
        <w:t>监理人员</w:t>
      </w:r>
    </w:p>
    <w:p w14:paraId="33D9FA94">
      <w:pPr>
        <w:spacing w:before="284" w:line="222" w:lineRule="auto"/>
        <w:ind w:left="556"/>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总监理工程师：</w:t>
      </w:r>
    </w:p>
    <w:p w14:paraId="50B814C3">
      <w:pPr>
        <w:spacing w:before="182" w:line="222" w:lineRule="auto"/>
        <w:ind w:left="525"/>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姓</w:t>
      </w:r>
      <w:r>
        <w:rPr>
          <w:rFonts w:ascii="仿宋" w:hAnsi="仿宋" w:eastAsia="仿宋" w:cs="仿宋"/>
          <w:color w:val="auto"/>
          <w:spacing w:val="4"/>
          <w:sz w:val="24"/>
          <w:szCs w:val="24"/>
          <w:highlight w:val="none"/>
        </w:rPr>
        <w:t xml:space="preserve">    </w:t>
      </w:r>
      <w:r>
        <w:rPr>
          <w:rFonts w:ascii="仿宋" w:hAnsi="仿宋" w:eastAsia="仿宋" w:cs="仿宋"/>
          <w:color w:val="auto"/>
          <w:spacing w:val="-17"/>
          <w:sz w:val="24"/>
          <w:szCs w:val="24"/>
          <w:highlight w:val="none"/>
        </w:rPr>
        <w:t>名</w:t>
      </w:r>
      <w:r>
        <w:rPr>
          <w:rFonts w:ascii="仿宋" w:hAnsi="仿宋" w:eastAsia="仿宋" w:cs="仿宋"/>
          <w:color w:val="auto"/>
          <w:spacing w:val="-14"/>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4"/>
          <w:sz w:val="24"/>
          <w:szCs w:val="24"/>
          <w:highlight w:val="none"/>
        </w:rPr>
        <w:t>；</w:t>
      </w:r>
    </w:p>
    <w:p w14:paraId="4BB089E3">
      <w:pPr>
        <w:spacing w:before="165" w:line="222" w:lineRule="auto"/>
        <w:ind w:left="521"/>
        <w:rPr>
          <w:rFonts w:ascii="仿宋" w:hAnsi="仿宋" w:eastAsia="仿宋" w:cs="仿宋"/>
          <w:color w:val="auto"/>
          <w:sz w:val="24"/>
          <w:szCs w:val="24"/>
          <w:highlight w:val="none"/>
        </w:rPr>
      </w:pPr>
      <w:r>
        <w:rPr>
          <w:rFonts w:ascii="仿宋" w:hAnsi="仿宋" w:eastAsia="仿宋" w:cs="仿宋"/>
          <w:color w:val="auto"/>
          <w:spacing w:val="-19"/>
          <w:sz w:val="24"/>
          <w:szCs w:val="24"/>
          <w:highlight w:val="none"/>
        </w:rPr>
        <w:t>职</w:t>
      </w:r>
      <w:r>
        <w:rPr>
          <w:rFonts w:ascii="仿宋" w:hAnsi="仿宋" w:eastAsia="仿宋" w:cs="仿宋"/>
          <w:color w:val="auto"/>
          <w:spacing w:val="6"/>
          <w:sz w:val="24"/>
          <w:szCs w:val="24"/>
          <w:highlight w:val="none"/>
        </w:rPr>
        <w:t xml:space="preserve">    </w:t>
      </w:r>
      <w:r>
        <w:rPr>
          <w:rFonts w:ascii="仿宋" w:hAnsi="仿宋" w:eastAsia="仿宋" w:cs="仿宋"/>
          <w:color w:val="auto"/>
          <w:spacing w:val="-19"/>
          <w:sz w:val="24"/>
          <w:szCs w:val="24"/>
          <w:highlight w:val="none"/>
        </w:rPr>
        <w:t>务</w:t>
      </w:r>
      <w:r>
        <w:rPr>
          <w:rFonts w:ascii="仿宋" w:hAnsi="仿宋" w:eastAsia="仿宋" w:cs="仿宋"/>
          <w:color w:val="auto"/>
          <w:spacing w:val="-1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5"/>
          <w:sz w:val="24"/>
          <w:szCs w:val="24"/>
          <w:highlight w:val="none"/>
        </w:rPr>
        <w:t>；</w:t>
      </w:r>
    </w:p>
    <w:p w14:paraId="298DA499">
      <w:pPr>
        <w:spacing w:before="182" w:line="222" w:lineRule="auto"/>
        <w:ind w:left="531"/>
        <w:rPr>
          <w:rFonts w:ascii="仿宋" w:hAnsi="仿宋" w:eastAsia="仿宋" w:cs="仿宋"/>
          <w:color w:val="auto"/>
          <w:sz w:val="24"/>
          <w:szCs w:val="24"/>
          <w:highlight w:val="none"/>
        </w:rPr>
      </w:pPr>
      <w:r>
        <w:rPr>
          <w:rFonts w:ascii="仿宋" w:hAnsi="仿宋" w:eastAsia="仿宋" w:cs="仿宋"/>
          <w:color w:val="auto"/>
          <w:spacing w:val="-18"/>
          <w:sz w:val="24"/>
          <w:szCs w:val="24"/>
          <w:highlight w:val="none"/>
        </w:rPr>
        <w:t>监理工程师执业资格证书号</w:t>
      </w:r>
      <w:r>
        <w:rPr>
          <w:rFonts w:ascii="仿宋" w:hAnsi="仿宋" w:eastAsia="仿宋" w:cs="仿宋"/>
          <w:color w:val="auto"/>
          <w:spacing w:val="-15"/>
          <w:sz w:val="24"/>
          <w:szCs w:val="24"/>
          <w:highlight w:val="none"/>
        </w:rPr>
        <w:t>：</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9"/>
          <w:sz w:val="24"/>
          <w:szCs w:val="24"/>
          <w:highlight w:val="none"/>
        </w:rPr>
        <w:t xml:space="preserve"> </w:t>
      </w:r>
      <w:r>
        <w:rPr>
          <w:rFonts w:ascii="仿宋" w:hAnsi="仿宋" w:eastAsia="仿宋" w:cs="仿宋"/>
          <w:color w:val="auto"/>
          <w:spacing w:val="-15"/>
          <w:sz w:val="24"/>
          <w:szCs w:val="24"/>
          <w:highlight w:val="none"/>
        </w:rPr>
        <w:t>；</w:t>
      </w:r>
    </w:p>
    <w:p w14:paraId="2FBDA51A">
      <w:pPr>
        <w:spacing w:before="184" w:line="222" w:lineRule="auto"/>
        <w:ind w:left="625"/>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联系电话</w:t>
      </w:r>
      <w:r>
        <w:rPr>
          <w:rFonts w:ascii="仿宋" w:hAnsi="仿宋" w:eastAsia="仿宋" w:cs="仿宋"/>
          <w:color w:val="auto"/>
          <w:spacing w:val="-17"/>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3"/>
          <w:sz w:val="24"/>
          <w:szCs w:val="24"/>
          <w:highlight w:val="none"/>
        </w:rPr>
        <w:t xml:space="preserve"> </w:t>
      </w:r>
      <w:r>
        <w:rPr>
          <w:rFonts w:ascii="仿宋" w:hAnsi="仿宋" w:eastAsia="仿宋" w:cs="仿宋"/>
          <w:color w:val="auto"/>
          <w:spacing w:val="-17"/>
          <w:sz w:val="24"/>
          <w:szCs w:val="24"/>
          <w:highlight w:val="none"/>
        </w:rPr>
        <w:t>；</w:t>
      </w:r>
    </w:p>
    <w:p w14:paraId="307D7821">
      <w:pPr>
        <w:spacing w:before="184" w:line="221" w:lineRule="auto"/>
        <w:ind w:left="551"/>
        <w:rPr>
          <w:rFonts w:ascii="仿宋" w:hAnsi="仿宋" w:eastAsia="仿宋" w:cs="仿宋"/>
          <w:color w:val="auto"/>
          <w:sz w:val="24"/>
          <w:szCs w:val="24"/>
          <w:highlight w:val="none"/>
        </w:rPr>
      </w:pPr>
      <w:r>
        <w:rPr>
          <w:rFonts w:ascii="仿宋" w:hAnsi="仿宋" w:eastAsia="仿宋" w:cs="仿宋"/>
          <w:color w:val="auto"/>
          <w:spacing w:val="-24"/>
          <w:sz w:val="24"/>
          <w:szCs w:val="24"/>
          <w:highlight w:val="none"/>
        </w:rPr>
        <w:t>电子信箱</w:t>
      </w:r>
      <w:r>
        <w:rPr>
          <w:rFonts w:ascii="仿宋" w:hAnsi="仿宋" w:eastAsia="仿宋" w:cs="仿宋"/>
          <w:color w:val="auto"/>
          <w:spacing w:val="-16"/>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2"/>
          <w:sz w:val="24"/>
          <w:szCs w:val="24"/>
          <w:highlight w:val="none"/>
        </w:rPr>
        <w:t xml:space="preserve"> </w:t>
      </w:r>
      <w:r>
        <w:rPr>
          <w:rFonts w:ascii="仿宋" w:hAnsi="仿宋" w:eastAsia="仿宋" w:cs="仿宋"/>
          <w:color w:val="auto"/>
          <w:spacing w:val="-16"/>
          <w:sz w:val="24"/>
          <w:szCs w:val="24"/>
          <w:highlight w:val="none"/>
        </w:rPr>
        <w:t>；</w:t>
      </w:r>
    </w:p>
    <w:p w14:paraId="6B1202CD">
      <w:pPr>
        <w:spacing w:before="183" w:line="222" w:lineRule="auto"/>
        <w:ind w:left="529"/>
        <w:rPr>
          <w:rFonts w:ascii="仿宋" w:hAnsi="仿宋" w:eastAsia="仿宋" w:cs="仿宋"/>
          <w:color w:val="auto"/>
          <w:sz w:val="24"/>
          <w:szCs w:val="24"/>
          <w:highlight w:val="none"/>
        </w:rPr>
      </w:pPr>
      <w:r>
        <w:rPr>
          <w:rFonts w:ascii="仿宋" w:hAnsi="仿宋" w:eastAsia="仿宋" w:cs="仿宋"/>
          <w:color w:val="auto"/>
          <w:spacing w:val="-18"/>
          <w:sz w:val="24"/>
          <w:szCs w:val="24"/>
          <w:highlight w:val="none"/>
        </w:rPr>
        <w:t>通信地址</w:t>
      </w:r>
      <w:r>
        <w:rPr>
          <w:rFonts w:ascii="仿宋" w:hAnsi="仿宋" w:eastAsia="仿宋" w:cs="仿宋"/>
          <w:color w:val="auto"/>
          <w:spacing w:val="-17"/>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2"/>
          <w:sz w:val="24"/>
          <w:szCs w:val="24"/>
          <w:highlight w:val="none"/>
        </w:rPr>
        <w:t xml:space="preserve"> </w:t>
      </w:r>
      <w:r>
        <w:rPr>
          <w:rFonts w:ascii="仿宋" w:hAnsi="仿宋" w:eastAsia="仿宋" w:cs="仿宋"/>
          <w:color w:val="auto"/>
          <w:spacing w:val="-17"/>
          <w:sz w:val="24"/>
          <w:szCs w:val="24"/>
          <w:highlight w:val="none"/>
        </w:rPr>
        <w:t>；</w:t>
      </w:r>
    </w:p>
    <w:p w14:paraId="27613B96">
      <w:pPr>
        <w:spacing w:before="184" w:line="222" w:lineRule="auto"/>
        <w:ind w:left="531"/>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关于监理人的其他约定：</w:t>
      </w:r>
      <w:r>
        <w:rPr>
          <w:rFonts w:ascii="仿宋" w:hAnsi="仿宋" w:eastAsia="仿宋" w:cs="仿宋"/>
          <w:color w:val="auto"/>
          <w:spacing w:val="-11"/>
          <w:sz w:val="24"/>
          <w:szCs w:val="24"/>
          <w:highlight w:val="none"/>
          <w:u w:val="single" w:color="auto"/>
        </w:rPr>
        <w:t xml:space="preserve">                  </w:t>
      </w:r>
      <w:r>
        <w:rPr>
          <w:rFonts w:ascii="仿宋" w:hAnsi="仿宋" w:eastAsia="仿宋" w:cs="仿宋"/>
          <w:color w:val="auto"/>
          <w:spacing w:val="-12"/>
          <w:sz w:val="24"/>
          <w:szCs w:val="24"/>
          <w:highlight w:val="none"/>
          <w:u w:val="single" w:color="auto"/>
        </w:rPr>
        <w:t xml:space="preserve">    </w:t>
      </w:r>
      <w:r>
        <w:rPr>
          <w:rFonts w:ascii="仿宋" w:hAnsi="仿宋" w:eastAsia="仿宋" w:cs="仿宋"/>
          <w:color w:val="auto"/>
          <w:spacing w:val="-12"/>
          <w:sz w:val="24"/>
          <w:szCs w:val="24"/>
          <w:highlight w:val="none"/>
        </w:rPr>
        <w:t>。</w:t>
      </w:r>
    </w:p>
    <w:p w14:paraId="55623112">
      <w:pPr>
        <w:pStyle w:val="3"/>
        <w:spacing w:line="332" w:lineRule="auto"/>
        <w:rPr>
          <w:color w:val="auto"/>
          <w:highlight w:val="none"/>
        </w:rPr>
      </w:pPr>
    </w:p>
    <w:p w14:paraId="2B2FEC41">
      <w:pPr>
        <w:spacing w:before="78" w:line="223" w:lineRule="auto"/>
        <w:ind w:left="22"/>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4.4</w:t>
      </w:r>
      <w:r>
        <w:rPr>
          <w:rFonts w:ascii="仿宋" w:hAnsi="仿宋" w:eastAsia="仿宋" w:cs="仿宋"/>
          <w:color w:val="auto"/>
          <w:spacing w:val="60"/>
          <w:sz w:val="24"/>
          <w:szCs w:val="24"/>
          <w:highlight w:val="none"/>
        </w:rPr>
        <w:t xml:space="preserve"> </w:t>
      </w:r>
      <w:r>
        <w:rPr>
          <w:rFonts w:ascii="仿宋" w:hAnsi="仿宋" w:eastAsia="仿宋" w:cs="仿宋"/>
          <w:color w:val="auto"/>
          <w:spacing w:val="-8"/>
          <w:sz w:val="24"/>
          <w:szCs w:val="24"/>
          <w:highlight w:val="none"/>
        </w:rPr>
        <w:t>商定或确定</w:t>
      </w:r>
    </w:p>
    <w:p w14:paraId="1D876C36">
      <w:pPr>
        <w:spacing w:before="283" w:line="224" w:lineRule="auto"/>
        <w:ind w:left="20" w:right="16" w:hanging="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在发包人和承包人不能通过协商达成一致意见时，发包人授权监理人对以下事项进行确</w:t>
      </w:r>
      <w:r>
        <w:rPr>
          <w:rFonts w:ascii="仿宋" w:hAnsi="仿宋" w:eastAsia="仿宋" w:cs="仿宋"/>
          <w:color w:val="auto"/>
          <w:spacing w:val="-11"/>
          <w:sz w:val="24"/>
          <w:szCs w:val="24"/>
          <w:highlight w:val="none"/>
        </w:rPr>
        <w:t>定：</w:t>
      </w:r>
    </w:p>
    <w:sdt>
      <w:sdtPr>
        <w:rPr>
          <w:rFonts w:ascii="仿宋" w:hAnsi="仿宋" w:eastAsia="仿宋" w:cs="仿宋"/>
          <w:color w:val="auto"/>
          <w:sz w:val="24"/>
          <w:szCs w:val="24"/>
          <w:highlight w:val="none"/>
        </w:rPr>
        <w:id w:val="147476795"/>
        <w:docPartObj>
          <w:docPartGallery w:val="Table of Contents"/>
          <w:docPartUnique/>
        </w:docPartObj>
      </w:sdtPr>
      <w:sdtEndPr>
        <w:rPr>
          <w:rFonts w:ascii="仿宋" w:hAnsi="仿宋" w:eastAsia="仿宋" w:cs="仿宋"/>
          <w:color w:val="auto"/>
          <w:sz w:val="24"/>
          <w:szCs w:val="24"/>
          <w:highlight w:val="none"/>
        </w:rPr>
      </w:sdtEndPr>
      <w:sdtContent>
        <w:p w14:paraId="291EAA45">
          <w:pPr>
            <w:spacing w:before="194" w:line="224" w:lineRule="auto"/>
            <w:ind w:left="571"/>
            <w:rPr>
              <w:rFonts w:ascii="仿宋" w:hAnsi="仿宋" w:eastAsia="仿宋" w:cs="仿宋"/>
              <w:color w:val="auto"/>
              <w:sz w:val="24"/>
              <w:szCs w:val="24"/>
              <w:highlight w:val="none"/>
            </w:rPr>
          </w:pPr>
          <w:r>
            <w:rPr>
              <w:rFonts w:ascii="仿宋" w:hAnsi="仿宋" w:eastAsia="仿宋" w:cs="仿宋"/>
              <w:color w:val="auto"/>
              <w:spacing w:val="-24"/>
              <w:sz w:val="24"/>
              <w:szCs w:val="24"/>
              <w:highlight w:val="none"/>
            </w:rPr>
            <w:t>(1)</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4"/>
              <w:sz w:val="24"/>
              <w:szCs w:val="24"/>
              <w:highlight w:val="none"/>
              <w:u w:val="single" w:color="auto"/>
            </w:rPr>
            <w:t>;</w:t>
          </w:r>
          <w:r>
            <w:rPr>
              <w:rFonts w:ascii="仿宋" w:hAnsi="仿宋" w:eastAsia="仿宋" w:cs="仿宋"/>
              <w:color w:val="auto"/>
              <w:spacing w:val="61"/>
              <w:sz w:val="24"/>
              <w:szCs w:val="24"/>
              <w:highlight w:val="none"/>
            </w:rPr>
            <w:t xml:space="preserve"> </w:t>
          </w:r>
          <w:r>
            <w:rPr>
              <w:rFonts w:ascii="仿宋" w:hAnsi="仿宋" w:eastAsia="仿宋" w:cs="仿宋"/>
              <w:color w:val="auto"/>
              <w:spacing w:val="-24"/>
              <w:sz w:val="24"/>
              <w:szCs w:val="24"/>
              <w:highlight w:val="none"/>
            </w:rPr>
            <w:t>(</w:t>
          </w:r>
          <w:r>
            <w:rPr>
              <w:color w:val="auto"/>
              <w:highlight w:val="none"/>
            </w:rPr>
            <w:fldChar w:fldCharType="begin"/>
          </w:r>
          <w:r>
            <w:rPr>
              <w:color w:val="auto"/>
              <w:highlight w:val="none"/>
            </w:rPr>
            <w:instrText xml:space="preserve"> HYPERLINK \l "bookmark42" </w:instrText>
          </w:r>
          <w:r>
            <w:rPr>
              <w:color w:val="auto"/>
              <w:highlight w:val="none"/>
            </w:rPr>
            <w:fldChar w:fldCharType="separate"/>
          </w:r>
          <w:r>
            <w:rPr>
              <w:rFonts w:ascii="仿宋" w:hAnsi="仿宋" w:eastAsia="仿宋" w:cs="仿宋"/>
              <w:color w:val="auto"/>
              <w:spacing w:val="-24"/>
              <w:sz w:val="24"/>
              <w:szCs w:val="24"/>
              <w:highlight w:val="none"/>
            </w:rPr>
            <w:t>2</w:t>
          </w:r>
          <w:r>
            <w:rPr>
              <w:rFonts w:ascii="仿宋" w:hAnsi="仿宋" w:eastAsia="仿宋" w:cs="仿宋"/>
              <w:color w:val="auto"/>
              <w:spacing w:val="-24"/>
              <w:sz w:val="24"/>
              <w:szCs w:val="24"/>
              <w:highlight w:val="none"/>
            </w:rPr>
            <w:fldChar w:fldCharType="end"/>
          </w:r>
          <w:r>
            <w:rPr>
              <w:rFonts w:ascii="仿宋" w:hAnsi="仿宋" w:eastAsia="仿宋" w:cs="仿宋"/>
              <w:color w:val="auto"/>
              <w:spacing w:val="-24"/>
              <w:sz w:val="24"/>
              <w:szCs w:val="24"/>
              <w:highlight w:val="none"/>
            </w:rPr>
            <w:t>)</w:t>
          </w:r>
        </w:p>
        <w:p w14:paraId="07A8FC36">
          <w:pPr>
            <w:spacing w:before="152" w:line="224" w:lineRule="auto"/>
            <w:ind w:left="554"/>
            <w:rPr>
              <w:rFonts w:ascii="仿宋" w:hAnsi="仿宋" w:eastAsia="仿宋" w:cs="仿宋"/>
              <w:color w:val="auto"/>
              <w:sz w:val="24"/>
              <w:szCs w:val="24"/>
              <w:highlight w:val="none"/>
            </w:rPr>
          </w:pPr>
          <w:r>
            <w:rPr>
              <w:rFonts w:ascii="仿宋" w:hAnsi="仿宋" w:eastAsia="仿宋" w:cs="仿宋"/>
              <w:color w:val="auto"/>
              <w:spacing w:val="-21"/>
              <w:sz w:val="24"/>
              <w:szCs w:val="24"/>
              <w:highlight w:val="none"/>
              <w:u w:val="single" w:color="auto"/>
            </w:rPr>
            <w:t>;</w:t>
          </w:r>
          <w:r>
            <w:rPr>
              <w:rFonts w:ascii="仿宋" w:hAnsi="仿宋" w:eastAsia="仿宋" w:cs="仿宋"/>
              <w:color w:val="auto"/>
              <w:spacing w:val="56"/>
              <w:sz w:val="24"/>
              <w:szCs w:val="24"/>
              <w:highlight w:val="none"/>
            </w:rPr>
            <w:t xml:space="preserve"> </w:t>
          </w:r>
          <w:r>
            <w:rPr>
              <w:rFonts w:ascii="仿宋" w:hAnsi="仿宋" w:eastAsia="仿宋" w:cs="仿宋"/>
              <w:color w:val="auto"/>
              <w:spacing w:val="-21"/>
              <w:sz w:val="24"/>
              <w:szCs w:val="24"/>
              <w:highlight w:val="none"/>
            </w:rPr>
            <w:t>(3)</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21"/>
              <w:sz w:val="24"/>
              <w:szCs w:val="24"/>
              <w:highlight w:val="none"/>
              <w:u w:val="single" w:color="auto"/>
            </w:rPr>
            <w:t>.</w:t>
          </w:r>
        </w:p>
      </w:sdtContent>
    </w:sdt>
    <w:p w14:paraId="5F8E7800">
      <w:pPr>
        <w:spacing w:before="278" w:line="223" w:lineRule="auto"/>
        <w:ind w:left="37"/>
        <w:rPr>
          <w:rFonts w:ascii="仿宋" w:hAnsi="仿宋" w:eastAsia="仿宋" w:cs="仿宋"/>
          <w:color w:val="auto"/>
          <w:sz w:val="24"/>
          <w:szCs w:val="24"/>
          <w:highlight w:val="none"/>
        </w:rPr>
      </w:pPr>
      <w:r>
        <w:rPr>
          <w:rFonts w:ascii="仿宋" w:hAnsi="仿宋" w:eastAsia="仿宋" w:cs="仿宋"/>
          <w:b/>
          <w:bCs/>
          <w:color w:val="auto"/>
          <w:spacing w:val="-14"/>
          <w:sz w:val="24"/>
          <w:szCs w:val="24"/>
          <w:highlight w:val="none"/>
        </w:rPr>
        <w:t>5.</w:t>
      </w:r>
      <w:r>
        <w:rPr>
          <w:rFonts w:ascii="仿宋" w:hAnsi="仿宋" w:eastAsia="仿宋" w:cs="仿宋"/>
          <w:color w:val="auto"/>
          <w:spacing w:val="47"/>
          <w:sz w:val="24"/>
          <w:szCs w:val="24"/>
          <w:highlight w:val="none"/>
        </w:rPr>
        <w:t xml:space="preserve"> </w:t>
      </w:r>
      <w:r>
        <w:rPr>
          <w:rFonts w:ascii="仿宋" w:hAnsi="仿宋" w:eastAsia="仿宋" w:cs="仿宋"/>
          <w:b/>
          <w:bCs/>
          <w:color w:val="auto"/>
          <w:spacing w:val="-14"/>
          <w:sz w:val="24"/>
          <w:szCs w:val="24"/>
          <w:highlight w:val="none"/>
        </w:rPr>
        <w:t>工程质量</w:t>
      </w:r>
    </w:p>
    <w:p w14:paraId="2FEA9192">
      <w:pPr>
        <w:spacing w:before="284" w:line="222" w:lineRule="auto"/>
        <w:ind w:left="37"/>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5.1</w:t>
      </w:r>
      <w:r>
        <w:rPr>
          <w:rFonts w:ascii="仿宋" w:hAnsi="仿宋" w:eastAsia="仿宋" w:cs="仿宋"/>
          <w:color w:val="auto"/>
          <w:spacing w:val="53"/>
          <w:sz w:val="24"/>
          <w:szCs w:val="24"/>
          <w:highlight w:val="none"/>
        </w:rPr>
        <w:t xml:space="preserve"> </w:t>
      </w:r>
      <w:r>
        <w:rPr>
          <w:rFonts w:ascii="仿宋" w:hAnsi="仿宋" w:eastAsia="仿宋" w:cs="仿宋"/>
          <w:color w:val="auto"/>
          <w:spacing w:val="-10"/>
          <w:sz w:val="24"/>
          <w:szCs w:val="24"/>
          <w:highlight w:val="none"/>
        </w:rPr>
        <w:t>质量要求</w:t>
      </w:r>
    </w:p>
    <w:p w14:paraId="3289AE3F">
      <w:pPr>
        <w:spacing w:before="290" w:line="189" w:lineRule="auto"/>
        <w:ind w:left="3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5.1.1 特殊质量标准和要求：</w:t>
      </w:r>
    </w:p>
    <w:p w14:paraId="191FBC3D">
      <w:pPr>
        <w:tabs>
          <w:tab w:val="left" w:pos="6882"/>
        </w:tabs>
        <w:spacing w:before="54"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1B81117B">
      <w:pPr>
        <w:spacing w:before="252" w:line="222" w:lineRule="auto"/>
        <w:ind w:left="54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关于工程奖项的约定：</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4"/>
          <w:sz w:val="24"/>
          <w:szCs w:val="24"/>
          <w:highlight w:val="none"/>
          <w:u w:val="single" w:color="auto"/>
        </w:rPr>
        <w:t xml:space="preserve">                        </w:t>
      </w:r>
    </w:p>
    <w:p w14:paraId="117600F7">
      <w:pPr>
        <w:pStyle w:val="3"/>
        <w:spacing w:line="331" w:lineRule="auto"/>
        <w:rPr>
          <w:color w:val="auto"/>
          <w:highlight w:val="none"/>
        </w:rPr>
      </w:pPr>
    </w:p>
    <w:p w14:paraId="22E2FB77">
      <w:pPr>
        <w:tabs>
          <w:tab w:val="left" w:pos="6837"/>
        </w:tabs>
        <w:spacing w:before="2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8"/>
          <w:w w:val="101"/>
          <w:sz w:val="6"/>
          <w:szCs w:val="6"/>
          <w:highlight w:val="none"/>
        </w:rPr>
        <w:t xml:space="preserve"> </w:t>
      </w:r>
      <w:r>
        <w:rPr>
          <w:rFonts w:ascii="仿宋" w:hAnsi="仿宋" w:eastAsia="仿宋" w:cs="仿宋"/>
          <w:color w:val="auto"/>
          <w:sz w:val="6"/>
          <w:szCs w:val="6"/>
          <w:highlight w:val="none"/>
        </w:rPr>
        <w:t>。</w:t>
      </w:r>
    </w:p>
    <w:p w14:paraId="58434416">
      <w:pPr>
        <w:spacing w:before="244" w:line="220" w:lineRule="auto"/>
        <w:ind w:left="37"/>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5.3</w:t>
      </w:r>
      <w:r>
        <w:rPr>
          <w:rFonts w:ascii="仿宋" w:hAnsi="仿宋" w:eastAsia="仿宋" w:cs="仿宋"/>
          <w:color w:val="auto"/>
          <w:spacing w:val="73"/>
          <w:sz w:val="24"/>
          <w:szCs w:val="24"/>
          <w:highlight w:val="none"/>
        </w:rPr>
        <w:t xml:space="preserve"> </w:t>
      </w:r>
      <w:r>
        <w:rPr>
          <w:rFonts w:ascii="仿宋" w:hAnsi="仿宋" w:eastAsia="仿宋" w:cs="仿宋"/>
          <w:color w:val="auto"/>
          <w:spacing w:val="-10"/>
          <w:sz w:val="24"/>
          <w:szCs w:val="24"/>
          <w:highlight w:val="none"/>
        </w:rPr>
        <w:t>隐蔽工程检查</w:t>
      </w:r>
    </w:p>
    <w:p w14:paraId="7AC15E5D">
      <w:pPr>
        <w:spacing w:line="220" w:lineRule="auto"/>
        <w:rPr>
          <w:rFonts w:ascii="仿宋" w:hAnsi="仿宋" w:eastAsia="仿宋" w:cs="仿宋"/>
          <w:color w:val="auto"/>
          <w:sz w:val="24"/>
          <w:szCs w:val="24"/>
          <w:highlight w:val="none"/>
        </w:rPr>
        <w:sectPr>
          <w:footerReference r:id="rId44" w:type="default"/>
          <w:pgSz w:w="11906" w:h="16840"/>
          <w:pgMar w:top="400" w:right="1445" w:bottom="1174" w:left="1418" w:header="0" w:footer="928" w:gutter="0"/>
          <w:pgNumType w:fmt="decimal"/>
          <w:cols w:space="720" w:num="1"/>
        </w:sectPr>
      </w:pPr>
    </w:p>
    <w:p w14:paraId="52025E5F">
      <w:pPr>
        <w:spacing w:before="254" w:line="220" w:lineRule="auto"/>
        <w:ind w:left="54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监理人不能按时进行检查时，应提前</w:t>
      </w:r>
      <w:r>
        <w:rPr>
          <w:rFonts w:ascii="仿宋" w:hAnsi="仿宋" w:eastAsia="仿宋" w:cs="仿宋"/>
          <w:color w:val="auto"/>
          <w:spacing w:val="17"/>
          <w:sz w:val="24"/>
          <w:szCs w:val="24"/>
          <w:highlight w:val="none"/>
          <w:u w:val="single" w:color="auto"/>
        </w:rPr>
        <w:t xml:space="preserve">      </w:t>
      </w:r>
      <w:r>
        <w:rPr>
          <w:rFonts w:ascii="仿宋" w:hAnsi="仿宋" w:eastAsia="仿宋" w:cs="仿宋"/>
          <w:color w:val="auto"/>
          <w:spacing w:val="-75"/>
          <w:sz w:val="24"/>
          <w:szCs w:val="24"/>
          <w:highlight w:val="none"/>
        </w:rPr>
        <w:t xml:space="preserve"> </w:t>
      </w:r>
      <w:r>
        <w:rPr>
          <w:rFonts w:ascii="仿宋" w:hAnsi="仿宋" w:eastAsia="仿宋" w:cs="仿宋"/>
          <w:color w:val="auto"/>
          <w:spacing w:val="-6"/>
          <w:sz w:val="24"/>
          <w:szCs w:val="24"/>
          <w:highlight w:val="none"/>
        </w:rPr>
        <w:t>小时提交书面延期要求。</w:t>
      </w:r>
    </w:p>
    <w:p w14:paraId="529904F3">
      <w:pPr>
        <w:spacing w:before="131" w:line="222" w:lineRule="auto"/>
        <w:ind w:left="54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关于延期最长不得超过：</w:t>
      </w:r>
      <w:r>
        <w:rPr>
          <w:rFonts w:ascii="仿宋" w:hAnsi="仿宋" w:eastAsia="仿宋" w:cs="仿宋"/>
          <w:color w:val="auto"/>
          <w:spacing w:val="11"/>
          <w:sz w:val="24"/>
          <w:szCs w:val="24"/>
          <w:highlight w:val="none"/>
          <w:u w:val="single" w:color="auto"/>
        </w:rPr>
        <w:t xml:space="preserve">        </w:t>
      </w:r>
      <w:r>
        <w:rPr>
          <w:rFonts w:ascii="仿宋" w:hAnsi="仿宋" w:eastAsia="仿宋" w:cs="仿宋"/>
          <w:color w:val="auto"/>
          <w:spacing w:val="-52"/>
          <w:sz w:val="24"/>
          <w:szCs w:val="24"/>
          <w:highlight w:val="none"/>
        </w:rPr>
        <w:t xml:space="preserve"> </w:t>
      </w:r>
      <w:r>
        <w:rPr>
          <w:rFonts w:ascii="仿宋" w:hAnsi="仿宋" w:eastAsia="仿宋" w:cs="仿宋"/>
          <w:color w:val="auto"/>
          <w:spacing w:val="-7"/>
          <w:sz w:val="24"/>
          <w:szCs w:val="24"/>
          <w:highlight w:val="none"/>
        </w:rPr>
        <w:t>小时。</w:t>
      </w:r>
    </w:p>
    <w:p w14:paraId="259AF31A">
      <w:pPr>
        <w:spacing w:before="289" w:line="221" w:lineRule="auto"/>
        <w:ind w:left="29"/>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6.</w:t>
      </w:r>
      <w:r>
        <w:rPr>
          <w:rFonts w:ascii="仿宋" w:hAnsi="仿宋" w:eastAsia="仿宋" w:cs="仿宋"/>
          <w:color w:val="auto"/>
          <w:spacing w:val="-7"/>
          <w:sz w:val="24"/>
          <w:szCs w:val="24"/>
          <w:highlight w:val="none"/>
        </w:rPr>
        <w:t xml:space="preserve"> </w:t>
      </w:r>
      <w:r>
        <w:rPr>
          <w:rFonts w:ascii="仿宋" w:hAnsi="仿宋" w:eastAsia="仿宋" w:cs="仿宋"/>
          <w:b/>
          <w:bCs/>
          <w:color w:val="auto"/>
          <w:spacing w:val="-7"/>
          <w:sz w:val="24"/>
          <w:szCs w:val="24"/>
          <w:highlight w:val="none"/>
        </w:rPr>
        <w:t>安全文明施工与环境保护</w:t>
      </w:r>
    </w:p>
    <w:p w14:paraId="71ADCC6F">
      <w:pPr>
        <w:spacing w:before="300" w:line="224" w:lineRule="auto"/>
        <w:ind w:left="29"/>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6.1 安全文明施工</w:t>
      </w:r>
    </w:p>
    <w:p w14:paraId="7866FC9C">
      <w:pPr>
        <w:spacing w:before="277" w:line="189" w:lineRule="auto"/>
        <w:ind w:left="2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6.1.1 项目安全生产的达标目标及相应事项的约定：</w:t>
      </w:r>
    </w:p>
    <w:p w14:paraId="45EEE8BA">
      <w:pPr>
        <w:tabs>
          <w:tab w:val="left" w:pos="6882"/>
        </w:tabs>
        <w:spacing w:before="61"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205E61B3">
      <w:pPr>
        <w:spacing w:before="249" w:line="182" w:lineRule="auto"/>
        <w:ind w:left="2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6.1.4 关于治安保卫的特别约定：</w:t>
      </w:r>
    </w:p>
    <w:p w14:paraId="323D3273">
      <w:pPr>
        <w:tabs>
          <w:tab w:val="left" w:pos="3582"/>
        </w:tabs>
        <w:spacing w:line="214"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position w:val="8"/>
          <w:sz w:val="6"/>
          <w:szCs w:val="6"/>
          <w:highlight w:val="none"/>
        </w:rPr>
        <w:drawing>
          <wp:inline distT="0" distB="0" distL="0" distR="0">
            <wp:extent cx="2017395" cy="63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5"/>
                    <a:stretch>
                      <a:fillRect/>
                    </a:stretch>
                  </pic:blipFill>
                  <pic:spPr>
                    <a:xfrm>
                      <a:off x="0" y="0"/>
                      <a:ext cx="2018029" cy="6904"/>
                    </a:xfrm>
                    <a:prstGeom prst="rect">
                      <a:avLst/>
                    </a:prstGeom>
                  </pic:spPr>
                </pic:pic>
              </a:graphicData>
            </a:graphic>
          </wp:inline>
        </w:drawing>
      </w:r>
      <w:r>
        <w:rPr>
          <w:rFonts w:ascii="仿宋" w:hAnsi="仿宋" w:eastAsia="仿宋" w:cs="仿宋"/>
          <w:color w:val="auto"/>
          <w:sz w:val="6"/>
          <w:szCs w:val="6"/>
          <w:highlight w:val="none"/>
          <w:u w:val="single" w:color="auto"/>
        </w:rPr>
        <w:t xml:space="preserve">                                              </w:t>
      </w:r>
      <w:r>
        <w:rPr>
          <w:rFonts w:ascii="仿宋" w:hAnsi="仿宋" w:eastAsia="仿宋" w:cs="仿宋"/>
          <w:color w:val="auto"/>
          <w:spacing w:val="23"/>
          <w:w w:val="101"/>
          <w:sz w:val="6"/>
          <w:szCs w:val="6"/>
          <w:highlight w:val="none"/>
        </w:rPr>
        <w:t xml:space="preserve"> </w:t>
      </w:r>
      <w:r>
        <w:rPr>
          <w:rFonts w:ascii="仿宋" w:hAnsi="仿宋" w:eastAsia="仿宋" w:cs="仿宋"/>
          <w:color w:val="auto"/>
          <w:sz w:val="6"/>
          <w:szCs w:val="6"/>
          <w:highlight w:val="none"/>
        </w:rPr>
        <w:t>。</w:t>
      </w:r>
    </w:p>
    <w:p w14:paraId="66FBF7EF">
      <w:pPr>
        <w:spacing w:before="248" w:line="189" w:lineRule="auto"/>
        <w:ind w:left="54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关于编制施工场地治安管理计划的约定：</w:t>
      </w:r>
    </w:p>
    <w:p w14:paraId="2EAD77C2">
      <w:pPr>
        <w:tabs>
          <w:tab w:val="left" w:pos="7362"/>
        </w:tabs>
        <w:spacing w:before="55" w:line="89" w:lineRule="auto"/>
        <w:ind w:left="480"/>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1F438843">
      <w:pPr>
        <w:spacing w:before="256" w:line="224" w:lineRule="auto"/>
        <w:ind w:left="2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6.1.5</w:t>
      </w:r>
      <w:r>
        <w:rPr>
          <w:rFonts w:ascii="仿宋" w:hAnsi="仿宋" w:eastAsia="仿宋" w:cs="仿宋"/>
          <w:color w:val="auto"/>
          <w:spacing w:val="35"/>
          <w:sz w:val="24"/>
          <w:szCs w:val="24"/>
          <w:highlight w:val="none"/>
        </w:rPr>
        <w:t xml:space="preserve"> </w:t>
      </w:r>
      <w:r>
        <w:rPr>
          <w:rFonts w:ascii="仿宋" w:hAnsi="仿宋" w:eastAsia="仿宋" w:cs="仿宋"/>
          <w:color w:val="auto"/>
          <w:spacing w:val="-6"/>
          <w:sz w:val="24"/>
          <w:szCs w:val="24"/>
          <w:highlight w:val="none"/>
        </w:rPr>
        <w:t>文明施工</w:t>
      </w:r>
    </w:p>
    <w:p w14:paraId="4DC63FA4">
      <w:pPr>
        <w:spacing w:before="165" w:line="189" w:lineRule="auto"/>
        <w:ind w:left="54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合同当事人对文明施工的要求：</w:t>
      </w:r>
    </w:p>
    <w:p w14:paraId="2351DF27">
      <w:pPr>
        <w:tabs>
          <w:tab w:val="left" w:pos="6882"/>
        </w:tabs>
        <w:spacing w:before="57"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1FF20FE1">
      <w:pPr>
        <w:spacing w:before="255" w:line="222" w:lineRule="auto"/>
        <w:ind w:left="2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6.1.6 关于安全文明施工费支付比例和支付期限</w:t>
      </w:r>
      <w:r>
        <w:rPr>
          <w:rFonts w:ascii="仿宋" w:hAnsi="仿宋" w:eastAsia="仿宋" w:cs="仿宋"/>
          <w:color w:val="auto"/>
          <w:spacing w:val="-4"/>
          <w:sz w:val="24"/>
          <w:szCs w:val="24"/>
          <w:highlight w:val="none"/>
        </w:rPr>
        <w:t>的约定：</w:t>
      </w:r>
      <w:r>
        <w:rPr>
          <w:rFonts w:ascii="仿宋" w:hAnsi="仿宋" w:eastAsia="仿宋" w:cs="仿宋"/>
          <w:color w:val="auto"/>
          <w:spacing w:val="-4"/>
          <w:sz w:val="24"/>
          <w:szCs w:val="24"/>
          <w:highlight w:val="none"/>
          <w:u w:val="single" w:color="auto"/>
        </w:rPr>
        <w:t xml:space="preserve">                 </w:t>
      </w:r>
    </w:p>
    <w:p w14:paraId="4912107F">
      <w:pPr>
        <w:spacing w:before="167" w:line="223" w:lineRule="auto"/>
        <w:ind w:left="40"/>
        <w:rPr>
          <w:rFonts w:ascii="仿宋" w:hAnsi="仿宋" w:eastAsia="仿宋" w:cs="仿宋"/>
          <w:color w:val="auto"/>
          <w:sz w:val="24"/>
          <w:szCs w:val="24"/>
          <w:highlight w:val="none"/>
        </w:rPr>
      </w:pPr>
      <w:r>
        <w:rPr>
          <w:rFonts w:ascii="仿宋" w:hAnsi="仿宋" w:eastAsia="仿宋" w:cs="仿宋"/>
          <w:b/>
          <w:bCs/>
          <w:color w:val="auto"/>
          <w:spacing w:val="-14"/>
          <w:sz w:val="24"/>
          <w:szCs w:val="24"/>
          <w:highlight w:val="none"/>
        </w:rPr>
        <w:t>7.</w:t>
      </w:r>
      <w:r>
        <w:rPr>
          <w:rFonts w:ascii="仿宋" w:hAnsi="仿宋" w:eastAsia="仿宋" w:cs="仿宋"/>
          <w:color w:val="auto"/>
          <w:spacing w:val="48"/>
          <w:sz w:val="24"/>
          <w:szCs w:val="24"/>
          <w:highlight w:val="none"/>
        </w:rPr>
        <w:t xml:space="preserve"> </w:t>
      </w:r>
      <w:r>
        <w:rPr>
          <w:rFonts w:ascii="仿宋" w:hAnsi="仿宋" w:eastAsia="仿宋" w:cs="仿宋"/>
          <w:b/>
          <w:bCs/>
          <w:color w:val="auto"/>
          <w:spacing w:val="-14"/>
          <w:sz w:val="24"/>
          <w:szCs w:val="24"/>
          <w:highlight w:val="none"/>
        </w:rPr>
        <w:t>工期和进度</w:t>
      </w:r>
    </w:p>
    <w:p w14:paraId="74665F13">
      <w:pPr>
        <w:spacing w:before="286" w:line="222" w:lineRule="auto"/>
        <w:ind w:left="40"/>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7.1 施工组织设计</w:t>
      </w:r>
    </w:p>
    <w:p w14:paraId="48E73C65">
      <w:pPr>
        <w:spacing w:before="285" w:line="189" w:lineRule="auto"/>
        <w:ind w:left="40"/>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7.1.1 合同当事人约定的施工组织设计应包括的其他内容：</w:t>
      </w:r>
    </w:p>
    <w:p w14:paraId="30F33E50">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0841BA09">
      <w:pPr>
        <w:spacing w:before="249" w:line="222" w:lineRule="auto"/>
        <w:ind w:left="4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7.1.2 施工组织设计的提交和修改</w:t>
      </w:r>
    </w:p>
    <w:p w14:paraId="3B3DDFF2">
      <w:pPr>
        <w:spacing w:before="165" w:line="189" w:lineRule="auto"/>
        <w:ind w:left="52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承包人提交详细施工组织设计的期限的约定：</w:t>
      </w:r>
    </w:p>
    <w:p w14:paraId="0D1E2EFE">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7AF2E6D8">
      <w:pPr>
        <w:spacing w:before="247" w:line="219" w:lineRule="auto"/>
        <w:ind w:left="54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发包人和监理人在收到详细的施工组织设计后确认或提出修改意见的期</w:t>
      </w:r>
    </w:p>
    <w:p w14:paraId="456FD834">
      <w:pPr>
        <w:spacing w:before="176" w:line="222" w:lineRule="auto"/>
        <w:ind w:left="93"/>
        <w:rPr>
          <w:rFonts w:ascii="仿宋" w:hAnsi="仿宋" w:eastAsia="仿宋" w:cs="仿宋"/>
          <w:color w:val="auto"/>
          <w:sz w:val="24"/>
          <w:szCs w:val="24"/>
          <w:highlight w:val="none"/>
        </w:rPr>
      </w:pPr>
      <w:r>
        <w:rPr>
          <w:rFonts w:ascii="仿宋" w:hAnsi="仿宋" w:eastAsia="仿宋" w:cs="仿宋"/>
          <w:color w:val="auto"/>
          <w:spacing w:val="-23"/>
          <w:sz w:val="24"/>
          <w:szCs w:val="24"/>
          <w:highlight w:val="none"/>
        </w:rPr>
        <w:t>限：</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3"/>
          <w:sz w:val="24"/>
          <w:szCs w:val="24"/>
          <w:highlight w:val="none"/>
        </w:rPr>
        <w:t>。</w:t>
      </w:r>
    </w:p>
    <w:p w14:paraId="62C8A45B">
      <w:pPr>
        <w:spacing w:before="170" w:line="222" w:lineRule="auto"/>
        <w:ind w:left="40"/>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7.2 施工进度计划</w:t>
      </w:r>
    </w:p>
    <w:p w14:paraId="30FDCBAF">
      <w:pPr>
        <w:spacing w:before="292" w:line="222" w:lineRule="auto"/>
        <w:ind w:left="4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7.2.2 施工进度计划的修订</w:t>
      </w:r>
    </w:p>
    <w:p w14:paraId="41440F0B">
      <w:pPr>
        <w:spacing w:before="160" w:line="219" w:lineRule="auto"/>
        <w:ind w:left="54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发包人和监理人在收到修订的施工进度计划后确认或提出修改意见的期</w:t>
      </w:r>
    </w:p>
    <w:p w14:paraId="4D03624E">
      <w:pPr>
        <w:spacing w:before="184" w:line="222" w:lineRule="auto"/>
        <w:ind w:left="93"/>
        <w:rPr>
          <w:rFonts w:ascii="仿宋" w:hAnsi="仿宋" w:eastAsia="仿宋" w:cs="仿宋"/>
          <w:color w:val="auto"/>
          <w:sz w:val="24"/>
          <w:szCs w:val="24"/>
          <w:highlight w:val="none"/>
        </w:rPr>
      </w:pPr>
      <w:r>
        <w:rPr>
          <w:rFonts w:ascii="仿宋" w:hAnsi="仿宋" w:eastAsia="仿宋" w:cs="仿宋"/>
          <w:color w:val="auto"/>
          <w:spacing w:val="-23"/>
          <w:sz w:val="24"/>
          <w:szCs w:val="24"/>
          <w:highlight w:val="none"/>
        </w:rPr>
        <w:t>限：</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3"/>
          <w:sz w:val="24"/>
          <w:szCs w:val="24"/>
          <w:highlight w:val="none"/>
        </w:rPr>
        <w:t>。</w:t>
      </w:r>
    </w:p>
    <w:p w14:paraId="2903800C">
      <w:pPr>
        <w:spacing w:before="169" w:line="222" w:lineRule="auto"/>
        <w:ind w:left="40"/>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7.3</w:t>
      </w:r>
      <w:r>
        <w:rPr>
          <w:rFonts w:ascii="仿宋" w:hAnsi="仿宋" w:eastAsia="仿宋" w:cs="仿宋"/>
          <w:color w:val="auto"/>
          <w:spacing w:val="27"/>
          <w:sz w:val="24"/>
          <w:szCs w:val="24"/>
          <w:highlight w:val="none"/>
        </w:rPr>
        <w:t xml:space="preserve"> </w:t>
      </w:r>
      <w:r>
        <w:rPr>
          <w:rFonts w:ascii="仿宋" w:hAnsi="仿宋" w:eastAsia="仿宋" w:cs="仿宋"/>
          <w:color w:val="auto"/>
          <w:spacing w:val="-9"/>
          <w:sz w:val="24"/>
          <w:szCs w:val="24"/>
          <w:highlight w:val="none"/>
        </w:rPr>
        <w:t>开工</w:t>
      </w:r>
    </w:p>
    <w:p w14:paraId="76325296">
      <w:pPr>
        <w:spacing w:before="290" w:line="222" w:lineRule="auto"/>
        <w:ind w:left="40"/>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7.3.1</w:t>
      </w:r>
      <w:r>
        <w:rPr>
          <w:rFonts w:ascii="仿宋" w:hAnsi="仿宋" w:eastAsia="仿宋" w:cs="仿宋"/>
          <w:color w:val="auto"/>
          <w:spacing w:val="47"/>
          <w:sz w:val="24"/>
          <w:szCs w:val="24"/>
          <w:highlight w:val="none"/>
        </w:rPr>
        <w:t xml:space="preserve"> </w:t>
      </w:r>
      <w:r>
        <w:rPr>
          <w:rFonts w:ascii="仿宋" w:hAnsi="仿宋" w:eastAsia="仿宋" w:cs="仿宋"/>
          <w:color w:val="auto"/>
          <w:spacing w:val="-8"/>
          <w:sz w:val="24"/>
          <w:szCs w:val="24"/>
          <w:highlight w:val="none"/>
        </w:rPr>
        <w:t>开工准备</w:t>
      </w:r>
    </w:p>
    <w:p w14:paraId="25B36EEC">
      <w:pPr>
        <w:spacing w:before="170" w:line="222" w:lineRule="auto"/>
        <w:ind w:left="711"/>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关于承包人提交工程开工报审表的期限：</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3724C9A0">
      <w:pPr>
        <w:spacing w:before="167" w:line="189" w:lineRule="auto"/>
        <w:ind w:left="71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关于发包人应完成的其他开工准备工作及期限：</w:t>
      </w:r>
    </w:p>
    <w:p w14:paraId="62571015">
      <w:pPr>
        <w:tabs>
          <w:tab w:val="left" w:pos="6882"/>
        </w:tabs>
        <w:spacing w:before="58"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27D641A4">
      <w:pPr>
        <w:spacing w:before="246" w:line="189" w:lineRule="auto"/>
        <w:ind w:left="54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关于承包人应完成的其他开工准备工作及期限：</w:t>
      </w:r>
    </w:p>
    <w:p w14:paraId="3EA82851">
      <w:pPr>
        <w:tabs>
          <w:tab w:val="left" w:pos="6882"/>
        </w:tabs>
        <w:spacing w:before="57"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53085426">
      <w:pPr>
        <w:spacing w:line="89" w:lineRule="auto"/>
        <w:rPr>
          <w:rFonts w:ascii="仿宋" w:hAnsi="仿宋" w:eastAsia="仿宋" w:cs="仿宋"/>
          <w:color w:val="auto"/>
          <w:sz w:val="6"/>
          <w:szCs w:val="6"/>
          <w:highlight w:val="none"/>
        </w:rPr>
        <w:sectPr>
          <w:headerReference r:id="rId45" w:type="default"/>
          <w:footerReference r:id="rId46" w:type="default"/>
          <w:pgSz w:w="11906" w:h="16840"/>
          <w:pgMar w:top="1813" w:right="1423" w:bottom="1174" w:left="1418" w:header="1384" w:footer="928" w:gutter="0"/>
          <w:pgNumType w:fmt="decimal"/>
          <w:cols w:space="720" w:num="1"/>
        </w:sectPr>
      </w:pPr>
    </w:p>
    <w:p w14:paraId="3372A12D">
      <w:pPr>
        <w:pStyle w:val="3"/>
        <w:spacing w:line="241" w:lineRule="auto"/>
        <w:rPr>
          <w:color w:val="auto"/>
          <w:highlight w:val="none"/>
        </w:rPr>
      </w:pPr>
    </w:p>
    <w:p w14:paraId="311CA6E1">
      <w:pPr>
        <w:pStyle w:val="3"/>
        <w:spacing w:line="241" w:lineRule="auto"/>
        <w:rPr>
          <w:color w:val="auto"/>
          <w:highlight w:val="none"/>
        </w:rPr>
      </w:pPr>
    </w:p>
    <w:p w14:paraId="02378A1D">
      <w:pPr>
        <w:pStyle w:val="3"/>
        <w:spacing w:line="241" w:lineRule="auto"/>
        <w:rPr>
          <w:color w:val="auto"/>
          <w:highlight w:val="none"/>
        </w:rPr>
      </w:pPr>
    </w:p>
    <w:p w14:paraId="46F916C4">
      <w:pPr>
        <w:pStyle w:val="3"/>
        <w:spacing w:line="241" w:lineRule="auto"/>
        <w:rPr>
          <w:color w:val="auto"/>
          <w:highlight w:val="none"/>
        </w:rPr>
      </w:pPr>
    </w:p>
    <w:p w14:paraId="6D1AAF9C">
      <w:pPr>
        <w:spacing w:before="78" w:line="222" w:lineRule="auto"/>
        <w:ind w:left="40"/>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7.3.2</w:t>
      </w:r>
      <w:r>
        <w:rPr>
          <w:rFonts w:ascii="仿宋" w:hAnsi="仿宋" w:eastAsia="仿宋" w:cs="仿宋"/>
          <w:color w:val="auto"/>
          <w:spacing w:val="-13"/>
          <w:sz w:val="24"/>
          <w:szCs w:val="24"/>
          <w:highlight w:val="none"/>
        </w:rPr>
        <w:t xml:space="preserve"> </w:t>
      </w:r>
      <w:r>
        <w:rPr>
          <w:rFonts w:ascii="仿宋" w:hAnsi="仿宋" w:eastAsia="仿宋" w:cs="仿宋"/>
          <w:color w:val="auto"/>
          <w:spacing w:val="-8"/>
          <w:sz w:val="24"/>
          <w:szCs w:val="24"/>
          <w:highlight w:val="none"/>
        </w:rPr>
        <w:t>开工通知</w:t>
      </w:r>
    </w:p>
    <w:p w14:paraId="25DCE81E">
      <w:pPr>
        <w:spacing w:before="205" w:line="324" w:lineRule="auto"/>
        <w:ind w:left="45" w:right="217" w:firstLine="552"/>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因发包人原因造成监理人未能在计划开工日期之日</w:t>
      </w:r>
      <w:r>
        <w:rPr>
          <w:rFonts w:ascii="仿宋" w:hAnsi="仿宋" w:eastAsia="仿宋" w:cs="仿宋"/>
          <w:color w:val="auto"/>
          <w:spacing w:val="-10"/>
          <w:sz w:val="24"/>
          <w:szCs w:val="24"/>
          <w:highlight w:val="none"/>
        </w:rPr>
        <w:t>起</w:t>
      </w:r>
      <w:r>
        <w:rPr>
          <w:rFonts w:ascii="仿宋" w:hAnsi="仿宋" w:eastAsia="仿宋" w:cs="仿宋"/>
          <w:color w:val="auto"/>
          <w:spacing w:val="23"/>
          <w:sz w:val="24"/>
          <w:szCs w:val="24"/>
          <w:highlight w:val="none"/>
          <w:u w:val="single" w:color="auto"/>
        </w:rPr>
        <w:t xml:space="preserve">    </w:t>
      </w:r>
      <w:r>
        <w:rPr>
          <w:rFonts w:ascii="仿宋" w:hAnsi="仿宋" w:eastAsia="仿宋" w:cs="仿宋"/>
          <w:color w:val="auto"/>
          <w:spacing w:val="-61"/>
          <w:sz w:val="24"/>
          <w:szCs w:val="24"/>
          <w:highlight w:val="none"/>
        </w:rPr>
        <w:t xml:space="preserve"> </w:t>
      </w:r>
      <w:r>
        <w:rPr>
          <w:rFonts w:ascii="仿宋" w:hAnsi="仿宋" w:eastAsia="仿宋" w:cs="仿宋"/>
          <w:color w:val="auto"/>
          <w:spacing w:val="-10"/>
          <w:sz w:val="24"/>
          <w:szCs w:val="24"/>
          <w:highlight w:val="none"/>
        </w:rPr>
        <w:t>天内发出开工通知的，</w:t>
      </w:r>
      <w:r>
        <w:rPr>
          <w:rFonts w:ascii="仿宋" w:hAnsi="仿宋" w:eastAsia="仿宋" w:cs="仿宋"/>
          <w:color w:val="auto"/>
          <w:spacing w:val="-3"/>
          <w:sz w:val="24"/>
          <w:szCs w:val="24"/>
          <w:highlight w:val="none"/>
        </w:rPr>
        <w:t>承包人有权提出价格调整要求，或者解除合同。</w:t>
      </w:r>
    </w:p>
    <w:p w14:paraId="1CB8F45F">
      <w:pPr>
        <w:spacing w:before="38" w:line="223" w:lineRule="auto"/>
        <w:ind w:left="40"/>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7.4</w:t>
      </w:r>
      <w:r>
        <w:rPr>
          <w:rFonts w:ascii="仿宋" w:hAnsi="仿宋" w:eastAsia="仿宋" w:cs="仿宋"/>
          <w:color w:val="auto"/>
          <w:spacing w:val="33"/>
          <w:sz w:val="24"/>
          <w:szCs w:val="24"/>
          <w:highlight w:val="none"/>
        </w:rPr>
        <w:t xml:space="preserve"> </w:t>
      </w:r>
      <w:r>
        <w:rPr>
          <w:rFonts w:ascii="仿宋" w:hAnsi="仿宋" w:eastAsia="仿宋" w:cs="仿宋"/>
          <w:color w:val="auto"/>
          <w:spacing w:val="-8"/>
          <w:sz w:val="24"/>
          <w:szCs w:val="24"/>
          <w:highlight w:val="none"/>
        </w:rPr>
        <w:t>测量放线</w:t>
      </w:r>
    </w:p>
    <w:p w14:paraId="5150CFBE">
      <w:pPr>
        <w:pStyle w:val="3"/>
        <w:spacing w:line="247" w:lineRule="auto"/>
        <w:rPr>
          <w:color w:val="auto"/>
          <w:highlight w:val="none"/>
        </w:rPr>
      </w:pPr>
    </w:p>
    <w:p w14:paraId="37409487">
      <w:pPr>
        <w:spacing w:before="78" w:line="254" w:lineRule="auto"/>
        <w:ind w:left="88" w:hanging="48"/>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7.4.1 发包人通过监理人向承包人提供测</w:t>
      </w:r>
      <w:r>
        <w:rPr>
          <w:rFonts w:ascii="仿宋" w:hAnsi="仿宋" w:eastAsia="仿宋" w:cs="仿宋"/>
          <w:color w:val="auto"/>
          <w:spacing w:val="-3"/>
          <w:sz w:val="24"/>
          <w:szCs w:val="24"/>
          <w:highlight w:val="none"/>
        </w:rPr>
        <w:t>量基准点、基准线和水准点及其书面资料的期</w:t>
      </w:r>
      <w:r>
        <w:rPr>
          <w:rFonts w:ascii="仿宋" w:hAnsi="仿宋" w:eastAsia="仿宋" w:cs="仿宋"/>
          <w:color w:val="auto"/>
          <w:spacing w:val="-23"/>
          <w:sz w:val="24"/>
          <w:szCs w:val="24"/>
          <w:highlight w:val="none"/>
        </w:rPr>
        <w:t>限：</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3"/>
          <w:sz w:val="24"/>
          <w:szCs w:val="24"/>
          <w:highlight w:val="none"/>
        </w:rPr>
        <w:t>。</w:t>
      </w:r>
    </w:p>
    <w:p w14:paraId="61BA2A80">
      <w:pPr>
        <w:spacing w:before="220" w:line="223" w:lineRule="auto"/>
        <w:ind w:left="40"/>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7.5</w:t>
      </w:r>
      <w:r>
        <w:rPr>
          <w:rFonts w:ascii="仿宋" w:hAnsi="仿宋" w:eastAsia="仿宋" w:cs="仿宋"/>
          <w:color w:val="auto"/>
          <w:spacing w:val="52"/>
          <w:sz w:val="24"/>
          <w:szCs w:val="24"/>
          <w:highlight w:val="none"/>
        </w:rPr>
        <w:t xml:space="preserve"> </w:t>
      </w:r>
      <w:r>
        <w:rPr>
          <w:rFonts w:ascii="仿宋" w:hAnsi="仿宋" w:eastAsia="仿宋" w:cs="仿宋"/>
          <w:color w:val="auto"/>
          <w:spacing w:val="-10"/>
          <w:sz w:val="24"/>
          <w:szCs w:val="24"/>
          <w:highlight w:val="none"/>
        </w:rPr>
        <w:t>工期延误</w:t>
      </w:r>
    </w:p>
    <w:p w14:paraId="573C1B32">
      <w:pPr>
        <w:spacing w:before="289" w:line="223" w:lineRule="auto"/>
        <w:ind w:left="40"/>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7.5.1  因发包人原因导致工期延误</w:t>
      </w:r>
    </w:p>
    <w:p w14:paraId="4E3F91FB">
      <w:pPr>
        <w:spacing w:before="288" w:line="189" w:lineRule="auto"/>
        <w:ind w:left="535"/>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因发包人原因导致工期延误的其他情形：</w:t>
      </w:r>
    </w:p>
    <w:p w14:paraId="3B954503">
      <w:pPr>
        <w:tabs>
          <w:tab w:val="left" w:pos="6882"/>
        </w:tabs>
        <w:spacing w:before="54"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3E6E796D">
      <w:pPr>
        <w:spacing w:before="255" w:line="223" w:lineRule="auto"/>
        <w:ind w:left="40"/>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7.5.2  因承包人原因导致工期延误</w:t>
      </w:r>
    </w:p>
    <w:p w14:paraId="45913B5E">
      <w:pPr>
        <w:spacing w:before="165" w:line="222" w:lineRule="auto"/>
        <w:ind w:left="59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因承包人原因造成工期延误，逾期竣工违约</w:t>
      </w:r>
      <w:r>
        <w:rPr>
          <w:rFonts w:ascii="仿宋" w:hAnsi="仿宋" w:eastAsia="仿宋" w:cs="仿宋"/>
          <w:color w:val="auto"/>
          <w:spacing w:val="-6"/>
          <w:sz w:val="24"/>
          <w:szCs w:val="24"/>
          <w:highlight w:val="none"/>
        </w:rPr>
        <w:t>金的计算方法为：</w:t>
      </w:r>
    </w:p>
    <w:p w14:paraId="25E9146B">
      <w:pPr>
        <w:tabs>
          <w:tab w:val="left" w:pos="8157"/>
        </w:tabs>
        <w:spacing w:before="12"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7"/>
          <w:sz w:val="6"/>
          <w:szCs w:val="6"/>
          <w:highlight w:val="none"/>
        </w:rPr>
        <w:t xml:space="preserve"> </w:t>
      </w:r>
      <w:r>
        <w:rPr>
          <w:rFonts w:ascii="仿宋" w:hAnsi="仿宋" w:eastAsia="仿宋" w:cs="仿宋"/>
          <w:color w:val="auto"/>
          <w:sz w:val="6"/>
          <w:szCs w:val="6"/>
          <w:highlight w:val="none"/>
        </w:rPr>
        <w:t>。</w:t>
      </w:r>
    </w:p>
    <w:p w14:paraId="2D650BFB">
      <w:pPr>
        <w:spacing w:before="252" w:line="189" w:lineRule="auto"/>
        <w:ind w:left="59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因承包人原因造成工期延误，逾期竣工违约金的上限：</w:t>
      </w:r>
    </w:p>
    <w:p w14:paraId="0D7BB74F">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3066A086">
      <w:pPr>
        <w:spacing w:before="246" w:line="221" w:lineRule="auto"/>
        <w:ind w:left="40"/>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7.6</w:t>
      </w:r>
      <w:r>
        <w:rPr>
          <w:rFonts w:ascii="仿宋" w:hAnsi="仿宋" w:eastAsia="仿宋" w:cs="仿宋"/>
          <w:color w:val="auto"/>
          <w:spacing w:val="56"/>
          <w:sz w:val="24"/>
          <w:szCs w:val="24"/>
          <w:highlight w:val="none"/>
        </w:rPr>
        <w:t xml:space="preserve"> </w:t>
      </w:r>
      <w:r>
        <w:rPr>
          <w:rFonts w:ascii="仿宋" w:hAnsi="仿宋" w:eastAsia="仿宋" w:cs="仿宋"/>
          <w:color w:val="auto"/>
          <w:spacing w:val="-9"/>
          <w:sz w:val="24"/>
          <w:szCs w:val="24"/>
          <w:highlight w:val="none"/>
        </w:rPr>
        <w:t>不利物质条件</w:t>
      </w:r>
    </w:p>
    <w:p w14:paraId="431D973D">
      <w:pPr>
        <w:spacing w:before="291" w:line="189" w:lineRule="auto"/>
        <w:ind w:left="545"/>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不利物质条件的其他情形和有关约定：</w:t>
      </w:r>
    </w:p>
    <w:p w14:paraId="389BE9BB">
      <w:pPr>
        <w:tabs>
          <w:tab w:val="left" w:pos="6882"/>
        </w:tabs>
        <w:spacing w:before="61"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6E20E74A">
      <w:pPr>
        <w:spacing w:before="251" w:line="222" w:lineRule="auto"/>
        <w:ind w:left="40"/>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7.7 异常恶劣的气候条件</w:t>
      </w:r>
    </w:p>
    <w:p w14:paraId="44C7DF8E">
      <w:pPr>
        <w:pStyle w:val="3"/>
        <w:spacing w:line="243" w:lineRule="auto"/>
        <w:rPr>
          <w:color w:val="auto"/>
          <w:highlight w:val="none"/>
        </w:rPr>
      </w:pPr>
    </w:p>
    <w:p w14:paraId="04F53FFD">
      <w:pPr>
        <w:spacing w:before="78" w:line="222" w:lineRule="auto"/>
        <w:ind w:left="54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发包人和承包人同意以下情形视为异常恶劣的气候条件：</w:t>
      </w:r>
    </w:p>
    <w:p w14:paraId="0AE1401C">
      <w:pPr>
        <w:spacing w:before="161" w:line="346" w:lineRule="auto"/>
        <w:ind w:left="542" w:right="2663"/>
        <w:rPr>
          <w:rFonts w:ascii="仿宋" w:hAnsi="仿宋" w:eastAsia="仿宋" w:cs="仿宋"/>
          <w:color w:val="auto"/>
          <w:sz w:val="24"/>
          <w:szCs w:val="24"/>
          <w:highlight w:val="none"/>
        </w:rPr>
      </w:pPr>
      <w:r>
        <w:rPr>
          <w:rFonts w:ascii="仿宋" w:hAnsi="仿宋" w:eastAsia="仿宋" w:cs="仿宋"/>
          <w:color w:val="auto"/>
          <w:spacing w:val="-19"/>
          <w:sz w:val="24"/>
          <w:szCs w:val="24"/>
          <w:highlight w:val="none"/>
        </w:rPr>
        <w:t>（1</w:t>
      </w:r>
      <w:r>
        <w:rPr>
          <w:rFonts w:ascii="仿宋" w:hAnsi="仿宋" w:eastAsia="仿宋" w:cs="仿宋"/>
          <w:color w:val="auto"/>
          <w:spacing w:val="-58"/>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58"/>
          <w:sz w:val="24"/>
          <w:szCs w:val="24"/>
          <w:highlight w:val="none"/>
        </w:rPr>
        <w:t>；</w:t>
      </w:r>
      <w:r>
        <w:rPr>
          <w:rFonts w:ascii="仿宋" w:hAnsi="仿宋" w:eastAsia="仿宋" w:cs="仿宋"/>
          <w:color w:val="auto"/>
          <w:spacing w:val="7"/>
          <w:sz w:val="24"/>
          <w:szCs w:val="24"/>
          <w:highlight w:val="none"/>
        </w:rPr>
        <w:t xml:space="preserve"> </w:t>
      </w:r>
      <w:r>
        <w:rPr>
          <w:rFonts w:ascii="仿宋" w:hAnsi="仿宋" w:eastAsia="仿宋" w:cs="仿宋"/>
          <w:color w:val="auto"/>
          <w:spacing w:val="-19"/>
          <w:sz w:val="24"/>
          <w:szCs w:val="24"/>
          <w:highlight w:val="none"/>
        </w:rPr>
        <w:t>（2</w:t>
      </w:r>
      <w:r>
        <w:rPr>
          <w:rFonts w:ascii="仿宋" w:hAnsi="仿宋" w:eastAsia="仿宋" w:cs="仿宋"/>
          <w:color w:val="auto"/>
          <w:spacing w:val="-58"/>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58"/>
          <w:sz w:val="24"/>
          <w:szCs w:val="24"/>
          <w:highlight w:val="none"/>
        </w:rPr>
        <w:t>；</w:t>
      </w:r>
      <w:r>
        <w:rPr>
          <w:rFonts w:ascii="仿宋" w:hAnsi="仿宋" w:eastAsia="仿宋" w:cs="仿宋"/>
          <w:color w:val="auto"/>
          <w:spacing w:val="7"/>
          <w:sz w:val="24"/>
          <w:szCs w:val="24"/>
          <w:highlight w:val="none"/>
        </w:rPr>
        <w:t xml:space="preserve"> </w:t>
      </w:r>
      <w:r>
        <w:rPr>
          <w:rFonts w:ascii="仿宋" w:hAnsi="仿宋" w:eastAsia="仿宋" w:cs="仿宋"/>
          <w:color w:val="auto"/>
          <w:spacing w:val="-29"/>
          <w:sz w:val="24"/>
          <w:szCs w:val="24"/>
          <w:highlight w:val="none"/>
        </w:rPr>
        <w:t>（3）</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9"/>
          <w:sz w:val="24"/>
          <w:szCs w:val="24"/>
          <w:highlight w:val="none"/>
        </w:rPr>
        <w:t>。</w:t>
      </w:r>
    </w:p>
    <w:p w14:paraId="53213CB8">
      <w:pPr>
        <w:spacing w:line="221" w:lineRule="auto"/>
        <w:ind w:left="40"/>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7.9</w:t>
      </w:r>
      <w:r>
        <w:rPr>
          <w:rFonts w:ascii="仿宋" w:hAnsi="仿宋" w:eastAsia="仿宋" w:cs="仿宋"/>
          <w:color w:val="auto"/>
          <w:spacing w:val="52"/>
          <w:sz w:val="24"/>
          <w:szCs w:val="24"/>
          <w:highlight w:val="none"/>
        </w:rPr>
        <w:t xml:space="preserve"> </w:t>
      </w:r>
      <w:r>
        <w:rPr>
          <w:rFonts w:ascii="仿宋" w:hAnsi="仿宋" w:eastAsia="仿宋" w:cs="仿宋"/>
          <w:color w:val="auto"/>
          <w:spacing w:val="-8"/>
          <w:sz w:val="24"/>
          <w:szCs w:val="24"/>
          <w:highlight w:val="none"/>
        </w:rPr>
        <w:t>提前竣工的奖励</w:t>
      </w:r>
    </w:p>
    <w:p w14:paraId="16D85076">
      <w:pPr>
        <w:spacing w:before="288" w:line="222" w:lineRule="auto"/>
        <w:ind w:left="40"/>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7.9.2 提前竣工的奖励：</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14:paraId="768EDFF1">
      <w:pPr>
        <w:spacing w:before="285" w:line="220" w:lineRule="auto"/>
        <w:ind w:left="28"/>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8.</w:t>
      </w:r>
      <w:r>
        <w:rPr>
          <w:rFonts w:ascii="仿宋" w:hAnsi="仿宋" w:eastAsia="仿宋" w:cs="仿宋"/>
          <w:color w:val="auto"/>
          <w:spacing w:val="34"/>
          <w:sz w:val="24"/>
          <w:szCs w:val="24"/>
          <w:highlight w:val="none"/>
        </w:rPr>
        <w:t xml:space="preserve"> </w:t>
      </w:r>
      <w:r>
        <w:rPr>
          <w:rFonts w:ascii="仿宋" w:hAnsi="仿宋" w:eastAsia="仿宋" w:cs="仿宋"/>
          <w:b/>
          <w:bCs/>
          <w:color w:val="auto"/>
          <w:spacing w:val="-11"/>
          <w:sz w:val="24"/>
          <w:szCs w:val="24"/>
          <w:highlight w:val="none"/>
        </w:rPr>
        <w:t>材料与设备</w:t>
      </w:r>
    </w:p>
    <w:p w14:paraId="4F7B03A9">
      <w:pPr>
        <w:spacing w:before="298" w:line="220" w:lineRule="auto"/>
        <w:ind w:left="28"/>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8.4 材料与工程设备的保管与使用</w:t>
      </w:r>
    </w:p>
    <w:p w14:paraId="06BDE905">
      <w:pPr>
        <w:spacing w:before="292" w:line="189" w:lineRule="auto"/>
        <w:ind w:left="28"/>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8.4.1 发包人供应的材料设备的保管费用的承</w:t>
      </w:r>
      <w:r>
        <w:rPr>
          <w:rFonts w:ascii="仿宋" w:hAnsi="仿宋" w:eastAsia="仿宋" w:cs="仿宋"/>
          <w:color w:val="auto"/>
          <w:spacing w:val="-5"/>
          <w:sz w:val="24"/>
          <w:szCs w:val="24"/>
          <w:highlight w:val="none"/>
        </w:rPr>
        <w:t>担：</w:t>
      </w:r>
    </w:p>
    <w:p w14:paraId="1A0642C0">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1F7F9CB5">
      <w:pPr>
        <w:spacing w:before="245" w:line="219" w:lineRule="auto"/>
        <w:ind w:left="28"/>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8.6</w:t>
      </w:r>
      <w:r>
        <w:rPr>
          <w:rFonts w:ascii="仿宋" w:hAnsi="仿宋" w:eastAsia="仿宋" w:cs="仿宋"/>
          <w:color w:val="auto"/>
          <w:spacing w:val="34"/>
          <w:sz w:val="24"/>
          <w:szCs w:val="24"/>
          <w:highlight w:val="none"/>
        </w:rPr>
        <w:t xml:space="preserve"> </w:t>
      </w:r>
      <w:r>
        <w:rPr>
          <w:rFonts w:ascii="仿宋" w:hAnsi="仿宋" w:eastAsia="仿宋" w:cs="仿宋"/>
          <w:color w:val="auto"/>
          <w:spacing w:val="-8"/>
          <w:sz w:val="24"/>
          <w:szCs w:val="24"/>
          <w:highlight w:val="none"/>
        </w:rPr>
        <w:t>样品</w:t>
      </w:r>
    </w:p>
    <w:p w14:paraId="43358D8F">
      <w:pPr>
        <w:spacing w:before="293" w:line="219" w:lineRule="auto"/>
        <w:ind w:left="2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8.6.1  样品的报送与封存</w:t>
      </w:r>
    </w:p>
    <w:p w14:paraId="52FF80F2">
      <w:pPr>
        <w:spacing w:before="174" w:line="219" w:lineRule="auto"/>
        <w:ind w:left="553"/>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需要承包人报送样品的材料或工程设备，样品的种类、名称、规格、数量要求：</w:t>
      </w:r>
      <w:r>
        <w:rPr>
          <w:rFonts w:ascii="仿宋" w:hAnsi="仿宋" w:eastAsia="仿宋" w:cs="仿宋"/>
          <w:color w:val="auto"/>
          <w:spacing w:val="-4"/>
          <w:sz w:val="24"/>
          <w:szCs w:val="24"/>
          <w:highlight w:val="none"/>
          <w:u w:val="single" w:color="auto"/>
        </w:rPr>
        <w:t xml:space="preserve">  </w:t>
      </w:r>
    </w:p>
    <w:p w14:paraId="6FDDA1A7">
      <w:pPr>
        <w:tabs>
          <w:tab w:val="left" w:pos="6837"/>
        </w:tabs>
        <w:spacing w:before="21"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8"/>
          <w:w w:val="101"/>
          <w:sz w:val="6"/>
          <w:szCs w:val="6"/>
          <w:highlight w:val="none"/>
        </w:rPr>
        <w:t xml:space="preserve"> </w:t>
      </w:r>
      <w:r>
        <w:rPr>
          <w:rFonts w:ascii="仿宋" w:hAnsi="仿宋" w:eastAsia="仿宋" w:cs="仿宋"/>
          <w:color w:val="auto"/>
          <w:sz w:val="6"/>
          <w:szCs w:val="6"/>
          <w:highlight w:val="none"/>
        </w:rPr>
        <w:t>。</w:t>
      </w:r>
    </w:p>
    <w:p w14:paraId="3996DEC1">
      <w:pPr>
        <w:spacing w:line="95" w:lineRule="auto"/>
        <w:rPr>
          <w:rFonts w:ascii="仿宋" w:hAnsi="仿宋" w:eastAsia="仿宋" w:cs="仿宋"/>
          <w:color w:val="auto"/>
          <w:sz w:val="6"/>
          <w:szCs w:val="6"/>
          <w:highlight w:val="none"/>
        </w:rPr>
        <w:sectPr>
          <w:headerReference r:id="rId47" w:type="default"/>
          <w:footerReference r:id="rId48" w:type="default"/>
          <w:pgSz w:w="11906" w:h="16840"/>
          <w:pgMar w:top="400" w:right="1427" w:bottom="1174" w:left="1418" w:header="0" w:footer="928" w:gutter="0"/>
          <w:pgNumType w:fmt="decimal"/>
          <w:cols w:space="720" w:num="1"/>
        </w:sectPr>
      </w:pPr>
    </w:p>
    <w:p w14:paraId="612E86DC">
      <w:pPr>
        <w:pStyle w:val="3"/>
        <w:spacing w:line="241" w:lineRule="auto"/>
        <w:rPr>
          <w:color w:val="auto"/>
          <w:highlight w:val="none"/>
        </w:rPr>
      </w:pPr>
    </w:p>
    <w:p w14:paraId="5D8BC878">
      <w:pPr>
        <w:pStyle w:val="3"/>
        <w:spacing w:line="241" w:lineRule="auto"/>
        <w:rPr>
          <w:color w:val="auto"/>
          <w:highlight w:val="none"/>
        </w:rPr>
      </w:pPr>
    </w:p>
    <w:p w14:paraId="0643A4B1">
      <w:pPr>
        <w:pStyle w:val="3"/>
        <w:spacing w:line="242" w:lineRule="auto"/>
        <w:rPr>
          <w:color w:val="auto"/>
          <w:highlight w:val="none"/>
        </w:rPr>
      </w:pPr>
    </w:p>
    <w:p w14:paraId="1F138C6A">
      <w:pPr>
        <w:pStyle w:val="3"/>
        <w:spacing w:line="242" w:lineRule="auto"/>
        <w:rPr>
          <w:color w:val="auto"/>
          <w:highlight w:val="none"/>
        </w:rPr>
      </w:pPr>
    </w:p>
    <w:p w14:paraId="519790DD">
      <w:pPr>
        <w:spacing w:before="78" w:line="223" w:lineRule="auto"/>
        <w:ind w:left="2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8.8 施工设备和临时设施</w:t>
      </w:r>
    </w:p>
    <w:p w14:paraId="3DD7BFB0">
      <w:pPr>
        <w:spacing w:before="285" w:line="293" w:lineRule="auto"/>
        <w:ind w:left="545" w:right="4766" w:hanging="51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8.8.1 承包人提供的施工设备和临时设施</w:t>
      </w:r>
      <w:r>
        <w:rPr>
          <w:rFonts w:ascii="仿宋" w:hAnsi="仿宋" w:eastAsia="仿宋" w:cs="仿宋"/>
          <w:color w:val="auto"/>
          <w:spacing w:val="-8"/>
          <w:sz w:val="24"/>
          <w:szCs w:val="24"/>
          <w:highlight w:val="none"/>
        </w:rPr>
        <w:t>关于修建临时设施费用承担的约定：</w:t>
      </w:r>
    </w:p>
    <w:p w14:paraId="394642DA">
      <w:pPr>
        <w:tabs>
          <w:tab w:val="left" w:pos="6762"/>
        </w:tabs>
        <w:spacing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3E9040BE">
      <w:pPr>
        <w:pStyle w:val="3"/>
        <w:spacing w:line="286" w:lineRule="auto"/>
        <w:rPr>
          <w:color w:val="auto"/>
          <w:highlight w:val="none"/>
        </w:rPr>
      </w:pPr>
    </w:p>
    <w:p w14:paraId="1F4F19BB">
      <w:pPr>
        <w:spacing w:before="78" w:line="220" w:lineRule="auto"/>
        <w:ind w:left="28"/>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9.</w:t>
      </w:r>
      <w:r>
        <w:rPr>
          <w:rFonts w:ascii="仿宋" w:hAnsi="仿宋" w:eastAsia="仿宋" w:cs="仿宋"/>
          <w:color w:val="auto"/>
          <w:spacing w:val="25"/>
          <w:sz w:val="24"/>
          <w:szCs w:val="24"/>
          <w:highlight w:val="none"/>
        </w:rPr>
        <w:t xml:space="preserve"> </w:t>
      </w:r>
      <w:r>
        <w:rPr>
          <w:rFonts w:ascii="仿宋" w:hAnsi="仿宋" w:eastAsia="仿宋" w:cs="仿宋"/>
          <w:b/>
          <w:bCs/>
          <w:color w:val="auto"/>
          <w:spacing w:val="-10"/>
          <w:sz w:val="24"/>
          <w:szCs w:val="24"/>
          <w:highlight w:val="none"/>
        </w:rPr>
        <w:t>试验与检验</w:t>
      </w:r>
    </w:p>
    <w:p w14:paraId="1B03E182">
      <w:pPr>
        <w:spacing w:before="297" w:line="224" w:lineRule="auto"/>
        <w:ind w:left="28"/>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9.1</w:t>
      </w:r>
      <w:r>
        <w:rPr>
          <w:rFonts w:ascii="仿宋" w:hAnsi="仿宋" w:eastAsia="仿宋" w:cs="仿宋"/>
          <w:color w:val="auto"/>
          <w:spacing w:val="-25"/>
          <w:sz w:val="24"/>
          <w:szCs w:val="24"/>
          <w:highlight w:val="none"/>
        </w:rPr>
        <w:t xml:space="preserve"> </w:t>
      </w:r>
      <w:r>
        <w:rPr>
          <w:rFonts w:ascii="仿宋" w:hAnsi="仿宋" w:eastAsia="仿宋" w:cs="仿宋"/>
          <w:color w:val="auto"/>
          <w:spacing w:val="-5"/>
          <w:sz w:val="24"/>
          <w:szCs w:val="24"/>
          <w:highlight w:val="none"/>
        </w:rPr>
        <w:t>试验设备与试验人员</w:t>
      </w:r>
    </w:p>
    <w:p w14:paraId="7538BEA4">
      <w:pPr>
        <w:spacing w:before="287" w:line="224" w:lineRule="auto"/>
        <w:ind w:left="2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9.1.2 试验设备</w:t>
      </w:r>
    </w:p>
    <w:p w14:paraId="7BAC208E">
      <w:pPr>
        <w:spacing w:before="163" w:line="189" w:lineRule="auto"/>
        <w:ind w:left="524"/>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施工现场需要配置的试验场所：</w:t>
      </w:r>
    </w:p>
    <w:p w14:paraId="377F79E5">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2F615A37">
      <w:pPr>
        <w:spacing w:before="254" w:line="189" w:lineRule="auto"/>
        <w:ind w:left="524"/>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施工现场需要配备的试验设备：</w:t>
      </w:r>
    </w:p>
    <w:p w14:paraId="3F05D427">
      <w:pPr>
        <w:tabs>
          <w:tab w:val="left" w:pos="6882"/>
        </w:tabs>
        <w:spacing w:before="54"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4D82D471">
      <w:pPr>
        <w:spacing w:before="249" w:line="189" w:lineRule="auto"/>
        <w:ind w:left="524"/>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施工现场需要具备的其他试验条件：</w:t>
      </w:r>
    </w:p>
    <w:p w14:paraId="68B9726C">
      <w:pPr>
        <w:tabs>
          <w:tab w:val="left" w:pos="6882"/>
        </w:tabs>
        <w:spacing w:before="61"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77808693">
      <w:pPr>
        <w:spacing w:before="254" w:line="223" w:lineRule="auto"/>
        <w:ind w:left="2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9.4 现场工艺试验</w:t>
      </w:r>
    </w:p>
    <w:p w14:paraId="45C53C47">
      <w:pPr>
        <w:spacing w:before="285" w:line="189" w:lineRule="auto"/>
        <w:ind w:left="524"/>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现场工艺试验的有关约定：</w:t>
      </w:r>
    </w:p>
    <w:p w14:paraId="4F2B6CDB">
      <w:pPr>
        <w:tabs>
          <w:tab w:val="left" w:pos="6882"/>
        </w:tabs>
        <w:spacing w:before="63"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4F68DA8F">
      <w:pPr>
        <w:spacing w:before="89" w:line="224" w:lineRule="auto"/>
        <w:ind w:left="76"/>
        <w:rPr>
          <w:rFonts w:ascii="仿宋" w:hAnsi="仿宋" w:eastAsia="仿宋" w:cs="仿宋"/>
          <w:color w:val="auto"/>
          <w:sz w:val="24"/>
          <w:szCs w:val="24"/>
          <w:highlight w:val="none"/>
        </w:rPr>
      </w:pPr>
      <w:r>
        <w:rPr>
          <w:rFonts w:ascii="仿宋" w:hAnsi="仿宋" w:eastAsia="仿宋" w:cs="仿宋"/>
          <w:b/>
          <w:bCs/>
          <w:color w:val="auto"/>
          <w:spacing w:val="-19"/>
          <w:sz w:val="24"/>
          <w:szCs w:val="24"/>
          <w:highlight w:val="none"/>
        </w:rPr>
        <w:t>10.</w:t>
      </w:r>
      <w:r>
        <w:rPr>
          <w:rFonts w:ascii="仿宋" w:hAnsi="仿宋" w:eastAsia="仿宋" w:cs="仿宋"/>
          <w:color w:val="auto"/>
          <w:spacing w:val="40"/>
          <w:sz w:val="24"/>
          <w:szCs w:val="24"/>
          <w:highlight w:val="none"/>
        </w:rPr>
        <w:t xml:space="preserve"> </w:t>
      </w:r>
      <w:r>
        <w:rPr>
          <w:rFonts w:ascii="仿宋" w:hAnsi="仿宋" w:eastAsia="仿宋" w:cs="仿宋"/>
          <w:b/>
          <w:bCs/>
          <w:color w:val="auto"/>
          <w:spacing w:val="-19"/>
          <w:sz w:val="24"/>
          <w:szCs w:val="24"/>
          <w:highlight w:val="none"/>
        </w:rPr>
        <w:t>变更</w:t>
      </w:r>
    </w:p>
    <w:p w14:paraId="18693BCE">
      <w:pPr>
        <w:spacing w:before="282" w:line="223"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10.1 变更的范围</w:t>
      </w:r>
    </w:p>
    <w:p w14:paraId="339DCC76">
      <w:pPr>
        <w:spacing w:before="290" w:line="189" w:lineRule="auto"/>
        <w:ind w:left="66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关于变更范围的约定：</w:t>
      </w:r>
    </w:p>
    <w:p w14:paraId="6A93AB1A">
      <w:pPr>
        <w:tabs>
          <w:tab w:val="left" w:pos="6882"/>
        </w:tabs>
        <w:spacing w:before="57"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59987BD9">
      <w:pPr>
        <w:spacing w:before="247" w:line="220" w:lineRule="auto"/>
        <w:ind w:left="76"/>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10.4</w:t>
      </w:r>
      <w:r>
        <w:rPr>
          <w:rFonts w:ascii="仿宋" w:hAnsi="仿宋" w:eastAsia="仿宋" w:cs="仿宋"/>
          <w:color w:val="auto"/>
          <w:spacing w:val="57"/>
          <w:sz w:val="24"/>
          <w:szCs w:val="24"/>
          <w:highlight w:val="none"/>
        </w:rPr>
        <w:t xml:space="preserve"> </w:t>
      </w:r>
      <w:r>
        <w:rPr>
          <w:rFonts w:ascii="仿宋" w:hAnsi="仿宋" w:eastAsia="仿宋" w:cs="仿宋"/>
          <w:color w:val="auto"/>
          <w:spacing w:val="-13"/>
          <w:sz w:val="24"/>
          <w:szCs w:val="24"/>
          <w:highlight w:val="none"/>
        </w:rPr>
        <w:t>变更估价</w:t>
      </w:r>
    </w:p>
    <w:p w14:paraId="3D682517">
      <w:pPr>
        <w:spacing w:before="293" w:line="220"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10.4.1</w:t>
      </w:r>
      <w:r>
        <w:rPr>
          <w:rFonts w:ascii="仿宋" w:hAnsi="仿宋" w:eastAsia="仿宋" w:cs="仿宋"/>
          <w:color w:val="auto"/>
          <w:spacing w:val="64"/>
          <w:sz w:val="24"/>
          <w:szCs w:val="24"/>
          <w:highlight w:val="none"/>
        </w:rPr>
        <w:t xml:space="preserve"> </w:t>
      </w:r>
      <w:r>
        <w:rPr>
          <w:rFonts w:ascii="仿宋" w:hAnsi="仿宋" w:eastAsia="仿宋" w:cs="仿宋"/>
          <w:color w:val="auto"/>
          <w:spacing w:val="-10"/>
          <w:sz w:val="24"/>
          <w:szCs w:val="24"/>
          <w:highlight w:val="none"/>
        </w:rPr>
        <w:t>变更估价原则</w:t>
      </w:r>
    </w:p>
    <w:p w14:paraId="078B0C05">
      <w:pPr>
        <w:spacing w:before="174" w:line="189" w:lineRule="auto"/>
        <w:ind w:left="54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关于变更估价的约定：</w:t>
      </w:r>
    </w:p>
    <w:p w14:paraId="155F800D">
      <w:pPr>
        <w:tabs>
          <w:tab w:val="left" w:pos="6882"/>
        </w:tabs>
        <w:spacing w:before="61"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465F56C4">
      <w:pPr>
        <w:spacing w:before="249" w:line="222" w:lineRule="auto"/>
        <w:ind w:left="76"/>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10.5承包人的合理化建议</w:t>
      </w:r>
    </w:p>
    <w:p w14:paraId="518A3382">
      <w:pPr>
        <w:pStyle w:val="3"/>
        <w:spacing w:line="248" w:lineRule="auto"/>
        <w:rPr>
          <w:color w:val="auto"/>
          <w:highlight w:val="none"/>
        </w:rPr>
      </w:pPr>
    </w:p>
    <w:p w14:paraId="5189F365">
      <w:pPr>
        <w:spacing w:before="79" w:line="222" w:lineRule="auto"/>
        <w:ind w:left="54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监理人审查承包人合理化建议的期限：</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4"/>
          <w:sz w:val="24"/>
          <w:szCs w:val="24"/>
          <w:highlight w:val="none"/>
        </w:rPr>
        <w:t>。</w:t>
      </w:r>
    </w:p>
    <w:p w14:paraId="7DC25D7B">
      <w:pPr>
        <w:spacing w:before="129" w:line="222" w:lineRule="auto"/>
        <w:ind w:left="54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发包人审批承包人合理化建议的期限：</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4"/>
          <w:sz w:val="24"/>
          <w:szCs w:val="24"/>
          <w:highlight w:val="none"/>
        </w:rPr>
        <w:t>。</w:t>
      </w:r>
    </w:p>
    <w:p w14:paraId="78C3512B">
      <w:pPr>
        <w:spacing w:before="208" w:line="326" w:lineRule="auto"/>
        <w:ind w:left="45" w:right="206" w:firstLine="480"/>
        <w:rPr>
          <w:rFonts w:ascii="仿宋" w:hAnsi="仿宋" w:eastAsia="仿宋" w:cs="仿宋"/>
          <w:color w:val="auto"/>
          <w:sz w:val="6"/>
          <w:szCs w:val="6"/>
          <w:highlight w:val="none"/>
        </w:rPr>
      </w:pPr>
      <w:r>
        <w:rPr>
          <w:rFonts w:ascii="仿宋" w:hAnsi="仿宋" w:eastAsia="仿宋" w:cs="仿宋"/>
          <w:color w:val="auto"/>
          <w:spacing w:val="-2"/>
          <w:sz w:val="24"/>
          <w:szCs w:val="24"/>
          <w:highlight w:val="none"/>
        </w:rPr>
        <w:t>承包人提出的合理化建议降低了合同价格或者提高了工程经济效益的奖励的方法</w:t>
      </w:r>
      <w:r>
        <w:rPr>
          <w:rFonts w:ascii="仿宋" w:hAnsi="仿宋" w:eastAsia="仿宋" w:cs="仿宋"/>
          <w:color w:val="auto"/>
          <w:spacing w:val="-8"/>
          <w:sz w:val="24"/>
          <w:szCs w:val="24"/>
          <w:highlight w:val="none"/>
        </w:rPr>
        <w:t>和金额为：</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78"/>
          <w:sz w:val="24"/>
          <w:szCs w:val="24"/>
          <w:highlight w:val="none"/>
        </w:rPr>
        <w:t xml:space="preserve"> </w:t>
      </w:r>
      <w:r>
        <w:rPr>
          <w:rFonts w:ascii="仿宋" w:hAnsi="仿宋" w:eastAsia="仿宋" w:cs="仿宋"/>
          <w:color w:val="auto"/>
          <w:spacing w:val="-8"/>
          <w:sz w:val="6"/>
          <w:szCs w:val="6"/>
          <w:highlight w:val="none"/>
        </w:rPr>
        <w:t>。</w:t>
      </w:r>
    </w:p>
    <w:p w14:paraId="2603C45E">
      <w:pPr>
        <w:spacing w:before="215" w:line="220" w:lineRule="auto"/>
        <w:ind w:left="76"/>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10.7</w:t>
      </w:r>
      <w:r>
        <w:rPr>
          <w:rFonts w:ascii="仿宋" w:hAnsi="仿宋" w:eastAsia="仿宋" w:cs="仿宋"/>
          <w:color w:val="auto"/>
          <w:spacing w:val="44"/>
          <w:sz w:val="24"/>
          <w:szCs w:val="24"/>
          <w:highlight w:val="none"/>
        </w:rPr>
        <w:t xml:space="preserve"> </w:t>
      </w:r>
      <w:r>
        <w:rPr>
          <w:rFonts w:ascii="仿宋" w:hAnsi="仿宋" w:eastAsia="仿宋" w:cs="仿宋"/>
          <w:color w:val="auto"/>
          <w:spacing w:val="-13"/>
          <w:sz w:val="24"/>
          <w:szCs w:val="24"/>
          <w:highlight w:val="none"/>
        </w:rPr>
        <w:t>暂估价</w:t>
      </w:r>
    </w:p>
    <w:p w14:paraId="3DA851D3">
      <w:pPr>
        <w:spacing w:line="220" w:lineRule="auto"/>
        <w:rPr>
          <w:rFonts w:ascii="仿宋" w:hAnsi="仿宋" w:eastAsia="仿宋" w:cs="仿宋"/>
          <w:color w:val="auto"/>
          <w:sz w:val="24"/>
          <w:szCs w:val="24"/>
          <w:highlight w:val="none"/>
        </w:rPr>
        <w:sectPr>
          <w:footerReference r:id="rId49" w:type="default"/>
          <w:pgSz w:w="11906" w:h="16840"/>
          <w:pgMar w:top="400" w:right="1423" w:bottom="1174" w:left="1418" w:header="0" w:footer="928" w:gutter="0"/>
          <w:pgNumType w:fmt="decimal"/>
          <w:cols w:space="720" w:num="1"/>
        </w:sectPr>
      </w:pPr>
    </w:p>
    <w:p w14:paraId="71BE6E78">
      <w:pPr>
        <w:pStyle w:val="3"/>
        <w:spacing w:line="281" w:lineRule="auto"/>
        <w:rPr>
          <w:color w:val="auto"/>
          <w:highlight w:val="none"/>
        </w:rPr>
      </w:pPr>
    </w:p>
    <w:p w14:paraId="72C168AC">
      <w:pPr>
        <w:pStyle w:val="3"/>
        <w:spacing w:line="281" w:lineRule="auto"/>
        <w:rPr>
          <w:color w:val="auto"/>
          <w:highlight w:val="none"/>
        </w:rPr>
      </w:pPr>
    </w:p>
    <w:p w14:paraId="4C160B43">
      <w:pPr>
        <w:pStyle w:val="3"/>
        <w:spacing w:line="281" w:lineRule="auto"/>
        <w:rPr>
          <w:color w:val="auto"/>
          <w:highlight w:val="none"/>
        </w:rPr>
      </w:pPr>
    </w:p>
    <w:p w14:paraId="2F60F5BD">
      <w:pPr>
        <w:pStyle w:val="3"/>
        <w:spacing w:line="281" w:lineRule="auto"/>
        <w:rPr>
          <w:color w:val="auto"/>
          <w:highlight w:val="none"/>
        </w:rPr>
      </w:pPr>
    </w:p>
    <w:p w14:paraId="15EA5575">
      <w:pPr>
        <w:spacing w:before="78" w:line="220" w:lineRule="auto"/>
        <w:ind w:left="545"/>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暂估价材料和工程设备的明细详见附件 11：《暂估价一览表》。</w:t>
      </w:r>
    </w:p>
    <w:p w14:paraId="24735B6A">
      <w:pPr>
        <w:spacing w:before="172" w:line="220" w:lineRule="auto"/>
        <w:ind w:left="7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10.7.1 依法必须招标的暂估价项目</w:t>
      </w:r>
    </w:p>
    <w:p w14:paraId="631A1D34">
      <w:pPr>
        <w:spacing w:before="208" w:line="220" w:lineRule="auto"/>
        <w:ind w:left="53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对于依法必须招标的暂估价项目的确认和批准采取第</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66"/>
          <w:sz w:val="24"/>
          <w:szCs w:val="24"/>
          <w:highlight w:val="none"/>
        </w:rPr>
        <w:t xml:space="preserve"> </w:t>
      </w:r>
      <w:r>
        <w:rPr>
          <w:rFonts w:ascii="仿宋" w:hAnsi="仿宋" w:eastAsia="仿宋" w:cs="仿宋"/>
          <w:color w:val="auto"/>
          <w:spacing w:val="-6"/>
          <w:sz w:val="24"/>
          <w:szCs w:val="24"/>
          <w:highlight w:val="none"/>
        </w:rPr>
        <w:t>种方式确定。</w:t>
      </w:r>
    </w:p>
    <w:p w14:paraId="28B5E3F4">
      <w:pPr>
        <w:spacing w:before="131" w:line="220" w:lineRule="auto"/>
        <w:ind w:left="7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10.7.2 不属于依法必须招标的暂估价项目</w:t>
      </w:r>
    </w:p>
    <w:p w14:paraId="0666D4CA">
      <w:pPr>
        <w:spacing w:before="173" w:line="352" w:lineRule="auto"/>
        <w:ind w:left="556" w:right="478" w:hanging="2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对于不属于依法必须招标的暂估价项目的确认和批准采取第</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 xml:space="preserve"> 种方式确定。</w:t>
      </w:r>
      <w:r>
        <w:rPr>
          <w:rFonts w:ascii="仿宋" w:hAnsi="仿宋" w:eastAsia="仿宋" w:cs="仿宋"/>
          <w:color w:val="auto"/>
          <w:spacing w:val="-9"/>
          <w:sz w:val="24"/>
          <w:szCs w:val="24"/>
          <w:highlight w:val="none"/>
        </w:rPr>
        <w:t>第 3 种方式：承包人直接实施的暂估价项目</w:t>
      </w:r>
    </w:p>
    <w:p w14:paraId="1AA44783">
      <w:pPr>
        <w:spacing w:before="1" w:line="188" w:lineRule="auto"/>
        <w:ind w:left="52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承包人直接实施的暂估价项目的约定：</w:t>
      </w:r>
    </w:p>
    <w:p w14:paraId="3CE6F4C3">
      <w:pPr>
        <w:tabs>
          <w:tab w:val="left" w:pos="6882"/>
        </w:tabs>
        <w:spacing w:before="57"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5B321DE8">
      <w:pPr>
        <w:spacing w:before="252" w:line="222"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10.8</w:t>
      </w:r>
      <w:r>
        <w:rPr>
          <w:rFonts w:ascii="仿宋" w:hAnsi="仿宋" w:eastAsia="仿宋" w:cs="仿宋"/>
          <w:color w:val="auto"/>
          <w:spacing w:val="47"/>
          <w:sz w:val="24"/>
          <w:szCs w:val="24"/>
          <w:highlight w:val="none"/>
        </w:rPr>
        <w:t xml:space="preserve"> </w:t>
      </w:r>
      <w:r>
        <w:rPr>
          <w:rFonts w:ascii="仿宋" w:hAnsi="仿宋" w:eastAsia="仿宋" w:cs="仿宋"/>
          <w:color w:val="auto"/>
          <w:spacing w:val="-12"/>
          <w:sz w:val="24"/>
          <w:szCs w:val="24"/>
          <w:highlight w:val="none"/>
        </w:rPr>
        <w:t>暂列金额</w:t>
      </w:r>
    </w:p>
    <w:p w14:paraId="0E384FE1">
      <w:pPr>
        <w:spacing w:before="292" w:line="189" w:lineRule="auto"/>
        <w:ind w:left="54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合同当事人关于暂列金额使用的约定：</w:t>
      </w:r>
    </w:p>
    <w:p w14:paraId="6805146E">
      <w:pPr>
        <w:tabs>
          <w:tab w:val="left" w:pos="6882"/>
        </w:tabs>
        <w:spacing w:before="57"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4E3BBE6C">
      <w:pPr>
        <w:pStyle w:val="3"/>
        <w:spacing w:line="289" w:lineRule="auto"/>
        <w:rPr>
          <w:color w:val="auto"/>
          <w:highlight w:val="none"/>
        </w:rPr>
      </w:pPr>
    </w:p>
    <w:p w14:paraId="29636E7E">
      <w:pPr>
        <w:spacing w:before="79" w:line="222" w:lineRule="auto"/>
        <w:ind w:left="76"/>
        <w:rPr>
          <w:rFonts w:ascii="仿宋" w:hAnsi="仿宋" w:eastAsia="仿宋" w:cs="仿宋"/>
          <w:color w:val="auto"/>
          <w:sz w:val="24"/>
          <w:szCs w:val="24"/>
          <w:highlight w:val="none"/>
        </w:rPr>
      </w:pPr>
      <w:r>
        <w:rPr>
          <w:rFonts w:ascii="仿宋" w:hAnsi="仿宋" w:eastAsia="仿宋" w:cs="仿宋"/>
          <w:b/>
          <w:bCs/>
          <w:color w:val="auto"/>
          <w:spacing w:val="-16"/>
          <w:sz w:val="24"/>
          <w:szCs w:val="24"/>
          <w:highlight w:val="none"/>
        </w:rPr>
        <w:t>11.</w:t>
      </w:r>
      <w:r>
        <w:rPr>
          <w:rFonts w:ascii="仿宋" w:hAnsi="仿宋" w:eastAsia="仿宋" w:cs="仿宋"/>
          <w:color w:val="auto"/>
          <w:spacing w:val="31"/>
          <w:sz w:val="24"/>
          <w:szCs w:val="24"/>
          <w:highlight w:val="none"/>
        </w:rPr>
        <w:t xml:space="preserve"> </w:t>
      </w:r>
      <w:r>
        <w:rPr>
          <w:rFonts w:ascii="仿宋" w:hAnsi="仿宋" w:eastAsia="仿宋" w:cs="仿宋"/>
          <w:b/>
          <w:bCs/>
          <w:color w:val="auto"/>
          <w:spacing w:val="-16"/>
          <w:sz w:val="24"/>
          <w:szCs w:val="24"/>
          <w:highlight w:val="none"/>
        </w:rPr>
        <w:t>价格调整</w:t>
      </w:r>
    </w:p>
    <w:p w14:paraId="274F2BAD">
      <w:pPr>
        <w:spacing w:before="295" w:line="222" w:lineRule="auto"/>
        <w:ind w:left="7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11.1 市场价格波动引起的调整</w:t>
      </w:r>
    </w:p>
    <w:p w14:paraId="4BA50F9F">
      <w:pPr>
        <w:pStyle w:val="3"/>
        <w:spacing w:line="246" w:lineRule="auto"/>
        <w:rPr>
          <w:color w:val="auto"/>
          <w:highlight w:val="none"/>
        </w:rPr>
      </w:pPr>
    </w:p>
    <w:p w14:paraId="7B229B21">
      <w:pPr>
        <w:spacing w:before="78" w:line="222" w:lineRule="auto"/>
        <w:ind w:left="54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市场价格波动是否调整合同价格的约定：</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65"/>
          <w:sz w:val="24"/>
          <w:szCs w:val="24"/>
          <w:highlight w:val="none"/>
        </w:rPr>
        <w:t xml:space="preserve"> </w:t>
      </w:r>
      <w:r>
        <w:rPr>
          <w:rFonts w:ascii="仿宋" w:hAnsi="仿宋" w:eastAsia="仿宋" w:cs="仿宋"/>
          <w:color w:val="auto"/>
          <w:spacing w:val="-3"/>
          <w:sz w:val="24"/>
          <w:szCs w:val="24"/>
          <w:highlight w:val="none"/>
        </w:rPr>
        <w:t>。</w:t>
      </w:r>
    </w:p>
    <w:p w14:paraId="3DC5F8E2">
      <w:pPr>
        <w:spacing w:before="139" w:line="333" w:lineRule="auto"/>
        <w:ind w:left="554" w:right="569" w:firstLine="14"/>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因市场价格波动调整合同价格，采用以下第</w:t>
      </w:r>
      <w:r>
        <w:rPr>
          <w:rFonts w:ascii="仿宋" w:hAnsi="仿宋" w:eastAsia="仿宋" w:cs="仿宋"/>
          <w:color w:val="auto"/>
          <w:spacing w:val="37"/>
          <w:sz w:val="24"/>
          <w:szCs w:val="24"/>
          <w:highlight w:val="none"/>
          <w:u w:val="single" w:color="auto"/>
        </w:rPr>
        <w:t xml:space="preserve">   </w:t>
      </w:r>
      <w:r>
        <w:rPr>
          <w:rFonts w:ascii="仿宋" w:hAnsi="仿宋" w:eastAsia="仿宋" w:cs="仿宋"/>
          <w:color w:val="auto"/>
          <w:spacing w:val="-60"/>
          <w:sz w:val="24"/>
          <w:szCs w:val="24"/>
          <w:highlight w:val="none"/>
        </w:rPr>
        <w:t xml:space="preserve"> </w:t>
      </w:r>
      <w:r>
        <w:rPr>
          <w:rFonts w:ascii="仿宋" w:hAnsi="仿宋" w:eastAsia="仿宋" w:cs="仿宋"/>
          <w:color w:val="auto"/>
          <w:spacing w:val="-9"/>
          <w:sz w:val="24"/>
          <w:szCs w:val="24"/>
          <w:highlight w:val="none"/>
        </w:rPr>
        <w:t>种方式对合同价格进行调整：第 1 种方式：采用价格指数进行价格调整。</w:t>
      </w:r>
    </w:p>
    <w:p w14:paraId="63581F87">
      <w:pPr>
        <w:spacing w:before="82" w:line="320" w:lineRule="auto"/>
        <w:ind w:left="61" w:right="1396" w:firstLine="484"/>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关于各可调因子、定值和变值权重，以及基本价格指数及其来源的约</w:t>
      </w:r>
      <w:r>
        <w:rPr>
          <w:rFonts w:ascii="仿宋" w:hAnsi="仿宋" w:eastAsia="仿宋" w:cs="仿宋"/>
          <w:color w:val="auto"/>
          <w:spacing w:val="-21"/>
          <w:sz w:val="24"/>
          <w:szCs w:val="24"/>
          <w:highlight w:val="none"/>
        </w:rPr>
        <w:t>定</w:t>
      </w:r>
      <w:r>
        <w:rPr>
          <w:rFonts w:ascii="仿宋" w:hAnsi="仿宋" w:eastAsia="仿宋" w:cs="仿宋"/>
          <w:color w:val="auto"/>
          <w:spacing w:val="-14"/>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4"/>
          <w:sz w:val="24"/>
          <w:szCs w:val="24"/>
          <w:highlight w:val="none"/>
        </w:rPr>
        <w:t>；</w:t>
      </w:r>
    </w:p>
    <w:p w14:paraId="48E041C2">
      <w:pPr>
        <w:spacing w:before="43" w:line="221" w:lineRule="auto"/>
        <w:ind w:left="556"/>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第 2 种方式：采用造价信息进行价格调整。</w:t>
      </w:r>
    </w:p>
    <w:p w14:paraId="1E718480">
      <w:pPr>
        <w:spacing w:before="174" w:line="222" w:lineRule="auto"/>
        <w:ind w:left="542"/>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（2）关于基准价格的约定：</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4"/>
          <w:sz w:val="24"/>
          <w:szCs w:val="24"/>
          <w:highlight w:val="none"/>
        </w:rPr>
        <w:t>。</w:t>
      </w:r>
    </w:p>
    <w:p w14:paraId="25A15C24">
      <w:pPr>
        <w:spacing w:before="204" w:line="338" w:lineRule="auto"/>
        <w:ind w:left="44" w:right="4" w:firstLine="48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专用合同条款①承包人在已标价工程量清单或预算书中载明的材料单价低于基准价格的：专用合同条款合同履行期间材料单价涨幅以基准价格为基础超过</w:t>
      </w:r>
      <w:r>
        <w:rPr>
          <w:rFonts w:ascii="仿宋" w:hAnsi="仿宋" w:eastAsia="仿宋" w:cs="仿宋"/>
          <w:color w:val="auto"/>
          <w:spacing w:val="59"/>
          <w:sz w:val="24"/>
          <w:szCs w:val="24"/>
          <w:highlight w:val="none"/>
          <w:u w:val="single" w:color="auto"/>
        </w:rPr>
        <w:t xml:space="preserve">  </w:t>
      </w:r>
      <w:r>
        <w:rPr>
          <w:rFonts w:ascii="仿宋" w:hAnsi="仿宋" w:eastAsia="仿宋" w:cs="仿宋"/>
          <w:color w:val="auto"/>
          <w:spacing w:val="-3"/>
          <w:sz w:val="24"/>
          <w:szCs w:val="24"/>
          <w:highlight w:val="none"/>
        </w:rPr>
        <w:t>%时，或材料单价跌幅以已标价工程量清单或预算书中载明材料单价为基础超过</w:t>
      </w:r>
      <w:r>
        <w:rPr>
          <w:rFonts w:ascii="仿宋" w:hAnsi="仿宋" w:eastAsia="仿宋" w:cs="仿宋"/>
          <w:color w:val="auto"/>
          <w:spacing w:val="61"/>
          <w:sz w:val="24"/>
          <w:szCs w:val="24"/>
          <w:highlight w:val="none"/>
          <w:u w:val="single" w:color="auto"/>
        </w:rPr>
        <w:t xml:space="preserve">  </w:t>
      </w:r>
      <w:r>
        <w:rPr>
          <w:rFonts w:ascii="仿宋" w:hAnsi="仿宋" w:eastAsia="仿宋" w:cs="仿宋"/>
          <w:color w:val="auto"/>
          <w:spacing w:val="-3"/>
          <w:sz w:val="24"/>
          <w:szCs w:val="24"/>
          <w:highlight w:val="none"/>
        </w:rPr>
        <w:t>%时，其超过部</w:t>
      </w:r>
      <w:r>
        <w:rPr>
          <w:rFonts w:ascii="仿宋" w:hAnsi="仿宋" w:eastAsia="仿宋" w:cs="仿宋"/>
          <w:color w:val="auto"/>
          <w:spacing w:val="-6"/>
          <w:sz w:val="24"/>
          <w:szCs w:val="24"/>
          <w:highlight w:val="none"/>
        </w:rPr>
        <w:t>分据实调整。</w:t>
      </w:r>
    </w:p>
    <w:p w14:paraId="5ACB484E">
      <w:pPr>
        <w:spacing w:before="76" w:line="296" w:lineRule="auto"/>
        <w:ind w:left="50" w:firstLine="451"/>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②承包人在已标价工程量清单或预算书中载明的材料单价高于</w:t>
      </w:r>
      <w:r>
        <w:rPr>
          <w:rFonts w:ascii="仿宋" w:hAnsi="仿宋" w:eastAsia="仿宋" w:cs="仿宋"/>
          <w:color w:val="auto"/>
          <w:spacing w:val="-3"/>
          <w:sz w:val="24"/>
          <w:szCs w:val="24"/>
          <w:highlight w:val="none"/>
        </w:rPr>
        <w:t>基准价格的：专用合同条款合同履行期间材料单价跌幅以基准价格为基础超过</w:t>
      </w:r>
      <w:r>
        <w:rPr>
          <w:rFonts w:ascii="仿宋" w:hAnsi="仿宋" w:eastAsia="仿宋" w:cs="仿宋"/>
          <w:color w:val="auto"/>
          <w:spacing w:val="60"/>
          <w:sz w:val="24"/>
          <w:szCs w:val="24"/>
          <w:highlight w:val="none"/>
          <w:u w:val="single" w:color="auto"/>
        </w:rPr>
        <w:t xml:space="preserve">  </w:t>
      </w:r>
      <w:r>
        <w:rPr>
          <w:rFonts w:ascii="仿宋" w:hAnsi="仿宋" w:eastAsia="仿宋" w:cs="仿宋"/>
          <w:color w:val="auto"/>
          <w:spacing w:val="-3"/>
          <w:sz w:val="24"/>
          <w:szCs w:val="24"/>
          <w:highlight w:val="none"/>
        </w:rPr>
        <w:t>%时，材料单价涨幅以已标</w:t>
      </w:r>
      <w:r>
        <w:rPr>
          <w:rFonts w:ascii="仿宋" w:hAnsi="仿宋" w:eastAsia="仿宋" w:cs="仿宋"/>
          <w:color w:val="auto"/>
          <w:spacing w:val="-1"/>
          <w:sz w:val="24"/>
          <w:szCs w:val="24"/>
          <w:highlight w:val="none"/>
        </w:rPr>
        <w:t>价工程量清单或预算书中载明材料单价为基础超过</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%时，其超过部分据实调整。</w:t>
      </w:r>
    </w:p>
    <w:p w14:paraId="099B6011">
      <w:pPr>
        <w:spacing w:before="219" w:line="269" w:lineRule="auto"/>
        <w:ind w:left="66" w:firstLine="599"/>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③承包人在已标价工程量清单或预算书中载明的材料单价等于基准单价的：专用</w:t>
      </w:r>
      <w:r>
        <w:rPr>
          <w:rFonts w:ascii="仿宋" w:hAnsi="仿宋" w:eastAsia="仿宋" w:cs="仿宋"/>
          <w:color w:val="auto"/>
          <w:spacing w:val="-3"/>
          <w:sz w:val="24"/>
          <w:szCs w:val="24"/>
          <w:highlight w:val="none"/>
        </w:rPr>
        <w:t>合同条款合同履行期间材料单价涨跌幅以基准单价为基础超过±</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%时，其</w:t>
      </w:r>
      <w:r>
        <w:rPr>
          <w:rFonts w:ascii="仿宋" w:hAnsi="仿宋" w:eastAsia="仿宋" w:cs="仿宋"/>
          <w:color w:val="auto"/>
          <w:spacing w:val="-4"/>
          <w:sz w:val="24"/>
          <w:szCs w:val="24"/>
          <w:highlight w:val="none"/>
        </w:rPr>
        <w:t>超过部分据</w:t>
      </w:r>
    </w:p>
    <w:p w14:paraId="6E860955">
      <w:pPr>
        <w:spacing w:line="269" w:lineRule="auto"/>
        <w:rPr>
          <w:rFonts w:ascii="仿宋" w:hAnsi="仿宋" w:eastAsia="仿宋" w:cs="仿宋"/>
          <w:color w:val="auto"/>
          <w:sz w:val="24"/>
          <w:szCs w:val="24"/>
          <w:highlight w:val="none"/>
        </w:rPr>
        <w:sectPr>
          <w:footerReference r:id="rId50" w:type="default"/>
          <w:pgSz w:w="11906" w:h="16840"/>
          <w:pgMar w:top="400" w:right="1425" w:bottom="1015" w:left="1418" w:header="0" w:footer="770" w:gutter="0"/>
          <w:pgNumType w:fmt="decimal"/>
          <w:cols w:space="720" w:num="1"/>
        </w:sectPr>
      </w:pPr>
    </w:p>
    <w:p w14:paraId="0DED5D13">
      <w:pPr>
        <w:pStyle w:val="3"/>
        <w:spacing w:line="289" w:lineRule="auto"/>
        <w:rPr>
          <w:color w:val="auto"/>
          <w:highlight w:val="none"/>
        </w:rPr>
      </w:pPr>
    </w:p>
    <w:p w14:paraId="49599A2A">
      <w:pPr>
        <w:pStyle w:val="3"/>
        <w:spacing w:line="290" w:lineRule="auto"/>
        <w:rPr>
          <w:color w:val="auto"/>
          <w:highlight w:val="none"/>
        </w:rPr>
      </w:pPr>
    </w:p>
    <w:p w14:paraId="1500E02E">
      <w:pPr>
        <w:pStyle w:val="3"/>
        <w:spacing w:line="290" w:lineRule="auto"/>
        <w:rPr>
          <w:color w:val="auto"/>
          <w:highlight w:val="none"/>
        </w:rPr>
      </w:pPr>
    </w:p>
    <w:p w14:paraId="48DF4480">
      <w:pPr>
        <w:spacing w:before="78" w:line="222" w:lineRule="auto"/>
        <w:ind w:left="61"/>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实调整。</w:t>
      </w:r>
    </w:p>
    <w:p w14:paraId="0A59B393">
      <w:pPr>
        <w:spacing w:before="164" w:line="221" w:lineRule="auto"/>
        <w:ind w:left="724"/>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第 3 种方式：其他价格调整方式：</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7"/>
          <w:sz w:val="24"/>
          <w:szCs w:val="24"/>
          <w:highlight w:val="none"/>
          <w:u w:val="single" w:color="auto"/>
        </w:rPr>
        <w:t xml:space="preserve">             </w:t>
      </w:r>
    </w:p>
    <w:p w14:paraId="541BA06D">
      <w:pPr>
        <w:pStyle w:val="3"/>
        <w:spacing w:line="330" w:lineRule="auto"/>
        <w:rPr>
          <w:color w:val="auto"/>
          <w:highlight w:val="none"/>
        </w:rPr>
      </w:pPr>
    </w:p>
    <w:p w14:paraId="485F2169">
      <w:pPr>
        <w:tabs>
          <w:tab w:val="left" w:pos="6837"/>
        </w:tabs>
        <w:spacing w:before="2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8"/>
          <w:w w:val="101"/>
          <w:sz w:val="6"/>
          <w:szCs w:val="6"/>
          <w:highlight w:val="none"/>
        </w:rPr>
        <w:t xml:space="preserve"> </w:t>
      </w:r>
      <w:r>
        <w:rPr>
          <w:rFonts w:ascii="仿宋" w:hAnsi="仿宋" w:eastAsia="仿宋" w:cs="仿宋"/>
          <w:color w:val="auto"/>
          <w:sz w:val="6"/>
          <w:szCs w:val="6"/>
          <w:highlight w:val="none"/>
        </w:rPr>
        <w:t>。</w:t>
      </w:r>
    </w:p>
    <w:p w14:paraId="24E37ED0">
      <w:pPr>
        <w:spacing w:before="88" w:line="222" w:lineRule="auto"/>
        <w:ind w:left="76"/>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12.</w:t>
      </w:r>
      <w:r>
        <w:rPr>
          <w:rFonts w:ascii="仿宋" w:hAnsi="仿宋" w:eastAsia="仿宋" w:cs="仿宋"/>
          <w:color w:val="auto"/>
          <w:spacing w:val="-10"/>
          <w:sz w:val="24"/>
          <w:szCs w:val="24"/>
          <w:highlight w:val="none"/>
        </w:rPr>
        <w:t xml:space="preserve"> </w:t>
      </w:r>
      <w:r>
        <w:rPr>
          <w:rFonts w:ascii="仿宋" w:hAnsi="仿宋" w:eastAsia="仿宋" w:cs="仿宋"/>
          <w:b/>
          <w:bCs/>
          <w:color w:val="auto"/>
          <w:spacing w:val="-10"/>
          <w:sz w:val="24"/>
          <w:szCs w:val="24"/>
          <w:highlight w:val="none"/>
        </w:rPr>
        <w:t>合同价格、计量与支付</w:t>
      </w:r>
    </w:p>
    <w:p w14:paraId="24E2CB7A">
      <w:pPr>
        <w:spacing w:before="287" w:line="222" w:lineRule="auto"/>
        <w:ind w:left="76"/>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12.1</w:t>
      </w:r>
      <w:r>
        <w:rPr>
          <w:rFonts w:ascii="仿宋" w:hAnsi="仿宋" w:eastAsia="仿宋" w:cs="仿宋"/>
          <w:color w:val="auto"/>
          <w:spacing w:val="54"/>
          <w:sz w:val="24"/>
          <w:szCs w:val="24"/>
          <w:highlight w:val="none"/>
        </w:rPr>
        <w:t xml:space="preserve"> </w:t>
      </w:r>
      <w:r>
        <w:rPr>
          <w:rFonts w:ascii="仿宋" w:hAnsi="仿宋" w:eastAsia="仿宋" w:cs="仿宋"/>
          <w:color w:val="auto"/>
          <w:spacing w:val="-11"/>
          <w:sz w:val="24"/>
          <w:szCs w:val="24"/>
          <w:highlight w:val="none"/>
        </w:rPr>
        <w:t>合同价格形式</w:t>
      </w:r>
    </w:p>
    <w:p w14:paraId="388FF9ED">
      <w:pPr>
        <w:spacing w:before="284" w:line="221" w:lineRule="auto"/>
        <w:ind w:left="76"/>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1.单价合同。</w:t>
      </w:r>
    </w:p>
    <w:p w14:paraId="1A0A49F7">
      <w:pPr>
        <w:spacing w:before="174" w:line="221" w:lineRule="auto"/>
        <w:ind w:left="53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综合单价包含的风险范围：</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4"/>
          <w:sz w:val="24"/>
          <w:szCs w:val="24"/>
          <w:highlight w:val="none"/>
          <w:u w:val="single" w:color="auto"/>
        </w:rPr>
        <w:t xml:space="preserve">                     </w:t>
      </w:r>
    </w:p>
    <w:p w14:paraId="3E46597C">
      <w:pPr>
        <w:spacing w:before="240" w:line="189" w:lineRule="auto"/>
        <w:ind w:left="53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风险费用的计算方法：</w:t>
      </w:r>
    </w:p>
    <w:p w14:paraId="21CEF83D">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6F0FD05C">
      <w:pPr>
        <w:spacing w:before="252" w:line="189" w:lineRule="auto"/>
        <w:ind w:left="53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风险范围以外合同价格的调整方法：</w:t>
      </w:r>
    </w:p>
    <w:p w14:paraId="47CD6003">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2896A9B0">
      <w:pPr>
        <w:spacing w:before="252" w:line="222" w:lineRule="auto"/>
        <w:ind w:left="33"/>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2.总价合同。</w:t>
      </w:r>
    </w:p>
    <w:p w14:paraId="6BF1F23B">
      <w:pPr>
        <w:spacing w:before="169" w:line="189" w:lineRule="auto"/>
        <w:ind w:left="55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总价包含的风险范围：</w:t>
      </w:r>
    </w:p>
    <w:p w14:paraId="37568603">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70E912E5">
      <w:pPr>
        <w:spacing w:before="251" w:line="189" w:lineRule="auto"/>
        <w:ind w:left="53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风险费用的计算方法：</w:t>
      </w:r>
    </w:p>
    <w:p w14:paraId="6B5BE1C1">
      <w:pPr>
        <w:tabs>
          <w:tab w:val="left" w:pos="8202"/>
        </w:tabs>
        <w:spacing w:before="55"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6EE9B764">
      <w:pPr>
        <w:spacing w:before="254" w:line="189" w:lineRule="auto"/>
        <w:ind w:left="53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风险范围以外合同价格的调整方法：</w:t>
      </w:r>
    </w:p>
    <w:p w14:paraId="4E68982A">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6E6219DE">
      <w:pPr>
        <w:spacing w:before="246" w:line="189" w:lineRule="auto"/>
        <w:ind w:left="37"/>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3、其他价格方式：</w:t>
      </w:r>
    </w:p>
    <w:p w14:paraId="6C50AA58">
      <w:pPr>
        <w:tabs>
          <w:tab w:val="left" w:pos="4842"/>
        </w:tabs>
        <w:spacing w:before="63"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5755589A">
      <w:pPr>
        <w:spacing w:before="252" w:line="223" w:lineRule="auto"/>
        <w:ind w:left="76"/>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12.2</w:t>
      </w:r>
      <w:r>
        <w:rPr>
          <w:rFonts w:ascii="仿宋" w:hAnsi="仿宋" w:eastAsia="仿宋" w:cs="仿宋"/>
          <w:color w:val="auto"/>
          <w:spacing w:val="44"/>
          <w:sz w:val="24"/>
          <w:szCs w:val="24"/>
          <w:highlight w:val="none"/>
        </w:rPr>
        <w:t xml:space="preserve"> </w:t>
      </w:r>
      <w:r>
        <w:rPr>
          <w:rFonts w:ascii="仿宋" w:hAnsi="仿宋" w:eastAsia="仿宋" w:cs="仿宋"/>
          <w:color w:val="auto"/>
          <w:spacing w:val="-13"/>
          <w:sz w:val="24"/>
          <w:szCs w:val="24"/>
          <w:highlight w:val="none"/>
        </w:rPr>
        <w:t>预付款</w:t>
      </w:r>
    </w:p>
    <w:p w14:paraId="4F9A4C38">
      <w:pPr>
        <w:spacing w:before="288" w:line="223" w:lineRule="auto"/>
        <w:ind w:left="7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12.2.1 预付款的支付</w:t>
      </w:r>
    </w:p>
    <w:p w14:paraId="74810AE4">
      <w:pPr>
        <w:spacing w:before="205" w:line="333" w:lineRule="auto"/>
        <w:ind w:left="531" w:right="492"/>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预付款支付比例或金额：</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2"/>
          <w:sz w:val="24"/>
          <w:szCs w:val="24"/>
          <w:highlight w:val="none"/>
        </w:rPr>
        <w:t>。</w:t>
      </w:r>
      <w:r>
        <w:rPr>
          <w:rFonts w:ascii="仿宋" w:hAnsi="仿宋" w:eastAsia="仿宋" w:cs="仿宋"/>
          <w:color w:val="auto"/>
          <w:spacing w:val="-3"/>
          <w:sz w:val="24"/>
          <w:szCs w:val="24"/>
          <w:highlight w:val="none"/>
        </w:rPr>
        <w:t>预付款支付期限：</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r>
        <w:rPr>
          <w:rFonts w:ascii="仿宋" w:hAnsi="仿宋" w:eastAsia="仿宋" w:cs="仿宋"/>
          <w:color w:val="auto"/>
          <w:spacing w:val="-2"/>
          <w:sz w:val="24"/>
          <w:szCs w:val="24"/>
          <w:highlight w:val="none"/>
        </w:rPr>
        <w:t>预付款扣回的方式：</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14:paraId="189C2F13">
      <w:pPr>
        <w:spacing w:before="33" w:line="221" w:lineRule="auto"/>
        <w:ind w:left="76"/>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12.2.2</w:t>
      </w:r>
      <w:r>
        <w:rPr>
          <w:rFonts w:ascii="仿宋" w:hAnsi="仿宋" w:eastAsia="仿宋" w:cs="仿宋"/>
          <w:color w:val="auto"/>
          <w:spacing w:val="38"/>
          <w:sz w:val="24"/>
          <w:szCs w:val="24"/>
          <w:highlight w:val="none"/>
        </w:rPr>
        <w:t xml:space="preserve"> </w:t>
      </w:r>
      <w:r>
        <w:rPr>
          <w:rFonts w:ascii="仿宋" w:hAnsi="仿宋" w:eastAsia="仿宋" w:cs="仿宋"/>
          <w:color w:val="auto"/>
          <w:spacing w:val="-9"/>
          <w:sz w:val="24"/>
          <w:szCs w:val="24"/>
          <w:highlight w:val="none"/>
        </w:rPr>
        <w:t>预付款担保</w:t>
      </w:r>
    </w:p>
    <w:p w14:paraId="06DB5E10">
      <w:pPr>
        <w:spacing w:before="174" w:line="354" w:lineRule="auto"/>
        <w:ind w:left="526" w:right="524" w:hanging="1"/>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承包人提交预付款担保的期限：</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r>
        <w:rPr>
          <w:rFonts w:ascii="仿宋" w:hAnsi="仿宋" w:eastAsia="仿宋" w:cs="仿宋"/>
          <w:color w:val="auto"/>
          <w:spacing w:val="-6"/>
          <w:sz w:val="24"/>
          <w:szCs w:val="24"/>
          <w:highlight w:val="none"/>
        </w:rPr>
        <w:t>预付款担保的形式为：</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6"/>
          <w:sz w:val="24"/>
          <w:szCs w:val="24"/>
          <w:highlight w:val="none"/>
        </w:rPr>
        <w:t>。</w:t>
      </w:r>
    </w:p>
    <w:p w14:paraId="5E6402A7">
      <w:pPr>
        <w:spacing w:before="1" w:line="222"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12.3</w:t>
      </w:r>
      <w:r>
        <w:rPr>
          <w:rFonts w:ascii="仿宋" w:hAnsi="仿宋" w:eastAsia="仿宋" w:cs="仿宋"/>
          <w:color w:val="auto"/>
          <w:spacing w:val="25"/>
          <w:sz w:val="24"/>
          <w:szCs w:val="24"/>
          <w:highlight w:val="none"/>
        </w:rPr>
        <w:t xml:space="preserve"> </w:t>
      </w:r>
      <w:r>
        <w:rPr>
          <w:rFonts w:ascii="仿宋" w:hAnsi="仿宋" w:eastAsia="仿宋" w:cs="仿宋"/>
          <w:color w:val="auto"/>
          <w:spacing w:val="-12"/>
          <w:sz w:val="24"/>
          <w:szCs w:val="24"/>
          <w:highlight w:val="none"/>
        </w:rPr>
        <w:t>计量</w:t>
      </w:r>
    </w:p>
    <w:p w14:paraId="19B4F970">
      <w:pPr>
        <w:spacing w:before="285" w:line="222"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12.3.1</w:t>
      </w:r>
      <w:r>
        <w:rPr>
          <w:rFonts w:ascii="仿宋" w:hAnsi="仿宋" w:eastAsia="仿宋" w:cs="仿宋"/>
          <w:color w:val="auto"/>
          <w:spacing w:val="41"/>
          <w:sz w:val="24"/>
          <w:szCs w:val="24"/>
          <w:highlight w:val="none"/>
        </w:rPr>
        <w:t xml:space="preserve"> </w:t>
      </w:r>
      <w:r>
        <w:rPr>
          <w:rFonts w:ascii="仿宋" w:hAnsi="仿宋" w:eastAsia="仿宋" w:cs="仿宋"/>
          <w:color w:val="auto"/>
          <w:spacing w:val="-10"/>
          <w:sz w:val="24"/>
          <w:szCs w:val="24"/>
          <w:highlight w:val="none"/>
        </w:rPr>
        <w:t>计量原则</w:t>
      </w:r>
    </w:p>
    <w:p w14:paraId="532F70F5">
      <w:pPr>
        <w:spacing w:before="171" w:line="222" w:lineRule="auto"/>
        <w:ind w:left="545"/>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工程量计算规则：</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733BCCF0">
      <w:pPr>
        <w:spacing w:before="173" w:line="222"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12.3.2</w:t>
      </w:r>
      <w:r>
        <w:rPr>
          <w:rFonts w:ascii="仿宋" w:hAnsi="仿宋" w:eastAsia="仿宋" w:cs="仿宋"/>
          <w:color w:val="auto"/>
          <w:spacing w:val="41"/>
          <w:sz w:val="24"/>
          <w:szCs w:val="24"/>
          <w:highlight w:val="none"/>
        </w:rPr>
        <w:t xml:space="preserve"> </w:t>
      </w:r>
      <w:r>
        <w:rPr>
          <w:rFonts w:ascii="仿宋" w:hAnsi="仿宋" w:eastAsia="仿宋" w:cs="仿宋"/>
          <w:color w:val="auto"/>
          <w:spacing w:val="-10"/>
          <w:sz w:val="24"/>
          <w:szCs w:val="24"/>
          <w:highlight w:val="none"/>
        </w:rPr>
        <w:t>计量周期</w:t>
      </w:r>
    </w:p>
    <w:p w14:paraId="595ED45F">
      <w:pPr>
        <w:spacing w:before="165" w:line="222" w:lineRule="auto"/>
        <w:ind w:left="546"/>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关于计量周期的约定：</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4C4E21DA">
      <w:pPr>
        <w:spacing w:before="167" w:line="221" w:lineRule="auto"/>
        <w:ind w:left="76"/>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12.3.3</w:t>
      </w:r>
      <w:r>
        <w:rPr>
          <w:rFonts w:ascii="仿宋" w:hAnsi="仿宋" w:eastAsia="仿宋" w:cs="仿宋"/>
          <w:color w:val="auto"/>
          <w:spacing w:val="56"/>
          <w:sz w:val="24"/>
          <w:szCs w:val="24"/>
          <w:highlight w:val="none"/>
        </w:rPr>
        <w:t xml:space="preserve"> </w:t>
      </w:r>
      <w:r>
        <w:rPr>
          <w:rFonts w:ascii="仿宋" w:hAnsi="仿宋" w:eastAsia="仿宋" w:cs="仿宋"/>
          <w:color w:val="auto"/>
          <w:spacing w:val="-9"/>
          <w:sz w:val="24"/>
          <w:szCs w:val="24"/>
          <w:highlight w:val="none"/>
        </w:rPr>
        <w:t>单价合同的计量</w:t>
      </w:r>
    </w:p>
    <w:p w14:paraId="5D22A0BA">
      <w:pPr>
        <w:spacing w:before="174" w:line="221" w:lineRule="auto"/>
        <w:ind w:left="54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关于单价合同计量的约定：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4C2A3247">
      <w:pPr>
        <w:spacing w:line="221" w:lineRule="auto"/>
        <w:rPr>
          <w:rFonts w:ascii="仿宋" w:hAnsi="仿宋" w:eastAsia="仿宋" w:cs="仿宋"/>
          <w:color w:val="auto"/>
          <w:sz w:val="24"/>
          <w:szCs w:val="24"/>
          <w:highlight w:val="none"/>
        </w:rPr>
        <w:sectPr>
          <w:footerReference r:id="rId51" w:type="default"/>
          <w:pgSz w:w="11906" w:h="16840"/>
          <w:pgMar w:top="400" w:right="1501" w:bottom="958" w:left="1418" w:header="0" w:footer="712" w:gutter="0"/>
          <w:pgNumType w:fmt="decimal"/>
          <w:cols w:space="720" w:num="1"/>
        </w:sectPr>
      </w:pPr>
    </w:p>
    <w:p w14:paraId="4A3ECC20">
      <w:pPr>
        <w:pStyle w:val="3"/>
        <w:spacing w:line="352" w:lineRule="auto"/>
        <w:rPr>
          <w:color w:val="auto"/>
          <w:highlight w:val="none"/>
        </w:rPr>
      </w:pPr>
    </w:p>
    <w:p w14:paraId="2A74EBFD">
      <w:pPr>
        <w:pStyle w:val="3"/>
        <w:spacing w:line="352" w:lineRule="auto"/>
        <w:rPr>
          <w:color w:val="auto"/>
          <w:highlight w:val="none"/>
        </w:rPr>
      </w:pPr>
    </w:p>
    <w:p w14:paraId="1232EAC2">
      <w:pPr>
        <w:spacing w:before="78" w:line="222"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12.3.4</w:t>
      </w:r>
      <w:r>
        <w:rPr>
          <w:rFonts w:ascii="仿宋" w:hAnsi="仿宋" w:eastAsia="仿宋" w:cs="仿宋"/>
          <w:color w:val="auto"/>
          <w:spacing w:val="74"/>
          <w:sz w:val="24"/>
          <w:szCs w:val="24"/>
          <w:highlight w:val="none"/>
        </w:rPr>
        <w:t xml:space="preserve"> </w:t>
      </w:r>
      <w:r>
        <w:rPr>
          <w:rFonts w:ascii="仿宋" w:hAnsi="仿宋" w:eastAsia="仿宋" w:cs="仿宋"/>
          <w:color w:val="auto"/>
          <w:spacing w:val="-10"/>
          <w:sz w:val="24"/>
          <w:szCs w:val="24"/>
          <w:highlight w:val="none"/>
        </w:rPr>
        <w:t>总价合同的计量</w:t>
      </w:r>
    </w:p>
    <w:p w14:paraId="207694AA">
      <w:pPr>
        <w:spacing w:before="169" w:line="222" w:lineRule="auto"/>
        <w:ind w:left="54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关于总价合同计量的约定：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76E6779B">
      <w:pPr>
        <w:spacing w:before="204" w:line="320" w:lineRule="auto"/>
        <w:ind w:left="72" w:firstLine="4"/>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12.3.5 总价合同采用支付分解表计量支付的，是否适</w:t>
      </w:r>
      <w:r>
        <w:rPr>
          <w:rFonts w:ascii="仿宋" w:hAnsi="仿宋" w:eastAsia="仿宋" w:cs="仿宋"/>
          <w:color w:val="auto"/>
          <w:spacing w:val="-10"/>
          <w:sz w:val="24"/>
          <w:szCs w:val="24"/>
          <w:highlight w:val="none"/>
        </w:rPr>
        <w:t>用第 12.3.4 项〔总价合同的计量</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 约定进行计量：</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p>
    <w:p w14:paraId="4F8AC545">
      <w:pPr>
        <w:spacing w:before="44" w:line="222" w:lineRule="auto"/>
        <w:ind w:left="7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12.3.6 其他价格形式合同的计量</w:t>
      </w:r>
    </w:p>
    <w:p w14:paraId="4361EA2A">
      <w:pPr>
        <w:spacing w:before="173" w:line="189" w:lineRule="auto"/>
        <w:ind w:left="53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其他价格形式的计量方式和程序：</w:t>
      </w:r>
    </w:p>
    <w:p w14:paraId="36F8535E">
      <w:pPr>
        <w:tabs>
          <w:tab w:val="left" w:pos="6882"/>
        </w:tabs>
        <w:spacing w:before="62"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7D74DABF">
      <w:pPr>
        <w:spacing w:before="252" w:line="223" w:lineRule="auto"/>
        <w:ind w:left="76"/>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12.4</w:t>
      </w:r>
      <w:r>
        <w:rPr>
          <w:rFonts w:ascii="仿宋" w:hAnsi="仿宋" w:eastAsia="仿宋" w:cs="仿宋"/>
          <w:color w:val="auto"/>
          <w:spacing w:val="65"/>
          <w:sz w:val="24"/>
          <w:szCs w:val="24"/>
          <w:highlight w:val="none"/>
        </w:rPr>
        <w:t xml:space="preserve"> </w:t>
      </w:r>
      <w:r>
        <w:rPr>
          <w:rFonts w:ascii="仿宋" w:hAnsi="仿宋" w:eastAsia="仿宋" w:cs="仿宋"/>
          <w:color w:val="auto"/>
          <w:spacing w:val="-11"/>
          <w:sz w:val="24"/>
          <w:szCs w:val="24"/>
          <w:highlight w:val="none"/>
        </w:rPr>
        <w:t>工程进度款支付</w:t>
      </w:r>
    </w:p>
    <w:p w14:paraId="463D828A">
      <w:pPr>
        <w:spacing w:before="288" w:line="223"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12.4.1</w:t>
      </w:r>
      <w:r>
        <w:rPr>
          <w:rFonts w:ascii="仿宋" w:hAnsi="仿宋" w:eastAsia="仿宋" w:cs="仿宋"/>
          <w:color w:val="auto"/>
          <w:spacing w:val="41"/>
          <w:sz w:val="24"/>
          <w:szCs w:val="24"/>
          <w:highlight w:val="none"/>
        </w:rPr>
        <w:t xml:space="preserve"> </w:t>
      </w:r>
      <w:r>
        <w:rPr>
          <w:rFonts w:ascii="仿宋" w:hAnsi="仿宋" w:eastAsia="仿宋" w:cs="仿宋"/>
          <w:color w:val="auto"/>
          <w:spacing w:val="-10"/>
          <w:sz w:val="24"/>
          <w:szCs w:val="24"/>
          <w:highlight w:val="none"/>
        </w:rPr>
        <w:t>付款周期</w:t>
      </w:r>
    </w:p>
    <w:p w14:paraId="4FD9E58A">
      <w:pPr>
        <w:spacing w:before="169" w:line="223" w:lineRule="auto"/>
        <w:ind w:left="546"/>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关于付款周期的约定：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28395051">
      <w:pPr>
        <w:spacing w:before="164" w:line="220" w:lineRule="auto"/>
        <w:ind w:left="7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12.4.2 进度付款申请单的编制</w:t>
      </w:r>
    </w:p>
    <w:p w14:paraId="0333967C">
      <w:pPr>
        <w:spacing w:before="172" w:line="189" w:lineRule="auto"/>
        <w:ind w:left="54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关于进度付款申请单编制的约定：</w:t>
      </w:r>
    </w:p>
    <w:p w14:paraId="757824EA">
      <w:pPr>
        <w:tabs>
          <w:tab w:val="left" w:pos="6882"/>
        </w:tabs>
        <w:spacing w:before="62"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5A4BF63C">
      <w:pPr>
        <w:spacing w:before="242" w:line="220" w:lineRule="auto"/>
        <w:ind w:left="7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12.4.3 进度付款申请单的提交</w:t>
      </w:r>
    </w:p>
    <w:p w14:paraId="09F4BEC0">
      <w:pPr>
        <w:spacing w:before="175" w:line="220" w:lineRule="auto"/>
        <w:ind w:left="542"/>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（1）单价合同进度付款申请单提交的约定：</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273A1045">
      <w:pPr>
        <w:spacing w:before="172" w:line="220" w:lineRule="auto"/>
        <w:ind w:left="542"/>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（2）总价合同进度付款申请单提交的约定：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7A103AF9">
      <w:pPr>
        <w:spacing w:before="170" w:line="220" w:lineRule="auto"/>
        <w:ind w:left="54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（3）其他价格形式合同进度付款申请单提交的约定：</w:t>
      </w:r>
    </w:p>
    <w:p w14:paraId="38EE0411">
      <w:pPr>
        <w:tabs>
          <w:tab w:val="left" w:pos="6882"/>
        </w:tabs>
        <w:spacing w:before="17"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14C69A48">
      <w:pPr>
        <w:spacing w:before="249" w:line="222" w:lineRule="auto"/>
        <w:ind w:left="7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12.4.4 进度款审核和支付</w:t>
      </w:r>
    </w:p>
    <w:p w14:paraId="45982734">
      <w:pPr>
        <w:spacing w:before="206" w:line="220" w:lineRule="auto"/>
        <w:ind w:left="54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（1）监理人审查并报送发包人的期限：</w:t>
      </w:r>
      <w:r>
        <w:rPr>
          <w:rFonts w:ascii="仿宋" w:hAnsi="仿宋" w:eastAsia="仿宋" w:cs="仿宋"/>
          <w:color w:val="auto"/>
          <w:spacing w:val="-3"/>
          <w:sz w:val="24"/>
          <w:szCs w:val="24"/>
          <w:highlight w:val="none"/>
          <w:u w:val="single" w:color="auto"/>
        </w:rPr>
        <w:t xml:space="preserve">                       </w:t>
      </w:r>
    </w:p>
    <w:p w14:paraId="618F7929">
      <w:pPr>
        <w:spacing w:before="232" w:line="220" w:lineRule="auto"/>
        <w:ind w:left="543"/>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发包人完成审批并签发进度款支付证书的期限：</w:t>
      </w:r>
      <w:r>
        <w:rPr>
          <w:rFonts w:ascii="仿宋" w:hAnsi="仿宋" w:eastAsia="仿宋" w:cs="仿宋"/>
          <w:color w:val="auto"/>
          <w:sz w:val="24"/>
          <w:szCs w:val="24"/>
          <w:highlight w:val="none"/>
          <w:u w:val="single" w:color="auto"/>
        </w:rPr>
        <w:t xml:space="preserve">                     </w:t>
      </w:r>
    </w:p>
    <w:p w14:paraId="162F86A4">
      <w:pPr>
        <w:spacing w:before="231" w:line="222" w:lineRule="auto"/>
        <w:ind w:left="542"/>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（2）发包人支付进度款的期限：</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71"/>
          <w:sz w:val="24"/>
          <w:szCs w:val="24"/>
          <w:highlight w:val="none"/>
        </w:rPr>
        <w:t xml:space="preserve"> </w:t>
      </w:r>
      <w:r>
        <w:rPr>
          <w:rFonts w:ascii="仿宋" w:hAnsi="仿宋" w:eastAsia="仿宋" w:cs="仿宋"/>
          <w:color w:val="auto"/>
          <w:spacing w:val="-4"/>
          <w:sz w:val="24"/>
          <w:szCs w:val="24"/>
          <w:highlight w:val="none"/>
        </w:rPr>
        <w:t>。</w:t>
      </w:r>
    </w:p>
    <w:p w14:paraId="394D38C6">
      <w:pPr>
        <w:spacing w:before="229" w:line="222" w:lineRule="auto"/>
        <w:ind w:left="54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包人逾期支付进度款的违约金的计算方式：</w:t>
      </w:r>
      <w:r>
        <w:rPr>
          <w:rFonts w:ascii="仿宋" w:hAnsi="仿宋" w:eastAsia="仿宋" w:cs="仿宋"/>
          <w:color w:val="auto"/>
          <w:spacing w:val="-5"/>
          <w:sz w:val="24"/>
          <w:szCs w:val="24"/>
          <w:highlight w:val="none"/>
          <w:u w:val="single" w:color="auto"/>
        </w:rPr>
        <w:t xml:space="preserve">                          </w:t>
      </w:r>
    </w:p>
    <w:p w14:paraId="36919C89">
      <w:pPr>
        <w:spacing w:before="258" w:line="222" w:lineRule="auto"/>
        <w:ind w:left="7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12.4.6 支付分解表的编制</w:t>
      </w:r>
    </w:p>
    <w:p w14:paraId="5D4E2E05">
      <w:pPr>
        <w:spacing w:before="168" w:line="189" w:lineRule="auto"/>
        <w:ind w:left="513"/>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2.总价合同支付分解表的编制与审批：</w:t>
      </w:r>
    </w:p>
    <w:p w14:paraId="3033F45A">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670DBB13">
      <w:pPr>
        <w:spacing w:before="249" w:line="189" w:lineRule="auto"/>
        <w:ind w:left="51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3.单价合同的总价项目支付分解表的编制与审批：</w:t>
      </w:r>
    </w:p>
    <w:p w14:paraId="62A41784">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5D740937">
      <w:pPr>
        <w:spacing w:before="86" w:line="219" w:lineRule="auto"/>
        <w:ind w:left="76"/>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13.</w:t>
      </w:r>
      <w:r>
        <w:rPr>
          <w:rFonts w:ascii="仿宋" w:hAnsi="仿宋" w:eastAsia="仿宋" w:cs="仿宋"/>
          <w:color w:val="auto"/>
          <w:spacing w:val="-12"/>
          <w:sz w:val="24"/>
          <w:szCs w:val="24"/>
          <w:highlight w:val="none"/>
        </w:rPr>
        <w:t xml:space="preserve"> </w:t>
      </w:r>
      <w:r>
        <w:rPr>
          <w:rFonts w:ascii="仿宋" w:hAnsi="仿宋" w:eastAsia="仿宋" w:cs="仿宋"/>
          <w:b/>
          <w:bCs/>
          <w:color w:val="auto"/>
          <w:spacing w:val="-12"/>
          <w:sz w:val="24"/>
          <w:szCs w:val="24"/>
          <w:highlight w:val="none"/>
        </w:rPr>
        <w:t>验收和工程试车</w:t>
      </w:r>
    </w:p>
    <w:p w14:paraId="12D9D015">
      <w:pPr>
        <w:spacing w:before="301" w:line="222" w:lineRule="auto"/>
        <w:ind w:left="7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13.1 分部分项工程验收</w:t>
      </w:r>
    </w:p>
    <w:p w14:paraId="4CA96812">
      <w:pPr>
        <w:pStyle w:val="3"/>
        <w:spacing w:line="245" w:lineRule="auto"/>
        <w:rPr>
          <w:color w:val="auto"/>
          <w:highlight w:val="none"/>
        </w:rPr>
      </w:pPr>
    </w:p>
    <w:p w14:paraId="773A6094">
      <w:pPr>
        <w:spacing w:before="79" w:line="221" w:lineRule="auto"/>
        <w:ind w:left="7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13.1.2 监理人不能按时进行验收时，应提前</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69"/>
          <w:sz w:val="24"/>
          <w:szCs w:val="24"/>
          <w:highlight w:val="none"/>
        </w:rPr>
        <w:t xml:space="preserve"> </w:t>
      </w:r>
      <w:r>
        <w:rPr>
          <w:rFonts w:ascii="仿宋" w:hAnsi="仿宋" w:eastAsia="仿宋" w:cs="仿宋"/>
          <w:color w:val="auto"/>
          <w:spacing w:val="-6"/>
          <w:sz w:val="24"/>
          <w:szCs w:val="24"/>
          <w:highlight w:val="none"/>
        </w:rPr>
        <w:t>小</w:t>
      </w:r>
      <w:r>
        <w:rPr>
          <w:rFonts w:ascii="仿宋" w:hAnsi="仿宋" w:eastAsia="仿宋" w:cs="仿宋"/>
          <w:color w:val="auto"/>
          <w:spacing w:val="-7"/>
          <w:sz w:val="24"/>
          <w:szCs w:val="24"/>
          <w:highlight w:val="none"/>
        </w:rPr>
        <w:t>时提交书面延期要求。</w:t>
      </w:r>
    </w:p>
    <w:p w14:paraId="2B08EEEC">
      <w:pPr>
        <w:spacing w:before="42" w:line="222" w:lineRule="auto"/>
        <w:ind w:left="54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关于延期最长不得超过：</w:t>
      </w:r>
      <w:r>
        <w:rPr>
          <w:rFonts w:ascii="仿宋" w:hAnsi="仿宋" w:eastAsia="仿宋" w:cs="仿宋"/>
          <w:color w:val="auto"/>
          <w:spacing w:val="11"/>
          <w:sz w:val="24"/>
          <w:szCs w:val="24"/>
          <w:highlight w:val="none"/>
          <w:u w:val="single" w:color="auto"/>
        </w:rPr>
        <w:t xml:space="preserve">        </w:t>
      </w:r>
      <w:r>
        <w:rPr>
          <w:rFonts w:ascii="仿宋" w:hAnsi="仿宋" w:eastAsia="仿宋" w:cs="仿宋"/>
          <w:color w:val="auto"/>
          <w:spacing w:val="-52"/>
          <w:sz w:val="24"/>
          <w:szCs w:val="24"/>
          <w:highlight w:val="none"/>
        </w:rPr>
        <w:t xml:space="preserve"> </w:t>
      </w:r>
      <w:r>
        <w:rPr>
          <w:rFonts w:ascii="仿宋" w:hAnsi="仿宋" w:eastAsia="仿宋" w:cs="仿宋"/>
          <w:color w:val="auto"/>
          <w:spacing w:val="-7"/>
          <w:sz w:val="24"/>
          <w:szCs w:val="24"/>
          <w:highlight w:val="none"/>
        </w:rPr>
        <w:t>小时。</w:t>
      </w:r>
    </w:p>
    <w:p w14:paraId="40B3D62A">
      <w:pPr>
        <w:spacing w:before="263" w:line="223" w:lineRule="auto"/>
        <w:ind w:left="76"/>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13.2</w:t>
      </w:r>
      <w:r>
        <w:rPr>
          <w:rFonts w:ascii="仿宋" w:hAnsi="仿宋" w:eastAsia="仿宋" w:cs="仿宋"/>
          <w:color w:val="auto"/>
          <w:spacing w:val="34"/>
          <w:sz w:val="24"/>
          <w:szCs w:val="24"/>
          <w:highlight w:val="none"/>
        </w:rPr>
        <w:t xml:space="preserve"> </w:t>
      </w:r>
      <w:r>
        <w:rPr>
          <w:rFonts w:ascii="仿宋" w:hAnsi="仿宋" w:eastAsia="仿宋" w:cs="仿宋"/>
          <w:color w:val="auto"/>
          <w:spacing w:val="-11"/>
          <w:sz w:val="24"/>
          <w:szCs w:val="24"/>
          <w:highlight w:val="none"/>
        </w:rPr>
        <w:t>竣工验收</w:t>
      </w:r>
    </w:p>
    <w:p w14:paraId="02D40EB6">
      <w:pPr>
        <w:spacing w:before="286" w:line="222"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13.2.2 竣工验收程序</w:t>
      </w:r>
    </w:p>
    <w:p w14:paraId="07F1B683">
      <w:pPr>
        <w:spacing w:line="222" w:lineRule="auto"/>
        <w:rPr>
          <w:rFonts w:ascii="仿宋" w:hAnsi="仿宋" w:eastAsia="仿宋" w:cs="仿宋"/>
          <w:color w:val="auto"/>
          <w:sz w:val="24"/>
          <w:szCs w:val="24"/>
          <w:highlight w:val="none"/>
        </w:rPr>
        <w:sectPr>
          <w:footerReference r:id="rId52" w:type="default"/>
          <w:pgSz w:w="11906" w:h="16840"/>
          <w:pgMar w:top="400" w:right="1602" w:bottom="958" w:left="1418" w:header="0" w:footer="712" w:gutter="0"/>
          <w:pgNumType w:fmt="decimal"/>
          <w:cols w:space="720" w:num="1"/>
        </w:sectPr>
      </w:pPr>
    </w:p>
    <w:p w14:paraId="0C097837">
      <w:pPr>
        <w:spacing w:before="224" w:line="222" w:lineRule="auto"/>
        <w:ind w:left="546"/>
        <w:rPr>
          <w:rFonts w:ascii="仿宋" w:hAnsi="仿宋" w:eastAsia="仿宋" w:cs="仿宋"/>
          <w:color w:val="auto"/>
          <w:sz w:val="24"/>
          <w:szCs w:val="24"/>
          <w:highlight w:val="none"/>
        </w:rPr>
      </w:pPr>
      <w:r>
        <w:rPr>
          <w:color w:val="auto"/>
          <w:highlight w:val="none"/>
        </w:rPr>
        <w:pict>
          <v:shape id="_x0000_s1026" o:spid="_x0000_s1026" style="position:absolute;left:0pt;margin-left:441.2pt;margin-top:22.85pt;height:0.6pt;width:11.75pt;z-index:251660288;mso-width-relative:page;mso-height-relative:page;" filled="f" stroked="t" coordsize="235,12" path="m0,5l235,5e">
            <v:fill on="f" focussize="0,0"/>
            <v:stroke weight="0.6pt" color="#000000" miterlimit="2" joinstyle="bevel"/>
            <v:imagedata o:title=""/>
            <o:lock v:ext="edit"/>
          </v:shape>
        </w:pict>
      </w:r>
      <w:r>
        <w:rPr>
          <w:rFonts w:ascii="仿宋" w:hAnsi="仿宋" w:eastAsia="仿宋" w:cs="仿宋"/>
          <w:color w:val="auto"/>
          <w:spacing w:val="-4"/>
          <w:sz w:val="24"/>
          <w:szCs w:val="24"/>
          <w:highlight w:val="none"/>
        </w:rPr>
        <w:t>发包人不按照本项约定组织竣工验收、颁发工程接收证书的违约金的计算方法：</w:t>
      </w:r>
    </w:p>
    <w:p w14:paraId="722EAB57">
      <w:pPr>
        <w:tabs>
          <w:tab w:val="left" w:pos="6717"/>
        </w:tabs>
        <w:spacing w:before="2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8"/>
          <w:w w:val="101"/>
          <w:sz w:val="6"/>
          <w:szCs w:val="6"/>
          <w:highlight w:val="none"/>
        </w:rPr>
        <w:t xml:space="preserve"> </w:t>
      </w:r>
      <w:r>
        <w:rPr>
          <w:rFonts w:ascii="仿宋" w:hAnsi="仿宋" w:eastAsia="仿宋" w:cs="仿宋"/>
          <w:color w:val="auto"/>
          <w:sz w:val="6"/>
          <w:szCs w:val="6"/>
          <w:highlight w:val="none"/>
        </w:rPr>
        <w:t>。</w:t>
      </w:r>
    </w:p>
    <w:p w14:paraId="69EC247D">
      <w:pPr>
        <w:spacing w:before="249" w:line="222" w:lineRule="auto"/>
        <w:ind w:left="7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13.2.5 移交、接收全部与部分工程</w:t>
      </w:r>
    </w:p>
    <w:p w14:paraId="431328CE">
      <w:pPr>
        <w:spacing w:before="205" w:line="222" w:lineRule="auto"/>
        <w:ind w:left="52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承包人向发包人移交工程的期限：</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3"/>
          <w:sz w:val="24"/>
          <w:szCs w:val="24"/>
          <w:highlight w:val="none"/>
        </w:rPr>
        <w:t>。</w:t>
      </w:r>
    </w:p>
    <w:p w14:paraId="7AE12DA2">
      <w:pPr>
        <w:spacing w:before="128" w:line="222" w:lineRule="auto"/>
        <w:ind w:left="54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发包人未按本合同约定接收全部或部分工程的，违约金的计算方法</w:t>
      </w:r>
    </w:p>
    <w:p w14:paraId="5B01D851">
      <w:pPr>
        <w:spacing w:before="177" w:line="224" w:lineRule="auto"/>
        <w:ind w:left="72"/>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为：</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7"/>
          <w:sz w:val="24"/>
          <w:szCs w:val="24"/>
          <w:highlight w:val="none"/>
        </w:rPr>
        <w:t>。</w:t>
      </w:r>
    </w:p>
    <w:p w14:paraId="58A45F46">
      <w:pPr>
        <w:spacing w:before="162" w:line="189" w:lineRule="auto"/>
        <w:ind w:left="52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承包人未按时移交工程的，违约金的计算方法为：</w:t>
      </w:r>
    </w:p>
    <w:p w14:paraId="43E50F05">
      <w:pPr>
        <w:tabs>
          <w:tab w:val="left" w:pos="6882"/>
        </w:tabs>
        <w:spacing w:before="61"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4506CED8">
      <w:pPr>
        <w:spacing w:before="247" w:line="219"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13.3</w:t>
      </w:r>
      <w:r>
        <w:rPr>
          <w:rFonts w:ascii="仿宋" w:hAnsi="仿宋" w:eastAsia="仿宋" w:cs="仿宋"/>
          <w:color w:val="auto"/>
          <w:spacing w:val="47"/>
          <w:sz w:val="24"/>
          <w:szCs w:val="24"/>
          <w:highlight w:val="none"/>
        </w:rPr>
        <w:t xml:space="preserve"> </w:t>
      </w:r>
      <w:r>
        <w:rPr>
          <w:rFonts w:ascii="仿宋" w:hAnsi="仿宋" w:eastAsia="仿宋" w:cs="仿宋"/>
          <w:color w:val="auto"/>
          <w:spacing w:val="-12"/>
          <w:sz w:val="24"/>
          <w:szCs w:val="24"/>
          <w:highlight w:val="none"/>
        </w:rPr>
        <w:t>工程试车</w:t>
      </w:r>
    </w:p>
    <w:p w14:paraId="4CA09227">
      <w:pPr>
        <w:spacing w:before="291" w:line="219" w:lineRule="auto"/>
        <w:ind w:left="7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13.3.1 试车程序</w:t>
      </w:r>
    </w:p>
    <w:p w14:paraId="57556086">
      <w:pPr>
        <w:spacing w:before="174" w:line="219" w:lineRule="auto"/>
        <w:ind w:left="545"/>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工程试车内容：</w:t>
      </w:r>
      <w:r>
        <w:rPr>
          <w:rFonts w:ascii="仿宋" w:hAnsi="仿宋" w:eastAsia="仿宋" w:cs="仿宋"/>
          <w:color w:val="auto"/>
          <w:sz w:val="24"/>
          <w:szCs w:val="24"/>
          <w:highlight w:val="none"/>
          <w:u w:val="single" w:color="auto"/>
        </w:rPr>
        <w:t xml:space="preserve">                                                     </w:t>
      </w:r>
    </w:p>
    <w:p w14:paraId="416FAC15">
      <w:pPr>
        <w:pStyle w:val="3"/>
        <w:spacing w:line="458" w:lineRule="auto"/>
        <w:rPr>
          <w:color w:val="auto"/>
          <w:highlight w:val="none"/>
        </w:rPr>
      </w:pPr>
      <w:r>
        <w:rPr>
          <w:color w:val="auto"/>
          <w:highlight w:val="none"/>
        </w:rPr>
        <w:pict>
          <v:shape id="_x0000_s1027" o:spid="_x0000_s1027" style="position:absolute;left:0pt;margin-left:0.35pt;margin-top:21.4pt;height:0.75pt;width:450.05pt;z-index:251659264;mso-width-relative:page;mso-height-relative:page;" filled="f" stroked="t" coordsize="9000,15" path="m0,7l9000,7e">
            <v:fill on="f" focussize="0,0"/>
            <v:stroke weight="0.72pt" color="#000000" miterlimit="2" joinstyle="bevel"/>
            <v:imagedata o:title=""/>
            <o:lock v:ext="edit"/>
          </v:shape>
        </w:pict>
      </w:r>
    </w:p>
    <w:p w14:paraId="384C0C46">
      <w:pPr>
        <w:tabs>
          <w:tab w:val="left" w:pos="4797"/>
        </w:tabs>
        <w:spacing w:before="2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8"/>
          <w:w w:val="101"/>
          <w:sz w:val="6"/>
          <w:szCs w:val="6"/>
          <w:highlight w:val="none"/>
        </w:rPr>
        <w:t xml:space="preserve"> </w:t>
      </w:r>
      <w:r>
        <w:rPr>
          <w:rFonts w:ascii="仿宋" w:hAnsi="仿宋" w:eastAsia="仿宋" w:cs="仿宋"/>
          <w:color w:val="auto"/>
          <w:sz w:val="6"/>
          <w:szCs w:val="6"/>
          <w:highlight w:val="none"/>
        </w:rPr>
        <w:t>。</w:t>
      </w:r>
    </w:p>
    <w:p w14:paraId="02B19E4B">
      <w:pPr>
        <w:spacing w:before="245" w:line="219" w:lineRule="auto"/>
        <w:ind w:left="542"/>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（1）单机无负荷试车费用由</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57"/>
          <w:sz w:val="24"/>
          <w:szCs w:val="24"/>
          <w:highlight w:val="none"/>
        </w:rPr>
        <w:t xml:space="preserve"> </w:t>
      </w:r>
      <w:r>
        <w:rPr>
          <w:rFonts w:ascii="仿宋" w:hAnsi="仿宋" w:eastAsia="仿宋" w:cs="仿宋"/>
          <w:color w:val="auto"/>
          <w:spacing w:val="-4"/>
          <w:sz w:val="24"/>
          <w:szCs w:val="24"/>
          <w:highlight w:val="none"/>
        </w:rPr>
        <w:t>承担；</w:t>
      </w:r>
    </w:p>
    <w:p w14:paraId="2426B6BE">
      <w:pPr>
        <w:spacing w:before="169" w:line="219" w:lineRule="auto"/>
        <w:ind w:left="542"/>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（2）无负荷联动试车费用由</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57"/>
          <w:sz w:val="24"/>
          <w:szCs w:val="24"/>
          <w:highlight w:val="none"/>
        </w:rPr>
        <w:t xml:space="preserve"> </w:t>
      </w:r>
      <w:r>
        <w:rPr>
          <w:rFonts w:ascii="仿宋" w:hAnsi="仿宋" w:eastAsia="仿宋" w:cs="仿宋"/>
          <w:color w:val="auto"/>
          <w:spacing w:val="-4"/>
          <w:sz w:val="24"/>
          <w:szCs w:val="24"/>
          <w:highlight w:val="none"/>
        </w:rPr>
        <w:t>承担。</w:t>
      </w:r>
    </w:p>
    <w:p w14:paraId="65CE81C9">
      <w:pPr>
        <w:spacing w:before="176" w:line="219"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13.3.3</w:t>
      </w:r>
      <w:r>
        <w:rPr>
          <w:rFonts w:ascii="仿宋" w:hAnsi="仿宋" w:eastAsia="仿宋" w:cs="仿宋"/>
          <w:color w:val="auto"/>
          <w:spacing w:val="41"/>
          <w:sz w:val="24"/>
          <w:szCs w:val="24"/>
          <w:highlight w:val="none"/>
        </w:rPr>
        <w:t xml:space="preserve"> </w:t>
      </w:r>
      <w:r>
        <w:rPr>
          <w:rFonts w:ascii="仿宋" w:hAnsi="仿宋" w:eastAsia="仿宋" w:cs="仿宋"/>
          <w:color w:val="auto"/>
          <w:spacing w:val="-10"/>
          <w:sz w:val="24"/>
          <w:szCs w:val="24"/>
          <w:highlight w:val="none"/>
        </w:rPr>
        <w:t>投料试车</w:t>
      </w:r>
    </w:p>
    <w:p w14:paraId="7DBCAF61">
      <w:pPr>
        <w:spacing w:before="176" w:line="219" w:lineRule="auto"/>
        <w:ind w:left="54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关于投料试车相关事项的约定：</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4"/>
          <w:sz w:val="24"/>
          <w:szCs w:val="24"/>
          <w:highlight w:val="none"/>
          <w:u w:val="single" w:color="auto"/>
        </w:rPr>
        <w:t xml:space="preserve">                                 </w:t>
      </w:r>
    </w:p>
    <w:p w14:paraId="6F94FF8F">
      <w:pPr>
        <w:spacing w:before="243" w:line="223" w:lineRule="auto"/>
        <w:ind w:left="76"/>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13.6</w:t>
      </w:r>
      <w:r>
        <w:rPr>
          <w:rFonts w:ascii="仿宋" w:hAnsi="仿宋" w:eastAsia="仿宋" w:cs="仿宋"/>
          <w:color w:val="auto"/>
          <w:spacing w:val="34"/>
          <w:sz w:val="24"/>
          <w:szCs w:val="24"/>
          <w:highlight w:val="none"/>
        </w:rPr>
        <w:t xml:space="preserve"> </w:t>
      </w:r>
      <w:r>
        <w:rPr>
          <w:rFonts w:ascii="仿宋" w:hAnsi="仿宋" w:eastAsia="仿宋" w:cs="仿宋"/>
          <w:color w:val="auto"/>
          <w:spacing w:val="-11"/>
          <w:sz w:val="24"/>
          <w:szCs w:val="24"/>
          <w:highlight w:val="none"/>
        </w:rPr>
        <w:t>竣工退场</w:t>
      </w:r>
    </w:p>
    <w:p w14:paraId="4E1EF35A">
      <w:pPr>
        <w:spacing w:before="291" w:line="223"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13.6.1</w:t>
      </w:r>
      <w:r>
        <w:rPr>
          <w:rFonts w:ascii="仿宋" w:hAnsi="仿宋" w:eastAsia="仿宋" w:cs="仿宋"/>
          <w:color w:val="auto"/>
          <w:spacing w:val="41"/>
          <w:sz w:val="24"/>
          <w:szCs w:val="24"/>
          <w:highlight w:val="none"/>
        </w:rPr>
        <w:t xml:space="preserve"> </w:t>
      </w:r>
      <w:r>
        <w:rPr>
          <w:rFonts w:ascii="仿宋" w:hAnsi="仿宋" w:eastAsia="仿宋" w:cs="仿宋"/>
          <w:color w:val="auto"/>
          <w:spacing w:val="-10"/>
          <w:sz w:val="24"/>
          <w:szCs w:val="24"/>
          <w:highlight w:val="none"/>
        </w:rPr>
        <w:t>竣工退场</w:t>
      </w:r>
    </w:p>
    <w:p w14:paraId="7455D769">
      <w:pPr>
        <w:spacing w:before="166" w:line="222" w:lineRule="auto"/>
        <w:ind w:left="525"/>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承包人完成竣工退场的期限：</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5762620A">
      <w:pPr>
        <w:spacing w:before="289" w:line="222" w:lineRule="auto"/>
        <w:ind w:left="76"/>
        <w:rPr>
          <w:rFonts w:ascii="仿宋" w:hAnsi="仿宋" w:eastAsia="仿宋" w:cs="仿宋"/>
          <w:color w:val="auto"/>
          <w:sz w:val="24"/>
          <w:szCs w:val="24"/>
          <w:highlight w:val="none"/>
        </w:rPr>
      </w:pPr>
      <w:r>
        <w:rPr>
          <w:rFonts w:ascii="仿宋" w:hAnsi="仿宋" w:eastAsia="仿宋" w:cs="仿宋"/>
          <w:b/>
          <w:bCs/>
          <w:color w:val="auto"/>
          <w:spacing w:val="-16"/>
          <w:sz w:val="24"/>
          <w:szCs w:val="24"/>
          <w:highlight w:val="none"/>
        </w:rPr>
        <w:t>14.</w:t>
      </w:r>
      <w:r>
        <w:rPr>
          <w:rFonts w:ascii="仿宋" w:hAnsi="仿宋" w:eastAsia="仿宋" w:cs="仿宋"/>
          <w:color w:val="auto"/>
          <w:spacing w:val="33"/>
          <w:sz w:val="24"/>
          <w:szCs w:val="24"/>
          <w:highlight w:val="none"/>
        </w:rPr>
        <w:t xml:space="preserve"> </w:t>
      </w:r>
      <w:r>
        <w:rPr>
          <w:rFonts w:ascii="仿宋" w:hAnsi="仿宋" w:eastAsia="仿宋" w:cs="仿宋"/>
          <w:b/>
          <w:bCs/>
          <w:color w:val="auto"/>
          <w:spacing w:val="-16"/>
          <w:sz w:val="24"/>
          <w:szCs w:val="24"/>
          <w:highlight w:val="none"/>
        </w:rPr>
        <w:t>竣工结算</w:t>
      </w:r>
    </w:p>
    <w:p w14:paraId="1646C5F7">
      <w:pPr>
        <w:spacing w:before="288" w:line="220"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14.1</w:t>
      </w:r>
      <w:r>
        <w:rPr>
          <w:rFonts w:ascii="仿宋" w:hAnsi="仿宋" w:eastAsia="仿宋" w:cs="仿宋"/>
          <w:color w:val="auto"/>
          <w:spacing w:val="44"/>
          <w:sz w:val="24"/>
          <w:szCs w:val="24"/>
          <w:highlight w:val="none"/>
        </w:rPr>
        <w:t xml:space="preserve"> </w:t>
      </w:r>
      <w:r>
        <w:rPr>
          <w:rFonts w:ascii="仿宋" w:hAnsi="仿宋" w:eastAsia="仿宋" w:cs="仿宋"/>
          <w:color w:val="auto"/>
          <w:spacing w:val="-10"/>
          <w:sz w:val="24"/>
          <w:szCs w:val="24"/>
          <w:highlight w:val="none"/>
        </w:rPr>
        <w:t>竣工付款申请</w:t>
      </w:r>
    </w:p>
    <w:p w14:paraId="2E78E37E">
      <w:pPr>
        <w:pStyle w:val="3"/>
        <w:spacing w:line="246" w:lineRule="auto"/>
        <w:rPr>
          <w:color w:val="auto"/>
          <w:highlight w:val="none"/>
        </w:rPr>
      </w:pPr>
    </w:p>
    <w:p w14:paraId="62785632">
      <w:pPr>
        <w:spacing w:before="79" w:line="220" w:lineRule="auto"/>
        <w:ind w:left="525"/>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承包人提交竣工付款申请单的期限：</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82"/>
          <w:sz w:val="24"/>
          <w:szCs w:val="24"/>
          <w:highlight w:val="none"/>
        </w:rPr>
        <w:t xml:space="preserve"> </w:t>
      </w:r>
      <w:r>
        <w:rPr>
          <w:rFonts w:ascii="仿宋" w:hAnsi="仿宋" w:eastAsia="仿宋" w:cs="仿宋"/>
          <w:color w:val="auto"/>
          <w:spacing w:val="-2"/>
          <w:sz w:val="24"/>
          <w:szCs w:val="24"/>
          <w:highlight w:val="none"/>
        </w:rPr>
        <w:t>。</w:t>
      </w:r>
    </w:p>
    <w:p w14:paraId="507D1001">
      <w:pPr>
        <w:pStyle w:val="3"/>
        <w:spacing w:line="363" w:lineRule="auto"/>
        <w:rPr>
          <w:color w:val="auto"/>
          <w:highlight w:val="none"/>
        </w:rPr>
      </w:pPr>
    </w:p>
    <w:p w14:paraId="0D31DD31">
      <w:pPr>
        <w:spacing w:before="78" w:line="220" w:lineRule="auto"/>
        <w:ind w:left="52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竣工付款申请单应包括的内容：</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4"/>
          <w:sz w:val="24"/>
          <w:szCs w:val="24"/>
          <w:highlight w:val="none"/>
          <w:u w:val="single" w:color="auto"/>
        </w:rPr>
        <w:t xml:space="preserve">                         </w:t>
      </w:r>
    </w:p>
    <w:p w14:paraId="323216B5">
      <w:pPr>
        <w:pStyle w:val="3"/>
        <w:spacing w:line="279" w:lineRule="auto"/>
        <w:rPr>
          <w:color w:val="auto"/>
          <w:highlight w:val="none"/>
        </w:rPr>
      </w:pPr>
    </w:p>
    <w:p w14:paraId="2523F0FD">
      <w:pPr>
        <w:spacing w:before="78" w:line="222"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14.2</w:t>
      </w:r>
      <w:r>
        <w:rPr>
          <w:rFonts w:ascii="仿宋" w:hAnsi="仿宋" w:eastAsia="仿宋" w:cs="仿宋"/>
          <w:color w:val="auto"/>
          <w:spacing w:val="44"/>
          <w:sz w:val="24"/>
          <w:szCs w:val="24"/>
          <w:highlight w:val="none"/>
        </w:rPr>
        <w:t xml:space="preserve"> </w:t>
      </w:r>
      <w:r>
        <w:rPr>
          <w:rFonts w:ascii="仿宋" w:hAnsi="仿宋" w:eastAsia="仿宋" w:cs="仿宋"/>
          <w:color w:val="auto"/>
          <w:spacing w:val="-10"/>
          <w:sz w:val="24"/>
          <w:szCs w:val="24"/>
          <w:highlight w:val="none"/>
        </w:rPr>
        <w:t>竣工结算审核</w:t>
      </w:r>
    </w:p>
    <w:p w14:paraId="29877D9E">
      <w:pPr>
        <w:spacing w:before="287" w:line="354" w:lineRule="auto"/>
        <w:ind w:left="546" w:right="57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发包人审批竣工付款申请单的期限：</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r>
        <w:rPr>
          <w:rFonts w:ascii="仿宋" w:hAnsi="仿宋" w:eastAsia="仿宋" w:cs="仿宋"/>
          <w:color w:val="auto"/>
          <w:spacing w:val="-2"/>
          <w:sz w:val="24"/>
          <w:szCs w:val="24"/>
          <w:highlight w:val="none"/>
        </w:rPr>
        <w:t>发包人完成竣工付款的期限：</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14:paraId="27C40C36">
      <w:pPr>
        <w:spacing w:before="1" w:line="188" w:lineRule="auto"/>
        <w:ind w:left="54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关于竣工付款证书异议部分复核的方式和程序：</w:t>
      </w:r>
    </w:p>
    <w:p w14:paraId="5F3FAD49">
      <w:pPr>
        <w:tabs>
          <w:tab w:val="left" w:pos="6882"/>
        </w:tabs>
        <w:spacing w:before="63"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7CC7FE4D">
      <w:pPr>
        <w:spacing w:before="249" w:line="222" w:lineRule="auto"/>
        <w:ind w:left="76"/>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14.4</w:t>
      </w:r>
      <w:r>
        <w:rPr>
          <w:rFonts w:ascii="仿宋" w:hAnsi="仿宋" w:eastAsia="仿宋" w:cs="仿宋"/>
          <w:color w:val="auto"/>
          <w:spacing w:val="57"/>
          <w:sz w:val="24"/>
          <w:szCs w:val="24"/>
          <w:highlight w:val="none"/>
        </w:rPr>
        <w:t xml:space="preserve"> </w:t>
      </w:r>
      <w:r>
        <w:rPr>
          <w:rFonts w:ascii="仿宋" w:hAnsi="仿宋" w:eastAsia="仿宋" w:cs="仿宋"/>
          <w:color w:val="auto"/>
          <w:spacing w:val="-13"/>
          <w:sz w:val="24"/>
          <w:szCs w:val="24"/>
          <w:highlight w:val="none"/>
        </w:rPr>
        <w:t>最终结清</w:t>
      </w:r>
    </w:p>
    <w:p w14:paraId="44C80878">
      <w:pPr>
        <w:spacing w:line="222" w:lineRule="auto"/>
        <w:rPr>
          <w:rFonts w:ascii="仿宋" w:hAnsi="仿宋" w:eastAsia="仿宋" w:cs="仿宋"/>
          <w:color w:val="auto"/>
          <w:sz w:val="24"/>
          <w:szCs w:val="24"/>
          <w:highlight w:val="none"/>
        </w:rPr>
        <w:sectPr>
          <w:headerReference r:id="rId53" w:type="default"/>
          <w:footerReference r:id="rId54" w:type="default"/>
          <w:pgSz w:w="11906" w:h="16840"/>
          <w:pgMar w:top="1537" w:right="1435" w:bottom="958" w:left="1418" w:header="1124" w:footer="712" w:gutter="0"/>
          <w:pgNumType w:fmt="decimal"/>
          <w:cols w:space="720" w:num="1"/>
        </w:sectPr>
      </w:pPr>
    </w:p>
    <w:p w14:paraId="4C970F55">
      <w:pPr>
        <w:pStyle w:val="3"/>
        <w:spacing w:line="351" w:lineRule="auto"/>
        <w:rPr>
          <w:color w:val="auto"/>
          <w:highlight w:val="none"/>
        </w:rPr>
      </w:pPr>
    </w:p>
    <w:p w14:paraId="7E7F3C2D">
      <w:pPr>
        <w:pStyle w:val="3"/>
        <w:spacing w:line="351" w:lineRule="auto"/>
        <w:rPr>
          <w:color w:val="auto"/>
          <w:highlight w:val="none"/>
        </w:rPr>
      </w:pPr>
    </w:p>
    <w:p w14:paraId="6D101DBB">
      <w:pPr>
        <w:spacing w:before="78" w:line="220" w:lineRule="auto"/>
        <w:ind w:left="76"/>
        <w:rPr>
          <w:rFonts w:ascii="仿宋" w:hAnsi="仿宋" w:eastAsia="仿宋" w:cs="仿宋"/>
          <w:color w:val="auto"/>
          <w:sz w:val="24"/>
          <w:szCs w:val="24"/>
          <w:highlight w:val="none"/>
        </w:rPr>
      </w:pPr>
      <w:bookmarkStart w:id="32" w:name="bookmark43"/>
      <w:bookmarkEnd w:id="32"/>
      <w:r>
        <w:rPr>
          <w:rFonts w:ascii="仿宋" w:hAnsi="仿宋" w:eastAsia="仿宋" w:cs="仿宋"/>
          <w:color w:val="auto"/>
          <w:spacing w:val="-9"/>
          <w:sz w:val="24"/>
          <w:szCs w:val="24"/>
          <w:highlight w:val="none"/>
        </w:rPr>
        <w:t>14.4.1</w:t>
      </w:r>
      <w:r>
        <w:rPr>
          <w:rFonts w:ascii="仿宋" w:hAnsi="仿宋" w:eastAsia="仿宋" w:cs="仿宋"/>
          <w:color w:val="auto"/>
          <w:spacing w:val="56"/>
          <w:sz w:val="24"/>
          <w:szCs w:val="24"/>
          <w:highlight w:val="none"/>
        </w:rPr>
        <w:t xml:space="preserve"> </w:t>
      </w:r>
      <w:r>
        <w:rPr>
          <w:rFonts w:ascii="仿宋" w:hAnsi="仿宋" w:eastAsia="仿宋" w:cs="仿宋"/>
          <w:color w:val="auto"/>
          <w:spacing w:val="-9"/>
          <w:sz w:val="24"/>
          <w:szCs w:val="24"/>
          <w:highlight w:val="none"/>
        </w:rPr>
        <w:t>最终结清申请单</w:t>
      </w:r>
    </w:p>
    <w:p w14:paraId="46BF92F1">
      <w:pPr>
        <w:spacing w:before="210" w:line="220" w:lineRule="auto"/>
        <w:ind w:left="52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承包人提交最终结清申请单的份数：</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3"/>
          <w:sz w:val="24"/>
          <w:szCs w:val="24"/>
          <w:highlight w:val="none"/>
        </w:rPr>
        <w:t>。</w:t>
      </w:r>
    </w:p>
    <w:p w14:paraId="77EA0AFF">
      <w:pPr>
        <w:pStyle w:val="3"/>
        <w:spacing w:line="244" w:lineRule="auto"/>
        <w:rPr>
          <w:color w:val="auto"/>
          <w:highlight w:val="none"/>
        </w:rPr>
      </w:pPr>
    </w:p>
    <w:p w14:paraId="569DFA1E">
      <w:pPr>
        <w:spacing w:before="78" w:line="220" w:lineRule="auto"/>
        <w:ind w:left="52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承包人提交最终结算申请单的期限：</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3"/>
          <w:sz w:val="24"/>
          <w:szCs w:val="24"/>
          <w:highlight w:val="none"/>
        </w:rPr>
        <w:t>。</w:t>
      </w:r>
    </w:p>
    <w:p w14:paraId="1FB499B2">
      <w:pPr>
        <w:spacing w:before="179" w:line="222" w:lineRule="auto"/>
        <w:ind w:left="7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14.4.2 最终结清证书和支付</w:t>
      </w:r>
    </w:p>
    <w:p w14:paraId="641ED825">
      <w:pPr>
        <w:spacing w:before="164" w:line="220" w:lineRule="auto"/>
        <w:ind w:left="54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（1）发包人完成最终结清申请单的审批并颁发最终结清证书的期</w:t>
      </w:r>
    </w:p>
    <w:p w14:paraId="2996E305">
      <w:pPr>
        <w:spacing w:before="178" w:line="222" w:lineRule="auto"/>
        <w:ind w:left="93"/>
        <w:rPr>
          <w:rFonts w:ascii="仿宋" w:hAnsi="仿宋" w:eastAsia="仿宋" w:cs="仿宋"/>
          <w:color w:val="auto"/>
          <w:sz w:val="24"/>
          <w:szCs w:val="24"/>
          <w:highlight w:val="none"/>
        </w:rPr>
      </w:pPr>
      <w:r>
        <w:rPr>
          <w:rFonts w:ascii="仿宋" w:hAnsi="仿宋" w:eastAsia="仿宋" w:cs="仿宋"/>
          <w:color w:val="auto"/>
          <w:spacing w:val="-23"/>
          <w:sz w:val="24"/>
          <w:szCs w:val="24"/>
          <w:highlight w:val="none"/>
        </w:rPr>
        <w:t>限：</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3"/>
          <w:sz w:val="24"/>
          <w:szCs w:val="24"/>
          <w:highlight w:val="none"/>
        </w:rPr>
        <w:t>。</w:t>
      </w:r>
    </w:p>
    <w:p w14:paraId="66AC5A3F">
      <w:pPr>
        <w:spacing w:before="170" w:line="222" w:lineRule="auto"/>
        <w:ind w:left="542"/>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（2）发包人完成支付的期限：</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5821135A">
      <w:pPr>
        <w:spacing w:before="286" w:line="221" w:lineRule="auto"/>
        <w:ind w:left="76"/>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15.</w:t>
      </w:r>
      <w:r>
        <w:rPr>
          <w:rFonts w:ascii="仿宋" w:hAnsi="仿宋" w:eastAsia="仿宋" w:cs="仿宋"/>
          <w:color w:val="auto"/>
          <w:spacing w:val="-11"/>
          <w:sz w:val="24"/>
          <w:szCs w:val="24"/>
          <w:highlight w:val="none"/>
        </w:rPr>
        <w:t xml:space="preserve"> </w:t>
      </w:r>
      <w:r>
        <w:rPr>
          <w:rFonts w:ascii="仿宋" w:hAnsi="仿宋" w:eastAsia="仿宋" w:cs="仿宋"/>
          <w:b/>
          <w:bCs/>
          <w:color w:val="auto"/>
          <w:spacing w:val="-11"/>
          <w:sz w:val="24"/>
          <w:szCs w:val="24"/>
          <w:highlight w:val="none"/>
        </w:rPr>
        <w:t>缺陷责任期与保修</w:t>
      </w:r>
    </w:p>
    <w:p w14:paraId="7AF8A16F">
      <w:pPr>
        <w:spacing w:before="77" w:line="222"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15.2</w:t>
      </w:r>
      <w:r>
        <w:rPr>
          <w:rFonts w:ascii="仿宋" w:hAnsi="仿宋" w:eastAsia="仿宋" w:cs="仿宋"/>
          <w:color w:val="auto"/>
          <w:spacing w:val="-26"/>
          <w:sz w:val="24"/>
          <w:szCs w:val="24"/>
          <w:highlight w:val="none"/>
        </w:rPr>
        <w:t xml:space="preserve"> </w:t>
      </w:r>
      <w:r>
        <w:rPr>
          <w:rFonts w:ascii="仿宋" w:hAnsi="仿宋" w:eastAsia="仿宋" w:cs="仿宋"/>
          <w:color w:val="auto"/>
          <w:spacing w:val="-10"/>
          <w:sz w:val="24"/>
          <w:szCs w:val="24"/>
          <w:highlight w:val="none"/>
        </w:rPr>
        <w:t>缺陷责任期</w:t>
      </w:r>
    </w:p>
    <w:p w14:paraId="23CDD529">
      <w:pPr>
        <w:spacing w:before="290" w:line="222" w:lineRule="auto"/>
        <w:ind w:left="520"/>
        <w:rPr>
          <w:rFonts w:ascii="仿宋" w:hAnsi="仿宋" w:eastAsia="仿宋" w:cs="仿宋"/>
          <w:color w:val="auto"/>
          <w:sz w:val="6"/>
          <w:szCs w:val="6"/>
          <w:highlight w:val="none"/>
        </w:rPr>
      </w:pPr>
      <w:r>
        <w:rPr>
          <w:rFonts w:ascii="仿宋" w:hAnsi="仿宋" w:eastAsia="仿宋" w:cs="仿宋"/>
          <w:color w:val="auto"/>
          <w:spacing w:val="-4"/>
          <w:sz w:val="24"/>
          <w:szCs w:val="24"/>
          <w:highlight w:val="none"/>
        </w:rPr>
        <w:t>缺陷责任期的具体期限：</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64"/>
          <w:sz w:val="24"/>
          <w:szCs w:val="24"/>
          <w:highlight w:val="none"/>
        </w:rPr>
        <w:t xml:space="preserve"> </w:t>
      </w:r>
      <w:r>
        <w:rPr>
          <w:rFonts w:ascii="仿宋" w:hAnsi="仿宋" w:eastAsia="仿宋" w:cs="仿宋"/>
          <w:color w:val="auto"/>
          <w:spacing w:val="-4"/>
          <w:sz w:val="6"/>
          <w:szCs w:val="6"/>
          <w:highlight w:val="none"/>
        </w:rPr>
        <w:t>。</w:t>
      </w:r>
    </w:p>
    <w:p w14:paraId="62B4895F">
      <w:pPr>
        <w:spacing w:before="235" w:line="221"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15.3</w:t>
      </w:r>
      <w:r>
        <w:rPr>
          <w:rFonts w:ascii="仿宋" w:hAnsi="仿宋" w:eastAsia="仿宋" w:cs="仿宋"/>
          <w:color w:val="auto"/>
          <w:spacing w:val="54"/>
          <w:sz w:val="24"/>
          <w:szCs w:val="24"/>
          <w:highlight w:val="none"/>
        </w:rPr>
        <w:t xml:space="preserve"> </w:t>
      </w:r>
      <w:r>
        <w:rPr>
          <w:rFonts w:ascii="仿宋" w:hAnsi="仿宋" w:eastAsia="仿宋" w:cs="仿宋"/>
          <w:color w:val="auto"/>
          <w:spacing w:val="-12"/>
          <w:sz w:val="24"/>
          <w:szCs w:val="24"/>
          <w:highlight w:val="none"/>
        </w:rPr>
        <w:t>质量保证金</w:t>
      </w:r>
    </w:p>
    <w:p w14:paraId="0CDA006D">
      <w:pPr>
        <w:pStyle w:val="3"/>
        <w:spacing w:line="249" w:lineRule="auto"/>
        <w:rPr>
          <w:color w:val="auto"/>
          <w:highlight w:val="none"/>
        </w:rPr>
      </w:pPr>
    </w:p>
    <w:p w14:paraId="2ADD2785">
      <w:pPr>
        <w:spacing w:before="79" w:line="221" w:lineRule="auto"/>
        <w:ind w:left="54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关于是否扣留质量保证金的约定：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4"/>
          <w:sz w:val="24"/>
          <w:szCs w:val="24"/>
          <w:highlight w:val="none"/>
        </w:rPr>
        <w:t>。</w:t>
      </w:r>
    </w:p>
    <w:p w14:paraId="151DEFC6">
      <w:pPr>
        <w:spacing w:before="133" w:line="221" w:lineRule="auto"/>
        <w:ind w:left="7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15.3.1 承包人提供质量保证金的方式</w:t>
      </w:r>
    </w:p>
    <w:p w14:paraId="581F457D">
      <w:pPr>
        <w:spacing w:before="169" w:line="221" w:lineRule="auto"/>
        <w:ind w:left="545"/>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质量保证金采用以下第</w:t>
      </w:r>
      <w:r>
        <w:rPr>
          <w:rFonts w:ascii="仿宋" w:hAnsi="仿宋" w:eastAsia="仿宋" w:cs="仿宋"/>
          <w:color w:val="auto"/>
          <w:spacing w:val="-7"/>
          <w:sz w:val="24"/>
          <w:szCs w:val="24"/>
          <w:highlight w:val="none"/>
          <w:u w:val="single" w:color="auto"/>
        </w:rPr>
        <w:t xml:space="preserve">     </w:t>
      </w:r>
      <w:r>
        <w:rPr>
          <w:rFonts w:ascii="仿宋" w:hAnsi="仿宋" w:eastAsia="仿宋" w:cs="仿宋"/>
          <w:color w:val="auto"/>
          <w:spacing w:val="-41"/>
          <w:sz w:val="24"/>
          <w:szCs w:val="24"/>
          <w:highlight w:val="none"/>
        </w:rPr>
        <w:t xml:space="preserve"> </w:t>
      </w:r>
      <w:r>
        <w:rPr>
          <w:rFonts w:ascii="仿宋" w:hAnsi="仿宋" w:eastAsia="仿宋" w:cs="仿宋"/>
          <w:color w:val="auto"/>
          <w:spacing w:val="-7"/>
          <w:sz w:val="24"/>
          <w:szCs w:val="24"/>
          <w:highlight w:val="none"/>
        </w:rPr>
        <w:t>种方式：</w:t>
      </w:r>
    </w:p>
    <w:p w14:paraId="280FEC1E">
      <w:pPr>
        <w:spacing w:before="173" w:line="221" w:lineRule="auto"/>
        <w:ind w:left="54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（1）质量保证金保函，保证金额为</w:t>
      </w:r>
      <w:r>
        <w:rPr>
          <w:rFonts w:ascii="仿宋" w:hAnsi="仿宋" w:eastAsia="仿宋" w:cs="仿宋"/>
          <w:color w:val="auto"/>
          <w:spacing w:val="7"/>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7"/>
          <w:sz w:val="24"/>
          <w:szCs w:val="24"/>
          <w:highlight w:val="none"/>
        </w:rPr>
        <w:t>；</w:t>
      </w:r>
    </w:p>
    <w:p w14:paraId="0F1527DE">
      <w:pPr>
        <w:spacing w:before="172" w:line="222" w:lineRule="auto"/>
        <w:ind w:left="542"/>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（2）</w:t>
      </w:r>
      <w:r>
        <w:rPr>
          <w:rFonts w:ascii="仿宋" w:hAnsi="仿宋" w:eastAsia="仿宋" w:cs="仿宋"/>
          <w:color w:val="auto"/>
          <w:spacing w:val="19"/>
          <w:sz w:val="24"/>
          <w:szCs w:val="24"/>
          <w:highlight w:val="none"/>
          <w:u w:val="single" w:color="auto"/>
        </w:rPr>
        <w:t xml:space="preserve">     </w:t>
      </w:r>
      <w:r>
        <w:rPr>
          <w:rFonts w:ascii="仿宋" w:hAnsi="仿宋" w:eastAsia="仿宋" w:cs="仿宋"/>
          <w:color w:val="auto"/>
          <w:spacing w:val="-97"/>
          <w:sz w:val="24"/>
          <w:szCs w:val="24"/>
          <w:highlight w:val="none"/>
        </w:rPr>
        <w:t xml:space="preserve"> </w:t>
      </w:r>
      <w:r>
        <w:rPr>
          <w:rFonts w:ascii="仿宋" w:hAnsi="仿宋" w:eastAsia="仿宋" w:cs="仿宋"/>
          <w:color w:val="auto"/>
          <w:spacing w:val="-6"/>
          <w:sz w:val="24"/>
          <w:szCs w:val="24"/>
          <w:highlight w:val="none"/>
        </w:rPr>
        <w:t>%的工程款；</w:t>
      </w:r>
    </w:p>
    <w:p w14:paraId="7A0CB5A6">
      <w:pPr>
        <w:spacing w:before="166" w:line="222" w:lineRule="auto"/>
        <w:ind w:left="542"/>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（3）其他方式：</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497A2DE3">
      <w:pPr>
        <w:spacing w:before="173" w:line="221" w:lineRule="auto"/>
        <w:ind w:left="7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15.3.2 质量保证金的扣留</w:t>
      </w:r>
    </w:p>
    <w:p w14:paraId="18BD77A8">
      <w:pPr>
        <w:spacing w:before="169" w:line="221" w:lineRule="auto"/>
        <w:ind w:left="545"/>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质量保证金的扣留采取以下第</w:t>
      </w:r>
      <w:r>
        <w:rPr>
          <w:rFonts w:ascii="仿宋" w:hAnsi="仿宋" w:eastAsia="仿宋" w:cs="仿宋"/>
          <w:color w:val="auto"/>
          <w:spacing w:val="12"/>
          <w:sz w:val="24"/>
          <w:szCs w:val="24"/>
          <w:highlight w:val="none"/>
        </w:rPr>
        <w:t xml:space="preserve">     </w:t>
      </w:r>
      <w:r>
        <w:rPr>
          <w:rFonts w:ascii="仿宋" w:hAnsi="仿宋" w:eastAsia="仿宋" w:cs="仿宋"/>
          <w:color w:val="auto"/>
          <w:spacing w:val="-7"/>
          <w:sz w:val="24"/>
          <w:szCs w:val="24"/>
          <w:highlight w:val="none"/>
        </w:rPr>
        <w:t>种方式：</w:t>
      </w:r>
    </w:p>
    <w:p w14:paraId="061AEEFC">
      <w:pPr>
        <w:spacing w:before="214" w:line="254" w:lineRule="auto"/>
        <w:ind w:left="51" w:firstLine="49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（1）在支付工程进度款时逐次扣留，在此情形下，质量保证金的计算基数不包括预付款的支付、扣回以及价格调整的金额；</w:t>
      </w:r>
    </w:p>
    <w:p w14:paraId="3833F4F2">
      <w:pPr>
        <w:spacing w:before="211" w:line="220" w:lineRule="auto"/>
        <w:ind w:left="54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（2）工程竣工结算时一次性扣留质量保证金；</w:t>
      </w:r>
    </w:p>
    <w:p w14:paraId="3AA30D6E">
      <w:pPr>
        <w:spacing w:before="176" w:line="222" w:lineRule="auto"/>
        <w:ind w:left="542"/>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（3）其他扣留方式：</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460C357A">
      <w:pPr>
        <w:spacing w:before="171" w:line="189" w:lineRule="auto"/>
        <w:ind w:left="54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关于质量保证金的补充约定：</w:t>
      </w:r>
    </w:p>
    <w:p w14:paraId="58A0C382">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0F6B4127">
      <w:pPr>
        <w:spacing w:before="249" w:line="221"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15.4</w:t>
      </w:r>
      <w:r>
        <w:rPr>
          <w:rFonts w:ascii="仿宋" w:hAnsi="仿宋" w:eastAsia="仿宋" w:cs="仿宋"/>
          <w:color w:val="auto"/>
          <w:spacing w:val="-32"/>
          <w:sz w:val="24"/>
          <w:szCs w:val="24"/>
          <w:highlight w:val="none"/>
        </w:rPr>
        <w:t xml:space="preserve"> </w:t>
      </w:r>
      <w:r>
        <w:rPr>
          <w:rFonts w:ascii="仿宋" w:hAnsi="仿宋" w:eastAsia="仿宋" w:cs="仿宋"/>
          <w:color w:val="auto"/>
          <w:spacing w:val="-12"/>
          <w:sz w:val="24"/>
          <w:szCs w:val="24"/>
          <w:highlight w:val="none"/>
        </w:rPr>
        <w:t>保修</w:t>
      </w:r>
    </w:p>
    <w:p w14:paraId="5C3E4F2C">
      <w:pPr>
        <w:spacing w:before="291" w:line="294" w:lineRule="auto"/>
        <w:ind w:left="532" w:right="6871" w:hanging="456"/>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15.4.1</w:t>
      </w:r>
      <w:r>
        <w:rPr>
          <w:rFonts w:ascii="仿宋" w:hAnsi="仿宋" w:eastAsia="仿宋" w:cs="仿宋"/>
          <w:color w:val="auto"/>
          <w:spacing w:val="44"/>
          <w:sz w:val="24"/>
          <w:szCs w:val="24"/>
          <w:highlight w:val="none"/>
        </w:rPr>
        <w:t xml:space="preserve"> </w:t>
      </w:r>
      <w:r>
        <w:rPr>
          <w:rFonts w:ascii="仿宋" w:hAnsi="仿宋" w:eastAsia="仿宋" w:cs="仿宋"/>
          <w:color w:val="auto"/>
          <w:spacing w:val="-11"/>
          <w:sz w:val="24"/>
          <w:szCs w:val="24"/>
          <w:highlight w:val="none"/>
        </w:rPr>
        <w:t>保修责任</w:t>
      </w:r>
      <w:r>
        <w:rPr>
          <w:rFonts w:ascii="仿宋" w:hAnsi="仿宋" w:eastAsia="仿宋" w:cs="仿宋"/>
          <w:color w:val="auto"/>
          <w:sz w:val="24"/>
          <w:szCs w:val="24"/>
          <w:highlight w:val="none"/>
        </w:rPr>
        <w:t xml:space="preserve"> </w:t>
      </w:r>
      <w:r>
        <w:rPr>
          <w:rFonts w:ascii="仿宋" w:hAnsi="仿宋" w:eastAsia="仿宋" w:cs="仿宋"/>
          <w:color w:val="auto"/>
          <w:spacing w:val="-17"/>
          <w:sz w:val="24"/>
          <w:szCs w:val="24"/>
          <w:highlight w:val="none"/>
        </w:rPr>
        <w:t>工程保修期为：</w:t>
      </w:r>
    </w:p>
    <w:p w14:paraId="6607E311">
      <w:pPr>
        <w:tabs>
          <w:tab w:val="left" w:pos="6882"/>
        </w:tabs>
        <w:spacing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25E9E785">
      <w:pPr>
        <w:spacing w:before="251" w:line="222"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15.4.3</w:t>
      </w:r>
      <w:r>
        <w:rPr>
          <w:rFonts w:ascii="仿宋" w:hAnsi="仿宋" w:eastAsia="仿宋" w:cs="仿宋"/>
          <w:color w:val="auto"/>
          <w:spacing w:val="41"/>
          <w:sz w:val="24"/>
          <w:szCs w:val="24"/>
          <w:highlight w:val="none"/>
        </w:rPr>
        <w:t xml:space="preserve"> </w:t>
      </w:r>
      <w:r>
        <w:rPr>
          <w:rFonts w:ascii="仿宋" w:hAnsi="仿宋" w:eastAsia="仿宋" w:cs="仿宋"/>
          <w:color w:val="auto"/>
          <w:spacing w:val="-10"/>
          <w:sz w:val="24"/>
          <w:szCs w:val="24"/>
          <w:highlight w:val="none"/>
        </w:rPr>
        <w:t>修复通知</w:t>
      </w:r>
    </w:p>
    <w:p w14:paraId="036E62EF">
      <w:pPr>
        <w:spacing w:before="165" w:line="189" w:lineRule="auto"/>
        <w:ind w:left="513"/>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承包人收到保修通知并到达工程现场的合理时间：</w:t>
      </w:r>
    </w:p>
    <w:p w14:paraId="407D1004">
      <w:pPr>
        <w:tabs>
          <w:tab w:val="left" w:pos="6882"/>
        </w:tabs>
        <w:spacing w:before="58"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581197CB">
      <w:pPr>
        <w:spacing w:before="90" w:line="224" w:lineRule="auto"/>
        <w:ind w:left="76"/>
        <w:rPr>
          <w:rFonts w:ascii="仿宋" w:hAnsi="仿宋" w:eastAsia="仿宋" w:cs="仿宋"/>
          <w:color w:val="auto"/>
          <w:sz w:val="24"/>
          <w:szCs w:val="24"/>
          <w:highlight w:val="none"/>
        </w:rPr>
      </w:pPr>
      <w:r>
        <w:rPr>
          <w:rFonts w:ascii="仿宋" w:hAnsi="仿宋" w:eastAsia="仿宋" w:cs="仿宋"/>
          <w:b/>
          <w:bCs/>
          <w:color w:val="auto"/>
          <w:spacing w:val="-17"/>
          <w:sz w:val="24"/>
          <w:szCs w:val="24"/>
          <w:highlight w:val="none"/>
        </w:rPr>
        <w:t>16.</w:t>
      </w:r>
      <w:r>
        <w:rPr>
          <w:rFonts w:ascii="仿宋" w:hAnsi="仿宋" w:eastAsia="仿宋" w:cs="仿宋"/>
          <w:color w:val="auto"/>
          <w:spacing w:val="23"/>
          <w:sz w:val="24"/>
          <w:szCs w:val="24"/>
          <w:highlight w:val="none"/>
        </w:rPr>
        <w:t xml:space="preserve"> </w:t>
      </w:r>
      <w:r>
        <w:rPr>
          <w:rFonts w:ascii="仿宋" w:hAnsi="仿宋" w:eastAsia="仿宋" w:cs="仿宋"/>
          <w:b/>
          <w:bCs/>
          <w:color w:val="auto"/>
          <w:spacing w:val="-17"/>
          <w:sz w:val="24"/>
          <w:szCs w:val="24"/>
          <w:highlight w:val="none"/>
        </w:rPr>
        <w:t>违约</w:t>
      </w:r>
    </w:p>
    <w:p w14:paraId="0FEB5AF8">
      <w:pPr>
        <w:spacing w:line="224" w:lineRule="auto"/>
        <w:rPr>
          <w:rFonts w:ascii="仿宋" w:hAnsi="仿宋" w:eastAsia="仿宋" w:cs="仿宋"/>
          <w:color w:val="auto"/>
          <w:sz w:val="24"/>
          <w:szCs w:val="24"/>
          <w:highlight w:val="none"/>
        </w:rPr>
        <w:sectPr>
          <w:headerReference r:id="rId55" w:type="default"/>
          <w:footerReference r:id="rId56" w:type="default"/>
          <w:pgSz w:w="11906" w:h="16840"/>
          <w:pgMar w:top="400" w:right="1518" w:bottom="958" w:left="1418" w:header="0" w:footer="712" w:gutter="0"/>
          <w:pgNumType w:fmt="decimal"/>
          <w:cols w:space="720" w:num="1"/>
        </w:sectPr>
      </w:pPr>
    </w:p>
    <w:p w14:paraId="580BADF8">
      <w:pPr>
        <w:pStyle w:val="3"/>
        <w:spacing w:line="352" w:lineRule="auto"/>
        <w:rPr>
          <w:color w:val="auto"/>
          <w:highlight w:val="none"/>
        </w:rPr>
      </w:pPr>
    </w:p>
    <w:p w14:paraId="5209B8DE">
      <w:pPr>
        <w:pStyle w:val="3"/>
        <w:spacing w:line="352" w:lineRule="auto"/>
        <w:rPr>
          <w:color w:val="auto"/>
          <w:highlight w:val="none"/>
        </w:rPr>
      </w:pPr>
    </w:p>
    <w:p w14:paraId="279ACE26">
      <w:pPr>
        <w:spacing w:before="78" w:line="224"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16.1</w:t>
      </w:r>
      <w:r>
        <w:rPr>
          <w:rFonts w:ascii="仿宋" w:hAnsi="仿宋" w:eastAsia="仿宋" w:cs="仿宋"/>
          <w:color w:val="auto"/>
          <w:spacing w:val="54"/>
          <w:sz w:val="24"/>
          <w:szCs w:val="24"/>
          <w:highlight w:val="none"/>
        </w:rPr>
        <w:t xml:space="preserve"> </w:t>
      </w:r>
      <w:r>
        <w:rPr>
          <w:rFonts w:ascii="仿宋" w:hAnsi="仿宋" w:eastAsia="仿宋" w:cs="仿宋"/>
          <w:color w:val="auto"/>
          <w:spacing w:val="-12"/>
          <w:sz w:val="24"/>
          <w:szCs w:val="24"/>
          <w:highlight w:val="none"/>
        </w:rPr>
        <w:t>发包人违约</w:t>
      </w:r>
    </w:p>
    <w:p w14:paraId="6AE4135C">
      <w:pPr>
        <w:spacing w:before="285" w:line="222" w:lineRule="auto"/>
        <w:ind w:left="76"/>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16.1.1 发包人违约的情形</w:t>
      </w:r>
    </w:p>
    <w:p w14:paraId="024793AC">
      <w:pPr>
        <w:pStyle w:val="3"/>
        <w:spacing w:line="362" w:lineRule="auto"/>
        <w:rPr>
          <w:color w:val="auto"/>
          <w:highlight w:val="none"/>
        </w:rPr>
      </w:pPr>
    </w:p>
    <w:p w14:paraId="389C3369">
      <w:pPr>
        <w:spacing w:before="78" w:line="189" w:lineRule="auto"/>
        <w:ind w:left="546"/>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发包人违约的其他情形：</w:t>
      </w:r>
    </w:p>
    <w:p w14:paraId="2755B253">
      <w:pPr>
        <w:tabs>
          <w:tab w:val="left" w:pos="6882"/>
        </w:tabs>
        <w:spacing w:before="57"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5AE2A66C">
      <w:pPr>
        <w:spacing w:before="254" w:line="223" w:lineRule="auto"/>
        <w:ind w:left="7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16.1.2 发包人违约的责任</w:t>
      </w:r>
    </w:p>
    <w:p w14:paraId="3272A926">
      <w:pPr>
        <w:spacing w:before="163" w:line="222" w:lineRule="auto"/>
        <w:ind w:left="54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发包人违约责任的承担方式和计算方法：</w:t>
      </w:r>
    </w:p>
    <w:p w14:paraId="0CF8AC78">
      <w:pPr>
        <w:spacing w:before="168" w:line="219" w:lineRule="auto"/>
        <w:ind w:left="54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（1）因发包人原因未能在计划开工日期前 7 天内下达开工</w:t>
      </w:r>
      <w:r>
        <w:rPr>
          <w:rFonts w:ascii="仿宋" w:hAnsi="仿宋" w:eastAsia="仿宋" w:cs="仿宋"/>
          <w:color w:val="auto"/>
          <w:spacing w:val="-6"/>
          <w:sz w:val="24"/>
          <w:szCs w:val="24"/>
          <w:highlight w:val="none"/>
        </w:rPr>
        <w:t>通知的违约责</w:t>
      </w:r>
    </w:p>
    <w:p w14:paraId="2A7118B8">
      <w:pPr>
        <w:spacing w:before="178" w:line="223" w:lineRule="auto"/>
        <w:ind w:left="45"/>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任：</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14:paraId="742E1890">
      <w:pPr>
        <w:spacing w:before="165" w:line="222" w:lineRule="auto"/>
        <w:ind w:left="54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（2）因发包人原因未能按合同约定支付合同价款的违约责</w:t>
      </w:r>
    </w:p>
    <w:p w14:paraId="7CA7D098">
      <w:pPr>
        <w:spacing w:before="175" w:line="223" w:lineRule="auto"/>
        <w:ind w:left="45"/>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任：</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14:paraId="7005B892">
      <w:pPr>
        <w:spacing w:before="199" w:line="320" w:lineRule="auto"/>
        <w:ind w:left="58" w:right="64" w:firstLine="483"/>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（3）发包人违反第 10.1</w:t>
      </w:r>
      <w:r>
        <w:rPr>
          <w:rFonts w:ascii="仿宋" w:hAnsi="仿宋" w:eastAsia="仿宋" w:cs="仿宋"/>
          <w:color w:val="auto"/>
          <w:spacing w:val="-30"/>
          <w:sz w:val="24"/>
          <w:szCs w:val="24"/>
          <w:highlight w:val="none"/>
        </w:rPr>
        <w:t xml:space="preserve"> </w:t>
      </w:r>
      <w:r>
        <w:rPr>
          <w:rFonts w:ascii="仿宋" w:hAnsi="仿宋" w:eastAsia="仿宋" w:cs="仿宋"/>
          <w:color w:val="auto"/>
          <w:spacing w:val="-8"/>
          <w:sz w:val="24"/>
          <w:szCs w:val="24"/>
          <w:highlight w:val="none"/>
        </w:rPr>
        <w:t>款〔变更的范围〕第（2）项约定，</w:t>
      </w:r>
      <w:r>
        <w:rPr>
          <w:rFonts w:ascii="仿宋" w:hAnsi="仿宋" w:eastAsia="仿宋" w:cs="仿宋"/>
          <w:color w:val="auto"/>
          <w:spacing w:val="49"/>
          <w:sz w:val="24"/>
          <w:szCs w:val="24"/>
          <w:highlight w:val="none"/>
        </w:rPr>
        <w:t xml:space="preserve"> </w:t>
      </w:r>
      <w:r>
        <w:rPr>
          <w:rFonts w:ascii="仿宋" w:hAnsi="仿宋" w:eastAsia="仿宋" w:cs="仿宋"/>
          <w:color w:val="auto"/>
          <w:spacing w:val="-8"/>
          <w:sz w:val="24"/>
          <w:szCs w:val="24"/>
          <w:highlight w:val="none"/>
        </w:rPr>
        <w:t>自行实施</w:t>
      </w:r>
      <w:r>
        <w:rPr>
          <w:rFonts w:ascii="仿宋" w:hAnsi="仿宋" w:eastAsia="仿宋" w:cs="仿宋"/>
          <w:color w:val="auto"/>
          <w:spacing w:val="-9"/>
          <w:sz w:val="24"/>
          <w:szCs w:val="24"/>
          <w:highlight w:val="none"/>
        </w:rPr>
        <w:t>被取消的工</w:t>
      </w:r>
      <w:r>
        <w:rPr>
          <w:rFonts w:ascii="仿宋" w:hAnsi="仿宋" w:eastAsia="仿宋" w:cs="仿宋"/>
          <w:color w:val="auto"/>
          <w:spacing w:val="-4"/>
          <w:sz w:val="24"/>
          <w:szCs w:val="24"/>
          <w:highlight w:val="none"/>
        </w:rPr>
        <w:t>作或转由他人实施的违约责任：</w:t>
      </w:r>
      <w:r>
        <w:rPr>
          <w:rFonts w:ascii="仿宋" w:hAnsi="仿宋" w:eastAsia="仿宋" w:cs="仿宋"/>
          <w:color w:val="auto"/>
          <w:spacing w:val="-4"/>
          <w:sz w:val="24"/>
          <w:szCs w:val="24"/>
          <w:highlight w:val="none"/>
          <w:u w:val="single" w:color="auto"/>
        </w:rPr>
        <w:t xml:space="preserve">                                     </w:t>
      </w:r>
    </w:p>
    <w:p w14:paraId="335FFF7F">
      <w:pPr>
        <w:tabs>
          <w:tab w:val="left" w:pos="6837"/>
        </w:tabs>
        <w:spacing w:before="230"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7"/>
          <w:sz w:val="6"/>
          <w:szCs w:val="6"/>
          <w:highlight w:val="none"/>
        </w:rPr>
        <w:t xml:space="preserve"> </w:t>
      </w:r>
      <w:r>
        <w:rPr>
          <w:rFonts w:ascii="仿宋" w:hAnsi="仿宋" w:eastAsia="仿宋" w:cs="仿宋"/>
          <w:color w:val="auto"/>
          <w:sz w:val="6"/>
          <w:szCs w:val="6"/>
          <w:highlight w:val="none"/>
        </w:rPr>
        <w:t>。</w:t>
      </w:r>
    </w:p>
    <w:p w14:paraId="245222CC">
      <w:pPr>
        <w:spacing w:before="283" w:line="326" w:lineRule="auto"/>
        <w:ind w:left="73" w:right="103" w:firstLine="46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（4）发包人提供的材料、工程设备的规格、数量或质量不符合合同约定，或因发包人原因导致交货日期延误或交货地点变更等情况的违约责</w:t>
      </w:r>
    </w:p>
    <w:p w14:paraId="58DF8AC4">
      <w:pPr>
        <w:spacing w:before="40" w:line="223" w:lineRule="auto"/>
        <w:ind w:left="45"/>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任：</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14:paraId="56BC2504">
      <w:pPr>
        <w:spacing w:before="164" w:line="222" w:lineRule="auto"/>
        <w:ind w:left="54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（5）因发包人违反合同约定造成暂停施工的违约责任：</w:t>
      </w:r>
      <w:r>
        <w:rPr>
          <w:rFonts w:ascii="仿宋" w:hAnsi="仿宋" w:eastAsia="仿宋" w:cs="仿宋"/>
          <w:color w:val="auto"/>
          <w:sz w:val="24"/>
          <w:szCs w:val="24"/>
          <w:highlight w:val="none"/>
          <w:u w:val="single" w:color="auto"/>
        </w:rPr>
        <w:t xml:space="preserve">                 </w:t>
      </w:r>
    </w:p>
    <w:p w14:paraId="7BC7102B">
      <w:pPr>
        <w:pStyle w:val="3"/>
        <w:spacing w:line="328" w:lineRule="auto"/>
        <w:rPr>
          <w:color w:val="auto"/>
          <w:highlight w:val="none"/>
        </w:rPr>
      </w:pPr>
    </w:p>
    <w:p w14:paraId="5DA2AE50">
      <w:pPr>
        <w:tabs>
          <w:tab w:val="left" w:pos="6837"/>
        </w:tabs>
        <w:spacing w:before="21"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8"/>
          <w:w w:val="101"/>
          <w:sz w:val="6"/>
          <w:szCs w:val="6"/>
          <w:highlight w:val="none"/>
        </w:rPr>
        <w:t xml:space="preserve"> </w:t>
      </w:r>
      <w:r>
        <w:rPr>
          <w:rFonts w:ascii="仿宋" w:hAnsi="仿宋" w:eastAsia="仿宋" w:cs="仿宋"/>
          <w:color w:val="auto"/>
          <w:sz w:val="6"/>
          <w:szCs w:val="6"/>
          <w:highlight w:val="none"/>
        </w:rPr>
        <w:t>。</w:t>
      </w:r>
    </w:p>
    <w:p w14:paraId="3EE6F3FB">
      <w:pPr>
        <w:spacing w:before="285" w:line="256" w:lineRule="auto"/>
        <w:ind w:left="51" w:right="100" w:firstLine="49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（6）发包人无正当理由没有在约定期限内发出复工指示，导致承包人无法复工的</w:t>
      </w:r>
      <w:r>
        <w:rPr>
          <w:rFonts w:ascii="仿宋" w:hAnsi="仿宋" w:eastAsia="仿宋" w:cs="仿宋"/>
          <w:color w:val="auto"/>
          <w:spacing w:val="-5"/>
          <w:sz w:val="24"/>
          <w:szCs w:val="24"/>
          <w:highlight w:val="none"/>
        </w:rPr>
        <w:t>违约责任：</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5"/>
          <w:sz w:val="24"/>
          <w:szCs w:val="24"/>
          <w:highlight w:val="none"/>
        </w:rPr>
        <w:t>。</w:t>
      </w:r>
    </w:p>
    <w:p w14:paraId="4930C946">
      <w:pPr>
        <w:spacing w:before="212" w:line="222" w:lineRule="auto"/>
        <w:ind w:left="54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（7）其他：</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5"/>
          <w:sz w:val="24"/>
          <w:szCs w:val="24"/>
          <w:highlight w:val="none"/>
        </w:rPr>
        <w:t>。</w:t>
      </w:r>
    </w:p>
    <w:p w14:paraId="20B8676E">
      <w:pPr>
        <w:spacing w:before="173" w:line="222"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16.1.3  因发包人违约解除合同</w:t>
      </w:r>
    </w:p>
    <w:p w14:paraId="04E6FD17">
      <w:pPr>
        <w:spacing w:before="206" w:line="319" w:lineRule="auto"/>
        <w:ind w:left="51" w:firstLine="473"/>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承包人按16.1.1项〔发包人违约的情形〕约定暂停施工满</w:t>
      </w:r>
      <w:r>
        <w:rPr>
          <w:rFonts w:ascii="仿宋" w:hAnsi="仿宋" w:eastAsia="仿宋" w:cs="仿宋"/>
          <w:color w:val="auto"/>
          <w:spacing w:val="39"/>
          <w:sz w:val="24"/>
          <w:szCs w:val="24"/>
          <w:highlight w:val="none"/>
          <w:u w:val="single" w:color="auto"/>
        </w:rPr>
        <w:t xml:space="preserve">   </w:t>
      </w:r>
      <w:r>
        <w:rPr>
          <w:rFonts w:ascii="仿宋" w:hAnsi="仿宋" w:eastAsia="仿宋" w:cs="仿宋"/>
          <w:color w:val="auto"/>
          <w:spacing w:val="-66"/>
          <w:sz w:val="24"/>
          <w:szCs w:val="24"/>
          <w:highlight w:val="none"/>
        </w:rPr>
        <w:t xml:space="preserve"> </w:t>
      </w:r>
      <w:r>
        <w:rPr>
          <w:rFonts w:ascii="仿宋" w:hAnsi="仿宋" w:eastAsia="仿宋" w:cs="仿宋"/>
          <w:color w:val="auto"/>
          <w:spacing w:val="-4"/>
          <w:sz w:val="24"/>
          <w:szCs w:val="24"/>
          <w:highlight w:val="none"/>
        </w:rPr>
        <w:t>天后发包人仍不纠正</w:t>
      </w:r>
      <w:r>
        <w:rPr>
          <w:rFonts w:ascii="仿宋" w:hAnsi="仿宋" w:eastAsia="仿宋" w:cs="仿宋"/>
          <w:color w:val="auto"/>
          <w:spacing w:val="-3"/>
          <w:sz w:val="24"/>
          <w:szCs w:val="24"/>
          <w:highlight w:val="none"/>
        </w:rPr>
        <w:t>其违约行为并致使合同目的不能实现的，承包人有权解除合同。</w:t>
      </w:r>
    </w:p>
    <w:p w14:paraId="442E0BF9">
      <w:pPr>
        <w:spacing w:before="53" w:line="224"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16.2</w:t>
      </w:r>
      <w:r>
        <w:rPr>
          <w:rFonts w:ascii="仿宋" w:hAnsi="仿宋" w:eastAsia="仿宋" w:cs="仿宋"/>
          <w:color w:val="auto"/>
          <w:spacing w:val="34"/>
          <w:sz w:val="24"/>
          <w:szCs w:val="24"/>
          <w:highlight w:val="none"/>
        </w:rPr>
        <w:t xml:space="preserve"> </w:t>
      </w:r>
      <w:r>
        <w:rPr>
          <w:rFonts w:ascii="仿宋" w:hAnsi="仿宋" w:eastAsia="仿宋" w:cs="仿宋"/>
          <w:color w:val="auto"/>
          <w:spacing w:val="-10"/>
          <w:sz w:val="24"/>
          <w:szCs w:val="24"/>
          <w:highlight w:val="none"/>
        </w:rPr>
        <w:t>承包人违约</w:t>
      </w:r>
    </w:p>
    <w:p w14:paraId="084E7CCB">
      <w:pPr>
        <w:spacing w:before="287" w:line="290" w:lineRule="auto"/>
        <w:ind w:left="524" w:right="6010" w:hanging="448"/>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16.2.1 承包人违约的情形</w:t>
      </w:r>
      <w:r>
        <w:rPr>
          <w:rFonts w:ascii="仿宋" w:hAnsi="仿宋" w:eastAsia="仿宋" w:cs="仿宋"/>
          <w:color w:val="auto"/>
          <w:spacing w:val="2"/>
          <w:sz w:val="24"/>
          <w:szCs w:val="24"/>
          <w:highlight w:val="none"/>
        </w:rPr>
        <w:t xml:space="preserve"> </w:t>
      </w:r>
      <w:r>
        <w:rPr>
          <w:rFonts w:ascii="仿宋" w:hAnsi="仿宋" w:eastAsia="仿宋" w:cs="仿宋"/>
          <w:color w:val="auto"/>
          <w:spacing w:val="-10"/>
          <w:sz w:val="24"/>
          <w:szCs w:val="24"/>
          <w:highlight w:val="none"/>
        </w:rPr>
        <w:t>承包人违约的其他情形：</w:t>
      </w:r>
    </w:p>
    <w:p w14:paraId="066B56DD">
      <w:pPr>
        <w:tabs>
          <w:tab w:val="left" w:pos="6882"/>
        </w:tabs>
        <w:spacing w:before="1" w:line="88"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doub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27C8345D">
      <w:pPr>
        <w:spacing w:before="254" w:line="223" w:lineRule="auto"/>
        <w:ind w:left="76"/>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16.2.2 承包人违约的责任</w:t>
      </w:r>
    </w:p>
    <w:p w14:paraId="25301C9D">
      <w:pPr>
        <w:spacing w:before="166" w:line="189" w:lineRule="auto"/>
        <w:ind w:left="525"/>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承包人违约责任的承担方式和计算方法：</w:t>
      </w:r>
    </w:p>
    <w:p w14:paraId="4E33915B">
      <w:pPr>
        <w:tabs>
          <w:tab w:val="left" w:pos="6882"/>
        </w:tabs>
        <w:spacing w:before="57" w:line="89"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9"/>
          <w:sz w:val="6"/>
          <w:szCs w:val="6"/>
          <w:highlight w:val="none"/>
          <w:u w:val="single" w:color="auto"/>
        </w:rPr>
        <w:t>。</w:t>
      </w:r>
      <w:r>
        <w:rPr>
          <w:rFonts w:ascii="仿宋" w:hAnsi="仿宋" w:eastAsia="仿宋" w:cs="仿宋"/>
          <w:color w:val="auto"/>
          <w:sz w:val="6"/>
          <w:szCs w:val="6"/>
          <w:highlight w:val="none"/>
          <w:u w:val="single" w:color="auto"/>
        </w:rPr>
        <w:t xml:space="preserve">                                                                     </w:t>
      </w:r>
    </w:p>
    <w:p w14:paraId="4CC0007E">
      <w:pPr>
        <w:spacing w:before="252" w:line="222" w:lineRule="auto"/>
        <w:ind w:left="76"/>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16.2.3  因承包人违约解除合同</w:t>
      </w:r>
    </w:p>
    <w:p w14:paraId="239E3FF5">
      <w:pPr>
        <w:spacing w:line="222" w:lineRule="auto"/>
        <w:rPr>
          <w:rFonts w:ascii="仿宋" w:hAnsi="仿宋" w:eastAsia="仿宋" w:cs="仿宋"/>
          <w:color w:val="auto"/>
          <w:sz w:val="24"/>
          <w:szCs w:val="24"/>
          <w:highlight w:val="none"/>
        </w:rPr>
        <w:sectPr>
          <w:footerReference r:id="rId57" w:type="default"/>
          <w:pgSz w:w="11906" w:h="16840"/>
          <w:pgMar w:top="400" w:right="1418" w:bottom="958" w:left="1418" w:header="0" w:footer="712" w:gutter="0"/>
          <w:pgNumType w:fmt="decimal"/>
          <w:cols w:space="720" w:num="1"/>
        </w:sectPr>
      </w:pPr>
    </w:p>
    <w:p w14:paraId="3CC35D56">
      <w:pPr>
        <w:pStyle w:val="3"/>
        <w:spacing w:line="260" w:lineRule="auto"/>
        <w:rPr>
          <w:color w:val="auto"/>
          <w:highlight w:val="none"/>
        </w:rPr>
      </w:pPr>
    </w:p>
    <w:p w14:paraId="16744A4F">
      <w:pPr>
        <w:pStyle w:val="3"/>
        <w:spacing w:line="260" w:lineRule="auto"/>
        <w:rPr>
          <w:color w:val="auto"/>
          <w:highlight w:val="none"/>
        </w:rPr>
      </w:pPr>
    </w:p>
    <w:p w14:paraId="7F66C39B">
      <w:pPr>
        <w:pStyle w:val="3"/>
        <w:spacing w:line="261" w:lineRule="auto"/>
        <w:rPr>
          <w:color w:val="auto"/>
          <w:highlight w:val="none"/>
        </w:rPr>
      </w:pPr>
    </w:p>
    <w:p w14:paraId="00F6F588">
      <w:pPr>
        <w:spacing w:before="78" w:line="222" w:lineRule="auto"/>
        <w:ind w:left="545"/>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关于承包人违约解除合同的特别约定：</w:t>
      </w:r>
      <w:r>
        <w:rPr>
          <w:rFonts w:ascii="仿宋" w:hAnsi="仿宋" w:eastAsia="仿宋" w:cs="仿宋"/>
          <w:color w:val="auto"/>
          <w:spacing w:val="-4"/>
          <w:sz w:val="24"/>
          <w:szCs w:val="24"/>
          <w:highlight w:val="none"/>
          <w:u w:val="single" w:color="auto"/>
        </w:rPr>
        <w:t xml:space="preserve">                                   </w:t>
      </w:r>
    </w:p>
    <w:p w14:paraId="276A4B2A">
      <w:pPr>
        <w:spacing w:before="94" w:line="324" w:lineRule="auto"/>
        <w:ind w:left="54" w:right="95" w:firstLine="49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发包人继续使用承包人在施工现场的材料、设备、临时工程、承包人文件和由</w:t>
      </w:r>
      <w:r>
        <w:rPr>
          <w:rFonts w:ascii="仿宋" w:hAnsi="仿宋" w:eastAsia="仿宋" w:cs="仿宋"/>
          <w:color w:val="auto"/>
          <w:spacing w:val="-3"/>
          <w:sz w:val="24"/>
          <w:szCs w:val="24"/>
          <w:highlight w:val="none"/>
        </w:rPr>
        <w:t>承包</w:t>
      </w:r>
      <w:r>
        <w:rPr>
          <w:rFonts w:ascii="仿宋" w:hAnsi="仿宋" w:eastAsia="仿宋" w:cs="仿宋"/>
          <w:color w:val="auto"/>
          <w:spacing w:val="40"/>
          <w:sz w:val="24"/>
          <w:szCs w:val="24"/>
          <w:highlight w:val="none"/>
        </w:rPr>
        <w:t xml:space="preserve"> </w:t>
      </w:r>
      <w:r>
        <w:rPr>
          <w:rFonts w:ascii="仿宋" w:hAnsi="仿宋" w:eastAsia="仿宋" w:cs="仿宋"/>
          <w:color w:val="auto"/>
          <w:spacing w:val="-3"/>
          <w:sz w:val="24"/>
          <w:szCs w:val="24"/>
          <w:highlight w:val="none"/>
        </w:rPr>
        <w:t>人或以其名义编制的其他文件的费用承担方式：</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3"/>
          <w:sz w:val="24"/>
          <w:szCs w:val="24"/>
          <w:highlight w:val="none"/>
        </w:rPr>
        <w:t>。</w:t>
      </w:r>
    </w:p>
    <w:p w14:paraId="68B46EA6">
      <w:pPr>
        <w:spacing w:before="161" w:line="223" w:lineRule="auto"/>
        <w:ind w:left="76"/>
        <w:rPr>
          <w:rFonts w:ascii="仿宋" w:hAnsi="仿宋" w:eastAsia="仿宋" w:cs="仿宋"/>
          <w:color w:val="auto"/>
          <w:sz w:val="24"/>
          <w:szCs w:val="24"/>
          <w:highlight w:val="none"/>
        </w:rPr>
      </w:pPr>
      <w:r>
        <w:rPr>
          <w:rFonts w:ascii="仿宋" w:hAnsi="仿宋" w:eastAsia="仿宋" w:cs="仿宋"/>
          <w:b/>
          <w:bCs/>
          <w:color w:val="auto"/>
          <w:spacing w:val="-17"/>
          <w:sz w:val="24"/>
          <w:szCs w:val="24"/>
          <w:highlight w:val="none"/>
        </w:rPr>
        <w:t>17.</w:t>
      </w:r>
      <w:r>
        <w:rPr>
          <w:rFonts w:ascii="仿宋" w:hAnsi="仿宋" w:eastAsia="仿宋" w:cs="仿宋"/>
          <w:color w:val="auto"/>
          <w:spacing w:val="38"/>
          <w:sz w:val="24"/>
          <w:szCs w:val="24"/>
          <w:highlight w:val="none"/>
        </w:rPr>
        <w:t xml:space="preserve"> </w:t>
      </w:r>
      <w:r>
        <w:rPr>
          <w:rFonts w:ascii="仿宋" w:hAnsi="仿宋" w:eastAsia="仿宋" w:cs="仿宋"/>
          <w:b/>
          <w:bCs/>
          <w:color w:val="auto"/>
          <w:spacing w:val="-17"/>
          <w:sz w:val="24"/>
          <w:szCs w:val="24"/>
          <w:highlight w:val="none"/>
        </w:rPr>
        <w:t>不可抗力</w:t>
      </w:r>
    </w:p>
    <w:p w14:paraId="56432980">
      <w:pPr>
        <w:spacing w:before="286" w:line="223" w:lineRule="auto"/>
        <w:ind w:left="76"/>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17.1</w:t>
      </w:r>
      <w:r>
        <w:rPr>
          <w:rFonts w:ascii="仿宋" w:hAnsi="仿宋" w:eastAsia="仿宋" w:cs="仿宋"/>
          <w:color w:val="auto"/>
          <w:spacing w:val="65"/>
          <w:sz w:val="24"/>
          <w:szCs w:val="24"/>
          <w:highlight w:val="none"/>
        </w:rPr>
        <w:t xml:space="preserve"> </w:t>
      </w:r>
      <w:r>
        <w:rPr>
          <w:rFonts w:ascii="仿宋" w:hAnsi="仿宋" w:eastAsia="仿宋" w:cs="仿宋"/>
          <w:color w:val="auto"/>
          <w:spacing w:val="-11"/>
          <w:sz w:val="24"/>
          <w:szCs w:val="24"/>
          <w:highlight w:val="none"/>
        </w:rPr>
        <w:t>不可抗力的确认</w:t>
      </w:r>
    </w:p>
    <w:p w14:paraId="0FF35571">
      <w:pPr>
        <w:spacing w:before="285" w:line="222" w:lineRule="auto"/>
        <w:ind w:left="55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除通用合同条款约定的不可抗力事件之外，视为不可抗力的其他情</w:t>
      </w:r>
    </w:p>
    <w:p w14:paraId="075E63D9">
      <w:pPr>
        <w:spacing w:before="175" w:line="223" w:lineRule="auto"/>
        <w:ind w:left="44"/>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 xml:space="preserve">形：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14:paraId="5D7B52BA">
      <w:pPr>
        <w:spacing w:before="164" w:line="222"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17.4  因不可抗力解除合同</w:t>
      </w:r>
    </w:p>
    <w:p w14:paraId="2FED8619">
      <w:pPr>
        <w:pStyle w:val="3"/>
        <w:spacing w:line="247" w:lineRule="auto"/>
        <w:rPr>
          <w:color w:val="auto"/>
          <w:highlight w:val="none"/>
        </w:rPr>
      </w:pPr>
    </w:p>
    <w:p w14:paraId="09E76E48">
      <w:pPr>
        <w:spacing w:before="78" w:line="328" w:lineRule="auto"/>
        <w:ind w:left="58" w:right="277" w:firstLine="484"/>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合同解除后，发包人应在商定或确定发包人应支付款项后</w:t>
      </w:r>
      <w:r>
        <w:rPr>
          <w:rFonts w:ascii="仿宋" w:hAnsi="仿宋" w:eastAsia="仿宋" w:cs="仿宋"/>
          <w:color w:val="auto"/>
          <w:spacing w:val="43"/>
          <w:sz w:val="24"/>
          <w:szCs w:val="24"/>
          <w:highlight w:val="none"/>
          <w:u w:val="single" w:color="auto"/>
        </w:rPr>
        <w:t xml:space="preserve">   </w:t>
      </w:r>
      <w:r>
        <w:rPr>
          <w:rFonts w:ascii="仿宋" w:hAnsi="仿宋" w:eastAsia="仿宋" w:cs="仿宋"/>
          <w:color w:val="auto"/>
          <w:spacing w:val="-67"/>
          <w:sz w:val="24"/>
          <w:szCs w:val="24"/>
          <w:highlight w:val="none"/>
        </w:rPr>
        <w:t xml:space="preserve"> </w:t>
      </w:r>
      <w:r>
        <w:rPr>
          <w:rFonts w:ascii="仿宋" w:hAnsi="仿宋" w:eastAsia="仿宋" w:cs="仿宋"/>
          <w:color w:val="auto"/>
          <w:spacing w:val="-4"/>
          <w:sz w:val="24"/>
          <w:szCs w:val="24"/>
          <w:highlight w:val="none"/>
        </w:rPr>
        <w:t>天内完成款项</w:t>
      </w:r>
      <w:r>
        <w:rPr>
          <w:rFonts w:ascii="仿宋" w:hAnsi="仿宋" w:eastAsia="仿宋" w:cs="仿宋"/>
          <w:color w:val="auto"/>
          <w:spacing w:val="-13"/>
          <w:sz w:val="24"/>
          <w:szCs w:val="24"/>
          <w:highlight w:val="none"/>
        </w:rPr>
        <w:t>的支</w:t>
      </w:r>
      <w:r>
        <w:rPr>
          <w:rFonts w:ascii="仿宋" w:hAnsi="仿宋" w:eastAsia="仿宋" w:cs="仿宋"/>
          <w:color w:val="auto"/>
          <w:spacing w:val="16"/>
          <w:sz w:val="24"/>
          <w:szCs w:val="24"/>
          <w:highlight w:val="none"/>
        </w:rPr>
        <w:t xml:space="preserve"> </w:t>
      </w:r>
      <w:r>
        <w:rPr>
          <w:rFonts w:ascii="仿宋" w:hAnsi="仿宋" w:eastAsia="仿宋" w:cs="仿宋"/>
          <w:color w:val="auto"/>
          <w:spacing w:val="-13"/>
          <w:sz w:val="24"/>
          <w:szCs w:val="24"/>
          <w:highlight w:val="none"/>
        </w:rPr>
        <w:t>付。</w:t>
      </w:r>
    </w:p>
    <w:p w14:paraId="42EEA58F">
      <w:pPr>
        <w:spacing w:before="141" w:line="221" w:lineRule="auto"/>
        <w:ind w:left="76"/>
        <w:rPr>
          <w:rFonts w:ascii="仿宋" w:hAnsi="仿宋" w:eastAsia="仿宋" w:cs="仿宋"/>
          <w:color w:val="auto"/>
          <w:sz w:val="24"/>
          <w:szCs w:val="24"/>
          <w:highlight w:val="none"/>
        </w:rPr>
      </w:pPr>
      <w:r>
        <w:rPr>
          <w:rFonts w:ascii="仿宋" w:hAnsi="仿宋" w:eastAsia="仿宋" w:cs="仿宋"/>
          <w:b/>
          <w:bCs/>
          <w:color w:val="auto"/>
          <w:spacing w:val="-16"/>
          <w:sz w:val="24"/>
          <w:szCs w:val="24"/>
          <w:highlight w:val="none"/>
        </w:rPr>
        <w:t>18.</w:t>
      </w:r>
      <w:r>
        <w:rPr>
          <w:rFonts w:ascii="仿宋" w:hAnsi="仿宋" w:eastAsia="仿宋" w:cs="仿宋"/>
          <w:color w:val="auto"/>
          <w:spacing w:val="19"/>
          <w:sz w:val="24"/>
          <w:szCs w:val="24"/>
          <w:highlight w:val="none"/>
        </w:rPr>
        <w:t xml:space="preserve"> </w:t>
      </w:r>
      <w:r>
        <w:rPr>
          <w:rFonts w:ascii="仿宋" w:hAnsi="仿宋" w:eastAsia="仿宋" w:cs="仿宋"/>
          <w:b/>
          <w:bCs/>
          <w:color w:val="auto"/>
          <w:spacing w:val="-16"/>
          <w:sz w:val="24"/>
          <w:szCs w:val="24"/>
          <w:highlight w:val="none"/>
        </w:rPr>
        <w:t>保险</w:t>
      </w:r>
    </w:p>
    <w:p w14:paraId="5823906A">
      <w:pPr>
        <w:spacing w:before="294" w:line="221"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18.1</w:t>
      </w:r>
      <w:r>
        <w:rPr>
          <w:rFonts w:ascii="仿宋" w:hAnsi="仿宋" w:eastAsia="仿宋" w:cs="仿宋"/>
          <w:color w:val="auto"/>
          <w:spacing w:val="47"/>
          <w:sz w:val="24"/>
          <w:szCs w:val="24"/>
          <w:highlight w:val="none"/>
        </w:rPr>
        <w:t xml:space="preserve"> </w:t>
      </w:r>
      <w:r>
        <w:rPr>
          <w:rFonts w:ascii="仿宋" w:hAnsi="仿宋" w:eastAsia="仿宋" w:cs="仿宋"/>
          <w:color w:val="auto"/>
          <w:spacing w:val="-12"/>
          <w:sz w:val="24"/>
          <w:szCs w:val="24"/>
          <w:highlight w:val="none"/>
        </w:rPr>
        <w:t>工程保险</w:t>
      </w:r>
    </w:p>
    <w:p w14:paraId="2F954EB5">
      <w:pPr>
        <w:spacing w:before="291" w:line="221" w:lineRule="auto"/>
        <w:ind w:left="545"/>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关于工程保险的特别约定：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4A075024">
      <w:pPr>
        <w:spacing w:before="171" w:line="221" w:lineRule="auto"/>
        <w:ind w:left="76"/>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18.3</w:t>
      </w:r>
      <w:r>
        <w:rPr>
          <w:rFonts w:ascii="仿宋" w:hAnsi="仿宋" w:eastAsia="仿宋" w:cs="仿宋"/>
          <w:color w:val="auto"/>
          <w:spacing w:val="34"/>
          <w:sz w:val="24"/>
          <w:szCs w:val="24"/>
          <w:highlight w:val="none"/>
        </w:rPr>
        <w:t xml:space="preserve"> </w:t>
      </w:r>
      <w:r>
        <w:rPr>
          <w:rFonts w:ascii="仿宋" w:hAnsi="仿宋" w:eastAsia="仿宋" w:cs="仿宋"/>
          <w:color w:val="auto"/>
          <w:spacing w:val="-11"/>
          <w:sz w:val="24"/>
          <w:szCs w:val="24"/>
          <w:highlight w:val="none"/>
        </w:rPr>
        <w:t>其他保险</w:t>
      </w:r>
    </w:p>
    <w:p w14:paraId="44226175">
      <w:pPr>
        <w:spacing w:before="294" w:line="221" w:lineRule="auto"/>
        <w:ind w:left="545"/>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关于其他保险的约定：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55C2E262">
      <w:pPr>
        <w:spacing w:before="171" w:line="189" w:lineRule="auto"/>
        <w:ind w:left="524"/>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承包人是否应为其施工设备等办理财产保险：</w:t>
      </w:r>
    </w:p>
    <w:p w14:paraId="0238F690">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4FCF3F91">
      <w:pPr>
        <w:spacing w:before="251" w:line="223" w:lineRule="auto"/>
        <w:ind w:left="76"/>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18.7</w:t>
      </w:r>
      <w:r>
        <w:rPr>
          <w:rFonts w:ascii="仿宋" w:hAnsi="仿宋" w:eastAsia="仿宋" w:cs="仿宋"/>
          <w:color w:val="auto"/>
          <w:spacing w:val="47"/>
          <w:sz w:val="24"/>
          <w:szCs w:val="24"/>
          <w:highlight w:val="none"/>
        </w:rPr>
        <w:t xml:space="preserve"> </w:t>
      </w:r>
      <w:r>
        <w:rPr>
          <w:rFonts w:ascii="仿宋" w:hAnsi="仿宋" w:eastAsia="仿宋" w:cs="仿宋"/>
          <w:color w:val="auto"/>
          <w:spacing w:val="-12"/>
          <w:sz w:val="24"/>
          <w:szCs w:val="24"/>
          <w:highlight w:val="none"/>
        </w:rPr>
        <w:t>通知义务</w:t>
      </w:r>
    </w:p>
    <w:p w14:paraId="4C30F96C">
      <w:pPr>
        <w:spacing w:before="286" w:line="189" w:lineRule="auto"/>
        <w:ind w:left="545"/>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关于变更保险合同时的通知义务的约定：</w:t>
      </w:r>
    </w:p>
    <w:p w14:paraId="1A2DA4CF">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18A63AEF">
      <w:pPr>
        <w:pStyle w:val="3"/>
        <w:spacing w:line="291" w:lineRule="auto"/>
        <w:rPr>
          <w:color w:val="auto"/>
          <w:highlight w:val="none"/>
        </w:rPr>
      </w:pPr>
    </w:p>
    <w:p w14:paraId="6D91E952">
      <w:pPr>
        <w:spacing w:before="79" w:line="222" w:lineRule="auto"/>
        <w:ind w:left="30"/>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20.</w:t>
      </w:r>
      <w:r>
        <w:rPr>
          <w:rFonts w:ascii="仿宋" w:hAnsi="仿宋" w:eastAsia="仿宋" w:cs="仿宋"/>
          <w:color w:val="auto"/>
          <w:spacing w:val="39"/>
          <w:sz w:val="24"/>
          <w:szCs w:val="24"/>
          <w:highlight w:val="none"/>
        </w:rPr>
        <w:t xml:space="preserve"> </w:t>
      </w:r>
      <w:r>
        <w:rPr>
          <w:rFonts w:ascii="仿宋" w:hAnsi="仿宋" w:eastAsia="仿宋" w:cs="仿宋"/>
          <w:b/>
          <w:bCs/>
          <w:color w:val="auto"/>
          <w:spacing w:val="-12"/>
          <w:sz w:val="24"/>
          <w:szCs w:val="24"/>
          <w:highlight w:val="none"/>
        </w:rPr>
        <w:t>争议解决</w:t>
      </w:r>
    </w:p>
    <w:p w14:paraId="11F4DE84">
      <w:pPr>
        <w:spacing w:before="290" w:line="222" w:lineRule="auto"/>
        <w:ind w:left="30"/>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20.3</w:t>
      </w:r>
      <w:r>
        <w:rPr>
          <w:rFonts w:ascii="仿宋" w:hAnsi="仿宋" w:eastAsia="仿宋" w:cs="仿宋"/>
          <w:color w:val="auto"/>
          <w:spacing w:val="41"/>
          <w:sz w:val="24"/>
          <w:szCs w:val="24"/>
          <w:highlight w:val="none"/>
        </w:rPr>
        <w:t xml:space="preserve"> </w:t>
      </w:r>
      <w:r>
        <w:rPr>
          <w:rFonts w:ascii="仿宋" w:hAnsi="仿宋" w:eastAsia="仿宋" w:cs="仿宋"/>
          <w:color w:val="auto"/>
          <w:spacing w:val="-7"/>
          <w:sz w:val="24"/>
          <w:szCs w:val="24"/>
          <w:highlight w:val="none"/>
        </w:rPr>
        <w:t>争议评审</w:t>
      </w:r>
    </w:p>
    <w:p w14:paraId="2A3FEAB0">
      <w:pPr>
        <w:spacing w:before="285" w:line="189" w:lineRule="auto"/>
        <w:ind w:left="574"/>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合同当事人是否同意将工程争议提交争议评审小组决定：</w:t>
      </w:r>
    </w:p>
    <w:p w14:paraId="157F7145">
      <w:pPr>
        <w:tabs>
          <w:tab w:val="left" w:pos="6882"/>
        </w:tabs>
        <w:spacing w:before="60" w:line="95" w:lineRule="auto"/>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6"/>
          <w:sz w:val="6"/>
          <w:szCs w:val="6"/>
          <w:highlight w:val="none"/>
          <w:u w:val="single" w:color="auto"/>
        </w:rPr>
        <w:t>。</w:t>
      </w:r>
      <w:r>
        <w:rPr>
          <w:rFonts w:ascii="仿宋" w:hAnsi="仿宋" w:eastAsia="仿宋" w:cs="仿宋"/>
          <w:color w:val="auto"/>
          <w:sz w:val="6"/>
          <w:szCs w:val="6"/>
          <w:highlight w:val="none"/>
          <w:u w:val="single" w:color="auto"/>
        </w:rPr>
        <w:t xml:space="preserve">                                                           </w:t>
      </w:r>
    </w:p>
    <w:p w14:paraId="3C1EB321">
      <w:pPr>
        <w:spacing w:before="252" w:line="222" w:lineRule="auto"/>
        <w:ind w:left="3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20.3.1 争议评审小组的确定</w:t>
      </w:r>
    </w:p>
    <w:p w14:paraId="0FFC7E0B">
      <w:pPr>
        <w:pStyle w:val="3"/>
        <w:spacing w:line="298" w:lineRule="auto"/>
        <w:rPr>
          <w:color w:val="auto"/>
          <w:highlight w:val="none"/>
        </w:rPr>
      </w:pPr>
    </w:p>
    <w:p w14:paraId="6978B699">
      <w:pPr>
        <w:spacing w:before="78" w:line="222" w:lineRule="auto"/>
        <w:ind w:left="50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争议评审小组成员的确定：</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14:paraId="6A124A2F">
      <w:pPr>
        <w:spacing w:before="149" w:line="222" w:lineRule="auto"/>
        <w:ind w:left="51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选定争议评审员的期限：</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71"/>
          <w:sz w:val="24"/>
          <w:szCs w:val="24"/>
          <w:highlight w:val="none"/>
        </w:rPr>
        <w:t xml:space="preserve"> </w:t>
      </w:r>
      <w:r>
        <w:rPr>
          <w:rFonts w:ascii="仿宋" w:hAnsi="仿宋" w:eastAsia="仿宋" w:cs="仿宋"/>
          <w:color w:val="auto"/>
          <w:spacing w:val="-3"/>
          <w:sz w:val="24"/>
          <w:szCs w:val="24"/>
          <w:highlight w:val="none"/>
        </w:rPr>
        <w:t>。</w:t>
      </w:r>
    </w:p>
    <w:p w14:paraId="6B6554E6">
      <w:pPr>
        <w:spacing w:before="150" w:line="222" w:lineRule="auto"/>
        <w:ind w:left="50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争议评审小组成员的报酬承担方式：</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3"/>
          <w:sz w:val="24"/>
          <w:szCs w:val="24"/>
          <w:highlight w:val="none"/>
        </w:rPr>
        <w:t>。</w:t>
      </w:r>
    </w:p>
    <w:p w14:paraId="626313CB">
      <w:pPr>
        <w:spacing w:before="150" w:line="222" w:lineRule="auto"/>
        <w:ind w:left="509"/>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其他事项的约定：</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14:paraId="6CCAE46B">
      <w:pPr>
        <w:spacing w:before="192" w:line="222" w:lineRule="auto"/>
        <w:ind w:left="1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20.3.2 争议评审小组的决定</w:t>
      </w:r>
    </w:p>
    <w:p w14:paraId="0CF2E70D">
      <w:pPr>
        <w:spacing w:line="222" w:lineRule="auto"/>
        <w:rPr>
          <w:rFonts w:ascii="仿宋" w:hAnsi="仿宋" w:eastAsia="仿宋" w:cs="仿宋"/>
          <w:color w:val="auto"/>
          <w:sz w:val="24"/>
          <w:szCs w:val="24"/>
          <w:highlight w:val="none"/>
        </w:rPr>
        <w:sectPr>
          <w:footerReference r:id="rId58" w:type="default"/>
          <w:pgSz w:w="11906" w:h="16840"/>
          <w:pgMar w:top="400" w:right="1785" w:bottom="1174" w:left="1440" w:header="0" w:footer="928" w:gutter="0"/>
          <w:pgNumType w:fmt="decimal"/>
          <w:cols w:space="720" w:num="1"/>
        </w:sectPr>
      </w:pPr>
    </w:p>
    <w:p w14:paraId="62F31588">
      <w:pPr>
        <w:pStyle w:val="3"/>
        <w:spacing w:line="352" w:lineRule="auto"/>
        <w:rPr>
          <w:color w:val="auto"/>
          <w:highlight w:val="none"/>
        </w:rPr>
      </w:pPr>
    </w:p>
    <w:p w14:paraId="7188E411">
      <w:pPr>
        <w:pStyle w:val="3"/>
        <w:spacing w:line="352" w:lineRule="auto"/>
        <w:rPr>
          <w:color w:val="auto"/>
          <w:highlight w:val="none"/>
        </w:rPr>
      </w:pPr>
    </w:p>
    <w:p w14:paraId="64DC2A67">
      <w:pPr>
        <w:spacing w:before="78" w:line="222" w:lineRule="auto"/>
        <w:ind w:left="512"/>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合同当事人关于本项的约定：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14:paraId="7EA1C3E8">
      <w:pPr>
        <w:spacing w:before="167" w:line="222" w:lineRule="auto"/>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20.4 仲裁或诉讼</w:t>
      </w:r>
    </w:p>
    <w:p w14:paraId="114A3E04">
      <w:pPr>
        <w:spacing w:before="286" w:line="221" w:lineRule="auto"/>
        <w:ind w:left="564"/>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因合同及合同有关事项发生的争议，按下列第</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45"/>
          <w:sz w:val="24"/>
          <w:szCs w:val="24"/>
          <w:highlight w:val="none"/>
        </w:rPr>
        <w:t xml:space="preserve"> </w:t>
      </w:r>
      <w:r>
        <w:rPr>
          <w:rFonts w:ascii="仿宋" w:hAnsi="仿宋" w:eastAsia="仿宋" w:cs="仿宋"/>
          <w:color w:val="auto"/>
          <w:spacing w:val="-6"/>
          <w:sz w:val="24"/>
          <w:szCs w:val="24"/>
          <w:highlight w:val="none"/>
        </w:rPr>
        <w:t>种方式解决：</w:t>
      </w:r>
    </w:p>
    <w:p w14:paraId="1AA70D84">
      <w:pPr>
        <w:spacing w:before="286" w:line="220" w:lineRule="auto"/>
        <w:ind w:left="506"/>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（1）向</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68"/>
          <w:sz w:val="24"/>
          <w:szCs w:val="24"/>
          <w:highlight w:val="none"/>
        </w:rPr>
        <w:t xml:space="preserve"> </w:t>
      </w:r>
      <w:r>
        <w:rPr>
          <w:rFonts w:ascii="仿宋" w:hAnsi="仿宋" w:eastAsia="仿宋" w:cs="仿宋"/>
          <w:color w:val="auto"/>
          <w:spacing w:val="-3"/>
          <w:sz w:val="24"/>
          <w:szCs w:val="24"/>
          <w:highlight w:val="none"/>
        </w:rPr>
        <w:t>仲裁委员会申请</w:t>
      </w:r>
      <w:r>
        <w:rPr>
          <w:rFonts w:ascii="仿宋" w:hAnsi="仿宋" w:eastAsia="仿宋" w:cs="仿宋"/>
          <w:color w:val="auto"/>
          <w:spacing w:val="-4"/>
          <w:sz w:val="24"/>
          <w:szCs w:val="24"/>
          <w:highlight w:val="none"/>
        </w:rPr>
        <w:t>仲裁；</w:t>
      </w:r>
    </w:p>
    <w:p w14:paraId="3B0EE3D1">
      <w:pPr>
        <w:spacing w:before="132" w:line="222" w:lineRule="auto"/>
        <w:ind w:left="50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（2）向</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8"/>
          <w:sz w:val="24"/>
          <w:szCs w:val="24"/>
          <w:highlight w:val="none"/>
        </w:rPr>
        <w:t xml:space="preserve"> </w:t>
      </w:r>
      <w:r>
        <w:rPr>
          <w:rFonts w:ascii="仿宋" w:hAnsi="仿宋" w:eastAsia="仿宋" w:cs="仿宋"/>
          <w:color w:val="auto"/>
          <w:spacing w:val="-6"/>
          <w:sz w:val="24"/>
          <w:szCs w:val="24"/>
          <w:highlight w:val="none"/>
        </w:rPr>
        <w:t>人民法院起诉。</w:t>
      </w:r>
    </w:p>
    <w:p w14:paraId="6905EAA4">
      <w:pPr>
        <w:spacing w:line="222" w:lineRule="auto"/>
        <w:rPr>
          <w:rFonts w:ascii="仿宋" w:hAnsi="仿宋" w:eastAsia="仿宋" w:cs="仿宋"/>
          <w:color w:val="auto"/>
          <w:sz w:val="24"/>
          <w:szCs w:val="24"/>
          <w:highlight w:val="none"/>
        </w:rPr>
        <w:sectPr>
          <w:footerReference r:id="rId59" w:type="default"/>
          <w:pgSz w:w="11906" w:h="16840"/>
          <w:pgMar w:top="400" w:right="1785" w:bottom="1174" w:left="1451" w:header="0" w:footer="928" w:gutter="0"/>
          <w:pgNumType w:fmt="decimal"/>
          <w:cols w:space="720" w:num="1"/>
        </w:sectPr>
      </w:pPr>
    </w:p>
    <w:p w14:paraId="5AA6D4C4">
      <w:pPr>
        <w:pStyle w:val="3"/>
        <w:spacing w:line="261" w:lineRule="auto"/>
        <w:rPr>
          <w:color w:val="auto"/>
          <w:highlight w:val="none"/>
        </w:rPr>
      </w:pPr>
    </w:p>
    <w:p w14:paraId="57A5530F">
      <w:pPr>
        <w:pStyle w:val="3"/>
        <w:spacing w:line="261" w:lineRule="auto"/>
        <w:rPr>
          <w:color w:val="auto"/>
          <w:highlight w:val="none"/>
        </w:rPr>
      </w:pPr>
    </w:p>
    <w:p w14:paraId="7DE31159">
      <w:pPr>
        <w:pStyle w:val="3"/>
        <w:spacing w:line="262" w:lineRule="auto"/>
        <w:rPr>
          <w:color w:val="auto"/>
          <w:highlight w:val="none"/>
        </w:rPr>
      </w:pPr>
    </w:p>
    <w:p w14:paraId="63ABF329">
      <w:pPr>
        <w:pStyle w:val="3"/>
        <w:spacing w:line="262" w:lineRule="auto"/>
        <w:rPr>
          <w:color w:val="auto"/>
          <w:highlight w:val="none"/>
        </w:rPr>
      </w:pPr>
    </w:p>
    <w:p w14:paraId="41A3F445">
      <w:pPr>
        <w:pStyle w:val="3"/>
        <w:spacing w:line="262" w:lineRule="auto"/>
        <w:rPr>
          <w:color w:val="auto"/>
          <w:highlight w:val="none"/>
        </w:rPr>
      </w:pPr>
    </w:p>
    <w:p w14:paraId="43AAD0D6">
      <w:pPr>
        <w:pStyle w:val="3"/>
        <w:spacing w:line="262" w:lineRule="auto"/>
        <w:rPr>
          <w:color w:val="auto"/>
          <w:highlight w:val="none"/>
        </w:rPr>
      </w:pPr>
    </w:p>
    <w:p w14:paraId="3E5C4D0E">
      <w:pPr>
        <w:pStyle w:val="3"/>
        <w:spacing w:line="262" w:lineRule="auto"/>
        <w:rPr>
          <w:color w:val="auto"/>
          <w:highlight w:val="none"/>
        </w:rPr>
      </w:pPr>
    </w:p>
    <w:p w14:paraId="7F249984">
      <w:pPr>
        <w:spacing w:before="98" w:line="222" w:lineRule="auto"/>
        <w:ind w:left="2600"/>
        <w:outlineLvl w:val="0"/>
        <w:rPr>
          <w:rFonts w:ascii="黑体" w:hAnsi="黑体" w:eastAsia="黑体" w:cs="黑体"/>
          <w:color w:val="auto"/>
          <w:sz w:val="30"/>
          <w:szCs w:val="30"/>
          <w:highlight w:val="none"/>
        </w:rPr>
      </w:pPr>
      <w:bookmarkStart w:id="33" w:name="bookmark34"/>
      <w:bookmarkEnd w:id="33"/>
      <w:r>
        <w:rPr>
          <w:rFonts w:ascii="黑体" w:hAnsi="黑体" w:eastAsia="黑体" w:cs="黑体"/>
          <w:color w:val="auto"/>
          <w:spacing w:val="3"/>
          <w:sz w:val="30"/>
          <w:szCs w:val="30"/>
          <w:highlight w:val="none"/>
        </w:rPr>
        <w:t>第六章</w:t>
      </w:r>
      <w:r>
        <w:rPr>
          <w:rFonts w:ascii="黑体" w:hAnsi="黑体" w:eastAsia="黑体" w:cs="黑体"/>
          <w:color w:val="auto"/>
          <w:spacing w:val="57"/>
          <w:sz w:val="30"/>
          <w:szCs w:val="30"/>
          <w:highlight w:val="none"/>
        </w:rPr>
        <w:t xml:space="preserve">  </w:t>
      </w:r>
      <w:r>
        <w:rPr>
          <w:rFonts w:ascii="黑体" w:hAnsi="黑体" w:eastAsia="黑体" w:cs="黑体"/>
          <w:color w:val="auto"/>
          <w:spacing w:val="3"/>
          <w:sz w:val="30"/>
          <w:szCs w:val="30"/>
          <w:highlight w:val="none"/>
        </w:rPr>
        <w:t>响应文件格怯</w:t>
      </w:r>
    </w:p>
    <w:p w14:paraId="748E9D75">
      <w:pPr>
        <w:spacing w:line="222" w:lineRule="auto"/>
        <w:rPr>
          <w:rFonts w:ascii="黑体" w:hAnsi="黑体" w:eastAsia="黑体" w:cs="黑体"/>
          <w:color w:val="auto"/>
          <w:sz w:val="30"/>
          <w:szCs w:val="30"/>
          <w:highlight w:val="none"/>
        </w:rPr>
        <w:sectPr>
          <w:footerReference r:id="rId60" w:type="default"/>
          <w:pgSz w:w="11906" w:h="16840"/>
          <w:pgMar w:top="400" w:right="1785" w:bottom="1157" w:left="1785" w:header="0" w:footer="911" w:gutter="0"/>
          <w:pgNumType w:fmt="decimal"/>
          <w:cols w:space="720" w:num="1"/>
        </w:sectPr>
      </w:pPr>
    </w:p>
    <w:p w14:paraId="0403453F">
      <w:pPr>
        <w:pStyle w:val="3"/>
        <w:spacing w:line="266" w:lineRule="auto"/>
        <w:rPr>
          <w:color w:val="auto"/>
          <w:highlight w:val="none"/>
        </w:rPr>
      </w:pPr>
    </w:p>
    <w:p w14:paraId="089B1255">
      <w:pPr>
        <w:pStyle w:val="3"/>
        <w:spacing w:line="266" w:lineRule="auto"/>
        <w:rPr>
          <w:color w:val="auto"/>
          <w:highlight w:val="none"/>
        </w:rPr>
      </w:pPr>
    </w:p>
    <w:p w14:paraId="4B98F67F">
      <w:pPr>
        <w:pStyle w:val="3"/>
        <w:spacing w:line="266" w:lineRule="auto"/>
        <w:rPr>
          <w:color w:val="auto"/>
          <w:highlight w:val="none"/>
        </w:rPr>
      </w:pPr>
    </w:p>
    <w:p w14:paraId="61A27B8E">
      <w:pPr>
        <w:pStyle w:val="3"/>
        <w:spacing w:line="267" w:lineRule="auto"/>
        <w:rPr>
          <w:color w:val="auto"/>
          <w:highlight w:val="none"/>
        </w:rPr>
      </w:pPr>
    </w:p>
    <w:p w14:paraId="33204475">
      <w:pPr>
        <w:spacing w:before="97" w:line="219" w:lineRule="auto"/>
        <w:ind w:left="2949"/>
        <w:rPr>
          <w:rFonts w:ascii="宋体" w:hAnsi="宋体" w:eastAsia="宋体" w:cs="宋体"/>
          <w:color w:val="auto"/>
          <w:sz w:val="30"/>
          <w:szCs w:val="30"/>
          <w:highlight w:val="none"/>
        </w:rPr>
      </w:pPr>
      <w:r>
        <w:rPr>
          <w:rFonts w:ascii="宋体" w:hAnsi="宋体" w:eastAsia="宋体" w:cs="宋体"/>
          <w:b/>
          <w:bCs/>
          <w:color w:val="auto"/>
          <w:sz w:val="30"/>
          <w:szCs w:val="30"/>
          <w:highlight w:val="none"/>
        </w:rPr>
        <w:t>（响应文件标书封皮）</w:t>
      </w:r>
    </w:p>
    <w:p w14:paraId="0138CF32">
      <w:pPr>
        <w:spacing w:before="260" w:line="219" w:lineRule="auto"/>
        <w:jc w:val="right"/>
        <w:rPr>
          <w:rFonts w:ascii="宋体" w:hAnsi="宋体" w:eastAsia="宋体" w:cs="宋体"/>
          <w:color w:val="auto"/>
          <w:sz w:val="34"/>
          <w:szCs w:val="34"/>
          <w:highlight w:val="none"/>
        </w:rPr>
      </w:pPr>
      <w:r>
        <w:rPr>
          <w:rFonts w:ascii="宋体" w:hAnsi="宋体" w:eastAsia="宋体" w:cs="宋体"/>
          <w:b/>
          <w:bCs/>
          <w:color w:val="auto"/>
          <w:spacing w:val="-3"/>
          <w:sz w:val="34"/>
          <w:szCs w:val="34"/>
          <w:highlight w:val="none"/>
        </w:rPr>
        <w:t>正（副）本</w:t>
      </w:r>
    </w:p>
    <w:p w14:paraId="152277A4">
      <w:pPr>
        <w:pStyle w:val="3"/>
        <w:spacing w:line="310" w:lineRule="auto"/>
        <w:rPr>
          <w:color w:val="auto"/>
          <w:highlight w:val="none"/>
        </w:rPr>
      </w:pPr>
    </w:p>
    <w:p w14:paraId="6800D0FB">
      <w:pPr>
        <w:pStyle w:val="3"/>
        <w:spacing w:line="311" w:lineRule="auto"/>
        <w:rPr>
          <w:color w:val="auto"/>
          <w:highlight w:val="none"/>
        </w:rPr>
      </w:pPr>
    </w:p>
    <w:p w14:paraId="1E4906E0">
      <w:pPr>
        <w:spacing w:before="169" w:line="220" w:lineRule="auto"/>
        <w:ind w:left="2228"/>
        <w:rPr>
          <w:rFonts w:ascii="宋体" w:hAnsi="宋体" w:eastAsia="宋体" w:cs="宋体"/>
          <w:color w:val="auto"/>
          <w:sz w:val="52"/>
          <w:szCs w:val="52"/>
          <w:highlight w:val="none"/>
        </w:rPr>
      </w:pPr>
      <w:r>
        <w:rPr>
          <w:rFonts w:ascii="Times New Roman" w:hAnsi="Times New Roman" w:eastAsia="Times New Roman" w:cs="Times New Roman"/>
          <w:b/>
          <w:bCs/>
          <w:color w:val="auto"/>
          <w:spacing w:val="-20"/>
          <w:sz w:val="52"/>
          <w:szCs w:val="52"/>
          <w:highlight w:val="none"/>
          <w:u w:val="single" w:color="auto"/>
        </w:rPr>
        <w:t>****</w:t>
      </w:r>
      <w:r>
        <w:rPr>
          <w:rFonts w:ascii="Times New Roman" w:hAnsi="Times New Roman" w:eastAsia="Times New Roman" w:cs="Times New Roman"/>
          <w:b/>
          <w:bCs/>
          <w:color w:val="auto"/>
          <w:spacing w:val="3"/>
          <w:sz w:val="52"/>
          <w:szCs w:val="52"/>
          <w:highlight w:val="none"/>
          <w:u w:val="single" w:color="auto"/>
        </w:rPr>
        <w:t xml:space="preserve">                   </w:t>
      </w:r>
      <w:r>
        <w:rPr>
          <w:rFonts w:ascii="Times New Roman" w:hAnsi="Times New Roman" w:eastAsia="Times New Roman" w:cs="Times New Roman"/>
          <w:b/>
          <w:bCs/>
          <w:color w:val="auto"/>
          <w:spacing w:val="-3"/>
          <w:sz w:val="52"/>
          <w:szCs w:val="52"/>
          <w:highlight w:val="none"/>
        </w:rPr>
        <w:t xml:space="preserve"> </w:t>
      </w:r>
      <w:r>
        <w:rPr>
          <w:rFonts w:ascii="宋体" w:hAnsi="宋体" w:eastAsia="宋体" w:cs="宋体"/>
          <w:b/>
          <w:bCs/>
          <w:color w:val="auto"/>
          <w:spacing w:val="-20"/>
          <w:sz w:val="52"/>
          <w:szCs w:val="52"/>
          <w:highlight w:val="none"/>
        </w:rPr>
        <w:t>项目</w:t>
      </w:r>
    </w:p>
    <w:p w14:paraId="29331617">
      <w:pPr>
        <w:spacing w:before="194" w:line="219" w:lineRule="auto"/>
        <w:ind w:left="391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项目编号：</w:t>
      </w:r>
    </w:p>
    <w:p w14:paraId="0289778B">
      <w:pPr>
        <w:pStyle w:val="3"/>
        <w:spacing w:line="256" w:lineRule="auto"/>
        <w:rPr>
          <w:color w:val="auto"/>
          <w:highlight w:val="none"/>
        </w:rPr>
      </w:pPr>
    </w:p>
    <w:p w14:paraId="7FC86D43">
      <w:pPr>
        <w:pStyle w:val="3"/>
        <w:spacing w:line="256" w:lineRule="auto"/>
        <w:rPr>
          <w:color w:val="auto"/>
          <w:highlight w:val="none"/>
        </w:rPr>
      </w:pPr>
    </w:p>
    <w:p w14:paraId="292DEB3C">
      <w:pPr>
        <w:pStyle w:val="3"/>
        <w:spacing w:line="256" w:lineRule="auto"/>
        <w:rPr>
          <w:color w:val="auto"/>
          <w:highlight w:val="none"/>
        </w:rPr>
      </w:pPr>
    </w:p>
    <w:p w14:paraId="0CCB55C8">
      <w:pPr>
        <w:pStyle w:val="3"/>
        <w:spacing w:line="256" w:lineRule="auto"/>
        <w:rPr>
          <w:color w:val="auto"/>
          <w:highlight w:val="none"/>
        </w:rPr>
      </w:pPr>
    </w:p>
    <w:p w14:paraId="7689FE8E">
      <w:pPr>
        <w:pStyle w:val="3"/>
        <w:spacing w:line="256" w:lineRule="auto"/>
        <w:rPr>
          <w:color w:val="auto"/>
          <w:highlight w:val="none"/>
        </w:rPr>
      </w:pPr>
    </w:p>
    <w:p w14:paraId="463847EE">
      <w:pPr>
        <w:pStyle w:val="3"/>
        <w:spacing w:line="256" w:lineRule="auto"/>
        <w:rPr>
          <w:color w:val="auto"/>
          <w:highlight w:val="none"/>
        </w:rPr>
      </w:pPr>
    </w:p>
    <w:p w14:paraId="0CD1AAC6">
      <w:pPr>
        <w:pStyle w:val="3"/>
        <w:spacing w:line="256" w:lineRule="auto"/>
        <w:rPr>
          <w:color w:val="auto"/>
          <w:highlight w:val="none"/>
        </w:rPr>
      </w:pPr>
    </w:p>
    <w:p w14:paraId="6058168A">
      <w:pPr>
        <w:pStyle w:val="3"/>
        <w:spacing w:line="257" w:lineRule="auto"/>
        <w:rPr>
          <w:color w:val="auto"/>
          <w:highlight w:val="none"/>
        </w:rPr>
      </w:pPr>
    </w:p>
    <w:p w14:paraId="5C42ABB1">
      <w:pPr>
        <w:pStyle w:val="3"/>
        <w:spacing w:line="257" w:lineRule="auto"/>
        <w:rPr>
          <w:color w:val="auto"/>
          <w:highlight w:val="none"/>
        </w:rPr>
      </w:pPr>
    </w:p>
    <w:p w14:paraId="5F9539F1">
      <w:pPr>
        <w:pStyle w:val="3"/>
        <w:spacing w:line="257" w:lineRule="auto"/>
        <w:rPr>
          <w:color w:val="auto"/>
          <w:highlight w:val="none"/>
        </w:rPr>
      </w:pPr>
    </w:p>
    <w:p w14:paraId="09C427F6">
      <w:pPr>
        <w:pStyle w:val="3"/>
        <w:spacing w:line="257" w:lineRule="auto"/>
        <w:rPr>
          <w:color w:val="auto"/>
          <w:highlight w:val="none"/>
        </w:rPr>
      </w:pPr>
    </w:p>
    <w:p w14:paraId="76FBFFF9">
      <w:pPr>
        <w:pStyle w:val="3"/>
        <w:spacing w:line="257" w:lineRule="auto"/>
        <w:rPr>
          <w:color w:val="auto"/>
          <w:highlight w:val="none"/>
        </w:rPr>
      </w:pPr>
    </w:p>
    <w:p w14:paraId="062371B9">
      <w:pPr>
        <w:pStyle w:val="3"/>
        <w:spacing w:line="257" w:lineRule="auto"/>
        <w:rPr>
          <w:color w:val="auto"/>
          <w:highlight w:val="none"/>
        </w:rPr>
      </w:pPr>
    </w:p>
    <w:p w14:paraId="508A6C01">
      <w:pPr>
        <w:spacing w:before="227" w:line="220" w:lineRule="auto"/>
        <w:ind w:left="2687"/>
        <w:rPr>
          <w:rFonts w:ascii="宋体" w:hAnsi="宋体" w:eastAsia="宋体" w:cs="宋体"/>
          <w:color w:val="auto"/>
          <w:sz w:val="70"/>
          <w:szCs w:val="70"/>
          <w:highlight w:val="none"/>
        </w:rPr>
      </w:pPr>
      <w:r>
        <w:rPr>
          <w:rFonts w:ascii="宋体" w:hAnsi="宋体" w:eastAsia="宋体" w:cs="宋体"/>
          <w:b/>
          <w:bCs/>
          <w:color w:val="auto"/>
          <w:spacing w:val="-38"/>
          <w:sz w:val="70"/>
          <w:szCs w:val="70"/>
          <w:highlight w:val="none"/>
        </w:rPr>
        <w:t>响</w:t>
      </w:r>
      <w:r>
        <w:rPr>
          <w:rFonts w:ascii="宋体" w:hAnsi="宋体" w:eastAsia="宋体" w:cs="宋体"/>
          <w:color w:val="auto"/>
          <w:spacing w:val="35"/>
          <w:sz w:val="70"/>
          <w:szCs w:val="70"/>
          <w:highlight w:val="none"/>
        </w:rPr>
        <w:t xml:space="preserve"> </w:t>
      </w:r>
      <w:r>
        <w:rPr>
          <w:rFonts w:ascii="宋体" w:hAnsi="宋体" w:eastAsia="宋体" w:cs="宋体"/>
          <w:b/>
          <w:bCs/>
          <w:color w:val="auto"/>
          <w:spacing w:val="-38"/>
          <w:sz w:val="70"/>
          <w:szCs w:val="70"/>
          <w:highlight w:val="none"/>
        </w:rPr>
        <w:t>应</w:t>
      </w:r>
      <w:r>
        <w:rPr>
          <w:rFonts w:ascii="宋体" w:hAnsi="宋体" w:eastAsia="宋体" w:cs="宋体"/>
          <w:color w:val="auto"/>
          <w:spacing w:val="58"/>
          <w:sz w:val="70"/>
          <w:szCs w:val="70"/>
          <w:highlight w:val="none"/>
        </w:rPr>
        <w:t xml:space="preserve"> </w:t>
      </w:r>
      <w:r>
        <w:rPr>
          <w:rFonts w:ascii="宋体" w:hAnsi="宋体" w:eastAsia="宋体" w:cs="宋体"/>
          <w:b/>
          <w:bCs/>
          <w:color w:val="auto"/>
          <w:spacing w:val="-38"/>
          <w:sz w:val="70"/>
          <w:szCs w:val="70"/>
          <w:highlight w:val="none"/>
        </w:rPr>
        <w:t>文</w:t>
      </w:r>
      <w:r>
        <w:rPr>
          <w:rFonts w:ascii="宋体" w:hAnsi="宋体" w:eastAsia="宋体" w:cs="宋体"/>
          <w:color w:val="auto"/>
          <w:spacing w:val="27"/>
          <w:sz w:val="70"/>
          <w:szCs w:val="70"/>
          <w:highlight w:val="none"/>
        </w:rPr>
        <w:t xml:space="preserve"> </w:t>
      </w:r>
      <w:r>
        <w:rPr>
          <w:rFonts w:ascii="宋体" w:hAnsi="宋体" w:eastAsia="宋体" w:cs="宋体"/>
          <w:b/>
          <w:bCs/>
          <w:color w:val="auto"/>
          <w:spacing w:val="-38"/>
          <w:sz w:val="70"/>
          <w:szCs w:val="70"/>
          <w:highlight w:val="none"/>
        </w:rPr>
        <w:t>件</w:t>
      </w:r>
    </w:p>
    <w:p w14:paraId="57A98570">
      <w:pPr>
        <w:pStyle w:val="3"/>
        <w:spacing w:line="243" w:lineRule="auto"/>
        <w:rPr>
          <w:color w:val="auto"/>
          <w:highlight w:val="none"/>
        </w:rPr>
      </w:pPr>
    </w:p>
    <w:p w14:paraId="5053BB12">
      <w:pPr>
        <w:pStyle w:val="3"/>
        <w:spacing w:line="243" w:lineRule="auto"/>
        <w:rPr>
          <w:color w:val="auto"/>
          <w:highlight w:val="none"/>
        </w:rPr>
      </w:pPr>
    </w:p>
    <w:p w14:paraId="0D0E5E52">
      <w:pPr>
        <w:pStyle w:val="3"/>
        <w:spacing w:line="243" w:lineRule="auto"/>
        <w:rPr>
          <w:color w:val="auto"/>
          <w:highlight w:val="none"/>
        </w:rPr>
      </w:pPr>
    </w:p>
    <w:p w14:paraId="545FFA64">
      <w:pPr>
        <w:pStyle w:val="3"/>
        <w:spacing w:line="243" w:lineRule="auto"/>
        <w:rPr>
          <w:color w:val="auto"/>
          <w:highlight w:val="none"/>
        </w:rPr>
      </w:pPr>
    </w:p>
    <w:p w14:paraId="64E418A6">
      <w:pPr>
        <w:pStyle w:val="3"/>
        <w:spacing w:line="243" w:lineRule="auto"/>
        <w:rPr>
          <w:color w:val="auto"/>
          <w:highlight w:val="none"/>
        </w:rPr>
      </w:pPr>
    </w:p>
    <w:p w14:paraId="19C536EF">
      <w:pPr>
        <w:pStyle w:val="3"/>
        <w:spacing w:line="243" w:lineRule="auto"/>
        <w:rPr>
          <w:color w:val="auto"/>
          <w:highlight w:val="none"/>
        </w:rPr>
      </w:pPr>
    </w:p>
    <w:p w14:paraId="384E49C5">
      <w:pPr>
        <w:pStyle w:val="3"/>
        <w:spacing w:line="244" w:lineRule="auto"/>
        <w:rPr>
          <w:color w:val="auto"/>
          <w:highlight w:val="none"/>
        </w:rPr>
      </w:pPr>
    </w:p>
    <w:p w14:paraId="0084C18F">
      <w:pPr>
        <w:pStyle w:val="3"/>
        <w:spacing w:line="244" w:lineRule="auto"/>
        <w:rPr>
          <w:color w:val="auto"/>
          <w:highlight w:val="none"/>
        </w:rPr>
      </w:pPr>
    </w:p>
    <w:p w14:paraId="58B2C7AC">
      <w:pPr>
        <w:pStyle w:val="3"/>
        <w:spacing w:line="244" w:lineRule="auto"/>
        <w:rPr>
          <w:color w:val="auto"/>
          <w:highlight w:val="none"/>
        </w:rPr>
      </w:pPr>
    </w:p>
    <w:p w14:paraId="6FA97F49">
      <w:pPr>
        <w:pStyle w:val="3"/>
        <w:spacing w:line="244" w:lineRule="auto"/>
        <w:rPr>
          <w:color w:val="auto"/>
          <w:highlight w:val="none"/>
        </w:rPr>
      </w:pPr>
    </w:p>
    <w:p w14:paraId="1051EBC9">
      <w:pPr>
        <w:pStyle w:val="3"/>
        <w:spacing w:line="244" w:lineRule="auto"/>
        <w:rPr>
          <w:color w:val="auto"/>
          <w:highlight w:val="none"/>
        </w:rPr>
      </w:pPr>
    </w:p>
    <w:p w14:paraId="44727188">
      <w:pPr>
        <w:pStyle w:val="3"/>
        <w:spacing w:line="244" w:lineRule="auto"/>
        <w:rPr>
          <w:color w:val="auto"/>
          <w:highlight w:val="none"/>
        </w:rPr>
      </w:pPr>
    </w:p>
    <w:p w14:paraId="64EF14E0">
      <w:pPr>
        <w:pStyle w:val="3"/>
        <w:spacing w:line="244" w:lineRule="auto"/>
        <w:rPr>
          <w:color w:val="auto"/>
          <w:highlight w:val="none"/>
        </w:rPr>
      </w:pPr>
    </w:p>
    <w:p w14:paraId="5C8E42E3">
      <w:pPr>
        <w:spacing w:before="92" w:line="219" w:lineRule="auto"/>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供应商名称</w:t>
      </w:r>
      <w:r>
        <w:rPr>
          <w:rFonts w:ascii="宋体" w:hAnsi="宋体" w:eastAsia="宋体" w:cs="宋体"/>
          <w:color w:val="auto"/>
          <w:spacing w:val="-31"/>
          <w:sz w:val="28"/>
          <w:szCs w:val="28"/>
          <w:highlight w:val="none"/>
        </w:rPr>
        <w:t>：</w:t>
      </w:r>
      <w:r>
        <w:rPr>
          <w:rFonts w:ascii="宋体" w:hAnsi="宋体" w:eastAsia="宋体" w:cs="宋体"/>
          <w:color w:val="auto"/>
          <w:spacing w:val="10"/>
          <w:sz w:val="28"/>
          <w:szCs w:val="28"/>
          <w:highlight w:val="none"/>
          <w:u w:val="single" w:color="auto"/>
        </w:rPr>
        <w:t xml:space="preserve">              </w:t>
      </w:r>
      <w:r>
        <w:rPr>
          <w:rFonts w:ascii="宋体" w:hAnsi="宋体" w:eastAsia="宋体" w:cs="宋体"/>
          <w:color w:val="auto"/>
          <w:spacing w:val="-31"/>
          <w:sz w:val="28"/>
          <w:szCs w:val="28"/>
          <w:highlight w:val="none"/>
        </w:rPr>
        <w:t>（</w:t>
      </w:r>
      <w:r>
        <w:rPr>
          <w:rFonts w:ascii="宋体" w:hAnsi="宋体" w:eastAsia="宋体" w:cs="宋体"/>
          <w:color w:val="auto"/>
          <w:spacing w:val="2"/>
          <w:sz w:val="28"/>
          <w:szCs w:val="28"/>
          <w:highlight w:val="none"/>
        </w:rPr>
        <w:t>盖章）</w:t>
      </w:r>
    </w:p>
    <w:p w14:paraId="7507ABD1">
      <w:pPr>
        <w:spacing w:before="301" w:line="219" w:lineRule="auto"/>
        <w:ind w:left="5"/>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法定代表人</w:t>
      </w:r>
      <w:r>
        <w:rPr>
          <w:rFonts w:ascii="宋体" w:hAnsi="宋体" w:eastAsia="宋体" w:cs="宋体"/>
          <w:color w:val="auto"/>
          <w:spacing w:val="-32"/>
          <w:sz w:val="28"/>
          <w:szCs w:val="28"/>
          <w:highlight w:val="none"/>
        </w:rPr>
        <w:t>：</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32"/>
          <w:sz w:val="28"/>
          <w:szCs w:val="28"/>
          <w:highlight w:val="none"/>
        </w:rPr>
        <w:t>（</w:t>
      </w:r>
      <w:r>
        <w:rPr>
          <w:rFonts w:ascii="宋体" w:hAnsi="宋体" w:eastAsia="宋体" w:cs="宋体"/>
          <w:color w:val="auto"/>
          <w:spacing w:val="1"/>
          <w:sz w:val="28"/>
          <w:szCs w:val="28"/>
          <w:highlight w:val="none"/>
        </w:rPr>
        <w:t>签字或盖章）</w:t>
      </w:r>
    </w:p>
    <w:p w14:paraId="795377EC">
      <w:pPr>
        <w:spacing w:before="299" w:line="220" w:lineRule="auto"/>
        <w:ind w:left="3953"/>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ascii="宋体" w:hAnsi="宋体" w:eastAsia="宋体" w:cs="宋体"/>
          <w:color w:val="auto"/>
          <w:spacing w:val="5"/>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3"/>
          <w:sz w:val="28"/>
          <w:szCs w:val="28"/>
          <w:highlight w:val="none"/>
        </w:rPr>
        <w:t xml:space="preserve">      </w:t>
      </w:r>
      <w:r>
        <w:rPr>
          <w:rFonts w:ascii="宋体" w:hAnsi="宋体" w:eastAsia="宋体" w:cs="宋体"/>
          <w:color w:val="auto"/>
          <w:spacing w:val="-10"/>
          <w:sz w:val="28"/>
          <w:szCs w:val="28"/>
          <w:highlight w:val="none"/>
        </w:rPr>
        <w:t>日</w:t>
      </w:r>
    </w:p>
    <w:p w14:paraId="787E4312">
      <w:pPr>
        <w:spacing w:line="220" w:lineRule="auto"/>
        <w:rPr>
          <w:rFonts w:ascii="宋体" w:hAnsi="宋体" w:eastAsia="宋体" w:cs="宋体"/>
          <w:color w:val="auto"/>
          <w:sz w:val="28"/>
          <w:szCs w:val="28"/>
          <w:highlight w:val="none"/>
        </w:rPr>
        <w:sectPr>
          <w:footerReference r:id="rId61" w:type="default"/>
          <w:pgSz w:w="11906" w:h="16840"/>
          <w:pgMar w:top="400" w:right="1451" w:bottom="1157" w:left="1470" w:header="0" w:footer="911" w:gutter="0"/>
          <w:pgNumType w:fmt="decimal"/>
          <w:cols w:space="720" w:num="1"/>
        </w:sectPr>
      </w:pPr>
    </w:p>
    <w:p w14:paraId="5A3A03D0">
      <w:pPr>
        <w:pStyle w:val="3"/>
        <w:rPr>
          <w:color w:val="auto"/>
          <w:highlight w:val="none"/>
        </w:rPr>
      </w:pPr>
    </w:p>
    <w:p w14:paraId="50A08DD4">
      <w:pPr>
        <w:pStyle w:val="3"/>
        <w:rPr>
          <w:color w:val="auto"/>
          <w:highlight w:val="none"/>
        </w:rPr>
      </w:pPr>
    </w:p>
    <w:p w14:paraId="49D3A4B9">
      <w:pPr>
        <w:pStyle w:val="3"/>
        <w:rPr>
          <w:color w:val="auto"/>
          <w:highlight w:val="none"/>
        </w:rPr>
      </w:pPr>
    </w:p>
    <w:p w14:paraId="1B4A363F">
      <w:pPr>
        <w:pStyle w:val="3"/>
        <w:rPr>
          <w:color w:val="auto"/>
          <w:highlight w:val="none"/>
        </w:rPr>
      </w:pPr>
    </w:p>
    <w:p w14:paraId="66B12021">
      <w:pPr>
        <w:pStyle w:val="3"/>
        <w:rPr>
          <w:color w:val="auto"/>
          <w:highlight w:val="none"/>
        </w:rPr>
      </w:pPr>
    </w:p>
    <w:p w14:paraId="5A370969">
      <w:pPr>
        <w:pStyle w:val="3"/>
        <w:rPr>
          <w:color w:val="auto"/>
          <w:highlight w:val="none"/>
        </w:rPr>
      </w:pPr>
    </w:p>
    <w:p w14:paraId="0CB67634">
      <w:pPr>
        <w:pStyle w:val="3"/>
        <w:spacing w:line="241" w:lineRule="auto"/>
        <w:rPr>
          <w:color w:val="auto"/>
          <w:highlight w:val="none"/>
        </w:rPr>
      </w:pPr>
    </w:p>
    <w:p w14:paraId="4BA5E767">
      <w:pPr>
        <w:pStyle w:val="3"/>
        <w:spacing w:line="241" w:lineRule="auto"/>
        <w:rPr>
          <w:color w:val="auto"/>
          <w:highlight w:val="none"/>
        </w:rPr>
      </w:pPr>
    </w:p>
    <w:p w14:paraId="28D9EF07">
      <w:pPr>
        <w:pStyle w:val="3"/>
        <w:spacing w:line="241" w:lineRule="auto"/>
        <w:rPr>
          <w:color w:val="auto"/>
          <w:highlight w:val="none"/>
        </w:rPr>
      </w:pPr>
    </w:p>
    <w:sdt>
      <w:sdtPr>
        <w:rPr>
          <w:rFonts w:ascii="宋体" w:hAnsi="宋体" w:eastAsia="宋体" w:cs="宋体"/>
          <w:color w:val="auto"/>
          <w:sz w:val="30"/>
          <w:szCs w:val="30"/>
          <w:highlight w:val="none"/>
        </w:rPr>
        <w:id w:val="147470906"/>
        <w:docPartObj>
          <w:docPartGallery w:val="Table of Contents"/>
          <w:docPartUnique/>
        </w:docPartObj>
      </w:sdtPr>
      <w:sdtEndPr>
        <w:rPr>
          <w:rFonts w:ascii="仿宋" w:hAnsi="仿宋" w:eastAsia="仿宋" w:cs="仿宋"/>
          <w:color w:val="auto"/>
          <w:sz w:val="24"/>
          <w:szCs w:val="24"/>
          <w:highlight w:val="none"/>
        </w:rPr>
      </w:sdtEndPr>
      <w:sdtContent>
        <w:p w14:paraId="4EE6DEE1">
          <w:pPr>
            <w:spacing w:before="98" w:line="221" w:lineRule="auto"/>
            <w:ind w:left="4239"/>
            <w:rPr>
              <w:rFonts w:ascii="宋体" w:hAnsi="宋体" w:eastAsia="宋体" w:cs="宋体"/>
              <w:color w:val="auto"/>
              <w:sz w:val="30"/>
              <w:szCs w:val="30"/>
              <w:highlight w:val="none"/>
            </w:rPr>
          </w:pPr>
          <w:r>
            <w:rPr>
              <w:rFonts w:ascii="宋体" w:hAnsi="宋体" w:eastAsia="宋体" w:cs="宋体"/>
              <w:color w:val="auto"/>
              <w:spacing w:val="-35"/>
              <w:sz w:val="30"/>
              <w:szCs w:val="30"/>
              <w:highlight w:val="none"/>
            </w:rPr>
            <w:t>目</w:t>
          </w:r>
          <w:r>
            <w:rPr>
              <w:rFonts w:ascii="宋体" w:hAnsi="宋体" w:eastAsia="宋体" w:cs="宋体"/>
              <w:color w:val="auto"/>
              <w:spacing w:val="-34"/>
              <w:sz w:val="30"/>
              <w:szCs w:val="30"/>
              <w:highlight w:val="none"/>
            </w:rPr>
            <w:t xml:space="preserve"> </w:t>
          </w:r>
          <w:r>
            <w:rPr>
              <w:rFonts w:ascii="宋体" w:hAnsi="宋体" w:eastAsia="宋体" w:cs="宋体"/>
              <w:color w:val="auto"/>
              <w:spacing w:val="-35"/>
              <w:sz w:val="30"/>
              <w:szCs w:val="30"/>
              <w:highlight w:val="none"/>
            </w:rPr>
            <w:t>录</w:t>
          </w:r>
        </w:p>
        <w:p w14:paraId="7603D59A">
          <w:pPr>
            <w:pStyle w:val="3"/>
            <w:spacing w:line="398" w:lineRule="auto"/>
            <w:rPr>
              <w:color w:val="auto"/>
              <w:highlight w:val="none"/>
            </w:rPr>
          </w:pPr>
        </w:p>
        <w:p w14:paraId="088EB093">
          <w:pPr>
            <w:spacing w:before="78" w:line="222" w:lineRule="auto"/>
            <w:ind w:left="189"/>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一、报价函；</w:t>
          </w:r>
        </w:p>
        <w:p w14:paraId="27A0C158">
          <w:pPr>
            <w:spacing w:before="184" w:line="222" w:lineRule="auto"/>
            <w:ind w:left="203"/>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二、报价一览表；</w:t>
          </w:r>
        </w:p>
        <w:p w14:paraId="03AA223F">
          <w:pPr>
            <w:spacing w:before="181" w:line="221" w:lineRule="auto"/>
            <w:ind w:left="19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三、已标价的工程量清单；</w:t>
          </w:r>
        </w:p>
        <w:p w14:paraId="2C3F21EF">
          <w:pPr>
            <w:spacing w:before="188" w:line="222" w:lineRule="auto"/>
            <w:ind w:left="264"/>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四、联合投标协议书；</w:t>
          </w:r>
        </w:p>
      </w:sdtContent>
    </w:sdt>
    <w:p w14:paraId="5C69A8C7">
      <w:pPr>
        <w:spacing w:before="186" w:line="222" w:lineRule="auto"/>
        <w:ind w:left="18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五、法定代表人身份证明或法定代表人授权委托书；</w:t>
      </w:r>
    </w:p>
    <w:sdt>
      <w:sdtPr>
        <w:rPr>
          <w:rFonts w:ascii="仿宋" w:hAnsi="仿宋" w:eastAsia="仿宋" w:cs="仿宋"/>
          <w:color w:val="auto"/>
          <w:sz w:val="24"/>
          <w:szCs w:val="24"/>
          <w:highlight w:val="none"/>
        </w:rPr>
        <w:id w:val="147467783"/>
        <w:docPartObj>
          <w:docPartGallery w:val="Table of Contents"/>
          <w:docPartUnique/>
        </w:docPartObj>
      </w:sdtPr>
      <w:sdtEndPr>
        <w:rPr>
          <w:rFonts w:ascii="仿宋" w:hAnsi="仿宋" w:eastAsia="仿宋" w:cs="仿宋"/>
          <w:color w:val="auto"/>
          <w:sz w:val="24"/>
          <w:szCs w:val="24"/>
          <w:highlight w:val="none"/>
        </w:rPr>
      </w:sdtEndPr>
      <w:sdtContent>
        <w:p w14:paraId="08AA470E">
          <w:pPr>
            <w:spacing w:before="184" w:line="222" w:lineRule="auto"/>
            <w:ind w:left="185"/>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六、供应商情况介绍；</w:t>
          </w:r>
        </w:p>
        <w:p w14:paraId="5684F298">
          <w:pPr>
            <w:spacing w:before="187" w:line="222" w:lineRule="auto"/>
            <w:ind w:left="708"/>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6.1供应商基本情况表</w:t>
          </w:r>
        </w:p>
        <w:p w14:paraId="5DEFD7DC">
          <w:pPr>
            <w:spacing w:before="184" w:line="222" w:lineRule="auto"/>
            <w:ind w:left="708"/>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6.2财务情况</w:t>
          </w:r>
        </w:p>
        <w:p w14:paraId="05D7ABB7">
          <w:pPr>
            <w:spacing w:before="222" w:line="221" w:lineRule="auto"/>
            <w:ind w:left="706"/>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6.3社保及完税</w:t>
          </w:r>
        </w:p>
        <w:p w14:paraId="51B94DEE">
          <w:pPr>
            <w:spacing w:before="150" w:line="222" w:lineRule="auto"/>
            <w:ind w:left="193"/>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七、项目管理机构；</w:t>
          </w:r>
        </w:p>
      </w:sdtContent>
    </w:sdt>
    <w:p w14:paraId="4FA52A02">
      <w:pPr>
        <w:spacing w:before="220" w:line="222" w:lineRule="auto"/>
        <w:ind w:left="654"/>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7.1项目管理机构组成表</w:t>
      </w:r>
    </w:p>
    <w:p w14:paraId="41C5FD60">
      <w:pPr>
        <w:spacing w:before="157" w:line="221" w:lineRule="auto"/>
        <w:ind w:left="654"/>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7.2现场主要人员简历表</w:t>
      </w:r>
    </w:p>
    <w:p w14:paraId="627BFC41">
      <w:pPr>
        <w:spacing w:before="160" w:line="221" w:lineRule="auto"/>
        <w:ind w:left="654"/>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7.2.1项目经理简历表</w:t>
      </w:r>
    </w:p>
    <w:p w14:paraId="64AE3D85">
      <w:pPr>
        <w:spacing w:before="240" w:line="221" w:lineRule="auto"/>
        <w:ind w:left="652"/>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7.2.2主要项目管理人员简历表</w:t>
      </w:r>
    </w:p>
    <w:p w14:paraId="0D0E7835">
      <w:pPr>
        <w:spacing w:before="47" w:line="222" w:lineRule="auto"/>
        <w:ind w:left="178"/>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八、技术服务方案；</w:t>
      </w:r>
    </w:p>
    <w:p w14:paraId="42C76C83">
      <w:pPr>
        <w:spacing w:before="45" w:line="220" w:lineRule="auto"/>
        <w:ind w:left="19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九、供应商认为有必要提供的其他资料；</w:t>
      </w:r>
    </w:p>
    <w:p w14:paraId="3A1CE12B">
      <w:pPr>
        <w:spacing w:before="314" w:line="219" w:lineRule="auto"/>
        <w:ind w:left="19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十、在经营活动中没有重大违法记录的书面声明；</w:t>
      </w:r>
    </w:p>
    <w:p w14:paraId="3DA731CD">
      <w:pPr>
        <w:spacing w:before="195" w:line="222" w:lineRule="auto"/>
        <w:ind w:left="199"/>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十一、政府采购诚信承诺书；</w:t>
      </w:r>
    </w:p>
    <w:p w14:paraId="3BFDA781">
      <w:pPr>
        <w:spacing w:before="182" w:line="220" w:lineRule="auto"/>
        <w:ind w:left="199"/>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十二、其他资料</w:t>
      </w:r>
    </w:p>
    <w:p w14:paraId="761C912F">
      <w:pPr>
        <w:spacing w:line="220" w:lineRule="auto"/>
        <w:rPr>
          <w:rFonts w:ascii="仿宋" w:hAnsi="仿宋" w:eastAsia="仿宋" w:cs="仿宋"/>
          <w:color w:val="auto"/>
          <w:sz w:val="24"/>
          <w:szCs w:val="24"/>
          <w:highlight w:val="none"/>
        </w:rPr>
        <w:sectPr>
          <w:footerReference r:id="rId62" w:type="default"/>
          <w:pgSz w:w="11906" w:h="16840"/>
          <w:pgMar w:top="400" w:right="1785" w:bottom="1157" w:left="1785" w:header="0" w:footer="911" w:gutter="0"/>
          <w:pgNumType w:fmt="decimal"/>
          <w:cols w:space="720" w:num="1"/>
        </w:sectPr>
      </w:pPr>
    </w:p>
    <w:p w14:paraId="3A01DDD8">
      <w:pPr>
        <w:pStyle w:val="3"/>
        <w:spacing w:line="246" w:lineRule="auto"/>
        <w:rPr>
          <w:color w:val="auto"/>
          <w:highlight w:val="none"/>
        </w:rPr>
      </w:pPr>
    </w:p>
    <w:p w14:paraId="686A0AB0">
      <w:pPr>
        <w:pStyle w:val="3"/>
        <w:spacing w:line="247" w:lineRule="auto"/>
        <w:rPr>
          <w:color w:val="auto"/>
          <w:highlight w:val="none"/>
        </w:rPr>
      </w:pPr>
    </w:p>
    <w:p w14:paraId="4CBD1246">
      <w:pPr>
        <w:pStyle w:val="3"/>
        <w:spacing w:line="247" w:lineRule="auto"/>
        <w:rPr>
          <w:color w:val="auto"/>
          <w:highlight w:val="none"/>
        </w:rPr>
      </w:pPr>
    </w:p>
    <w:p w14:paraId="3097B267">
      <w:pPr>
        <w:pStyle w:val="3"/>
        <w:spacing w:line="247" w:lineRule="auto"/>
        <w:rPr>
          <w:color w:val="auto"/>
          <w:highlight w:val="none"/>
        </w:rPr>
      </w:pPr>
    </w:p>
    <w:p w14:paraId="3F8E38E6">
      <w:pPr>
        <w:pStyle w:val="3"/>
        <w:spacing w:line="247" w:lineRule="auto"/>
        <w:rPr>
          <w:color w:val="auto"/>
          <w:highlight w:val="none"/>
        </w:rPr>
      </w:pPr>
    </w:p>
    <w:p w14:paraId="386327DD">
      <w:pPr>
        <w:pStyle w:val="3"/>
        <w:spacing w:line="247" w:lineRule="auto"/>
        <w:rPr>
          <w:color w:val="auto"/>
          <w:highlight w:val="none"/>
        </w:rPr>
      </w:pPr>
    </w:p>
    <w:p w14:paraId="2F5182A2">
      <w:pPr>
        <w:pStyle w:val="3"/>
        <w:spacing w:line="247" w:lineRule="auto"/>
        <w:rPr>
          <w:color w:val="auto"/>
          <w:highlight w:val="none"/>
        </w:rPr>
      </w:pPr>
    </w:p>
    <w:p w14:paraId="0F2591AC">
      <w:pPr>
        <w:pStyle w:val="3"/>
        <w:spacing w:line="247" w:lineRule="auto"/>
        <w:rPr>
          <w:color w:val="auto"/>
          <w:highlight w:val="none"/>
        </w:rPr>
      </w:pPr>
    </w:p>
    <w:p w14:paraId="6D1C1AA2">
      <w:pPr>
        <w:spacing w:before="91" w:line="223" w:lineRule="auto"/>
        <w:ind w:left="4122"/>
        <w:rPr>
          <w:rFonts w:ascii="仿宋" w:hAnsi="仿宋" w:eastAsia="仿宋" w:cs="仿宋"/>
          <w:color w:val="auto"/>
          <w:sz w:val="28"/>
          <w:szCs w:val="28"/>
          <w:highlight w:val="none"/>
        </w:rPr>
      </w:pPr>
      <w:r>
        <w:rPr>
          <w:rFonts w:ascii="仿宋" w:hAnsi="仿宋" w:eastAsia="仿宋" w:cs="仿宋"/>
          <w:color w:val="auto"/>
          <w:spacing w:val="-10"/>
          <w:sz w:val="28"/>
          <w:szCs w:val="28"/>
          <w:highlight w:val="none"/>
        </w:rPr>
        <w:t>一、报价函</w:t>
      </w:r>
    </w:p>
    <w:p w14:paraId="09F0172C">
      <w:pPr>
        <w:pStyle w:val="3"/>
        <w:spacing w:line="304" w:lineRule="auto"/>
        <w:rPr>
          <w:color w:val="auto"/>
          <w:highlight w:val="none"/>
        </w:rPr>
      </w:pPr>
    </w:p>
    <w:p w14:paraId="7A5F792B">
      <w:pPr>
        <w:pStyle w:val="3"/>
        <w:spacing w:line="305" w:lineRule="auto"/>
        <w:rPr>
          <w:color w:val="auto"/>
          <w:highlight w:val="none"/>
        </w:rPr>
      </w:pPr>
    </w:p>
    <w:p w14:paraId="4B1EDA7F">
      <w:pPr>
        <w:tabs>
          <w:tab w:val="left" w:pos="390"/>
        </w:tabs>
        <w:spacing w:before="78" w:line="222" w:lineRule="auto"/>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32"/>
          <w:w w:val="78"/>
          <w:sz w:val="24"/>
          <w:szCs w:val="24"/>
          <w:highlight w:val="none"/>
          <w:u w:val="single" w:color="auto"/>
        </w:rPr>
        <w:t>（采购人</w:t>
      </w:r>
      <w:r>
        <w:rPr>
          <w:rFonts w:ascii="仿宋" w:hAnsi="仿宋" w:eastAsia="仿宋" w:cs="仿宋"/>
          <w:color w:val="auto"/>
          <w:spacing w:val="-5"/>
          <w:sz w:val="24"/>
          <w:szCs w:val="24"/>
          <w:highlight w:val="none"/>
          <w:u w:val="single" w:color="auto"/>
        </w:rPr>
        <w:t>）</w:t>
      </w:r>
      <w:r>
        <w:rPr>
          <w:rFonts w:ascii="仿宋" w:hAnsi="仿宋" w:eastAsia="仿宋" w:cs="仿宋"/>
          <w:color w:val="auto"/>
          <w:spacing w:val="-5"/>
          <w:sz w:val="24"/>
          <w:szCs w:val="24"/>
          <w:highlight w:val="none"/>
        </w:rPr>
        <w:t>：</w:t>
      </w:r>
    </w:p>
    <w:p w14:paraId="2760A6CA">
      <w:pPr>
        <w:pStyle w:val="3"/>
        <w:spacing w:line="270" w:lineRule="auto"/>
        <w:rPr>
          <w:color w:val="auto"/>
          <w:highlight w:val="none"/>
        </w:rPr>
      </w:pPr>
    </w:p>
    <w:p w14:paraId="21DB9AF2">
      <w:pPr>
        <w:pStyle w:val="3"/>
        <w:spacing w:line="271" w:lineRule="auto"/>
        <w:rPr>
          <w:color w:val="auto"/>
          <w:highlight w:val="none"/>
        </w:rPr>
      </w:pPr>
    </w:p>
    <w:p w14:paraId="27EC8B00">
      <w:pPr>
        <w:tabs>
          <w:tab w:val="left" w:pos="886"/>
        </w:tabs>
        <w:spacing w:before="78" w:line="317" w:lineRule="auto"/>
        <w:ind w:left="47" w:right="37" w:firstLine="432"/>
        <w:jc w:val="both"/>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12"/>
          <w:sz w:val="24"/>
          <w:szCs w:val="24"/>
          <w:highlight w:val="none"/>
          <w:u w:val="single" w:color="auto"/>
        </w:rPr>
        <w:t>（供应商名称）</w:t>
      </w:r>
      <w:r>
        <w:rPr>
          <w:rFonts w:ascii="仿宋" w:hAnsi="仿宋" w:eastAsia="仿宋" w:cs="仿宋"/>
          <w:color w:val="auto"/>
          <w:spacing w:val="-12"/>
          <w:sz w:val="24"/>
          <w:szCs w:val="24"/>
          <w:highlight w:val="none"/>
        </w:rPr>
        <w:t>系中华人民共和国合法企业，经营地址</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12"/>
          <w:sz w:val="24"/>
          <w:szCs w:val="24"/>
          <w:highlight w:val="none"/>
        </w:rPr>
        <w:t>。</w:t>
      </w:r>
      <w:r>
        <w:rPr>
          <w:rFonts w:ascii="仿宋" w:hAnsi="仿宋" w:eastAsia="仿宋" w:cs="仿宋"/>
          <w:color w:val="auto"/>
          <w:spacing w:val="-12"/>
          <w:sz w:val="24"/>
          <w:szCs w:val="24"/>
          <w:highlight w:val="none"/>
          <w:u w:val="single" w:color="auto"/>
        </w:rPr>
        <w:t>（姓名</w:t>
      </w:r>
      <w:r>
        <w:rPr>
          <w:rFonts w:ascii="仿宋" w:hAnsi="仿宋" w:eastAsia="仿宋" w:cs="仿宋"/>
          <w:color w:val="auto"/>
          <w:spacing w:val="7"/>
          <w:sz w:val="24"/>
          <w:szCs w:val="24"/>
          <w:highlight w:val="none"/>
        </w:rPr>
        <w:t xml:space="preserve"> </w:t>
      </w:r>
      <w:r>
        <w:rPr>
          <w:rFonts w:ascii="仿宋" w:hAnsi="仿宋" w:eastAsia="仿宋" w:cs="仿宋"/>
          <w:color w:val="auto"/>
          <w:spacing w:val="-16"/>
          <w:sz w:val="24"/>
          <w:szCs w:val="24"/>
          <w:highlight w:val="none"/>
          <w:u w:val="single" w:color="auto"/>
        </w:rPr>
        <w:t>)</w:t>
      </w:r>
      <w:r>
        <w:rPr>
          <w:rFonts w:ascii="仿宋" w:hAnsi="仿宋" w:eastAsia="仿宋" w:cs="仿宋"/>
          <w:color w:val="auto"/>
          <w:spacing w:val="51"/>
          <w:sz w:val="24"/>
          <w:szCs w:val="24"/>
          <w:highlight w:val="none"/>
          <w:u w:val="single" w:color="auto"/>
        </w:rPr>
        <w:t xml:space="preserve"> </w:t>
      </w:r>
      <w:r>
        <w:rPr>
          <w:rFonts w:ascii="仿宋" w:hAnsi="仿宋" w:eastAsia="仿宋" w:cs="仿宋"/>
          <w:color w:val="auto"/>
          <w:spacing w:val="-16"/>
          <w:sz w:val="24"/>
          <w:szCs w:val="24"/>
          <w:highlight w:val="none"/>
        </w:rPr>
        <w:t>系</w:t>
      </w:r>
      <w:r>
        <w:rPr>
          <w:rFonts w:ascii="仿宋" w:hAnsi="仿宋" w:eastAsia="仿宋" w:cs="仿宋"/>
          <w:color w:val="auto"/>
          <w:spacing w:val="-16"/>
          <w:sz w:val="24"/>
          <w:szCs w:val="24"/>
          <w:highlight w:val="none"/>
          <w:u w:val="single" w:color="auto"/>
        </w:rPr>
        <w:t>（供</w:t>
      </w:r>
      <w:r>
        <w:rPr>
          <w:rFonts w:ascii="仿宋" w:hAnsi="仿宋" w:eastAsia="仿宋" w:cs="仿宋"/>
          <w:color w:val="auto"/>
          <w:spacing w:val="-16"/>
          <w:sz w:val="24"/>
          <w:szCs w:val="24"/>
          <w:highlight w:val="none"/>
        </w:rPr>
        <w:t xml:space="preserve"> </w:t>
      </w:r>
      <w:r>
        <w:rPr>
          <w:rFonts w:ascii="仿宋" w:hAnsi="仿宋" w:eastAsia="仿宋" w:cs="仿宋"/>
          <w:color w:val="auto"/>
          <w:spacing w:val="-16"/>
          <w:sz w:val="24"/>
          <w:szCs w:val="24"/>
          <w:highlight w:val="none"/>
          <w:u w:val="single" w:color="auto"/>
        </w:rPr>
        <w:t>应</w:t>
      </w:r>
      <w:r>
        <w:rPr>
          <w:rFonts w:ascii="仿宋" w:hAnsi="仿宋" w:eastAsia="仿宋" w:cs="仿宋"/>
          <w:color w:val="auto"/>
          <w:spacing w:val="-31"/>
          <w:sz w:val="24"/>
          <w:szCs w:val="24"/>
          <w:highlight w:val="none"/>
          <w:u w:val="single" w:color="auto"/>
        </w:rPr>
        <w:t xml:space="preserve"> </w:t>
      </w:r>
      <w:r>
        <w:rPr>
          <w:rFonts w:ascii="仿宋" w:hAnsi="仿宋" w:eastAsia="仿宋" w:cs="仿宋"/>
          <w:color w:val="auto"/>
          <w:spacing w:val="-16"/>
          <w:sz w:val="24"/>
          <w:szCs w:val="24"/>
          <w:highlight w:val="none"/>
          <w:u w:val="single" w:color="auto"/>
        </w:rPr>
        <w:t>商</w:t>
      </w:r>
      <w:r>
        <w:rPr>
          <w:rFonts w:ascii="仿宋" w:hAnsi="仿宋" w:eastAsia="仿宋" w:cs="仿宋"/>
          <w:color w:val="auto"/>
          <w:spacing w:val="-51"/>
          <w:sz w:val="24"/>
          <w:szCs w:val="24"/>
          <w:highlight w:val="none"/>
          <w:u w:val="single" w:color="auto"/>
        </w:rPr>
        <w:t xml:space="preserve"> </w:t>
      </w:r>
      <w:r>
        <w:rPr>
          <w:rFonts w:ascii="仿宋" w:hAnsi="仿宋" w:eastAsia="仿宋" w:cs="仿宋"/>
          <w:color w:val="auto"/>
          <w:spacing w:val="-16"/>
          <w:sz w:val="24"/>
          <w:szCs w:val="24"/>
          <w:highlight w:val="none"/>
          <w:u w:val="single" w:color="auto"/>
        </w:rPr>
        <w:t>名称 ）</w:t>
      </w:r>
      <w:r>
        <w:rPr>
          <w:rFonts w:ascii="仿宋" w:hAnsi="仿宋" w:eastAsia="仿宋" w:cs="仿宋"/>
          <w:color w:val="auto"/>
          <w:spacing w:val="-74"/>
          <w:sz w:val="24"/>
          <w:szCs w:val="24"/>
          <w:highlight w:val="none"/>
          <w:u w:val="single" w:color="auto"/>
        </w:rPr>
        <w:t xml:space="preserve"> </w:t>
      </w:r>
      <w:r>
        <w:rPr>
          <w:rFonts w:ascii="仿宋" w:hAnsi="仿宋" w:eastAsia="仿宋" w:cs="仿宋"/>
          <w:color w:val="auto"/>
          <w:spacing w:val="-56"/>
          <w:sz w:val="24"/>
          <w:szCs w:val="24"/>
          <w:highlight w:val="none"/>
        </w:rPr>
        <w:t xml:space="preserve"> </w:t>
      </w:r>
      <w:r>
        <w:rPr>
          <w:rFonts w:ascii="仿宋" w:hAnsi="仿宋" w:eastAsia="仿宋" w:cs="仿宋"/>
          <w:color w:val="auto"/>
          <w:spacing w:val="-16"/>
          <w:sz w:val="24"/>
          <w:szCs w:val="24"/>
          <w:highlight w:val="none"/>
        </w:rPr>
        <w:t>的</w:t>
      </w:r>
      <w:r>
        <w:rPr>
          <w:rFonts w:ascii="仿宋" w:hAnsi="仿宋" w:eastAsia="仿宋" w:cs="仿宋"/>
          <w:color w:val="auto"/>
          <w:spacing w:val="-35"/>
          <w:sz w:val="24"/>
          <w:szCs w:val="24"/>
          <w:highlight w:val="none"/>
        </w:rPr>
        <w:t xml:space="preserve"> </w:t>
      </w:r>
      <w:r>
        <w:rPr>
          <w:rFonts w:ascii="仿宋" w:hAnsi="仿宋" w:eastAsia="仿宋" w:cs="仿宋"/>
          <w:color w:val="auto"/>
          <w:spacing w:val="-16"/>
          <w:sz w:val="24"/>
          <w:szCs w:val="24"/>
          <w:highlight w:val="none"/>
        </w:rPr>
        <w:t>法</w:t>
      </w:r>
      <w:r>
        <w:rPr>
          <w:rFonts w:ascii="仿宋" w:hAnsi="仿宋" w:eastAsia="仿宋" w:cs="仿宋"/>
          <w:color w:val="auto"/>
          <w:spacing w:val="-39"/>
          <w:sz w:val="24"/>
          <w:szCs w:val="24"/>
          <w:highlight w:val="none"/>
        </w:rPr>
        <w:t xml:space="preserve"> </w:t>
      </w:r>
      <w:r>
        <w:rPr>
          <w:rFonts w:ascii="仿宋" w:hAnsi="仿宋" w:eastAsia="仿宋" w:cs="仿宋"/>
          <w:color w:val="auto"/>
          <w:spacing w:val="-16"/>
          <w:sz w:val="24"/>
          <w:szCs w:val="24"/>
          <w:highlight w:val="none"/>
        </w:rPr>
        <w:t>定</w:t>
      </w:r>
      <w:r>
        <w:rPr>
          <w:rFonts w:ascii="仿宋" w:hAnsi="仿宋" w:eastAsia="仿宋" w:cs="仿宋"/>
          <w:color w:val="auto"/>
          <w:spacing w:val="-42"/>
          <w:sz w:val="24"/>
          <w:szCs w:val="24"/>
          <w:highlight w:val="none"/>
        </w:rPr>
        <w:t xml:space="preserve"> </w:t>
      </w:r>
      <w:r>
        <w:rPr>
          <w:rFonts w:ascii="仿宋" w:hAnsi="仿宋" w:eastAsia="仿宋" w:cs="仿宋"/>
          <w:color w:val="auto"/>
          <w:spacing w:val="-16"/>
          <w:sz w:val="24"/>
          <w:szCs w:val="24"/>
          <w:highlight w:val="none"/>
        </w:rPr>
        <w:t>代</w:t>
      </w:r>
      <w:r>
        <w:rPr>
          <w:rFonts w:ascii="仿宋" w:hAnsi="仿宋" w:eastAsia="仿宋" w:cs="仿宋"/>
          <w:color w:val="auto"/>
          <w:spacing w:val="-49"/>
          <w:sz w:val="24"/>
          <w:szCs w:val="24"/>
          <w:highlight w:val="none"/>
        </w:rPr>
        <w:t xml:space="preserve"> </w:t>
      </w:r>
      <w:r>
        <w:rPr>
          <w:rFonts w:ascii="仿宋" w:hAnsi="仿宋" w:eastAsia="仿宋" w:cs="仿宋"/>
          <w:color w:val="auto"/>
          <w:spacing w:val="-16"/>
          <w:sz w:val="24"/>
          <w:szCs w:val="24"/>
          <w:highlight w:val="none"/>
        </w:rPr>
        <w:t>表</w:t>
      </w:r>
      <w:r>
        <w:rPr>
          <w:rFonts w:ascii="仿宋" w:hAnsi="仿宋" w:eastAsia="仿宋" w:cs="仿宋"/>
          <w:color w:val="auto"/>
          <w:spacing w:val="-48"/>
          <w:sz w:val="24"/>
          <w:szCs w:val="24"/>
          <w:highlight w:val="none"/>
        </w:rPr>
        <w:t xml:space="preserve"> </w:t>
      </w:r>
      <w:r>
        <w:rPr>
          <w:rFonts w:ascii="仿宋" w:hAnsi="仿宋" w:eastAsia="仿宋" w:cs="仿宋"/>
          <w:color w:val="auto"/>
          <w:spacing w:val="-16"/>
          <w:sz w:val="24"/>
          <w:szCs w:val="24"/>
          <w:highlight w:val="none"/>
        </w:rPr>
        <w:t>人 ，</w:t>
      </w:r>
      <w:r>
        <w:rPr>
          <w:rFonts w:ascii="仿宋" w:hAnsi="仿宋" w:eastAsia="仿宋" w:cs="仿宋"/>
          <w:color w:val="auto"/>
          <w:spacing w:val="-28"/>
          <w:sz w:val="24"/>
          <w:szCs w:val="24"/>
          <w:highlight w:val="none"/>
        </w:rPr>
        <w:t xml:space="preserve"> </w:t>
      </w:r>
      <w:r>
        <w:rPr>
          <w:rFonts w:ascii="仿宋" w:hAnsi="仿宋" w:eastAsia="仿宋" w:cs="仿宋"/>
          <w:color w:val="auto"/>
          <w:spacing w:val="-16"/>
          <w:sz w:val="24"/>
          <w:szCs w:val="24"/>
          <w:highlight w:val="none"/>
        </w:rPr>
        <w:t>我</w:t>
      </w:r>
      <w:r>
        <w:rPr>
          <w:rFonts w:ascii="仿宋" w:hAnsi="仿宋" w:eastAsia="仿宋" w:cs="仿宋"/>
          <w:color w:val="auto"/>
          <w:spacing w:val="-38"/>
          <w:sz w:val="24"/>
          <w:szCs w:val="24"/>
          <w:highlight w:val="none"/>
        </w:rPr>
        <w:t xml:space="preserve"> </w:t>
      </w:r>
      <w:r>
        <w:rPr>
          <w:rFonts w:ascii="仿宋" w:hAnsi="仿宋" w:eastAsia="仿宋" w:cs="仿宋"/>
          <w:color w:val="auto"/>
          <w:spacing w:val="-16"/>
          <w:sz w:val="24"/>
          <w:szCs w:val="24"/>
          <w:highlight w:val="none"/>
        </w:rPr>
        <w:t>方</w:t>
      </w:r>
      <w:r>
        <w:rPr>
          <w:rFonts w:ascii="仿宋" w:hAnsi="仿宋" w:eastAsia="仿宋" w:cs="仿宋"/>
          <w:color w:val="auto"/>
          <w:spacing w:val="-45"/>
          <w:sz w:val="24"/>
          <w:szCs w:val="24"/>
          <w:highlight w:val="none"/>
        </w:rPr>
        <w:t xml:space="preserve"> </w:t>
      </w:r>
      <w:r>
        <w:rPr>
          <w:rFonts w:ascii="仿宋" w:hAnsi="仿宋" w:eastAsia="仿宋" w:cs="仿宋"/>
          <w:color w:val="auto"/>
          <w:spacing w:val="-16"/>
          <w:sz w:val="24"/>
          <w:szCs w:val="24"/>
          <w:highlight w:val="none"/>
        </w:rPr>
        <w:t>愿意</w:t>
      </w:r>
      <w:r>
        <w:rPr>
          <w:rFonts w:ascii="仿宋" w:hAnsi="仿宋" w:eastAsia="仿宋" w:cs="仿宋"/>
          <w:color w:val="auto"/>
          <w:spacing w:val="-46"/>
          <w:sz w:val="24"/>
          <w:szCs w:val="24"/>
          <w:highlight w:val="none"/>
        </w:rPr>
        <w:t xml:space="preserve"> </w:t>
      </w:r>
      <w:r>
        <w:rPr>
          <w:rFonts w:ascii="仿宋" w:hAnsi="仿宋" w:eastAsia="仿宋" w:cs="仿宋"/>
          <w:color w:val="auto"/>
          <w:spacing w:val="-16"/>
          <w:sz w:val="24"/>
          <w:szCs w:val="24"/>
          <w:highlight w:val="none"/>
        </w:rPr>
        <w:t>参</w:t>
      </w:r>
      <w:r>
        <w:rPr>
          <w:rFonts w:ascii="仿宋" w:hAnsi="仿宋" w:eastAsia="仿宋" w:cs="仿宋"/>
          <w:color w:val="auto"/>
          <w:spacing w:val="-59"/>
          <w:sz w:val="24"/>
          <w:szCs w:val="24"/>
          <w:highlight w:val="none"/>
        </w:rPr>
        <w:t xml:space="preserve"> </w:t>
      </w:r>
      <w:r>
        <w:rPr>
          <w:rFonts w:ascii="仿宋" w:hAnsi="仿宋" w:eastAsia="仿宋" w:cs="仿宋"/>
          <w:color w:val="auto"/>
          <w:spacing w:val="-16"/>
          <w:sz w:val="24"/>
          <w:szCs w:val="24"/>
          <w:highlight w:val="none"/>
        </w:rPr>
        <w:t>加贵方</w:t>
      </w:r>
      <w:r>
        <w:rPr>
          <w:rFonts w:ascii="仿宋" w:hAnsi="仿宋" w:eastAsia="仿宋" w:cs="仿宋"/>
          <w:color w:val="auto"/>
          <w:spacing w:val="-55"/>
          <w:sz w:val="24"/>
          <w:szCs w:val="24"/>
          <w:highlight w:val="none"/>
        </w:rPr>
        <w:t xml:space="preserve"> </w:t>
      </w:r>
      <w:r>
        <w:rPr>
          <w:rFonts w:ascii="仿宋" w:hAnsi="仿宋" w:eastAsia="仿宋" w:cs="仿宋"/>
          <w:color w:val="auto"/>
          <w:spacing w:val="-16"/>
          <w:sz w:val="24"/>
          <w:szCs w:val="24"/>
          <w:highlight w:val="none"/>
        </w:rPr>
        <w:t>组</w:t>
      </w:r>
      <w:r>
        <w:rPr>
          <w:rFonts w:ascii="仿宋" w:hAnsi="仿宋" w:eastAsia="仿宋" w:cs="仿宋"/>
          <w:color w:val="auto"/>
          <w:spacing w:val="-43"/>
          <w:sz w:val="24"/>
          <w:szCs w:val="24"/>
          <w:highlight w:val="none"/>
        </w:rPr>
        <w:t xml:space="preserve"> </w:t>
      </w:r>
      <w:r>
        <w:rPr>
          <w:rFonts w:ascii="仿宋" w:hAnsi="仿宋" w:eastAsia="仿宋" w:cs="仿宋"/>
          <w:color w:val="auto"/>
          <w:spacing w:val="-16"/>
          <w:sz w:val="24"/>
          <w:szCs w:val="24"/>
          <w:highlight w:val="none"/>
        </w:rPr>
        <w:t>织 的</w:t>
      </w:r>
      <w:r>
        <w:rPr>
          <w:rFonts w:ascii="仿宋" w:hAnsi="仿宋" w:eastAsia="仿宋" w:cs="仿宋"/>
          <w:color w:val="auto"/>
          <w:spacing w:val="-16"/>
          <w:sz w:val="24"/>
          <w:szCs w:val="24"/>
          <w:highlight w:val="none"/>
          <w:u w:val="single" w:color="auto"/>
        </w:rPr>
        <w:t>（ 项</w:t>
      </w:r>
      <w:r>
        <w:rPr>
          <w:rFonts w:ascii="仿宋" w:hAnsi="仿宋" w:eastAsia="仿宋" w:cs="仿宋"/>
          <w:color w:val="auto"/>
          <w:spacing w:val="-2"/>
          <w:sz w:val="24"/>
          <w:szCs w:val="24"/>
          <w:highlight w:val="none"/>
          <w:u w:val="single" w:color="auto"/>
        </w:rPr>
        <w:t>目</w:t>
      </w:r>
      <w:r>
        <w:rPr>
          <w:rFonts w:ascii="仿宋" w:hAnsi="仿宋" w:eastAsia="仿宋" w:cs="仿宋"/>
          <w:color w:val="auto"/>
          <w:spacing w:val="-55"/>
          <w:sz w:val="24"/>
          <w:szCs w:val="24"/>
          <w:highlight w:val="none"/>
          <w:u w:val="single" w:color="auto"/>
        </w:rPr>
        <w:t xml:space="preserve"> </w:t>
      </w:r>
      <w:r>
        <w:rPr>
          <w:rFonts w:ascii="仿宋" w:hAnsi="仿宋" w:eastAsia="仿宋" w:cs="仿宋"/>
          <w:color w:val="auto"/>
          <w:spacing w:val="-2"/>
          <w:sz w:val="24"/>
          <w:szCs w:val="24"/>
          <w:highlight w:val="none"/>
          <w:u w:val="single" w:color="auto"/>
        </w:rPr>
        <w:t>名</w:t>
      </w:r>
      <w:r>
        <w:rPr>
          <w:rFonts w:ascii="仿宋" w:hAnsi="仿宋" w:eastAsia="仿宋" w:cs="仿宋"/>
          <w:color w:val="auto"/>
          <w:spacing w:val="-56"/>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称 </w:t>
      </w:r>
      <w:r>
        <w:rPr>
          <w:rFonts w:ascii="仿宋" w:hAnsi="仿宋" w:eastAsia="仿宋" w:cs="仿宋"/>
          <w:color w:val="auto"/>
          <w:spacing w:val="-27"/>
          <w:sz w:val="24"/>
          <w:szCs w:val="24"/>
          <w:highlight w:val="none"/>
          <w:u w:val="single" w:color="auto"/>
        </w:rPr>
        <w:t>）（</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2"/>
          <w:sz w:val="24"/>
          <w:szCs w:val="24"/>
          <w:highlight w:val="none"/>
          <w:u w:val="single" w:color="auto"/>
        </w:rPr>
        <w:t>编</w:t>
      </w:r>
      <w:r>
        <w:rPr>
          <w:rFonts w:ascii="仿宋" w:hAnsi="仿宋" w:eastAsia="仿宋" w:cs="仿宋"/>
          <w:color w:val="auto"/>
          <w:spacing w:val="-38"/>
          <w:sz w:val="24"/>
          <w:szCs w:val="24"/>
          <w:highlight w:val="none"/>
          <w:u w:val="single" w:color="auto"/>
        </w:rPr>
        <w:t xml:space="preserve"> </w:t>
      </w:r>
      <w:r>
        <w:rPr>
          <w:rFonts w:ascii="仿宋" w:hAnsi="仿宋" w:eastAsia="仿宋" w:cs="仿宋"/>
          <w:color w:val="auto"/>
          <w:spacing w:val="-2"/>
          <w:sz w:val="24"/>
          <w:szCs w:val="24"/>
          <w:highlight w:val="none"/>
          <w:u w:val="single" w:color="auto"/>
        </w:rPr>
        <w:t>号</w:t>
      </w:r>
      <w:r>
        <w:rPr>
          <w:rFonts w:ascii="仿宋" w:hAnsi="仿宋" w:eastAsia="仿宋" w:cs="仿宋"/>
          <w:color w:val="auto"/>
          <w:spacing w:val="-2"/>
          <w:sz w:val="24"/>
          <w:szCs w:val="24"/>
          <w:highlight w:val="none"/>
        </w:rPr>
        <w:t xml:space="preserve"> </w:t>
      </w:r>
      <w:r>
        <w:rPr>
          <w:rFonts w:ascii="仿宋" w:hAnsi="仿宋" w:eastAsia="仿宋" w:cs="仿宋"/>
          <w:color w:val="auto"/>
          <w:spacing w:val="-2"/>
          <w:sz w:val="24"/>
          <w:szCs w:val="24"/>
          <w:highlight w:val="none"/>
          <w:u w:val="single" w:color="auto"/>
        </w:rPr>
        <w:t>为               ）</w:t>
      </w:r>
      <w:r>
        <w:rPr>
          <w:rFonts w:ascii="仿宋" w:hAnsi="仿宋" w:eastAsia="仿宋" w:cs="仿宋"/>
          <w:color w:val="auto"/>
          <w:spacing w:val="-2"/>
          <w:sz w:val="24"/>
          <w:szCs w:val="24"/>
          <w:highlight w:val="none"/>
        </w:rPr>
        <w:t>的投标</w:t>
      </w:r>
      <w:r>
        <w:rPr>
          <w:rFonts w:ascii="仿宋" w:hAnsi="仿宋" w:eastAsia="仿宋" w:cs="仿宋"/>
          <w:color w:val="auto"/>
          <w:spacing w:val="-3"/>
          <w:sz w:val="24"/>
          <w:szCs w:val="24"/>
          <w:highlight w:val="none"/>
        </w:rPr>
        <w:t>，为此，我方就本次投标有关事项郑重声明如下：</w:t>
      </w:r>
    </w:p>
    <w:p w14:paraId="6542EDEE">
      <w:pPr>
        <w:spacing w:before="37" w:line="244" w:lineRule="auto"/>
        <w:ind w:left="566" w:right="186" w:hanging="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1.我方已详细审查全部竞争性磋商文件，同意竞争性磋商文件的各项要求</w:t>
      </w:r>
      <w:r>
        <w:rPr>
          <w:rFonts w:ascii="仿宋" w:hAnsi="仿宋" w:eastAsia="仿宋" w:cs="仿宋"/>
          <w:color w:val="auto"/>
          <w:spacing w:val="6"/>
          <w:sz w:val="24"/>
          <w:szCs w:val="24"/>
          <w:highlight w:val="none"/>
        </w:rPr>
        <w:t xml:space="preserve"> </w:t>
      </w:r>
      <w:r>
        <w:rPr>
          <w:rFonts w:ascii="仿宋" w:hAnsi="仿宋" w:eastAsia="仿宋" w:cs="仿宋"/>
          <w:color w:val="auto"/>
          <w:sz w:val="24"/>
          <w:szCs w:val="24"/>
          <w:highlight w:val="none"/>
        </w:rPr>
        <w:t>。</w:t>
      </w:r>
    </w:p>
    <w:p w14:paraId="49BAC430">
      <w:pPr>
        <w:spacing w:before="87" w:line="220" w:lineRule="auto"/>
        <w:ind w:left="515"/>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2.我方向贵方提交的所有响应文件、资料</w:t>
      </w:r>
      <w:r>
        <w:rPr>
          <w:rFonts w:ascii="仿宋" w:hAnsi="仿宋" w:eastAsia="仿宋" w:cs="仿宋"/>
          <w:color w:val="auto"/>
          <w:spacing w:val="-3"/>
          <w:sz w:val="24"/>
          <w:szCs w:val="24"/>
          <w:highlight w:val="none"/>
        </w:rPr>
        <w:t>都是准确的和真实的。</w:t>
      </w:r>
    </w:p>
    <w:p w14:paraId="0D997BA0">
      <w:pPr>
        <w:spacing w:before="153" w:line="220" w:lineRule="auto"/>
        <w:ind w:left="520"/>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3.若中标，我方将按照竞争性磋商文件规定履行合同责任和义务。</w:t>
      </w:r>
    </w:p>
    <w:p w14:paraId="70344D32">
      <w:pPr>
        <w:spacing w:before="192" w:line="250" w:lineRule="auto"/>
        <w:ind w:left="64" w:right="167" w:firstLine="435"/>
        <w:rPr>
          <w:rFonts w:ascii="仿宋" w:hAnsi="仿宋" w:eastAsia="仿宋" w:cs="仿宋"/>
          <w:color w:val="auto"/>
          <w:sz w:val="24"/>
          <w:szCs w:val="24"/>
          <w:highlight w:val="none"/>
        </w:rPr>
      </w:pPr>
      <w:r>
        <w:rPr>
          <w:rFonts w:ascii="仿宋" w:hAnsi="仿宋" w:eastAsia="仿宋" w:cs="仿宋"/>
          <w:color w:val="auto"/>
          <w:sz w:val="24"/>
          <w:szCs w:val="24"/>
          <w:highlight w:val="none"/>
        </w:rPr>
        <w:t>4.我方不是采购人的附属机构；在获知本</w:t>
      </w:r>
      <w:r>
        <w:rPr>
          <w:rFonts w:ascii="仿宋" w:hAnsi="仿宋" w:eastAsia="仿宋" w:cs="仿宋"/>
          <w:color w:val="auto"/>
          <w:spacing w:val="-1"/>
          <w:sz w:val="24"/>
          <w:szCs w:val="24"/>
          <w:highlight w:val="none"/>
        </w:rPr>
        <w:t>项目采购信息后，与采购人聘请</w:t>
      </w:r>
      <w:r>
        <w:rPr>
          <w:rFonts w:ascii="仿宋" w:hAnsi="仿宋" w:eastAsia="仿宋" w:cs="仿宋"/>
          <w:color w:val="auto"/>
          <w:spacing w:val="-3"/>
          <w:sz w:val="24"/>
          <w:szCs w:val="24"/>
          <w:highlight w:val="none"/>
        </w:rPr>
        <w:t>的为此 项目提供咨询服务的公司以及其附属机构没有任何联系。</w:t>
      </w:r>
    </w:p>
    <w:p w14:paraId="5B29B5CD">
      <w:pPr>
        <w:spacing w:before="192" w:line="222" w:lineRule="auto"/>
        <w:ind w:left="520"/>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5.响应文件自开标日起有效期为</w:t>
      </w:r>
      <w:r>
        <w:rPr>
          <w:rFonts w:ascii="仿宋" w:hAnsi="仿宋" w:eastAsia="仿宋" w:cs="仿宋"/>
          <w:color w:val="auto"/>
          <w:spacing w:val="-10"/>
          <w:sz w:val="24"/>
          <w:szCs w:val="24"/>
          <w:highlight w:val="none"/>
          <w:u w:val="single" w:color="auto"/>
        </w:rPr>
        <w:t>60</w:t>
      </w:r>
      <w:r>
        <w:rPr>
          <w:rFonts w:ascii="仿宋" w:hAnsi="仿宋" w:eastAsia="仿宋" w:cs="仿宋"/>
          <w:color w:val="auto"/>
          <w:spacing w:val="54"/>
          <w:sz w:val="24"/>
          <w:szCs w:val="24"/>
          <w:highlight w:val="none"/>
        </w:rPr>
        <w:t xml:space="preserve"> </w:t>
      </w:r>
      <w:r>
        <w:rPr>
          <w:rFonts w:ascii="仿宋" w:hAnsi="仿宋" w:eastAsia="仿宋" w:cs="仿宋"/>
          <w:color w:val="auto"/>
          <w:spacing w:val="-10"/>
          <w:sz w:val="24"/>
          <w:szCs w:val="24"/>
          <w:highlight w:val="none"/>
        </w:rPr>
        <w:t>日历日。</w:t>
      </w:r>
    </w:p>
    <w:p w14:paraId="740EA024">
      <w:pPr>
        <w:spacing w:before="146" w:line="220" w:lineRule="auto"/>
        <w:ind w:left="510"/>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6.以上事项如有虚假或者隐瞒，我方愿意承担一切后果。</w:t>
      </w:r>
    </w:p>
    <w:p w14:paraId="3B03B8CA">
      <w:pPr>
        <w:pStyle w:val="3"/>
        <w:spacing w:line="284" w:lineRule="auto"/>
        <w:rPr>
          <w:color w:val="auto"/>
          <w:highlight w:val="none"/>
        </w:rPr>
      </w:pPr>
    </w:p>
    <w:p w14:paraId="1E25D2E3">
      <w:pPr>
        <w:pStyle w:val="3"/>
        <w:spacing w:line="284" w:lineRule="auto"/>
        <w:rPr>
          <w:color w:val="auto"/>
          <w:highlight w:val="none"/>
        </w:rPr>
      </w:pPr>
    </w:p>
    <w:p w14:paraId="2CA19F0D">
      <w:pPr>
        <w:pStyle w:val="3"/>
        <w:spacing w:line="284" w:lineRule="auto"/>
        <w:rPr>
          <w:color w:val="auto"/>
          <w:highlight w:val="none"/>
        </w:rPr>
      </w:pPr>
    </w:p>
    <w:p w14:paraId="77CC1D74">
      <w:pPr>
        <w:pStyle w:val="3"/>
        <w:spacing w:line="285" w:lineRule="auto"/>
        <w:rPr>
          <w:color w:val="auto"/>
          <w:highlight w:val="none"/>
        </w:rPr>
      </w:pPr>
    </w:p>
    <w:p w14:paraId="4E767E34">
      <w:pPr>
        <w:pStyle w:val="3"/>
        <w:spacing w:line="285" w:lineRule="auto"/>
        <w:rPr>
          <w:color w:val="auto"/>
          <w:highlight w:val="none"/>
        </w:rPr>
      </w:pPr>
    </w:p>
    <w:p w14:paraId="1A3B072F">
      <w:pPr>
        <w:spacing w:before="78" w:line="221" w:lineRule="auto"/>
        <w:ind w:left="4159"/>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供  应</w:t>
      </w:r>
      <w:r>
        <w:rPr>
          <w:rFonts w:ascii="仿宋" w:hAnsi="仿宋" w:eastAsia="仿宋" w:cs="仿宋"/>
          <w:color w:val="auto"/>
          <w:spacing w:val="31"/>
          <w:sz w:val="24"/>
          <w:szCs w:val="24"/>
          <w:highlight w:val="none"/>
        </w:rPr>
        <w:t xml:space="preserve">  </w:t>
      </w:r>
      <w:r>
        <w:rPr>
          <w:rFonts w:ascii="仿宋" w:hAnsi="仿宋" w:eastAsia="仿宋" w:cs="仿宋"/>
          <w:color w:val="auto"/>
          <w:spacing w:val="-8"/>
          <w:sz w:val="24"/>
          <w:szCs w:val="24"/>
          <w:highlight w:val="none"/>
        </w:rPr>
        <w:t>商</w:t>
      </w:r>
      <w:r>
        <w:rPr>
          <w:rFonts w:ascii="仿宋" w:hAnsi="仿宋" w:eastAsia="仿宋" w:cs="仿宋"/>
          <w:color w:val="auto"/>
          <w:spacing w:val="-32"/>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2"/>
          <w:sz w:val="24"/>
          <w:szCs w:val="24"/>
          <w:highlight w:val="none"/>
        </w:rPr>
        <w:t>（</w:t>
      </w:r>
      <w:r>
        <w:rPr>
          <w:rFonts w:ascii="仿宋" w:hAnsi="仿宋" w:eastAsia="仿宋" w:cs="仿宋"/>
          <w:color w:val="auto"/>
          <w:spacing w:val="-8"/>
          <w:sz w:val="24"/>
          <w:szCs w:val="24"/>
          <w:highlight w:val="none"/>
        </w:rPr>
        <w:t>盖单</w:t>
      </w:r>
    </w:p>
    <w:p w14:paraId="77D87CE8">
      <w:pPr>
        <w:spacing w:before="115" w:line="222" w:lineRule="auto"/>
        <w:ind w:left="4171"/>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位公章） 法定代表人：</w:t>
      </w:r>
      <w:r>
        <w:rPr>
          <w:rFonts w:ascii="仿宋" w:hAnsi="仿宋" w:eastAsia="仿宋" w:cs="仿宋"/>
          <w:color w:val="auto"/>
          <w:sz w:val="24"/>
          <w:szCs w:val="24"/>
          <w:highlight w:val="none"/>
          <w:u w:val="single" w:color="auto"/>
        </w:rPr>
        <w:t xml:space="preserve">               </w:t>
      </w:r>
    </w:p>
    <w:p w14:paraId="397EBB6A">
      <w:pPr>
        <w:spacing w:before="113" w:line="222" w:lineRule="auto"/>
        <w:ind w:left="4175"/>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（签字或盖章）</w:t>
      </w:r>
    </w:p>
    <w:p w14:paraId="75703A7E">
      <w:pPr>
        <w:spacing w:before="151" w:line="222" w:lineRule="auto"/>
        <w:ind w:left="4310"/>
        <w:rPr>
          <w:rFonts w:ascii="仿宋" w:hAnsi="仿宋" w:eastAsia="仿宋" w:cs="仿宋"/>
          <w:color w:val="auto"/>
          <w:sz w:val="24"/>
          <w:szCs w:val="24"/>
          <w:highlight w:val="none"/>
        </w:rPr>
      </w:pPr>
      <w:r>
        <w:rPr>
          <w:rFonts w:ascii="仿宋" w:hAnsi="仿宋" w:eastAsia="仿宋" w:cs="仿宋"/>
          <w:color w:val="auto"/>
          <w:spacing w:val="-32"/>
          <w:sz w:val="24"/>
          <w:szCs w:val="24"/>
          <w:highlight w:val="none"/>
        </w:rPr>
        <w:t>日</w:t>
      </w:r>
      <w:r>
        <w:rPr>
          <w:rFonts w:ascii="仿宋" w:hAnsi="仿宋" w:eastAsia="仿宋" w:cs="仿宋"/>
          <w:color w:val="auto"/>
          <w:spacing w:val="22"/>
          <w:sz w:val="24"/>
          <w:szCs w:val="24"/>
          <w:highlight w:val="none"/>
        </w:rPr>
        <w:t xml:space="preserve">     </w:t>
      </w:r>
      <w:r>
        <w:rPr>
          <w:rFonts w:ascii="仿宋" w:hAnsi="仿宋" w:eastAsia="仿宋" w:cs="仿宋"/>
          <w:color w:val="auto"/>
          <w:spacing w:val="-32"/>
          <w:sz w:val="24"/>
          <w:szCs w:val="24"/>
          <w:highlight w:val="none"/>
        </w:rPr>
        <w:t>期：</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9"/>
          <w:sz w:val="24"/>
          <w:szCs w:val="24"/>
          <w:highlight w:val="none"/>
        </w:rPr>
        <w:t xml:space="preserve"> </w:t>
      </w:r>
      <w:r>
        <w:rPr>
          <w:rFonts w:ascii="仿宋" w:hAnsi="仿宋" w:eastAsia="仿宋" w:cs="仿宋"/>
          <w:color w:val="auto"/>
          <w:spacing w:val="-32"/>
          <w:sz w:val="24"/>
          <w:szCs w:val="24"/>
          <w:highlight w:val="none"/>
        </w:rPr>
        <w:t>年</w:t>
      </w:r>
      <w:r>
        <w:rPr>
          <w:rFonts w:ascii="仿宋" w:hAnsi="仿宋" w:eastAsia="仿宋" w:cs="仿宋"/>
          <w:color w:val="auto"/>
          <w:spacing w:val="31"/>
          <w:sz w:val="24"/>
          <w:szCs w:val="24"/>
          <w:highlight w:val="none"/>
          <w:u w:val="single" w:color="auto"/>
        </w:rPr>
        <w:t xml:space="preserve">  </w:t>
      </w:r>
      <w:r>
        <w:rPr>
          <w:rFonts w:ascii="仿宋" w:hAnsi="仿宋" w:eastAsia="仿宋" w:cs="仿宋"/>
          <w:color w:val="auto"/>
          <w:spacing w:val="-33"/>
          <w:sz w:val="24"/>
          <w:szCs w:val="24"/>
          <w:highlight w:val="none"/>
        </w:rPr>
        <w:t xml:space="preserve"> </w:t>
      </w:r>
      <w:r>
        <w:rPr>
          <w:rFonts w:ascii="仿宋" w:hAnsi="仿宋" w:eastAsia="仿宋" w:cs="仿宋"/>
          <w:color w:val="auto"/>
          <w:spacing w:val="-32"/>
          <w:sz w:val="24"/>
          <w:szCs w:val="24"/>
          <w:highlight w:val="none"/>
        </w:rPr>
        <w:t>月</w:t>
      </w:r>
      <w:r>
        <w:rPr>
          <w:rFonts w:ascii="仿宋" w:hAnsi="仿宋" w:eastAsia="仿宋" w:cs="仿宋"/>
          <w:color w:val="auto"/>
          <w:spacing w:val="33"/>
          <w:sz w:val="24"/>
          <w:szCs w:val="24"/>
          <w:highlight w:val="none"/>
          <w:u w:val="single" w:color="auto"/>
        </w:rPr>
        <w:t xml:space="preserve">  </w:t>
      </w:r>
      <w:r>
        <w:rPr>
          <w:rFonts w:ascii="仿宋" w:hAnsi="仿宋" w:eastAsia="仿宋" w:cs="仿宋"/>
          <w:color w:val="auto"/>
          <w:spacing w:val="82"/>
          <w:sz w:val="24"/>
          <w:szCs w:val="24"/>
          <w:highlight w:val="none"/>
        </w:rPr>
        <w:t xml:space="preserve"> </w:t>
      </w:r>
      <w:r>
        <w:rPr>
          <w:rFonts w:ascii="仿宋" w:hAnsi="仿宋" w:eastAsia="仿宋" w:cs="仿宋"/>
          <w:color w:val="auto"/>
          <w:spacing w:val="-32"/>
          <w:sz w:val="24"/>
          <w:szCs w:val="24"/>
          <w:highlight w:val="none"/>
        </w:rPr>
        <w:t>日</w:t>
      </w:r>
    </w:p>
    <w:p w14:paraId="04B7C6EF">
      <w:pPr>
        <w:spacing w:line="222" w:lineRule="auto"/>
        <w:rPr>
          <w:rFonts w:ascii="仿宋" w:hAnsi="仿宋" w:eastAsia="仿宋" w:cs="仿宋"/>
          <w:color w:val="auto"/>
          <w:sz w:val="24"/>
          <w:szCs w:val="24"/>
          <w:highlight w:val="none"/>
        </w:rPr>
        <w:sectPr>
          <w:footerReference r:id="rId63" w:type="default"/>
          <w:pgSz w:w="11906" w:h="16840"/>
          <w:pgMar w:top="400" w:right="1785" w:bottom="1157" w:left="1785" w:header="0" w:footer="911" w:gutter="0"/>
          <w:pgNumType w:fmt="decimal"/>
          <w:cols w:space="720" w:num="1"/>
        </w:sectPr>
      </w:pPr>
    </w:p>
    <w:p w14:paraId="4C93917B">
      <w:pPr>
        <w:pStyle w:val="3"/>
        <w:spacing w:line="266" w:lineRule="auto"/>
        <w:rPr>
          <w:color w:val="auto"/>
          <w:highlight w:val="none"/>
        </w:rPr>
      </w:pPr>
    </w:p>
    <w:p w14:paraId="448B5DB3">
      <w:pPr>
        <w:pStyle w:val="3"/>
        <w:spacing w:line="266" w:lineRule="auto"/>
        <w:rPr>
          <w:color w:val="auto"/>
          <w:highlight w:val="none"/>
        </w:rPr>
      </w:pPr>
    </w:p>
    <w:p w14:paraId="636193F1">
      <w:pPr>
        <w:pStyle w:val="3"/>
        <w:spacing w:line="266" w:lineRule="auto"/>
        <w:rPr>
          <w:color w:val="auto"/>
          <w:highlight w:val="none"/>
        </w:rPr>
      </w:pPr>
    </w:p>
    <w:p w14:paraId="0D6D0C33">
      <w:pPr>
        <w:pStyle w:val="3"/>
        <w:spacing w:line="267" w:lineRule="auto"/>
        <w:rPr>
          <w:color w:val="auto"/>
          <w:highlight w:val="none"/>
        </w:rPr>
      </w:pPr>
    </w:p>
    <w:p w14:paraId="78CC1702">
      <w:pPr>
        <w:pStyle w:val="3"/>
        <w:spacing w:line="267" w:lineRule="auto"/>
        <w:rPr>
          <w:color w:val="auto"/>
          <w:highlight w:val="none"/>
        </w:rPr>
      </w:pPr>
    </w:p>
    <w:p w14:paraId="2673CCC7">
      <w:pPr>
        <w:pStyle w:val="3"/>
        <w:spacing w:line="267" w:lineRule="auto"/>
        <w:rPr>
          <w:color w:val="auto"/>
          <w:highlight w:val="none"/>
        </w:rPr>
      </w:pPr>
    </w:p>
    <w:p w14:paraId="02158F1B">
      <w:pPr>
        <w:pStyle w:val="3"/>
        <w:spacing w:line="267" w:lineRule="auto"/>
        <w:rPr>
          <w:color w:val="auto"/>
          <w:highlight w:val="none"/>
        </w:rPr>
      </w:pPr>
    </w:p>
    <w:p w14:paraId="3BA1F057">
      <w:pPr>
        <w:pStyle w:val="3"/>
        <w:spacing w:line="267" w:lineRule="auto"/>
        <w:rPr>
          <w:color w:val="auto"/>
          <w:highlight w:val="none"/>
        </w:rPr>
      </w:pPr>
    </w:p>
    <w:p w14:paraId="18C63DC3">
      <w:pPr>
        <w:spacing w:before="91" w:line="223" w:lineRule="auto"/>
        <w:ind w:left="3574"/>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二、响应报价一览表</w:t>
      </w:r>
    </w:p>
    <w:p w14:paraId="15146E36">
      <w:pPr>
        <w:spacing w:line="228" w:lineRule="exact"/>
        <w:rPr>
          <w:color w:val="auto"/>
          <w:highlight w:val="none"/>
        </w:rPr>
      </w:pPr>
    </w:p>
    <w:tbl>
      <w:tblPr>
        <w:tblStyle w:val="11"/>
        <w:tblW w:w="95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5"/>
        <w:gridCol w:w="7597"/>
      </w:tblGrid>
      <w:tr w14:paraId="24CEF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905" w:type="dxa"/>
            <w:vAlign w:val="top"/>
          </w:tcPr>
          <w:p w14:paraId="41C12316">
            <w:pPr>
              <w:spacing w:line="333" w:lineRule="auto"/>
              <w:rPr>
                <w:rFonts w:ascii="Arial"/>
                <w:color w:val="auto"/>
                <w:sz w:val="21"/>
                <w:highlight w:val="none"/>
              </w:rPr>
            </w:pPr>
          </w:p>
          <w:p w14:paraId="77301660">
            <w:pPr>
              <w:pStyle w:val="12"/>
              <w:spacing w:before="78" w:line="221" w:lineRule="auto"/>
              <w:ind w:left="518"/>
              <w:rPr>
                <w:color w:val="auto"/>
                <w:highlight w:val="none"/>
              </w:rPr>
            </w:pPr>
            <w:r>
              <w:rPr>
                <w:color w:val="auto"/>
                <w:spacing w:val="-8"/>
                <w:highlight w:val="none"/>
              </w:rPr>
              <w:t>项目名称</w:t>
            </w:r>
          </w:p>
        </w:tc>
        <w:tc>
          <w:tcPr>
            <w:tcW w:w="7597" w:type="dxa"/>
            <w:vAlign w:val="top"/>
          </w:tcPr>
          <w:p w14:paraId="54B9B9A9">
            <w:pPr>
              <w:rPr>
                <w:rFonts w:ascii="Arial"/>
                <w:color w:val="auto"/>
                <w:sz w:val="21"/>
                <w:highlight w:val="none"/>
              </w:rPr>
            </w:pPr>
          </w:p>
        </w:tc>
      </w:tr>
      <w:tr w14:paraId="18B39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905" w:type="dxa"/>
            <w:vAlign w:val="top"/>
          </w:tcPr>
          <w:p w14:paraId="7275783F">
            <w:pPr>
              <w:spacing w:line="262" w:lineRule="auto"/>
              <w:rPr>
                <w:rFonts w:ascii="Arial"/>
                <w:color w:val="auto"/>
                <w:sz w:val="21"/>
                <w:highlight w:val="none"/>
              </w:rPr>
            </w:pPr>
          </w:p>
          <w:p w14:paraId="287A7E52">
            <w:pPr>
              <w:pStyle w:val="12"/>
              <w:spacing w:before="78" w:line="224" w:lineRule="auto"/>
              <w:ind w:left="518"/>
              <w:rPr>
                <w:color w:val="auto"/>
                <w:highlight w:val="none"/>
              </w:rPr>
            </w:pPr>
            <w:r>
              <w:rPr>
                <w:color w:val="auto"/>
                <w:spacing w:val="-8"/>
                <w:highlight w:val="none"/>
              </w:rPr>
              <w:t>项目编号</w:t>
            </w:r>
          </w:p>
        </w:tc>
        <w:tc>
          <w:tcPr>
            <w:tcW w:w="7597" w:type="dxa"/>
            <w:vAlign w:val="top"/>
          </w:tcPr>
          <w:p w14:paraId="4A1EFEC8">
            <w:pPr>
              <w:rPr>
                <w:rFonts w:ascii="Arial"/>
                <w:color w:val="auto"/>
                <w:sz w:val="21"/>
                <w:highlight w:val="none"/>
              </w:rPr>
            </w:pPr>
          </w:p>
        </w:tc>
      </w:tr>
      <w:tr w14:paraId="504CD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1905" w:type="dxa"/>
            <w:vAlign w:val="top"/>
          </w:tcPr>
          <w:p w14:paraId="0261886F">
            <w:pPr>
              <w:spacing w:line="294" w:lineRule="auto"/>
              <w:rPr>
                <w:rFonts w:ascii="Arial"/>
                <w:color w:val="auto"/>
                <w:sz w:val="21"/>
                <w:highlight w:val="none"/>
              </w:rPr>
            </w:pPr>
          </w:p>
          <w:p w14:paraId="5C95F8BA">
            <w:pPr>
              <w:spacing w:line="295" w:lineRule="auto"/>
              <w:rPr>
                <w:rFonts w:ascii="Arial"/>
                <w:color w:val="auto"/>
                <w:sz w:val="21"/>
                <w:highlight w:val="none"/>
              </w:rPr>
            </w:pPr>
          </w:p>
          <w:p w14:paraId="5F25F526">
            <w:pPr>
              <w:pStyle w:val="12"/>
              <w:spacing w:before="78" w:line="222" w:lineRule="auto"/>
              <w:ind w:left="521"/>
              <w:rPr>
                <w:color w:val="auto"/>
                <w:highlight w:val="none"/>
              </w:rPr>
            </w:pPr>
            <w:r>
              <w:rPr>
                <w:color w:val="auto"/>
                <w:spacing w:val="-9"/>
                <w:highlight w:val="none"/>
              </w:rPr>
              <w:t>采购内容</w:t>
            </w:r>
          </w:p>
        </w:tc>
        <w:tc>
          <w:tcPr>
            <w:tcW w:w="7597" w:type="dxa"/>
            <w:vAlign w:val="top"/>
          </w:tcPr>
          <w:p w14:paraId="49E11678">
            <w:pPr>
              <w:rPr>
                <w:rFonts w:ascii="Arial"/>
                <w:color w:val="auto"/>
                <w:sz w:val="21"/>
                <w:highlight w:val="none"/>
              </w:rPr>
            </w:pPr>
          </w:p>
        </w:tc>
      </w:tr>
      <w:tr w14:paraId="598DC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trPr>
        <w:tc>
          <w:tcPr>
            <w:tcW w:w="1905" w:type="dxa"/>
            <w:vAlign w:val="top"/>
          </w:tcPr>
          <w:p w14:paraId="6A74D495">
            <w:pPr>
              <w:spacing w:line="356" w:lineRule="auto"/>
              <w:rPr>
                <w:rFonts w:ascii="Arial"/>
                <w:color w:val="auto"/>
                <w:sz w:val="21"/>
                <w:highlight w:val="none"/>
              </w:rPr>
            </w:pPr>
          </w:p>
          <w:p w14:paraId="13680B31">
            <w:pPr>
              <w:spacing w:line="356" w:lineRule="auto"/>
              <w:rPr>
                <w:rFonts w:ascii="Arial"/>
                <w:color w:val="auto"/>
                <w:sz w:val="21"/>
                <w:highlight w:val="none"/>
              </w:rPr>
            </w:pPr>
          </w:p>
          <w:p w14:paraId="6A450F6F">
            <w:pPr>
              <w:pStyle w:val="12"/>
              <w:spacing w:before="78" w:line="223" w:lineRule="auto"/>
              <w:ind w:left="770"/>
              <w:rPr>
                <w:color w:val="auto"/>
                <w:highlight w:val="none"/>
              </w:rPr>
            </w:pPr>
            <w:r>
              <w:rPr>
                <w:color w:val="auto"/>
                <w:spacing w:val="-11"/>
                <w:highlight w:val="none"/>
              </w:rPr>
              <w:t>工期</w:t>
            </w:r>
          </w:p>
        </w:tc>
        <w:tc>
          <w:tcPr>
            <w:tcW w:w="7597" w:type="dxa"/>
            <w:vAlign w:val="top"/>
          </w:tcPr>
          <w:p w14:paraId="02466525">
            <w:pPr>
              <w:rPr>
                <w:rFonts w:ascii="Arial"/>
                <w:color w:val="auto"/>
                <w:sz w:val="21"/>
                <w:highlight w:val="none"/>
              </w:rPr>
            </w:pPr>
          </w:p>
        </w:tc>
      </w:tr>
      <w:tr w14:paraId="36FFC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905" w:type="dxa"/>
            <w:vAlign w:val="top"/>
          </w:tcPr>
          <w:p w14:paraId="324E1C05">
            <w:pPr>
              <w:spacing w:line="433" w:lineRule="auto"/>
              <w:rPr>
                <w:rFonts w:ascii="Arial"/>
                <w:color w:val="auto"/>
                <w:sz w:val="21"/>
                <w:highlight w:val="none"/>
              </w:rPr>
            </w:pPr>
          </w:p>
          <w:p w14:paraId="34EE5505">
            <w:pPr>
              <w:pStyle w:val="12"/>
              <w:spacing w:before="78" w:line="222" w:lineRule="auto"/>
              <w:ind w:left="530"/>
              <w:rPr>
                <w:color w:val="auto"/>
                <w:highlight w:val="none"/>
              </w:rPr>
            </w:pPr>
            <w:r>
              <w:rPr>
                <w:color w:val="auto"/>
                <w:spacing w:val="-11"/>
                <w:highlight w:val="none"/>
              </w:rPr>
              <w:t>质量目标</w:t>
            </w:r>
          </w:p>
        </w:tc>
        <w:tc>
          <w:tcPr>
            <w:tcW w:w="7597" w:type="dxa"/>
            <w:vAlign w:val="top"/>
          </w:tcPr>
          <w:p w14:paraId="0118D94E">
            <w:pPr>
              <w:rPr>
                <w:rFonts w:ascii="Arial"/>
                <w:color w:val="auto"/>
                <w:sz w:val="21"/>
                <w:highlight w:val="none"/>
              </w:rPr>
            </w:pPr>
          </w:p>
        </w:tc>
      </w:tr>
      <w:tr w14:paraId="7CB6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905" w:type="dxa"/>
            <w:vAlign w:val="top"/>
          </w:tcPr>
          <w:p w14:paraId="52C79052">
            <w:pPr>
              <w:spacing w:line="434" w:lineRule="auto"/>
              <w:rPr>
                <w:rFonts w:ascii="Arial"/>
                <w:color w:val="auto"/>
                <w:sz w:val="21"/>
                <w:highlight w:val="none"/>
              </w:rPr>
            </w:pPr>
          </w:p>
          <w:p w14:paraId="5335CF6F">
            <w:pPr>
              <w:pStyle w:val="12"/>
              <w:spacing w:before="78" w:line="222" w:lineRule="auto"/>
              <w:ind w:left="754"/>
              <w:rPr>
                <w:color w:val="auto"/>
                <w:highlight w:val="none"/>
              </w:rPr>
            </w:pPr>
            <w:r>
              <w:rPr>
                <w:color w:val="auto"/>
                <w:spacing w:val="-8"/>
                <w:highlight w:val="none"/>
              </w:rPr>
              <w:t>报价</w:t>
            </w:r>
          </w:p>
        </w:tc>
        <w:tc>
          <w:tcPr>
            <w:tcW w:w="7597" w:type="dxa"/>
            <w:vAlign w:val="top"/>
          </w:tcPr>
          <w:p w14:paraId="2C7F0876">
            <w:pPr>
              <w:spacing w:line="253" w:lineRule="auto"/>
              <w:rPr>
                <w:rFonts w:ascii="Arial"/>
                <w:color w:val="auto"/>
                <w:sz w:val="21"/>
                <w:highlight w:val="none"/>
              </w:rPr>
            </w:pPr>
          </w:p>
          <w:p w14:paraId="3C0085BF">
            <w:pPr>
              <w:pStyle w:val="12"/>
              <w:spacing w:before="78" w:line="224" w:lineRule="auto"/>
              <w:ind w:left="148"/>
              <w:rPr>
                <w:color w:val="auto"/>
                <w:highlight w:val="none"/>
              </w:rPr>
            </w:pPr>
            <w:r>
              <w:rPr>
                <w:color w:val="auto"/>
                <w:spacing w:val="-8"/>
                <w:highlight w:val="none"/>
              </w:rPr>
              <w:t>小写：</w:t>
            </w:r>
            <w:r>
              <w:rPr>
                <w:color w:val="auto"/>
                <w:spacing w:val="-8"/>
                <w:highlight w:val="none"/>
                <w:u w:val="single" w:color="auto"/>
              </w:rPr>
              <w:t xml:space="preserve">                      </w:t>
            </w:r>
          </w:p>
          <w:p w14:paraId="7BD363A6">
            <w:pPr>
              <w:pStyle w:val="12"/>
              <w:spacing w:before="101" w:line="224" w:lineRule="auto"/>
              <w:ind w:left="155"/>
              <w:rPr>
                <w:color w:val="auto"/>
                <w:highlight w:val="none"/>
              </w:rPr>
            </w:pPr>
            <w:r>
              <w:rPr>
                <w:color w:val="auto"/>
                <w:spacing w:val="-12"/>
                <w:highlight w:val="none"/>
              </w:rPr>
              <w:t>大写：</w:t>
            </w:r>
            <w:r>
              <w:rPr>
                <w:color w:val="auto"/>
                <w:spacing w:val="-12"/>
                <w:highlight w:val="none"/>
                <w:u w:val="single" w:color="auto"/>
              </w:rPr>
              <w:t xml:space="preserve">                       </w:t>
            </w:r>
          </w:p>
        </w:tc>
      </w:tr>
      <w:tr w14:paraId="3313C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5" w:type="dxa"/>
            <w:vAlign w:val="top"/>
          </w:tcPr>
          <w:p w14:paraId="5A0CFBA1">
            <w:pPr>
              <w:spacing w:line="447" w:lineRule="auto"/>
              <w:rPr>
                <w:rFonts w:ascii="Arial"/>
                <w:color w:val="auto"/>
                <w:sz w:val="21"/>
                <w:highlight w:val="none"/>
              </w:rPr>
            </w:pPr>
          </w:p>
          <w:p w14:paraId="5C82F560">
            <w:pPr>
              <w:pStyle w:val="12"/>
              <w:spacing w:before="78" w:line="224" w:lineRule="auto"/>
              <w:ind w:left="761"/>
              <w:rPr>
                <w:color w:val="auto"/>
                <w:highlight w:val="none"/>
              </w:rPr>
            </w:pPr>
            <w:r>
              <w:rPr>
                <w:color w:val="auto"/>
                <w:spacing w:val="-9"/>
                <w:highlight w:val="none"/>
              </w:rPr>
              <w:t>备注</w:t>
            </w:r>
          </w:p>
        </w:tc>
        <w:tc>
          <w:tcPr>
            <w:tcW w:w="7597" w:type="dxa"/>
            <w:vAlign w:val="top"/>
          </w:tcPr>
          <w:p w14:paraId="06830720">
            <w:pPr>
              <w:rPr>
                <w:rFonts w:ascii="Arial"/>
                <w:color w:val="auto"/>
                <w:sz w:val="21"/>
                <w:highlight w:val="none"/>
              </w:rPr>
            </w:pPr>
          </w:p>
        </w:tc>
      </w:tr>
    </w:tbl>
    <w:p w14:paraId="5B130B76">
      <w:pPr>
        <w:pStyle w:val="3"/>
        <w:spacing w:line="253" w:lineRule="auto"/>
        <w:rPr>
          <w:color w:val="auto"/>
          <w:highlight w:val="none"/>
        </w:rPr>
      </w:pPr>
    </w:p>
    <w:p w14:paraId="4D86E1C5">
      <w:pPr>
        <w:pStyle w:val="3"/>
        <w:spacing w:line="253" w:lineRule="auto"/>
        <w:rPr>
          <w:color w:val="auto"/>
          <w:highlight w:val="none"/>
        </w:rPr>
      </w:pPr>
    </w:p>
    <w:p w14:paraId="21DA427F">
      <w:pPr>
        <w:pStyle w:val="3"/>
        <w:spacing w:line="253" w:lineRule="auto"/>
        <w:rPr>
          <w:color w:val="auto"/>
          <w:highlight w:val="none"/>
        </w:rPr>
      </w:pPr>
    </w:p>
    <w:p w14:paraId="60F97FEB">
      <w:pPr>
        <w:pStyle w:val="3"/>
        <w:spacing w:line="253" w:lineRule="auto"/>
        <w:rPr>
          <w:color w:val="auto"/>
          <w:highlight w:val="none"/>
        </w:rPr>
      </w:pPr>
    </w:p>
    <w:p w14:paraId="0BB32B20">
      <w:pPr>
        <w:pStyle w:val="3"/>
        <w:spacing w:line="253" w:lineRule="auto"/>
        <w:rPr>
          <w:color w:val="auto"/>
          <w:highlight w:val="none"/>
        </w:rPr>
      </w:pPr>
    </w:p>
    <w:p w14:paraId="5465C9DD">
      <w:pPr>
        <w:pStyle w:val="3"/>
        <w:spacing w:line="254" w:lineRule="auto"/>
        <w:rPr>
          <w:color w:val="auto"/>
          <w:highlight w:val="none"/>
        </w:rPr>
      </w:pPr>
    </w:p>
    <w:p w14:paraId="14628935">
      <w:pPr>
        <w:spacing w:before="78" w:line="220" w:lineRule="auto"/>
        <w:ind w:left="4401"/>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供</w:t>
      </w:r>
      <w:r>
        <w:rPr>
          <w:rFonts w:ascii="仿宋" w:hAnsi="仿宋" w:eastAsia="仿宋" w:cs="仿宋"/>
          <w:color w:val="auto"/>
          <w:spacing w:val="1"/>
          <w:sz w:val="24"/>
          <w:szCs w:val="24"/>
          <w:highlight w:val="none"/>
        </w:rPr>
        <w:t xml:space="preserve">  </w:t>
      </w:r>
      <w:r>
        <w:rPr>
          <w:rFonts w:ascii="仿宋" w:hAnsi="仿宋" w:eastAsia="仿宋" w:cs="仿宋"/>
          <w:color w:val="auto"/>
          <w:spacing w:val="-11"/>
          <w:sz w:val="24"/>
          <w:szCs w:val="24"/>
          <w:highlight w:val="none"/>
        </w:rPr>
        <w:t>应</w:t>
      </w:r>
      <w:r>
        <w:rPr>
          <w:rFonts w:ascii="仿宋" w:hAnsi="仿宋" w:eastAsia="仿宋" w:cs="仿宋"/>
          <w:color w:val="auto"/>
          <w:spacing w:val="34"/>
          <w:sz w:val="24"/>
          <w:szCs w:val="24"/>
          <w:highlight w:val="none"/>
        </w:rPr>
        <w:t xml:space="preserve">  </w:t>
      </w:r>
      <w:r>
        <w:rPr>
          <w:rFonts w:ascii="仿宋" w:hAnsi="仿宋" w:eastAsia="仿宋" w:cs="仿宋"/>
          <w:color w:val="auto"/>
          <w:spacing w:val="-11"/>
          <w:sz w:val="24"/>
          <w:szCs w:val="24"/>
          <w:highlight w:val="none"/>
        </w:rPr>
        <w:t>商</w:t>
      </w:r>
      <w:r>
        <w:rPr>
          <w:rFonts w:ascii="仿宋" w:hAnsi="仿宋" w:eastAsia="仿宋" w:cs="仿宋"/>
          <w:color w:val="auto"/>
          <w:spacing w:val="-31"/>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1"/>
          <w:sz w:val="24"/>
          <w:szCs w:val="24"/>
          <w:highlight w:val="none"/>
        </w:rPr>
        <w:t>（</w:t>
      </w:r>
      <w:r>
        <w:rPr>
          <w:rFonts w:ascii="仿宋" w:hAnsi="仿宋" w:eastAsia="仿宋" w:cs="仿宋"/>
          <w:color w:val="auto"/>
          <w:spacing w:val="-11"/>
          <w:sz w:val="24"/>
          <w:szCs w:val="24"/>
          <w:highlight w:val="none"/>
        </w:rPr>
        <w:t>盖</w:t>
      </w:r>
    </w:p>
    <w:p w14:paraId="1C7A9E64">
      <w:pPr>
        <w:spacing w:before="1" w:line="220" w:lineRule="auto"/>
        <w:ind w:left="4405"/>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单位公章）</w:t>
      </w:r>
    </w:p>
    <w:p w14:paraId="51083F39">
      <w:pPr>
        <w:spacing w:before="150" w:line="223" w:lineRule="auto"/>
        <w:ind w:left="4423" w:right="1323" w:hanging="1"/>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法定代表人</w:t>
      </w:r>
      <w:r>
        <w:rPr>
          <w:rFonts w:ascii="仿宋" w:hAnsi="仿宋" w:eastAsia="仿宋" w:cs="仿宋"/>
          <w:color w:val="auto"/>
          <w:spacing w:val="-31"/>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1"/>
          <w:sz w:val="24"/>
          <w:szCs w:val="24"/>
          <w:highlight w:val="none"/>
        </w:rPr>
        <w:t>（</w:t>
      </w:r>
      <w:r>
        <w:rPr>
          <w:rFonts w:ascii="仿宋" w:hAnsi="仿宋" w:eastAsia="仿宋" w:cs="仿宋"/>
          <w:color w:val="auto"/>
          <w:spacing w:val="-3"/>
          <w:sz w:val="24"/>
          <w:szCs w:val="24"/>
          <w:highlight w:val="none"/>
        </w:rPr>
        <w:t>签</w:t>
      </w:r>
      <w:r>
        <w:rPr>
          <w:rFonts w:ascii="仿宋" w:hAnsi="仿宋" w:eastAsia="仿宋" w:cs="仿宋"/>
          <w:color w:val="auto"/>
          <w:spacing w:val="-6"/>
          <w:sz w:val="24"/>
          <w:szCs w:val="24"/>
          <w:highlight w:val="none"/>
        </w:rPr>
        <w:t>字或盖章）</w:t>
      </w:r>
    </w:p>
    <w:p w14:paraId="6D5D3DA0">
      <w:pPr>
        <w:spacing w:before="149" w:line="222" w:lineRule="auto"/>
        <w:ind w:left="4549"/>
        <w:rPr>
          <w:rFonts w:ascii="仿宋" w:hAnsi="仿宋" w:eastAsia="仿宋" w:cs="仿宋"/>
          <w:color w:val="auto"/>
          <w:sz w:val="24"/>
          <w:szCs w:val="24"/>
          <w:highlight w:val="none"/>
        </w:rPr>
      </w:pPr>
      <w:r>
        <w:rPr>
          <w:rFonts w:ascii="仿宋" w:hAnsi="仿宋" w:eastAsia="仿宋" w:cs="仿宋"/>
          <w:color w:val="auto"/>
          <w:spacing w:val="-32"/>
          <w:sz w:val="24"/>
          <w:szCs w:val="24"/>
          <w:highlight w:val="none"/>
        </w:rPr>
        <w:t>日</w:t>
      </w:r>
      <w:r>
        <w:rPr>
          <w:rFonts w:ascii="仿宋" w:hAnsi="仿宋" w:eastAsia="仿宋" w:cs="仿宋"/>
          <w:color w:val="auto"/>
          <w:spacing w:val="22"/>
          <w:sz w:val="24"/>
          <w:szCs w:val="24"/>
          <w:highlight w:val="none"/>
        </w:rPr>
        <w:t xml:space="preserve">     </w:t>
      </w:r>
      <w:r>
        <w:rPr>
          <w:rFonts w:ascii="仿宋" w:hAnsi="仿宋" w:eastAsia="仿宋" w:cs="仿宋"/>
          <w:color w:val="auto"/>
          <w:spacing w:val="-32"/>
          <w:sz w:val="24"/>
          <w:szCs w:val="24"/>
          <w:highlight w:val="none"/>
        </w:rPr>
        <w:t>期：</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9"/>
          <w:sz w:val="24"/>
          <w:szCs w:val="24"/>
          <w:highlight w:val="none"/>
        </w:rPr>
        <w:t xml:space="preserve"> </w:t>
      </w:r>
      <w:r>
        <w:rPr>
          <w:rFonts w:ascii="仿宋" w:hAnsi="仿宋" w:eastAsia="仿宋" w:cs="仿宋"/>
          <w:color w:val="auto"/>
          <w:spacing w:val="-32"/>
          <w:sz w:val="24"/>
          <w:szCs w:val="24"/>
          <w:highlight w:val="none"/>
        </w:rPr>
        <w:t>年</w:t>
      </w:r>
      <w:r>
        <w:rPr>
          <w:rFonts w:ascii="仿宋" w:hAnsi="仿宋" w:eastAsia="仿宋" w:cs="仿宋"/>
          <w:color w:val="auto"/>
          <w:spacing w:val="32"/>
          <w:sz w:val="24"/>
          <w:szCs w:val="24"/>
          <w:highlight w:val="none"/>
          <w:u w:val="single" w:color="auto"/>
        </w:rPr>
        <w:t xml:space="preserve">  </w:t>
      </w:r>
      <w:r>
        <w:rPr>
          <w:rFonts w:ascii="仿宋" w:hAnsi="仿宋" w:eastAsia="仿宋" w:cs="仿宋"/>
          <w:color w:val="auto"/>
          <w:spacing w:val="-32"/>
          <w:sz w:val="24"/>
          <w:szCs w:val="24"/>
          <w:highlight w:val="none"/>
        </w:rPr>
        <w:t xml:space="preserve"> 月</w:t>
      </w:r>
      <w:r>
        <w:rPr>
          <w:rFonts w:ascii="仿宋" w:hAnsi="仿宋" w:eastAsia="仿宋" w:cs="仿宋"/>
          <w:color w:val="auto"/>
          <w:spacing w:val="33"/>
          <w:sz w:val="24"/>
          <w:szCs w:val="24"/>
          <w:highlight w:val="none"/>
          <w:u w:val="single" w:color="auto"/>
        </w:rPr>
        <w:t xml:space="preserve">  </w:t>
      </w:r>
      <w:r>
        <w:rPr>
          <w:rFonts w:ascii="仿宋" w:hAnsi="仿宋" w:eastAsia="仿宋" w:cs="仿宋"/>
          <w:color w:val="auto"/>
          <w:spacing w:val="79"/>
          <w:sz w:val="24"/>
          <w:szCs w:val="24"/>
          <w:highlight w:val="none"/>
        </w:rPr>
        <w:t xml:space="preserve"> </w:t>
      </w:r>
      <w:r>
        <w:rPr>
          <w:rFonts w:ascii="仿宋" w:hAnsi="仿宋" w:eastAsia="仿宋" w:cs="仿宋"/>
          <w:color w:val="auto"/>
          <w:spacing w:val="-32"/>
          <w:sz w:val="24"/>
          <w:szCs w:val="24"/>
          <w:highlight w:val="none"/>
        </w:rPr>
        <w:t>日</w:t>
      </w:r>
    </w:p>
    <w:p w14:paraId="3A060316">
      <w:pPr>
        <w:spacing w:line="222" w:lineRule="auto"/>
        <w:rPr>
          <w:rFonts w:ascii="仿宋" w:hAnsi="仿宋" w:eastAsia="仿宋" w:cs="仿宋"/>
          <w:color w:val="auto"/>
          <w:sz w:val="24"/>
          <w:szCs w:val="24"/>
          <w:highlight w:val="none"/>
        </w:rPr>
        <w:sectPr>
          <w:footerReference r:id="rId64" w:type="default"/>
          <w:pgSz w:w="11906" w:h="16840"/>
          <w:pgMar w:top="400" w:right="612" w:bottom="1157" w:left="1785" w:header="0" w:footer="911" w:gutter="0"/>
          <w:pgNumType w:fmt="decimal"/>
          <w:cols w:space="720" w:num="1"/>
        </w:sectPr>
      </w:pPr>
    </w:p>
    <w:p w14:paraId="2018C880">
      <w:pPr>
        <w:pStyle w:val="3"/>
        <w:spacing w:line="263" w:lineRule="auto"/>
        <w:rPr>
          <w:color w:val="auto"/>
          <w:highlight w:val="none"/>
        </w:rPr>
      </w:pPr>
    </w:p>
    <w:p w14:paraId="74228D45">
      <w:pPr>
        <w:pStyle w:val="3"/>
        <w:spacing w:line="263" w:lineRule="auto"/>
        <w:rPr>
          <w:color w:val="auto"/>
          <w:highlight w:val="none"/>
        </w:rPr>
      </w:pPr>
    </w:p>
    <w:p w14:paraId="67FCFB11">
      <w:pPr>
        <w:pStyle w:val="3"/>
        <w:spacing w:line="264" w:lineRule="auto"/>
        <w:rPr>
          <w:color w:val="auto"/>
          <w:highlight w:val="none"/>
        </w:rPr>
      </w:pPr>
    </w:p>
    <w:p w14:paraId="379E0F1F">
      <w:pPr>
        <w:pStyle w:val="3"/>
        <w:spacing w:line="264" w:lineRule="auto"/>
        <w:rPr>
          <w:color w:val="auto"/>
          <w:highlight w:val="none"/>
        </w:rPr>
      </w:pPr>
    </w:p>
    <w:p w14:paraId="201D1AB7">
      <w:pPr>
        <w:pStyle w:val="3"/>
        <w:spacing w:line="264" w:lineRule="auto"/>
        <w:rPr>
          <w:color w:val="auto"/>
          <w:highlight w:val="none"/>
        </w:rPr>
      </w:pPr>
    </w:p>
    <w:p w14:paraId="5D1F6EB2">
      <w:pPr>
        <w:spacing w:before="92" w:line="222" w:lineRule="auto"/>
        <w:ind w:left="2706"/>
        <w:rPr>
          <w:rFonts w:ascii="仿宋" w:hAnsi="仿宋" w:eastAsia="仿宋" w:cs="仿宋"/>
          <w:color w:val="auto"/>
          <w:sz w:val="28"/>
          <w:szCs w:val="28"/>
          <w:highlight w:val="none"/>
        </w:rPr>
      </w:pPr>
      <w:r>
        <w:rPr>
          <w:rFonts w:ascii="仿宋" w:hAnsi="仿宋" w:eastAsia="仿宋" w:cs="仿宋"/>
          <w:color w:val="auto"/>
          <w:spacing w:val="-7"/>
          <w:sz w:val="28"/>
          <w:szCs w:val="28"/>
          <w:highlight w:val="none"/>
        </w:rPr>
        <w:t>三、已标价的工程量清单</w:t>
      </w:r>
    </w:p>
    <w:p w14:paraId="4FE0D3A8">
      <w:pPr>
        <w:spacing w:line="222" w:lineRule="auto"/>
        <w:rPr>
          <w:rFonts w:ascii="仿宋" w:hAnsi="仿宋" w:eastAsia="仿宋" w:cs="仿宋"/>
          <w:color w:val="auto"/>
          <w:sz w:val="28"/>
          <w:szCs w:val="28"/>
          <w:highlight w:val="none"/>
        </w:rPr>
        <w:sectPr>
          <w:footerReference r:id="rId65" w:type="default"/>
          <w:pgSz w:w="11906" w:h="16840"/>
          <w:pgMar w:top="400" w:right="1785" w:bottom="1157" w:left="1785" w:header="0" w:footer="911" w:gutter="0"/>
          <w:pgNumType w:fmt="decimal"/>
          <w:cols w:space="720" w:num="1"/>
        </w:sectPr>
      </w:pPr>
    </w:p>
    <w:p w14:paraId="21873B39">
      <w:pPr>
        <w:pStyle w:val="3"/>
        <w:spacing w:line="265" w:lineRule="auto"/>
        <w:rPr>
          <w:color w:val="auto"/>
          <w:highlight w:val="none"/>
        </w:rPr>
      </w:pPr>
    </w:p>
    <w:p w14:paraId="13392FC5">
      <w:pPr>
        <w:pStyle w:val="3"/>
        <w:spacing w:line="265" w:lineRule="auto"/>
        <w:rPr>
          <w:color w:val="auto"/>
          <w:highlight w:val="none"/>
        </w:rPr>
      </w:pPr>
    </w:p>
    <w:p w14:paraId="249105F8">
      <w:pPr>
        <w:pStyle w:val="3"/>
        <w:spacing w:line="265" w:lineRule="auto"/>
        <w:rPr>
          <w:color w:val="auto"/>
          <w:highlight w:val="none"/>
        </w:rPr>
      </w:pPr>
    </w:p>
    <w:p w14:paraId="4C8BECC7">
      <w:pPr>
        <w:pStyle w:val="3"/>
        <w:spacing w:line="266" w:lineRule="auto"/>
        <w:rPr>
          <w:color w:val="auto"/>
          <w:highlight w:val="none"/>
        </w:rPr>
      </w:pPr>
    </w:p>
    <w:p w14:paraId="508022E9">
      <w:pPr>
        <w:spacing w:before="91" w:line="286" w:lineRule="auto"/>
        <w:ind w:left="595" w:right="1483" w:firstLine="1416"/>
        <w:rPr>
          <w:rFonts w:ascii="仿宋" w:hAnsi="仿宋" w:eastAsia="仿宋" w:cs="仿宋"/>
          <w:color w:val="auto"/>
          <w:sz w:val="24"/>
          <w:szCs w:val="24"/>
          <w:highlight w:val="none"/>
        </w:rPr>
      </w:pPr>
      <w:r>
        <w:rPr>
          <w:rFonts w:ascii="仿宋" w:hAnsi="仿宋" w:eastAsia="仿宋" w:cs="仿宋"/>
          <w:color w:val="auto"/>
          <w:spacing w:val="-11"/>
          <w:sz w:val="28"/>
          <w:szCs w:val="28"/>
          <w:highlight w:val="none"/>
        </w:rPr>
        <w:t>四、联合投标协议书（本次不接受联合体</w:t>
      </w:r>
      <w:r>
        <w:rPr>
          <w:rFonts w:ascii="仿宋" w:hAnsi="仿宋" w:eastAsia="仿宋" w:cs="仿宋"/>
          <w:color w:val="auto"/>
          <w:spacing w:val="-17"/>
          <w:sz w:val="28"/>
          <w:szCs w:val="28"/>
          <w:highlight w:val="none"/>
        </w:rPr>
        <w:t>投标）</w:t>
      </w:r>
      <w:r>
        <w:rPr>
          <w:rFonts w:ascii="仿宋" w:hAnsi="仿宋" w:eastAsia="仿宋" w:cs="仿宋"/>
          <w:color w:val="auto"/>
          <w:spacing w:val="56"/>
          <w:sz w:val="28"/>
          <w:szCs w:val="28"/>
          <w:highlight w:val="none"/>
        </w:rPr>
        <w:t xml:space="preserve"> </w:t>
      </w:r>
      <w:r>
        <w:rPr>
          <w:rFonts w:ascii="仿宋" w:hAnsi="仿宋" w:eastAsia="仿宋" w:cs="仿宋"/>
          <w:color w:val="auto"/>
          <w:spacing w:val="-17"/>
          <w:sz w:val="24"/>
          <w:szCs w:val="24"/>
          <w:highlight w:val="none"/>
        </w:rPr>
        <w:t>甲方：</w:t>
      </w:r>
    </w:p>
    <w:p w14:paraId="433AC471">
      <w:pPr>
        <w:spacing w:before="64" w:line="224" w:lineRule="auto"/>
        <w:ind w:left="579"/>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乙方：</w:t>
      </w:r>
    </w:p>
    <w:p w14:paraId="39424ABB">
      <w:pPr>
        <w:spacing w:before="143" w:line="222" w:lineRule="auto"/>
        <w:ind w:left="543"/>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（如果有的话，可按照甲、乙、丙、丁…序列增加）</w:t>
      </w:r>
    </w:p>
    <w:p w14:paraId="498115D2">
      <w:pPr>
        <w:spacing w:before="183" w:line="307" w:lineRule="auto"/>
        <w:ind w:left="21" w:right="125" w:firstLine="500"/>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 xml:space="preserve">联合体各方经协商，就响应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55"/>
          <w:sz w:val="24"/>
          <w:szCs w:val="24"/>
          <w:highlight w:val="none"/>
        </w:rPr>
        <w:t xml:space="preserve"> </w:t>
      </w:r>
      <w:r>
        <w:rPr>
          <w:rFonts w:ascii="仿宋" w:hAnsi="仿宋" w:eastAsia="仿宋" w:cs="仿宋"/>
          <w:color w:val="auto"/>
          <w:spacing w:val="-1"/>
          <w:sz w:val="24"/>
          <w:szCs w:val="24"/>
          <w:highlight w:val="none"/>
        </w:rPr>
        <w:t>组织实施的编号为</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3"/>
          <w:sz w:val="24"/>
          <w:szCs w:val="24"/>
          <w:highlight w:val="none"/>
        </w:rPr>
        <w:t>号的招 标活动联合进行投标之事宜，达成如下协议：</w:t>
      </w:r>
    </w:p>
    <w:p w14:paraId="31DDE912">
      <w:pPr>
        <w:spacing w:before="78" w:line="251" w:lineRule="auto"/>
        <w:ind w:left="19" w:right="81" w:firstLine="523"/>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 xml:space="preserve">一、联合体各方一致决定，以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 xml:space="preserve"> 为主办人进行投标，并按照竞争</w:t>
      </w:r>
      <w:r>
        <w:rPr>
          <w:rFonts w:ascii="仿宋" w:hAnsi="仿宋" w:eastAsia="仿宋" w:cs="仿宋"/>
          <w:color w:val="auto"/>
          <w:spacing w:val="-4"/>
          <w:sz w:val="24"/>
          <w:szCs w:val="24"/>
          <w:highlight w:val="none"/>
        </w:rPr>
        <w:t>性磋商 文件的规定分别提交资格文件。</w:t>
      </w:r>
    </w:p>
    <w:p w14:paraId="18091545">
      <w:pPr>
        <w:spacing w:before="224" w:line="285" w:lineRule="auto"/>
        <w:ind w:left="14" w:right="110" w:firstLine="536"/>
        <w:rPr>
          <w:rFonts w:ascii="仿宋" w:hAnsi="仿宋" w:eastAsia="仿宋" w:cs="仿宋"/>
          <w:color w:val="auto"/>
          <w:sz w:val="24"/>
          <w:szCs w:val="24"/>
          <w:highlight w:val="none"/>
        </w:rPr>
      </w:pPr>
      <w:r>
        <w:rPr>
          <w:rFonts w:ascii="仿宋" w:hAnsi="仿宋" w:eastAsia="仿宋" w:cs="仿宋"/>
          <w:color w:val="auto"/>
          <w:sz w:val="24"/>
          <w:szCs w:val="24"/>
          <w:highlight w:val="none"/>
        </w:rPr>
        <w:t>二、在本次投标过程中，主办人的法定代表人或者授权代理人根据竞争性</w:t>
      </w:r>
      <w:r>
        <w:rPr>
          <w:rFonts w:ascii="仿宋" w:hAnsi="仿宋" w:eastAsia="仿宋" w:cs="仿宋"/>
          <w:color w:val="auto"/>
          <w:spacing w:val="-3"/>
          <w:sz w:val="24"/>
          <w:szCs w:val="24"/>
          <w:highlight w:val="none"/>
        </w:rPr>
        <w:t>磋商文 件规定以及投标内容对采购人所作的任何合法承诺，包括书面澄清以及</w:t>
      </w:r>
      <w:r>
        <w:rPr>
          <w:rFonts w:ascii="仿宋" w:hAnsi="仿宋" w:eastAsia="仿宋" w:cs="仿宋"/>
          <w:color w:val="auto"/>
          <w:spacing w:val="-4"/>
          <w:sz w:val="24"/>
          <w:szCs w:val="24"/>
          <w:highlight w:val="none"/>
        </w:rPr>
        <w:t>响应等对联合体 各方均有约束力。如果中标并签订合同，则联合体各方将共同</w:t>
      </w:r>
      <w:r>
        <w:rPr>
          <w:rFonts w:ascii="仿宋" w:hAnsi="仿宋" w:eastAsia="仿宋" w:cs="仿宋"/>
          <w:color w:val="auto"/>
          <w:spacing w:val="-2"/>
          <w:sz w:val="24"/>
          <w:szCs w:val="24"/>
          <w:highlight w:val="none"/>
        </w:rPr>
        <w:t>履行对采购人或者采购代 理机构所负有的</w:t>
      </w:r>
      <w:r>
        <w:rPr>
          <w:rFonts w:ascii="仿宋" w:hAnsi="仿宋" w:eastAsia="仿宋" w:cs="仿宋"/>
          <w:color w:val="auto"/>
          <w:spacing w:val="-3"/>
          <w:sz w:val="24"/>
          <w:szCs w:val="24"/>
          <w:highlight w:val="none"/>
        </w:rPr>
        <w:t>全部义务，并就采购合同约定的事项</w:t>
      </w:r>
      <w:r>
        <w:rPr>
          <w:rFonts w:ascii="仿宋" w:hAnsi="仿宋" w:eastAsia="仿宋" w:cs="仿宋"/>
          <w:color w:val="auto"/>
          <w:spacing w:val="-4"/>
          <w:sz w:val="24"/>
          <w:szCs w:val="24"/>
          <w:highlight w:val="none"/>
        </w:rPr>
        <w:t>对采购人承担连带责任。</w:t>
      </w:r>
    </w:p>
    <w:p w14:paraId="44F91ABB">
      <w:pPr>
        <w:spacing w:before="271" w:line="250" w:lineRule="auto"/>
        <w:ind w:left="21" w:right="81" w:firstLine="528"/>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三、联合体各方保证对主办人为响应本次招标而提供的产品和服务提供全</w:t>
      </w:r>
      <w:r>
        <w:rPr>
          <w:rFonts w:ascii="仿宋" w:hAnsi="仿宋" w:eastAsia="仿宋" w:cs="仿宋"/>
          <w:color w:val="auto"/>
          <w:spacing w:val="-4"/>
          <w:sz w:val="24"/>
          <w:szCs w:val="24"/>
          <w:highlight w:val="none"/>
        </w:rPr>
        <w:t>部质量 保证以及售后服务支持。</w:t>
      </w:r>
    </w:p>
    <w:p w14:paraId="64031779">
      <w:pPr>
        <w:spacing w:before="225" w:line="247" w:lineRule="auto"/>
        <w:ind w:left="592" w:right="2918" w:firstLine="22"/>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四、本次联合投标中，联合体各方承担的工作和义务：</w:t>
      </w:r>
      <w:r>
        <w:rPr>
          <w:rFonts w:ascii="仿宋" w:hAnsi="仿宋" w:eastAsia="仿宋" w:cs="仿宋"/>
          <w:color w:val="auto"/>
          <w:spacing w:val="39"/>
          <w:sz w:val="24"/>
          <w:szCs w:val="24"/>
          <w:highlight w:val="none"/>
        </w:rPr>
        <w:t xml:space="preserve"> </w:t>
      </w:r>
      <w:r>
        <w:rPr>
          <w:rFonts w:ascii="仿宋" w:hAnsi="仿宋" w:eastAsia="仿宋" w:cs="仿宋"/>
          <w:color w:val="auto"/>
          <w:spacing w:val="-11"/>
          <w:sz w:val="24"/>
          <w:szCs w:val="24"/>
          <w:highlight w:val="none"/>
        </w:rPr>
        <w:t>甲方承担的工作和义务为：</w:t>
      </w:r>
    </w:p>
    <w:p w14:paraId="228232FF">
      <w:pPr>
        <w:spacing w:before="198" w:line="220" w:lineRule="auto"/>
        <w:ind w:left="579"/>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乙方承担的工作和义务为：</w:t>
      </w:r>
    </w:p>
    <w:p w14:paraId="31B0DA36">
      <w:pPr>
        <w:spacing w:before="150" w:line="222" w:lineRule="auto"/>
        <w:ind w:left="54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五、有关本次联合投标的其他事宜：</w:t>
      </w:r>
    </w:p>
    <w:p w14:paraId="65CFCE3C">
      <w:pPr>
        <w:spacing w:before="190" w:line="250" w:lineRule="auto"/>
        <w:ind w:left="27" w:right="89" w:firstLine="508"/>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六、本协议提交采购人或者采购代理机构后，联合体各方不得以任何形式</w:t>
      </w:r>
      <w:r>
        <w:rPr>
          <w:rFonts w:ascii="仿宋" w:hAnsi="仿宋" w:eastAsia="仿宋" w:cs="仿宋"/>
          <w:color w:val="auto"/>
          <w:spacing w:val="-4"/>
          <w:sz w:val="24"/>
          <w:szCs w:val="24"/>
          <w:highlight w:val="none"/>
        </w:rPr>
        <w:t>对上述 实质内容进行修改或者撤销。</w:t>
      </w:r>
    </w:p>
    <w:p w14:paraId="3B503733">
      <w:pPr>
        <w:spacing w:before="185" w:line="220" w:lineRule="auto"/>
        <w:ind w:left="543"/>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七、本协议共</w:t>
      </w:r>
      <w:r>
        <w:rPr>
          <w:rFonts w:ascii="仿宋" w:hAnsi="仿宋" w:eastAsia="仿宋" w:cs="仿宋"/>
          <w:color w:val="auto"/>
          <w:spacing w:val="114"/>
          <w:sz w:val="24"/>
          <w:szCs w:val="24"/>
          <w:highlight w:val="none"/>
          <w:u w:val="single" w:color="auto"/>
        </w:rPr>
        <w:t xml:space="preserve"> </w:t>
      </w:r>
      <w:r>
        <w:rPr>
          <w:rFonts w:ascii="仿宋" w:hAnsi="仿宋" w:eastAsia="仿宋" w:cs="仿宋"/>
          <w:color w:val="auto"/>
          <w:spacing w:val="-70"/>
          <w:sz w:val="24"/>
          <w:szCs w:val="24"/>
          <w:highlight w:val="none"/>
        </w:rPr>
        <w:t xml:space="preserve"> </w:t>
      </w:r>
      <w:r>
        <w:rPr>
          <w:rFonts w:ascii="仿宋" w:hAnsi="仿宋" w:eastAsia="仿宋" w:cs="仿宋"/>
          <w:color w:val="auto"/>
          <w:spacing w:val="-3"/>
          <w:sz w:val="24"/>
          <w:szCs w:val="24"/>
          <w:highlight w:val="none"/>
        </w:rPr>
        <w:t>份，联合体各方各持一份，并作</w:t>
      </w:r>
      <w:r>
        <w:rPr>
          <w:rFonts w:ascii="仿宋" w:hAnsi="仿宋" w:eastAsia="仿宋" w:cs="仿宋"/>
          <w:color w:val="auto"/>
          <w:spacing w:val="-4"/>
          <w:sz w:val="24"/>
          <w:szCs w:val="24"/>
          <w:highlight w:val="none"/>
        </w:rPr>
        <w:t>为响应文件的一部分。</w:t>
      </w:r>
    </w:p>
    <w:p w14:paraId="77FA4951">
      <w:pPr>
        <w:spacing w:before="31"/>
        <w:rPr>
          <w:color w:val="auto"/>
          <w:highlight w:val="none"/>
        </w:rPr>
      </w:pPr>
    </w:p>
    <w:p w14:paraId="51943DC1">
      <w:pPr>
        <w:spacing w:before="31"/>
        <w:rPr>
          <w:color w:val="auto"/>
          <w:highlight w:val="none"/>
        </w:rPr>
      </w:pPr>
    </w:p>
    <w:p w14:paraId="23F772D5">
      <w:pPr>
        <w:rPr>
          <w:color w:val="auto"/>
          <w:highlight w:val="none"/>
        </w:rPr>
        <w:sectPr>
          <w:footerReference r:id="rId66" w:type="default"/>
          <w:pgSz w:w="11906" w:h="16840"/>
          <w:pgMar w:top="400" w:right="1770" w:bottom="1157" w:left="1785" w:header="0" w:footer="911" w:gutter="0"/>
          <w:pgNumType w:fmt="decimal"/>
          <w:cols w:equalWidth="0" w:num="1">
            <w:col w:w="8350"/>
          </w:cols>
        </w:sectPr>
      </w:pPr>
    </w:p>
    <w:p w14:paraId="3805160B">
      <w:pPr>
        <w:spacing w:before="51" w:line="221" w:lineRule="auto"/>
        <w:ind w:left="114"/>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甲方单位：</w:t>
      </w:r>
    </w:p>
    <w:p w14:paraId="379C8D32">
      <w:pPr>
        <w:spacing w:before="83" w:line="223" w:lineRule="auto"/>
        <w:ind w:left="42"/>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法定代表人：</w:t>
      </w:r>
    </w:p>
    <w:p w14:paraId="35767BAB">
      <w:pPr>
        <w:pStyle w:val="3"/>
        <w:spacing w:line="14" w:lineRule="auto"/>
        <w:rPr>
          <w:color w:val="auto"/>
          <w:sz w:val="2"/>
          <w:highlight w:val="none"/>
        </w:rPr>
      </w:pPr>
      <w:r>
        <w:rPr>
          <w:color w:val="auto"/>
          <w:sz w:val="2"/>
          <w:szCs w:val="2"/>
          <w:highlight w:val="none"/>
        </w:rPr>
        <w:br w:type="column"/>
      </w:r>
    </w:p>
    <w:p w14:paraId="1731BAED">
      <w:pPr>
        <w:spacing w:before="70" w:line="222" w:lineRule="auto"/>
        <w:ind w:left="7"/>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（公章）</w:t>
      </w:r>
    </w:p>
    <w:p w14:paraId="2E5B06D2">
      <w:pPr>
        <w:spacing w:before="35" w:line="222" w:lineRule="auto"/>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（签章）</w:t>
      </w:r>
    </w:p>
    <w:p w14:paraId="431FA451">
      <w:pPr>
        <w:pStyle w:val="3"/>
        <w:spacing w:line="14" w:lineRule="auto"/>
        <w:rPr>
          <w:color w:val="auto"/>
          <w:sz w:val="2"/>
          <w:highlight w:val="none"/>
        </w:rPr>
      </w:pPr>
      <w:r>
        <w:rPr>
          <w:color w:val="auto"/>
          <w:sz w:val="2"/>
          <w:szCs w:val="2"/>
          <w:highlight w:val="none"/>
        </w:rPr>
        <w:br w:type="column"/>
      </w:r>
    </w:p>
    <w:p w14:paraId="50996371">
      <w:pPr>
        <w:spacing w:before="48" w:line="221" w:lineRule="auto"/>
        <w:ind w:left="26"/>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乙方单位：</w:t>
      </w:r>
    </w:p>
    <w:p w14:paraId="40261916">
      <w:pPr>
        <w:spacing w:before="85" w:line="223" w:lineRule="auto"/>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法定代表人：</w:t>
      </w:r>
    </w:p>
    <w:p w14:paraId="0F6C2DB5">
      <w:pPr>
        <w:pStyle w:val="3"/>
        <w:spacing w:line="14" w:lineRule="auto"/>
        <w:rPr>
          <w:color w:val="auto"/>
          <w:sz w:val="2"/>
          <w:highlight w:val="none"/>
        </w:rPr>
      </w:pPr>
      <w:r>
        <w:rPr>
          <w:color w:val="auto"/>
          <w:sz w:val="2"/>
          <w:szCs w:val="2"/>
          <w:highlight w:val="none"/>
        </w:rPr>
        <w:br w:type="column"/>
      </w:r>
    </w:p>
    <w:p w14:paraId="3E0F0FE7">
      <w:pPr>
        <w:spacing w:before="71" w:line="249" w:lineRule="auto"/>
        <w:ind w:right="751" w:firstLine="7"/>
        <w:jc w:val="both"/>
        <w:rPr>
          <w:rFonts w:ascii="仿宋" w:hAnsi="仿宋" w:eastAsia="仿宋" w:cs="仿宋"/>
          <w:color w:val="auto"/>
          <w:sz w:val="24"/>
          <w:szCs w:val="24"/>
          <w:highlight w:val="none"/>
        </w:rPr>
      </w:pPr>
      <w:r>
        <w:rPr>
          <w:rFonts w:ascii="仿宋" w:hAnsi="仿宋" w:eastAsia="仿宋" w:cs="仿宋"/>
          <w:color w:val="auto"/>
          <w:spacing w:val="-18"/>
          <w:sz w:val="24"/>
          <w:szCs w:val="24"/>
          <w:highlight w:val="none"/>
        </w:rPr>
        <w:t>（公</w:t>
      </w:r>
      <w:r>
        <w:rPr>
          <w:rFonts w:ascii="仿宋" w:hAnsi="仿宋" w:eastAsia="仿宋" w:cs="仿宋"/>
          <w:color w:val="auto"/>
          <w:spacing w:val="-25"/>
          <w:sz w:val="24"/>
          <w:szCs w:val="24"/>
          <w:highlight w:val="none"/>
        </w:rPr>
        <w:t>章）</w:t>
      </w:r>
      <w:r>
        <w:rPr>
          <w:rFonts w:ascii="仿宋" w:hAnsi="仿宋" w:eastAsia="仿宋" w:cs="仿宋"/>
          <w:color w:val="auto"/>
          <w:sz w:val="24"/>
          <w:szCs w:val="24"/>
          <w:highlight w:val="none"/>
        </w:rPr>
        <w:t xml:space="preserve"> </w:t>
      </w:r>
      <w:r>
        <w:rPr>
          <w:rFonts w:ascii="仿宋" w:hAnsi="仿宋" w:eastAsia="仿宋" w:cs="仿宋"/>
          <w:color w:val="auto"/>
          <w:spacing w:val="-17"/>
          <w:sz w:val="24"/>
          <w:szCs w:val="24"/>
          <w:highlight w:val="none"/>
        </w:rPr>
        <w:t>（签</w:t>
      </w:r>
      <w:r>
        <w:rPr>
          <w:rFonts w:ascii="仿宋" w:hAnsi="仿宋" w:eastAsia="仿宋" w:cs="仿宋"/>
          <w:color w:val="auto"/>
          <w:spacing w:val="-25"/>
          <w:sz w:val="24"/>
          <w:szCs w:val="24"/>
          <w:highlight w:val="none"/>
        </w:rPr>
        <w:t>章）</w:t>
      </w:r>
    </w:p>
    <w:p w14:paraId="18FFC418">
      <w:pPr>
        <w:spacing w:line="249" w:lineRule="auto"/>
        <w:rPr>
          <w:rFonts w:ascii="仿宋" w:hAnsi="仿宋" w:eastAsia="仿宋" w:cs="仿宋"/>
          <w:color w:val="auto"/>
          <w:sz w:val="24"/>
          <w:szCs w:val="24"/>
          <w:highlight w:val="none"/>
        </w:rPr>
        <w:sectPr>
          <w:type w:val="continuous"/>
          <w:pgSz w:w="11906" w:h="16840"/>
          <w:pgMar w:top="400" w:right="1770" w:bottom="1157" w:left="1785" w:header="0" w:footer="911" w:gutter="0"/>
          <w:pgNumType w:fmt="decimal"/>
          <w:cols w:equalWidth="0" w:num="4">
            <w:col w:w="1649" w:space="100"/>
            <w:col w:w="3278" w:space="100"/>
            <w:col w:w="1920" w:space="100"/>
            <w:col w:w="1204"/>
          </w:cols>
        </w:sectPr>
      </w:pPr>
    </w:p>
    <w:p w14:paraId="5AAAA7FE">
      <w:pPr>
        <w:pStyle w:val="3"/>
        <w:spacing w:line="242" w:lineRule="auto"/>
        <w:rPr>
          <w:color w:val="auto"/>
          <w:highlight w:val="none"/>
        </w:rPr>
      </w:pPr>
    </w:p>
    <w:p w14:paraId="07F5437A">
      <w:pPr>
        <w:pStyle w:val="3"/>
        <w:spacing w:line="243" w:lineRule="auto"/>
        <w:rPr>
          <w:color w:val="auto"/>
          <w:highlight w:val="none"/>
        </w:rPr>
      </w:pPr>
    </w:p>
    <w:p w14:paraId="4E77E540">
      <w:pPr>
        <w:spacing w:before="78" w:line="189" w:lineRule="auto"/>
        <w:jc w:val="right"/>
        <w:rPr>
          <w:rFonts w:ascii="仿宋" w:hAnsi="仿宋" w:eastAsia="仿宋" w:cs="仿宋"/>
          <w:color w:val="auto"/>
          <w:sz w:val="24"/>
          <w:szCs w:val="24"/>
          <w:highlight w:val="none"/>
        </w:rPr>
      </w:pPr>
      <w:r>
        <w:rPr>
          <w:rFonts w:ascii="仿宋" w:hAnsi="仿宋" w:eastAsia="仿宋" w:cs="仿宋"/>
          <w:color w:val="auto"/>
          <w:spacing w:val="-32"/>
          <w:sz w:val="24"/>
          <w:szCs w:val="24"/>
          <w:highlight w:val="none"/>
        </w:rPr>
        <w:t>日期：</w:t>
      </w:r>
      <w:r>
        <w:rPr>
          <w:rFonts w:ascii="仿宋" w:hAnsi="仿宋" w:eastAsia="仿宋" w:cs="仿宋"/>
          <w:color w:val="auto"/>
          <w:spacing w:val="8"/>
          <w:sz w:val="24"/>
          <w:szCs w:val="24"/>
          <w:highlight w:val="none"/>
        </w:rPr>
        <w:t xml:space="preserve">  </w:t>
      </w:r>
      <w:r>
        <w:rPr>
          <w:rFonts w:ascii="仿宋" w:hAnsi="仿宋" w:eastAsia="仿宋" w:cs="仿宋"/>
          <w:color w:val="auto"/>
          <w:spacing w:val="-32"/>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32"/>
          <w:sz w:val="24"/>
          <w:szCs w:val="24"/>
          <w:highlight w:val="none"/>
        </w:rPr>
        <w:t>月     日</w:t>
      </w:r>
      <w:r>
        <w:rPr>
          <w:rFonts w:ascii="仿宋" w:hAnsi="仿宋" w:eastAsia="仿宋" w:cs="仿宋"/>
          <w:color w:val="auto"/>
          <w:spacing w:val="4"/>
          <w:sz w:val="24"/>
          <w:szCs w:val="24"/>
          <w:highlight w:val="none"/>
        </w:rPr>
        <w:t xml:space="preserve">                          </w:t>
      </w:r>
      <w:r>
        <w:rPr>
          <w:rFonts w:ascii="仿宋" w:hAnsi="仿宋" w:eastAsia="仿宋" w:cs="仿宋"/>
          <w:color w:val="auto"/>
          <w:spacing w:val="-32"/>
          <w:sz w:val="24"/>
          <w:szCs w:val="24"/>
          <w:highlight w:val="none"/>
        </w:rPr>
        <w:t>日期：</w:t>
      </w:r>
      <w:r>
        <w:rPr>
          <w:rFonts w:ascii="仿宋" w:hAnsi="仿宋" w:eastAsia="仿宋" w:cs="仿宋"/>
          <w:color w:val="auto"/>
          <w:spacing w:val="21"/>
          <w:sz w:val="24"/>
          <w:szCs w:val="24"/>
          <w:highlight w:val="none"/>
        </w:rPr>
        <w:t xml:space="preserve">  </w:t>
      </w:r>
      <w:r>
        <w:rPr>
          <w:rFonts w:ascii="仿宋" w:hAnsi="仿宋" w:eastAsia="仿宋" w:cs="仿宋"/>
          <w:color w:val="auto"/>
          <w:spacing w:val="-32"/>
          <w:sz w:val="24"/>
          <w:szCs w:val="24"/>
          <w:highlight w:val="none"/>
        </w:rPr>
        <w:t>年</w:t>
      </w:r>
      <w:r>
        <w:rPr>
          <w:rFonts w:ascii="仿宋" w:hAnsi="仿宋" w:eastAsia="仿宋" w:cs="仿宋"/>
          <w:color w:val="auto"/>
          <w:spacing w:val="13"/>
          <w:sz w:val="24"/>
          <w:szCs w:val="24"/>
          <w:highlight w:val="none"/>
        </w:rPr>
        <w:t xml:space="preserve">  </w:t>
      </w:r>
      <w:r>
        <w:rPr>
          <w:rFonts w:ascii="仿宋" w:hAnsi="仿宋" w:eastAsia="仿宋" w:cs="仿宋"/>
          <w:color w:val="auto"/>
          <w:spacing w:val="-32"/>
          <w:sz w:val="24"/>
          <w:szCs w:val="24"/>
          <w:highlight w:val="none"/>
        </w:rPr>
        <w:t>月     日</w:t>
      </w:r>
    </w:p>
    <w:p w14:paraId="12AAF15C">
      <w:pPr>
        <w:spacing w:line="189" w:lineRule="auto"/>
        <w:rPr>
          <w:rFonts w:ascii="仿宋" w:hAnsi="仿宋" w:eastAsia="仿宋" w:cs="仿宋"/>
          <w:color w:val="auto"/>
          <w:sz w:val="24"/>
          <w:szCs w:val="24"/>
          <w:highlight w:val="none"/>
        </w:rPr>
        <w:sectPr>
          <w:type w:val="continuous"/>
          <w:pgSz w:w="11906" w:h="16840"/>
          <w:pgMar w:top="400" w:right="1770" w:bottom="1157" w:left="1785" w:header="0" w:footer="911" w:gutter="0"/>
          <w:pgNumType w:fmt="decimal"/>
          <w:cols w:equalWidth="0" w:num="1">
            <w:col w:w="8350"/>
          </w:cols>
        </w:sectPr>
      </w:pPr>
    </w:p>
    <w:p w14:paraId="4581A2F1">
      <w:pPr>
        <w:pStyle w:val="3"/>
        <w:spacing w:line="263" w:lineRule="auto"/>
        <w:rPr>
          <w:color w:val="auto"/>
          <w:highlight w:val="none"/>
        </w:rPr>
      </w:pPr>
    </w:p>
    <w:p w14:paraId="3A5AB49F">
      <w:pPr>
        <w:pStyle w:val="3"/>
        <w:spacing w:line="263" w:lineRule="auto"/>
        <w:rPr>
          <w:color w:val="auto"/>
          <w:highlight w:val="none"/>
        </w:rPr>
      </w:pPr>
    </w:p>
    <w:p w14:paraId="44E18DF6">
      <w:pPr>
        <w:pStyle w:val="3"/>
        <w:spacing w:line="263" w:lineRule="auto"/>
        <w:rPr>
          <w:color w:val="auto"/>
          <w:highlight w:val="none"/>
        </w:rPr>
      </w:pPr>
    </w:p>
    <w:p w14:paraId="5774EDBD">
      <w:pPr>
        <w:pStyle w:val="3"/>
        <w:spacing w:line="263" w:lineRule="auto"/>
        <w:rPr>
          <w:color w:val="auto"/>
          <w:highlight w:val="none"/>
        </w:rPr>
      </w:pPr>
    </w:p>
    <w:p w14:paraId="4B3FC710">
      <w:pPr>
        <w:spacing w:before="91" w:line="223" w:lineRule="auto"/>
        <w:ind w:left="3025"/>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五、法定代表人身份证明</w:t>
      </w:r>
    </w:p>
    <w:p w14:paraId="2C156554">
      <w:pPr>
        <w:pStyle w:val="3"/>
        <w:spacing w:line="367" w:lineRule="auto"/>
        <w:rPr>
          <w:color w:val="auto"/>
          <w:highlight w:val="none"/>
        </w:rPr>
      </w:pPr>
    </w:p>
    <w:p w14:paraId="47DFCC51">
      <w:pPr>
        <w:spacing w:before="78" w:line="221" w:lineRule="auto"/>
        <w:ind w:left="35"/>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供应商名称：</w:t>
      </w:r>
      <w:r>
        <w:rPr>
          <w:rFonts w:ascii="仿宋" w:hAnsi="仿宋" w:eastAsia="仿宋" w:cs="仿宋"/>
          <w:color w:val="auto"/>
          <w:sz w:val="24"/>
          <w:szCs w:val="24"/>
          <w:highlight w:val="none"/>
          <w:u w:val="single" w:color="auto"/>
        </w:rPr>
        <w:t xml:space="preserve">                           </w:t>
      </w:r>
    </w:p>
    <w:p w14:paraId="39BD4621">
      <w:pPr>
        <w:spacing w:before="137" w:line="220" w:lineRule="auto"/>
        <w:ind w:left="34"/>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单位性质：</w:t>
      </w:r>
      <w:r>
        <w:rPr>
          <w:rFonts w:ascii="仿宋" w:hAnsi="仿宋" w:eastAsia="仿宋" w:cs="仿宋"/>
          <w:color w:val="auto"/>
          <w:spacing w:val="-8"/>
          <w:sz w:val="24"/>
          <w:szCs w:val="24"/>
          <w:highlight w:val="none"/>
          <w:u w:val="single" w:color="auto"/>
        </w:rPr>
        <w:t xml:space="preserve">                              </w:t>
      </w:r>
    </w:p>
    <w:p w14:paraId="60D26FCC">
      <w:pPr>
        <w:spacing w:before="138" w:line="232" w:lineRule="auto"/>
        <w:ind w:left="30"/>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地址：</w:t>
      </w:r>
      <w:r>
        <w:rPr>
          <w:rFonts w:ascii="仿宋" w:hAnsi="仿宋" w:eastAsia="仿宋" w:cs="仿宋"/>
          <w:color w:val="auto"/>
          <w:spacing w:val="-10"/>
          <w:sz w:val="24"/>
          <w:szCs w:val="24"/>
          <w:highlight w:val="none"/>
          <w:u w:val="single" w:color="auto"/>
        </w:rPr>
        <w:t xml:space="preserve">                                   </w:t>
      </w:r>
    </w:p>
    <w:p w14:paraId="175E1047">
      <w:pPr>
        <w:spacing w:before="124" w:line="222" w:lineRule="auto"/>
        <w:ind w:left="33"/>
        <w:rPr>
          <w:rFonts w:ascii="仿宋" w:hAnsi="仿宋" w:eastAsia="仿宋" w:cs="仿宋"/>
          <w:color w:val="auto"/>
          <w:sz w:val="24"/>
          <w:szCs w:val="24"/>
          <w:highlight w:val="none"/>
        </w:rPr>
      </w:pPr>
      <w:r>
        <w:rPr>
          <w:rFonts w:ascii="仿宋" w:hAnsi="仿宋" w:eastAsia="仿宋" w:cs="仿宋"/>
          <w:color w:val="auto"/>
          <w:spacing w:val="-18"/>
          <w:sz w:val="24"/>
          <w:szCs w:val="24"/>
          <w:highlight w:val="none"/>
        </w:rPr>
        <w:t>成立时间：</w:t>
      </w:r>
      <w:r>
        <w:rPr>
          <w:rFonts w:ascii="仿宋" w:hAnsi="仿宋" w:eastAsia="仿宋" w:cs="仿宋"/>
          <w:color w:val="auto"/>
          <w:spacing w:val="-18"/>
          <w:sz w:val="24"/>
          <w:szCs w:val="24"/>
          <w:highlight w:val="none"/>
          <w:u w:val="single" w:color="auto"/>
        </w:rPr>
        <w:t xml:space="preserve">          </w:t>
      </w:r>
      <w:r>
        <w:rPr>
          <w:rFonts w:ascii="仿宋" w:hAnsi="仿宋" w:eastAsia="仿宋" w:cs="仿宋"/>
          <w:color w:val="auto"/>
          <w:spacing w:val="-42"/>
          <w:sz w:val="24"/>
          <w:szCs w:val="24"/>
          <w:highlight w:val="none"/>
        </w:rPr>
        <w:t xml:space="preserve"> </w:t>
      </w:r>
      <w:r>
        <w:rPr>
          <w:rFonts w:ascii="仿宋" w:hAnsi="仿宋" w:eastAsia="仿宋" w:cs="仿宋"/>
          <w:color w:val="auto"/>
          <w:spacing w:val="-18"/>
          <w:sz w:val="24"/>
          <w:szCs w:val="24"/>
          <w:highlight w:val="none"/>
        </w:rPr>
        <w:t>年</w:t>
      </w:r>
      <w:r>
        <w:rPr>
          <w:rFonts w:ascii="仿宋" w:hAnsi="仿宋" w:eastAsia="仿宋" w:cs="仿宋"/>
          <w:color w:val="auto"/>
          <w:spacing w:val="14"/>
          <w:sz w:val="24"/>
          <w:szCs w:val="24"/>
          <w:highlight w:val="none"/>
          <w:u w:val="single" w:color="auto"/>
        </w:rPr>
        <w:t xml:space="preserve">      </w:t>
      </w:r>
      <w:r>
        <w:rPr>
          <w:rFonts w:ascii="仿宋" w:hAnsi="仿宋" w:eastAsia="仿宋" w:cs="仿宋"/>
          <w:color w:val="auto"/>
          <w:spacing w:val="-33"/>
          <w:sz w:val="24"/>
          <w:szCs w:val="24"/>
          <w:highlight w:val="none"/>
        </w:rPr>
        <w:t xml:space="preserve"> </w:t>
      </w:r>
      <w:r>
        <w:rPr>
          <w:rFonts w:ascii="仿宋" w:hAnsi="仿宋" w:eastAsia="仿宋" w:cs="仿宋"/>
          <w:color w:val="auto"/>
          <w:spacing w:val="-18"/>
          <w:sz w:val="24"/>
          <w:szCs w:val="24"/>
          <w:highlight w:val="none"/>
        </w:rPr>
        <w:t>月</w:t>
      </w:r>
      <w:r>
        <w:rPr>
          <w:rFonts w:ascii="仿宋" w:hAnsi="仿宋" w:eastAsia="仿宋" w:cs="仿宋"/>
          <w:color w:val="auto"/>
          <w:sz w:val="24"/>
          <w:szCs w:val="24"/>
          <w:highlight w:val="none"/>
          <w:u w:val="single" w:color="auto"/>
        </w:rPr>
        <w:t xml:space="preserve">       </w:t>
      </w:r>
    </w:p>
    <w:p w14:paraId="64EE8DFF">
      <w:pPr>
        <w:spacing w:before="136" w:line="222" w:lineRule="auto"/>
        <w:ind w:left="80"/>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日  经营期限：</w:t>
      </w:r>
      <w:r>
        <w:rPr>
          <w:rFonts w:ascii="仿宋" w:hAnsi="仿宋" w:eastAsia="仿宋" w:cs="仿宋"/>
          <w:color w:val="auto"/>
          <w:sz w:val="24"/>
          <w:szCs w:val="24"/>
          <w:highlight w:val="none"/>
          <w:u w:val="single" w:color="auto"/>
        </w:rPr>
        <w:t xml:space="preserve">                         </w:t>
      </w:r>
    </w:p>
    <w:p w14:paraId="1FC111A8">
      <w:pPr>
        <w:pStyle w:val="3"/>
        <w:spacing w:line="257" w:lineRule="auto"/>
        <w:rPr>
          <w:color w:val="auto"/>
          <w:highlight w:val="none"/>
        </w:rPr>
      </w:pPr>
    </w:p>
    <w:p w14:paraId="0FE0F34B">
      <w:pPr>
        <w:pStyle w:val="3"/>
        <w:spacing w:line="258" w:lineRule="auto"/>
        <w:rPr>
          <w:color w:val="auto"/>
          <w:highlight w:val="none"/>
        </w:rPr>
      </w:pPr>
    </w:p>
    <w:p w14:paraId="18EB62BA">
      <w:pPr>
        <w:spacing w:before="79" w:line="220" w:lineRule="auto"/>
        <w:ind w:left="29"/>
        <w:rPr>
          <w:rFonts w:ascii="仿宋" w:hAnsi="仿宋" w:eastAsia="仿宋" w:cs="仿宋"/>
          <w:color w:val="auto"/>
          <w:sz w:val="24"/>
          <w:szCs w:val="24"/>
          <w:highlight w:val="none"/>
        </w:rPr>
      </w:pPr>
      <w:r>
        <w:rPr>
          <w:rFonts w:ascii="仿宋" w:hAnsi="仿宋" w:eastAsia="仿宋" w:cs="仿宋"/>
          <w:color w:val="auto"/>
          <w:spacing w:val="-15"/>
          <w:sz w:val="24"/>
          <w:szCs w:val="24"/>
          <w:highlight w:val="none"/>
        </w:rPr>
        <w:t>姓名：</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77"/>
          <w:sz w:val="24"/>
          <w:szCs w:val="24"/>
          <w:highlight w:val="none"/>
        </w:rPr>
        <w:t xml:space="preserve"> </w:t>
      </w:r>
      <w:r>
        <w:rPr>
          <w:rFonts w:ascii="仿宋" w:hAnsi="仿宋" w:eastAsia="仿宋" w:cs="仿宋"/>
          <w:color w:val="auto"/>
          <w:spacing w:val="-15"/>
          <w:sz w:val="24"/>
          <w:szCs w:val="24"/>
          <w:highlight w:val="none"/>
        </w:rPr>
        <w:t>性别：</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64"/>
          <w:sz w:val="24"/>
          <w:szCs w:val="24"/>
          <w:highlight w:val="none"/>
        </w:rPr>
        <w:t xml:space="preserve"> </w:t>
      </w:r>
      <w:r>
        <w:rPr>
          <w:rFonts w:ascii="仿宋" w:hAnsi="仿宋" w:eastAsia="仿宋" w:cs="仿宋"/>
          <w:color w:val="auto"/>
          <w:spacing w:val="-15"/>
          <w:sz w:val="24"/>
          <w:szCs w:val="24"/>
          <w:highlight w:val="none"/>
        </w:rPr>
        <w:t>年龄：</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75"/>
          <w:sz w:val="24"/>
          <w:szCs w:val="24"/>
          <w:highlight w:val="none"/>
        </w:rPr>
        <w:t xml:space="preserve"> </w:t>
      </w:r>
      <w:r>
        <w:rPr>
          <w:rFonts w:ascii="仿宋" w:hAnsi="仿宋" w:eastAsia="仿宋" w:cs="仿宋"/>
          <w:color w:val="auto"/>
          <w:spacing w:val="-15"/>
          <w:sz w:val="24"/>
          <w:szCs w:val="24"/>
          <w:highlight w:val="none"/>
        </w:rPr>
        <w:t>职务：</w:t>
      </w:r>
      <w:r>
        <w:rPr>
          <w:rFonts w:ascii="仿宋" w:hAnsi="仿宋" w:eastAsia="仿宋" w:cs="仿宋"/>
          <w:color w:val="auto"/>
          <w:sz w:val="24"/>
          <w:szCs w:val="24"/>
          <w:highlight w:val="none"/>
          <w:u w:val="single" w:color="auto"/>
        </w:rPr>
        <w:t xml:space="preserve">        </w:t>
      </w:r>
    </w:p>
    <w:p w14:paraId="016C255B">
      <w:pPr>
        <w:spacing w:before="191" w:line="310" w:lineRule="auto"/>
        <w:ind w:left="513" w:right="1705" w:hanging="455"/>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系</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5"/>
          <w:sz w:val="24"/>
          <w:szCs w:val="24"/>
          <w:highlight w:val="none"/>
        </w:rPr>
        <w:t xml:space="preserve"> （供应商名称）的法定代表</w:t>
      </w:r>
      <w:r>
        <w:rPr>
          <w:rFonts w:ascii="仿宋" w:hAnsi="仿宋" w:eastAsia="仿宋" w:cs="仿宋"/>
          <w:color w:val="auto"/>
          <w:spacing w:val="-9"/>
          <w:sz w:val="24"/>
          <w:szCs w:val="24"/>
          <w:highlight w:val="none"/>
        </w:rPr>
        <w:t>人。</w:t>
      </w:r>
      <w:r>
        <w:rPr>
          <w:rFonts w:ascii="仿宋" w:hAnsi="仿宋" w:eastAsia="仿宋" w:cs="仿宋"/>
          <w:color w:val="auto"/>
          <w:spacing w:val="25"/>
          <w:sz w:val="24"/>
          <w:szCs w:val="24"/>
          <w:highlight w:val="none"/>
        </w:rPr>
        <w:t xml:space="preserve"> </w:t>
      </w:r>
      <w:r>
        <w:rPr>
          <w:rFonts w:ascii="仿宋" w:hAnsi="仿宋" w:eastAsia="仿宋" w:cs="仿宋"/>
          <w:color w:val="auto"/>
          <w:spacing w:val="-9"/>
          <w:sz w:val="24"/>
          <w:szCs w:val="24"/>
          <w:highlight w:val="none"/>
        </w:rPr>
        <w:t>特此证明。</w:t>
      </w:r>
    </w:p>
    <w:p w14:paraId="3FC6CCCF">
      <w:pPr>
        <w:pStyle w:val="3"/>
        <w:spacing w:line="389" w:lineRule="auto"/>
        <w:rPr>
          <w:color w:val="auto"/>
          <w:highlight w:val="none"/>
        </w:rPr>
      </w:pPr>
    </w:p>
    <w:p w14:paraId="43C31BC4">
      <w:pPr>
        <w:spacing w:before="79" w:line="222" w:lineRule="auto"/>
        <w:ind w:left="64"/>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附：法定代表人身份证复印件。</w:t>
      </w:r>
    </w:p>
    <w:p w14:paraId="65DFBA67">
      <w:pPr>
        <w:pStyle w:val="3"/>
        <w:spacing w:line="248" w:lineRule="auto"/>
        <w:rPr>
          <w:color w:val="auto"/>
          <w:highlight w:val="none"/>
        </w:rPr>
      </w:pPr>
    </w:p>
    <w:p w14:paraId="25DFE162">
      <w:pPr>
        <w:pStyle w:val="3"/>
        <w:spacing w:line="248" w:lineRule="auto"/>
        <w:rPr>
          <w:color w:val="auto"/>
          <w:highlight w:val="none"/>
        </w:rPr>
      </w:pPr>
    </w:p>
    <w:p w14:paraId="7B845567">
      <w:pPr>
        <w:pStyle w:val="3"/>
        <w:spacing w:line="248" w:lineRule="auto"/>
        <w:rPr>
          <w:color w:val="auto"/>
          <w:highlight w:val="none"/>
        </w:rPr>
      </w:pPr>
    </w:p>
    <w:p w14:paraId="08A9978A">
      <w:pPr>
        <w:pStyle w:val="3"/>
        <w:spacing w:line="248" w:lineRule="auto"/>
        <w:rPr>
          <w:color w:val="auto"/>
          <w:highlight w:val="none"/>
        </w:rPr>
      </w:pPr>
    </w:p>
    <w:p w14:paraId="3580201D">
      <w:pPr>
        <w:pStyle w:val="3"/>
        <w:spacing w:line="248" w:lineRule="auto"/>
        <w:rPr>
          <w:color w:val="auto"/>
          <w:highlight w:val="none"/>
        </w:rPr>
      </w:pPr>
    </w:p>
    <w:p w14:paraId="04590BDB">
      <w:pPr>
        <w:pStyle w:val="3"/>
        <w:spacing w:line="249" w:lineRule="auto"/>
        <w:rPr>
          <w:color w:val="auto"/>
          <w:highlight w:val="none"/>
        </w:rPr>
      </w:pPr>
    </w:p>
    <w:p w14:paraId="3C067F3D">
      <w:pPr>
        <w:pStyle w:val="3"/>
        <w:spacing w:line="249" w:lineRule="auto"/>
        <w:rPr>
          <w:color w:val="auto"/>
          <w:highlight w:val="none"/>
        </w:rPr>
      </w:pPr>
    </w:p>
    <w:p w14:paraId="281E4060">
      <w:pPr>
        <w:pStyle w:val="3"/>
        <w:spacing w:line="249" w:lineRule="auto"/>
        <w:rPr>
          <w:color w:val="auto"/>
          <w:highlight w:val="none"/>
        </w:rPr>
      </w:pPr>
    </w:p>
    <w:p w14:paraId="26C88FD2">
      <w:pPr>
        <w:pStyle w:val="3"/>
        <w:spacing w:line="249" w:lineRule="auto"/>
        <w:rPr>
          <w:color w:val="auto"/>
          <w:highlight w:val="none"/>
        </w:rPr>
      </w:pPr>
    </w:p>
    <w:p w14:paraId="40873D25">
      <w:pPr>
        <w:pStyle w:val="3"/>
        <w:spacing w:line="249" w:lineRule="auto"/>
        <w:rPr>
          <w:color w:val="auto"/>
          <w:highlight w:val="none"/>
        </w:rPr>
      </w:pPr>
    </w:p>
    <w:p w14:paraId="45FB994E">
      <w:pPr>
        <w:pStyle w:val="3"/>
        <w:spacing w:line="249" w:lineRule="auto"/>
        <w:rPr>
          <w:color w:val="auto"/>
          <w:highlight w:val="none"/>
        </w:rPr>
      </w:pPr>
    </w:p>
    <w:p w14:paraId="645EEA31">
      <w:pPr>
        <w:spacing w:before="79" w:line="223" w:lineRule="auto"/>
        <w:ind w:left="3155"/>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供应商</w:t>
      </w:r>
      <w:r>
        <w:rPr>
          <w:rFonts w:ascii="仿宋" w:hAnsi="仿宋" w:eastAsia="仿宋" w:cs="仿宋"/>
          <w:color w:val="auto"/>
          <w:spacing w:val="-33"/>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3"/>
          <w:sz w:val="24"/>
          <w:szCs w:val="24"/>
          <w:highlight w:val="none"/>
        </w:rPr>
        <w:t>（</w:t>
      </w:r>
      <w:r>
        <w:rPr>
          <w:rFonts w:ascii="仿宋" w:hAnsi="仿宋" w:eastAsia="仿宋" w:cs="仿宋"/>
          <w:color w:val="auto"/>
          <w:spacing w:val="-4"/>
          <w:sz w:val="24"/>
          <w:szCs w:val="24"/>
          <w:highlight w:val="none"/>
        </w:rPr>
        <w:t>公</w:t>
      </w:r>
    </w:p>
    <w:p w14:paraId="1A062524">
      <w:pPr>
        <w:spacing w:before="111" w:line="222" w:lineRule="auto"/>
        <w:ind w:left="3840"/>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 xml:space="preserve">章）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58"/>
          <w:sz w:val="24"/>
          <w:szCs w:val="24"/>
          <w:highlight w:val="none"/>
        </w:rPr>
        <w:t xml:space="preserve"> </w:t>
      </w:r>
      <w:r>
        <w:rPr>
          <w:rFonts w:ascii="仿宋" w:hAnsi="仿宋" w:eastAsia="仿宋" w:cs="仿宋"/>
          <w:color w:val="auto"/>
          <w:spacing w:val="-16"/>
          <w:sz w:val="24"/>
          <w:szCs w:val="24"/>
          <w:highlight w:val="none"/>
        </w:rPr>
        <w:t>年</w:t>
      </w:r>
      <w:r>
        <w:rPr>
          <w:rFonts w:ascii="仿宋" w:hAnsi="仿宋" w:eastAsia="仿宋" w:cs="仿宋"/>
          <w:color w:val="auto"/>
          <w:spacing w:val="18"/>
          <w:sz w:val="24"/>
          <w:szCs w:val="24"/>
          <w:highlight w:val="none"/>
          <w:u w:val="single" w:color="auto"/>
        </w:rPr>
        <w:t xml:space="preserve">     </w:t>
      </w:r>
      <w:r>
        <w:rPr>
          <w:rFonts w:ascii="仿宋" w:hAnsi="仿宋" w:eastAsia="仿宋" w:cs="仿宋"/>
          <w:color w:val="auto"/>
          <w:spacing w:val="-34"/>
          <w:sz w:val="24"/>
          <w:szCs w:val="24"/>
          <w:highlight w:val="none"/>
        </w:rPr>
        <w:t xml:space="preserve"> </w:t>
      </w:r>
      <w:r>
        <w:rPr>
          <w:rFonts w:ascii="仿宋" w:hAnsi="仿宋" w:eastAsia="仿宋" w:cs="仿宋"/>
          <w:color w:val="auto"/>
          <w:spacing w:val="-16"/>
          <w:sz w:val="24"/>
          <w:szCs w:val="24"/>
          <w:highlight w:val="none"/>
        </w:rPr>
        <w:t>月</w:t>
      </w:r>
      <w:r>
        <w:rPr>
          <w:rFonts w:ascii="仿宋" w:hAnsi="仿宋" w:eastAsia="仿宋" w:cs="仿宋"/>
          <w:color w:val="auto"/>
          <w:sz w:val="24"/>
          <w:szCs w:val="24"/>
          <w:highlight w:val="none"/>
          <w:u w:val="single" w:color="auto"/>
        </w:rPr>
        <w:t xml:space="preserve">   </w:t>
      </w:r>
    </w:p>
    <w:p w14:paraId="5552060C">
      <w:pPr>
        <w:spacing w:before="115" w:line="227" w:lineRule="auto"/>
        <w:ind w:left="3889"/>
        <w:rPr>
          <w:rFonts w:ascii="仿宋" w:hAnsi="仿宋" w:eastAsia="仿宋" w:cs="仿宋"/>
          <w:color w:val="auto"/>
          <w:sz w:val="24"/>
          <w:szCs w:val="24"/>
          <w:highlight w:val="none"/>
        </w:rPr>
      </w:pPr>
      <w:r>
        <w:rPr>
          <w:rFonts w:ascii="仿宋" w:hAnsi="仿宋" w:eastAsia="仿宋" w:cs="仿宋"/>
          <w:color w:val="auto"/>
          <w:sz w:val="24"/>
          <w:szCs w:val="24"/>
          <w:highlight w:val="none"/>
        </w:rPr>
        <w:t>日</w:t>
      </w:r>
    </w:p>
    <w:p w14:paraId="12253472">
      <w:pPr>
        <w:pStyle w:val="3"/>
        <w:spacing w:line="266" w:lineRule="auto"/>
        <w:rPr>
          <w:color w:val="auto"/>
          <w:highlight w:val="none"/>
        </w:rPr>
      </w:pPr>
    </w:p>
    <w:p w14:paraId="67B2FFE5">
      <w:pPr>
        <w:pStyle w:val="3"/>
        <w:spacing w:line="266" w:lineRule="auto"/>
        <w:rPr>
          <w:color w:val="auto"/>
          <w:highlight w:val="none"/>
        </w:rPr>
      </w:pPr>
    </w:p>
    <w:p w14:paraId="6D438842">
      <w:pPr>
        <w:pStyle w:val="3"/>
        <w:spacing w:line="266" w:lineRule="auto"/>
        <w:rPr>
          <w:color w:val="auto"/>
          <w:highlight w:val="none"/>
        </w:rPr>
      </w:pPr>
    </w:p>
    <w:p w14:paraId="556C3DF7">
      <w:pPr>
        <w:pStyle w:val="3"/>
        <w:spacing w:line="266" w:lineRule="auto"/>
        <w:rPr>
          <w:color w:val="auto"/>
          <w:highlight w:val="none"/>
        </w:rPr>
      </w:pPr>
    </w:p>
    <w:p w14:paraId="769D1E63">
      <w:pPr>
        <w:spacing w:before="59" w:line="229" w:lineRule="auto"/>
        <w:ind w:left="7"/>
        <w:rPr>
          <w:rFonts w:ascii="宋体" w:hAnsi="宋体" w:eastAsia="宋体" w:cs="宋体"/>
          <w:color w:val="auto"/>
          <w:sz w:val="18"/>
          <w:szCs w:val="18"/>
          <w:highlight w:val="none"/>
        </w:rPr>
      </w:pPr>
      <w:r>
        <w:rPr>
          <w:rFonts w:ascii="宋体" w:hAnsi="宋体" w:eastAsia="宋体" w:cs="宋体"/>
          <w:b/>
          <w:bCs/>
          <w:color w:val="auto"/>
          <w:spacing w:val="17"/>
          <w:sz w:val="18"/>
          <w:szCs w:val="18"/>
          <w:highlight w:val="none"/>
        </w:rPr>
        <w:t>注</w:t>
      </w:r>
      <w:r>
        <w:rPr>
          <w:rFonts w:ascii="宋体" w:hAnsi="宋体" w:eastAsia="宋体" w:cs="宋体"/>
          <w:color w:val="auto"/>
          <w:spacing w:val="-43"/>
          <w:sz w:val="18"/>
          <w:szCs w:val="18"/>
          <w:highlight w:val="none"/>
        </w:rPr>
        <w:t xml:space="preserve"> </w:t>
      </w:r>
      <w:r>
        <w:rPr>
          <w:rFonts w:ascii="宋体" w:hAnsi="宋体" w:eastAsia="宋体" w:cs="宋体"/>
          <w:b/>
          <w:bCs/>
          <w:color w:val="auto"/>
          <w:spacing w:val="17"/>
          <w:sz w:val="18"/>
          <w:szCs w:val="18"/>
          <w:highlight w:val="none"/>
        </w:rPr>
        <w:t>：</w:t>
      </w:r>
      <w:r>
        <w:rPr>
          <w:rFonts w:ascii="宋体" w:hAnsi="宋体" w:eastAsia="宋体" w:cs="宋体"/>
          <w:color w:val="auto"/>
          <w:spacing w:val="17"/>
          <w:sz w:val="18"/>
          <w:szCs w:val="18"/>
          <w:highlight w:val="none"/>
        </w:rPr>
        <w:t xml:space="preserve"> </w:t>
      </w:r>
      <w:r>
        <w:rPr>
          <w:rFonts w:ascii="宋体" w:hAnsi="宋体" w:eastAsia="宋体" w:cs="宋体"/>
          <w:b/>
          <w:bCs/>
          <w:color w:val="auto"/>
          <w:spacing w:val="17"/>
          <w:sz w:val="18"/>
          <w:szCs w:val="18"/>
          <w:highlight w:val="none"/>
        </w:rPr>
        <w:t>1</w:t>
      </w:r>
      <w:r>
        <w:rPr>
          <w:rFonts w:ascii="宋体" w:hAnsi="宋体" w:eastAsia="宋体" w:cs="宋体"/>
          <w:color w:val="auto"/>
          <w:spacing w:val="-54"/>
          <w:sz w:val="18"/>
          <w:szCs w:val="18"/>
          <w:highlight w:val="none"/>
        </w:rPr>
        <w:t xml:space="preserve"> </w:t>
      </w:r>
      <w:r>
        <w:rPr>
          <w:rFonts w:ascii="宋体" w:hAnsi="宋体" w:eastAsia="宋体" w:cs="宋体"/>
          <w:b/>
          <w:bCs/>
          <w:color w:val="auto"/>
          <w:spacing w:val="17"/>
          <w:sz w:val="18"/>
          <w:szCs w:val="18"/>
          <w:highlight w:val="none"/>
        </w:rPr>
        <w:t>、法定代表人参加本次投标的应签署本文件并附本人身份证复印件；</w:t>
      </w:r>
    </w:p>
    <w:p w14:paraId="42C59652">
      <w:pPr>
        <w:spacing w:before="249" w:line="229" w:lineRule="auto"/>
        <w:ind w:left="434"/>
        <w:rPr>
          <w:rFonts w:ascii="宋体" w:hAnsi="宋体" w:eastAsia="宋体" w:cs="宋体"/>
          <w:color w:val="auto"/>
          <w:sz w:val="18"/>
          <w:szCs w:val="18"/>
          <w:highlight w:val="none"/>
        </w:rPr>
      </w:pPr>
      <w:r>
        <w:rPr>
          <w:rFonts w:ascii="宋体" w:hAnsi="宋体" w:eastAsia="宋体" w:cs="宋体"/>
          <w:b/>
          <w:bCs/>
          <w:color w:val="auto"/>
          <w:spacing w:val="20"/>
          <w:sz w:val="18"/>
          <w:szCs w:val="18"/>
          <w:highlight w:val="none"/>
        </w:rPr>
        <w:t>2.如法定代表人不参加本次投标</w:t>
      </w:r>
      <w:r>
        <w:rPr>
          <w:rFonts w:ascii="宋体" w:hAnsi="宋体" w:eastAsia="宋体" w:cs="宋体"/>
          <w:color w:val="auto"/>
          <w:spacing w:val="-53"/>
          <w:sz w:val="18"/>
          <w:szCs w:val="18"/>
          <w:highlight w:val="none"/>
        </w:rPr>
        <w:t xml:space="preserve"> </w:t>
      </w:r>
      <w:r>
        <w:rPr>
          <w:rFonts w:ascii="宋体" w:hAnsi="宋体" w:eastAsia="宋体" w:cs="宋体"/>
          <w:b/>
          <w:bCs/>
          <w:color w:val="auto"/>
          <w:spacing w:val="20"/>
          <w:sz w:val="18"/>
          <w:szCs w:val="18"/>
          <w:highlight w:val="none"/>
        </w:rPr>
        <w:t>，应签署《法定代</w:t>
      </w:r>
      <w:r>
        <w:rPr>
          <w:rFonts w:ascii="宋体" w:hAnsi="宋体" w:eastAsia="宋体" w:cs="宋体"/>
          <w:b/>
          <w:bCs/>
          <w:color w:val="auto"/>
          <w:spacing w:val="19"/>
          <w:sz w:val="18"/>
          <w:szCs w:val="18"/>
          <w:highlight w:val="none"/>
        </w:rPr>
        <w:t>表人授权委托书》</w:t>
      </w:r>
      <w:r>
        <w:rPr>
          <w:rFonts w:ascii="宋体" w:hAnsi="宋体" w:eastAsia="宋体" w:cs="宋体"/>
          <w:color w:val="auto"/>
          <w:spacing w:val="-51"/>
          <w:sz w:val="18"/>
          <w:szCs w:val="18"/>
          <w:highlight w:val="none"/>
        </w:rPr>
        <w:t xml:space="preserve"> </w:t>
      </w:r>
      <w:r>
        <w:rPr>
          <w:rFonts w:ascii="宋体" w:hAnsi="宋体" w:eastAsia="宋体" w:cs="宋体"/>
          <w:b/>
          <w:bCs/>
          <w:color w:val="auto"/>
          <w:spacing w:val="19"/>
          <w:sz w:val="18"/>
          <w:szCs w:val="18"/>
          <w:highlight w:val="none"/>
        </w:rPr>
        <w:t>。</w:t>
      </w:r>
    </w:p>
    <w:p w14:paraId="38A25E81">
      <w:pPr>
        <w:spacing w:line="229" w:lineRule="auto"/>
        <w:rPr>
          <w:rFonts w:ascii="宋体" w:hAnsi="宋体" w:eastAsia="宋体" w:cs="宋体"/>
          <w:color w:val="auto"/>
          <w:sz w:val="18"/>
          <w:szCs w:val="18"/>
          <w:highlight w:val="none"/>
        </w:rPr>
        <w:sectPr>
          <w:footerReference r:id="rId67" w:type="default"/>
          <w:pgSz w:w="11906" w:h="16840"/>
          <w:pgMar w:top="400" w:right="1785" w:bottom="1157" w:left="1785" w:header="0" w:footer="911" w:gutter="0"/>
          <w:pgNumType w:fmt="decimal"/>
          <w:cols w:space="720" w:num="1"/>
        </w:sectPr>
      </w:pPr>
    </w:p>
    <w:p w14:paraId="5F35B16D">
      <w:pPr>
        <w:pStyle w:val="3"/>
        <w:spacing w:line="263" w:lineRule="auto"/>
        <w:rPr>
          <w:color w:val="auto"/>
          <w:highlight w:val="none"/>
        </w:rPr>
      </w:pPr>
    </w:p>
    <w:p w14:paraId="1D3E51ED">
      <w:pPr>
        <w:pStyle w:val="3"/>
        <w:spacing w:line="263" w:lineRule="auto"/>
        <w:rPr>
          <w:color w:val="auto"/>
          <w:highlight w:val="none"/>
        </w:rPr>
      </w:pPr>
    </w:p>
    <w:p w14:paraId="3C388826">
      <w:pPr>
        <w:pStyle w:val="3"/>
        <w:spacing w:line="263" w:lineRule="auto"/>
        <w:rPr>
          <w:color w:val="auto"/>
          <w:highlight w:val="none"/>
        </w:rPr>
      </w:pPr>
    </w:p>
    <w:p w14:paraId="200DDDD0">
      <w:pPr>
        <w:pStyle w:val="3"/>
        <w:spacing w:line="263" w:lineRule="auto"/>
        <w:rPr>
          <w:color w:val="auto"/>
          <w:highlight w:val="none"/>
        </w:rPr>
      </w:pPr>
    </w:p>
    <w:p w14:paraId="1A20422B">
      <w:pPr>
        <w:spacing w:before="91" w:line="223" w:lineRule="auto"/>
        <w:ind w:left="2922"/>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五</w:t>
      </w:r>
      <w:r>
        <w:rPr>
          <w:rFonts w:ascii="仿宋" w:hAnsi="仿宋" w:eastAsia="仿宋" w:cs="仿宋"/>
          <w:color w:val="auto"/>
          <w:spacing w:val="-6"/>
          <w:sz w:val="24"/>
          <w:szCs w:val="24"/>
          <w:highlight w:val="none"/>
        </w:rPr>
        <w:t>、</w:t>
      </w:r>
      <w:r>
        <w:rPr>
          <w:rFonts w:ascii="仿宋" w:hAnsi="仿宋" w:eastAsia="仿宋" w:cs="仿宋"/>
          <w:color w:val="auto"/>
          <w:spacing w:val="-6"/>
          <w:sz w:val="28"/>
          <w:szCs w:val="28"/>
          <w:highlight w:val="none"/>
        </w:rPr>
        <w:t>法定代表人授权委托书</w:t>
      </w:r>
    </w:p>
    <w:p w14:paraId="57E10484">
      <w:pPr>
        <w:pStyle w:val="3"/>
        <w:spacing w:line="243" w:lineRule="auto"/>
        <w:rPr>
          <w:color w:val="auto"/>
          <w:highlight w:val="none"/>
        </w:rPr>
      </w:pPr>
    </w:p>
    <w:p w14:paraId="4D4EB5BD">
      <w:pPr>
        <w:pStyle w:val="3"/>
        <w:spacing w:line="244" w:lineRule="auto"/>
        <w:rPr>
          <w:color w:val="auto"/>
          <w:highlight w:val="none"/>
        </w:rPr>
      </w:pPr>
    </w:p>
    <w:p w14:paraId="088F325B">
      <w:pPr>
        <w:tabs>
          <w:tab w:val="left" w:pos="750"/>
        </w:tabs>
        <w:spacing w:before="78" w:line="222" w:lineRule="auto"/>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32"/>
          <w:w w:val="78"/>
          <w:sz w:val="24"/>
          <w:szCs w:val="24"/>
          <w:highlight w:val="none"/>
          <w:u w:val="single" w:color="auto"/>
        </w:rPr>
        <w:t>（采购人</w:t>
      </w:r>
      <w:r>
        <w:rPr>
          <w:rFonts w:ascii="仿宋" w:hAnsi="仿宋" w:eastAsia="仿宋" w:cs="仿宋"/>
          <w:color w:val="auto"/>
          <w:spacing w:val="-15"/>
          <w:sz w:val="24"/>
          <w:szCs w:val="24"/>
          <w:highlight w:val="none"/>
          <w:u w:val="single" w:color="auto"/>
        </w:rPr>
        <w:t>）</w:t>
      </w:r>
      <w:r>
        <w:rPr>
          <w:rFonts w:ascii="仿宋" w:hAnsi="仿宋" w:eastAsia="仿宋" w:cs="仿宋"/>
          <w:color w:val="auto"/>
          <w:spacing w:val="107"/>
          <w:sz w:val="24"/>
          <w:szCs w:val="24"/>
          <w:highlight w:val="none"/>
          <w:u w:val="single" w:color="auto"/>
        </w:rPr>
        <w:t xml:space="preserve"> </w:t>
      </w:r>
      <w:r>
        <w:rPr>
          <w:rFonts w:ascii="仿宋" w:hAnsi="仿宋" w:eastAsia="仿宋" w:cs="仿宋"/>
          <w:color w:val="auto"/>
          <w:spacing w:val="-15"/>
          <w:sz w:val="24"/>
          <w:szCs w:val="24"/>
          <w:highlight w:val="none"/>
        </w:rPr>
        <w:t>：</w:t>
      </w:r>
    </w:p>
    <w:p w14:paraId="2490BC4A">
      <w:pPr>
        <w:tabs>
          <w:tab w:val="left" w:pos="165"/>
          <w:tab w:val="left" w:pos="8165"/>
        </w:tabs>
        <w:spacing w:before="183" w:line="316" w:lineRule="auto"/>
        <w:ind w:left="28" w:right="59" w:firstLine="524"/>
        <w:jc w:val="both"/>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我</w:t>
      </w:r>
      <w:r>
        <w:rPr>
          <w:rFonts w:ascii="仿宋" w:hAnsi="仿宋" w:eastAsia="仿宋" w:cs="仿宋"/>
          <w:color w:val="auto"/>
          <w:spacing w:val="35"/>
          <w:sz w:val="24"/>
          <w:szCs w:val="24"/>
          <w:highlight w:val="none"/>
          <w:u w:val="single" w:color="auto"/>
        </w:rPr>
        <w:t xml:space="preserve">  </w:t>
      </w:r>
      <w:r>
        <w:rPr>
          <w:rFonts w:ascii="仿宋" w:hAnsi="仿宋" w:eastAsia="仿宋" w:cs="仿宋"/>
          <w:color w:val="auto"/>
          <w:spacing w:val="-7"/>
          <w:sz w:val="24"/>
          <w:szCs w:val="24"/>
          <w:highlight w:val="none"/>
          <w:u w:val="single" w:color="auto"/>
        </w:rPr>
        <w:t>（姓名）</w:t>
      </w:r>
      <w:r>
        <w:rPr>
          <w:rFonts w:ascii="仿宋" w:hAnsi="仿宋" w:eastAsia="仿宋" w:cs="仿宋"/>
          <w:color w:val="auto"/>
          <w:spacing w:val="-46"/>
          <w:sz w:val="24"/>
          <w:szCs w:val="24"/>
          <w:highlight w:val="none"/>
          <w:u w:val="single" w:color="auto"/>
        </w:rPr>
        <w:t xml:space="preserve"> </w:t>
      </w:r>
      <w:r>
        <w:rPr>
          <w:rFonts w:ascii="仿宋" w:hAnsi="仿宋" w:eastAsia="仿宋" w:cs="仿宋"/>
          <w:color w:val="auto"/>
          <w:spacing w:val="-46"/>
          <w:sz w:val="24"/>
          <w:szCs w:val="24"/>
          <w:highlight w:val="none"/>
        </w:rPr>
        <w:t xml:space="preserve"> </w:t>
      </w:r>
      <w:r>
        <w:rPr>
          <w:rFonts w:ascii="仿宋" w:hAnsi="仿宋" w:eastAsia="仿宋" w:cs="仿宋"/>
          <w:color w:val="auto"/>
          <w:spacing w:val="-7"/>
          <w:sz w:val="24"/>
          <w:szCs w:val="24"/>
          <w:highlight w:val="none"/>
        </w:rPr>
        <w:t>系</w:t>
      </w:r>
      <w:r>
        <w:rPr>
          <w:rFonts w:ascii="仿宋" w:hAnsi="仿宋" w:eastAsia="仿宋" w:cs="仿宋"/>
          <w:color w:val="auto"/>
          <w:spacing w:val="24"/>
          <w:sz w:val="24"/>
          <w:szCs w:val="24"/>
          <w:highlight w:val="none"/>
          <w:u w:val="single" w:color="auto"/>
        </w:rPr>
        <w:t xml:space="preserve">   </w:t>
      </w:r>
      <w:r>
        <w:rPr>
          <w:rFonts w:ascii="仿宋" w:hAnsi="仿宋" w:eastAsia="仿宋" w:cs="仿宋"/>
          <w:color w:val="auto"/>
          <w:spacing w:val="-7"/>
          <w:sz w:val="24"/>
          <w:szCs w:val="24"/>
          <w:highlight w:val="none"/>
          <w:u w:val="single" w:color="auto"/>
        </w:rPr>
        <w:t>（供应商名称）</w:t>
      </w:r>
      <w:r>
        <w:rPr>
          <w:rFonts w:ascii="仿宋" w:hAnsi="仿宋" w:eastAsia="仿宋" w:cs="仿宋"/>
          <w:color w:val="auto"/>
          <w:spacing w:val="-7"/>
          <w:sz w:val="24"/>
          <w:szCs w:val="24"/>
          <w:highlight w:val="none"/>
        </w:rPr>
        <w:t>法定代表人，现授权委托我公司的</w:t>
      </w:r>
      <w:r>
        <w:rPr>
          <w:rFonts w:ascii="仿宋" w:hAnsi="仿宋" w:eastAsia="仿宋" w:cs="仿宋"/>
          <w:color w:val="auto"/>
          <w:sz w:val="24"/>
          <w:szCs w:val="24"/>
          <w:highlight w:val="none"/>
          <w:u w:val="single" w:color="auto"/>
        </w:rPr>
        <w:tab/>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color="auto"/>
        </w:rPr>
        <w:tab/>
      </w:r>
      <w:r>
        <w:rPr>
          <w:rFonts w:ascii="仿宋" w:hAnsi="仿宋" w:eastAsia="仿宋" w:cs="仿宋"/>
          <w:color w:val="auto"/>
          <w:spacing w:val="-8"/>
          <w:sz w:val="24"/>
          <w:szCs w:val="24"/>
          <w:highlight w:val="none"/>
          <w:u w:val="single" w:color="auto"/>
        </w:rPr>
        <w:t>（姓名、 职务或者职称）</w:t>
      </w:r>
      <w:r>
        <w:rPr>
          <w:rFonts w:ascii="仿宋" w:hAnsi="仿宋" w:eastAsia="仿宋" w:cs="仿宋"/>
          <w:color w:val="auto"/>
          <w:spacing w:val="-8"/>
          <w:sz w:val="24"/>
          <w:szCs w:val="24"/>
          <w:highlight w:val="none"/>
        </w:rPr>
        <w:t>为我公司本次</w:t>
      </w:r>
      <w:r>
        <w:rPr>
          <w:rFonts w:ascii="仿宋" w:hAnsi="仿宋" w:eastAsia="仿宋" w:cs="仿宋"/>
          <w:color w:val="auto"/>
          <w:spacing w:val="-8"/>
          <w:sz w:val="24"/>
          <w:szCs w:val="24"/>
          <w:highlight w:val="none"/>
          <w:u w:val="single" w:color="auto"/>
        </w:rPr>
        <w:t xml:space="preserve"> </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52"/>
          <w:sz w:val="24"/>
          <w:szCs w:val="24"/>
          <w:highlight w:val="none"/>
        </w:rPr>
        <w:t xml:space="preserve"> </w:t>
      </w:r>
      <w:r>
        <w:rPr>
          <w:rFonts w:ascii="仿宋" w:hAnsi="仿宋" w:eastAsia="仿宋" w:cs="仿宋"/>
          <w:color w:val="auto"/>
          <w:spacing w:val="-9"/>
          <w:sz w:val="24"/>
          <w:szCs w:val="24"/>
          <w:highlight w:val="none"/>
        </w:rPr>
        <w:t>项目的授权代表，代表我</w:t>
      </w:r>
      <w:r>
        <w:rPr>
          <w:rFonts w:ascii="仿宋" w:hAnsi="仿宋" w:eastAsia="仿宋" w:cs="仿宋"/>
          <w:color w:val="auto"/>
          <w:spacing w:val="-3"/>
          <w:sz w:val="24"/>
          <w:szCs w:val="24"/>
          <w:highlight w:val="none"/>
        </w:rPr>
        <w:t>方办理本次投标、 签约等相关事宜，签署全部有关的文件、协议、合同并具有</w:t>
      </w:r>
      <w:r>
        <w:rPr>
          <w:rFonts w:ascii="仿宋" w:hAnsi="仿宋" w:eastAsia="仿宋" w:cs="仿宋"/>
          <w:color w:val="auto"/>
          <w:spacing w:val="-2"/>
          <w:sz w:val="24"/>
          <w:szCs w:val="24"/>
          <w:highlight w:val="none"/>
        </w:rPr>
        <w:t>法律效力。</w:t>
      </w:r>
    </w:p>
    <w:p w14:paraId="0ED49258">
      <w:pPr>
        <w:spacing w:before="82" w:line="219" w:lineRule="auto"/>
        <w:ind w:left="531"/>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在我方未发出撤销授权委托书的书面通知以前</w:t>
      </w:r>
      <w:r>
        <w:rPr>
          <w:rFonts w:ascii="仿宋" w:hAnsi="仿宋" w:eastAsia="仿宋" w:cs="仿宋"/>
          <w:color w:val="auto"/>
          <w:spacing w:val="-5"/>
          <w:sz w:val="24"/>
          <w:szCs w:val="24"/>
          <w:highlight w:val="none"/>
        </w:rPr>
        <w:t>，本授权委托书一直有效。</w:t>
      </w:r>
    </w:p>
    <w:p w14:paraId="71815D68">
      <w:pPr>
        <w:spacing w:before="109" w:line="219" w:lineRule="auto"/>
        <w:ind w:left="59"/>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被授权人</w:t>
      </w:r>
      <w:r>
        <w:rPr>
          <w:rFonts w:ascii="仿宋" w:hAnsi="仿宋" w:eastAsia="仿宋" w:cs="仿宋"/>
          <w:color w:val="auto"/>
          <w:spacing w:val="31"/>
          <w:sz w:val="24"/>
          <w:szCs w:val="24"/>
          <w:highlight w:val="none"/>
        </w:rPr>
        <w:t xml:space="preserve"> </w:t>
      </w:r>
      <w:r>
        <w:rPr>
          <w:rFonts w:ascii="仿宋" w:hAnsi="仿宋" w:eastAsia="仿宋" w:cs="仿宋"/>
          <w:color w:val="auto"/>
          <w:spacing w:val="-3"/>
          <w:sz w:val="24"/>
          <w:szCs w:val="24"/>
          <w:highlight w:val="none"/>
        </w:rPr>
        <w:t>签署的所有文件（在授权书有效期内签署的）不因</w:t>
      </w:r>
      <w:r>
        <w:rPr>
          <w:rFonts w:ascii="仿宋" w:hAnsi="仿宋" w:eastAsia="仿宋" w:cs="仿宋"/>
          <w:color w:val="auto"/>
          <w:spacing w:val="-4"/>
          <w:sz w:val="24"/>
          <w:szCs w:val="24"/>
          <w:highlight w:val="none"/>
        </w:rPr>
        <w:t>授权撤销而失效</w:t>
      </w:r>
    </w:p>
    <w:p w14:paraId="6338F063">
      <w:pPr>
        <w:spacing w:before="267" w:line="115" w:lineRule="exact"/>
        <w:ind w:left="77"/>
        <w:rPr>
          <w:rFonts w:ascii="仿宋" w:hAnsi="仿宋" w:eastAsia="仿宋" w:cs="仿宋"/>
          <w:color w:val="auto"/>
          <w:sz w:val="24"/>
          <w:szCs w:val="24"/>
          <w:highlight w:val="none"/>
        </w:rPr>
      </w:pPr>
      <w:r>
        <w:rPr>
          <w:rFonts w:ascii="仿宋" w:hAnsi="仿宋" w:eastAsia="仿宋" w:cs="仿宋"/>
          <w:color w:val="auto"/>
          <w:position w:val="2"/>
          <w:sz w:val="24"/>
          <w:szCs w:val="24"/>
          <w:highlight w:val="none"/>
        </w:rPr>
        <w:t>。</w:t>
      </w:r>
    </w:p>
    <w:p w14:paraId="5AAD6F47">
      <w:pPr>
        <w:spacing w:before="163" w:line="219" w:lineRule="auto"/>
        <w:ind w:left="527"/>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被授权代表无权转让委托权。特此授权。</w:t>
      </w:r>
    </w:p>
    <w:p w14:paraId="7F5CC9DD">
      <w:pPr>
        <w:spacing w:before="163" w:line="222" w:lineRule="auto"/>
        <w:ind w:left="530"/>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本授权委托书于</w:t>
      </w:r>
      <w:r>
        <w:rPr>
          <w:rFonts w:ascii="仿宋" w:hAnsi="仿宋" w:eastAsia="仿宋" w:cs="仿宋"/>
          <w:color w:val="auto"/>
          <w:spacing w:val="11"/>
          <w:sz w:val="24"/>
          <w:szCs w:val="24"/>
          <w:highlight w:val="none"/>
          <w:u w:val="single" w:color="auto"/>
        </w:rPr>
        <w:t xml:space="preserve">       </w:t>
      </w:r>
      <w:r>
        <w:rPr>
          <w:rFonts w:ascii="仿宋" w:hAnsi="仿宋" w:eastAsia="仿宋" w:cs="仿宋"/>
          <w:color w:val="auto"/>
          <w:spacing w:val="-28"/>
          <w:sz w:val="24"/>
          <w:szCs w:val="24"/>
          <w:highlight w:val="none"/>
        </w:rPr>
        <w:t xml:space="preserve"> </w:t>
      </w:r>
      <w:r>
        <w:rPr>
          <w:rFonts w:ascii="仿宋" w:hAnsi="仿宋" w:eastAsia="仿宋" w:cs="仿宋"/>
          <w:color w:val="auto"/>
          <w:spacing w:val="-12"/>
          <w:sz w:val="24"/>
          <w:szCs w:val="24"/>
          <w:highlight w:val="none"/>
        </w:rPr>
        <w:t>年</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36"/>
          <w:sz w:val="24"/>
          <w:szCs w:val="24"/>
          <w:highlight w:val="none"/>
        </w:rPr>
        <w:t xml:space="preserve"> </w:t>
      </w:r>
      <w:r>
        <w:rPr>
          <w:rFonts w:ascii="仿宋" w:hAnsi="仿宋" w:eastAsia="仿宋" w:cs="仿宋"/>
          <w:color w:val="auto"/>
          <w:spacing w:val="-12"/>
          <w:sz w:val="24"/>
          <w:szCs w:val="24"/>
          <w:highlight w:val="none"/>
        </w:rPr>
        <w:t>月</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63"/>
          <w:sz w:val="24"/>
          <w:szCs w:val="24"/>
          <w:highlight w:val="none"/>
        </w:rPr>
        <w:t xml:space="preserve"> </w:t>
      </w:r>
      <w:r>
        <w:rPr>
          <w:rFonts w:ascii="仿宋" w:hAnsi="仿宋" w:eastAsia="仿宋" w:cs="仿宋"/>
          <w:color w:val="auto"/>
          <w:spacing w:val="-12"/>
          <w:sz w:val="24"/>
          <w:szCs w:val="24"/>
          <w:highlight w:val="none"/>
        </w:rPr>
        <w:t>日签字生效，特此声明。</w:t>
      </w:r>
    </w:p>
    <w:p w14:paraId="08EE2245">
      <w:pPr>
        <w:pStyle w:val="3"/>
        <w:spacing w:line="252" w:lineRule="auto"/>
        <w:rPr>
          <w:color w:val="auto"/>
          <w:highlight w:val="none"/>
        </w:rPr>
      </w:pPr>
    </w:p>
    <w:p w14:paraId="0C62EC99">
      <w:pPr>
        <w:pStyle w:val="3"/>
        <w:spacing w:line="253" w:lineRule="auto"/>
        <w:rPr>
          <w:color w:val="auto"/>
          <w:highlight w:val="none"/>
        </w:rPr>
      </w:pPr>
    </w:p>
    <w:p w14:paraId="36494B84">
      <w:pPr>
        <w:spacing w:before="78" w:line="222" w:lineRule="auto"/>
        <w:ind w:left="2234"/>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（附法人代表身份证以及被授权代表身份证复印件）</w:t>
      </w:r>
    </w:p>
    <w:p w14:paraId="49DC03C7">
      <w:pPr>
        <w:pStyle w:val="3"/>
        <w:spacing w:line="314" w:lineRule="auto"/>
        <w:rPr>
          <w:color w:val="auto"/>
          <w:highlight w:val="none"/>
        </w:rPr>
      </w:pPr>
    </w:p>
    <w:p w14:paraId="776ADC21">
      <w:pPr>
        <w:pStyle w:val="3"/>
        <w:spacing w:line="314" w:lineRule="auto"/>
        <w:rPr>
          <w:color w:val="auto"/>
          <w:highlight w:val="none"/>
        </w:rPr>
      </w:pPr>
    </w:p>
    <w:p w14:paraId="1ADB6540">
      <w:pPr>
        <w:pStyle w:val="3"/>
        <w:spacing w:line="315" w:lineRule="auto"/>
        <w:rPr>
          <w:color w:val="auto"/>
          <w:highlight w:val="none"/>
        </w:rPr>
      </w:pPr>
    </w:p>
    <w:p w14:paraId="54E487D1">
      <w:pPr>
        <w:spacing w:before="78" w:line="220" w:lineRule="auto"/>
        <w:ind w:left="47"/>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被授权代表姓名：</w:t>
      </w:r>
      <w:r>
        <w:rPr>
          <w:rFonts w:ascii="仿宋" w:hAnsi="仿宋" w:eastAsia="仿宋" w:cs="仿宋"/>
          <w:color w:val="auto"/>
          <w:spacing w:val="3"/>
          <w:sz w:val="24"/>
          <w:szCs w:val="24"/>
          <w:highlight w:val="none"/>
        </w:rPr>
        <w:t xml:space="preserve">             </w:t>
      </w:r>
      <w:r>
        <w:rPr>
          <w:rFonts w:ascii="仿宋" w:hAnsi="仿宋" w:eastAsia="仿宋" w:cs="仿宋"/>
          <w:color w:val="auto"/>
          <w:spacing w:val="-10"/>
          <w:sz w:val="24"/>
          <w:szCs w:val="24"/>
          <w:highlight w:val="none"/>
        </w:rPr>
        <w:t>性 别：</w:t>
      </w:r>
      <w:r>
        <w:rPr>
          <w:rFonts w:ascii="仿宋" w:hAnsi="仿宋" w:eastAsia="仿宋" w:cs="仿宋"/>
          <w:color w:val="auto"/>
          <w:spacing w:val="2"/>
          <w:sz w:val="24"/>
          <w:szCs w:val="24"/>
          <w:highlight w:val="none"/>
        </w:rPr>
        <w:t xml:space="preserve">              </w:t>
      </w:r>
      <w:r>
        <w:rPr>
          <w:rFonts w:ascii="仿宋" w:hAnsi="仿宋" w:eastAsia="仿宋" w:cs="仿宋"/>
          <w:color w:val="auto"/>
          <w:spacing w:val="-10"/>
          <w:sz w:val="24"/>
          <w:szCs w:val="24"/>
          <w:highlight w:val="none"/>
        </w:rPr>
        <w:t>年</w:t>
      </w:r>
      <w:r>
        <w:rPr>
          <w:rFonts w:ascii="仿宋" w:hAnsi="仿宋" w:eastAsia="仿宋" w:cs="仿宋"/>
          <w:color w:val="auto"/>
          <w:spacing w:val="54"/>
          <w:sz w:val="24"/>
          <w:szCs w:val="24"/>
          <w:highlight w:val="none"/>
        </w:rPr>
        <w:t xml:space="preserve"> </w:t>
      </w:r>
      <w:r>
        <w:rPr>
          <w:rFonts w:ascii="仿宋" w:hAnsi="仿宋" w:eastAsia="仿宋" w:cs="仿宋"/>
          <w:color w:val="auto"/>
          <w:spacing w:val="-10"/>
          <w:sz w:val="24"/>
          <w:szCs w:val="24"/>
          <w:highlight w:val="none"/>
        </w:rPr>
        <w:t>龄：</w:t>
      </w:r>
    </w:p>
    <w:p w14:paraId="4BE477C1">
      <w:pPr>
        <w:spacing w:before="156" w:line="221" w:lineRule="auto"/>
        <w:ind w:left="59"/>
        <w:rPr>
          <w:rFonts w:ascii="仿宋" w:hAnsi="仿宋" w:eastAsia="仿宋" w:cs="仿宋"/>
          <w:color w:val="auto"/>
          <w:sz w:val="24"/>
          <w:szCs w:val="24"/>
          <w:highlight w:val="none"/>
        </w:rPr>
      </w:pPr>
      <w:r>
        <w:rPr>
          <w:rFonts w:ascii="仿宋" w:hAnsi="仿宋" w:eastAsia="仿宋" w:cs="仿宋"/>
          <w:color w:val="auto"/>
          <w:spacing w:val="-23"/>
          <w:sz w:val="24"/>
          <w:szCs w:val="24"/>
          <w:highlight w:val="none"/>
        </w:rPr>
        <w:t>单</w:t>
      </w:r>
      <w:r>
        <w:rPr>
          <w:rFonts w:ascii="仿宋" w:hAnsi="仿宋" w:eastAsia="仿宋" w:cs="仿宋"/>
          <w:color w:val="auto"/>
          <w:spacing w:val="14"/>
          <w:sz w:val="24"/>
          <w:szCs w:val="24"/>
          <w:highlight w:val="none"/>
        </w:rPr>
        <w:t xml:space="preserve">  </w:t>
      </w:r>
      <w:r>
        <w:rPr>
          <w:rFonts w:ascii="仿宋" w:hAnsi="仿宋" w:eastAsia="仿宋" w:cs="仿宋"/>
          <w:color w:val="auto"/>
          <w:spacing w:val="-23"/>
          <w:sz w:val="24"/>
          <w:szCs w:val="24"/>
          <w:highlight w:val="none"/>
        </w:rPr>
        <w:t>位</w:t>
      </w:r>
      <w:r>
        <w:rPr>
          <w:rFonts w:ascii="仿宋" w:hAnsi="仿宋" w:eastAsia="仿宋" w:cs="仿宋"/>
          <w:color w:val="auto"/>
          <w:spacing w:val="-53"/>
          <w:sz w:val="24"/>
          <w:szCs w:val="24"/>
          <w:highlight w:val="none"/>
        </w:rPr>
        <w:t xml:space="preserve"> </w:t>
      </w:r>
      <w:r>
        <w:rPr>
          <w:rFonts w:ascii="仿宋" w:hAnsi="仿宋" w:eastAsia="仿宋" w:cs="仿宋"/>
          <w:color w:val="auto"/>
          <w:spacing w:val="-23"/>
          <w:sz w:val="24"/>
          <w:szCs w:val="24"/>
          <w:highlight w:val="none"/>
        </w:rPr>
        <w:t>：</w:t>
      </w:r>
      <w:r>
        <w:rPr>
          <w:rFonts w:ascii="仿宋" w:hAnsi="仿宋" w:eastAsia="仿宋" w:cs="仿宋"/>
          <w:color w:val="auto"/>
          <w:spacing w:val="2"/>
          <w:sz w:val="24"/>
          <w:szCs w:val="24"/>
          <w:highlight w:val="none"/>
        </w:rPr>
        <w:t xml:space="preserve">                    </w:t>
      </w:r>
      <w:r>
        <w:rPr>
          <w:rFonts w:ascii="仿宋" w:hAnsi="仿宋" w:eastAsia="仿宋" w:cs="仿宋"/>
          <w:color w:val="auto"/>
          <w:spacing w:val="-23"/>
          <w:sz w:val="24"/>
          <w:szCs w:val="24"/>
          <w:highlight w:val="none"/>
        </w:rPr>
        <w:t>部</w:t>
      </w:r>
      <w:r>
        <w:rPr>
          <w:rFonts w:ascii="仿宋" w:hAnsi="仿宋" w:eastAsia="仿宋" w:cs="仿宋"/>
          <w:color w:val="auto"/>
          <w:spacing w:val="96"/>
          <w:sz w:val="24"/>
          <w:szCs w:val="24"/>
          <w:highlight w:val="none"/>
        </w:rPr>
        <w:t xml:space="preserve"> </w:t>
      </w:r>
      <w:r>
        <w:rPr>
          <w:rFonts w:ascii="仿宋" w:hAnsi="仿宋" w:eastAsia="仿宋" w:cs="仿宋"/>
          <w:color w:val="auto"/>
          <w:spacing w:val="-23"/>
          <w:sz w:val="24"/>
          <w:szCs w:val="24"/>
          <w:highlight w:val="none"/>
        </w:rPr>
        <w:t>门</w:t>
      </w:r>
      <w:r>
        <w:rPr>
          <w:rFonts w:ascii="仿宋" w:hAnsi="仿宋" w:eastAsia="仿宋" w:cs="仿宋"/>
          <w:color w:val="auto"/>
          <w:spacing w:val="-53"/>
          <w:sz w:val="24"/>
          <w:szCs w:val="24"/>
          <w:highlight w:val="none"/>
        </w:rPr>
        <w:t xml:space="preserve"> </w:t>
      </w:r>
      <w:r>
        <w:rPr>
          <w:rFonts w:ascii="仿宋" w:hAnsi="仿宋" w:eastAsia="仿宋" w:cs="仿宋"/>
          <w:color w:val="auto"/>
          <w:spacing w:val="-23"/>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23"/>
          <w:sz w:val="24"/>
          <w:szCs w:val="24"/>
          <w:highlight w:val="none"/>
        </w:rPr>
        <w:t>职</w:t>
      </w:r>
      <w:r>
        <w:rPr>
          <w:rFonts w:ascii="仿宋" w:hAnsi="仿宋" w:eastAsia="仿宋" w:cs="仿宋"/>
          <w:color w:val="auto"/>
          <w:spacing w:val="38"/>
          <w:sz w:val="24"/>
          <w:szCs w:val="24"/>
          <w:highlight w:val="none"/>
        </w:rPr>
        <w:t xml:space="preserve"> </w:t>
      </w:r>
      <w:r>
        <w:rPr>
          <w:rFonts w:ascii="仿宋" w:hAnsi="仿宋" w:eastAsia="仿宋" w:cs="仿宋"/>
          <w:color w:val="auto"/>
          <w:spacing w:val="-23"/>
          <w:sz w:val="24"/>
          <w:szCs w:val="24"/>
          <w:highlight w:val="none"/>
        </w:rPr>
        <w:t>务：</w:t>
      </w:r>
    </w:p>
    <w:p w14:paraId="3FD5F1DC">
      <w:pPr>
        <w:pStyle w:val="3"/>
        <w:spacing w:line="272" w:lineRule="auto"/>
        <w:rPr>
          <w:color w:val="auto"/>
          <w:highlight w:val="none"/>
        </w:rPr>
      </w:pPr>
    </w:p>
    <w:p w14:paraId="62F017B7">
      <w:pPr>
        <w:pStyle w:val="3"/>
        <w:spacing w:line="273" w:lineRule="auto"/>
        <w:rPr>
          <w:color w:val="auto"/>
          <w:highlight w:val="none"/>
        </w:rPr>
      </w:pPr>
    </w:p>
    <w:p w14:paraId="5760EE8F">
      <w:pPr>
        <w:spacing w:before="78" w:line="221" w:lineRule="auto"/>
        <w:ind w:left="4159"/>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供  应</w:t>
      </w:r>
      <w:r>
        <w:rPr>
          <w:rFonts w:ascii="仿宋" w:hAnsi="仿宋" w:eastAsia="仿宋" w:cs="仿宋"/>
          <w:color w:val="auto"/>
          <w:spacing w:val="31"/>
          <w:sz w:val="24"/>
          <w:szCs w:val="24"/>
          <w:highlight w:val="none"/>
        </w:rPr>
        <w:t xml:space="preserve">  </w:t>
      </w:r>
      <w:r>
        <w:rPr>
          <w:rFonts w:ascii="仿宋" w:hAnsi="仿宋" w:eastAsia="仿宋" w:cs="仿宋"/>
          <w:color w:val="auto"/>
          <w:spacing w:val="-8"/>
          <w:sz w:val="24"/>
          <w:szCs w:val="24"/>
          <w:highlight w:val="none"/>
        </w:rPr>
        <w:t>商</w:t>
      </w:r>
      <w:r>
        <w:rPr>
          <w:rFonts w:ascii="仿宋" w:hAnsi="仿宋" w:eastAsia="仿宋" w:cs="仿宋"/>
          <w:color w:val="auto"/>
          <w:spacing w:val="-32"/>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2"/>
          <w:sz w:val="24"/>
          <w:szCs w:val="24"/>
          <w:highlight w:val="none"/>
        </w:rPr>
        <w:t>（</w:t>
      </w:r>
      <w:r>
        <w:rPr>
          <w:rFonts w:ascii="仿宋" w:hAnsi="仿宋" w:eastAsia="仿宋" w:cs="仿宋"/>
          <w:color w:val="auto"/>
          <w:spacing w:val="-8"/>
          <w:sz w:val="24"/>
          <w:szCs w:val="24"/>
          <w:highlight w:val="none"/>
        </w:rPr>
        <w:t>盖单</w:t>
      </w:r>
    </w:p>
    <w:p w14:paraId="5AE742C0">
      <w:pPr>
        <w:spacing w:before="116" w:line="222" w:lineRule="auto"/>
        <w:ind w:left="4171"/>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位公章） 法定代表人：</w:t>
      </w:r>
      <w:r>
        <w:rPr>
          <w:rFonts w:ascii="仿宋" w:hAnsi="仿宋" w:eastAsia="仿宋" w:cs="仿宋"/>
          <w:color w:val="auto"/>
          <w:sz w:val="24"/>
          <w:szCs w:val="24"/>
          <w:highlight w:val="none"/>
          <w:u w:val="single" w:color="auto"/>
        </w:rPr>
        <w:t xml:space="preserve">               </w:t>
      </w:r>
    </w:p>
    <w:p w14:paraId="0091A38A">
      <w:pPr>
        <w:spacing w:before="113" w:line="222" w:lineRule="auto"/>
        <w:ind w:left="4175"/>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（签字或盖章）</w:t>
      </w:r>
    </w:p>
    <w:p w14:paraId="534E450A">
      <w:pPr>
        <w:pStyle w:val="3"/>
        <w:spacing w:line="351" w:lineRule="auto"/>
        <w:rPr>
          <w:color w:val="auto"/>
          <w:highlight w:val="none"/>
        </w:rPr>
      </w:pPr>
    </w:p>
    <w:p w14:paraId="55181845">
      <w:pPr>
        <w:spacing w:before="78" w:line="222" w:lineRule="auto"/>
        <w:ind w:left="4279"/>
        <w:rPr>
          <w:rFonts w:ascii="仿宋" w:hAnsi="仿宋" w:eastAsia="仿宋" w:cs="仿宋"/>
          <w:color w:val="auto"/>
          <w:sz w:val="24"/>
          <w:szCs w:val="24"/>
          <w:highlight w:val="none"/>
        </w:rPr>
      </w:pPr>
      <w:r>
        <w:rPr>
          <w:rFonts w:ascii="仿宋" w:hAnsi="仿宋" w:eastAsia="仿宋" w:cs="仿宋"/>
          <w:color w:val="auto"/>
          <w:spacing w:val="-32"/>
          <w:sz w:val="24"/>
          <w:szCs w:val="24"/>
          <w:highlight w:val="none"/>
        </w:rPr>
        <w:t>日</w:t>
      </w:r>
      <w:r>
        <w:rPr>
          <w:rFonts w:ascii="仿宋" w:hAnsi="仿宋" w:eastAsia="仿宋" w:cs="仿宋"/>
          <w:color w:val="auto"/>
          <w:spacing w:val="23"/>
          <w:sz w:val="24"/>
          <w:szCs w:val="24"/>
          <w:highlight w:val="none"/>
        </w:rPr>
        <w:t xml:space="preserve">     </w:t>
      </w:r>
      <w:r>
        <w:rPr>
          <w:rFonts w:ascii="仿宋" w:hAnsi="仿宋" w:eastAsia="仿宋" w:cs="仿宋"/>
          <w:color w:val="auto"/>
          <w:spacing w:val="-32"/>
          <w:sz w:val="24"/>
          <w:szCs w:val="24"/>
          <w:highlight w:val="none"/>
        </w:rPr>
        <w:t>期：</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57"/>
          <w:sz w:val="24"/>
          <w:szCs w:val="24"/>
          <w:highlight w:val="none"/>
        </w:rPr>
        <w:t xml:space="preserve"> </w:t>
      </w:r>
      <w:r>
        <w:rPr>
          <w:rFonts w:ascii="仿宋" w:hAnsi="仿宋" w:eastAsia="仿宋" w:cs="仿宋"/>
          <w:color w:val="auto"/>
          <w:spacing w:val="-32"/>
          <w:sz w:val="24"/>
          <w:szCs w:val="24"/>
          <w:highlight w:val="none"/>
        </w:rPr>
        <w:t>年</w:t>
      </w:r>
      <w:r>
        <w:rPr>
          <w:rFonts w:ascii="仿宋" w:hAnsi="仿宋" w:eastAsia="仿宋" w:cs="仿宋"/>
          <w:color w:val="auto"/>
          <w:spacing w:val="34"/>
          <w:sz w:val="24"/>
          <w:szCs w:val="24"/>
          <w:highlight w:val="none"/>
          <w:u w:val="single" w:color="auto"/>
        </w:rPr>
        <w:t xml:space="preserve">  </w:t>
      </w:r>
      <w:r>
        <w:rPr>
          <w:rFonts w:ascii="仿宋" w:hAnsi="仿宋" w:eastAsia="仿宋" w:cs="仿宋"/>
          <w:color w:val="auto"/>
          <w:spacing w:val="-36"/>
          <w:sz w:val="24"/>
          <w:szCs w:val="24"/>
          <w:highlight w:val="none"/>
        </w:rPr>
        <w:t xml:space="preserve"> </w:t>
      </w:r>
      <w:r>
        <w:rPr>
          <w:rFonts w:ascii="仿宋" w:hAnsi="仿宋" w:eastAsia="仿宋" w:cs="仿宋"/>
          <w:color w:val="auto"/>
          <w:spacing w:val="-32"/>
          <w:sz w:val="24"/>
          <w:szCs w:val="24"/>
          <w:highlight w:val="none"/>
        </w:rPr>
        <w:t>月</w:t>
      </w:r>
      <w:r>
        <w:rPr>
          <w:rFonts w:ascii="仿宋" w:hAnsi="仿宋" w:eastAsia="仿宋" w:cs="仿宋"/>
          <w:color w:val="auto"/>
          <w:spacing w:val="33"/>
          <w:sz w:val="24"/>
          <w:szCs w:val="24"/>
          <w:highlight w:val="none"/>
          <w:u w:val="single" w:color="auto"/>
        </w:rPr>
        <w:t xml:space="preserve">  </w:t>
      </w:r>
      <w:r>
        <w:rPr>
          <w:rFonts w:ascii="仿宋" w:hAnsi="仿宋" w:eastAsia="仿宋" w:cs="仿宋"/>
          <w:color w:val="auto"/>
          <w:spacing w:val="83"/>
          <w:sz w:val="24"/>
          <w:szCs w:val="24"/>
          <w:highlight w:val="none"/>
        </w:rPr>
        <w:t xml:space="preserve"> </w:t>
      </w:r>
      <w:r>
        <w:rPr>
          <w:rFonts w:ascii="仿宋" w:hAnsi="仿宋" w:eastAsia="仿宋" w:cs="仿宋"/>
          <w:color w:val="auto"/>
          <w:spacing w:val="-32"/>
          <w:sz w:val="24"/>
          <w:szCs w:val="24"/>
          <w:highlight w:val="none"/>
        </w:rPr>
        <w:t>日</w:t>
      </w:r>
    </w:p>
    <w:p w14:paraId="04E2CD0A">
      <w:pPr>
        <w:spacing w:line="222" w:lineRule="auto"/>
        <w:rPr>
          <w:rFonts w:ascii="仿宋" w:hAnsi="仿宋" w:eastAsia="仿宋" w:cs="仿宋"/>
          <w:color w:val="auto"/>
          <w:sz w:val="24"/>
          <w:szCs w:val="24"/>
          <w:highlight w:val="none"/>
        </w:rPr>
        <w:sectPr>
          <w:footerReference r:id="rId68" w:type="default"/>
          <w:pgSz w:w="11906" w:h="16840"/>
          <w:pgMar w:top="400" w:right="1785" w:bottom="1157" w:left="1785" w:header="0" w:footer="911" w:gutter="0"/>
          <w:pgNumType w:fmt="decimal"/>
          <w:cols w:space="720" w:num="1"/>
        </w:sectPr>
      </w:pPr>
    </w:p>
    <w:p w14:paraId="0258167F">
      <w:pPr>
        <w:pStyle w:val="3"/>
        <w:spacing w:line="260" w:lineRule="auto"/>
        <w:rPr>
          <w:color w:val="auto"/>
          <w:highlight w:val="none"/>
        </w:rPr>
      </w:pPr>
    </w:p>
    <w:p w14:paraId="4D16EB3E">
      <w:pPr>
        <w:pStyle w:val="3"/>
        <w:spacing w:line="261" w:lineRule="auto"/>
        <w:rPr>
          <w:color w:val="auto"/>
          <w:highlight w:val="none"/>
        </w:rPr>
      </w:pPr>
    </w:p>
    <w:p w14:paraId="22298A0C">
      <w:pPr>
        <w:pStyle w:val="3"/>
        <w:spacing w:line="261" w:lineRule="auto"/>
        <w:rPr>
          <w:color w:val="auto"/>
          <w:highlight w:val="none"/>
        </w:rPr>
      </w:pPr>
    </w:p>
    <w:p w14:paraId="2CC10A74">
      <w:pPr>
        <w:spacing w:before="91" w:line="223" w:lineRule="auto"/>
        <w:ind w:left="2334"/>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六、供应商基本情况介绍（附营业执照等）</w:t>
      </w:r>
    </w:p>
    <w:p w14:paraId="50DAAB65">
      <w:pPr>
        <w:pStyle w:val="3"/>
        <w:spacing w:line="256" w:lineRule="auto"/>
        <w:rPr>
          <w:color w:val="auto"/>
          <w:highlight w:val="none"/>
        </w:rPr>
      </w:pPr>
    </w:p>
    <w:p w14:paraId="550A4589">
      <w:pPr>
        <w:pStyle w:val="3"/>
        <w:spacing w:line="257" w:lineRule="auto"/>
        <w:rPr>
          <w:color w:val="auto"/>
          <w:highlight w:val="none"/>
        </w:rPr>
      </w:pPr>
    </w:p>
    <w:p w14:paraId="7189E788">
      <w:pPr>
        <w:spacing w:before="91" w:line="223" w:lineRule="auto"/>
        <w:ind w:left="3748"/>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6.1供应商基本情况表</w:t>
      </w:r>
    </w:p>
    <w:p w14:paraId="6DF553DB">
      <w:pPr>
        <w:spacing w:line="119" w:lineRule="exact"/>
        <w:rPr>
          <w:color w:val="auto"/>
          <w:highlight w:val="none"/>
        </w:rPr>
      </w:pPr>
    </w:p>
    <w:tbl>
      <w:tblPr>
        <w:tblStyle w:val="11"/>
        <w:tblW w:w="9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1347"/>
        <w:gridCol w:w="1135"/>
        <w:gridCol w:w="1403"/>
        <w:gridCol w:w="1423"/>
        <w:gridCol w:w="1057"/>
        <w:gridCol w:w="1576"/>
      </w:tblGrid>
      <w:tr w14:paraId="0CB68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781" w:type="dxa"/>
            <w:vAlign w:val="top"/>
          </w:tcPr>
          <w:p w14:paraId="1B5C97DF">
            <w:pPr>
              <w:pStyle w:val="12"/>
              <w:spacing w:before="249" w:line="221" w:lineRule="auto"/>
              <w:ind w:left="333"/>
              <w:rPr>
                <w:color w:val="auto"/>
                <w:highlight w:val="none"/>
              </w:rPr>
            </w:pPr>
            <w:r>
              <w:rPr>
                <w:color w:val="auto"/>
                <w:spacing w:val="-8"/>
                <w:highlight w:val="none"/>
              </w:rPr>
              <w:t>供应商名称</w:t>
            </w:r>
          </w:p>
        </w:tc>
        <w:tc>
          <w:tcPr>
            <w:tcW w:w="7941" w:type="dxa"/>
            <w:gridSpan w:val="6"/>
            <w:vAlign w:val="top"/>
          </w:tcPr>
          <w:p w14:paraId="7072CF37">
            <w:pPr>
              <w:rPr>
                <w:rFonts w:ascii="Arial"/>
                <w:color w:val="auto"/>
                <w:sz w:val="21"/>
                <w:highlight w:val="none"/>
              </w:rPr>
            </w:pPr>
          </w:p>
        </w:tc>
      </w:tr>
      <w:tr w14:paraId="0C728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81" w:type="dxa"/>
            <w:vAlign w:val="top"/>
          </w:tcPr>
          <w:p w14:paraId="65C58103">
            <w:pPr>
              <w:pStyle w:val="12"/>
              <w:spacing w:before="244" w:line="224" w:lineRule="auto"/>
              <w:ind w:left="473"/>
              <w:rPr>
                <w:color w:val="auto"/>
                <w:highlight w:val="none"/>
              </w:rPr>
            </w:pPr>
            <w:r>
              <w:rPr>
                <w:color w:val="auto"/>
                <w:spacing w:val="-11"/>
                <w:highlight w:val="none"/>
              </w:rPr>
              <w:t>注册地址</w:t>
            </w:r>
          </w:p>
        </w:tc>
        <w:tc>
          <w:tcPr>
            <w:tcW w:w="3885" w:type="dxa"/>
            <w:gridSpan w:val="3"/>
            <w:vAlign w:val="top"/>
          </w:tcPr>
          <w:p w14:paraId="708644E0">
            <w:pPr>
              <w:rPr>
                <w:rFonts w:ascii="Arial"/>
                <w:color w:val="auto"/>
                <w:sz w:val="21"/>
                <w:highlight w:val="none"/>
              </w:rPr>
            </w:pPr>
          </w:p>
        </w:tc>
        <w:tc>
          <w:tcPr>
            <w:tcW w:w="1423" w:type="dxa"/>
            <w:vAlign w:val="top"/>
          </w:tcPr>
          <w:p w14:paraId="749E572D">
            <w:pPr>
              <w:pStyle w:val="12"/>
              <w:spacing w:before="239" w:line="222" w:lineRule="auto"/>
              <w:ind w:left="334"/>
              <w:rPr>
                <w:color w:val="auto"/>
                <w:highlight w:val="none"/>
              </w:rPr>
            </w:pPr>
            <w:r>
              <w:rPr>
                <w:color w:val="auto"/>
                <w:spacing w:val="-16"/>
                <w:highlight w:val="none"/>
              </w:rPr>
              <w:t>邮政编码</w:t>
            </w:r>
          </w:p>
        </w:tc>
        <w:tc>
          <w:tcPr>
            <w:tcW w:w="2633" w:type="dxa"/>
            <w:gridSpan w:val="2"/>
            <w:vAlign w:val="top"/>
          </w:tcPr>
          <w:p w14:paraId="2D14CDA0">
            <w:pPr>
              <w:rPr>
                <w:rFonts w:ascii="Arial"/>
                <w:color w:val="auto"/>
                <w:sz w:val="21"/>
                <w:highlight w:val="none"/>
              </w:rPr>
            </w:pPr>
          </w:p>
        </w:tc>
      </w:tr>
      <w:tr w14:paraId="7B1FA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1" w:type="dxa"/>
            <w:vMerge w:val="restart"/>
            <w:tcBorders>
              <w:bottom w:val="nil"/>
            </w:tcBorders>
            <w:vAlign w:val="top"/>
          </w:tcPr>
          <w:p w14:paraId="577AB0E5">
            <w:pPr>
              <w:spacing w:line="249" w:lineRule="auto"/>
              <w:rPr>
                <w:rFonts w:ascii="Arial"/>
                <w:color w:val="auto"/>
                <w:sz w:val="21"/>
                <w:highlight w:val="none"/>
              </w:rPr>
            </w:pPr>
          </w:p>
          <w:p w14:paraId="68D23DD2">
            <w:pPr>
              <w:spacing w:line="249" w:lineRule="auto"/>
              <w:rPr>
                <w:rFonts w:ascii="Arial"/>
                <w:color w:val="auto"/>
                <w:sz w:val="21"/>
                <w:highlight w:val="none"/>
              </w:rPr>
            </w:pPr>
          </w:p>
          <w:p w14:paraId="11FDA6A8">
            <w:pPr>
              <w:pStyle w:val="12"/>
              <w:spacing w:before="78" w:line="223" w:lineRule="auto"/>
              <w:ind w:left="445"/>
              <w:rPr>
                <w:color w:val="auto"/>
                <w:highlight w:val="none"/>
              </w:rPr>
            </w:pPr>
            <w:r>
              <w:rPr>
                <w:color w:val="auto"/>
                <w:spacing w:val="-7"/>
                <w:highlight w:val="none"/>
              </w:rPr>
              <w:t>联系方式</w:t>
            </w:r>
          </w:p>
        </w:tc>
        <w:tc>
          <w:tcPr>
            <w:tcW w:w="1347" w:type="dxa"/>
            <w:vAlign w:val="top"/>
          </w:tcPr>
          <w:p w14:paraId="55CB9685">
            <w:pPr>
              <w:pStyle w:val="12"/>
              <w:spacing w:before="249" w:line="224" w:lineRule="auto"/>
              <w:ind w:left="344"/>
              <w:rPr>
                <w:color w:val="auto"/>
                <w:highlight w:val="none"/>
              </w:rPr>
            </w:pPr>
            <w:r>
              <w:rPr>
                <w:color w:val="auto"/>
                <w:spacing w:val="-7"/>
                <w:highlight w:val="none"/>
              </w:rPr>
              <w:t>联系人</w:t>
            </w:r>
          </w:p>
        </w:tc>
        <w:tc>
          <w:tcPr>
            <w:tcW w:w="2538" w:type="dxa"/>
            <w:gridSpan w:val="2"/>
            <w:vAlign w:val="top"/>
          </w:tcPr>
          <w:p w14:paraId="3DCE2F03">
            <w:pPr>
              <w:rPr>
                <w:rFonts w:ascii="Arial"/>
                <w:color w:val="auto"/>
                <w:sz w:val="21"/>
                <w:highlight w:val="none"/>
              </w:rPr>
            </w:pPr>
          </w:p>
        </w:tc>
        <w:tc>
          <w:tcPr>
            <w:tcW w:w="1423" w:type="dxa"/>
            <w:vAlign w:val="top"/>
          </w:tcPr>
          <w:p w14:paraId="392D84AB">
            <w:pPr>
              <w:pStyle w:val="12"/>
              <w:spacing w:before="246" w:line="223" w:lineRule="auto"/>
              <w:ind w:left="479"/>
              <w:rPr>
                <w:color w:val="auto"/>
                <w:highlight w:val="none"/>
              </w:rPr>
            </w:pPr>
            <w:r>
              <w:rPr>
                <w:color w:val="auto"/>
                <w:spacing w:val="-22"/>
                <w:highlight w:val="none"/>
              </w:rPr>
              <w:t>电</w:t>
            </w:r>
            <w:r>
              <w:rPr>
                <w:color w:val="auto"/>
                <w:spacing w:val="1"/>
                <w:highlight w:val="none"/>
              </w:rPr>
              <w:t xml:space="preserve">  </w:t>
            </w:r>
            <w:r>
              <w:rPr>
                <w:color w:val="auto"/>
                <w:spacing w:val="-22"/>
                <w:highlight w:val="none"/>
              </w:rPr>
              <w:t>话</w:t>
            </w:r>
          </w:p>
        </w:tc>
        <w:tc>
          <w:tcPr>
            <w:tcW w:w="2633" w:type="dxa"/>
            <w:gridSpan w:val="2"/>
            <w:vAlign w:val="top"/>
          </w:tcPr>
          <w:p w14:paraId="3F9461A9">
            <w:pPr>
              <w:rPr>
                <w:rFonts w:ascii="Arial"/>
                <w:color w:val="auto"/>
                <w:sz w:val="21"/>
                <w:highlight w:val="none"/>
              </w:rPr>
            </w:pPr>
          </w:p>
        </w:tc>
      </w:tr>
      <w:tr w14:paraId="2EEF7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781" w:type="dxa"/>
            <w:vMerge w:val="continue"/>
            <w:tcBorders>
              <w:top w:val="nil"/>
            </w:tcBorders>
            <w:vAlign w:val="top"/>
          </w:tcPr>
          <w:p w14:paraId="0B222B96">
            <w:pPr>
              <w:rPr>
                <w:rFonts w:ascii="Arial"/>
                <w:color w:val="auto"/>
                <w:sz w:val="21"/>
                <w:highlight w:val="none"/>
              </w:rPr>
            </w:pPr>
          </w:p>
        </w:tc>
        <w:tc>
          <w:tcPr>
            <w:tcW w:w="1347" w:type="dxa"/>
            <w:vAlign w:val="top"/>
          </w:tcPr>
          <w:p w14:paraId="0EB8770E">
            <w:pPr>
              <w:pStyle w:val="12"/>
              <w:spacing w:before="246" w:line="223" w:lineRule="auto"/>
              <w:ind w:left="359"/>
              <w:rPr>
                <w:color w:val="auto"/>
                <w:highlight w:val="none"/>
              </w:rPr>
            </w:pPr>
            <w:r>
              <w:rPr>
                <w:color w:val="auto"/>
                <w:spacing w:val="-10"/>
                <w:highlight w:val="none"/>
              </w:rPr>
              <w:t>传</w:t>
            </w:r>
            <w:r>
              <w:rPr>
                <w:color w:val="auto"/>
                <w:spacing w:val="23"/>
                <w:highlight w:val="none"/>
              </w:rPr>
              <w:t xml:space="preserve">  </w:t>
            </w:r>
            <w:r>
              <w:rPr>
                <w:color w:val="auto"/>
                <w:spacing w:val="-10"/>
                <w:highlight w:val="none"/>
              </w:rPr>
              <w:t>真</w:t>
            </w:r>
          </w:p>
        </w:tc>
        <w:tc>
          <w:tcPr>
            <w:tcW w:w="2538" w:type="dxa"/>
            <w:gridSpan w:val="2"/>
            <w:vAlign w:val="top"/>
          </w:tcPr>
          <w:p w14:paraId="5A406865">
            <w:pPr>
              <w:rPr>
                <w:rFonts w:ascii="Arial"/>
                <w:color w:val="auto"/>
                <w:sz w:val="21"/>
                <w:highlight w:val="none"/>
              </w:rPr>
            </w:pPr>
          </w:p>
        </w:tc>
        <w:tc>
          <w:tcPr>
            <w:tcW w:w="1423" w:type="dxa"/>
            <w:vAlign w:val="top"/>
          </w:tcPr>
          <w:p w14:paraId="168035B9">
            <w:pPr>
              <w:pStyle w:val="12"/>
              <w:spacing w:before="245" w:line="224" w:lineRule="auto"/>
              <w:ind w:left="479"/>
              <w:rPr>
                <w:color w:val="auto"/>
                <w:highlight w:val="none"/>
              </w:rPr>
            </w:pPr>
            <w:r>
              <w:rPr>
                <w:color w:val="auto"/>
                <w:spacing w:val="-22"/>
                <w:highlight w:val="none"/>
              </w:rPr>
              <w:t>网</w:t>
            </w:r>
            <w:r>
              <w:rPr>
                <w:color w:val="auto"/>
                <w:spacing w:val="8"/>
                <w:highlight w:val="none"/>
              </w:rPr>
              <w:t xml:space="preserve">  </w:t>
            </w:r>
            <w:r>
              <w:rPr>
                <w:color w:val="auto"/>
                <w:spacing w:val="-22"/>
                <w:highlight w:val="none"/>
              </w:rPr>
              <w:t>址</w:t>
            </w:r>
          </w:p>
        </w:tc>
        <w:tc>
          <w:tcPr>
            <w:tcW w:w="2633" w:type="dxa"/>
            <w:gridSpan w:val="2"/>
            <w:vAlign w:val="top"/>
          </w:tcPr>
          <w:p w14:paraId="235F0DA2">
            <w:pPr>
              <w:rPr>
                <w:rFonts w:ascii="Arial"/>
                <w:color w:val="auto"/>
                <w:sz w:val="21"/>
                <w:highlight w:val="none"/>
              </w:rPr>
            </w:pPr>
          </w:p>
        </w:tc>
      </w:tr>
      <w:tr w14:paraId="6C9E6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1" w:type="dxa"/>
            <w:vAlign w:val="top"/>
          </w:tcPr>
          <w:p w14:paraId="2071D682">
            <w:pPr>
              <w:pStyle w:val="12"/>
              <w:spacing w:before="249" w:line="223" w:lineRule="auto"/>
              <w:ind w:left="354"/>
              <w:rPr>
                <w:color w:val="auto"/>
                <w:highlight w:val="none"/>
              </w:rPr>
            </w:pPr>
            <w:r>
              <w:rPr>
                <w:color w:val="auto"/>
                <w:spacing w:val="-10"/>
                <w:highlight w:val="none"/>
              </w:rPr>
              <w:t>法定代表人</w:t>
            </w:r>
          </w:p>
        </w:tc>
        <w:tc>
          <w:tcPr>
            <w:tcW w:w="1347" w:type="dxa"/>
            <w:vAlign w:val="top"/>
          </w:tcPr>
          <w:p w14:paraId="5940BCEF">
            <w:pPr>
              <w:pStyle w:val="12"/>
              <w:spacing w:before="252" w:line="224" w:lineRule="auto"/>
              <w:ind w:left="471"/>
              <w:rPr>
                <w:color w:val="auto"/>
                <w:highlight w:val="none"/>
              </w:rPr>
            </w:pPr>
            <w:r>
              <w:rPr>
                <w:color w:val="auto"/>
                <w:spacing w:val="-8"/>
                <w:highlight w:val="none"/>
              </w:rPr>
              <w:t>姓名</w:t>
            </w:r>
          </w:p>
        </w:tc>
        <w:tc>
          <w:tcPr>
            <w:tcW w:w="1135" w:type="dxa"/>
            <w:vAlign w:val="top"/>
          </w:tcPr>
          <w:p w14:paraId="0DADC433">
            <w:pPr>
              <w:rPr>
                <w:rFonts w:ascii="Arial"/>
                <w:color w:val="auto"/>
                <w:sz w:val="21"/>
                <w:highlight w:val="none"/>
              </w:rPr>
            </w:pPr>
          </w:p>
        </w:tc>
        <w:tc>
          <w:tcPr>
            <w:tcW w:w="1403" w:type="dxa"/>
            <w:vAlign w:val="top"/>
          </w:tcPr>
          <w:p w14:paraId="5DAE49B2">
            <w:pPr>
              <w:pStyle w:val="12"/>
              <w:spacing w:before="244" w:line="221" w:lineRule="auto"/>
              <w:ind w:left="268"/>
              <w:rPr>
                <w:color w:val="auto"/>
                <w:highlight w:val="none"/>
              </w:rPr>
            </w:pPr>
            <w:r>
              <w:rPr>
                <w:color w:val="auto"/>
                <w:spacing w:val="-8"/>
                <w:highlight w:val="none"/>
              </w:rPr>
              <w:t>技术职称</w:t>
            </w:r>
          </w:p>
        </w:tc>
        <w:tc>
          <w:tcPr>
            <w:tcW w:w="1423" w:type="dxa"/>
            <w:vAlign w:val="top"/>
          </w:tcPr>
          <w:p w14:paraId="741EBD34">
            <w:pPr>
              <w:rPr>
                <w:rFonts w:ascii="Arial"/>
                <w:color w:val="auto"/>
                <w:sz w:val="21"/>
                <w:highlight w:val="none"/>
              </w:rPr>
            </w:pPr>
          </w:p>
        </w:tc>
        <w:tc>
          <w:tcPr>
            <w:tcW w:w="1057" w:type="dxa"/>
            <w:vAlign w:val="top"/>
          </w:tcPr>
          <w:p w14:paraId="29D85FC5">
            <w:pPr>
              <w:pStyle w:val="12"/>
              <w:spacing w:before="249" w:line="223" w:lineRule="auto"/>
              <w:ind w:left="417"/>
              <w:rPr>
                <w:color w:val="auto"/>
                <w:highlight w:val="none"/>
              </w:rPr>
            </w:pPr>
            <w:r>
              <w:rPr>
                <w:color w:val="auto"/>
                <w:spacing w:val="-22"/>
                <w:highlight w:val="none"/>
              </w:rPr>
              <w:t>电话</w:t>
            </w:r>
          </w:p>
        </w:tc>
        <w:tc>
          <w:tcPr>
            <w:tcW w:w="1576" w:type="dxa"/>
            <w:vAlign w:val="top"/>
          </w:tcPr>
          <w:p w14:paraId="445F07DF">
            <w:pPr>
              <w:rPr>
                <w:rFonts w:ascii="Arial"/>
                <w:color w:val="auto"/>
                <w:sz w:val="21"/>
                <w:highlight w:val="none"/>
              </w:rPr>
            </w:pPr>
          </w:p>
        </w:tc>
      </w:tr>
      <w:tr w14:paraId="72EB0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1" w:type="dxa"/>
            <w:vAlign w:val="top"/>
          </w:tcPr>
          <w:p w14:paraId="773AD5A3">
            <w:pPr>
              <w:pStyle w:val="12"/>
              <w:spacing w:before="249" w:line="223" w:lineRule="auto"/>
              <w:ind w:left="461"/>
              <w:rPr>
                <w:color w:val="auto"/>
                <w:highlight w:val="none"/>
              </w:rPr>
            </w:pPr>
            <w:r>
              <w:rPr>
                <w:color w:val="auto"/>
                <w:spacing w:val="-10"/>
                <w:highlight w:val="none"/>
              </w:rPr>
              <w:t>成立时间</w:t>
            </w:r>
          </w:p>
        </w:tc>
        <w:tc>
          <w:tcPr>
            <w:tcW w:w="7941" w:type="dxa"/>
            <w:gridSpan w:val="6"/>
            <w:vAlign w:val="top"/>
          </w:tcPr>
          <w:p w14:paraId="5ED0EA3D">
            <w:pPr>
              <w:rPr>
                <w:rFonts w:ascii="Arial"/>
                <w:color w:val="auto"/>
                <w:sz w:val="21"/>
                <w:highlight w:val="none"/>
              </w:rPr>
            </w:pPr>
          </w:p>
        </w:tc>
      </w:tr>
      <w:tr w14:paraId="03B85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1" w:type="dxa"/>
            <w:vAlign w:val="top"/>
          </w:tcPr>
          <w:p w14:paraId="428BAB97">
            <w:pPr>
              <w:pStyle w:val="12"/>
              <w:spacing w:before="250" w:line="224" w:lineRule="auto"/>
              <w:ind w:left="353"/>
              <w:rPr>
                <w:color w:val="auto"/>
                <w:highlight w:val="none"/>
              </w:rPr>
            </w:pPr>
            <w:r>
              <w:rPr>
                <w:color w:val="auto"/>
                <w:spacing w:val="-10"/>
                <w:highlight w:val="none"/>
              </w:rPr>
              <w:t>营业执照号</w:t>
            </w:r>
          </w:p>
        </w:tc>
        <w:tc>
          <w:tcPr>
            <w:tcW w:w="2482" w:type="dxa"/>
            <w:gridSpan w:val="2"/>
            <w:vAlign w:val="top"/>
          </w:tcPr>
          <w:p w14:paraId="247CC3F9">
            <w:pPr>
              <w:rPr>
                <w:rFonts w:ascii="Arial"/>
                <w:color w:val="auto"/>
                <w:sz w:val="21"/>
                <w:highlight w:val="none"/>
              </w:rPr>
            </w:pPr>
          </w:p>
        </w:tc>
        <w:tc>
          <w:tcPr>
            <w:tcW w:w="1403" w:type="dxa"/>
            <w:vMerge w:val="restart"/>
            <w:tcBorders>
              <w:bottom w:val="nil"/>
            </w:tcBorders>
            <w:vAlign w:val="top"/>
          </w:tcPr>
          <w:p w14:paraId="52B0AD5A">
            <w:pPr>
              <w:spacing w:line="297" w:lineRule="auto"/>
              <w:rPr>
                <w:rFonts w:ascii="Arial"/>
                <w:color w:val="auto"/>
                <w:sz w:val="21"/>
                <w:highlight w:val="none"/>
              </w:rPr>
            </w:pPr>
          </w:p>
          <w:p w14:paraId="25F5C3CC">
            <w:pPr>
              <w:spacing w:line="297" w:lineRule="auto"/>
              <w:rPr>
                <w:rFonts w:ascii="Arial"/>
                <w:color w:val="auto"/>
                <w:sz w:val="21"/>
                <w:highlight w:val="none"/>
              </w:rPr>
            </w:pPr>
          </w:p>
          <w:p w14:paraId="204550B6">
            <w:pPr>
              <w:spacing w:line="297" w:lineRule="auto"/>
              <w:rPr>
                <w:rFonts w:ascii="Arial"/>
                <w:color w:val="auto"/>
                <w:sz w:val="21"/>
                <w:highlight w:val="none"/>
              </w:rPr>
            </w:pPr>
          </w:p>
          <w:p w14:paraId="64B5E53D">
            <w:pPr>
              <w:spacing w:line="297" w:lineRule="auto"/>
              <w:rPr>
                <w:rFonts w:ascii="Arial"/>
                <w:color w:val="auto"/>
                <w:sz w:val="21"/>
                <w:highlight w:val="none"/>
              </w:rPr>
            </w:pPr>
          </w:p>
          <w:p w14:paraId="4B2BE814">
            <w:pPr>
              <w:pStyle w:val="12"/>
              <w:spacing w:before="78" w:line="224" w:lineRule="auto"/>
              <w:ind w:left="268"/>
              <w:rPr>
                <w:color w:val="auto"/>
                <w:highlight w:val="none"/>
              </w:rPr>
            </w:pPr>
            <w:r>
              <w:rPr>
                <w:color w:val="auto"/>
                <w:spacing w:val="-8"/>
                <w:highlight w:val="none"/>
              </w:rPr>
              <w:t>企业人员</w:t>
            </w:r>
          </w:p>
        </w:tc>
        <w:tc>
          <w:tcPr>
            <w:tcW w:w="1423" w:type="dxa"/>
            <w:vAlign w:val="top"/>
          </w:tcPr>
          <w:p w14:paraId="2F6CD701">
            <w:pPr>
              <w:rPr>
                <w:rFonts w:ascii="Arial"/>
                <w:color w:val="auto"/>
                <w:sz w:val="21"/>
                <w:highlight w:val="none"/>
              </w:rPr>
            </w:pPr>
          </w:p>
        </w:tc>
        <w:tc>
          <w:tcPr>
            <w:tcW w:w="2633" w:type="dxa"/>
            <w:gridSpan w:val="2"/>
            <w:vAlign w:val="top"/>
          </w:tcPr>
          <w:p w14:paraId="128C2B81">
            <w:pPr>
              <w:rPr>
                <w:rFonts w:ascii="Arial"/>
                <w:color w:val="auto"/>
                <w:sz w:val="21"/>
                <w:highlight w:val="none"/>
              </w:rPr>
            </w:pPr>
          </w:p>
        </w:tc>
      </w:tr>
      <w:tr w14:paraId="47F51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1" w:type="dxa"/>
            <w:vAlign w:val="top"/>
          </w:tcPr>
          <w:p w14:paraId="01BDC716">
            <w:pPr>
              <w:pStyle w:val="12"/>
              <w:spacing w:before="250" w:line="224" w:lineRule="auto"/>
              <w:ind w:left="473"/>
              <w:rPr>
                <w:color w:val="auto"/>
                <w:highlight w:val="none"/>
              </w:rPr>
            </w:pPr>
            <w:r>
              <w:rPr>
                <w:color w:val="auto"/>
                <w:spacing w:val="-11"/>
                <w:highlight w:val="none"/>
              </w:rPr>
              <w:t>注册资金</w:t>
            </w:r>
          </w:p>
        </w:tc>
        <w:tc>
          <w:tcPr>
            <w:tcW w:w="2482" w:type="dxa"/>
            <w:gridSpan w:val="2"/>
            <w:vAlign w:val="top"/>
          </w:tcPr>
          <w:p w14:paraId="7EC8D037">
            <w:pPr>
              <w:rPr>
                <w:rFonts w:ascii="Arial"/>
                <w:color w:val="auto"/>
                <w:sz w:val="21"/>
                <w:highlight w:val="none"/>
              </w:rPr>
            </w:pPr>
          </w:p>
        </w:tc>
        <w:tc>
          <w:tcPr>
            <w:tcW w:w="1403" w:type="dxa"/>
            <w:vMerge w:val="continue"/>
            <w:tcBorders>
              <w:top w:val="nil"/>
              <w:bottom w:val="nil"/>
            </w:tcBorders>
            <w:vAlign w:val="top"/>
          </w:tcPr>
          <w:p w14:paraId="53D4184B">
            <w:pPr>
              <w:rPr>
                <w:rFonts w:ascii="Arial"/>
                <w:color w:val="auto"/>
                <w:sz w:val="21"/>
                <w:highlight w:val="none"/>
              </w:rPr>
            </w:pPr>
          </w:p>
        </w:tc>
        <w:tc>
          <w:tcPr>
            <w:tcW w:w="1423" w:type="dxa"/>
            <w:vAlign w:val="top"/>
          </w:tcPr>
          <w:p w14:paraId="1FB2C13F">
            <w:pPr>
              <w:rPr>
                <w:rFonts w:ascii="Arial"/>
                <w:color w:val="auto"/>
                <w:sz w:val="21"/>
                <w:highlight w:val="none"/>
              </w:rPr>
            </w:pPr>
          </w:p>
        </w:tc>
        <w:tc>
          <w:tcPr>
            <w:tcW w:w="2633" w:type="dxa"/>
            <w:gridSpan w:val="2"/>
            <w:vAlign w:val="top"/>
          </w:tcPr>
          <w:p w14:paraId="35C70CFD">
            <w:pPr>
              <w:rPr>
                <w:rFonts w:ascii="Arial"/>
                <w:color w:val="auto"/>
                <w:sz w:val="21"/>
                <w:highlight w:val="none"/>
              </w:rPr>
            </w:pPr>
          </w:p>
        </w:tc>
      </w:tr>
      <w:tr w14:paraId="095FB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81" w:type="dxa"/>
            <w:vAlign w:val="top"/>
          </w:tcPr>
          <w:p w14:paraId="22D692DE">
            <w:pPr>
              <w:pStyle w:val="12"/>
              <w:spacing w:before="248" w:line="221" w:lineRule="auto"/>
              <w:ind w:left="452"/>
              <w:rPr>
                <w:color w:val="auto"/>
                <w:highlight w:val="none"/>
              </w:rPr>
            </w:pPr>
            <w:r>
              <w:rPr>
                <w:color w:val="auto"/>
                <w:spacing w:val="-7"/>
                <w:highlight w:val="none"/>
              </w:rPr>
              <w:t>开户银行</w:t>
            </w:r>
          </w:p>
        </w:tc>
        <w:tc>
          <w:tcPr>
            <w:tcW w:w="2482" w:type="dxa"/>
            <w:gridSpan w:val="2"/>
            <w:vAlign w:val="top"/>
          </w:tcPr>
          <w:p w14:paraId="017F30A5">
            <w:pPr>
              <w:rPr>
                <w:rFonts w:ascii="Arial"/>
                <w:color w:val="auto"/>
                <w:sz w:val="21"/>
                <w:highlight w:val="none"/>
              </w:rPr>
            </w:pPr>
          </w:p>
        </w:tc>
        <w:tc>
          <w:tcPr>
            <w:tcW w:w="1403" w:type="dxa"/>
            <w:vMerge w:val="continue"/>
            <w:tcBorders>
              <w:top w:val="nil"/>
              <w:bottom w:val="nil"/>
            </w:tcBorders>
            <w:vAlign w:val="top"/>
          </w:tcPr>
          <w:p w14:paraId="16B36B22">
            <w:pPr>
              <w:rPr>
                <w:rFonts w:ascii="Arial"/>
                <w:color w:val="auto"/>
                <w:sz w:val="21"/>
                <w:highlight w:val="none"/>
              </w:rPr>
            </w:pPr>
          </w:p>
        </w:tc>
        <w:tc>
          <w:tcPr>
            <w:tcW w:w="1423" w:type="dxa"/>
            <w:vAlign w:val="top"/>
          </w:tcPr>
          <w:p w14:paraId="65DE32CD">
            <w:pPr>
              <w:rPr>
                <w:rFonts w:ascii="Arial"/>
                <w:color w:val="auto"/>
                <w:sz w:val="21"/>
                <w:highlight w:val="none"/>
              </w:rPr>
            </w:pPr>
          </w:p>
        </w:tc>
        <w:tc>
          <w:tcPr>
            <w:tcW w:w="2633" w:type="dxa"/>
            <w:gridSpan w:val="2"/>
            <w:vAlign w:val="top"/>
          </w:tcPr>
          <w:p w14:paraId="1E2D2446">
            <w:pPr>
              <w:rPr>
                <w:rFonts w:ascii="Arial"/>
                <w:color w:val="auto"/>
                <w:sz w:val="21"/>
                <w:highlight w:val="none"/>
              </w:rPr>
            </w:pPr>
          </w:p>
        </w:tc>
      </w:tr>
      <w:tr w14:paraId="483ED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81" w:type="dxa"/>
            <w:vAlign w:val="top"/>
          </w:tcPr>
          <w:p w14:paraId="464554F9">
            <w:pPr>
              <w:pStyle w:val="12"/>
              <w:spacing w:before="252" w:line="224" w:lineRule="auto"/>
              <w:ind w:left="505"/>
              <w:rPr>
                <w:color w:val="auto"/>
                <w:highlight w:val="none"/>
              </w:rPr>
            </w:pPr>
            <w:r>
              <w:rPr>
                <w:color w:val="auto"/>
                <w:spacing w:val="-7"/>
                <w:highlight w:val="none"/>
              </w:rPr>
              <w:t>账</w:t>
            </w:r>
            <w:r>
              <w:rPr>
                <w:color w:val="auto"/>
                <w:spacing w:val="16"/>
                <w:highlight w:val="none"/>
              </w:rPr>
              <w:t xml:space="preserve">   </w:t>
            </w:r>
            <w:r>
              <w:rPr>
                <w:color w:val="auto"/>
                <w:spacing w:val="-7"/>
                <w:highlight w:val="none"/>
              </w:rPr>
              <w:t>号</w:t>
            </w:r>
          </w:p>
        </w:tc>
        <w:tc>
          <w:tcPr>
            <w:tcW w:w="2482" w:type="dxa"/>
            <w:gridSpan w:val="2"/>
            <w:vAlign w:val="top"/>
          </w:tcPr>
          <w:p w14:paraId="2E468621">
            <w:pPr>
              <w:rPr>
                <w:rFonts w:ascii="Arial"/>
                <w:color w:val="auto"/>
                <w:sz w:val="21"/>
                <w:highlight w:val="none"/>
              </w:rPr>
            </w:pPr>
          </w:p>
        </w:tc>
        <w:tc>
          <w:tcPr>
            <w:tcW w:w="1403" w:type="dxa"/>
            <w:vMerge w:val="continue"/>
            <w:tcBorders>
              <w:top w:val="nil"/>
            </w:tcBorders>
            <w:vAlign w:val="top"/>
          </w:tcPr>
          <w:p w14:paraId="08426DAA">
            <w:pPr>
              <w:rPr>
                <w:rFonts w:ascii="Arial"/>
                <w:color w:val="auto"/>
                <w:sz w:val="21"/>
                <w:highlight w:val="none"/>
              </w:rPr>
            </w:pPr>
          </w:p>
        </w:tc>
        <w:tc>
          <w:tcPr>
            <w:tcW w:w="1423" w:type="dxa"/>
            <w:vAlign w:val="top"/>
          </w:tcPr>
          <w:p w14:paraId="220EE5EB">
            <w:pPr>
              <w:rPr>
                <w:rFonts w:ascii="Arial"/>
                <w:color w:val="auto"/>
                <w:sz w:val="21"/>
                <w:highlight w:val="none"/>
              </w:rPr>
            </w:pPr>
          </w:p>
        </w:tc>
        <w:tc>
          <w:tcPr>
            <w:tcW w:w="2633" w:type="dxa"/>
            <w:gridSpan w:val="2"/>
            <w:vAlign w:val="top"/>
          </w:tcPr>
          <w:p w14:paraId="4191802A">
            <w:pPr>
              <w:rPr>
                <w:rFonts w:ascii="Arial"/>
                <w:color w:val="auto"/>
                <w:sz w:val="21"/>
                <w:highlight w:val="none"/>
              </w:rPr>
            </w:pPr>
          </w:p>
        </w:tc>
      </w:tr>
      <w:tr w14:paraId="3CE41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3" w:hRule="atLeast"/>
        </w:trPr>
        <w:tc>
          <w:tcPr>
            <w:tcW w:w="1781" w:type="dxa"/>
            <w:vAlign w:val="top"/>
          </w:tcPr>
          <w:p w14:paraId="472B600D">
            <w:pPr>
              <w:spacing w:line="246" w:lineRule="auto"/>
              <w:rPr>
                <w:rFonts w:ascii="Arial"/>
                <w:color w:val="auto"/>
                <w:sz w:val="21"/>
                <w:highlight w:val="none"/>
              </w:rPr>
            </w:pPr>
          </w:p>
          <w:p w14:paraId="1ABF9131">
            <w:pPr>
              <w:spacing w:line="246" w:lineRule="auto"/>
              <w:rPr>
                <w:rFonts w:ascii="Arial"/>
                <w:color w:val="auto"/>
                <w:sz w:val="21"/>
                <w:highlight w:val="none"/>
              </w:rPr>
            </w:pPr>
          </w:p>
          <w:p w14:paraId="3D4591AD">
            <w:pPr>
              <w:spacing w:line="246" w:lineRule="auto"/>
              <w:rPr>
                <w:rFonts w:ascii="Arial"/>
                <w:color w:val="auto"/>
                <w:sz w:val="21"/>
                <w:highlight w:val="none"/>
              </w:rPr>
            </w:pPr>
          </w:p>
          <w:p w14:paraId="0C01D216">
            <w:pPr>
              <w:spacing w:line="246" w:lineRule="auto"/>
              <w:rPr>
                <w:rFonts w:ascii="Arial"/>
                <w:color w:val="auto"/>
                <w:sz w:val="21"/>
                <w:highlight w:val="none"/>
              </w:rPr>
            </w:pPr>
          </w:p>
          <w:p w14:paraId="1C896934">
            <w:pPr>
              <w:spacing w:line="247" w:lineRule="auto"/>
              <w:rPr>
                <w:rFonts w:ascii="Arial"/>
                <w:color w:val="auto"/>
                <w:sz w:val="21"/>
                <w:highlight w:val="none"/>
              </w:rPr>
            </w:pPr>
          </w:p>
          <w:p w14:paraId="3B82F848">
            <w:pPr>
              <w:pStyle w:val="12"/>
              <w:spacing w:before="78" w:line="223" w:lineRule="auto"/>
              <w:ind w:left="452"/>
              <w:rPr>
                <w:color w:val="auto"/>
                <w:highlight w:val="none"/>
              </w:rPr>
            </w:pPr>
            <w:r>
              <w:rPr>
                <w:color w:val="auto"/>
                <w:spacing w:val="-7"/>
                <w:highlight w:val="none"/>
              </w:rPr>
              <w:t>经营范围</w:t>
            </w:r>
          </w:p>
        </w:tc>
        <w:tc>
          <w:tcPr>
            <w:tcW w:w="7941" w:type="dxa"/>
            <w:gridSpan w:val="6"/>
            <w:vAlign w:val="top"/>
          </w:tcPr>
          <w:p w14:paraId="1619DBC9">
            <w:pPr>
              <w:rPr>
                <w:rFonts w:ascii="Arial"/>
                <w:color w:val="auto"/>
                <w:sz w:val="21"/>
                <w:highlight w:val="none"/>
              </w:rPr>
            </w:pPr>
          </w:p>
        </w:tc>
      </w:tr>
      <w:tr w14:paraId="2BA46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781" w:type="dxa"/>
            <w:vAlign w:val="top"/>
          </w:tcPr>
          <w:p w14:paraId="18B7FAF2">
            <w:pPr>
              <w:pStyle w:val="12"/>
              <w:spacing w:before="296" w:line="224" w:lineRule="auto"/>
              <w:ind w:left="519"/>
              <w:rPr>
                <w:color w:val="auto"/>
                <w:highlight w:val="none"/>
              </w:rPr>
            </w:pPr>
            <w:r>
              <w:rPr>
                <w:color w:val="auto"/>
                <w:spacing w:val="-9"/>
                <w:highlight w:val="none"/>
              </w:rPr>
              <w:t>备</w:t>
            </w:r>
            <w:r>
              <w:rPr>
                <w:color w:val="auto"/>
                <w:spacing w:val="15"/>
                <w:highlight w:val="none"/>
              </w:rPr>
              <w:t xml:space="preserve">   </w:t>
            </w:r>
            <w:r>
              <w:rPr>
                <w:color w:val="auto"/>
                <w:spacing w:val="-9"/>
                <w:highlight w:val="none"/>
              </w:rPr>
              <w:t>注</w:t>
            </w:r>
          </w:p>
        </w:tc>
        <w:tc>
          <w:tcPr>
            <w:tcW w:w="7941" w:type="dxa"/>
            <w:gridSpan w:val="6"/>
            <w:vAlign w:val="top"/>
          </w:tcPr>
          <w:p w14:paraId="1909362D">
            <w:pPr>
              <w:rPr>
                <w:rFonts w:ascii="Arial"/>
                <w:color w:val="auto"/>
                <w:sz w:val="21"/>
                <w:highlight w:val="none"/>
              </w:rPr>
            </w:pPr>
          </w:p>
        </w:tc>
      </w:tr>
    </w:tbl>
    <w:p w14:paraId="1B2CD675">
      <w:pPr>
        <w:spacing w:before="234" w:line="233" w:lineRule="auto"/>
        <w:ind w:left="410" w:right="1601" w:firstLine="8"/>
        <w:rPr>
          <w:rFonts w:ascii="仿宋" w:hAnsi="仿宋" w:eastAsia="仿宋" w:cs="仿宋"/>
          <w:color w:val="auto"/>
          <w:sz w:val="18"/>
          <w:szCs w:val="18"/>
          <w:highlight w:val="none"/>
        </w:rPr>
      </w:pPr>
      <w:r>
        <w:rPr>
          <w:rFonts w:ascii="仿宋" w:hAnsi="仿宋" w:eastAsia="仿宋" w:cs="仿宋"/>
          <w:b/>
          <w:bCs/>
          <w:color w:val="auto"/>
          <w:spacing w:val="13"/>
          <w:sz w:val="24"/>
          <w:szCs w:val="24"/>
          <w:highlight w:val="none"/>
        </w:rPr>
        <w:t>注：</w:t>
      </w:r>
      <w:r>
        <w:rPr>
          <w:rFonts w:ascii="仿宋" w:hAnsi="仿宋" w:eastAsia="仿宋" w:cs="仿宋"/>
          <w:b/>
          <w:bCs/>
          <w:color w:val="auto"/>
          <w:spacing w:val="13"/>
          <w:sz w:val="18"/>
          <w:szCs w:val="18"/>
          <w:highlight w:val="none"/>
        </w:rPr>
        <w:t>本表后应附企业法人营业执照、</w:t>
      </w:r>
      <w:r>
        <w:rPr>
          <w:rFonts w:ascii="仿宋" w:hAnsi="仿宋" w:eastAsia="仿宋" w:cs="仿宋"/>
          <w:color w:val="auto"/>
          <w:spacing w:val="-35"/>
          <w:sz w:val="18"/>
          <w:szCs w:val="18"/>
          <w:highlight w:val="none"/>
        </w:rPr>
        <w:t xml:space="preserve"> </w:t>
      </w:r>
      <w:r>
        <w:rPr>
          <w:rFonts w:ascii="仿宋" w:hAnsi="仿宋" w:eastAsia="仿宋" w:cs="仿宋"/>
          <w:b/>
          <w:bCs/>
          <w:color w:val="auto"/>
          <w:spacing w:val="13"/>
          <w:sz w:val="18"/>
          <w:szCs w:val="18"/>
          <w:highlight w:val="none"/>
        </w:rPr>
        <w:t>资质证书、安全生产许可证、</w:t>
      </w:r>
      <w:r>
        <w:rPr>
          <w:rFonts w:ascii="仿宋" w:hAnsi="仿宋" w:eastAsia="仿宋" w:cs="仿宋"/>
          <w:color w:val="auto"/>
          <w:spacing w:val="13"/>
          <w:sz w:val="18"/>
          <w:szCs w:val="18"/>
          <w:highlight w:val="none"/>
        </w:rPr>
        <w:t xml:space="preserve"> </w:t>
      </w:r>
      <w:r>
        <w:rPr>
          <w:rFonts w:ascii="仿宋" w:hAnsi="仿宋" w:eastAsia="仿宋" w:cs="仿宋"/>
          <w:b/>
          <w:bCs/>
          <w:color w:val="auto"/>
          <w:spacing w:val="13"/>
          <w:sz w:val="18"/>
          <w:szCs w:val="18"/>
          <w:highlight w:val="none"/>
        </w:rPr>
        <w:t>。</w:t>
      </w:r>
      <w:r>
        <w:rPr>
          <w:rFonts w:ascii="仿宋" w:hAnsi="仿宋" w:eastAsia="仿宋" w:cs="仿宋"/>
          <w:color w:val="auto"/>
          <w:spacing w:val="-68"/>
          <w:sz w:val="18"/>
          <w:szCs w:val="18"/>
          <w:highlight w:val="none"/>
        </w:rPr>
        <w:t xml:space="preserve"> </w:t>
      </w:r>
      <w:r>
        <w:rPr>
          <w:rFonts w:ascii="仿宋" w:hAnsi="仿宋" w:eastAsia="仿宋" w:cs="仿宋"/>
          <w:b/>
          <w:bCs/>
          <w:color w:val="auto"/>
          <w:spacing w:val="13"/>
          <w:sz w:val="18"/>
          <w:szCs w:val="18"/>
          <w:highlight w:val="none"/>
        </w:rPr>
        <w:t>（供应商可根据本</w:t>
      </w:r>
      <w:r>
        <w:rPr>
          <w:rFonts w:ascii="仿宋" w:hAnsi="仿宋" w:eastAsia="仿宋" w:cs="仿宋"/>
          <w:b/>
          <w:bCs/>
          <w:color w:val="auto"/>
          <w:spacing w:val="1"/>
          <w:sz w:val="18"/>
          <w:szCs w:val="18"/>
          <w:highlight w:val="none"/>
        </w:rPr>
        <w:t>表</w:t>
      </w:r>
      <w:r>
        <w:rPr>
          <w:rFonts w:ascii="仿宋" w:hAnsi="仿宋" w:eastAsia="仿宋" w:cs="仿宋"/>
          <w:color w:val="auto"/>
          <w:spacing w:val="-32"/>
          <w:sz w:val="18"/>
          <w:szCs w:val="18"/>
          <w:highlight w:val="none"/>
        </w:rPr>
        <w:t xml:space="preserve"> </w:t>
      </w:r>
      <w:r>
        <w:rPr>
          <w:rFonts w:ascii="仿宋" w:hAnsi="仿宋" w:eastAsia="仿宋" w:cs="仿宋"/>
          <w:b/>
          <w:bCs/>
          <w:color w:val="auto"/>
          <w:spacing w:val="1"/>
          <w:sz w:val="18"/>
          <w:szCs w:val="18"/>
          <w:highlight w:val="none"/>
        </w:rPr>
        <w:t>自行编制）</w:t>
      </w:r>
    </w:p>
    <w:p w14:paraId="5F968B46">
      <w:pPr>
        <w:spacing w:line="233" w:lineRule="auto"/>
        <w:rPr>
          <w:rFonts w:ascii="仿宋" w:hAnsi="仿宋" w:eastAsia="仿宋" w:cs="仿宋"/>
          <w:color w:val="auto"/>
          <w:sz w:val="18"/>
          <w:szCs w:val="18"/>
          <w:highlight w:val="none"/>
        </w:rPr>
        <w:sectPr>
          <w:footerReference r:id="rId69" w:type="default"/>
          <w:pgSz w:w="11906" w:h="16840"/>
          <w:pgMar w:top="400" w:right="392" w:bottom="1101" w:left="1785" w:header="0" w:footer="932" w:gutter="0"/>
          <w:pgNumType w:fmt="decimal"/>
          <w:cols w:space="720" w:num="1"/>
        </w:sectPr>
      </w:pPr>
    </w:p>
    <w:p w14:paraId="586D1B74">
      <w:pPr>
        <w:pStyle w:val="3"/>
        <w:spacing w:line="260" w:lineRule="auto"/>
        <w:rPr>
          <w:color w:val="auto"/>
          <w:highlight w:val="none"/>
        </w:rPr>
      </w:pPr>
    </w:p>
    <w:p w14:paraId="1EA62500">
      <w:pPr>
        <w:pStyle w:val="3"/>
        <w:spacing w:line="261" w:lineRule="auto"/>
        <w:rPr>
          <w:color w:val="auto"/>
          <w:highlight w:val="none"/>
        </w:rPr>
      </w:pPr>
    </w:p>
    <w:p w14:paraId="6324A334">
      <w:pPr>
        <w:pStyle w:val="3"/>
        <w:spacing w:line="261" w:lineRule="auto"/>
        <w:rPr>
          <w:color w:val="auto"/>
          <w:highlight w:val="none"/>
        </w:rPr>
      </w:pPr>
    </w:p>
    <w:p w14:paraId="1723160F">
      <w:pPr>
        <w:spacing w:before="91" w:line="223" w:lineRule="auto"/>
        <w:ind w:left="3398"/>
        <w:rPr>
          <w:rFonts w:ascii="仿宋" w:hAnsi="仿宋" w:eastAsia="仿宋" w:cs="仿宋"/>
          <w:color w:val="auto"/>
          <w:sz w:val="28"/>
          <w:szCs w:val="28"/>
          <w:highlight w:val="none"/>
        </w:rPr>
      </w:pPr>
      <w:r>
        <w:rPr>
          <w:rFonts w:ascii="仿宋" w:hAnsi="仿宋" w:eastAsia="仿宋" w:cs="仿宋"/>
          <w:color w:val="auto"/>
          <w:spacing w:val="-9"/>
          <w:sz w:val="28"/>
          <w:szCs w:val="28"/>
          <w:highlight w:val="none"/>
        </w:rPr>
        <w:t>6.2</w:t>
      </w:r>
      <w:r>
        <w:rPr>
          <w:rFonts w:ascii="仿宋" w:hAnsi="仿宋" w:eastAsia="仿宋" w:cs="仿宋"/>
          <w:color w:val="auto"/>
          <w:spacing w:val="-18"/>
          <w:sz w:val="28"/>
          <w:szCs w:val="28"/>
          <w:highlight w:val="none"/>
        </w:rPr>
        <w:t xml:space="preserve"> </w:t>
      </w:r>
      <w:r>
        <w:rPr>
          <w:rFonts w:ascii="仿宋" w:hAnsi="仿宋" w:eastAsia="仿宋" w:cs="仿宋"/>
          <w:color w:val="auto"/>
          <w:spacing w:val="-9"/>
          <w:sz w:val="28"/>
          <w:szCs w:val="28"/>
          <w:highlight w:val="none"/>
        </w:rPr>
        <w:t>财务情况</w:t>
      </w:r>
    </w:p>
    <w:p w14:paraId="47452111">
      <w:pPr>
        <w:spacing w:line="223" w:lineRule="auto"/>
        <w:rPr>
          <w:rFonts w:ascii="仿宋" w:hAnsi="仿宋" w:eastAsia="仿宋" w:cs="仿宋"/>
          <w:color w:val="auto"/>
          <w:sz w:val="28"/>
          <w:szCs w:val="28"/>
          <w:highlight w:val="none"/>
        </w:rPr>
        <w:sectPr>
          <w:footerReference r:id="rId70" w:type="default"/>
          <w:pgSz w:w="11906" w:h="16840"/>
          <w:pgMar w:top="400" w:right="1785" w:bottom="1101" w:left="1785" w:header="0" w:footer="932" w:gutter="0"/>
          <w:pgNumType w:fmt="decimal"/>
          <w:cols w:space="720" w:num="1"/>
        </w:sectPr>
      </w:pPr>
    </w:p>
    <w:p w14:paraId="552E4022">
      <w:pPr>
        <w:pStyle w:val="3"/>
        <w:spacing w:line="266" w:lineRule="auto"/>
        <w:rPr>
          <w:color w:val="auto"/>
          <w:highlight w:val="none"/>
        </w:rPr>
      </w:pPr>
    </w:p>
    <w:p w14:paraId="52B25560">
      <w:pPr>
        <w:pStyle w:val="3"/>
        <w:spacing w:line="266" w:lineRule="auto"/>
        <w:rPr>
          <w:color w:val="auto"/>
          <w:highlight w:val="none"/>
        </w:rPr>
      </w:pPr>
    </w:p>
    <w:p w14:paraId="1C60636A">
      <w:pPr>
        <w:pStyle w:val="3"/>
        <w:spacing w:line="267" w:lineRule="auto"/>
        <w:rPr>
          <w:color w:val="auto"/>
          <w:highlight w:val="none"/>
        </w:rPr>
      </w:pPr>
    </w:p>
    <w:p w14:paraId="526FE903">
      <w:pPr>
        <w:pStyle w:val="3"/>
        <w:spacing w:line="267" w:lineRule="auto"/>
        <w:rPr>
          <w:color w:val="auto"/>
          <w:highlight w:val="none"/>
        </w:rPr>
      </w:pPr>
    </w:p>
    <w:p w14:paraId="2C06D162">
      <w:pPr>
        <w:spacing w:before="91" w:line="222" w:lineRule="auto"/>
        <w:ind w:left="3256"/>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6.3</w:t>
      </w:r>
      <w:r>
        <w:rPr>
          <w:rFonts w:ascii="仿宋" w:hAnsi="仿宋" w:eastAsia="仿宋" w:cs="仿宋"/>
          <w:color w:val="auto"/>
          <w:spacing w:val="-24"/>
          <w:sz w:val="28"/>
          <w:szCs w:val="28"/>
          <w:highlight w:val="none"/>
        </w:rPr>
        <w:t xml:space="preserve"> </w:t>
      </w:r>
      <w:r>
        <w:rPr>
          <w:rFonts w:ascii="仿宋" w:hAnsi="仿宋" w:eastAsia="仿宋" w:cs="仿宋"/>
          <w:color w:val="auto"/>
          <w:spacing w:val="-8"/>
          <w:sz w:val="28"/>
          <w:szCs w:val="28"/>
          <w:highlight w:val="none"/>
        </w:rPr>
        <w:t>社保及完税</w:t>
      </w:r>
    </w:p>
    <w:p w14:paraId="69A33416">
      <w:pPr>
        <w:spacing w:line="222" w:lineRule="auto"/>
        <w:rPr>
          <w:rFonts w:ascii="仿宋" w:hAnsi="仿宋" w:eastAsia="仿宋" w:cs="仿宋"/>
          <w:color w:val="auto"/>
          <w:sz w:val="28"/>
          <w:szCs w:val="28"/>
          <w:highlight w:val="none"/>
        </w:rPr>
        <w:sectPr>
          <w:footerReference r:id="rId71" w:type="default"/>
          <w:pgSz w:w="11906" w:h="16840"/>
          <w:pgMar w:top="400" w:right="1785" w:bottom="1157" w:left="1785" w:header="0" w:footer="911" w:gutter="0"/>
          <w:pgNumType w:fmt="decimal"/>
          <w:cols w:space="720" w:num="1"/>
        </w:sectPr>
      </w:pPr>
    </w:p>
    <w:p w14:paraId="0808B260">
      <w:pPr>
        <w:pStyle w:val="3"/>
        <w:spacing w:line="260" w:lineRule="auto"/>
        <w:rPr>
          <w:color w:val="auto"/>
          <w:highlight w:val="none"/>
        </w:rPr>
      </w:pPr>
    </w:p>
    <w:p w14:paraId="61D29884">
      <w:pPr>
        <w:pStyle w:val="3"/>
        <w:spacing w:line="261" w:lineRule="auto"/>
        <w:rPr>
          <w:color w:val="auto"/>
          <w:highlight w:val="none"/>
        </w:rPr>
      </w:pPr>
    </w:p>
    <w:p w14:paraId="6A9E04FB">
      <w:pPr>
        <w:pStyle w:val="3"/>
        <w:spacing w:line="261" w:lineRule="auto"/>
        <w:rPr>
          <w:color w:val="auto"/>
          <w:highlight w:val="none"/>
        </w:rPr>
      </w:pPr>
    </w:p>
    <w:p w14:paraId="03AD9C82">
      <w:pPr>
        <w:spacing w:before="91" w:line="223" w:lineRule="auto"/>
        <w:ind w:left="3429"/>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七、项目管理机构</w:t>
      </w:r>
    </w:p>
    <w:p w14:paraId="6401BD96">
      <w:pPr>
        <w:pStyle w:val="3"/>
        <w:spacing w:line="247" w:lineRule="auto"/>
        <w:rPr>
          <w:color w:val="auto"/>
          <w:highlight w:val="none"/>
        </w:rPr>
      </w:pPr>
    </w:p>
    <w:p w14:paraId="7254AAAB">
      <w:pPr>
        <w:pStyle w:val="3"/>
        <w:spacing w:line="248" w:lineRule="auto"/>
        <w:rPr>
          <w:color w:val="auto"/>
          <w:highlight w:val="none"/>
        </w:rPr>
      </w:pPr>
    </w:p>
    <w:p w14:paraId="04EF9627">
      <w:pPr>
        <w:spacing w:before="98" w:line="222" w:lineRule="auto"/>
        <w:ind w:left="3319"/>
        <w:rPr>
          <w:rFonts w:ascii="仿宋" w:hAnsi="仿宋" w:eastAsia="仿宋" w:cs="仿宋"/>
          <w:color w:val="auto"/>
          <w:sz w:val="30"/>
          <w:szCs w:val="30"/>
          <w:highlight w:val="none"/>
        </w:rPr>
      </w:pPr>
      <w:r>
        <w:rPr>
          <w:rFonts w:ascii="仿宋" w:hAnsi="仿宋" w:eastAsia="仿宋" w:cs="仿宋"/>
          <w:b/>
          <w:bCs/>
          <w:color w:val="auto"/>
          <w:spacing w:val="-14"/>
          <w:sz w:val="30"/>
          <w:szCs w:val="30"/>
          <w:highlight w:val="none"/>
        </w:rPr>
        <w:t>7.1</w:t>
      </w:r>
      <w:r>
        <w:rPr>
          <w:rFonts w:ascii="仿宋" w:hAnsi="仿宋" w:eastAsia="仿宋" w:cs="仿宋"/>
          <w:color w:val="auto"/>
          <w:spacing w:val="-14"/>
          <w:sz w:val="30"/>
          <w:szCs w:val="30"/>
          <w:highlight w:val="none"/>
        </w:rPr>
        <w:t xml:space="preserve"> </w:t>
      </w:r>
      <w:r>
        <w:rPr>
          <w:rFonts w:ascii="仿宋" w:hAnsi="仿宋" w:eastAsia="仿宋" w:cs="仿宋"/>
          <w:b/>
          <w:bCs/>
          <w:color w:val="auto"/>
          <w:spacing w:val="-14"/>
          <w:sz w:val="30"/>
          <w:szCs w:val="30"/>
          <w:highlight w:val="none"/>
        </w:rPr>
        <w:t>项目管理机构组成表</w:t>
      </w:r>
    </w:p>
    <w:p w14:paraId="0A2CD573">
      <w:pPr>
        <w:spacing w:line="66" w:lineRule="exact"/>
        <w:rPr>
          <w:color w:val="auto"/>
          <w:highlight w:val="none"/>
        </w:rPr>
      </w:pPr>
    </w:p>
    <w:tbl>
      <w:tblPr>
        <w:tblStyle w:val="11"/>
        <w:tblW w:w="8742"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3"/>
        <w:gridCol w:w="675"/>
        <w:gridCol w:w="763"/>
        <w:gridCol w:w="1184"/>
        <w:gridCol w:w="811"/>
        <w:gridCol w:w="859"/>
        <w:gridCol w:w="960"/>
        <w:gridCol w:w="1348"/>
        <w:gridCol w:w="689"/>
      </w:tblGrid>
      <w:tr w14:paraId="143A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453" w:type="dxa"/>
            <w:vMerge w:val="restart"/>
            <w:tcBorders>
              <w:bottom w:val="nil"/>
            </w:tcBorders>
            <w:vAlign w:val="top"/>
          </w:tcPr>
          <w:p w14:paraId="3DB4B65F">
            <w:pPr>
              <w:spacing w:line="255" w:lineRule="auto"/>
              <w:rPr>
                <w:rFonts w:ascii="Arial"/>
                <w:color w:val="auto"/>
                <w:sz w:val="21"/>
                <w:highlight w:val="none"/>
              </w:rPr>
            </w:pPr>
          </w:p>
          <w:p w14:paraId="6B813BFF">
            <w:pPr>
              <w:spacing w:line="255" w:lineRule="auto"/>
              <w:rPr>
                <w:rFonts w:ascii="Arial"/>
                <w:color w:val="auto"/>
                <w:sz w:val="21"/>
                <w:highlight w:val="none"/>
              </w:rPr>
            </w:pPr>
          </w:p>
          <w:p w14:paraId="628CA21B">
            <w:pPr>
              <w:spacing w:line="256" w:lineRule="auto"/>
              <w:rPr>
                <w:rFonts w:ascii="Arial"/>
                <w:color w:val="auto"/>
                <w:sz w:val="21"/>
                <w:highlight w:val="none"/>
              </w:rPr>
            </w:pPr>
          </w:p>
          <w:p w14:paraId="3EE3EDC4">
            <w:pPr>
              <w:pStyle w:val="12"/>
              <w:spacing w:before="78" w:line="223" w:lineRule="auto"/>
              <w:ind w:left="523"/>
              <w:rPr>
                <w:color w:val="auto"/>
                <w:highlight w:val="none"/>
              </w:rPr>
            </w:pPr>
            <w:r>
              <w:rPr>
                <w:color w:val="auto"/>
                <w:spacing w:val="-8"/>
                <w:highlight w:val="none"/>
              </w:rPr>
              <w:t>职务</w:t>
            </w:r>
          </w:p>
        </w:tc>
        <w:tc>
          <w:tcPr>
            <w:tcW w:w="675" w:type="dxa"/>
            <w:vMerge w:val="restart"/>
            <w:tcBorders>
              <w:bottom w:val="nil"/>
            </w:tcBorders>
            <w:textDirection w:val="tbRlV"/>
            <w:vAlign w:val="top"/>
          </w:tcPr>
          <w:p w14:paraId="5C1CBA17">
            <w:pPr>
              <w:pStyle w:val="12"/>
              <w:spacing w:before="232" w:line="192" w:lineRule="auto"/>
              <w:ind w:left="653"/>
              <w:rPr>
                <w:color w:val="auto"/>
                <w:highlight w:val="none"/>
              </w:rPr>
            </w:pPr>
            <w:r>
              <w:rPr>
                <w:color w:val="auto"/>
                <w:highlight w:val="none"/>
              </w:rPr>
              <w:t>姓</w:t>
            </w:r>
            <w:r>
              <w:rPr>
                <w:color w:val="auto"/>
                <w:spacing w:val="-44"/>
                <w:highlight w:val="none"/>
              </w:rPr>
              <w:t xml:space="preserve"> </w:t>
            </w:r>
            <w:r>
              <w:rPr>
                <w:color w:val="auto"/>
                <w:highlight w:val="none"/>
              </w:rPr>
              <w:t>名</w:t>
            </w:r>
          </w:p>
        </w:tc>
        <w:tc>
          <w:tcPr>
            <w:tcW w:w="763" w:type="dxa"/>
            <w:vMerge w:val="restart"/>
            <w:tcBorders>
              <w:bottom w:val="nil"/>
            </w:tcBorders>
            <w:vAlign w:val="top"/>
          </w:tcPr>
          <w:p w14:paraId="3A57AD36">
            <w:pPr>
              <w:spacing w:line="253" w:lineRule="auto"/>
              <w:rPr>
                <w:rFonts w:ascii="Arial"/>
                <w:color w:val="auto"/>
                <w:sz w:val="21"/>
                <w:highlight w:val="none"/>
              </w:rPr>
            </w:pPr>
          </w:p>
          <w:p w14:paraId="6DEC5E10">
            <w:pPr>
              <w:spacing w:line="254" w:lineRule="auto"/>
              <w:rPr>
                <w:rFonts w:ascii="Arial"/>
                <w:color w:val="auto"/>
                <w:sz w:val="21"/>
                <w:highlight w:val="none"/>
              </w:rPr>
            </w:pPr>
          </w:p>
          <w:p w14:paraId="3767B1A4">
            <w:pPr>
              <w:spacing w:line="254" w:lineRule="auto"/>
              <w:rPr>
                <w:rFonts w:ascii="Arial"/>
                <w:color w:val="auto"/>
                <w:sz w:val="21"/>
                <w:highlight w:val="none"/>
              </w:rPr>
            </w:pPr>
          </w:p>
          <w:p w14:paraId="3629BBAC">
            <w:pPr>
              <w:pStyle w:val="12"/>
              <w:spacing w:before="78" w:line="221" w:lineRule="auto"/>
              <w:ind w:left="176"/>
              <w:rPr>
                <w:color w:val="auto"/>
                <w:highlight w:val="none"/>
              </w:rPr>
            </w:pPr>
            <w:r>
              <w:rPr>
                <w:color w:val="auto"/>
                <w:spacing w:val="-8"/>
                <w:highlight w:val="none"/>
              </w:rPr>
              <w:t>职称</w:t>
            </w:r>
          </w:p>
        </w:tc>
        <w:tc>
          <w:tcPr>
            <w:tcW w:w="5162" w:type="dxa"/>
            <w:gridSpan w:val="5"/>
            <w:vAlign w:val="top"/>
          </w:tcPr>
          <w:p w14:paraId="153BDFBD">
            <w:pPr>
              <w:spacing w:line="273" w:lineRule="auto"/>
              <w:rPr>
                <w:rFonts w:ascii="Arial"/>
                <w:color w:val="auto"/>
                <w:sz w:val="21"/>
                <w:highlight w:val="none"/>
              </w:rPr>
            </w:pPr>
          </w:p>
          <w:p w14:paraId="16F27EB6">
            <w:pPr>
              <w:pStyle w:val="12"/>
              <w:spacing w:before="78" w:line="222" w:lineRule="auto"/>
              <w:ind w:left="1542"/>
              <w:rPr>
                <w:color w:val="auto"/>
                <w:highlight w:val="none"/>
              </w:rPr>
            </w:pPr>
            <w:r>
              <w:rPr>
                <w:color w:val="auto"/>
                <w:spacing w:val="-5"/>
                <w:highlight w:val="none"/>
              </w:rPr>
              <w:t>执业或职业资格证明</w:t>
            </w:r>
          </w:p>
        </w:tc>
        <w:tc>
          <w:tcPr>
            <w:tcW w:w="689" w:type="dxa"/>
            <w:textDirection w:val="tbRlV"/>
            <w:vAlign w:val="top"/>
          </w:tcPr>
          <w:p w14:paraId="34E7C97B">
            <w:pPr>
              <w:pStyle w:val="12"/>
              <w:spacing w:before="225" w:line="190" w:lineRule="auto"/>
              <w:ind w:left="160"/>
              <w:rPr>
                <w:color w:val="auto"/>
                <w:highlight w:val="none"/>
              </w:rPr>
            </w:pPr>
            <w:r>
              <w:rPr>
                <w:color w:val="auto"/>
                <w:highlight w:val="none"/>
              </w:rPr>
              <w:t>备</w:t>
            </w:r>
            <w:r>
              <w:rPr>
                <w:color w:val="auto"/>
                <w:spacing w:val="-44"/>
                <w:highlight w:val="none"/>
              </w:rPr>
              <w:t xml:space="preserve"> </w:t>
            </w:r>
            <w:r>
              <w:rPr>
                <w:color w:val="auto"/>
                <w:highlight w:val="none"/>
              </w:rPr>
              <w:t>注</w:t>
            </w:r>
          </w:p>
        </w:tc>
      </w:tr>
      <w:tr w14:paraId="695D7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453" w:type="dxa"/>
            <w:vMerge w:val="continue"/>
            <w:tcBorders>
              <w:top w:val="nil"/>
            </w:tcBorders>
            <w:vAlign w:val="top"/>
          </w:tcPr>
          <w:p w14:paraId="0805FC67">
            <w:pPr>
              <w:rPr>
                <w:rFonts w:ascii="Arial"/>
                <w:color w:val="auto"/>
                <w:sz w:val="21"/>
                <w:highlight w:val="none"/>
              </w:rPr>
            </w:pPr>
          </w:p>
        </w:tc>
        <w:tc>
          <w:tcPr>
            <w:tcW w:w="675" w:type="dxa"/>
            <w:vMerge w:val="continue"/>
            <w:tcBorders>
              <w:top w:val="nil"/>
            </w:tcBorders>
            <w:textDirection w:val="tbRlV"/>
            <w:vAlign w:val="top"/>
          </w:tcPr>
          <w:p w14:paraId="19BF071D">
            <w:pPr>
              <w:rPr>
                <w:rFonts w:ascii="Arial"/>
                <w:color w:val="auto"/>
                <w:sz w:val="21"/>
                <w:highlight w:val="none"/>
              </w:rPr>
            </w:pPr>
          </w:p>
        </w:tc>
        <w:tc>
          <w:tcPr>
            <w:tcW w:w="763" w:type="dxa"/>
            <w:vMerge w:val="continue"/>
            <w:tcBorders>
              <w:top w:val="nil"/>
            </w:tcBorders>
            <w:vAlign w:val="top"/>
          </w:tcPr>
          <w:p w14:paraId="7F68161C">
            <w:pPr>
              <w:rPr>
                <w:rFonts w:ascii="Arial"/>
                <w:color w:val="auto"/>
                <w:sz w:val="21"/>
                <w:highlight w:val="none"/>
              </w:rPr>
            </w:pPr>
          </w:p>
        </w:tc>
        <w:tc>
          <w:tcPr>
            <w:tcW w:w="1184" w:type="dxa"/>
            <w:vAlign w:val="top"/>
          </w:tcPr>
          <w:p w14:paraId="7930FAEB">
            <w:pPr>
              <w:spacing w:line="315" w:lineRule="auto"/>
              <w:rPr>
                <w:rFonts w:ascii="Arial"/>
                <w:color w:val="auto"/>
                <w:sz w:val="21"/>
                <w:highlight w:val="none"/>
              </w:rPr>
            </w:pPr>
          </w:p>
          <w:p w14:paraId="021F4D38">
            <w:pPr>
              <w:pStyle w:val="12"/>
              <w:spacing w:before="78" w:line="221" w:lineRule="auto"/>
              <w:ind w:left="148"/>
              <w:rPr>
                <w:color w:val="auto"/>
                <w:highlight w:val="none"/>
              </w:rPr>
            </w:pPr>
            <w:r>
              <w:rPr>
                <w:color w:val="auto"/>
                <w:spacing w:val="-7"/>
                <w:highlight w:val="none"/>
              </w:rPr>
              <w:t>证书名称</w:t>
            </w:r>
          </w:p>
        </w:tc>
        <w:tc>
          <w:tcPr>
            <w:tcW w:w="811" w:type="dxa"/>
            <w:vAlign w:val="top"/>
          </w:tcPr>
          <w:p w14:paraId="650A7F42">
            <w:pPr>
              <w:spacing w:line="322" w:lineRule="auto"/>
              <w:rPr>
                <w:rFonts w:ascii="Arial"/>
                <w:color w:val="auto"/>
                <w:sz w:val="21"/>
                <w:highlight w:val="none"/>
              </w:rPr>
            </w:pPr>
          </w:p>
          <w:p w14:paraId="3E44BF4C">
            <w:pPr>
              <w:pStyle w:val="12"/>
              <w:spacing w:before="78" w:line="223" w:lineRule="auto"/>
              <w:ind w:left="215"/>
              <w:rPr>
                <w:color w:val="auto"/>
                <w:highlight w:val="none"/>
              </w:rPr>
            </w:pPr>
            <w:r>
              <w:rPr>
                <w:color w:val="auto"/>
                <w:spacing w:val="-10"/>
                <w:highlight w:val="none"/>
              </w:rPr>
              <w:t>级别</w:t>
            </w:r>
          </w:p>
        </w:tc>
        <w:tc>
          <w:tcPr>
            <w:tcW w:w="859" w:type="dxa"/>
            <w:vAlign w:val="top"/>
          </w:tcPr>
          <w:p w14:paraId="6C5C1E30">
            <w:pPr>
              <w:spacing w:line="322" w:lineRule="auto"/>
              <w:rPr>
                <w:rFonts w:ascii="Arial"/>
                <w:color w:val="auto"/>
                <w:sz w:val="21"/>
                <w:highlight w:val="none"/>
              </w:rPr>
            </w:pPr>
          </w:p>
          <w:p w14:paraId="7BD72347">
            <w:pPr>
              <w:pStyle w:val="12"/>
              <w:spacing w:before="78" w:line="224" w:lineRule="auto"/>
              <w:ind w:left="231"/>
              <w:rPr>
                <w:color w:val="auto"/>
                <w:highlight w:val="none"/>
              </w:rPr>
            </w:pPr>
            <w:r>
              <w:rPr>
                <w:color w:val="auto"/>
                <w:spacing w:val="-8"/>
                <w:highlight w:val="none"/>
              </w:rPr>
              <w:t>证号</w:t>
            </w:r>
          </w:p>
        </w:tc>
        <w:tc>
          <w:tcPr>
            <w:tcW w:w="960" w:type="dxa"/>
            <w:vAlign w:val="top"/>
          </w:tcPr>
          <w:p w14:paraId="41F6CD3D">
            <w:pPr>
              <w:spacing w:line="322" w:lineRule="auto"/>
              <w:rPr>
                <w:rFonts w:ascii="Arial"/>
                <w:color w:val="auto"/>
                <w:sz w:val="21"/>
                <w:highlight w:val="none"/>
              </w:rPr>
            </w:pPr>
          </w:p>
          <w:p w14:paraId="306BA8BF">
            <w:pPr>
              <w:pStyle w:val="12"/>
              <w:spacing w:before="78" w:line="224" w:lineRule="auto"/>
              <w:ind w:left="295"/>
              <w:rPr>
                <w:color w:val="auto"/>
                <w:highlight w:val="none"/>
              </w:rPr>
            </w:pPr>
            <w:r>
              <w:rPr>
                <w:color w:val="auto"/>
                <w:spacing w:val="-10"/>
                <w:highlight w:val="none"/>
              </w:rPr>
              <w:t>专业</w:t>
            </w:r>
          </w:p>
        </w:tc>
        <w:tc>
          <w:tcPr>
            <w:tcW w:w="1348" w:type="dxa"/>
            <w:vAlign w:val="top"/>
          </w:tcPr>
          <w:p w14:paraId="07186589">
            <w:pPr>
              <w:spacing w:line="315" w:lineRule="auto"/>
              <w:rPr>
                <w:rFonts w:ascii="Arial"/>
                <w:color w:val="auto"/>
                <w:sz w:val="21"/>
                <w:highlight w:val="none"/>
              </w:rPr>
            </w:pPr>
          </w:p>
          <w:p w14:paraId="2A4331ED">
            <w:pPr>
              <w:pStyle w:val="12"/>
              <w:spacing w:before="78" w:line="221" w:lineRule="auto"/>
              <w:ind w:left="244"/>
              <w:rPr>
                <w:color w:val="auto"/>
                <w:highlight w:val="none"/>
              </w:rPr>
            </w:pPr>
            <w:r>
              <w:rPr>
                <w:color w:val="auto"/>
                <w:spacing w:val="-7"/>
                <w:highlight w:val="none"/>
              </w:rPr>
              <w:t>养老保险</w:t>
            </w:r>
          </w:p>
        </w:tc>
        <w:tc>
          <w:tcPr>
            <w:tcW w:w="689" w:type="dxa"/>
            <w:vAlign w:val="top"/>
          </w:tcPr>
          <w:p w14:paraId="3894AFEB">
            <w:pPr>
              <w:rPr>
                <w:rFonts w:ascii="Arial"/>
                <w:color w:val="auto"/>
                <w:sz w:val="21"/>
                <w:highlight w:val="none"/>
              </w:rPr>
            </w:pPr>
          </w:p>
        </w:tc>
      </w:tr>
      <w:tr w14:paraId="1C504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3" w:type="dxa"/>
            <w:vAlign w:val="top"/>
          </w:tcPr>
          <w:p w14:paraId="737652CC">
            <w:pPr>
              <w:rPr>
                <w:rFonts w:ascii="Arial"/>
                <w:color w:val="auto"/>
                <w:sz w:val="21"/>
                <w:highlight w:val="none"/>
              </w:rPr>
            </w:pPr>
          </w:p>
        </w:tc>
        <w:tc>
          <w:tcPr>
            <w:tcW w:w="675" w:type="dxa"/>
            <w:vAlign w:val="top"/>
          </w:tcPr>
          <w:p w14:paraId="47421BF6">
            <w:pPr>
              <w:rPr>
                <w:rFonts w:ascii="Arial"/>
                <w:color w:val="auto"/>
                <w:sz w:val="21"/>
                <w:highlight w:val="none"/>
              </w:rPr>
            </w:pPr>
          </w:p>
        </w:tc>
        <w:tc>
          <w:tcPr>
            <w:tcW w:w="763" w:type="dxa"/>
            <w:vAlign w:val="top"/>
          </w:tcPr>
          <w:p w14:paraId="4759332B">
            <w:pPr>
              <w:rPr>
                <w:rFonts w:ascii="Arial"/>
                <w:color w:val="auto"/>
                <w:sz w:val="21"/>
                <w:highlight w:val="none"/>
              </w:rPr>
            </w:pPr>
          </w:p>
        </w:tc>
        <w:tc>
          <w:tcPr>
            <w:tcW w:w="1184" w:type="dxa"/>
            <w:vAlign w:val="top"/>
          </w:tcPr>
          <w:p w14:paraId="271FE263">
            <w:pPr>
              <w:rPr>
                <w:rFonts w:ascii="Arial"/>
                <w:color w:val="auto"/>
                <w:sz w:val="21"/>
                <w:highlight w:val="none"/>
              </w:rPr>
            </w:pPr>
          </w:p>
        </w:tc>
        <w:tc>
          <w:tcPr>
            <w:tcW w:w="811" w:type="dxa"/>
            <w:vAlign w:val="top"/>
          </w:tcPr>
          <w:p w14:paraId="71367F87">
            <w:pPr>
              <w:rPr>
                <w:rFonts w:ascii="Arial"/>
                <w:color w:val="auto"/>
                <w:sz w:val="21"/>
                <w:highlight w:val="none"/>
              </w:rPr>
            </w:pPr>
          </w:p>
        </w:tc>
        <w:tc>
          <w:tcPr>
            <w:tcW w:w="859" w:type="dxa"/>
            <w:vAlign w:val="top"/>
          </w:tcPr>
          <w:p w14:paraId="2CFAE82E">
            <w:pPr>
              <w:rPr>
                <w:rFonts w:ascii="Arial"/>
                <w:color w:val="auto"/>
                <w:sz w:val="21"/>
                <w:highlight w:val="none"/>
              </w:rPr>
            </w:pPr>
          </w:p>
        </w:tc>
        <w:tc>
          <w:tcPr>
            <w:tcW w:w="960" w:type="dxa"/>
            <w:vAlign w:val="top"/>
          </w:tcPr>
          <w:p w14:paraId="089C4A5C">
            <w:pPr>
              <w:rPr>
                <w:rFonts w:ascii="Arial"/>
                <w:color w:val="auto"/>
                <w:sz w:val="21"/>
                <w:highlight w:val="none"/>
              </w:rPr>
            </w:pPr>
          </w:p>
        </w:tc>
        <w:tc>
          <w:tcPr>
            <w:tcW w:w="1348" w:type="dxa"/>
            <w:vAlign w:val="top"/>
          </w:tcPr>
          <w:p w14:paraId="6A4BE711">
            <w:pPr>
              <w:rPr>
                <w:rFonts w:ascii="Arial"/>
                <w:color w:val="auto"/>
                <w:sz w:val="21"/>
                <w:highlight w:val="none"/>
              </w:rPr>
            </w:pPr>
          </w:p>
        </w:tc>
        <w:tc>
          <w:tcPr>
            <w:tcW w:w="689" w:type="dxa"/>
            <w:vAlign w:val="top"/>
          </w:tcPr>
          <w:p w14:paraId="125D22E0">
            <w:pPr>
              <w:rPr>
                <w:rFonts w:ascii="Arial"/>
                <w:color w:val="auto"/>
                <w:sz w:val="21"/>
                <w:highlight w:val="none"/>
              </w:rPr>
            </w:pPr>
          </w:p>
        </w:tc>
      </w:tr>
      <w:tr w14:paraId="294D6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1453" w:type="dxa"/>
            <w:vAlign w:val="top"/>
          </w:tcPr>
          <w:p w14:paraId="1E7ADEC2">
            <w:pPr>
              <w:rPr>
                <w:rFonts w:ascii="Arial"/>
                <w:color w:val="auto"/>
                <w:sz w:val="21"/>
                <w:highlight w:val="none"/>
              </w:rPr>
            </w:pPr>
          </w:p>
        </w:tc>
        <w:tc>
          <w:tcPr>
            <w:tcW w:w="675" w:type="dxa"/>
            <w:vAlign w:val="top"/>
          </w:tcPr>
          <w:p w14:paraId="65F3894E">
            <w:pPr>
              <w:rPr>
                <w:rFonts w:ascii="Arial"/>
                <w:color w:val="auto"/>
                <w:sz w:val="21"/>
                <w:highlight w:val="none"/>
              </w:rPr>
            </w:pPr>
          </w:p>
        </w:tc>
        <w:tc>
          <w:tcPr>
            <w:tcW w:w="763" w:type="dxa"/>
            <w:vAlign w:val="top"/>
          </w:tcPr>
          <w:p w14:paraId="1DF2346B">
            <w:pPr>
              <w:rPr>
                <w:rFonts w:ascii="Arial"/>
                <w:color w:val="auto"/>
                <w:sz w:val="21"/>
                <w:highlight w:val="none"/>
              </w:rPr>
            </w:pPr>
          </w:p>
        </w:tc>
        <w:tc>
          <w:tcPr>
            <w:tcW w:w="1184" w:type="dxa"/>
            <w:vAlign w:val="top"/>
          </w:tcPr>
          <w:p w14:paraId="7D7E8CAA">
            <w:pPr>
              <w:rPr>
                <w:rFonts w:ascii="Arial"/>
                <w:color w:val="auto"/>
                <w:sz w:val="21"/>
                <w:highlight w:val="none"/>
              </w:rPr>
            </w:pPr>
          </w:p>
        </w:tc>
        <w:tc>
          <w:tcPr>
            <w:tcW w:w="811" w:type="dxa"/>
            <w:vAlign w:val="top"/>
          </w:tcPr>
          <w:p w14:paraId="76E1D777">
            <w:pPr>
              <w:rPr>
                <w:rFonts w:ascii="Arial"/>
                <w:color w:val="auto"/>
                <w:sz w:val="21"/>
                <w:highlight w:val="none"/>
              </w:rPr>
            </w:pPr>
          </w:p>
        </w:tc>
        <w:tc>
          <w:tcPr>
            <w:tcW w:w="859" w:type="dxa"/>
            <w:vAlign w:val="top"/>
          </w:tcPr>
          <w:p w14:paraId="5703C5EB">
            <w:pPr>
              <w:rPr>
                <w:rFonts w:ascii="Arial"/>
                <w:color w:val="auto"/>
                <w:sz w:val="21"/>
                <w:highlight w:val="none"/>
              </w:rPr>
            </w:pPr>
          </w:p>
        </w:tc>
        <w:tc>
          <w:tcPr>
            <w:tcW w:w="960" w:type="dxa"/>
            <w:vAlign w:val="top"/>
          </w:tcPr>
          <w:p w14:paraId="51F7095A">
            <w:pPr>
              <w:rPr>
                <w:rFonts w:ascii="Arial"/>
                <w:color w:val="auto"/>
                <w:sz w:val="21"/>
                <w:highlight w:val="none"/>
              </w:rPr>
            </w:pPr>
          </w:p>
        </w:tc>
        <w:tc>
          <w:tcPr>
            <w:tcW w:w="1348" w:type="dxa"/>
            <w:vAlign w:val="top"/>
          </w:tcPr>
          <w:p w14:paraId="1D13E440">
            <w:pPr>
              <w:rPr>
                <w:rFonts w:ascii="Arial"/>
                <w:color w:val="auto"/>
                <w:sz w:val="21"/>
                <w:highlight w:val="none"/>
              </w:rPr>
            </w:pPr>
          </w:p>
        </w:tc>
        <w:tc>
          <w:tcPr>
            <w:tcW w:w="689" w:type="dxa"/>
            <w:vAlign w:val="top"/>
          </w:tcPr>
          <w:p w14:paraId="33C8BB52">
            <w:pPr>
              <w:rPr>
                <w:rFonts w:ascii="Arial"/>
                <w:color w:val="auto"/>
                <w:sz w:val="21"/>
                <w:highlight w:val="none"/>
              </w:rPr>
            </w:pPr>
          </w:p>
        </w:tc>
      </w:tr>
      <w:tr w14:paraId="789B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3" w:type="dxa"/>
            <w:vAlign w:val="top"/>
          </w:tcPr>
          <w:p w14:paraId="424103EA">
            <w:pPr>
              <w:rPr>
                <w:rFonts w:ascii="Arial"/>
                <w:color w:val="auto"/>
                <w:sz w:val="21"/>
                <w:highlight w:val="none"/>
              </w:rPr>
            </w:pPr>
          </w:p>
        </w:tc>
        <w:tc>
          <w:tcPr>
            <w:tcW w:w="675" w:type="dxa"/>
            <w:vAlign w:val="top"/>
          </w:tcPr>
          <w:p w14:paraId="708CACD8">
            <w:pPr>
              <w:rPr>
                <w:rFonts w:ascii="Arial"/>
                <w:color w:val="auto"/>
                <w:sz w:val="21"/>
                <w:highlight w:val="none"/>
              </w:rPr>
            </w:pPr>
          </w:p>
        </w:tc>
        <w:tc>
          <w:tcPr>
            <w:tcW w:w="763" w:type="dxa"/>
            <w:vAlign w:val="top"/>
          </w:tcPr>
          <w:p w14:paraId="50165F8A">
            <w:pPr>
              <w:rPr>
                <w:rFonts w:ascii="Arial"/>
                <w:color w:val="auto"/>
                <w:sz w:val="21"/>
                <w:highlight w:val="none"/>
              </w:rPr>
            </w:pPr>
          </w:p>
        </w:tc>
        <w:tc>
          <w:tcPr>
            <w:tcW w:w="1184" w:type="dxa"/>
            <w:vAlign w:val="top"/>
          </w:tcPr>
          <w:p w14:paraId="27AFAC42">
            <w:pPr>
              <w:rPr>
                <w:rFonts w:ascii="Arial"/>
                <w:color w:val="auto"/>
                <w:sz w:val="21"/>
                <w:highlight w:val="none"/>
              </w:rPr>
            </w:pPr>
          </w:p>
        </w:tc>
        <w:tc>
          <w:tcPr>
            <w:tcW w:w="811" w:type="dxa"/>
            <w:vAlign w:val="top"/>
          </w:tcPr>
          <w:p w14:paraId="42CF3E31">
            <w:pPr>
              <w:rPr>
                <w:rFonts w:ascii="Arial"/>
                <w:color w:val="auto"/>
                <w:sz w:val="21"/>
                <w:highlight w:val="none"/>
              </w:rPr>
            </w:pPr>
          </w:p>
        </w:tc>
        <w:tc>
          <w:tcPr>
            <w:tcW w:w="859" w:type="dxa"/>
            <w:vAlign w:val="top"/>
          </w:tcPr>
          <w:p w14:paraId="59BBDF3D">
            <w:pPr>
              <w:rPr>
                <w:rFonts w:ascii="Arial"/>
                <w:color w:val="auto"/>
                <w:sz w:val="21"/>
                <w:highlight w:val="none"/>
              </w:rPr>
            </w:pPr>
          </w:p>
        </w:tc>
        <w:tc>
          <w:tcPr>
            <w:tcW w:w="960" w:type="dxa"/>
            <w:vAlign w:val="top"/>
          </w:tcPr>
          <w:p w14:paraId="3BCF335A">
            <w:pPr>
              <w:rPr>
                <w:rFonts w:ascii="Arial"/>
                <w:color w:val="auto"/>
                <w:sz w:val="21"/>
                <w:highlight w:val="none"/>
              </w:rPr>
            </w:pPr>
          </w:p>
        </w:tc>
        <w:tc>
          <w:tcPr>
            <w:tcW w:w="1348" w:type="dxa"/>
            <w:vAlign w:val="top"/>
          </w:tcPr>
          <w:p w14:paraId="04117EF9">
            <w:pPr>
              <w:rPr>
                <w:rFonts w:ascii="Arial"/>
                <w:color w:val="auto"/>
                <w:sz w:val="21"/>
                <w:highlight w:val="none"/>
              </w:rPr>
            </w:pPr>
          </w:p>
        </w:tc>
        <w:tc>
          <w:tcPr>
            <w:tcW w:w="689" w:type="dxa"/>
            <w:vAlign w:val="top"/>
          </w:tcPr>
          <w:p w14:paraId="011A7508">
            <w:pPr>
              <w:rPr>
                <w:rFonts w:ascii="Arial"/>
                <w:color w:val="auto"/>
                <w:sz w:val="21"/>
                <w:highlight w:val="none"/>
              </w:rPr>
            </w:pPr>
          </w:p>
        </w:tc>
      </w:tr>
      <w:tr w14:paraId="58909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3" w:type="dxa"/>
            <w:vAlign w:val="top"/>
          </w:tcPr>
          <w:p w14:paraId="554A0449">
            <w:pPr>
              <w:rPr>
                <w:rFonts w:ascii="Arial"/>
                <w:color w:val="auto"/>
                <w:sz w:val="21"/>
                <w:highlight w:val="none"/>
              </w:rPr>
            </w:pPr>
          </w:p>
        </w:tc>
        <w:tc>
          <w:tcPr>
            <w:tcW w:w="675" w:type="dxa"/>
            <w:vAlign w:val="top"/>
          </w:tcPr>
          <w:p w14:paraId="3BBD20AA">
            <w:pPr>
              <w:rPr>
                <w:rFonts w:ascii="Arial"/>
                <w:color w:val="auto"/>
                <w:sz w:val="21"/>
                <w:highlight w:val="none"/>
              </w:rPr>
            </w:pPr>
          </w:p>
        </w:tc>
        <w:tc>
          <w:tcPr>
            <w:tcW w:w="763" w:type="dxa"/>
            <w:vAlign w:val="top"/>
          </w:tcPr>
          <w:p w14:paraId="549581F9">
            <w:pPr>
              <w:rPr>
                <w:rFonts w:ascii="Arial"/>
                <w:color w:val="auto"/>
                <w:sz w:val="21"/>
                <w:highlight w:val="none"/>
              </w:rPr>
            </w:pPr>
          </w:p>
        </w:tc>
        <w:tc>
          <w:tcPr>
            <w:tcW w:w="1184" w:type="dxa"/>
            <w:vAlign w:val="top"/>
          </w:tcPr>
          <w:p w14:paraId="34F0B511">
            <w:pPr>
              <w:rPr>
                <w:rFonts w:ascii="Arial"/>
                <w:color w:val="auto"/>
                <w:sz w:val="21"/>
                <w:highlight w:val="none"/>
              </w:rPr>
            </w:pPr>
          </w:p>
        </w:tc>
        <w:tc>
          <w:tcPr>
            <w:tcW w:w="811" w:type="dxa"/>
            <w:vAlign w:val="top"/>
          </w:tcPr>
          <w:p w14:paraId="5F626B11">
            <w:pPr>
              <w:rPr>
                <w:rFonts w:ascii="Arial"/>
                <w:color w:val="auto"/>
                <w:sz w:val="21"/>
                <w:highlight w:val="none"/>
              </w:rPr>
            </w:pPr>
          </w:p>
        </w:tc>
        <w:tc>
          <w:tcPr>
            <w:tcW w:w="859" w:type="dxa"/>
            <w:vAlign w:val="top"/>
          </w:tcPr>
          <w:p w14:paraId="7458D812">
            <w:pPr>
              <w:rPr>
                <w:rFonts w:ascii="Arial"/>
                <w:color w:val="auto"/>
                <w:sz w:val="21"/>
                <w:highlight w:val="none"/>
              </w:rPr>
            </w:pPr>
          </w:p>
        </w:tc>
        <w:tc>
          <w:tcPr>
            <w:tcW w:w="960" w:type="dxa"/>
            <w:vAlign w:val="top"/>
          </w:tcPr>
          <w:p w14:paraId="51AD9DB4">
            <w:pPr>
              <w:rPr>
                <w:rFonts w:ascii="Arial"/>
                <w:color w:val="auto"/>
                <w:sz w:val="21"/>
                <w:highlight w:val="none"/>
              </w:rPr>
            </w:pPr>
          </w:p>
        </w:tc>
        <w:tc>
          <w:tcPr>
            <w:tcW w:w="1348" w:type="dxa"/>
            <w:vAlign w:val="top"/>
          </w:tcPr>
          <w:p w14:paraId="4642A8BC">
            <w:pPr>
              <w:rPr>
                <w:rFonts w:ascii="Arial"/>
                <w:color w:val="auto"/>
                <w:sz w:val="21"/>
                <w:highlight w:val="none"/>
              </w:rPr>
            </w:pPr>
          </w:p>
        </w:tc>
        <w:tc>
          <w:tcPr>
            <w:tcW w:w="689" w:type="dxa"/>
            <w:vAlign w:val="top"/>
          </w:tcPr>
          <w:p w14:paraId="339757C7">
            <w:pPr>
              <w:rPr>
                <w:rFonts w:ascii="Arial"/>
                <w:color w:val="auto"/>
                <w:sz w:val="21"/>
                <w:highlight w:val="none"/>
              </w:rPr>
            </w:pPr>
          </w:p>
        </w:tc>
      </w:tr>
      <w:tr w14:paraId="60448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3" w:type="dxa"/>
            <w:vAlign w:val="top"/>
          </w:tcPr>
          <w:p w14:paraId="237AB3E7">
            <w:pPr>
              <w:rPr>
                <w:rFonts w:ascii="Arial"/>
                <w:color w:val="auto"/>
                <w:sz w:val="21"/>
                <w:highlight w:val="none"/>
              </w:rPr>
            </w:pPr>
          </w:p>
        </w:tc>
        <w:tc>
          <w:tcPr>
            <w:tcW w:w="675" w:type="dxa"/>
            <w:vAlign w:val="top"/>
          </w:tcPr>
          <w:p w14:paraId="719E46FD">
            <w:pPr>
              <w:rPr>
                <w:rFonts w:ascii="Arial"/>
                <w:color w:val="auto"/>
                <w:sz w:val="21"/>
                <w:highlight w:val="none"/>
              </w:rPr>
            </w:pPr>
          </w:p>
        </w:tc>
        <w:tc>
          <w:tcPr>
            <w:tcW w:w="763" w:type="dxa"/>
            <w:vAlign w:val="top"/>
          </w:tcPr>
          <w:p w14:paraId="2A8CEB5B">
            <w:pPr>
              <w:rPr>
                <w:rFonts w:ascii="Arial"/>
                <w:color w:val="auto"/>
                <w:sz w:val="21"/>
                <w:highlight w:val="none"/>
              </w:rPr>
            </w:pPr>
          </w:p>
        </w:tc>
        <w:tc>
          <w:tcPr>
            <w:tcW w:w="1184" w:type="dxa"/>
            <w:vAlign w:val="top"/>
          </w:tcPr>
          <w:p w14:paraId="5CCFFC39">
            <w:pPr>
              <w:rPr>
                <w:rFonts w:ascii="Arial"/>
                <w:color w:val="auto"/>
                <w:sz w:val="21"/>
                <w:highlight w:val="none"/>
              </w:rPr>
            </w:pPr>
          </w:p>
        </w:tc>
        <w:tc>
          <w:tcPr>
            <w:tcW w:w="811" w:type="dxa"/>
            <w:vAlign w:val="top"/>
          </w:tcPr>
          <w:p w14:paraId="7AE30FCE">
            <w:pPr>
              <w:rPr>
                <w:rFonts w:ascii="Arial"/>
                <w:color w:val="auto"/>
                <w:sz w:val="21"/>
                <w:highlight w:val="none"/>
              </w:rPr>
            </w:pPr>
          </w:p>
        </w:tc>
        <w:tc>
          <w:tcPr>
            <w:tcW w:w="859" w:type="dxa"/>
            <w:vAlign w:val="top"/>
          </w:tcPr>
          <w:p w14:paraId="3D576EE0">
            <w:pPr>
              <w:rPr>
                <w:rFonts w:ascii="Arial"/>
                <w:color w:val="auto"/>
                <w:sz w:val="21"/>
                <w:highlight w:val="none"/>
              </w:rPr>
            </w:pPr>
          </w:p>
        </w:tc>
        <w:tc>
          <w:tcPr>
            <w:tcW w:w="960" w:type="dxa"/>
            <w:vAlign w:val="top"/>
          </w:tcPr>
          <w:p w14:paraId="05A4FDFD">
            <w:pPr>
              <w:rPr>
                <w:rFonts w:ascii="Arial"/>
                <w:color w:val="auto"/>
                <w:sz w:val="21"/>
                <w:highlight w:val="none"/>
              </w:rPr>
            </w:pPr>
          </w:p>
        </w:tc>
        <w:tc>
          <w:tcPr>
            <w:tcW w:w="1348" w:type="dxa"/>
            <w:vAlign w:val="top"/>
          </w:tcPr>
          <w:p w14:paraId="2BE59B6C">
            <w:pPr>
              <w:rPr>
                <w:rFonts w:ascii="Arial"/>
                <w:color w:val="auto"/>
                <w:sz w:val="21"/>
                <w:highlight w:val="none"/>
              </w:rPr>
            </w:pPr>
          </w:p>
        </w:tc>
        <w:tc>
          <w:tcPr>
            <w:tcW w:w="689" w:type="dxa"/>
            <w:vAlign w:val="top"/>
          </w:tcPr>
          <w:p w14:paraId="22AACA2B">
            <w:pPr>
              <w:rPr>
                <w:rFonts w:ascii="Arial"/>
                <w:color w:val="auto"/>
                <w:sz w:val="21"/>
                <w:highlight w:val="none"/>
              </w:rPr>
            </w:pPr>
          </w:p>
        </w:tc>
      </w:tr>
      <w:tr w14:paraId="06F85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3" w:type="dxa"/>
            <w:vAlign w:val="top"/>
          </w:tcPr>
          <w:p w14:paraId="439C4801">
            <w:pPr>
              <w:rPr>
                <w:rFonts w:ascii="Arial"/>
                <w:color w:val="auto"/>
                <w:sz w:val="21"/>
                <w:highlight w:val="none"/>
              </w:rPr>
            </w:pPr>
          </w:p>
        </w:tc>
        <w:tc>
          <w:tcPr>
            <w:tcW w:w="675" w:type="dxa"/>
            <w:vAlign w:val="top"/>
          </w:tcPr>
          <w:p w14:paraId="3BCEE992">
            <w:pPr>
              <w:rPr>
                <w:rFonts w:ascii="Arial"/>
                <w:color w:val="auto"/>
                <w:sz w:val="21"/>
                <w:highlight w:val="none"/>
              </w:rPr>
            </w:pPr>
          </w:p>
        </w:tc>
        <w:tc>
          <w:tcPr>
            <w:tcW w:w="763" w:type="dxa"/>
            <w:vAlign w:val="top"/>
          </w:tcPr>
          <w:p w14:paraId="4F8D9B64">
            <w:pPr>
              <w:rPr>
                <w:rFonts w:ascii="Arial"/>
                <w:color w:val="auto"/>
                <w:sz w:val="21"/>
                <w:highlight w:val="none"/>
              </w:rPr>
            </w:pPr>
          </w:p>
        </w:tc>
        <w:tc>
          <w:tcPr>
            <w:tcW w:w="1184" w:type="dxa"/>
            <w:vAlign w:val="top"/>
          </w:tcPr>
          <w:p w14:paraId="2595DDF2">
            <w:pPr>
              <w:rPr>
                <w:rFonts w:ascii="Arial"/>
                <w:color w:val="auto"/>
                <w:sz w:val="21"/>
                <w:highlight w:val="none"/>
              </w:rPr>
            </w:pPr>
          </w:p>
        </w:tc>
        <w:tc>
          <w:tcPr>
            <w:tcW w:w="811" w:type="dxa"/>
            <w:vAlign w:val="top"/>
          </w:tcPr>
          <w:p w14:paraId="45ABDEE6">
            <w:pPr>
              <w:rPr>
                <w:rFonts w:ascii="Arial"/>
                <w:color w:val="auto"/>
                <w:sz w:val="21"/>
                <w:highlight w:val="none"/>
              </w:rPr>
            </w:pPr>
          </w:p>
        </w:tc>
        <w:tc>
          <w:tcPr>
            <w:tcW w:w="859" w:type="dxa"/>
            <w:vAlign w:val="top"/>
          </w:tcPr>
          <w:p w14:paraId="7D7E04D6">
            <w:pPr>
              <w:rPr>
                <w:rFonts w:ascii="Arial"/>
                <w:color w:val="auto"/>
                <w:sz w:val="21"/>
                <w:highlight w:val="none"/>
              </w:rPr>
            </w:pPr>
          </w:p>
        </w:tc>
        <w:tc>
          <w:tcPr>
            <w:tcW w:w="960" w:type="dxa"/>
            <w:vAlign w:val="top"/>
          </w:tcPr>
          <w:p w14:paraId="0DD9C10A">
            <w:pPr>
              <w:rPr>
                <w:rFonts w:ascii="Arial"/>
                <w:color w:val="auto"/>
                <w:sz w:val="21"/>
                <w:highlight w:val="none"/>
              </w:rPr>
            </w:pPr>
          </w:p>
        </w:tc>
        <w:tc>
          <w:tcPr>
            <w:tcW w:w="1348" w:type="dxa"/>
            <w:vAlign w:val="top"/>
          </w:tcPr>
          <w:p w14:paraId="3C486536">
            <w:pPr>
              <w:rPr>
                <w:rFonts w:ascii="Arial"/>
                <w:color w:val="auto"/>
                <w:sz w:val="21"/>
                <w:highlight w:val="none"/>
              </w:rPr>
            </w:pPr>
          </w:p>
        </w:tc>
        <w:tc>
          <w:tcPr>
            <w:tcW w:w="689" w:type="dxa"/>
            <w:vAlign w:val="top"/>
          </w:tcPr>
          <w:p w14:paraId="4C1464F9">
            <w:pPr>
              <w:rPr>
                <w:rFonts w:ascii="Arial"/>
                <w:color w:val="auto"/>
                <w:sz w:val="21"/>
                <w:highlight w:val="none"/>
              </w:rPr>
            </w:pPr>
          </w:p>
        </w:tc>
      </w:tr>
      <w:tr w14:paraId="00BD5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3" w:type="dxa"/>
            <w:vAlign w:val="top"/>
          </w:tcPr>
          <w:p w14:paraId="197728A5">
            <w:pPr>
              <w:rPr>
                <w:rFonts w:ascii="Arial"/>
                <w:color w:val="auto"/>
                <w:sz w:val="21"/>
                <w:highlight w:val="none"/>
              </w:rPr>
            </w:pPr>
          </w:p>
        </w:tc>
        <w:tc>
          <w:tcPr>
            <w:tcW w:w="675" w:type="dxa"/>
            <w:vAlign w:val="top"/>
          </w:tcPr>
          <w:p w14:paraId="3B2AF3C1">
            <w:pPr>
              <w:rPr>
                <w:rFonts w:ascii="Arial"/>
                <w:color w:val="auto"/>
                <w:sz w:val="21"/>
                <w:highlight w:val="none"/>
              </w:rPr>
            </w:pPr>
          </w:p>
        </w:tc>
        <w:tc>
          <w:tcPr>
            <w:tcW w:w="763" w:type="dxa"/>
            <w:vAlign w:val="top"/>
          </w:tcPr>
          <w:p w14:paraId="27D9F63F">
            <w:pPr>
              <w:rPr>
                <w:rFonts w:ascii="Arial"/>
                <w:color w:val="auto"/>
                <w:sz w:val="21"/>
                <w:highlight w:val="none"/>
              </w:rPr>
            </w:pPr>
          </w:p>
        </w:tc>
        <w:tc>
          <w:tcPr>
            <w:tcW w:w="1184" w:type="dxa"/>
            <w:vAlign w:val="top"/>
          </w:tcPr>
          <w:p w14:paraId="21FC7373">
            <w:pPr>
              <w:rPr>
                <w:rFonts w:ascii="Arial"/>
                <w:color w:val="auto"/>
                <w:sz w:val="21"/>
                <w:highlight w:val="none"/>
              </w:rPr>
            </w:pPr>
          </w:p>
        </w:tc>
        <w:tc>
          <w:tcPr>
            <w:tcW w:w="811" w:type="dxa"/>
            <w:vAlign w:val="top"/>
          </w:tcPr>
          <w:p w14:paraId="2FC9CD37">
            <w:pPr>
              <w:rPr>
                <w:rFonts w:ascii="Arial"/>
                <w:color w:val="auto"/>
                <w:sz w:val="21"/>
                <w:highlight w:val="none"/>
              </w:rPr>
            </w:pPr>
          </w:p>
        </w:tc>
        <w:tc>
          <w:tcPr>
            <w:tcW w:w="859" w:type="dxa"/>
            <w:vAlign w:val="top"/>
          </w:tcPr>
          <w:p w14:paraId="6D564702">
            <w:pPr>
              <w:rPr>
                <w:rFonts w:ascii="Arial"/>
                <w:color w:val="auto"/>
                <w:sz w:val="21"/>
                <w:highlight w:val="none"/>
              </w:rPr>
            </w:pPr>
          </w:p>
        </w:tc>
        <w:tc>
          <w:tcPr>
            <w:tcW w:w="960" w:type="dxa"/>
            <w:vAlign w:val="top"/>
          </w:tcPr>
          <w:p w14:paraId="287BCEDB">
            <w:pPr>
              <w:rPr>
                <w:rFonts w:ascii="Arial"/>
                <w:color w:val="auto"/>
                <w:sz w:val="21"/>
                <w:highlight w:val="none"/>
              </w:rPr>
            </w:pPr>
          </w:p>
        </w:tc>
        <w:tc>
          <w:tcPr>
            <w:tcW w:w="1348" w:type="dxa"/>
            <w:vAlign w:val="top"/>
          </w:tcPr>
          <w:p w14:paraId="76038A59">
            <w:pPr>
              <w:rPr>
                <w:rFonts w:ascii="Arial"/>
                <w:color w:val="auto"/>
                <w:sz w:val="21"/>
                <w:highlight w:val="none"/>
              </w:rPr>
            </w:pPr>
          </w:p>
        </w:tc>
        <w:tc>
          <w:tcPr>
            <w:tcW w:w="689" w:type="dxa"/>
            <w:vAlign w:val="top"/>
          </w:tcPr>
          <w:p w14:paraId="16FC6246">
            <w:pPr>
              <w:rPr>
                <w:rFonts w:ascii="Arial"/>
                <w:color w:val="auto"/>
                <w:sz w:val="21"/>
                <w:highlight w:val="none"/>
              </w:rPr>
            </w:pPr>
          </w:p>
        </w:tc>
      </w:tr>
      <w:tr w14:paraId="1DE0C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3" w:type="dxa"/>
            <w:vAlign w:val="top"/>
          </w:tcPr>
          <w:p w14:paraId="473BBB4D">
            <w:pPr>
              <w:rPr>
                <w:rFonts w:ascii="Arial"/>
                <w:color w:val="auto"/>
                <w:sz w:val="21"/>
                <w:highlight w:val="none"/>
              </w:rPr>
            </w:pPr>
          </w:p>
        </w:tc>
        <w:tc>
          <w:tcPr>
            <w:tcW w:w="675" w:type="dxa"/>
            <w:vAlign w:val="top"/>
          </w:tcPr>
          <w:p w14:paraId="732D13E2">
            <w:pPr>
              <w:rPr>
                <w:rFonts w:ascii="Arial"/>
                <w:color w:val="auto"/>
                <w:sz w:val="21"/>
                <w:highlight w:val="none"/>
              </w:rPr>
            </w:pPr>
          </w:p>
        </w:tc>
        <w:tc>
          <w:tcPr>
            <w:tcW w:w="763" w:type="dxa"/>
            <w:vAlign w:val="top"/>
          </w:tcPr>
          <w:p w14:paraId="388A3DD9">
            <w:pPr>
              <w:rPr>
                <w:rFonts w:ascii="Arial"/>
                <w:color w:val="auto"/>
                <w:sz w:val="21"/>
                <w:highlight w:val="none"/>
              </w:rPr>
            </w:pPr>
          </w:p>
        </w:tc>
        <w:tc>
          <w:tcPr>
            <w:tcW w:w="1184" w:type="dxa"/>
            <w:vAlign w:val="top"/>
          </w:tcPr>
          <w:p w14:paraId="0532AC36">
            <w:pPr>
              <w:rPr>
                <w:rFonts w:ascii="Arial"/>
                <w:color w:val="auto"/>
                <w:sz w:val="21"/>
                <w:highlight w:val="none"/>
              </w:rPr>
            </w:pPr>
          </w:p>
        </w:tc>
        <w:tc>
          <w:tcPr>
            <w:tcW w:w="811" w:type="dxa"/>
            <w:vAlign w:val="top"/>
          </w:tcPr>
          <w:p w14:paraId="6570EA7D">
            <w:pPr>
              <w:rPr>
                <w:rFonts w:ascii="Arial"/>
                <w:color w:val="auto"/>
                <w:sz w:val="21"/>
                <w:highlight w:val="none"/>
              </w:rPr>
            </w:pPr>
          </w:p>
        </w:tc>
        <w:tc>
          <w:tcPr>
            <w:tcW w:w="859" w:type="dxa"/>
            <w:vAlign w:val="top"/>
          </w:tcPr>
          <w:p w14:paraId="2BA10A1A">
            <w:pPr>
              <w:rPr>
                <w:rFonts w:ascii="Arial"/>
                <w:color w:val="auto"/>
                <w:sz w:val="21"/>
                <w:highlight w:val="none"/>
              </w:rPr>
            </w:pPr>
          </w:p>
        </w:tc>
        <w:tc>
          <w:tcPr>
            <w:tcW w:w="960" w:type="dxa"/>
            <w:vAlign w:val="top"/>
          </w:tcPr>
          <w:p w14:paraId="595A51C5">
            <w:pPr>
              <w:rPr>
                <w:rFonts w:ascii="Arial"/>
                <w:color w:val="auto"/>
                <w:sz w:val="21"/>
                <w:highlight w:val="none"/>
              </w:rPr>
            </w:pPr>
          </w:p>
        </w:tc>
        <w:tc>
          <w:tcPr>
            <w:tcW w:w="1348" w:type="dxa"/>
            <w:vAlign w:val="top"/>
          </w:tcPr>
          <w:p w14:paraId="3332A28F">
            <w:pPr>
              <w:rPr>
                <w:rFonts w:ascii="Arial"/>
                <w:color w:val="auto"/>
                <w:sz w:val="21"/>
                <w:highlight w:val="none"/>
              </w:rPr>
            </w:pPr>
          </w:p>
        </w:tc>
        <w:tc>
          <w:tcPr>
            <w:tcW w:w="689" w:type="dxa"/>
            <w:vAlign w:val="top"/>
          </w:tcPr>
          <w:p w14:paraId="3B4A3492">
            <w:pPr>
              <w:rPr>
                <w:rFonts w:ascii="Arial"/>
                <w:color w:val="auto"/>
                <w:sz w:val="21"/>
                <w:highlight w:val="none"/>
              </w:rPr>
            </w:pPr>
          </w:p>
        </w:tc>
      </w:tr>
      <w:tr w14:paraId="6F309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3" w:type="dxa"/>
            <w:vAlign w:val="top"/>
          </w:tcPr>
          <w:p w14:paraId="39B88C80">
            <w:pPr>
              <w:rPr>
                <w:rFonts w:ascii="Arial"/>
                <w:color w:val="auto"/>
                <w:sz w:val="21"/>
                <w:highlight w:val="none"/>
              </w:rPr>
            </w:pPr>
          </w:p>
        </w:tc>
        <w:tc>
          <w:tcPr>
            <w:tcW w:w="675" w:type="dxa"/>
            <w:vAlign w:val="top"/>
          </w:tcPr>
          <w:p w14:paraId="6EA8EA7D">
            <w:pPr>
              <w:rPr>
                <w:rFonts w:ascii="Arial"/>
                <w:color w:val="auto"/>
                <w:sz w:val="21"/>
                <w:highlight w:val="none"/>
              </w:rPr>
            </w:pPr>
          </w:p>
        </w:tc>
        <w:tc>
          <w:tcPr>
            <w:tcW w:w="763" w:type="dxa"/>
            <w:vAlign w:val="top"/>
          </w:tcPr>
          <w:p w14:paraId="0E28FDF5">
            <w:pPr>
              <w:rPr>
                <w:rFonts w:ascii="Arial"/>
                <w:color w:val="auto"/>
                <w:sz w:val="21"/>
                <w:highlight w:val="none"/>
              </w:rPr>
            </w:pPr>
          </w:p>
        </w:tc>
        <w:tc>
          <w:tcPr>
            <w:tcW w:w="1184" w:type="dxa"/>
            <w:vAlign w:val="top"/>
          </w:tcPr>
          <w:p w14:paraId="5AABD0CD">
            <w:pPr>
              <w:rPr>
                <w:rFonts w:ascii="Arial"/>
                <w:color w:val="auto"/>
                <w:sz w:val="21"/>
                <w:highlight w:val="none"/>
              </w:rPr>
            </w:pPr>
          </w:p>
        </w:tc>
        <w:tc>
          <w:tcPr>
            <w:tcW w:w="811" w:type="dxa"/>
            <w:vAlign w:val="top"/>
          </w:tcPr>
          <w:p w14:paraId="7D63FE8B">
            <w:pPr>
              <w:rPr>
                <w:rFonts w:ascii="Arial"/>
                <w:color w:val="auto"/>
                <w:sz w:val="21"/>
                <w:highlight w:val="none"/>
              </w:rPr>
            </w:pPr>
          </w:p>
        </w:tc>
        <w:tc>
          <w:tcPr>
            <w:tcW w:w="859" w:type="dxa"/>
            <w:vAlign w:val="top"/>
          </w:tcPr>
          <w:p w14:paraId="0F90D867">
            <w:pPr>
              <w:rPr>
                <w:rFonts w:ascii="Arial"/>
                <w:color w:val="auto"/>
                <w:sz w:val="21"/>
                <w:highlight w:val="none"/>
              </w:rPr>
            </w:pPr>
          </w:p>
        </w:tc>
        <w:tc>
          <w:tcPr>
            <w:tcW w:w="960" w:type="dxa"/>
            <w:vAlign w:val="top"/>
          </w:tcPr>
          <w:p w14:paraId="1BACE9A3">
            <w:pPr>
              <w:rPr>
                <w:rFonts w:ascii="Arial"/>
                <w:color w:val="auto"/>
                <w:sz w:val="21"/>
                <w:highlight w:val="none"/>
              </w:rPr>
            </w:pPr>
          </w:p>
        </w:tc>
        <w:tc>
          <w:tcPr>
            <w:tcW w:w="1348" w:type="dxa"/>
            <w:vAlign w:val="top"/>
          </w:tcPr>
          <w:p w14:paraId="0D9CE477">
            <w:pPr>
              <w:rPr>
                <w:rFonts w:ascii="Arial"/>
                <w:color w:val="auto"/>
                <w:sz w:val="21"/>
                <w:highlight w:val="none"/>
              </w:rPr>
            </w:pPr>
          </w:p>
        </w:tc>
        <w:tc>
          <w:tcPr>
            <w:tcW w:w="689" w:type="dxa"/>
            <w:vAlign w:val="top"/>
          </w:tcPr>
          <w:p w14:paraId="4265F8C4">
            <w:pPr>
              <w:rPr>
                <w:rFonts w:ascii="Arial"/>
                <w:color w:val="auto"/>
                <w:sz w:val="21"/>
                <w:highlight w:val="none"/>
              </w:rPr>
            </w:pPr>
          </w:p>
        </w:tc>
      </w:tr>
      <w:tr w14:paraId="45F2C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3" w:type="dxa"/>
            <w:vAlign w:val="top"/>
          </w:tcPr>
          <w:p w14:paraId="2BF6233C">
            <w:pPr>
              <w:rPr>
                <w:rFonts w:ascii="Arial"/>
                <w:color w:val="auto"/>
                <w:sz w:val="21"/>
                <w:highlight w:val="none"/>
              </w:rPr>
            </w:pPr>
          </w:p>
        </w:tc>
        <w:tc>
          <w:tcPr>
            <w:tcW w:w="675" w:type="dxa"/>
            <w:vAlign w:val="top"/>
          </w:tcPr>
          <w:p w14:paraId="0B3B162D">
            <w:pPr>
              <w:rPr>
                <w:rFonts w:ascii="Arial"/>
                <w:color w:val="auto"/>
                <w:sz w:val="21"/>
                <w:highlight w:val="none"/>
              </w:rPr>
            </w:pPr>
          </w:p>
        </w:tc>
        <w:tc>
          <w:tcPr>
            <w:tcW w:w="763" w:type="dxa"/>
            <w:vAlign w:val="top"/>
          </w:tcPr>
          <w:p w14:paraId="33B94FDD">
            <w:pPr>
              <w:rPr>
                <w:rFonts w:ascii="Arial"/>
                <w:color w:val="auto"/>
                <w:sz w:val="21"/>
                <w:highlight w:val="none"/>
              </w:rPr>
            </w:pPr>
          </w:p>
        </w:tc>
        <w:tc>
          <w:tcPr>
            <w:tcW w:w="1184" w:type="dxa"/>
            <w:vAlign w:val="top"/>
          </w:tcPr>
          <w:p w14:paraId="23EF1B10">
            <w:pPr>
              <w:rPr>
                <w:rFonts w:ascii="Arial"/>
                <w:color w:val="auto"/>
                <w:sz w:val="21"/>
                <w:highlight w:val="none"/>
              </w:rPr>
            </w:pPr>
          </w:p>
        </w:tc>
        <w:tc>
          <w:tcPr>
            <w:tcW w:w="811" w:type="dxa"/>
            <w:vAlign w:val="top"/>
          </w:tcPr>
          <w:p w14:paraId="1D10FBF9">
            <w:pPr>
              <w:rPr>
                <w:rFonts w:ascii="Arial"/>
                <w:color w:val="auto"/>
                <w:sz w:val="21"/>
                <w:highlight w:val="none"/>
              </w:rPr>
            </w:pPr>
          </w:p>
        </w:tc>
        <w:tc>
          <w:tcPr>
            <w:tcW w:w="859" w:type="dxa"/>
            <w:vAlign w:val="top"/>
          </w:tcPr>
          <w:p w14:paraId="4C0F48BF">
            <w:pPr>
              <w:rPr>
                <w:rFonts w:ascii="Arial"/>
                <w:color w:val="auto"/>
                <w:sz w:val="21"/>
                <w:highlight w:val="none"/>
              </w:rPr>
            </w:pPr>
          </w:p>
        </w:tc>
        <w:tc>
          <w:tcPr>
            <w:tcW w:w="960" w:type="dxa"/>
            <w:vAlign w:val="top"/>
          </w:tcPr>
          <w:p w14:paraId="2864050E">
            <w:pPr>
              <w:rPr>
                <w:rFonts w:ascii="Arial"/>
                <w:color w:val="auto"/>
                <w:sz w:val="21"/>
                <w:highlight w:val="none"/>
              </w:rPr>
            </w:pPr>
          </w:p>
        </w:tc>
        <w:tc>
          <w:tcPr>
            <w:tcW w:w="1348" w:type="dxa"/>
            <w:vAlign w:val="top"/>
          </w:tcPr>
          <w:p w14:paraId="53BFE326">
            <w:pPr>
              <w:rPr>
                <w:rFonts w:ascii="Arial"/>
                <w:color w:val="auto"/>
                <w:sz w:val="21"/>
                <w:highlight w:val="none"/>
              </w:rPr>
            </w:pPr>
          </w:p>
        </w:tc>
        <w:tc>
          <w:tcPr>
            <w:tcW w:w="689" w:type="dxa"/>
            <w:vAlign w:val="top"/>
          </w:tcPr>
          <w:p w14:paraId="4D4BE150">
            <w:pPr>
              <w:rPr>
                <w:rFonts w:ascii="Arial"/>
                <w:color w:val="auto"/>
                <w:sz w:val="21"/>
                <w:highlight w:val="none"/>
              </w:rPr>
            </w:pPr>
          </w:p>
        </w:tc>
      </w:tr>
      <w:tr w14:paraId="30113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3" w:type="dxa"/>
            <w:vAlign w:val="top"/>
          </w:tcPr>
          <w:p w14:paraId="1939A1BA">
            <w:pPr>
              <w:rPr>
                <w:rFonts w:ascii="Arial"/>
                <w:color w:val="auto"/>
                <w:sz w:val="21"/>
                <w:highlight w:val="none"/>
              </w:rPr>
            </w:pPr>
          </w:p>
        </w:tc>
        <w:tc>
          <w:tcPr>
            <w:tcW w:w="675" w:type="dxa"/>
            <w:vAlign w:val="top"/>
          </w:tcPr>
          <w:p w14:paraId="1CE587A6">
            <w:pPr>
              <w:rPr>
                <w:rFonts w:ascii="Arial"/>
                <w:color w:val="auto"/>
                <w:sz w:val="21"/>
                <w:highlight w:val="none"/>
              </w:rPr>
            </w:pPr>
          </w:p>
        </w:tc>
        <w:tc>
          <w:tcPr>
            <w:tcW w:w="763" w:type="dxa"/>
            <w:vAlign w:val="top"/>
          </w:tcPr>
          <w:p w14:paraId="1AE32CE9">
            <w:pPr>
              <w:rPr>
                <w:rFonts w:ascii="Arial"/>
                <w:color w:val="auto"/>
                <w:sz w:val="21"/>
                <w:highlight w:val="none"/>
              </w:rPr>
            </w:pPr>
          </w:p>
        </w:tc>
        <w:tc>
          <w:tcPr>
            <w:tcW w:w="1184" w:type="dxa"/>
            <w:vAlign w:val="top"/>
          </w:tcPr>
          <w:p w14:paraId="0AE5FE93">
            <w:pPr>
              <w:rPr>
                <w:rFonts w:ascii="Arial"/>
                <w:color w:val="auto"/>
                <w:sz w:val="21"/>
                <w:highlight w:val="none"/>
              </w:rPr>
            </w:pPr>
          </w:p>
        </w:tc>
        <w:tc>
          <w:tcPr>
            <w:tcW w:w="811" w:type="dxa"/>
            <w:vAlign w:val="top"/>
          </w:tcPr>
          <w:p w14:paraId="236EBAF0">
            <w:pPr>
              <w:rPr>
                <w:rFonts w:ascii="Arial"/>
                <w:color w:val="auto"/>
                <w:sz w:val="21"/>
                <w:highlight w:val="none"/>
              </w:rPr>
            </w:pPr>
          </w:p>
        </w:tc>
        <w:tc>
          <w:tcPr>
            <w:tcW w:w="859" w:type="dxa"/>
            <w:vAlign w:val="top"/>
          </w:tcPr>
          <w:p w14:paraId="58B3B52D">
            <w:pPr>
              <w:rPr>
                <w:rFonts w:ascii="Arial"/>
                <w:color w:val="auto"/>
                <w:sz w:val="21"/>
                <w:highlight w:val="none"/>
              </w:rPr>
            </w:pPr>
          </w:p>
        </w:tc>
        <w:tc>
          <w:tcPr>
            <w:tcW w:w="960" w:type="dxa"/>
            <w:vAlign w:val="top"/>
          </w:tcPr>
          <w:p w14:paraId="356ED968">
            <w:pPr>
              <w:rPr>
                <w:rFonts w:ascii="Arial"/>
                <w:color w:val="auto"/>
                <w:sz w:val="21"/>
                <w:highlight w:val="none"/>
              </w:rPr>
            </w:pPr>
          </w:p>
        </w:tc>
        <w:tc>
          <w:tcPr>
            <w:tcW w:w="1348" w:type="dxa"/>
            <w:vAlign w:val="top"/>
          </w:tcPr>
          <w:p w14:paraId="2C354FA5">
            <w:pPr>
              <w:rPr>
                <w:rFonts w:ascii="Arial"/>
                <w:color w:val="auto"/>
                <w:sz w:val="21"/>
                <w:highlight w:val="none"/>
              </w:rPr>
            </w:pPr>
          </w:p>
        </w:tc>
        <w:tc>
          <w:tcPr>
            <w:tcW w:w="689" w:type="dxa"/>
            <w:vAlign w:val="top"/>
          </w:tcPr>
          <w:p w14:paraId="5F20C2DC">
            <w:pPr>
              <w:rPr>
                <w:rFonts w:ascii="Arial"/>
                <w:color w:val="auto"/>
                <w:sz w:val="21"/>
                <w:highlight w:val="none"/>
              </w:rPr>
            </w:pPr>
          </w:p>
        </w:tc>
      </w:tr>
      <w:tr w14:paraId="40BE0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453" w:type="dxa"/>
            <w:vAlign w:val="top"/>
          </w:tcPr>
          <w:p w14:paraId="4FBB4FA7">
            <w:pPr>
              <w:rPr>
                <w:rFonts w:ascii="Arial"/>
                <w:color w:val="auto"/>
                <w:sz w:val="21"/>
                <w:highlight w:val="none"/>
              </w:rPr>
            </w:pPr>
          </w:p>
        </w:tc>
        <w:tc>
          <w:tcPr>
            <w:tcW w:w="675" w:type="dxa"/>
            <w:vAlign w:val="top"/>
          </w:tcPr>
          <w:p w14:paraId="00C76850">
            <w:pPr>
              <w:rPr>
                <w:rFonts w:ascii="Arial"/>
                <w:color w:val="auto"/>
                <w:sz w:val="21"/>
                <w:highlight w:val="none"/>
              </w:rPr>
            </w:pPr>
          </w:p>
        </w:tc>
        <w:tc>
          <w:tcPr>
            <w:tcW w:w="763" w:type="dxa"/>
            <w:vAlign w:val="top"/>
          </w:tcPr>
          <w:p w14:paraId="6917B7D2">
            <w:pPr>
              <w:rPr>
                <w:rFonts w:ascii="Arial"/>
                <w:color w:val="auto"/>
                <w:sz w:val="21"/>
                <w:highlight w:val="none"/>
              </w:rPr>
            </w:pPr>
          </w:p>
        </w:tc>
        <w:tc>
          <w:tcPr>
            <w:tcW w:w="1184" w:type="dxa"/>
            <w:vAlign w:val="top"/>
          </w:tcPr>
          <w:p w14:paraId="3769A37F">
            <w:pPr>
              <w:rPr>
                <w:rFonts w:ascii="Arial"/>
                <w:color w:val="auto"/>
                <w:sz w:val="21"/>
                <w:highlight w:val="none"/>
              </w:rPr>
            </w:pPr>
          </w:p>
        </w:tc>
        <w:tc>
          <w:tcPr>
            <w:tcW w:w="811" w:type="dxa"/>
            <w:vAlign w:val="top"/>
          </w:tcPr>
          <w:p w14:paraId="3877C5D2">
            <w:pPr>
              <w:rPr>
                <w:rFonts w:ascii="Arial"/>
                <w:color w:val="auto"/>
                <w:sz w:val="21"/>
                <w:highlight w:val="none"/>
              </w:rPr>
            </w:pPr>
          </w:p>
        </w:tc>
        <w:tc>
          <w:tcPr>
            <w:tcW w:w="859" w:type="dxa"/>
            <w:vAlign w:val="top"/>
          </w:tcPr>
          <w:p w14:paraId="4A624AA2">
            <w:pPr>
              <w:rPr>
                <w:rFonts w:ascii="Arial"/>
                <w:color w:val="auto"/>
                <w:sz w:val="21"/>
                <w:highlight w:val="none"/>
              </w:rPr>
            </w:pPr>
          </w:p>
        </w:tc>
        <w:tc>
          <w:tcPr>
            <w:tcW w:w="960" w:type="dxa"/>
            <w:vAlign w:val="top"/>
          </w:tcPr>
          <w:p w14:paraId="6CC7D809">
            <w:pPr>
              <w:rPr>
                <w:rFonts w:ascii="Arial"/>
                <w:color w:val="auto"/>
                <w:sz w:val="21"/>
                <w:highlight w:val="none"/>
              </w:rPr>
            </w:pPr>
          </w:p>
        </w:tc>
        <w:tc>
          <w:tcPr>
            <w:tcW w:w="1348" w:type="dxa"/>
            <w:vAlign w:val="top"/>
          </w:tcPr>
          <w:p w14:paraId="204E3FE0">
            <w:pPr>
              <w:rPr>
                <w:rFonts w:ascii="Arial"/>
                <w:color w:val="auto"/>
                <w:sz w:val="21"/>
                <w:highlight w:val="none"/>
              </w:rPr>
            </w:pPr>
          </w:p>
        </w:tc>
        <w:tc>
          <w:tcPr>
            <w:tcW w:w="689" w:type="dxa"/>
            <w:vAlign w:val="top"/>
          </w:tcPr>
          <w:p w14:paraId="1E4A6523">
            <w:pPr>
              <w:rPr>
                <w:rFonts w:ascii="Arial"/>
                <w:color w:val="auto"/>
                <w:sz w:val="21"/>
                <w:highlight w:val="none"/>
              </w:rPr>
            </w:pPr>
          </w:p>
        </w:tc>
      </w:tr>
      <w:tr w14:paraId="501CD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453" w:type="dxa"/>
            <w:vAlign w:val="top"/>
          </w:tcPr>
          <w:p w14:paraId="15E70056">
            <w:pPr>
              <w:rPr>
                <w:rFonts w:ascii="Arial"/>
                <w:color w:val="auto"/>
                <w:sz w:val="21"/>
                <w:highlight w:val="none"/>
              </w:rPr>
            </w:pPr>
          </w:p>
        </w:tc>
        <w:tc>
          <w:tcPr>
            <w:tcW w:w="675" w:type="dxa"/>
            <w:vAlign w:val="top"/>
          </w:tcPr>
          <w:p w14:paraId="4C77A6BE">
            <w:pPr>
              <w:rPr>
                <w:rFonts w:ascii="Arial"/>
                <w:color w:val="auto"/>
                <w:sz w:val="21"/>
                <w:highlight w:val="none"/>
              </w:rPr>
            </w:pPr>
          </w:p>
        </w:tc>
        <w:tc>
          <w:tcPr>
            <w:tcW w:w="763" w:type="dxa"/>
            <w:vAlign w:val="top"/>
          </w:tcPr>
          <w:p w14:paraId="577B2670">
            <w:pPr>
              <w:rPr>
                <w:rFonts w:ascii="Arial"/>
                <w:color w:val="auto"/>
                <w:sz w:val="21"/>
                <w:highlight w:val="none"/>
              </w:rPr>
            </w:pPr>
          </w:p>
        </w:tc>
        <w:tc>
          <w:tcPr>
            <w:tcW w:w="1184" w:type="dxa"/>
            <w:vAlign w:val="top"/>
          </w:tcPr>
          <w:p w14:paraId="75303D6B">
            <w:pPr>
              <w:rPr>
                <w:rFonts w:ascii="Arial"/>
                <w:color w:val="auto"/>
                <w:sz w:val="21"/>
                <w:highlight w:val="none"/>
              </w:rPr>
            </w:pPr>
          </w:p>
        </w:tc>
        <w:tc>
          <w:tcPr>
            <w:tcW w:w="811" w:type="dxa"/>
            <w:vAlign w:val="top"/>
          </w:tcPr>
          <w:p w14:paraId="7EA9ED28">
            <w:pPr>
              <w:rPr>
                <w:rFonts w:ascii="Arial"/>
                <w:color w:val="auto"/>
                <w:sz w:val="21"/>
                <w:highlight w:val="none"/>
              </w:rPr>
            </w:pPr>
          </w:p>
        </w:tc>
        <w:tc>
          <w:tcPr>
            <w:tcW w:w="859" w:type="dxa"/>
            <w:vAlign w:val="top"/>
          </w:tcPr>
          <w:p w14:paraId="7F0191BE">
            <w:pPr>
              <w:rPr>
                <w:rFonts w:ascii="Arial"/>
                <w:color w:val="auto"/>
                <w:sz w:val="21"/>
                <w:highlight w:val="none"/>
              </w:rPr>
            </w:pPr>
          </w:p>
        </w:tc>
        <w:tc>
          <w:tcPr>
            <w:tcW w:w="960" w:type="dxa"/>
            <w:vAlign w:val="top"/>
          </w:tcPr>
          <w:p w14:paraId="69817FB5">
            <w:pPr>
              <w:rPr>
                <w:rFonts w:ascii="Arial"/>
                <w:color w:val="auto"/>
                <w:sz w:val="21"/>
                <w:highlight w:val="none"/>
              </w:rPr>
            </w:pPr>
          </w:p>
        </w:tc>
        <w:tc>
          <w:tcPr>
            <w:tcW w:w="1348" w:type="dxa"/>
            <w:vAlign w:val="top"/>
          </w:tcPr>
          <w:p w14:paraId="3C434907">
            <w:pPr>
              <w:rPr>
                <w:rFonts w:ascii="Arial"/>
                <w:color w:val="auto"/>
                <w:sz w:val="21"/>
                <w:highlight w:val="none"/>
              </w:rPr>
            </w:pPr>
          </w:p>
        </w:tc>
        <w:tc>
          <w:tcPr>
            <w:tcW w:w="689" w:type="dxa"/>
            <w:vAlign w:val="top"/>
          </w:tcPr>
          <w:p w14:paraId="0A7C3375">
            <w:pPr>
              <w:rPr>
                <w:rFonts w:ascii="Arial"/>
                <w:color w:val="auto"/>
                <w:sz w:val="21"/>
                <w:highlight w:val="none"/>
              </w:rPr>
            </w:pPr>
          </w:p>
        </w:tc>
      </w:tr>
      <w:tr w14:paraId="204B6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453" w:type="dxa"/>
            <w:vAlign w:val="top"/>
          </w:tcPr>
          <w:p w14:paraId="51D5D558">
            <w:pPr>
              <w:rPr>
                <w:rFonts w:ascii="Arial"/>
                <w:color w:val="auto"/>
                <w:sz w:val="21"/>
                <w:highlight w:val="none"/>
              </w:rPr>
            </w:pPr>
          </w:p>
        </w:tc>
        <w:tc>
          <w:tcPr>
            <w:tcW w:w="675" w:type="dxa"/>
            <w:vAlign w:val="top"/>
          </w:tcPr>
          <w:p w14:paraId="7A4AE907">
            <w:pPr>
              <w:rPr>
                <w:rFonts w:ascii="Arial"/>
                <w:color w:val="auto"/>
                <w:sz w:val="21"/>
                <w:highlight w:val="none"/>
              </w:rPr>
            </w:pPr>
          </w:p>
        </w:tc>
        <w:tc>
          <w:tcPr>
            <w:tcW w:w="763" w:type="dxa"/>
            <w:vAlign w:val="top"/>
          </w:tcPr>
          <w:p w14:paraId="3C94AD15">
            <w:pPr>
              <w:rPr>
                <w:rFonts w:ascii="Arial"/>
                <w:color w:val="auto"/>
                <w:sz w:val="21"/>
                <w:highlight w:val="none"/>
              </w:rPr>
            </w:pPr>
          </w:p>
        </w:tc>
        <w:tc>
          <w:tcPr>
            <w:tcW w:w="1184" w:type="dxa"/>
            <w:vAlign w:val="top"/>
          </w:tcPr>
          <w:p w14:paraId="1845E333">
            <w:pPr>
              <w:rPr>
                <w:rFonts w:ascii="Arial"/>
                <w:color w:val="auto"/>
                <w:sz w:val="21"/>
                <w:highlight w:val="none"/>
              </w:rPr>
            </w:pPr>
          </w:p>
        </w:tc>
        <w:tc>
          <w:tcPr>
            <w:tcW w:w="811" w:type="dxa"/>
            <w:vAlign w:val="top"/>
          </w:tcPr>
          <w:p w14:paraId="635BEE99">
            <w:pPr>
              <w:rPr>
                <w:rFonts w:ascii="Arial"/>
                <w:color w:val="auto"/>
                <w:sz w:val="21"/>
                <w:highlight w:val="none"/>
              </w:rPr>
            </w:pPr>
          </w:p>
        </w:tc>
        <w:tc>
          <w:tcPr>
            <w:tcW w:w="859" w:type="dxa"/>
            <w:vAlign w:val="top"/>
          </w:tcPr>
          <w:p w14:paraId="38C33594">
            <w:pPr>
              <w:rPr>
                <w:rFonts w:ascii="Arial"/>
                <w:color w:val="auto"/>
                <w:sz w:val="21"/>
                <w:highlight w:val="none"/>
              </w:rPr>
            </w:pPr>
          </w:p>
        </w:tc>
        <w:tc>
          <w:tcPr>
            <w:tcW w:w="960" w:type="dxa"/>
            <w:vAlign w:val="top"/>
          </w:tcPr>
          <w:p w14:paraId="2D03EB82">
            <w:pPr>
              <w:rPr>
                <w:rFonts w:ascii="Arial"/>
                <w:color w:val="auto"/>
                <w:sz w:val="21"/>
                <w:highlight w:val="none"/>
              </w:rPr>
            </w:pPr>
          </w:p>
        </w:tc>
        <w:tc>
          <w:tcPr>
            <w:tcW w:w="1348" w:type="dxa"/>
            <w:vAlign w:val="top"/>
          </w:tcPr>
          <w:p w14:paraId="34D0FBDD">
            <w:pPr>
              <w:rPr>
                <w:rFonts w:ascii="Arial"/>
                <w:color w:val="auto"/>
                <w:sz w:val="21"/>
                <w:highlight w:val="none"/>
              </w:rPr>
            </w:pPr>
          </w:p>
        </w:tc>
        <w:tc>
          <w:tcPr>
            <w:tcW w:w="689" w:type="dxa"/>
            <w:vAlign w:val="top"/>
          </w:tcPr>
          <w:p w14:paraId="2FECAE59">
            <w:pPr>
              <w:rPr>
                <w:rFonts w:ascii="Arial"/>
                <w:color w:val="auto"/>
                <w:sz w:val="21"/>
                <w:highlight w:val="none"/>
              </w:rPr>
            </w:pPr>
          </w:p>
        </w:tc>
      </w:tr>
    </w:tbl>
    <w:p w14:paraId="451E8061">
      <w:pPr>
        <w:spacing w:before="87" w:line="228" w:lineRule="auto"/>
        <w:ind w:left="23" w:right="525" w:firstLine="8"/>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注：本工程一旦我单位中标，将配备上述项目管理人员。上述填报内容真实，如不</w:t>
      </w:r>
      <w:r>
        <w:rPr>
          <w:rFonts w:ascii="仿宋" w:hAnsi="仿宋" w:eastAsia="仿宋" w:cs="仿宋"/>
          <w:color w:val="auto"/>
          <w:spacing w:val="-6"/>
          <w:sz w:val="24"/>
          <w:szCs w:val="24"/>
          <w:highlight w:val="none"/>
        </w:rPr>
        <w:t>真实， 将按照有关规定接受处理。</w:t>
      </w:r>
    </w:p>
    <w:p w14:paraId="23A6620D">
      <w:pPr>
        <w:spacing w:line="228" w:lineRule="auto"/>
        <w:rPr>
          <w:rFonts w:ascii="仿宋" w:hAnsi="仿宋" w:eastAsia="仿宋" w:cs="仿宋"/>
          <w:color w:val="auto"/>
          <w:sz w:val="24"/>
          <w:szCs w:val="24"/>
          <w:highlight w:val="none"/>
        </w:rPr>
        <w:sectPr>
          <w:footerReference r:id="rId72" w:type="default"/>
          <w:pgSz w:w="11906" w:h="16840"/>
          <w:pgMar w:top="400" w:right="1269" w:bottom="1101" w:left="1785" w:header="0" w:footer="932" w:gutter="0"/>
          <w:pgNumType w:fmt="decimal"/>
          <w:cols w:space="720" w:num="1"/>
        </w:sectPr>
      </w:pPr>
    </w:p>
    <w:p w14:paraId="143FB6AF">
      <w:pPr>
        <w:pStyle w:val="3"/>
        <w:spacing w:line="260" w:lineRule="auto"/>
        <w:rPr>
          <w:color w:val="auto"/>
          <w:highlight w:val="none"/>
        </w:rPr>
      </w:pPr>
    </w:p>
    <w:p w14:paraId="123CAB17">
      <w:pPr>
        <w:pStyle w:val="3"/>
        <w:spacing w:line="260" w:lineRule="auto"/>
        <w:rPr>
          <w:color w:val="auto"/>
          <w:highlight w:val="none"/>
        </w:rPr>
      </w:pPr>
    </w:p>
    <w:p w14:paraId="1A7445F4">
      <w:pPr>
        <w:pStyle w:val="3"/>
        <w:spacing w:line="261" w:lineRule="auto"/>
        <w:rPr>
          <w:color w:val="auto"/>
          <w:highlight w:val="none"/>
        </w:rPr>
      </w:pPr>
    </w:p>
    <w:p w14:paraId="0A5A3E7A">
      <w:pPr>
        <w:spacing w:before="98" w:line="221" w:lineRule="auto"/>
        <w:ind w:left="2911"/>
        <w:rPr>
          <w:rFonts w:ascii="仿宋" w:hAnsi="仿宋" w:eastAsia="仿宋" w:cs="仿宋"/>
          <w:color w:val="auto"/>
          <w:sz w:val="30"/>
          <w:szCs w:val="30"/>
          <w:highlight w:val="none"/>
        </w:rPr>
      </w:pPr>
      <w:r>
        <w:rPr>
          <w:rFonts w:ascii="仿宋" w:hAnsi="仿宋" w:eastAsia="仿宋" w:cs="仿宋"/>
          <w:b/>
          <w:bCs/>
          <w:color w:val="auto"/>
          <w:spacing w:val="-12"/>
          <w:sz w:val="30"/>
          <w:szCs w:val="30"/>
          <w:highlight w:val="none"/>
        </w:rPr>
        <w:t>7.2</w:t>
      </w:r>
      <w:r>
        <w:rPr>
          <w:rFonts w:ascii="仿宋" w:hAnsi="仿宋" w:eastAsia="仿宋" w:cs="仿宋"/>
          <w:color w:val="auto"/>
          <w:spacing w:val="-40"/>
          <w:sz w:val="30"/>
          <w:szCs w:val="30"/>
          <w:highlight w:val="none"/>
        </w:rPr>
        <w:t xml:space="preserve"> </w:t>
      </w:r>
      <w:r>
        <w:rPr>
          <w:rFonts w:ascii="仿宋" w:hAnsi="仿宋" w:eastAsia="仿宋" w:cs="仿宋"/>
          <w:b/>
          <w:bCs/>
          <w:color w:val="auto"/>
          <w:spacing w:val="-12"/>
          <w:sz w:val="30"/>
          <w:szCs w:val="30"/>
          <w:highlight w:val="none"/>
        </w:rPr>
        <w:t>现场主要人员简历表</w:t>
      </w:r>
    </w:p>
    <w:p w14:paraId="393D3E12">
      <w:pPr>
        <w:spacing w:before="276" w:line="221" w:lineRule="auto"/>
        <w:ind w:left="3227"/>
        <w:rPr>
          <w:rFonts w:ascii="仿宋" w:hAnsi="仿宋" w:eastAsia="仿宋" w:cs="仿宋"/>
          <w:color w:val="auto"/>
          <w:sz w:val="28"/>
          <w:szCs w:val="28"/>
          <w:highlight w:val="none"/>
        </w:rPr>
      </w:pPr>
      <w:r>
        <w:rPr>
          <w:rFonts w:ascii="仿宋" w:hAnsi="仿宋" w:eastAsia="仿宋" w:cs="仿宋"/>
          <w:b/>
          <w:bCs/>
          <w:color w:val="auto"/>
          <w:spacing w:val="-19"/>
          <w:sz w:val="28"/>
          <w:szCs w:val="28"/>
          <w:highlight w:val="none"/>
        </w:rPr>
        <w:t>1</w:t>
      </w:r>
      <w:r>
        <w:rPr>
          <w:rFonts w:ascii="仿宋" w:hAnsi="仿宋" w:eastAsia="仿宋" w:cs="仿宋"/>
          <w:color w:val="auto"/>
          <w:spacing w:val="-19"/>
          <w:sz w:val="28"/>
          <w:szCs w:val="28"/>
          <w:highlight w:val="none"/>
        </w:rPr>
        <w:t xml:space="preserve"> </w:t>
      </w:r>
      <w:r>
        <w:rPr>
          <w:rFonts w:ascii="仿宋" w:hAnsi="仿宋" w:eastAsia="仿宋" w:cs="仿宋"/>
          <w:b/>
          <w:bCs/>
          <w:color w:val="auto"/>
          <w:spacing w:val="-19"/>
          <w:sz w:val="28"/>
          <w:szCs w:val="28"/>
          <w:highlight w:val="none"/>
        </w:rPr>
        <w:t>)</w:t>
      </w:r>
      <w:r>
        <w:rPr>
          <w:rFonts w:ascii="仿宋" w:hAnsi="仿宋" w:eastAsia="仿宋" w:cs="仿宋"/>
          <w:color w:val="auto"/>
          <w:spacing w:val="54"/>
          <w:sz w:val="28"/>
          <w:szCs w:val="28"/>
          <w:highlight w:val="none"/>
        </w:rPr>
        <w:t xml:space="preserve"> </w:t>
      </w:r>
      <w:r>
        <w:rPr>
          <w:rFonts w:ascii="仿宋" w:hAnsi="仿宋" w:eastAsia="仿宋" w:cs="仿宋"/>
          <w:b/>
          <w:bCs/>
          <w:color w:val="auto"/>
          <w:spacing w:val="-19"/>
          <w:sz w:val="28"/>
          <w:szCs w:val="28"/>
          <w:highlight w:val="none"/>
        </w:rPr>
        <w:t>项目负责人简历表</w:t>
      </w:r>
    </w:p>
    <w:p w14:paraId="06AA1D32">
      <w:pPr>
        <w:spacing w:before="2" w:line="224" w:lineRule="auto"/>
        <w:ind w:left="17" w:right="587" w:firstLine="467"/>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项目负责人应附建造师注册证书、安全生产考核合格证书、身份证复印件及未担任其他 在施建设工程项目项目负责人的承诺书，管理过的项目业绩须附合</w:t>
      </w:r>
      <w:r>
        <w:rPr>
          <w:rFonts w:ascii="仿宋" w:hAnsi="仿宋" w:eastAsia="仿宋" w:cs="仿宋"/>
          <w:color w:val="auto"/>
          <w:spacing w:val="-3"/>
          <w:sz w:val="24"/>
          <w:szCs w:val="24"/>
          <w:highlight w:val="none"/>
        </w:rPr>
        <w:t>同协议书和竣工验收备案登记表复印件。类似项目限于以项目负责人身份参与的</w:t>
      </w:r>
    </w:p>
    <w:p w14:paraId="7C9B5D6F">
      <w:pPr>
        <w:spacing w:line="209" w:lineRule="auto"/>
        <w:ind w:left="1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项目。</w:t>
      </w:r>
    </w:p>
    <w:tbl>
      <w:tblPr>
        <w:tblStyle w:val="11"/>
        <w:tblW w:w="8878"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7"/>
        <w:gridCol w:w="943"/>
        <w:gridCol w:w="512"/>
        <w:gridCol w:w="509"/>
        <w:gridCol w:w="525"/>
        <w:gridCol w:w="652"/>
        <w:gridCol w:w="423"/>
        <w:gridCol w:w="1258"/>
        <w:gridCol w:w="510"/>
        <w:gridCol w:w="1909"/>
      </w:tblGrid>
      <w:tr w14:paraId="4F116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637" w:type="dxa"/>
            <w:vAlign w:val="top"/>
          </w:tcPr>
          <w:p w14:paraId="38D5B42A">
            <w:pPr>
              <w:pStyle w:val="12"/>
              <w:spacing w:before="220" w:line="224" w:lineRule="auto"/>
              <w:ind w:left="190"/>
              <w:rPr>
                <w:color w:val="auto"/>
                <w:highlight w:val="none"/>
              </w:rPr>
            </w:pPr>
            <w:r>
              <w:rPr>
                <w:color w:val="auto"/>
                <w:spacing w:val="-8"/>
                <w:highlight w:val="none"/>
              </w:rPr>
              <w:t>姓名</w:t>
            </w:r>
          </w:p>
        </w:tc>
        <w:tc>
          <w:tcPr>
            <w:tcW w:w="1455" w:type="dxa"/>
            <w:gridSpan w:val="2"/>
            <w:vAlign w:val="top"/>
          </w:tcPr>
          <w:p w14:paraId="762D4430">
            <w:pPr>
              <w:rPr>
                <w:rFonts w:ascii="Arial"/>
                <w:color w:val="auto"/>
                <w:sz w:val="21"/>
                <w:highlight w:val="none"/>
              </w:rPr>
            </w:pPr>
          </w:p>
        </w:tc>
        <w:tc>
          <w:tcPr>
            <w:tcW w:w="1034" w:type="dxa"/>
            <w:gridSpan w:val="2"/>
            <w:vAlign w:val="top"/>
          </w:tcPr>
          <w:p w14:paraId="7977D9EE">
            <w:pPr>
              <w:pStyle w:val="12"/>
              <w:spacing w:before="215" w:line="222" w:lineRule="auto"/>
              <w:ind w:left="125"/>
              <w:rPr>
                <w:color w:val="auto"/>
                <w:highlight w:val="none"/>
              </w:rPr>
            </w:pPr>
            <w:r>
              <w:rPr>
                <w:color w:val="auto"/>
                <w:spacing w:val="-11"/>
                <w:highlight w:val="none"/>
              </w:rPr>
              <w:t>年龄</w:t>
            </w:r>
          </w:p>
        </w:tc>
        <w:tc>
          <w:tcPr>
            <w:tcW w:w="1075" w:type="dxa"/>
            <w:gridSpan w:val="2"/>
            <w:vAlign w:val="top"/>
          </w:tcPr>
          <w:p w14:paraId="0297E998">
            <w:pPr>
              <w:rPr>
                <w:rFonts w:ascii="Arial"/>
                <w:color w:val="auto"/>
                <w:sz w:val="21"/>
                <w:highlight w:val="none"/>
              </w:rPr>
            </w:pPr>
          </w:p>
        </w:tc>
        <w:tc>
          <w:tcPr>
            <w:tcW w:w="1768" w:type="dxa"/>
            <w:gridSpan w:val="2"/>
            <w:vAlign w:val="top"/>
          </w:tcPr>
          <w:p w14:paraId="5AC8CB64">
            <w:pPr>
              <w:pStyle w:val="12"/>
              <w:spacing w:before="219" w:line="223" w:lineRule="auto"/>
              <w:ind w:left="145"/>
              <w:rPr>
                <w:color w:val="auto"/>
                <w:highlight w:val="none"/>
              </w:rPr>
            </w:pPr>
            <w:r>
              <w:rPr>
                <w:color w:val="auto"/>
                <w:spacing w:val="-14"/>
                <w:highlight w:val="none"/>
              </w:rPr>
              <w:t>学历</w:t>
            </w:r>
          </w:p>
        </w:tc>
        <w:tc>
          <w:tcPr>
            <w:tcW w:w="1909" w:type="dxa"/>
            <w:vAlign w:val="top"/>
          </w:tcPr>
          <w:p w14:paraId="2CFE5B71">
            <w:pPr>
              <w:rPr>
                <w:rFonts w:ascii="Arial"/>
                <w:color w:val="auto"/>
                <w:sz w:val="21"/>
                <w:highlight w:val="none"/>
              </w:rPr>
            </w:pPr>
          </w:p>
        </w:tc>
      </w:tr>
      <w:tr w14:paraId="4A8BA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637" w:type="dxa"/>
            <w:vAlign w:val="top"/>
          </w:tcPr>
          <w:p w14:paraId="12716830">
            <w:pPr>
              <w:spacing w:line="404" w:lineRule="auto"/>
              <w:rPr>
                <w:rFonts w:ascii="Arial"/>
                <w:color w:val="auto"/>
                <w:sz w:val="21"/>
                <w:highlight w:val="none"/>
              </w:rPr>
            </w:pPr>
          </w:p>
          <w:p w14:paraId="5295B920">
            <w:pPr>
              <w:pStyle w:val="12"/>
              <w:spacing w:before="78" w:line="221" w:lineRule="auto"/>
              <w:ind w:left="187"/>
              <w:rPr>
                <w:color w:val="auto"/>
                <w:highlight w:val="none"/>
              </w:rPr>
            </w:pPr>
            <w:r>
              <w:rPr>
                <w:color w:val="auto"/>
                <w:spacing w:val="-8"/>
                <w:highlight w:val="none"/>
              </w:rPr>
              <w:t>职称</w:t>
            </w:r>
          </w:p>
        </w:tc>
        <w:tc>
          <w:tcPr>
            <w:tcW w:w="1455" w:type="dxa"/>
            <w:gridSpan w:val="2"/>
            <w:vAlign w:val="top"/>
          </w:tcPr>
          <w:p w14:paraId="6F2F08E3">
            <w:pPr>
              <w:rPr>
                <w:rFonts w:ascii="Arial"/>
                <w:color w:val="auto"/>
                <w:sz w:val="21"/>
                <w:highlight w:val="none"/>
              </w:rPr>
            </w:pPr>
          </w:p>
        </w:tc>
        <w:tc>
          <w:tcPr>
            <w:tcW w:w="1034" w:type="dxa"/>
            <w:gridSpan w:val="2"/>
            <w:vAlign w:val="top"/>
          </w:tcPr>
          <w:p w14:paraId="637B2401">
            <w:pPr>
              <w:spacing w:line="409" w:lineRule="auto"/>
              <w:rPr>
                <w:rFonts w:ascii="Arial"/>
                <w:color w:val="auto"/>
                <w:sz w:val="21"/>
                <w:highlight w:val="none"/>
              </w:rPr>
            </w:pPr>
          </w:p>
          <w:p w14:paraId="2C63FD0C">
            <w:pPr>
              <w:pStyle w:val="12"/>
              <w:spacing w:before="78" w:line="223" w:lineRule="auto"/>
              <w:ind w:left="107"/>
              <w:rPr>
                <w:color w:val="auto"/>
                <w:highlight w:val="none"/>
              </w:rPr>
            </w:pPr>
            <w:r>
              <w:rPr>
                <w:color w:val="auto"/>
                <w:spacing w:val="-8"/>
                <w:highlight w:val="none"/>
              </w:rPr>
              <w:t>职务</w:t>
            </w:r>
          </w:p>
        </w:tc>
        <w:tc>
          <w:tcPr>
            <w:tcW w:w="1075" w:type="dxa"/>
            <w:gridSpan w:val="2"/>
            <w:vAlign w:val="top"/>
          </w:tcPr>
          <w:p w14:paraId="31E98565">
            <w:pPr>
              <w:rPr>
                <w:rFonts w:ascii="Arial"/>
                <w:color w:val="auto"/>
                <w:sz w:val="21"/>
                <w:highlight w:val="none"/>
              </w:rPr>
            </w:pPr>
          </w:p>
        </w:tc>
        <w:tc>
          <w:tcPr>
            <w:tcW w:w="1768" w:type="dxa"/>
            <w:gridSpan w:val="2"/>
            <w:vAlign w:val="top"/>
          </w:tcPr>
          <w:p w14:paraId="5CFCD397">
            <w:pPr>
              <w:spacing w:line="268" w:lineRule="auto"/>
              <w:rPr>
                <w:rFonts w:ascii="Arial"/>
                <w:color w:val="auto"/>
                <w:sz w:val="21"/>
                <w:highlight w:val="none"/>
              </w:rPr>
            </w:pPr>
          </w:p>
          <w:p w14:paraId="3FDB9E7C">
            <w:pPr>
              <w:pStyle w:val="12"/>
              <w:spacing w:before="78" w:line="231" w:lineRule="auto"/>
              <w:ind w:left="113" w:right="256"/>
              <w:rPr>
                <w:color w:val="auto"/>
                <w:highlight w:val="none"/>
              </w:rPr>
            </w:pPr>
            <w:r>
              <w:rPr>
                <w:color w:val="auto"/>
                <w:spacing w:val="-8"/>
                <w:highlight w:val="none"/>
              </w:rPr>
              <w:t>拟在本工程任</w:t>
            </w:r>
            <w:r>
              <w:rPr>
                <w:color w:val="auto"/>
                <w:highlight w:val="none"/>
              </w:rPr>
              <w:t>职</w:t>
            </w:r>
          </w:p>
        </w:tc>
        <w:tc>
          <w:tcPr>
            <w:tcW w:w="1909" w:type="dxa"/>
            <w:vAlign w:val="top"/>
          </w:tcPr>
          <w:p w14:paraId="3091DB84">
            <w:pPr>
              <w:spacing w:line="409" w:lineRule="auto"/>
              <w:rPr>
                <w:rFonts w:ascii="Arial"/>
                <w:color w:val="auto"/>
                <w:sz w:val="21"/>
                <w:highlight w:val="none"/>
              </w:rPr>
            </w:pPr>
          </w:p>
          <w:p w14:paraId="5666C59F">
            <w:pPr>
              <w:pStyle w:val="12"/>
              <w:spacing w:before="78" w:line="224" w:lineRule="auto"/>
              <w:ind w:left="120"/>
              <w:rPr>
                <w:color w:val="auto"/>
                <w:highlight w:val="none"/>
              </w:rPr>
            </w:pPr>
            <w:r>
              <w:rPr>
                <w:color w:val="auto"/>
                <w:spacing w:val="-8"/>
                <w:highlight w:val="none"/>
              </w:rPr>
              <w:t>项目负责人</w:t>
            </w:r>
          </w:p>
        </w:tc>
      </w:tr>
      <w:tr w14:paraId="70C59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3601" w:type="dxa"/>
            <w:gridSpan w:val="4"/>
            <w:vAlign w:val="top"/>
          </w:tcPr>
          <w:p w14:paraId="6D28B301">
            <w:pPr>
              <w:pStyle w:val="12"/>
              <w:spacing w:before="210" w:line="222" w:lineRule="auto"/>
              <w:ind w:left="209"/>
              <w:rPr>
                <w:color w:val="auto"/>
                <w:highlight w:val="none"/>
              </w:rPr>
            </w:pPr>
            <w:r>
              <w:rPr>
                <w:color w:val="auto"/>
                <w:spacing w:val="-7"/>
                <w:highlight w:val="none"/>
              </w:rPr>
              <w:t>注册建造师执业资格等级</w:t>
            </w:r>
          </w:p>
        </w:tc>
        <w:tc>
          <w:tcPr>
            <w:tcW w:w="1177" w:type="dxa"/>
            <w:gridSpan w:val="2"/>
            <w:vAlign w:val="top"/>
          </w:tcPr>
          <w:p w14:paraId="49146B47">
            <w:pPr>
              <w:pStyle w:val="12"/>
              <w:spacing w:before="214" w:line="224" w:lineRule="auto"/>
              <w:ind w:left="163"/>
              <w:rPr>
                <w:color w:val="auto"/>
                <w:highlight w:val="none"/>
              </w:rPr>
            </w:pPr>
            <w:r>
              <w:rPr>
                <w:color w:val="auto"/>
                <w:highlight w:val="none"/>
              </w:rPr>
              <w:t>级</w:t>
            </w:r>
          </w:p>
        </w:tc>
        <w:tc>
          <w:tcPr>
            <w:tcW w:w="1681" w:type="dxa"/>
            <w:gridSpan w:val="2"/>
            <w:vAlign w:val="top"/>
          </w:tcPr>
          <w:p w14:paraId="253329BB">
            <w:pPr>
              <w:pStyle w:val="12"/>
              <w:spacing w:before="210" w:line="222" w:lineRule="auto"/>
              <w:ind w:left="160"/>
              <w:rPr>
                <w:color w:val="auto"/>
                <w:highlight w:val="none"/>
              </w:rPr>
            </w:pPr>
            <w:r>
              <w:rPr>
                <w:color w:val="auto"/>
                <w:spacing w:val="-8"/>
                <w:highlight w:val="none"/>
              </w:rPr>
              <w:t>建造师专业</w:t>
            </w:r>
          </w:p>
        </w:tc>
        <w:tc>
          <w:tcPr>
            <w:tcW w:w="2419" w:type="dxa"/>
            <w:gridSpan w:val="2"/>
            <w:vAlign w:val="top"/>
          </w:tcPr>
          <w:p w14:paraId="2998C059">
            <w:pPr>
              <w:rPr>
                <w:rFonts w:ascii="Arial"/>
                <w:color w:val="auto"/>
                <w:sz w:val="21"/>
                <w:highlight w:val="none"/>
              </w:rPr>
            </w:pPr>
          </w:p>
        </w:tc>
      </w:tr>
      <w:tr w14:paraId="11630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3601" w:type="dxa"/>
            <w:gridSpan w:val="4"/>
            <w:vAlign w:val="top"/>
          </w:tcPr>
          <w:p w14:paraId="6BF3F384">
            <w:pPr>
              <w:pStyle w:val="12"/>
              <w:spacing w:before="210" w:line="222" w:lineRule="auto"/>
              <w:ind w:left="198"/>
              <w:rPr>
                <w:color w:val="auto"/>
                <w:highlight w:val="none"/>
              </w:rPr>
            </w:pPr>
            <w:r>
              <w:rPr>
                <w:color w:val="auto"/>
                <w:spacing w:val="-5"/>
                <w:highlight w:val="none"/>
              </w:rPr>
              <w:t>安全生产考核合格证书</w:t>
            </w:r>
          </w:p>
        </w:tc>
        <w:tc>
          <w:tcPr>
            <w:tcW w:w="5277" w:type="dxa"/>
            <w:gridSpan w:val="6"/>
            <w:vAlign w:val="top"/>
          </w:tcPr>
          <w:p w14:paraId="567DB610">
            <w:pPr>
              <w:rPr>
                <w:rFonts w:ascii="Arial"/>
                <w:color w:val="auto"/>
                <w:sz w:val="21"/>
                <w:highlight w:val="none"/>
              </w:rPr>
            </w:pPr>
          </w:p>
        </w:tc>
      </w:tr>
      <w:tr w14:paraId="1E583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637" w:type="dxa"/>
            <w:vAlign w:val="top"/>
          </w:tcPr>
          <w:p w14:paraId="7318A609">
            <w:pPr>
              <w:pStyle w:val="12"/>
              <w:spacing w:before="209" w:line="221" w:lineRule="auto"/>
              <w:ind w:left="201"/>
              <w:rPr>
                <w:color w:val="auto"/>
                <w:highlight w:val="none"/>
              </w:rPr>
            </w:pPr>
            <w:r>
              <w:rPr>
                <w:color w:val="auto"/>
                <w:spacing w:val="-10"/>
                <w:highlight w:val="none"/>
              </w:rPr>
              <w:t>毕业学校</w:t>
            </w:r>
          </w:p>
        </w:tc>
        <w:tc>
          <w:tcPr>
            <w:tcW w:w="7241" w:type="dxa"/>
            <w:gridSpan w:val="9"/>
            <w:vAlign w:val="top"/>
          </w:tcPr>
          <w:p w14:paraId="00DCB3C8">
            <w:pPr>
              <w:pStyle w:val="12"/>
              <w:spacing w:before="209" w:line="221" w:lineRule="auto"/>
              <w:ind w:left="171"/>
              <w:rPr>
                <w:color w:val="auto"/>
                <w:highlight w:val="none"/>
              </w:rPr>
            </w:pPr>
            <w:r>
              <w:rPr>
                <w:color w:val="auto"/>
                <w:spacing w:val="-7"/>
                <w:highlight w:val="none"/>
              </w:rPr>
              <w:t>年毕业于学校专业</w:t>
            </w:r>
          </w:p>
        </w:tc>
      </w:tr>
      <w:tr w14:paraId="27D38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878" w:type="dxa"/>
            <w:gridSpan w:val="10"/>
            <w:vAlign w:val="top"/>
          </w:tcPr>
          <w:p w14:paraId="7B2A1883">
            <w:pPr>
              <w:pStyle w:val="12"/>
              <w:spacing w:before="204" w:line="220" w:lineRule="auto"/>
              <w:ind w:left="209"/>
              <w:rPr>
                <w:color w:val="auto"/>
                <w:highlight w:val="none"/>
              </w:rPr>
            </w:pPr>
            <w:r>
              <w:rPr>
                <w:color w:val="auto"/>
                <w:spacing w:val="-9"/>
                <w:highlight w:val="none"/>
              </w:rPr>
              <w:t>主要工作经历</w:t>
            </w:r>
          </w:p>
        </w:tc>
      </w:tr>
      <w:tr w14:paraId="383DA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1637" w:type="dxa"/>
            <w:vAlign w:val="top"/>
          </w:tcPr>
          <w:p w14:paraId="05CA5409">
            <w:pPr>
              <w:spacing w:line="409" w:lineRule="auto"/>
              <w:rPr>
                <w:rFonts w:ascii="Arial"/>
                <w:color w:val="auto"/>
                <w:sz w:val="21"/>
                <w:highlight w:val="none"/>
              </w:rPr>
            </w:pPr>
          </w:p>
          <w:p w14:paraId="2966D174">
            <w:pPr>
              <w:pStyle w:val="12"/>
              <w:spacing w:before="78" w:line="223" w:lineRule="auto"/>
              <w:ind w:left="241"/>
              <w:rPr>
                <w:color w:val="auto"/>
                <w:highlight w:val="none"/>
              </w:rPr>
            </w:pPr>
            <w:r>
              <w:rPr>
                <w:color w:val="auto"/>
                <w:spacing w:val="-17"/>
                <w:highlight w:val="none"/>
              </w:rPr>
              <w:t>时间</w:t>
            </w:r>
          </w:p>
        </w:tc>
        <w:tc>
          <w:tcPr>
            <w:tcW w:w="3141" w:type="dxa"/>
            <w:gridSpan w:val="5"/>
            <w:vAlign w:val="top"/>
          </w:tcPr>
          <w:p w14:paraId="0925F5FB">
            <w:pPr>
              <w:spacing w:line="406" w:lineRule="auto"/>
              <w:rPr>
                <w:rFonts w:ascii="Arial"/>
                <w:color w:val="auto"/>
                <w:sz w:val="21"/>
                <w:highlight w:val="none"/>
              </w:rPr>
            </w:pPr>
          </w:p>
          <w:p w14:paraId="08B45A29">
            <w:pPr>
              <w:pStyle w:val="12"/>
              <w:spacing w:before="78" w:line="221" w:lineRule="auto"/>
              <w:ind w:left="168"/>
              <w:rPr>
                <w:color w:val="auto"/>
                <w:highlight w:val="none"/>
              </w:rPr>
            </w:pPr>
            <w:r>
              <w:rPr>
                <w:color w:val="auto"/>
                <w:spacing w:val="-6"/>
                <w:highlight w:val="none"/>
              </w:rPr>
              <w:t>参加过的类似项目名称</w:t>
            </w:r>
          </w:p>
        </w:tc>
        <w:tc>
          <w:tcPr>
            <w:tcW w:w="1681" w:type="dxa"/>
            <w:gridSpan w:val="2"/>
            <w:vAlign w:val="top"/>
          </w:tcPr>
          <w:p w14:paraId="2187DD23">
            <w:pPr>
              <w:spacing w:line="409" w:lineRule="auto"/>
              <w:rPr>
                <w:rFonts w:ascii="Arial"/>
                <w:color w:val="auto"/>
                <w:sz w:val="21"/>
                <w:highlight w:val="none"/>
              </w:rPr>
            </w:pPr>
          </w:p>
          <w:p w14:paraId="7F9AFD88">
            <w:pPr>
              <w:pStyle w:val="12"/>
              <w:spacing w:before="78" w:line="222" w:lineRule="auto"/>
              <w:ind w:left="180"/>
              <w:rPr>
                <w:color w:val="auto"/>
                <w:highlight w:val="none"/>
              </w:rPr>
            </w:pPr>
            <w:r>
              <w:rPr>
                <w:color w:val="auto"/>
                <w:spacing w:val="-9"/>
                <w:highlight w:val="none"/>
              </w:rPr>
              <w:t>工程概况说明</w:t>
            </w:r>
          </w:p>
        </w:tc>
        <w:tc>
          <w:tcPr>
            <w:tcW w:w="2419" w:type="dxa"/>
            <w:gridSpan w:val="2"/>
            <w:vAlign w:val="top"/>
          </w:tcPr>
          <w:p w14:paraId="58D54721">
            <w:pPr>
              <w:spacing w:line="409" w:lineRule="auto"/>
              <w:rPr>
                <w:rFonts w:ascii="Arial"/>
                <w:color w:val="auto"/>
                <w:sz w:val="21"/>
                <w:highlight w:val="none"/>
              </w:rPr>
            </w:pPr>
          </w:p>
          <w:p w14:paraId="3686A111">
            <w:pPr>
              <w:pStyle w:val="12"/>
              <w:spacing w:before="78" w:line="223" w:lineRule="auto"/>
              <w:ind w:left="184"/>
              <w:rPr>
                <w:color w:val="auto"/>
                <w:highlight w:val="none"/>
              </w:rPr>
            </w:pPr>
            <w:r>
              <w:rPr>
                <w:color w:val="auto"/>
                <w:spacing w:val="-8"/>
                <w:highlight w:val="none"/>
              </w:rPr>
              <w:t>发包人及联系电话</w:t>
            </w:r>
          </w:p>
        </w:tc>
      </w:tr>
      <w:tr w14:paraId="178C6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37" w:type="dxa"/>
            <w:vAlign w:val="top"/>
          </w:tcPr>
          <w:p w14:paraId="551B3739">
            <w:pPr>
              <w:rPr>
                <w:rFonts w:ascii="Arial"/>
                <w:color w:val="auto"/>
                <w:sz w:val="21"/>
                <w:highlight w:val="none"/>
              </w:rPr>
            </w:pPr>
          </w:p>
        </w:tc>
        <w:tc>
          <w:tcPr>
            <w:tcW w:w="943" w:type="dxa"/>
            <w:vAlign w:val="top"/>
          </w:tcPr>
          <w:p w14:paraId="3AA25AF8">
            <w:pPr>
              <w:rPr>
                <w:rFonts w:ascii="Arial"/>
                <w:color w:val="auto"/>
                <w:sz w:val="21"/>
                <w:highlight w:val="none"/>
              </w:rPr>
            </w:pPr>
          </w:p>
        </w:tc>
        <w:tc>
          <w:tcPr>
            <w:tcW w:w="1021" w:type="dxa"/>
            <w:gridSpan w:val="2"/>
            <w:vAlign w:val="top"/>
          </w:tcPr>
          <w:p w14:paraId="4F966F31">
            <w:pPr>
              <w:rPr>
                <w:rFonts w:ascii="Arial"/>
                <w:color w:val="auto"/>
                <w:sz w:val="21"/>
                <w:highlight w:val="none"/>
              </w:rPr>
            </w:pPr>
          </w:p>
        </w:tc>
        <w:tc>
          <w:tcPr>
            <w:tcW w:w="1177" w:type="dxa"/>
            <w:gridSpan w:val="2"/>
            <w:vAlign w:val="top"/>
          </w:tcPr>
          <w:p w14:paraId="45EDE1A1">
            <w:pPr>
              <w:rPr>
                <w:rFonts w:ascii="Arial"/>
                <w:color w:val="auto"/>
                <w:sz w:val="21"/>
                <w:highlight w:val="none"/>
              </w:rPr>
            </w:pPr>
          </w:p>
        </w:tc>
        <w:tc>
          <w:tcPr>
            <w:tcW w:w="1681" w:type="dxa"/>
            <w:gridSpan w:val="2"/>
            <w:vAlign w:val="top"/>
          </w:tcPr>
          <w:p w14:paraId="14F478CF">
            <w:pPr>
              <w:rPr>
                <w:rFonts w:ascii="Arial"/>
                <w:color w:val="auto"/>
                <w:sz w:val="21"/>
                <w:highlight w:val="none"/>
              </w:rPr>
            </w:pPr>
          </w:p>
        </w:tc>
        <w:tc>
          <w:tcPr>
            <w:tcW w:w="2419" w:type="dxa"/>
            <w:gridSpan w:val="2"/>
            <w:vAlign w:val="top"/>
          </w:tcPr>
          <w:p w14:paraId="2B762ACC">
            <w:pPr>
              <w:rPr>
                <w:rFonts w:ascii="Arial"/>
                <w:color w:val="auto"/>
                <w:sz w:val="21"/>
                <w:highlight w:val="none"/>
              </w:rPr>
            </w:pPr>
          </w:p>
        </w:tc>
      </w:tr>
      <w:tr w14:paraId="23719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637" w:type="dxa"/>
            <w:vAlign w:val="top"/>
          </w:tcPr>
          <w:p w14:paraId="3A0B8B16">
            <w:pPr>
              <w:rPr>
                <w:rFonts w:ascii="Arial"/>
                <w:color w:val="auto"/>
                <w:sz w:val="21"/>
                <w:highlight w:val="none"/>
              </w:rPr>
            </w:pPr>
          </w:p>
        </w:tc>
        <w:tc>
          <w:tcPr>
            <w:tcW w:w="943" w:type="dxa"/>
            <w:vAlign w:val="top"/>
          </w:tcPr>
          <w:p w14:paraId="20B6A361">
            <w:pPr>
              <w:rPr>
                <w:rFonts w:ascii="Arial"/>
                <w:color w:val="auto"/>
                <w:sz w:val="21"/>
                <w:highlight w:val="none"/>
              </w:rPr>
            </w:pPr>
          </w:p>
        </w:tc>
        <w:tc>
          <w:tcPr>
            <w:tcW w:w="1021" w:type="dxa"/>
            <w:gridSpan w:val="2"/>
            <w:vAlign w:val="top"/>
          </w:tcPr>
          <w:p w14:paraId="730DF97E">
            <w:pPr>
              <w:rPr>
                <w:rFonts w:ascii="Arial"/>
                <w:color w:val="auto"/>
                <w:sz w:val="21"/>
                <w:highlight w:val="none"/>
              </w:rPr>
            </w:pPr>
          </w:p>
        </w:tc>
        <w:tc>
          <w:tcPr>
            <w:tcW w:w="1177" w:type="dxa"/>
            <w:gridSpan w:val="2"/>
            <w:vAlign w:val="top"/>
          </w:tcPr>
          <w:p w14:paraId="20DF6844">
            <w:pPr>
              <w:rPr>
                <w:rFonts w:ascii="Arial"/>
                <w:color w:val="auto"/>
                <w:sz w:val="21"/>
                <w:highlight w:val="none"/>
              </w:rPr>
            </w:pPr>
          </w:p>
        </w:tc>
        <w:tc>
          <w:tcPr>
            <w:tcW w:w="1681" w:type="dxa"/>
            <w:gridSpan w:val="2"/>
            <w:vAlign w:val="top"/>
          </w:tcPr>
          <w:p w14:paraId="199C666A">
            <w:pPr>
              <w:rPr>
                <w:rFonts w:ascii="Arial"/>
                <w:color w:val="auto"/>
                <w:sz w:val="21"/>
                <w:highlight w:val="none"/>
              </w:rPr>
            </w:pPr>
          </w:p>
        </w:tc>
        <w:tc>
          <w:tcPr>
            <w:tcW w:w="2419" w:type="dxa"/>
            <w:gridSpan w:val="2"/>
            <w:vAlign w:val="top"/>
          </w:tcPr>
          <w:p w14:paraId="4F0F146E">
            <w:pPr>
              <w:rPr>
                <w:rFonts w:ascii="Arial"/>
                <w:color w:val="auto"/>
                <w:sz w:val="21"/>
                <w:highlight w:val="none"/>
              </w:rPr>
            </w:pPr>
          </w:p>
        </w:tc>
      </w:tr>
      <w:tr w14:paraId="610E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637" w:type="dxa"/>
            <w:vAlign w:val="top"/>
          </w:tcPr>
          <w:p w14:paraId="023185D4">
            <w:pPr>
              <w:rPr>
                <w:rFonts w:ascii="Arial"/>
                <w:color w:val="auto"/>
                <w:sz w:val="21"/>
                <w:highlight w:val="none"/>
              </w:rPr>
            </w:pPr>
          </w:p>
        </w:tc>
        <w:tc>
          <w:tcPr>
            <w:tcW w:w="943" w:type="dxa"/>
            <w:vAlign w:val="top"/>
          </w:tcPr>
          <w:p w14:paraId="1F07E40B">
            <w:pPr>
              <w:rPr>
                <w:rFonts w:ascii="Arial"/>
                <w:color w:val="auto"/>
                <w:sz w:val="21"/>
                <w:highlight w:val="none"/>
              </w:rPr>
            </w:pPr>
          </w:p>
        </w:tc>
        <w:tc>
          <w:tcPr>
            <w:tcW w:w="1021" w:type="dxa"/>
            <w:gridSpan w:val="2"/>
            <w:vAlign w:val="top"/>
          </w:tcPr>
          <w:p w14:paraId="103D5408">
            <w:pPr>
              <w:rPr>
                <w:rFonts w:ascii="Arial"/>
                <w:color w:val="auto"/>
                <w:sz w:val="21"/>
                <w:highlight w:val="none"/>
              </w:rPr>
            </w:pPr>
          </w:p>
        </w:tc>
        <w:tc>
          <w:tcPr>
            <w:tcW w:w="1177" w:type="dxa"/>
            <w:gridSpan w:val="2"/>
            <w:vAlign w:val="top"/>
          </w:tcPr>
          <w:p w14:paraId="02E2F6EE">
            <w:pPr>
              <w:rPr>
                <w:rFonts w:ascii="Arial"/>
                <w:color w:val="auto"/>
                <w:sz w:val="21"/>
                <w:highlight w:val="none"/>
              </w:rPr>
            </w:pPr>
          </w:p>
        </w:tc>
        <w:tc>
          <w:tcPr>
            <w:tcW w:w="1681" w:type="dxa"/>
            <w:gridSpan w:val="2"/>
            <w:vAlign w:val="top"/>
          </w:tcPr>
          <w:p w14:paraId="48A9259B">
            <w:pPr>
              <w:rPr>
                <w:rFonts w:ascii="Arial"/>
                <w:color w:val="auto"/>
                <w:sz w:val="21"/>
                <w:highlight w:val="none"/>
              </w:rPr>
            </w:pPr>
          </w:p>
        </w:tc>
        <w:tc>
          <w:tcPr>
            <w:tcW w:w="2419" w:type="dxa"/>
            <w:gridSpan w:val="2"/>
            <w:vAlign w:val="top"/>
          </w:tcPr>
          <w:p w14:paraId="6CCDAF92">
            <w:pPr>
              <w:rPr>
                <w:rFonts w:ascii="Arial"/>
                <w:color w:val="auto"/>
                <w:sz w:val="21"/>
                <w:highlight w:val="none"/>
              </w:rPr>
            </w:pPr>
          </w:p>
        </w:tc>
      </w:tr>
      <w:tr w14:paraId="3AFCA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1637" w:type="dxa"/>
            <w:vAlign w:val="top"/>
          </w:tcPr>
          <w:p w14:paraId="1C9596F0">
            <w:pPr>
              <w:rPr>
                <w:rFonts w:ascii="Arial"/>
                <w:color w:val="auto"/>
                <w:sz w:val="21"/>
                <w:highlight w:val="none"/>
              </w:rPr>
            </w:pPr>
          </w:p>
        </w:tc>
        <w:tc>
          <w:tcPr>
            <w:tcW w:w="943" w:type="dxa"/>
            <w:vAlign w:val="top"/>
          </w:tcPr>
          <w:p w14:paraId="3F1A8E9F">
            <w:pPr>
              <w:rPr>
                <w:rFonts w:ascii="Arial"/>
                <w:color w:val="auto"/>
                <w:sz w:val="21"/>
                <w:highlight w:val="none"/>
              </w:rPr>
            </w:pPr>
          </w:p>
        </w:tc>
        <w:tc>
          <w:tcPr>
            <w:tcW w:w="1021" w:type="dxa"/>
            <w:gridSpan w:val="2"/>
            <w:vAlign w:val="top"/>
          </w:tcPr>
          <w:p w14:paraId="1FDBDB23">
            <w:pPr>
              <w:rPr>
                <w:rFonts w:ascii="Arial"/>
                <w:color w:val="auto"/>
                <w:sz w:val="21"/>
                <w:highlight w:val="none"/>
              </w:rPr>
            </w:pPr>
          </w:p>
        </w:tc>
        <w:tc>
          <w:tcPr>
            <w:tcW w:w="1177" w:type="dxa"/>
            <w:gridSpan w:val="2"/>
            <w:vAlign w:val="top"/>
          </w:tcPr>
          <w:p w14:paraId="132DD5A7">
            <w:pPr>
              <w:rPr>
                <w:rFonts w:ascii="Arial"/>
                <w:color w:val="auto"/>
                <w:sz w:val="21"/>
                <w:highlight w:val="none"/>
              </w:rPr>
            </w:pPr>
          </w:p>
        </w:tc>
        <w:tc>
          <w:tcPr>
            <w:tcW w:w="1681" w:type="dxa"/>
            <w:gridSpan w:val="2"/>
            <w:vAlign w:val="top"/>
          </w:tcPr>
          <w:p w14:paraId="1A4B7542">
            <w:pPr>
              <w:rPr>
                <w:rFonts w:ascii="Arial"/>
                <w:color w:val="auto"/>
                <w:sz w:val="21"/>
                <w:highlight w:val="none"/>
              </w:rPr>
            </w:pPr>
          </w:p>
        </w:tc>
        <w:tc>
          <w:tcPr>
            <w:tcW w:w="2419" w:type="dxa"/>
            <w:gridSpan w:val="2"/>
            <w:vAlign w:val="top"/>
          </w:tcPr>
          <w:p w14:paraId="1DBAEC67">
            <w:pPr>
              <w:rPr>
                <w:rFonts w:ascii="Arial"/>
                <w:color w:val="auto"/>
                <w:sz w:val="21"/>
                <w:highlight w:val="none"/>
              </w:rPr>
            </w:pPr>
          </w:p>
        </w:tc>
      </w:tr>
      <w:tr w14:paraId="7C577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637" w:type="dxa"/>
            <w:vAlign w:val="top"/>
          </w:tcPr>
          <w:p w14:paraId="30CCD7A2">
            <w:pPr>
              <w:rPr>
                <w:rFonts w:ascii="Arial"/>
                <w:color w:val="auto"/>
                <w:sz w:val="21"/>
                <w:highlight w:val="none"/>
              </w:rPr>
            </w:pPr>
          </w:p>
        </w:tc>
        <w:tc>
          <w:tcPr>
            <w:tcW w:w="943" w:type="dxa"/>
            <w:vAlign w:val="top"/>
          </w:tcPr>
          <w:p w14:paraId="5AB17145">
            <w:pPr>
              <w:rPr>
                <w:rFonts w:ascii="Arial"/>
                <w:color w:val="auto"/>
                <w:sz w:val="21"/>
                <w:highlight w:val="none"/>
              </w:rPr>
            </w:pPr>
          </w:p>
        </w:tc>
        <w:tc>
          <w:tcPr>
            <w:tcW w:w="1021" w:type="dxa"/>
            <w:gridSpan w:val="2"/>
            <w:vAlign w:val="top"/>
          </w:tcPr>
          <w:p w14:paraId="27E7E9EE">
            <w:pPr>
              <w:rPr>
                <w:rFonts w:ascii="Arial"/>
                <w:color w:val="auto"/>
                <w:sz w:val="21"/>
                <w:highlight w:val="none"/>
              </w:rPr>
            </w:pPr>
          </w:p>
        </w:tc>
        <w:tc>
          <w:tcPr>
            <w:tcW w:w="1177" w:type="dxa"/>
            <w:gridSpan w:val="2"/>
            <w:vAlign w:val="top"/>
          </w:tcPr>
          <w:p w14:paraId="2E63D74D">
            <w:pPr>
              <w:rPr>
                <w:rFonts w:ascii="Arial"/>
                <w:color w:val="auto"/>
                <w:sz w:val="21"/>
                <w:highlight w:val="none"/>
              </w:rPr>
            </w:pPr>
          </w:p>
        </w:tc>
        <w:tc>
          <w:tcPr>
            <w:tcW w:w="1681" w:type="dxa"/>
            <w:gridSpan w:val="2"/>
            <w:vAlign w:val="top"/>
          </w:tcPr>
          <w:p w14:paraId="6858913A">
            <w:pPr>
              <w:rPr>
                <w:rFonts w:ascii="Arial"/>
                <w:color w:val="auto"/>
                <w:sz w:val="21"/>
                <w:highlight w:val="none"/>
              </w:rPr>
            </w:pPr>
          </w:p>
        </w:tc>
        <w:tc>
          <w:tcPr>
            <w:tcW w:w="2419" w:type="dxa"/>
            <w:gridSpan w:val="2"/>
            <w:vAlign w:val="top"/>
          </w:tcPr>
          <w:p w14:paraId="7A1A8721">
            <w:pPr>
              <w:rPr>
                <w:rFonts w:ascii="Arial"/>
                <w:color w:val="auto"/>
                <w:sz w:val="21"/>
                <w:highlight w:val="none"/>
              </w:rPr>
            </w:pPr>
          </w:p>
        </w:tc>
      </w:tr>
      <w:tr w14:paraId="5A09D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637" w:type="dxa"/>
            <w:vAlign w:val="top"/>
          </w:tcPr>
          <w:p w14:paraId="39BE7C20">
            <w:pPr>
              <w:rPr>
                <w:rFonts w:ascii="Arial"/>
                <w:color w:val="auto"/>
                <w:sz w:val="21"/>
                <w:highlight w:val="none"/>
              </w:rPr>
            </w:pPr>
          </w:p>
        </w:tc>
        <w:tc>
          <w:tcPr>
            <w:tcW w:w="943" w:type="dxa"/>
            <w:vAlign w:val="top"/>
          </w:tcPr>
          <w:p w14:paraId="4516A480">
            <w:pPr>
              <w:rPr>
                <w:rFonts w:ascii="Arial"/>
                <w:color w:val="auto"/>
                <w:sz w:val="21"/>
                <w:highlight w:val="none"/>
              </w:rPr>
            </w:pPr>
          </w:p>
        </w:tc>
        <w:tc>
          <w:tcPr>
            <w:tcW w:w="1021" w:type="dxa"/>
            <w:gridSpan w:val="2"/>
            <w:vAlign w:val="top"/>
          </w:tcPr>
          <w:p w14:paraId="4BCFD0C0">
            <w:pPr>
              <w:rPr>
                <w:rFonts w:ascii="Arial"/>
                <w:color w:val="auto"/>
                <w:sz w:val="21"/>
                <w:highlight w:val="none"/>
              </w:rPr>
            </w:pPr>
          </w:p>
        </w:tc>
        <w:tc>
          <w:tcPr>
            <w:tcW w:w="1177" w:type="dxa"/>
            <w:gridSpan w:val="2"/>
            <w:vAlign w:val="top"/>
          </w:tcPr>
          <w:p w14:paraId="58C210E4">
            <w:pPr>
              <w:rPr>
                <w:rFonts w:ascii="Arial"/>
                <w:color w:val="auto"/>
                <w:sz w:val="21"/>
                <w:highlight w:val="none"/>
              </w:rPr>
            </w:pPr>
          </w:p>
        </w:tc>
        <w:tc>
          <w:tcPr>
            <w:tcW w:w="1681" w:type="dxa"/>
            <w:gridSpan w:val="2"/>
            <w:vAlign w:val="top"/>
          </w:tcPr>
          <w:p w14:paraId="6CEAB634">
            <w:pPr>
              <w:rPr>
                <w:rFonts w:ascii="Arial"/>
                <w:color w:val="auto"/>
                <w:sz w:val="21"/>
                <w:highlight w:val="none"/>
              </w:rPr>
            </w:pPr>
          </w:p>
        </w:tc>
        <w:tc>
          <w:tcPr>
            <w:tcW w:w="2419" w:type="dxa"/>
            <w:gridSpan w:val="2"/>
            <w:vAlign w:val="top"/>
          </w:tcPr>
          <w:p w14:paraId="2A973FAF">
            <w:pPr>
              <w:rPr>
                <w:rFonts w:ascii="Arial"/>
                <w:color w:val="auto"/>
                <w:sz w:val="21"/>
                <w:highlight w:val="none"/>
              </w:rPr>
            </w:pPr>
          </w:p>
        </w:tc>
      </w:tr>
      <w:tr w14:paraId="3F04C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1637" w:type="dxa"/>
            <w:vAlign w:val="top"/>
          </w:tcPr>
          <w:p w14:paraId="55E03D80">
            <w:pPr>
              <w:rPr>
                <w:rFonts w:ascii="Arial"/>
                <w:color w:val="auto"/>
                <w:sz w:val="21"/>
                <w:highlight w:val="none"/>
              </w:rPr>
            </w:pPr>
          </w:p>
        </w:tc>
        <w:tc>
          <w:tcPr>
            <w:tcW w:w="943" w:type="dxa"/>
            <w:vAlign w:val="top"/>
          </w:tcPr>
          <w:p w14:paraId="66A44630">
            <w:pPr>
              <w:rPr>
                <w:rFonts w:ascii="Arial"/>
                <w:color w:val="auto"/>
                <w:sz w:val="21"/>
                <w:highlight w:val="none"/>
              </w:rPr>
            </w:pPr>
          </w:p>
        </w:tc>
        <w:tc>
          <w:tcPr>
            <w:tcW w:w="1021" w:type="dxa"/>
            <w:gridSpan w:val="2"/>
            <w:vAlign w:val="top"/>
          </w:tcPr>
          <w:p w14:paraId="4715E2BE">
            <w:pPr>
              <w:rPr>
                <w:rFonts w:ascii="Arial"/>
                <w:color w:val="auto"/>
                <w:sz w:val="21"/>
                <w:highlight w:val="none"/>
              </w:rPr>
            </w:pPr>
          </w:p>
        </w:tc>
        <w:tc>
          <w:tcPr>
            <w:tcW w:w="1177" w:type="dxa"/>
            <w:gridSpan w:val="2"/>
            <w:vAlign w:val="top"/>
          </w:tcPr>
          <w:p w14:paraId="53B1902F">
            <w:pPr>
              <w:rPr>
                <w:rFonts w:ascii="Arial"/>
                <w:color w:val="auto"/>
                <w:sz w:val="21"/>
                <w:highlight w:val="none"/>
              </w:rPr>
            </w:pPr>
          </w:p>
        </w:tc>
        <w:tc>
          <w:tcPr>
            <w:tcW w:w="1681" w:type="dxa"/>
            <w:gridSpan w:val="2"/>
            <w:vAlign w:val="top"/>
          </w:tcPr>
          <w:p w14:paraId="0253745D">
            <w:pPr>
              <w:rPr>
                <w:rFonts w:ascii="Arial"/>
                <w:color w:val="auto"/>
                <w:sz w:val="21"/>
                <w:highlight w:val="none"/>
              </w:rPr>
            </w:pPr>
          </w:p>
        </w:tc>
        <w:tc>
          <w:tcPr>
            <w:tcW w:w="2419" w:type="dxa"/>
            <w:gridSpan w:val="2"/>
            <w:vAlign w:val="top"/>
          </w:tcPr>
          <w:p w14:paraId="7A5EF956">
            <w:pPr>
              <w:rPr>
                <w:rFonts w:ascii="Arial"/>
                <w:color w:val="auto"/>
                <w:sz w:val="21"/>
                <w:highlight w:val="none"/>
              </w:rPr>
            </w:pPr>
          </w:p>
        </w:tc>
      </w:tr>
    </w:tbl>
    <w:p w14:paraId="7960F606">
      <w:pPr>
        <w:pStyle w:val="3"/>
        <w:rPr>
          <w:color w:val="auto"/>
          <w:highlight w:val="none"/>
        </w:rPr>
      </w:pPr>
    </w:p>
    <w:p w14:paraId="36B17A50">
      <w:pPr>
        <w:rPr>
          <w:color w:val="auto"/>
          <w:highlight w:val="none"/>
        </w:rPr>
        <w:sectPr>
          <w:footerReference r:id="rId73" w:type="default"/>
          <w:pgSz w:w="11906" w:h="16840"/>
          <w:pgMar w:top="400" w:right="1219" w:bottom="1157" w:left="1785" w:header="0" w:footer="911" w:gutter="0"/>
          <w:pgNumType w:fmt="decimal"/>
          <w:cols w:space="720" w:num="1"/>
        </w:sectPr>
      </w:pPr>
    </w:p>
    <w:p w14:paraId="42CB1399">
      <w:pPr>
        <w:pStyle w:val="3"/>
        <w:spacing w:line="259" w:lineRule="auto"/>
        <w:rPr>
          <w:color w:val="auto"/>
          <w:highlight w:val="none"/>
        </w:rPr>
      </w:pPr>
    </w:p>
    <w:p w14:paraId="2B38EA50">
      <w:pPr>
        <w:pStyle w:val="3"/>
        <w:spacing w:line="259" w:lineRule="auto"/>
        <w:rPr>
          <w:color w:val="auto"/>
          <w:highlight w:val="none"/>
        </w:rPr>
      </w:pPr>
    </w:p>
    <w:p w14:paraId="28F863AA">
      <w:pPr>
        <w:pStyle w:val="3"/>
        <w:spacing w:line="259" w:lineRule="auto"/>
        <w:rPr>
          <w:color w:val="auto"/>
          <w:highlight w:val="none"/>
        </w:rPr>
      </w:pPr>
    </w:p>
    <w:p w14:paraId="40308D49">
      <w:pPr>
        <w:spacing w:before="91" w:line="222" w:lineRule="auto"/>
        <w:ind w:left="2778"/>
        <w:rPr>
          <w:rFonts w:ascii="仿宋" w:hAnsi="仿宋" w:eastAsia="仿宋" w:cs="仿宋"/>
          <w:color w:val="auto"/>
          <w:sz w:val="28"/>
          <w:szCs w:val="28"/>
          <w:highlight w:val="none"/>
        </w:rPr>
      </w:pPr>
      <w:r>
        <w:rPr>
          <w:rFonts w:ascii="仿宋" w:hAnsi="仿宋" w:eastAsia="仿宋" w:cs="仿宋"/>
          <w:b/>
          <w:bCs/>
          <w:color w:val="auto"/>
          <w:spacing w:val="-15"/>
          <w:sz w:val="28"/>
          <w:szCs w:val="28"/>
          <w:highlight w:val="none"/>
        </w:rPr>
        <w:t>2</w:t>
      </w:r>
      <w:r>
        <w:rPr>
          <w:rFonts w:ascii="仿宋" w:hAnsi="仿宋" w:eastAsia="仿宋" w:cs="仿宋"/>
          <w:color w:val="auto"/>
          <w:spacing w:val="-15"/>
          <w:sz w:val="28"/>
          <w:szCs w:val="28"/>
          <w:highlight w:val="none"/>
        </w:rPr>
        <w:t xml:space="preserve"> </w:t>
      </w:r>
      <w:r>
        <w:rPr>
          <w:rFonts w:ascii="仿宋" w:hAnsi="仿宋" w:eastAsia="仿宋" w:cs="仿宋"/>
          <w:b/>
          <w:bCs/>
          <w:color w:val="auto"/>
          <w:spacing w:val="-15"/>
          <w:sz w:val="28"/>
          <w:szCs w:val="28"/>
          <w:highlight w:val="none"/>
        </w:rPr>
        <w:t>)</w:t>
      </w:r>
      <w:r>
        <w:rPr>
          <w:rFonts w:ascii="仿宋" w:hAnsi="仿宋" w:eastAsia="仿宋" w:cs="仿宋"/>
          <w:color w:val="auto"/>
          <w:spacing w:val="65"/>
          <w:sz w:val="28"/>
          <w:szCs w:val="28"/>
          <w:highlight w:val="none"/>
        </w:rPr>
        <w:t xml:space="preserve"> </w:t>
      </w:r>
      <w:r>
        <w:rPr>
          <w:rFonts w:ascii="仿宋" w:hAnsi="仿宋" w:eastAsia="仿宋" w:cs="仿宋"/>
          <w:b/>
          <w:bCs/>
          <w:color w:val="auto"/>
          <w:spacing w:val="-15"/>
          <w:sz w:val="28"/>
          <w:szCs w:val="28"/>
          <w:highlight w:val="none"/>
        </w:rPr>
        <w:t>主要项目管理人员简历表</w:t>
      </w:r>
    </w:p>
    <w:p w14:paraId="6C0FB8B9">
      <w:pPr>
        <w:spacing w:before="160" w:line="214" w:lineRule="auto"/>
        <w:ind w:left="15" w:right="770" w:firstLine="470"/>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主要项目管理人员指技术负责人及其他岗位人员。技术负责人应附身份证、</w:t>
      </w:r>
      <w:r>
        <w:rPr>
          <w:rFonts w:ascii="仿宋" w:hAnsi="仿宋" w:eastAsia="仿宋" w:cs="仿宋"/>
          <w:color w:val="auto"/>
          <w:spacing w:val="-4"/>
          <w:sz w:val="24"/>
          <w:szCs w:val="24"/>
          <w:highlight w:val="none"/>
        </w:rPr>
        <w:t>职称证、复印件，岗位人员附岗位证书，主要</w:t>
      </w:r>
      <w:r>
        <w:rPr>
          <w:rFonts w:ascii="仿宋" w:hAnsi="仿宋" w:eastAsia="仿宋" w:cs="仿宋"/>
          <w:color w:val="auto"/>
          <w:spacing w:val="-5"/>
          <w:sz w:val="24"/>
          <w:szCs w:val="24"/>
          <w:highlight w:val="none"/>
        </w:rPr>
        <w:t>业绩须附合同协议书。</w:t>
      </w:r>
    </w:p>
    <w:tbl>
      <w:tblPr>
        <w:tblStyle w:val="11"/>
        <w:tblW w:w="89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1271"/>
        <w:gridCol w:w="2896"/>
        <w:gridCol w:w="1446"/>
        <w:gridCol w:w="2365"/>
      </w:tblGrid>
      <w:tr w14:paraId="58646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8977" w:type="dxa"/>
            <w:gridSpan w:val="5"/>
            <w:vAlign w:val="top"/>
          </w:tcPr>
          <w:p w14:paraId="04FD6A8C">
            <w:pPr>
              <w:spacing w:line="260" w:lineRule="auto"/>
              <w:rPr>
                <w:rFonts w:ascii="Arial"/>
                <w:color w:val="auto"/>
                <w:sz w:val="21"/>
                <w:highlight w:val="none"/>
              </w:rPr>
            </w:pPr>
          </w:p>
          <w:p w14:paraId="6861AF1F">
            <w:pPr>
              <w:pStyle w:val="12"/>
              <w:spacing w:before="78" w:line="221" w:lineRule="auto"/>
              <w:ind w:left="240"/>
              <w:rPr>
                <w:color w:val="auto"/>
                <w:highlight w:val="none"/>
              </w:rPr>
            </w:pPr>
            <w:r>
              <w:rPr>
                <w:color w:val="auto"/>
                <w:spacing w:val="-21"/>
                <w:highlight w:val="none"/>
              </w:rPr>
              <w:t>岗位名称</w:t>
            </w:r>
          </w:p>
        </w:tc>
      </w:tr>
      <w:tr w14:paraId="16356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270" w:type="dxa"/>
            <w:gridSpan w:val="2"/>
            <w:vAlign w:val="top"/>
          </w:tcPr>
          <w:p w14:paraId="24BCAD94">
            <w:pPr>
              <w:spacing w:line="258" w:lineRule="auto"/>
              <w:rPr>
                <w:rFonts w:ascii="Arial"/>
                <w:color w:val="auto"/>
                <w:sz w:val="21"/>
                <w:highlight w:val="none"/>
              </w:rPr>
            </w:pPr>
          </w:p>
          <w:p w14:paraId="02FFFB39">
            <w:pPr>
              <w:pStyle w:val="12"/>
              <w:spacing w:before="78" w:line="224" w:lineRule="auto"/>
              <w:ind w:left="152"/>
              <w:rPr>
                <w:color w:val="auto"/>
                <w:highlight w:val="none"/>
              </w:rPr>
            </w:pPr>
            <w:r>
              <w:rPr>
                <w:color w:val="auto"/>
                <w:spacing w:val="-8"/>
                <w:highlight w:val="none"/>
              </w:rPr>
              <w:t>姓名</w:t>
            </w:r>
          </w:p>
        </w:tc>
        <w:tc>
          <w:tcPr>
            <w:tcW w:w="2896" w:type="dxa"/>
            <w:vAlign w:val="top"/>
          </w:tcPr>
          <w:p w14:paraId="2FA7F2A3">
            <w:pPr>
              <w:rPr>
                <w:rFonts w:ascii="Arial"/>
                <w:color w:val="auto"/>
                <w:sz w:val="21"/>
                <w:highlight w:val="none"/>
              </w:rPr>
            </w:pPr>
          </w:p>
        </w:tc>
        <w:tc>
          <w:tcPr>
            <w:tcW w:w="1446" w:type="dxa"/>
            <w:vAlign w:val="top"/>
          </w:tcPr>
          <w:p w14:paraId="5098AD05">
            <w:pPr>
              <w:spacing w:line="256" w:lineRule="auto"/>
              <w:rPr>
                <w:rFonts w:ascii="Arial"/>
                <w:color w:val="auto"/>
                <w:sz w:val="21"/>
                <w:highlight w:val="none"/>
              </w:rPr>
            </w:pPr>
          </w:p>
          <w:p w14:paraId="3A0C6AD5">
            <w:pPr>
              <w:pStyle w:val="12"/>
              <w:spacing w:before="78" w:line="222" w:lineRule="auto"/>
              <w:ind w:left="168"/>
              <w:rPr>
                <w:color w:val="auto"/>
                <w:highlight w:val="none"/>
              </w:rPr>
            </w:pPr>
            <w:r>
              <w:rPr>
                <w:color w:val="auto"/>
                <w:spacing w:val="-11"/>
                <w:highlight w:val="none"/>
              </w:rPr>
              <w:t>年龄</w:t>
            </w:r>
          </w:p>
        </w:tc>
        <w:tc>
          <w:tcPr>
            <w:tcW w:w="2365" w:type="dxa"/>
            <w:vAlign w:val="top"/>
          </w:tcPr>
          <w:p w14:paraId="2E3F4637">
            <w:pPr>
              <w:rPr>
                <w:rFonts w:ascii="Arial"/>
                <w:color w:val="auto"/>
                <w:sz w:val="21"/>
                <w:highlight w:val="none"/>
              </w:rPr>
            </w:pPr>
          </w:p>
        </w:tc>
      </w:tr>
      <w:tr w14:paraId="54808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2270" w:type="dxa"/>
            <w:gridSpan w:val="2"/>
            <w:vAlign w:val="top"/>
          </w:tcPr>
          <w:p w14:paraId="4DCD059E">
            <w:pPr>
              <w:pStyle w:val="12"/>
              <w:spacing w:before="66" w:line="220" w:lineRule="auto"/>
              <w:ind w:left="161"/>
              <w:rPr>
                <w:color w:val="auto"/>
                <w:highlight w:val="none"/>
              </w:rPr>
            </w:pPr>
            <w:r>
              <w:rPr>
                <w:color w:val="auto"/>
                <w:spacing w:val="-10"/>
                <w:highlight w:val="none"/>
              </w:rPr>
              <w:t>性别</w:t>
            </w:r>
          </w:p>
        </w:tc>
        <w:tc>
          <w:tcPr>
            <w:tcW w:w="2896" w:type="dxa"/>
            <w:vAlign w:val="top"/>
          </w:tcPr>
          <w:p w14:paraId="1B7AFEBE">
            <w:pPr>
              <w:rPr>
                <w:rFonts w:ascii="Arial"/>
                <w:color w:val="auto"/>
                <w:sz w:val="21"/>
                <w:highlight w:val="none"/>
              </w:rPr>
            </w:pPr>
          </w:p>
        </w:tc>
        <w:tc>
          <w:tcPr>
            <w:tcW w:w="1446" w:type="dxa"/>
            <w:vAlign w:val="top"/>
          </w:tcPr>
          <w:p w14:paraId="71F87A16">
            <w:pPr>
              <w:pStyle w:val="12"/>
              <w:spacing w:before="65" w:line="221" w:lineRule="auto"/>
              <w:ind w:left="164"/>
              <w:rPr>
                <w:color w:val="auto"/>
                <w:highlight w:val="none"/>
              </w:rPr>
            </w:pPr>
            <w:r>
              <w:rPr>
                <w:color w:val="auto"/>
                <w:spacing w:val="-10"/>
                <w:highlight w:val="none"/>
              </w:rPr>
              <w:t>毕业学校</w:t>
            </w:r>
          </w:p>
        </w:tc>
        <w:tc>
          <w:tcPr>
            <w:tcW w:w="2365" w:type="dxa"/>
            <w:vAlign w:val="top"/>
          </w:tcPr>
          <w:p w14:paraId="1E97E120">
            <w:pPr>
              <w:rPr>
                <w:rFonts w:ascii="Arial"/>
                <w:color w:val="auto"/>
                <w:sz w:val="21"/>
                <w:highlight w:val="none"/>
              </w:rPr>
            </w:pPr>
          </w:p>
        </w:tc>
      </w:tr>
      <w:tr w14:paraId="31379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2270" w:type="dxa"/>
            <w:gridSpan w:val="2"/>
            <w:vAlign w:val="top"/>
          </w:tcPr>
          <w:p w14:paraId="325E8553">
            <w:pPr>
              <w:pStyle w:val="12"/>
              <w:spacing w:before="73" w:line="223" w:lineRule="auto"/>
              <w:ind w:left="181"/>
              <w:rPr>
                <w:color w:val="auto"/>
                <w:highlight w:val="none"/>
              </w:rPr>
            </w:pPr>
            <w:r>
              <w:rPr>
                <w:color w:val="auto"/>
                <w:spacing w:val="-12"/>
                <w:highlight w:val="none"/>
              </w:rPr>
              <w:t>学历和专业</w:t>
            </w:r>
          </w:p>
        </w:tc>
        <w:tc>
          <w:tcPr>
            <w:tcW w:w="2896" w:type="dxa"/>
            <w:vAlign w:val="top"/>
          </w:tcPr>
          <w:p w14:paraId="193BEA02">
            <w:pPr>
              <w:rPr>
                <w:rFonts w:ascii="Arial"/>
                <w:color w:val="auto"/>
                <w:sz w:val="21"/>
                <w:highlight w:val="none"/>
              </w:rPr>
            </w:pPr>
          </w:p>
        </w:tc>
        <w:tc>
          <w:tcPr>
            <w:tcW w:w="1446" w:type="dxa"/>
            <w:vAlign w:val="top"/>
          </w:tcPr>
          <w:p w14:paraId="79F3E176">
            <w:pPr>
              <w:pStyle w:val="12"/>
              <w:spacing w:before="68" w:line="221" w:lineRule="auto"/>
              <w:ind w:left="164"/>
              <w:rPr>
                <w:color w:val="auto"/>
                <w:highlight w:val="none"/>
              </w:rPr>
            </w:pPr>
            <w:r>
              <w:rPr>
                <w:color w:val="auto"/>
                <w:spacing w:val="-10"/>
                <w:highlight w:val="none"/>
              </w:rPr>
              <w:t>毕业时间</w:t>
            </w:r>
          </w:p>
        </w:tc>
        <w:tc>
          <w:tcPr>
            <w:tcW w:w="2365" w:type="dxa"/>
            <w:vAlign w:val="top"/>
          </w:tcPr>
          <w:p w14:paraId="3F46891F">
            <w:pPr>
              <w:rPr>
                <w:rFonts w:ascii="Arial"/>
                <w:color w:val="auto"/>
                <w:sz w:val="21"/>
                <w:highlight w:val="none"/>
              </w:rPr>
            </w:pPr>
          </w:p>
        </w:tc>
      </w:tr>
      <w:tr w14:paraId="1E3BC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2270" w:type="dxa"/>
            <w:gridSpan w:val="2"/>
            <w:vAlign w:val="top"/>
          </w:tcPr>
          <w:p w14:paraId="23790559">
            <w:pPr>
              <w:pStyle w:val="12"/>
              <w:spacing w:before="76" w:line="222" w:lineRule="auto"/>
              <w:ind w:left="152"/>
              <w:rPr>
                <w:color w:val="auto"/>
                <w:highlight w:val="none"/>
              </w:rPr>
            </w:pPr>
            <w:r>
              <w:rPr>
                <w:color w:val="auto"/>
                <w:spacing w:val="-6"/>
                <w:highlight w:val="none"/>
              </w:rPr>
              <w:t>拥有的执业资格</w:t>
            </w:r>
          </w:p>
        </w:tc>
        <w:tc>
          <w:tcPr>
            <w:tcW w:w="2896" w:type="dxa"/>
            <w:vAlign w:val="top"/>
          </w:tcPr>
          <w:p w14:paraId="4989830F">
            <w:pPr>
              <w:rPr>
                <w:rFonts w:ascii="Arial"/>
                <w:color w:val="auto"/>
                <w:sz w:val="21"/>
                <w:highlight w:val="none"/>
              </w:rPr>
            </w:pPr>
          </w:p>
        </w:tc>
        <w:tc>
          <w:tcPr>
            <w:tcW w:w="1446" w:type="dxa"/>
            <w:vAlign w:val="top"/>
          </w:tcPr>
          <w:p w14:paraId="4D5AAF92">
            <w:pPr>
              <w:pStyle w:val="12"/>
              <w:spacing w:before="70" w:line="221" w:lineRule="auto"/>
              <w:ind w:left="161"/>
              <w:rPr>
                <w:color w:val="auto"/>
                <w:highlight w:val="none"/>
              </w:rPr>
            </w:pPr>
            <w:r>
              <w:rPr>
                <w:color w:val="auto"/>
                <w:spacing w:val="-9"/>
                <w:highlight w:val="none"/>
              </w:rPr>
              <w:t>专业职称</w:t>
            </w:r>
          </w:p>
        </w:tc>
        <w:tc>
          <w:tcPr>
            <w:tcW w:w="2365" w:type="dxa"/>
            <w:vAlign w:val="top"/>
          </w:tcPr>
          <w:p w14:paraId="15C99056">
            <w:pPr>
              <w:rPr>
                <w:rFonts w:ascii="Arial"/>
                <w:color w:val="auto"/>
                <w:sz w:val="21"/>
                <w:highlight w:val="none"/>
              </w:rPr>
            </w:pPr>
          </w:p>
        </w:tc>
      </w:tr>
      <w:tr w14:paraId="52BE1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2270" w:type="dxa"/>
            <w:gridSpan w:val="2"/>
            <w:vAlign w:val="top"/>
          </w:tcPr>
          <w:p w14:paraId="1AE6BC94">
            <w:pPr>
              <w:spacing w:line="252" w:lineRule="auto"/>
              <w:rPr>
                <w:rFonts w:ascii="Arial"/>
                <w:color w:val="auto"/>
                <w:sz w:val="21"/>
                <w:highlight w:val="none"/>
              </w:rPr>
            </w:pPr>
          </w:p>
          <w:p w14:paraId="650B4A11">
            <w:pPr>
              <w:spacing w:line="252" w:lineRule="auto"/>
              <w:rPr>
                <w:rFonts w:ascii="Arial"/>
                <w:color w:val="auto"/>
                <w:sz w:val="21"/>
                <w:highlight w:val="none"/>
              </w:rPr>
            </w:pPr>
          </w:p>
          <w:p w14:paraId="12D5214A">
            <w:pPr>
              <w:pStyle w:val="12"/>
              <w:spacing w:before="78" w:line="222" w:lineRule="auto"/>
              <w:ind w:left="149"/>
              <w:rPr>
                <w:color w:val="auto"/>
                <w:highlight w:val="none"/>
              </w:rPr>
            </w:pPr>
            <w:r>
              <w:rPr>
                <w:color w:val="auto"/>
                <w:spacing w:val="-5"/>
                <w:highlight w:val="none"/>
              </w:rPr>
              <w:t>执业资格证书编号</w:t>
            </w:r>
          </w:p>
        </w:tc>
        <w:tc>
          <w:tcPr>
            <w:tcW w:w="2896" w:type="dxa"/>
            <w:vAlign w:val="top"/>
          </w:tcPr>
          <w:p w14:paraId="01CC03D7">
            <w:pPr>
              <w:rPr>
                <w:rFonts w:ascii="Arial"/>
                <w:color w:val="auto"/>
                <w:sz w:val="21"/>
                <w:highlight w:val="none"/>
              </w:rPr>
            </w:pPr>
          </w:p>
        </w:tc>
        <w:tc>
          <w:tcPr>
            <w:tcW w:w="1446" w:type="dxa"/>
            <w:vAlign w:val="top"/>
          </w:tcPr>
          <w:p w14:paraId="2E7A1EDB">
            <w:pPr>
              <w:spacing w:line="250" w:lineRule="auto"/>
              <w:rPr>
                <w:rFonts w:ascii="Arial"/>
                <w:color w:val="auto"/>
                <w:sz w:val="21"/>
                <w:highlight w:val="none"/>
              </w:rPr>
            </w:pPr>
          </w:p>
          <w:p w14:paraId="7A8F26E7">
            <w:pPr>
              <w:spacing w:line="251" w:lineRule="auto"/>
              <w:rPr>
                <w:rFonts w:ascii="Arial"/>
                <w:color w:val="auto"/>
                <w:sz w:val="21"/>
                <w:highlight w:val="none"/>
              </w:rPr>
            </w:pPr>
          </w:p>
          <w:p w14:paraId="3210C0A5">
            <w:pPr>
              <w:pStyle w:val="12"/>
              <w:spacing w:before="78" w:line="220" w:lineRule="auto"/>
              <w:ind w:left="168"/>
              <w:rPr>
                <w:color w:val="auto"/>
                <w:highlight w:val="none"/>
              </w:rPr>
            </w:pPr>
            <w:r>
              <w:rPr>
                <w:color w:val="auto"/>
                <w:spacing w:val="-11"/>
                <w:highlight w:val="none"/>
              </w:rPr>
              <w:t>工作年限</w:t>
            </w:r>
          </w:p>
        </w:tc>
        <w:tc>
          <w:tcPr>
            <w:tcW w:w="2365" w:type="dxa"/>
            <w:vAlign w:val="top"/>
          </w:tcPr>
          <w:p w14:paraId="22D8E39E">
            <w:pPr>
              <w:rPr>
                <w:rFonts w:ascii="Arial"/>
                <w:color w:val="auto"/>
                <w:sz w:val="21"/>
                <w:highlight w:val="none"/>
              </w:rPr>
            </w:pPr>
          </w:p>
        </w:tc>
      </w:tr>
      <w:tr w14:paraId="45F46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1" w:hRule="atLeast"/>
        </w:trPr>
        <w:tc>
          <w:tcPr>
            <w:tcW w:w="999" w:type="dxa"/>
            <w:vAlign w:val="top"/>
          </w:tcPr>
          <w:p w14:paraId="1919ECAF">
            <w:pPr>
              <w:spacing w:line="259" w:lineRule="auto"/>
              <w:rPr>
                <w:rFonts w:ascii="Arial"/>
                <w:color w:val="auto"/>
                <w:sz w:val="21"/>
                <w:highlight w:val="none"/>
              </w:rPr>
            </w:pPr>
          </w:p>
          <w:p w14:paraId="28A26271">
            <w:pPr>
              <w:spacing w:line="259" w:lineRule="auto"/>
              <w:rPr>
                <w:rFonts w:ascii="Arial"/>
                <w:color w:val="auto"/>
                <w:sz w:val="21"/>
                <w:highlight w:val="none"/>
              </w:rPr>
            </w:pPr>
          </w:p>
          <w:p w14:paraId="1912A7F6">
            <w:pPr>
              <w:spacing w:line="259" w:lineRule="auto"/>
              <w:rPr>
                <w:rFonts w:ascii="Arial"/>
                <w:color w:val="auto"/>
                <w:sz w:val="21"/>
                <w:highlight w:val="none"/>
              </w:rPr>
            </w:pPr>
          </w:p>
          <w:p w14:paraId="3691C1FE">
            <w:pPr>
              <w:spacing w:line="259" w:lineRule="auto"/>
              <w:rPr>
                <w:rFonts w:ascii="Arial"/>
                <w:color w:val="auto"/>
                <w:sz w:val="21"/>
                <w:highlight w:val="none"/>
              </w:rPr>
            </w:pPr>
          </w:p>
          <w:p w14:paraId="0DB3AEDB">
            <w:pPr>
              <w:spacing w:line="259" w:lineRule="auto"/>
              <w:rPr>
                <w:rFonts w:ascii="Arial"/>
                <w:color w:val="auto"/>
                <w:sz w:val="21"/>
                <w:highlight w:val="none"/>
              </w:rPr>
            </w:pPr>
          </w:p>
          <w:p w14:paraId="27B60C4F">
            <w:pPr>
              <w:pStyle w:val="12"/>
              <w:spacing w:before="78" w:line="234" w:lineRule="auto"/>
              <w:ind w:left="160" w:right="147" w:firstLine="8"/>
              <w:jc w:val="both"/>
              <w:rPr>
                <w:color w:val="auto"/>
                <w:highlight w:val="none"/>
              </w:rPr>
            </w:pPr>
            <w:r>
              <w:rPr>
                <w:color w:val="auto"/>
                <w:spacing w:val="-14"/>
                <w:highlight w:val="none"/>
              </w:rPr>
              <w:t>主要工</w:t>
            </w:r>
            <w:r>
              <w:rPr>
                <w:color w:val="auto"/>
                <w:spacing w:val="-12"/>
                <w:highlight w:val="none"/>
              </w:rPr>
              <w:t>作业绩及担任的主要</w:t>
            </w:r>
            <w:r>
              <w:rPr>
                <w:color w:val="auto"/>
                <w:spacing w:val="-10"/>
                <w:highlight w:val="none"/>
              </w:rPr>
              <w:t>工作</w:t>
            </w:r>
          </w:p>
        </w:tc>
        <w:tc>
          <w:tcPr>
            <w:tcW w:w="7978" w:type="dxa"/>
            <w:gridSpan w:val="4"/>
            <w:vAlign w:val="top"/>
          </w:tcPr>
          <w:p w14:paraId="5D630343">
            <w:pPr>
              <w:rPr>
                <w:rFonts w:ascii="Arial"/>
                <w:color w:val="auto"/>
                <w:sz w:val="21"/>
                <w:highlight w:val="none"/>
              </w:rPr>
            </w:pPr>
          </w:p>
        </w:tc>
      </w:tr>
    </w:tbl>
    <w:p w14:paraId="2B3F914D">
      <w:pPr>
        <w:pStyle w:val="3"/>
        <w:rPr>
          <w:color w:val="auto"/>
          <w:highlight w:val="none"/>
        </w:rPr>
      </w:pPr>
    </w:p>
    <w:p w14:paraId="24A2975E">
      <w:pPr>
        <w:rPr>
          <w:color w:val="auto"/>
          <w:highlight w:val="none"/>
        </w:rPr>
        <w:sectPr>
          <w:footerReference r:id="rId74" w:type="default"/>
          <w:pgSz w:w="11906" w:h="16840"/>
          <w:pgMar w:top="400" w:right="1137" w:bottom="1157" w:left="1785" w:header="0" w:footer="911" w:gutter="0"/>
          <w:pgNumType w:fmt="decimal"/>
          <w:cols w:space="720" w:num="1"/>
        </w:sectPr>
      </w:pPr>
    </w:p>
    <w:p w14:paraId="548181BB">
      <w:pPr>
        <w:pStyle w:val="3"/>
        <w:spacing w:line="246" w:lineRule="auto"/>
        <w:rPr>
          <w:color w:val="auto"/>
          <w:highlight w:val="none"/>
        </w:rPr>
      </w:pPr>
    </w:p>
    <w:p w14:paraId="46E7D2AE">
      <w:pPr>
        <w:pStyle w:val="3"/>
        <w:spacing w:line="246" w:lineRule="auto"/>
        <w:rPr>
          <w:color w:val="auto"/>
          <w:highlight w:val="none"/>
        </w:rPr>
      </w:pPr>
    </w:p>
    <w:p w14:paraId="10C322F4">
      <w:pPr>
        <w:pStyle w:val="3"/>
        <w:spacing w:line="246" w:lineRule="auto"/>
        <w:rPr>
          <w:color w:val="auto"/>
          <w:highlight w:val="none"/>
        </w:rPr>
      </w:pPr>
    </w:p>
    <w:p w14:paraId="1D4A01A9">
      <w:pPr>
        <w:pStyle w:val="3"/>
        <w:spacing w:line="246" w:lineRule="auto"/>
        <w:rPr>
          <w:color w:val="auto"/>
          <w:highlight w:val="none"/>
        </w:rPr>
      </w:pPr>
    </w:p>
    <w:p w14:paraId="13E80C1E">
      <w:pPr>
        <w:spacing w:before="91" w:line="478" w:lineRule="auto"/>
        <w:ind w:left="14" w:right="3047" w:firstLine="3050"/>
        <w:rPr>
          <w:rFonts w:ascii="仿宋" w:hAnsi="仿宋" w:eastAsia="仿宋" w:cs="仿宋"/>
          <w:color w:val="auto"/>
          <w:sz w:val="24"/>
          <w:szCs w:val="24"/>
          <w:highlight w:val="none"/>
        </w:rPr>
      </w:pPr>
      <w:r>
        <w:rPr>
          <w:rFonts w:ascii="仿宋" w:hAnsi="仿宋" w:eastAsia="仿宋" w:cs="仿宋"/>
          <w:color w:val="auto"/>
          <w:spacing w:val="-3"/>
          <w:sz w:val="28"/>
          <w:szCs w:val="28"/>
          <w:highlight w:val="none"/>
        </w:rPr>
        <w:t>八、技术服务方案</w:t>
      </w:r>
      <w:r>
        <w:rPr>
          <w:rFonts w:ascii="仿宋" w:hAnsi="仿宋" w:eastAsia="仿宋" w:cs="仿宋"/>
          <w:color w:val="auto"/>
          <w:spacing w:val="-1"/>
          <w:sz w:val="24"/>
          <w:szCs w:val="24"/>
          <w:highlight w:val="none"/>
        </w:rPr>
        <w:t>格式由供应商根据评审办法内容自行确定</w:t>
      </w:r>
    </w:p>
    <w:p w14:paraId="2514375B">
      <w:pPr>
        <w:spacing w:line="478" w:lineRule="auto"/>
        <w:rPr>
          <w:rFonts w:ascii="仿宋" w:hAnsi="仿宋" w:eastAsia="仿宋" w:cs="仿宋"/>
          <w:color w:val="auto"/>
          <w:sz w:val="24"/>
          <w:szCs w:val="24"/>
          <w:highlight w:val="none"/>
        </w:rPr>
        <w:sectPr>
          <w:footerReference r:id="rId75" w:type="default"/>
          <w:pgSz w:w="11906" w:h="16840"/>
          <w:pgMar w:top="400" w:right="1785" w:bottom="1099" w:left="1785" w:header="0" w:footer="932" w:gutter="0"/>
          <w:pgNumType w:fmt="decimal"/>
          <w:cols w:space="720" w:num="1"/>
        </w:sectPr>
      </w:pPr>
    </w:p>
    <w:p w14:paraId="12D23066">
      <w:pPr>
        <w:pStyle w:val="3"/>
        <w:spacing w:line="293" w:lineRule="auto"/>
        <w:rPr>
          <w:color w:val="auto"/>
          <w:highlight w:val="none"/>
        </w:rPr>
      </w:pPr>
    </w:p>
    <w:p w14:paraId="16ADF22F">
      <w:pPr>
        <w:pStyle w:val="3"/>
        <w:spacing w:line="293" w:lineRule="auto"/>
        <w:rPr>
          <w:color w:val="auto"/>
          <w:highlight w:val="none"/>
        </w:rPr>
      </w:pPr>
    </w:p>
    <w:p w14:paraId="3C6C1E67">
      <w:pPr>
        <w:pStyle w:val="3"/>
        <w:spacing w:line="293" w:lineRule="auto"/>
        <w:rPr>
          <w:color w:val="auto"/>
          <w:highlight w:val="none"/>
        </w:rPr>
      </w:pPr>
    </w:p>
    <w:p w14:paraId="7C9029A3">
      <w:pPr>
        <w:spacing w:before="91" w:line="397" w:lineRule="auto"/>
        <w:ind w:left="17" w:right="1787" w:firstLine="1798"/>
        <w:rPr>
          <w:rFonts w:ascii="仿宋" w:hAnsi="仿宋" w:eastAsia="仿宋" w:cs="仿宋"/>
          <w:color w:val="auto"/>
          <w:sz w:val="24"/>
          <w:szCs w:val="24"/>
          <w:highlight w:val="none"/>
        </w:rPr>
      </w:pPr>
      <w:r>
        <w:rPr>
          <w:rFonts w:ascii="仿宋" w:hAnsi="仿宋" w:eastAsia="仿宋" w:cs="仿宋"/>
          <w:color w:val="auto"/>
          <w:spacing w:val="-2"/>
          <w:sz w:val="28"/>
          <w:szCs w:val="28"/>
          <w:highlight w:val="none"/>
        </w:rPr>
        <w:t>九、供应商认为有必要提供的其他资料</w:t>
      </w:r>
      <w:r>
        <w:rPr>
          <w:rFonts w:ascii="仿宋" w:hAnsi="仿宋" w:eastAsia="仿宋" w:cs="仿宋"/>
          <w:color w:val="auto"/>
          <w:spacing w:val="-1"/>
          <w:sz w:val="24"/>
          <w:szCs w:val="24"/>
          <w:highlight w:val="none"/>
        </w:rPr>
        <w:t>此处可附企业简介或其他供应商认为有必要提供的资料</w:t>
      </w:r>
    </w:p>
    <w:p w14:paraId="7882AA3A">
      <w:pPr>
        <w:spacing w:line="397" w:lineRule="auto"/>
        <w:rPr>
          <w:rFonts w:ascii="仿宋" w:hAnsi="仿宋" w:eastAsia="仿宋" w:cs="仿宋"/>
          <w:color w:val="auto"/>
          <w:sz w:val="24"/>
          <w:szCs w:val="24"/>
          <w:highlight w:val="none"/>
        </w:rPr>
        <w:sectPr>
          <w:footerReference r:id="rId76" w:type="default"/>
          <w:pgSz w:w="11906" w:h="16840"/>
          <w:pgMar w:top="400" w:right="1785" w:bottom="1157" w:left="1785" w:header="0" w:footer="911" w:gutter="0"/>
          <w:pgNumType w:fmt="decimal"/>
          <w:cols w:space="720" w:num="1"/>
        </w:sectPr>
      </w:pPr>
    </w:p>
    <w:p w14:paraId="7E9CB186">
      <w:pPr>
        <w:pStyle w:val="3"/>
        <w:spacing w:line="261" w:lineRule="auto"/>
        <w:rPr>
          <w:color w:val="auto"/>
          <w:highlight w:val="none"/>
        </w:rPr>
      </w:pPr>
    </w:p>
    <w:p w14:paraId="3286112B">
      <w:pPr>
        <w:pStyle w:val="3"/>
        <w:spacing w:line="262" w:lineRule="auto"/>
        <w:rPr>
          <w:color w:val="auto"/>
          <w:highlight w:val="none"/>
        </w:rPr>
      </w:pPr>
    </w:p>
    <w:p w14:paraId="0F5125F8">
      <w:pPr>
        <w:pStyle w:val="3"/>
        <w:spacing w:line="262" w:lineRule="auto"/>
        <w:rPr>
          <w:color w:val="auto"/>
          <w:highlight w:val="none"/>
        </w:rPr>
      </w:pPr>
    </w:p>
    <w:p w14:paraId="5067F627">
      <w:pPr>
        <w:pStyle w:val="3"/>
        <w:spacing w:line="262" w:lineRule="auto"/>
        <w:rPr>
          <w:color w:val="auto"/>
          <w:highlight w:val="none"/>
        </w:rPr>
      </w:pPr>
    </w:p>
    <w:p w14:paraId="2A32EA36">
      <w:pPr>
        <w:spacing w:before="91" w:line="220" w:lineRule="auto"/>
        <w:ind w:left="1482"/>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十、在经营活动中没有重大违法记录的书面声明</w:t>
      </w:r>
    </w:p>
    <w:p w14:paraId="077E9586">
      <w:pPr>
        <w:pStyle w:val="3"/>
        <w:spacing w:line="271" w:lineRule="auto"/>
        <w:rPr>
          <w:color w:val="auto"/>
          <w:highlight w:val="none"/>
        </w:rPr>
      </w:pPr>
    </w:p>
    <w:p w14:paraId="0822D4A6">
      <w:pPr>
        <w:pStyle w:val="3"/>
        <w:spacing w:line="272" w:lineRule="auto"/>
        <w:rPr>
          <w:color w:val="auto"/>
          <w:highlight w:val="none"/>
        </w:rPr>
      </w:pPr>
    </w:p>
    <w:p w14:paraId="064B6E55">
      <w:pPr>
        <w:pStyle w:val="3"/>
        <w:spacing w:line="272" w:lineRule="auto"/>
        <w:rPr>
          <w:color w:val="auto"/>
          <w:highlight w:val="none"/>
        </w:rPr>
      </w:pPr>
    </w:p>
    <w:p w14:paraId="2937BA77">
      <w:pPr>
        <w:spacing w:before="78" w:line="322" w:lineRule="auto"/>
        <w:ind w:left="19" w:right="71" w:firstLine="503"/>
        <w:jc w:val="both"/>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我方在参加</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
          <w:sz w:val="24"/>
          <w:szCs w:val="24"/>
          <w:highlight w:val="none"/>
        </w:rPr>
        <w:t>（</w:t>
      </w:r>
      <w:r>
        <w:rPr>
          <w:rFonts w:ascii="仿宋" w:hAnsi="仿宋" w:eastAsia="仿宋" w:cs="仿宋"/>
          <w:color w:val="auto"/>
          <w:spacing w:val="-2"/>
          <w:sz w:val="24"/>
          <w:szCs w:val="24"/>
          <w:highlight w:val="none"/>
        </w:rPr>
        <w:t>项目名称）政府采购活动前 3 年内，我方被</w:t>
      </w:r>
      <w:r>
        <w:rPr>
          <w:rFonts w:ascii="仿宋" w:hAnsi="仿宋" w:eastAsia="仿宋" w:cs="仿宋"/>
          <w:color w:val="auto"/>
          <w:spacing w:val="-4"/>
          <w:sz w:val="24"/>
          <w:szCs w:val="24"/>
          <w:highlight w:val="none"/>
        </w:rPr>
        <w:t>公开披露 或查处的违法违规行为有</w:t>
      </w:r>
      <w:r>
        <w:rPr>
          <w:rFonts w:ascii="仿宋" w:hAnsi="仿宋" w:eastAsia="仿宋" w:cs="仿宋"/>
          <w:color w:val="auto"/>
          <w:spacing w:val="-21"/>
          <w:sz w:val="24"/>
          <w:szCs w:val="24"/>
          <w:highlight w:val="none"/>
        </w:rPr>
        <w:t>：</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86"/>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但在经营</w:t>
      </w:r>
      <w:r>
        <w:rPr>
          <w:rFonts w:ascii="仿宋" w:hAnsi="仿宋" w:eastAsia="仿宋" w:cs="仿宋"/>
          <w:color w:val="auto"/>
          <w:spacing w:val="-1"/>
          <w:sz w:val="24"/>
          <w:szCs w:val="24"/>
          <w:highlight w:val="none"/>
        </w:rPr>
        <w:t>活动中没有重大违 法记录（重大违法记录指供应商因违法经营受到刑事</w:t>
      </w:r>
      <w:r>
        <w:rPr>
          <w:rFonts w:ascii="仿宋" w:hAnsi="仿宋" w:eastAsia="仿宋" w:cs="仿宋"/>
          <w:color w:val="auto"/>
          <w:spacing w:val="-2"/>
          <w:sz w:val="24"/>
          <w:szCs w:val="24"/>
          <w:highlight w:val="none"/>
        </w:rPr>
        <w:t>处罚或</w:t>
      </w:r>
      <w:r>
        <w:rPr>
          <w:rFonts w:ascii="仿宋" w:hAnsi="仿宋" w:eastAsia="仿宋" w:cs="仿宋"/>
          <w:color w:val="auto"/>
          <w:spacing w:val="-5"/>
          <w:sz w:val="24"/>
          <w:szCs w:val="24"/>
          <w:highlight w:val="none"/>
        </w:rPr>
        <w:t>者责令停产停业、吊销许可证或者执照等处罚）。</w:t>
      </w:r>
    </w:p>
    <w:p w14:paraId="78AC202E">
      <w:pPr>
        <w:pStyle w:val="3"/>
        <w:spacing w:line="290" w:lineRule="auto"/>
        <w:rPr>
          <w:color w:val="auto"/>
          <w:highlight w:val="none"/>
        </w:rPr>
      </w:pPr>
    </w:p>
    <w:p w14:paraId="4300799E">
      <w:pPr>
        <w:pStyle w:val="3"/>
        <w:spacing w:line="290" w:lineRule="auto"/>
        <w:rPr>
          <w:color w:val="auto"/>
          <w:highlight w:val="none"/>
        </w:rPr>
      </w:pPr>
    </w:p>
    <w:p w14:paraId="4081674C">
      <w:pPr>
        <w:pStyle w:val="3"/>
        <w:spacing w:line="290" w:lineRule="auto"/>
        <w:rPr>
          <w:color w:val="auto"/>
          <w:highlight w:val="none"/>
        </w:rPr>
      </w:pPr>
    </w:p>
    <w:p w14:paraId="54295777">
      <w:pPr>
        <w:spacing w:before="78" w:line="221" w:lineRule="auto"/>
        <w:ind w:left="4127"/>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供  应</w:t>
      </w:r>
      <w:r>
        <w:rPr>
          <w:rFonts w:ascii="仿宋" w:hAnsi="仿宋" w:eastAsia="仿宋" w:cs="仿宋"/>
          <w:color w:val="auto"/>
          <w:spacing w:val="31"/>
          <w:sz w:val="24"/>
          <w:szCs w:val="24"/>
          <w:highlight w:val="none"/>
        </w:rPr>
        <w:t xml:space="preserve">  </w:t>
      </w:r>
      <w:r>
        <w:rPr>
          <w:rFonts w:ascii="仿宋" w:hAnsi="仿宋" w:eastAsia="仿宋" w:cs="仿宋"/>
          <w:color w:val="auto"/>
          <w:spacing w:val="-8"/>
          <w:sz w:val="24"/>
          <w:szCs w:val="24"/>
          <w:highlight w:val="none"/>
        </w:rPr>
        <w:t>商</w:t>
      </w:r>
      <w:r>
        <w:rPr>
          <w:rFonts w:ascii="仿宋" w:hAnsi="仿宋" w:eastAsia="仿宋" w:cs="仿宋"/>
          <w:color w:val="auto"/>
          <w:spacing w:val="-32"/>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2"/>
          <w:sz w:val="24"/>
          <w:szCs w:val="24"/>
          <w:highlight w:val="none"/>
        </w:rPr>
        <w:t>（</w:t>
      </w:r>
      <w:r>
        <w:rPr>
          <w:rFonts w:ascii="仿宋" w:hAnsi="仿宋" w:eastAsia="仿宋" w:cs="仿宋"/>
          <w:color w:val="auto"/>
          <w:spacing w:val="-8"/>
          <w:sz w:val="24"/>
          <w:szCs w:val="24"/>
          <w:highlight w:val="none"/>
        </w:rPr>
        <w:t>盖单</w:t>
      </w:r>
    </w:p>
    <w:p w14:paraId="09B7994F">
      <w:pPr>
        <w:spacing w:before="110" w:line="222" w:lineRule="auto"/>
        <w:ind w:left="4139"/>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位公章）</w:t>
      </w:r>
      <w:r>
        <w:rPr>
          <w:rFonts w:ascii="仿宋" w:hAnsi="仿宋" w:eastAsia="仿宋" w:cs="仿宋"/>
          <w:color w:val="auto"/>
          <w:spacing w:val="19"/>
          <w:sz w:val="24"/>
          <w:szCs w:val="24"/>
          <w:highlight w:val="none"/>
        </w:rPr>
        <w:t xml:space="preserve"> </w:t>
      </w:r>
      <w:r>
        <w:rPr>
          <w:rFonts w:ascii="仿宋" w:hAnsi="仿宋" w:eastAsia="仿宋" w:cs="仿宋"/>
          <w:color w:val="auto"/>
          <w:spacing w:val="-11"/>
          <w:sz w:val="24"/>
          <w:szCs w:val="24"/>
          <w:highlight w:val="none"/>
        </w:rPr>
        <w:t>法定代表人：</w:t>
      </w:r>
      <w:r>
        <w:rPr>
          <w:rFonts w:ascii="仿宋" w:hAnsi="仿宋" w:eastAsia="仿宋" w:cs="仿宋"/>
          <w:color w:val="auto"/>
          <w:sz w:val="24"/>
          <w:szCs w:val="24"/>
          <w:highlight w:val="none"/>
          <w:u w:val="single" w:color="auto"/>
        </w:rPr>
        <w:t xml:space="preserve">               </w:t>
      </w:r>
    </w:p>
    <w:p w14:paraId="12D981EE">
      <w:pPr>
        <w:spacing w:before="113" w:line="222" w:lineRule="auto"/>
        <w:ind w:left="4143"/>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（签字或盖章）</w:t>
      </w:r>
    </w:p>
    <w:p w14:paraId="7A7A0D5B">
      <w:pPr>
        <w:spacing w:before="153" w:line="222" w:lineRule="auto"/>
        <w:ind w:left="4278"/>
        <w:rPr>
          <w:rFonts w:ascii="仿宋" w:hAnsi="仿宋" w:eastAsia="仿宋" w:cs="仿宋"/>
          <w:color w:val="auto"/>
          <w:sz w:val="24"/>
          <w:szCs w:val="24"/>
          <w:highlight w:val="none"/>
        </w:rPr>
      </w:pPr>
      <w:r>
        <w:rPr>
          <w:rFonts w:ascii="仿宋" w:hAnsi="仿宋" w:eastAsia="仿宋" w:cs="仿宋"/>
          <w:color w:val="auto"/>
          <w:spacing w:val="-32"/>
          <w:sz w:val="24"/>
          <w:szCs w:val="24"/>
          <w:highlight w:val="none"/>
        </w:rPr>
        <w:t>日</w:t>
      </w:r>
      <w:r>
        <w:rPr>
          <w:rFonts w:ascii="仿宋" w:hAnsi="仿宋" w:eastAsia="仿宋" w:cs="仿宋"/>
          <w:color w:val="auto"/>
          <w:spacing w:val="22"/>
          <w:sz w:val="24"/>
          <w:szCs w:val="24"/>
          <w:highlight w:val="none"/>
        </w:rPr>
        <w:t xml:space="preserve">     </w:t>
      </w:r>
      <w:r>
        <w:rPr>
          <w:rFonts w:ascii="仿宋" w:hAnsi="仿宋" w:eastAsia="仿宋" w:cs="仿宋"/>
          <w:color w:val="auto"/>
          <w:spacing w:val="-32"/>
          <w:sz w:val="24"/>
          <w:szCs w:val="24"/>
          <w:highlight w:val="none"/>
        </w:rPr>
        <w:t>期：</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9"/>
          <w:sz w:val="24"/>
          <w:szCs w:val="24"/>
          <w:highlight w:val="none"/>
        </w:rPr>
        <w:t xml:space="preserve"> </w:t>
      </w:r>
      <w:r>
        <w:rPr>
          <w:rFonts w:ascii="仿宋" w:hAnsi="仿宋" w:eastAsia="仿宋" w:cs="仿宋"/>
          <w:color w:val="auto"/>
          <w:spacing w:val="-32"/>
          <w:sz w:val="24"/>
          <w:szCs w:val="24"/>
          <w:highlight w:val="none"/>
        </w:rPr>
        <w:t>年</w:t>
      </w:r>
      <w:r>
        <w:rPr>
          <w:rFonts w:ascii="仿宋" w:hAnsi="仿宋" w:eastAsia="仿宋" w:cs="仿宋"/>
          <w:color w:val="auto"/>
          <w:spacing w:val="32"/>
          <w:sz w:val="24"/>
          <w:szCs w:val="24"/>
          <w:highlight w:val="none"/>
          <w:u w:val="single" w:color="auto"/>
        </w:rPr>
        <w:t xml:space="preserve">  </w:t>
      </w:r>
      <w:r>
        <w:rPr>
          <w:rFonts w:ascii="仿宋" w:hAnsi="仿宋" w:eastAsia="仿宋" w:cs="仿宋"/>
          <w:color w:val="auto"/>
          <w:spacing w:val="-32"/>
          <w:sz w:val="24"/>
          <w:szCs w:val="24"/>
          <w:highlight w:val="none"/>
        </w:rPr>
        <w:t xml:space="preserve"> 月</w:t>
      </w:r>
      <w:r>
        <w:rPr>
          <w:rFonts w:ascii="仿宋" w:hAnsi="仿宋" w:eastAsia="仿宋" w:cs="仿宋"/>
          <w:color w:val="auto"/>
          <w:spacing w:val="32"/>
          <w:sz w:val="24"/>
          <w:szCs w:val="24"/>
          <w:highlight w:val="none"/>
          <w:u w:val="single" w:color="auto"/>
        </w:rPr>
        <w:t xml:space="preserve">  </w:t>
      </w:r>
      <w:r>
        <w:rPr>
          <w:rFonts w:ascii="仿宋" w:hAnsi="仿宋" w:eastAsia="仿宋" w:cs="仿宋"/>
          <w:color w:val="auto"/>
          <w:spacing w:val="82"/>
          <w:sz w:val="24"/>
          <w:szCs w:val="24"/>
          <w:highlight w:val="none"/>
        </w:rPr>
        <w:t xml:space="preserve"> </w:t>
      </w:r>
      <w:r>
        <w:rPr>
          <w:rFonts w:ascii="仿宋" w:hAnsi="仿宋" w:eastAsia="仿宋" w:cs="仿宋"/>
          <w:color w:val="auto"/>
          <w:spacing w:val="-32"/>
          <w:sz w:val="24"/>
          <w:szCs w:val="24"/>
          <w:highlight w:val="none"/>
        </w:rPr>
        <w:t>日</w:t>
      </w:r>
    </w:p>
    <w:p w14:paraId="31CE57BE">
      <w:pPr>
        <w:pStyle w:val="3"/>
        <w:spacing w:line="275" w:lineRule="auto"/>
        <w:rPr>
          <w:color w:val="auto"/>
          <w:highlight w:val="none"/>
        </w:rPr>
      </w:pPr>
    </w:p>
    <w:p w14:paraId="4CAF5F5C">
      <w:pPr>
        <w:pStyle w:val="3"/>
        <w:spacing w:line="275" w:lineRule="auto"/>
        <w:rPr>
          <w:color w:val="auto"/>
          <w:highlight w:val="none"/>
        </w:rPr>
      </w:pPr>
    </w:p>
    <w:p w14:paraId="6B57DB68">
      <w:pPr>
        <w:pStyle w:val="3"/>
        <w:spacing w:line="276" w:lineRule="auto"/>
        <w:rPr>
          <w:color w:val="auto"/>
          <w:highlight w:val="none"/>
        </w:rPr>
      </w:pPr>
    </w:p>
    <w:p w14:paraId="6A731551">
      <w:pPr>
        <w:pStyle w:val="3"/>
        <w:spacing w:line="276" w:lineRule="auto"/>
        <w:rPr>
          <w:color w:val="auto"/>
          <w:highlight w:val="none"/>
        </w:rPr>
      </w:pPr>
    </w:p>
    <w:p w14:paraId="18896430">
      <w:pPr>
        <w:pStyle w:val="3"/>
        <w:spacing w:line="276" w:lineRule="auto"/>
        <w:rPr>
          <w:color w:val="auto"/>
          <w:highlight w:val="none"/>
        </w:rPr>
      </w:pPr>
    </w:p>
    <w:p w14:paraId="7D486695">
      <w:pPr>
        <w:spacing w:before="79" w:line="221" w:lineRule="auto"/>
        <w:ind w:left="502"/>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备注：供应商没有被公开披露或查处违法违规行为的，注明“无 ”即可。</w:t>
      </w:r>
    </w:p>
    <w:p w14:paraId="5AD4E9E5">
      <w:pPr>
        <w:spacing w:line="221" w:lineRule="auto"/>
        <w:rPr>
          <w:rFonts w:ascii="仿宋" w:hAnsi="仿宋" w:eastAsia="仿宋" w:cs="仿宋"/>
          <w:color w:val="auto"/>
          <w:sz w:val="24"/>
          <w:szCs w:val="24"/>
          <w:highlight w:val="none"/>
        </w:rPr>
        <w:sectPr>
          <w:footerReference r:id="rId77" w:type="default"/>
          <w:pgSz w:w="11906" w:h="16840"/>
          <w:pgMar w:top="400" w:right="1785" w:bottom="1157" w:left="1785" w:header="0" w:footer="911" w:gutter="0"/>
          <w:pgNumType w:fmt="decimal"/>
          <w:cols w:space="720" w:num="1"/>
        </w:sectPr>
      </w:pPr>
    </w:p>
    <w:p w14:paraId="1AB192A6">
      <w:pPr>
        <w:pStyle w:val="3"/>
        <w:spacing w:line="261" w:lineRule="auto"/>
        <w:rPr>
          <w:color w:val="auto"/>
          <w:highlight w:val="none"/>
        </w:rPr>
      </w:pPr>
    </w:p>
    <w:p w14:paraId="148B550E">
      <w:pPr>
        <w:pStyle w:val="3"/>
        <w:spacing w:line="261" w:lineRule="auto"/>
        <w:rPr>
          <w:color w:val="auto"/>
          <w:highlight w:val="none"/>
        </w:rPr>
      </w:pPr>
    </w:p>
    <w:p w14:paraId="5342833F">
      <w:pPr>
        <w:pStyle w:val="3"/>
        <w:spacing w:line="261" w:lineRule="auto"/>
        <w:rPr>
          <w:color w:val="auto"/>
          <w:highlight w:val="none"/>
        </w:rPr>
      </w:pPr>
    </w:p>
    <w:p w14:paraId="69FDAAE4">
      <w:pPr>
        <w:spacing w:before="91" w:line="222" w:lineRule="auto"/>
        <w:ind w:left="2911"/>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十一、政府采购诚信承诺书</w:t>
      </w:r>
    </w:p>
    <w:p w14:paraId="5DF9F311">
      <w:pPr>
        <w:pStyle w:val="3"/>
        <w:spacing w:line="244" w:lineRule="auto"/>
        <w:rPr>
          <w:color w:val="auto"/>
          <w:highlight w:val="none"/>
        </w:rPr>
      </w:pPr>
    </w:p>
    <w:p w14:paraId="3DC2CC68">
      <w:pPr>
        <w:pStyle w:val="3"/>
        <w:spacing w:line="244" w:lineRule="auto"/>
        <w:rPr>
          <w:color w:val="auto"/>
          <w:highlight w:val="none"/>
        </w:rPr>
      </w:pPr>
    </w:p>
    <w:p w14:paraId="7203BEA7">
      <w:pPr>
        <w:tabs>
          <w:tab w:val="left" w:pos="510"/>
        </w:tabs>
        <w:spacing w:before="78" w:line="222" w:lineRule="auto"/>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32"/>
          <w:w w:val="78"/>
          <w:sz w:val="24"/>
          <w:szCs w:val="24"/>
          <w:highlight w:val="none"/>
          <w:u w:val="single" w:color="auto"/>
        </w:rPr>
        <w:t>（采购人</w:t>
      </w:r>
      <w:r>
        <w:rPr>
          <w:rFonts w:ascii="仿宋" w:hAnsi="仿宋" w:eastAsia="仿宋" w:cs="仿宋"/>
          <w:color w:val="auto"/>
          <w:spacing w:val="-15"/>
          <w:sz w:val="24"/>
          <w:szCs w:val="24"/>
          <w:highlight w:val="none"/>
          <w:u w:val="single" w:color="auto"/>
        </w:rPr>
        <w:t>）</w:t>
      </w:r>
      <w:r>
        <w:rPr>
          <w:rFonts w:ascii="仿宋" w:hAnsi="仿宋" w:eastAsia="仿宋" w:cs="仿宋"/>
          <w:color w:val="auto"/>
          <w:spacing w:val="-13"/>
          <w:sz w:val="24"/>
          <w:szCs w:val="24"/>
          <w:highlight w:val="none"/>
          <w:u w:val="single" w:color="auto"/>
        </w:rPr>
        <w:t xml:space="preserve"> </w:t>
      </w:r>
      <w:r>
        <w:rPr>
          <w:rFonts w:ascii="仿宋" w:hAnsi="仿宋" w:eastAsia="仿宋" w:cs="仿宋"/>
          <w:color w:val="auto"/>
          <w:spacing w:val="-15"/>
          <w:sz w:val="24"/>
          <w:szCs w:val="24"/>
          <w:highlight w:val="none"/>
        </w:rPr>
        <w:t>：</w:t>
      </w:r>
    </w:p>
    <w:p w14:paraId="331EBF72">
      <w:pPr>
        <w:spacing w:before="183" w:line="221" w:lineRule="auto"/>
        <w:ind w:left="553"/>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我公司</w:t>
      </w:r>
      <w:r>
        <w:rPr>
          <w:rFonts w:ascii="仿宋" w:hAnsi="仿宋" w:eastAsia="仿宋" w:cs="仿宋"/>
          <w:color w:val="auto"/>
          <w:spacing w:val="-120"/>
          <w:sz w:val="24"/>
          <w:szCs w:val="24"/>
          <w:highlight w:val="none"/>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（供应商名称）</w:t>
      </w:r>
      <w:r>
        <w:rPr>
          <w:rFonts w:ascii="仿宋" w:hAnsi="仿宋" w:eastAsia="仿宋" w:cs="仿宋"/>
          <w:color w:val="auto"/>
          <w:spacing w:val="-70"/>
          <w:sz w:val="24"/>
          <w:szCs w:val="24"/>
          <w:highlight w:val="none"/>
        </w:rPr>
        <w:t xml:space="preserve"> </w:t>
      </w:r>
      <w:r>
        <w:rPr>
          <w:rFonts w:ascii="仿宋" w:hAnsi="仿宋" w:eastAsia="仿宋" w:cs="仿宋"/>
          <w:color w:val="auto"/>
          <w:spacing w:val="-3"/>
          <w:sz w:val="24"/>
          <w:szCs w:val="24"/>
          <w:highlight w:val="none"/>
        </w:rPr>
        <w:t>已详细阅读</w:t>
      </w:r>
      <w:r>
        <w:rPr>
          <w:rFonts w:ascii="仿宋" w:hAnsi="仿宋" w:eastAsia="仿宋" w:cs="仿宋"/>
          <w:color w:val="auto"/>
          <w:spacing w:val="-4"/>
          <w:sz w:val="24"/>
          <w:szCs w:val="24"/>
          <w:highlight w:val="none"/>
        </w:rPr>
        <w:t>了</w:t>
      </w:r>
      <w:r>
        <w:rPr>
          <w:rFonts w:ascii="仿宋" w:hAnsi="仿宋" w:eastAsia="仿宋" w:cs="仿宋"/>
          <w:color w:val="auto"/>
          <w:spacing w:val="-120"/>
          <w:sz w:val="24"/>
          <w:szCs w:val="24"/>
          <w:highlight w:val="none"/>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6"/>
          <w:sz w:val="24"/>
          <w:szCs w:val="24"/>
          <w:highlight w:val="none"/>
        </w:rPr>
        <w:t xml:space="preserve"> </w:t>
      </w:r>
      <w:r>
        <w:rPr>
          <w:rFonts w:ascii="仿宋" w:hAnsi="仿宋" w:eastAsia="仿宋" w:cs="仿宋"/>
          <w:color w:val="auto"/>
          <w:spacing w:val="-4"/>
          <w:sz w:val="24"/>
          <w:szCs w:val="24"/>
          <w:highlight w:val="none"/>
        </w:rPr>
        <w:t>项目</w:t>
      </w:r>
    </w:p>
    <w:p w14:paraId="21DE0EB9">
      <w:pPr>
        <w:spacing w:before="126" w:line="317" w:lineRule="auto"/>
        <w:ind w:left="55" w:right="66" w:firstLine="4"/>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（项目编 号</w:t>
      </w:r>
      <w:r>
        <w:rPr>
          <w:rFonts w:ascii="仿宋" w:hAnsi="仿宋" w:eastAsia="仿宋" w:cs="仿宋"/>
          <w:color w:val="auto"/>
          <w:spacing w:val="-22"/>
          <w:sz w:val="24"/>
          <w:szCs w:val="24"/>
          <w:highlight w:val="none"/>
        </w:rPr>
        <w:t>：</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47"/>
          <w:sz w:val="24"/>
          <w:szCs w:val="24"/>
          <w:highlight w:val="none"/>
        </w:rPr>
        <w:t xml:space="preserve"> </w:t>
      </w:r>
      <w:r>
        <w:rPr>
          <w:rFonts w:ascii="仿宋" w:hAnsi="仿宋" w:eastAsia="仿宋" w:cs="仿宋"/>
          <w:color w:val="auto"/>
          <w:spacing w:val="-22"/>
          <w:sz w:val="24"/>
          <w:szCs w:val="24"/>
          <w:highlight w:val="none"/>
        </w:rPr>
        <w:t>）</w:t>
      </w:r>
      <w:r>
        <w:rPr>
          <w:rFonts w:ascii="仿宋" w:hAnsi="仿宋" w:eastAsia="仿宋" w:cs="仿宋"/>
          <w:color w:val="auto"/>
          <w:spacing w:val="-8"/>
          <w:sz w:val="24"/>
          <w:szCs w:val="24"/>
          <w:highlight w:val="none"/>
        </w:rPr>
        <w:t>竞争性磋商文件， 自愿参加本次投标，现就有关事</w:t>
      </w:r>
      <w:r>
        <w:rPr>
          <w:rFonts w:ascii="仿宋" w:hAnsi="仿宋" w:eastAsia="仿宋" w:cs="仿宋"/>
          <w:color w:val="auto"/>
          <w:spacing w:val="-6"/>
          <w:sz w:val="24"/>
          <w:szCs w:val="24"/>
          <w:highlight w:val="none"/>
        </w:rPr>
        <w:t>项作出郑重承诺如 下：</w:t>
      </w:r>
    </w:p>
    <w:p w14:paraId="33AE5682">
      <w:pPr>
        <w:spacing w:before="75" w:line="305" w:lineRule="auto"/>
        <w:ind w:left="46" w:right="80" w:firstLine="491"/>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一、诚信投标，材料真实。我公司保证所提供的全</w:t>
      </w:r>
      <w:r>
        <w:rPr>
          <w:rFonts w:ascii="仿宋" w:hAnsi="仿宋" w:eastAsia="仿宋" w:cs="仿宋"/>
          <w:color w:val="auto"/>
          <w:spacing w:val="-11"/>
          <w:sz w:val="24"/>
          <w:szCs w:val="24"/>
          <w:highlight w:val="none"/>
        </w:rPr>
        <w:t>部材料、投标内容均真实</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、合法、 有效，保证不出借或者借用其他企业资质，不以他人名义投</w:t>
      </w:r>
      <w:r>
        <w:rPr>
          <w:rFonts w:ascii="仿宋" w:hAnsi="仿宋" w:eastAsia="仿宋" w:cs="仿宋"/>
          <w:color w:val="auto"/>
          <w:spacing w:val="-3"/>
          <w:sz w:val="24"/>
          <w:szCs w:val="24"/>
          <w:highlight w:val="none"/>
        </w:rPr>
        <w:t>标，不弄</w:t>
      </w:r>
      <w:r>
        <w:rPr>
          <w:rFonts w:ascii="仿宋" w:hAnsi="仿宋" w:eastAsia="仿宋" w:cs="仿宋"/>
          <w:color w:val="auto"/>
          <w:spacing w:val="-6"/>
          <w:sz w:val="24"/>
          <w:szCs w:val="24"/>
          <w:highlight w:val="none"/>
        </w:rPr>
        <w:t>虚作假；</w:t>
      </w:r>
    </w:p>
    <w:p w14:paraId="226D22A3">
      <w:pPr>
        <w:spacing w:before="82" w:line="310" w:lineRule="auto"/>
        <w:ind w:left="66" w:right="78" w:firstLine="485"/>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二、遵纪守法，公平竞争。不与其他供应商相互串通、哄抬价格，不排挤</w:t>
      </w:r>
      <w:r>
        <w:rPr>
          <w:rFonts w:ascii="仿宋" w:hAnsi="仿宋" w:eastAsia="仿宋" w:cs="仿宋"/>
          <w:color w:val="auto"/>
          <w:spacing w:val="-3"/>
          <w:sz w:val="24"/>
          <w:szCs w:val="24"/>
          <w:highlight w:val="none"/>
        </w:rPr>
        <w:t>其他供应 商，不损害采购人的合法权益；不向评标委员会、采购人提供利益以</w:t>
      </w:r>
      <w:r>
        <w:rPr>
          <w:rFonts w:ascii="仿宋" w:hAnsi="仿宋" w:eastAsia="仿宋" w:cs="仿宋"/>
          <w:color w:val="auto"/>
          <w:spacing w:val="-5"/>
          <w:sz w:val="24"/>
          <w:szCs w:val="24"/>
          <w:highlight w:val="none"/>
        </w:rPr>
        <w:t>牟取中标。</w:t>
      </w:r>
    </w:p>
    <w:p w14:paraId="438DF59F">
      <w:pPr>
        <w:spacing w:before="73" w:line="315" w:lineRule="auto"/>
        <w:ind w:left="55" w:right="57" w:firstLine="490"/>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三、若中标后，将按照规定及时与采购人签订政府采购合同，不与采购人</w:t>
      </w:r>
      <w:r>
        <w:rPr>
          <w:rFonts w:ascii="仿宋" w:hAnsi="仿宋" w:eastAsia="仿宋" w:cs="仿宋"/>
          <w:color w:val="auto"/>
          <w:spacing w:val="-8"/>
          <w:sz w:val="24"/>
          <w:szCs w:val="24"/>
          <w:highlight w:val="none"/>
        </w:rPr>
        <w:t>订立有悖 于采购结果的合同或协议；严格履行政府采购</w:t>
      </w:r>
      <w:r>
        <w:rPr>
          <w:rFonts w:ascii="仿宋" w:hAnsi="仿宋" w:eastAsia="仿宋" w:cs="仿宋"/>
          <w:color w:val="auto"/>
          <w:spacing w:val="-9"/>
          <w:sz w:val="24"/>
          <w:szCs w:val="24"/>
          <w:highlight w:val="none"/>
        </w:rPr>
        <w:t>合同，不降低合同约定的</w:t>
      </w:r>
      <w:r>
        <w:rPr>
          <w:rFonts w:ascii="仿宋" w:hAnsi="仿宋" w:eastAsia="仿宋" w:cs="仿宋"/>
          <w:color w:val="auto"/>
          <w:spacing w:val="-4"/>
          <w:sz w:val="24"/>
          <w:szCs w:val="24"/>
          <w:highlight w:val="none"/>
        </w:rPr>
        <w:t>产品质量和服务， 不擅自变更、中止、终止合同，或者拒绝</w:t>
      </w:r>
      <w:r>
        <w:rPr>
          <w:rFonts w:ascii="仿宋" w:hAnsi="仿宋" w:eastAsia="仿宋" w:cs="仿宋"/>
          <w:color w:val="auto"/>
          <w:spacing w:val="-5"/>
          <w:sz w:val="24"/>
          <w:szCs w:val="24"/>
          <w:highlight w:val="none"/>
        </w:rPr>
        <w:t>履行合同义务；</w:t>
      </w:r>
    </w:p>
    <w:p w14:paraId="306E96B9">
      <w:pPr>
        <w:spacing w:before="81" w:line="317" w:lineRule="auto"/>
        <w:ind w:left="73" w:right="248" w:firstLine="451"/>
        <w:jc w:val="both"/>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若有违反以上承诺内容的行为，我公司自愿接受取消投标资格、记入信用档案、没 收投标保证金、媒体通报、1-3年内禁止参与</w:t>
      </w:r>
      <w:r>
        <w:rPr>
          <w:rFonts w:ascii="仿宋" w:hAnsi="仿宋" w:eastAsia="仿宋" w:cs="仿宋"/>
          <w:color w:val="auto"/>
          <w:spacing w:val="-5"/>
          <w:sz w:val="24"/>
          <w:szCs w:val="24"/>
          <w:highlight w:val="none"/>
        </w:rPr>
        <w:t>政府采购等处罚；如已</w:t>
      </w:r>
      <w:r>
        <w:rPr>
          <w:rFonts w:ascii="仿宋" w:hAnsi="仿宋" w:eastAsia="仿宋" w:cs="仿宋"/>
          <w:color w:val="auto"/>
          <w:spacing w:val="-8"/>
          <w:sz w:val="24"/>
          <w:szCs w:val="24"/>
          <w:highlight w:val="none"/>
        </w:rPr>
        <w:t>中标的，</w:t>
      </w:r>
      <w:r>
        <w:rPr>
          <w:rFonts w:ascii="仿宋" w:hAnsi="仿宋" w:eastAsia="仿宋" w:cs="仿宋"/>
          <w:color w:val="auto"/>
          <w:spacing w:val="67"/>
          <w:sz w:val="24"/>
          <w:szCs w:val="24"/>
          <w:highlight w:val="none"/>
        </w:rPr>
        <w:t xml:space="preserve"> </w:t>
      </w:r>
      <w:r>
        <w:rPr>
          <w:rFonts w:ascii="仿宋" w:hAnsi="仿宋" w:eastAsia="仿宋" w:cs="仿宋"/>
          <w:color w:val="auto"/>
          <w:spacing w:val="-8"/>
          <w:sz w:val="24"/>
          <w:szCs w:val="24"/>
          <w:highlight w:val="none"/>
        </w:rPr>
        <w:t>自动放弃</w:t>
      </w:r>
      <w:r>
        <w:rPr>
          <w:rFonts w:ascii="仿宋" w:hAnsi="仿宋" w:eastAsia="仿宋" w:cs="仿宋"/>
          <w:color w:val="auto"/>
          <w:spacing w:val="49"/>
          <w:sz w:val="24"/>
          <w:szCs w:val="24"/>
          <w:highlight w:val="none"/>
        </w:rPr>
        <w:t xml:space="preserve"> </w:t>
      </w:r>
      <w:r>
        <w:rPr>
          <w:rFonts w:ascii="仿宋" w:hAnsi="仿宋" w:eastAsia="仿宋" w:cs="仿宋"/>
          <w:color w:val="auto"/>
          <w:spacing w:val="-8"/>
          <w:sz w:val="24"/>
          <w:szCs w:val="24"/>
          <w:highlight w:val="none"/>
        </w:rPr>
        <w:t>中标资格，并承担全部法律责任；给采购人造成损失的，</w:t>
      </w:r>
      <w:r>
        <w:rPr>
          <w:rFonts w:ascii="仿宋" w:hAnsi="仿宋" w:eastAsia="仿宋" w:cs="仿宋"/>
          <w:color w:val="auto"/>
          <w:spacing w:val="-4"/>
          <w:sz w:val="24"/>
          <w:szCs w:val="24"/>
          <w:highlight w:val="none"/>
        </w:rPr>
        <w:t>依法承担赔偿责任。</w:t>
      </w:r>
    </w:p>
    <w:p w14:paraId="54F735D7">
      <w:pPr>
        <w:pStyle w:val="3"/>
        <w:spacing w:line="261" w:lineRule="auto"/>
        <w:rPr>
          <w:color w:val="auto"/>
          <w:highlight w:val="none"/>
        </w:rPr>
      </w:pPr>
    </w:p>
    <w:p w14:paraId="4F388940">
      <w:pPr>
        <w:pStyle w:val="3"/>
        <w:spacing w:line="262" w:lineRule="auto"/>
        <w:rPr>
          <w:color w:val="auto"/>
          <w:highlight w:val="none"/>
        </w:rPr>
      </w:pPr>
    </w:p>
    <w:p w14:paraId="7244E8F1">
      <w:pPr>
        <w:pStyle w:val="3"/>
        <w:spacing w:line="262" w:lineRule="auto"/>
        <w:rPr>
          <w:color w:val="auto"/>
          <w:highlight w:val="none"/>
        </w:rPr>
      </w:pPr>
    </w:p>
    <w:p w14:paraId="0539DAEA">
      <w:pPr>
        <w:pStyle w:val="3"/>
        <w:spacing w:line="262" w:lineRule="auto"/>
        <w:rPr>
          <w:color w:val="auto"/>
          <w:highlight w:val="none"/>
        </w:rPr>
      </w:pPr>
    </w:p>
    <w:p w14:paraId="48918B38">
      <w:pPr>
        <w:pStyle w:val="3"/>
        <w:spacing w:line="262" w:lineRule="auto"/>
        <w:rPr>
          <w:color w:val="auto"/>
          <w:highlight w:val="none"/>
        </w:rPr>
      </w:pPr>
    </w:p>
    <w:p w14:paraId="28A12AB0">
      <w:pPr>
        <w:spacing w:before="78" w:line="221" w:lineRule="auto"/>
        <w:ind w:left="4159"/>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供  应</w:t>
      </w:r>
      <w:r>
        <w:rPr>
          <w:rFonts w:ascii="仿宋" w:hAnsi="仿宋" w:eastAsia="仿宋" w:cs="仿宋"/>
          <w:color w:val="auto"/>
          <w:spacing w:val="31"/>
          <w:sz w:val="24"/>
          <w:szCs w:val="24"/>
          <w:highlight w:val="none"/>
        </w:rPr>
        <w:t xml:space="preserve">  </w:t>
      </w:r>
      <w:r>
        <w:rPr>
          <w:rFonts w:ascii="仿宋" w:hAnsi="仿宋" w:eastAsia="仿宋" w:cs="仿宋"/>
          <w:color w:val="auto"/>
          <w:spacing w:val="-8"/>
          <w:sz w:val="24"/>
          <w:szCs w:val="24"/>
          <w:highlight w:val="none"/>
        </w:rPr>
        <w:t>商</w:t>
      </w:r>
      <w:r>
        <w:rPr>
          <w:rFonts w:ascii="仿宋" w:hAnsi="仿宋" w:eastAsia="仿宋" w:cs="仿宋"/>
          <w:color w:val="auto"/>
          <w:spacing w:val="-32"/>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2"/>
          <w:sz w:val="24"/>
          <w:szCs w:val="24"/>
          <w:highlight w:val="none"/>
        </w:rPr>
        <w:t>（</w:t>
      </w:r>
      <w:r>
        <w:rPr>
          <w:rFonts w:ascii="仿宋" w:hAnsi="仿宋" w:eastAsia="仿宋" w:cs="仿宋"/>
          <w:color w:val="auto"/>
          <w:spacing w:val="-8"/>
          <w:sz w:val="24"/>
          <w:szCs w:val="24"/>
          <w:highlight w:val="none"/>
        </w:rPr>
        <w:t>盖单</w:t>
      </w:r>
    </w:p>
    <w:p w14:paraId="7D4D02A0">
      <w:pPr>
        <w:spacing w:before="113" w:line="222" w:lineRule="auto"/>
        <w:ind w:left="4171"/>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位公章） 法定代表人：</w:t>
      </w:r>
      <w:r>
        <w:rPr>
          <w:rFonts w:ascii="仿宋" w:hAnsi="仿宋" w:eastAsia="仿宋" w:cs="仿宋"/>
          <w:color w:val="auto"/>
          <w:sz w:val="24"/>
          <w:szCs w:val="24"/>
          <w:highlight w:val="none"/>
          <w:u w:val="single" w:color="auto"/>
        </w:rPr>
        <w:t xml:space="preserve">               </w:t>
      </w:r>
    </w:p>
    <w:p w14:paraId="204FEC68">
      <w:pPr>
        <w:spacing w:before="111" w:line="222" w:lineRule="auto"/>
        <w:ind w:left="4175"/>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（签字或盖章）</w:t>
      </w:r>
    </w:p>
    <w:p w14:paraId="58D679C9">
      <w:pPr>
        <w:spacing w:before="153" w:line="222" w:lineRule="auto"/>
        <w:ind w:left="4310"/>
        <w:rPr>
          <w:rFonts w:ascii="仿宋" w:hAnsi="仿宋" w:eastAsia="仿宋" w:cs="仿宋"/>
          <w:color w:val="auto"/>
          <w:sz w:val="24"/>
          <w:szCs w:val="24"/>
          <w:highlight w:val="none"/>
        </w:rPr>
      </w:pPr>
      <w:r>
        <w:rPr>
          <w:rFonts w:ascii="仿宋" w:hAnsi="仿宋" w:eastAsia="仿宋" w:cs="仿宋"/>
          <w:color w:val="auto"/>
          <w:spacing w:val="-32"/>
          <w:sz w:val="24"/>
          <w:szCs w:val="24"/>
          <w:highlight w:val="none"/>
        </w:rPr>
        <w:t>日</w:t>
      </w:r>
      <w:r>
        <w:rPr>
          <w:rFonts w:ascii="仿宋" w:hAnsi="仿宋" w:eastAsia="仿宋" w:cs="仿宋"/>
          <w:color w:val="auto"/>
          <w:spacing w:val="22"/>
          <w:sz w:val="24"/>
          <w:szCs w:val="24"/>
          <w:highlight w:val="none"/>
        </w:rPr>
        <w:t xml:space="preserve">     </w:t>
      </w:r>
      <w:r>
        <w:rPr>
          <w:rFonts w:ascii="仿宋" w:hAnsi="仿宋" w:eastAsia="仿宋" w:cs="仿宋"/>
          <w:color w:val="auto"/>
          <w:spacing w:val="-32"/>
          <w:sz w:val="24"/>
          <w:szCs w:val="24"/>
          <w:highlight w:val="none"/>
        </w:rPr>
        <w:t>期：</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9"/>
          <w:sz w:val="24"/>
          <w:szCs w:val="24"/>
          <w:highlight w:val="none"/>
        </w:rPr>
        <w:t xml:space="preserve"> </w:t>
      </w:r>
      <w:r>
        <w:rPr>
          <w:rFonts w:ascii="仿宋" w:hAnsi="仿宋" w:eastAsia="仿宋" w:cs="仿宋"/>
          <w:color w:val="auto"/>
          <w:spacing w:val="-32"/>
          <w:sz w:val="24"/>
          <w:szCs w:val="24"/>
          <w:highlight w:val="none"/>
        </w:rPr>
        <w:t>年</w:t>
      </w:r>
      <w:r>
        <w:rPr>
          <w:rFonts w:ascii="仿宋" w:hAnsi="仿宋" w:eastAsia="仿宋" w:cs="仿宋"/>
          <w:color w:val="auto"/>
          <w:spacing w:val="31"/>
          <w:sz w:val="24"/>
          <w:szCs w:val="24"/>
          <w:highlight w:val="none"/>
          <w:u w:val="single" w:color="auto"/>
        </w:rPr>
        <w:t xml:space="preserve">  </w:t>
      </w:r>
      <w:r>
        <w:rPr>
          <w:rFonts w:ascii="仿宋" w:hAnsi="仿宋" w:eastAsia="仿宋" w:cs="仿宋"/>
          <w:color w:val="auto"/>
          <w:spacing w:val="-33"/>
          <w:sz w:val="24"/>
          <w:szCs w:val="24"/>
          <w:highlight w:val="none"/>
        </w:rPr>
        <w:t xml:space="preserve"> </w:t>
      </w:r>
      <w:r>
        <w:rPr>
          <w:rFonts w:ascii="仿宋" w:hAnsi="仿宋" w:eastAsia="仿宋" w:cs="仿宋"/>
          <w:color w:val="auto"/>
          <w:spacing w:val="-32"/>
          <w:sz w:val="24"/>
          <w:szCs w:val="24"/>
          <w:highlight w:val="none"/>
        </w:rPr>
        <w:t>月</w:t>
      </w:r>
      <w:r>
        <w:rPr>
          <w:rFonts w:ascii="仿宋" w:hAnsi="仿宋" w:eastAsia="仿宋" w:cs="仿宋"/>
          <w:color w:val="auto"/>
          <w:spacing w:val="33"/>
          <w:sz w:val="24"/>
          <w:szCs w:val="24"/>
          <w:highlight w:val="none"/>
          <w:u w:val="single" w:color="auto"/>
        </w:rPr>
        <w:t xml:space="preserve">  </w:t>
      </w:r>
      <w:r>
        <w:rPr>
          <w:rFonts w:ascii="仿宋" w:hAnsi="仿宋" w:eastAsia="仿宋" w:cs="仿宋"/>
          <w:color w:val="auto"/>
          <w:spacing w:val="82"/>
          <w:sz w:val="24"/>
          <w:szCs w:val="24"/>
          <w:highlight w:val="none"/>
        </w:rPr>
        <w:t xml:space="preserve"> </w:t>
      </w:r>
      <w:r>
        <w:rPr>
          <w:rFonts w:ascii="仿宋" w:hAnsi="仿宋" w:eastAsia="仿宋" w:cs="仿宋"/>
          <w:color w:val="auto"/>
          <w:spacing w:val="-32"/>
          <w:sz w:val="24"/>
          <w:szCs w:val="24"/>
          <w:highlight w:val="none"/>
        </w:rPr>
        <w:t>日</w:t>
      </w:r>
    </w:p>
    <w:p w14:paraId="28C13D7D">
      <w:pPr>
        <w:spacing w:line="222" w:lineRule="auto"/>
        <w:rPr>
          <w:rFonts w:ascii="仿宋" w:hAnsi="仿宋" w:eastAsia="仿宋" w:cs="仿宋"/>
          <w:color w:val="auto"/>
          <w:sz w:val="24"/>
          <w:szCs w:val="24"/>
          <w:highlight w:val="none"/>
        </w:rPr>
        <w:sectPr>
          <w:footerReference r:id="rId78" w:type="default"/>
          <w:pgSz w:w="11906" w:h="16840"/>
          <w:pgMar w:top="400" w:right="1785" w:bottom="1157" w:left="1785" w:header="0" w:footer="911" w:gutter="0"/>
          <w:pgNumType w:fmt="decimal"/>
          <w:cols w:space="720" w:num="1"/>
        </w:sectPr>
      </w:pPr>
    </w:p>
    <w:p w14:paraId="50092C07">
      <w:pPr>
        <w:pStyle w:val="3"/>
        <w:spacing w:line="260" w:lineRule="auto"/>
        <w:rPr>
          <w:color w:val="auto"/>
          <w:highlight w:val="none"/>
        </w:rPr>
      </w:pPr>
    </w:p>
    <w:p w14:paraId="01B26EB9">
      <w:pPr>
        <w:pStyle w:val="3"/>
        <w:spacing w:line="260" w:lineRule="auto"/>
        <w:rPr>
          <w:color w:val="auto"/>
          <w:highlight w:val="none"/>
        </w:rPr>
      </w:pPr>
    </w:p>
    <w:p w14:paraId="7DABD6B5">
      <w:pPr>
        <w:pStyle w:val="3"/>
        <w:spacing w:line="260" w:lineRule="auto"/>
        <w:rPr>
          <w:color w:val="auto"/>
          <w:highlight w:val="none"/>
        </w:rPr>
      </w:pPr>
    </w:p>
    <w:p w14:paraId="7392CC37">
      <w:pPr>
        <w:spacing w:before="91" w:line="221" w:lineRule="auto"/>
        <w:ind w:left="3611"/>
        <w:rPr>
          <w:rFonts w:ascii="仿宋" w:hAnsi="仿宋" w:eastAsia="仿宋" w:cs="仿宋"/>
          <w:color w:val="auto"/>
          <w:sz w:val="28"/>
          <w:szCs w:val="28"/>
          <w:highlight w:val="none"/>
        </w:rPr>
      </w:pPr>
      <w:r>
        <w:rPr>
          <w:rFonts w:ascii="仿宋" w:hAnsi="仿宋" w:eastAsia="仿宋" w:cs="仿宋"/>
          <w:color w:val="auto"/>
          <w:spacing w:val="-9"/>
          <w:sz w:val="28"/>
          <w:szCs w:val="28"/>
          <w:highlight w:val="none"/>
        </w:rPr>
        <w:t>十二、其他资料</w:t>
      </w:r>
    </w:p>
    <w:p w14:paraId="2C007157">
      <w:pPr>
        <w:spacing w:before="312" w:line="220" w:lineRule="auto"/>
        <w:ind w:left="111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（中小微企业、节能、环保等其他资料，投标单位可自拟）</w:t>
      </w:r>
    </w:p>
    <w:p w14:paraId="2C08AB14">
      <w:pPr>
        <w:spacing w:before="316" w:line="220" w:lineRule="auto"/>
        <w:ind w:left="2321"/>
        <w:rPr>
          <w:rFonts w:ascii="宋体" w:hAnsi="宋体" w:eastAsia="宋体" w:cs="宋体"/>
          <w:color w:val="auto"/>
          <w:sz w:val="28"/>
          <w:szCs w:val="28"/>
          <w:highlight w:val="none"/>
        </w:rPr>
      </w:pPr>
      <w:r>
        <w:rPr>
          <w:rFonts w:ascii="宋体" w:hAnsi="宋体" w:eastAsia="宋体" w:cs="宋体"/>
          <w:b/>
          <w:bCs/>
          <w:color w:val="auto"/>
          <w:spacing w:val="-8"/>
          <w:sz w:val="28"/>
          <w:szCs w:val="28"/>
          <w:highlight w:val="none"/>
        </w:rPr>
        <w:t>中小企业声明函（工程、服务）</w:t>
      </w:r>
    </w:p>
    <w:p w14:paraId="2967DF5F">
      <w:pPr>
        <w:pStyle w:val="3"/>
        <w:spacing w:line="348" w:lineRule="auto"/>
        <w:rPr>
          <w:color w:val="auto"/>
          <w:highlight w:val="none"/>
        </w:rPr>
      </w:pPr>
    </w:p>
    <w:p w14:paraId="51E743F6">
      <w:pPr>
        <w:spacing w:before="78" w:line="309" w:lineRule="auto"/>
        <w:ind w:left="68" w:right="145" w:firstLine="476"/>
        <w:jc w:val="both"/>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 xml:space="preserve">本公司 （联合体） 郑重声明，根据《政府采购促进中小企业发展管理办法》 （财库〔2020〕 〔2020〕46 号） 的规定，本公司 （联合体） </w:t>
      </w:r>
      <w:r>
        <w:rPr>
          <w:rFonts w:ascii="仿宋" w:hAnsi="仿宋" w:eastAsia="仿宋" w:cs="仿宋"/>
          <w:color w:val="auto"/>
          <w:spacing w:val="-6"/>
          <w:sz w:val="24"/>
          <w:szCs w:val="24"/>
          <w:highlight w:val="none"/>
        </w:rPr>
        <w:t>参加  (</w:t>
      </w:r>
      <w:r>
        <w:rPr>
          <w:rFonts w:ascii="仿宋" w:hAnsi="仿宋" w:eastAsia="仿宋" w:cs="仿宋"/>
          <w:color w:val="auto"/>
          <w:spacing w:val="-5"/>
          <w:sz w:val="24"/>
          <w:szCs w:val="24"/>
          <w:highlight w:val="none"/>
        </w:rPr>
        <w:t>单位名称） 的 （项目名称） 采购活动，工程的施工单位全部为符合政策要求</w:t>
      </w:r>
      <w:r>
        <w:rPr>
          <w:rFonts w:ascii="仿宋" w:hAnsi="仿宋" w:eastAsia="仿宋" w:cs="仿宋"/>
          <w:color w:val="auto"/>
          <w:spacing w:val="-7"/>
          <w:sz w:val="24"/>
          <w:szCs w:val="24"/>
          <w:highlight w:val="none"/>
        </w:rPr>
        <w:t>的中小企业。</w:t>
      </w:r>
    </w:p>
    <w:p w14:paraId="0654DF92">
      <w:pPr>
        <w:spacing w:before="81" w:line="311" w:lineRule="auto"/>
        <w:ind w:left="66" w:right="256" w:firstLine="479"/>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相关企业（含联合体中的中小企业、 签订分包意向协议的中小企业） 的</w:t>
      </w:r>
      <w:r>
        <w:rPr>
          <w:rFonts w:ascii="仿宋" w:hAnsi="仿宋" w:eastAsia="仿宋" w:cs="仿宋"/>
          <w:color w:val="auto"/>
          <w:spacing w:val="-6"/>
          <w:sz w:val="24"/>
          <w:szCs w:val="24"/>
          <w:highlight w:val="none"/>
        </w:rPr>
        <w:t>具体情况如下：</w:t>
      </w:r>
    </w:p>
    <w:p w14:paraId="6D405319">
      <w:pPr>
        <w:tabs>
          <w:tab w:val="left" w:pos="182"/>
        </w:tabs>
        <w:spacing w:before="77" w:line="309" w:lineRule="auto"/>
        <w:ind w:left="47" w:right="145" w:firstLine="506"/>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w:t>
      </w:r>
      <w:r>
        <w:rPr>
          <w:rFonts w:ascii="仿宋" w:hAnsi="仿宋" w:eastAsia="仿宋" w:cs="仿宋"/>
          <w:color w:val="auto"/>
          <w:spacing w:val="107"/>
          <w:sz w:val="24"/>
          <w:szCs w:val="24"/>
          <w:highlight w:val="none"/>
          <w:u w:val="single" w:color="auto"/>
        </w:rPr>
        <w:t xml:space="preserve"> </w:t>
      </w:r>
      <w:r>
        <w:rPr>
          <w:rFonts w:ascii="仿宋" w:hAnsi="仿宋" w:eastAsia="仿宋" w:cs="仿宋"/>
          <w:color w:val="auto"/>
          <w:spacing w:val="-6"/>
          <w:sz w:val="24"/>
          <w:szCs w:val="24"/>
          <w:highlight w:val="none"/>
          <w:u w:val="single" w:color="auto"/>
        </w:rPr>
        <w:t>（标的名称</w:t>
      </w:r>
      <w:r>
        <w:rPr>
          <w:rFonts w:ascii="仿宋" w:hAnsi="仿宋" w:eastAsia="仿宋" w:cs="仿宋"/>
          <w:color w:val="auto"/>
          <w:spacing w:val="-10"/>
          <w:sz w:val="24"/>
          <w:szCs w:val="24"/>
          <w:highlight w:val="none"/>
          <w:u w:val="single" w:color="auto"/>
        </w:rPr>
        <w:t>）</w:t>
      </w:r>
      <w:r>
        <w:rPr>
          <w:rFonts w:ascii="仿宋" w:hAnsi="仿宋" w:eastAsia="仿宋" w:cs="仿宋"/>
          <w:color w:val="auto"/>
          <w:spacing w:val="29"/>
          <w:sz w:val="24"/>
          <w:szCs w:val="24"/>
          <w:highlight w:val="none"/>
        </w:rPr>
        <w:t xml:space="preserve"> </w:t>
      </w:r>
      <w:r>
        <w:rPr>
          <w:rFonts w:ascii="仿宋" w:hAnsi="仿宋" w:eastAsia="仿宋" w:cs="仿宋"/>
          <w:color w:val="auto"/>
          <w:spacing w:val="-10"/>
          <w:sz w:val="24"/>
          <w:szCs w:val="24"/>
          <w:highlight w:val="none"/>
        </w:rPr>
        <w:t>，</w:t>
      </w:r>
      <w:r>
        <w:rPr>
          <w:rFonts w:ascii="仿宋" w:hAnsi="仿宋" w:eastAsia="仿宋" w:cs="仿宋"/>
          <w:color w:val="auto"/>
          <w:spacing w:val="-6"/>
          <w:sz w:val="24"/>
          <w:szCs w:val="24"/>
          <w:highlight w:val="none"/>
        </w:rPr>
        <w:t>属于</w:t>
      </w:r>
      <w:r>
        <w:rPr>
          <w:rFonts w:ascii="仿宋" w:hAnsi="仿宋" w:eastAsia="仿宋" w:cs="仿宋"/>
          <w:color w:val="auto"/>
          <w:spacing w:val="-6"/>
          <w:sz w:val="24"/>
          <w:szCs w:val="24"/>
          <w:highlight w:val="none"/>
          <w:u w:val="single" w:color="auto"/>
        </w:rPr>
        <w:t xml:space="preserve"> （采购文件中明确的所属行业</w:t>
      </w:r>
      <w:r>
        <w:rPr>
          <w:rFonts w:ascii="仿宋" w:hAnsi="仿宋" w:eastAsia="仿宋" w:cs="仿宋"/>
          <w:color w:val="auto"/>
          <w:spacing w:val="-10"/>
          <w:sz w:val="24"/>
          <w:szCs w:val="24"/>
          <w:highlight w:val="none"/>
          <w:u w:val="single" w:color="auto"/>
        </w:rPr>
        <w:t>）</w:t>
      </w:r>
      <w:r>
        <w:rPr>
          <w:rFonts w:ascii="仿宋" w:hAnsi="仿宋" w:eastAsia="仿宋" w:cs="仿宋"/>
          <w:color w:val="auto"/>
          <w:spacing w:val="-8"/>
          <w:sz w:val="24"/>
          <w:szCs w:val="24"/>
          <w:highlight w:val="none"/>
          <w:u w:val="single" w:color="auto"/>
        </w:rPr>
        <w:t xml:space="preserve"> </w:t>
      </w:r>
      <w:r>
        <w:rPr>
          <w:rFonts w:ascii="仿宋" w:hAnsi="仿宋" w:eastAsia="仿宋" w:cs="仿宋"/>
          <w:color w:val="auto"/>
          <w:spacing w:val="-87"/>
          <w:sz w:val="24"/>
          <w:szCs w:val="24"/>
          <w:highlight w:val="none"/>
        </w:rPr>
        <w:t xml:space="preserve"> </w:t>
      </w:r>
      <w:r>
        <w:rPr>
          <w:rFonts w:ascii="仿宋" w:hAnsi="仿宋" w:eastAsia="仿宋" w:cs="仿宋"/>
          <w:color w:val="auto"/>
          <w:spacing w:val="-10"/>
          <w:sz w:val="24"/>
          <w:szCs w:val="24"/>
          <w:highlight w:val="none"/>
        </w:rPr>
        <w:t>；</w:t>
      </w:r>
      <w:r>
        <w:rPr>
          <w:rFonts w:ascii="仿宋" w:hAnsi="仿宋" w:eastAsia="仿宋" w:cs="仿宋"/>
          <w:color w:val="auto"/>
          <w:spacing w:val="-6"/>
          <w:sz w:val="24"/>
          <w:szCs w:val="24"/>
          <w:highlight w:val="none"/>
        </w:rPr>
        <w:t>承建企业为</w:t>
      </w:r>
      <w:r>
        <w:rPr>
          <w:rFonts w:ascii="仿宋" w:hAnsi="仿宋" w:eastAsia="仿宋" w:cs="仿宋"/>
          <w:color w:val="auto"/>
          <w:sz w:val="24"/>
          <w:szCs w:val="24"/>
          <w:highlight w:val="none"/>
          <w:u w:val="single" w:color="auto"/>
        </w:rPr>
        <w:tab/>
      </w:r>
      <w:r>
        <w:rPr>
          <w:rFonts w:ascii="仿宋" w:hAnsi="仿宋" w:eastAsia="仿宋" w:cs="仿宋"/>
          <w:color w:val="auto"/>
          <w:spacing w:val="-10"/>
          <w:sz w:val="24"/>
          <w:szCs w:val="24"/>
          <w:highlight w:val="none"/>
          <w:u w:val="single" w:color="auto"/>
        </w:rPr>
        <w:t>（企业名称</w:t>
      </w:r>
      <w:r>
        <w:rPr>
          <w:rFonts w:ascii="仿宋" w:hAnsi="仿宋" w:eastAsia="仿宋" w:cs="仿宋"/>
          <w:color w:val="auto"/>
          <w:spacing w:val="-9"/>
          <w:sz w:val="24"/>
          <w:szCs w:val="24"/>
          <w:highlight w:val="none"/>
          <w:u w:val="single" w:color="auto"/>
        </w:rPr>
        <w:t>）</w:t>
      </w:r>
      <w:r>
        <w:rPr>
          <w:rFonts w:ascii="仿宋" w:hAnsi="仿宋" w:eastAsia="仿宋" w:cs="仿宋"/>
          <w:color w:val="auto"/>
          <w:spacing w:val="-11"/>
          <w:sz w:val="24"/>
          <w:szCs w:val="24"/>
          <w:highlight w:val="none"/>
          <w:u w:val="single" w:color="auto"/>
        </w:rPr>
        <w:t xml:space="preserve"> </w:t>
      </w:r>
      <w:r>
        <w:rPr>
          <w:rFonts w:ascii="仿宋" w:hAnsi="仿宋" w:eastAsia="仿宋" w:cs="仿宋"/>
          <w:color w:val="auto"/>
          <w:spacing w:val="-86"/>
          <w:sz w:val="24"/>
          <w:szCs w:val="24"/>
          <w:highlight w:val="none"/>
        </w:rPr>
        <w:t xml:space="preserve"> </w:t>
      </w:r>
      <w:r>
        <w:rPr>
          <w:rFonts w:ascii="仿宋" w:hAnsi="仿宋" w:eastAsia="仿宋" w:cs="仿宋"/>
          <w:color w:val="auto"/>
          <w:spacing w:val="-9"/>
          <w:sz w:val="24"/>
          <w:szCs w:val="24"/>
          <w:highlight w:val="none"/>
        </w:rPr>
        <w:t>，</w:t>
      </w:r>
      <w:r>
        <w:rPr>
          <w:rFonts w:ascii="仿宋" w:hAnsi="仿宋" w:eastAsia="仿宋" w:cs="仿宋"/>
          <w:color w:val="auto"/>
          <w:spacing w:val="-10"/>
          <w:sz w:val="24"/>
          <w:szCs w:val="24"/>
          <w:highlight w:val="none"/>
        </w:rPr>
        <w:t>从业人员</w:t>
      </w:r>
      <w:r>
        <w:rPr>
          <w:rFonts w:ascii="仿宋" w:hAnsi="仿宋" w:eastAsia="仿宋" w:cs="仿宋"/>
          <w:color w:val="auto"/>
          <w:spacing w:val="-10"/>
          <w:sz w:val="24"/>
          <w:szCs w:val="24"/>
          <w:highlight w:val="none"/>
          <w:u w:val="single" w:color="auto"/>
        </w:rPr>
        <w:t xml:space="preserve">   </w:t>
      </w:r>
      <w:r>
        <w:rPr>
          <w:rFonts w:ascii="仿宋" w:hAnsi="仿宋" w:eastAsia="仿宋" w:cs="仿宋"/>
          <w:color w:val="auto"/>
          <w:spacing w:val="-100"/>
          <w:sz w:val="24"/>
          <w:szCs w:val="24"/>
          <w:highlight w:val="none"/>
        </w:rPr>
        <w:t xml:space="preserve"> </w:t>
      </w:r>
      <w:r>
        <w:rPr>
          <w:rFonts w:ascii="仿宋" w:hAnsi="仿宋" w:eastAsia="仿宋" w:cs="仿宋"/>
          <w:color w:val="auto"/>
          <w:spacing w:val="-10"/>
          <w:sz w:val="24"/>
          <w:szCs w:val="24"/>
          <w:highlight w:val="none"/>
        </w:rPr>
        <w:t>人，营业收入为</w:t>
      </w:r>
      <w:r>
        <w:rPr>
          <w:rFonts w:ascii="仿宋" w:hAnsi="仿宋" w:eastAsia="仿宋" w:cs="仿宋"/>
          <w:color w:val="auto"/>
          <w:spacing w:val="51"/>
          <w:sz w:val="24"/>
          <w:szCs w:val="24"/>
          <w:highlight w:val="none"/>
          <w:u w:val="single" w:color="auto"/>
        </w:rPr>
        <w:t xml:space="preserve">  </w:t>
      </w:r>
      <w:r>
        <w:rPr>
          <w:rFonts w:ascii="仿宋" w:hAnsi="仿宋" w:eastAsia="仿宋" w:cs="仿宋"/>
          <w:color w:val="auto"/>
          <w:spacing w:val="-101"/>
          <w:sz w:val="24"/>
          <w:szCs w:val="24"/>
          <w:highlight w:val="none"/>
        </w:rPr>
        <w:t xml:space="preserve"> </w:t>
      </w:r>
      <w:r>
        <w:rPr>
          <w:rFonts w:ascii="仿宋" w:hAnsi="仿宋" w:eastAsia="仿宋" w:cs="仿宋"/>
          <w:color w:val="auto"/>
          <w:spacing w:val="-10"/>
          <w:sz w:val="24"/>
          <w:szCs w:val="24"/>
          <w:highlight w:val="none"/>
        </w:rPr>
        <w:t>万元，资产总额为</w:t>
      </w:r>
      <w:r>
        <w:rPr>
          <w:rFonts w:ascii="仿宋" w:hAnsi="仿宋" w:eastAsia="仿宋" w:cs="仿宋"/>
          <w:color w:val="auto"/>
          <w:spacing w:val="-10"/>
          <w:sz w:val="24"/>
          <w:szCs w:val="24"/>
          <w:highlight w:val="none"/>
          <w:u w:val="single" w:color="auto"/>
        </w:rPr>
        <w:t xml:space="preserve">   </w:t>
      </w:r>
      <w:r>
        <w:rPr>
          <w:rFonts w:ascii="仿宋" w:hAnsi="仿宋" w:eastAsia="仿宋" w:cs="仿宋"/>
          <w:color w:val="auto"/>
          <w:spacing w:val="-102"/>
          <w:sz w:val="24"/>
          <w:szCs w:val="24"/>
          <w:highlight w:val="none"/>
        </w:rPr>
        <w:t xml:space="preserve"> </w:t>
      </w:r>
      <w:r>
        <w:rPr>
          <w:rFonts w:ascii="仿宋" w:hAnsi="仿宋" w:eastAsia="仿宋" w:cs="仿宋"/>
          <w:color w:val="auto"/>
          <w:spacing w:val="-10"/>
          <w:sz w:val="24"/>
          <w:szCs w:val="24"/>
          <w:highlight w:val="none"/>
        </w:rPr>
        <w:t>万元，</w:t>
      </w:r>
    </w:p>
    <w:p w14:paraId="6E0BE19D">
      <w:pPr>
        <w:spacing w:line="222" w:lineRule="auto"/>
        <w:ind w:left="63"/>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属于</w:t>
      </w:r>
      <w:r>
        <w:rPr>
          <w:rFonts w:ascii="仿宋" w:hAnsi="仿宋" w:eastAsia="仿宋" w:cs="仿宋"/>
          <w:color w:val="auto"/>
          <w:spacing w:val="-5"/>
          <w:sz w:val="24"/>
          <w:szCs w:val="24"/>
          <w:highlight w:val="none"/>
          <w:u w:val="single" w:color="auto"/>
        </w:rPr>
        <w:t xml:space="preserve"> （中型企业、小型企业、微型企业</w:t>
      </w:r>
      <w:r>
        <w:rPr>
          <w:rFonts w:ascii="仿宋" w:hAnsi="仿宋" w:eastAsia="仿宋" w:cs="仿宋"/>
          <w:color w:val="auto"/>
          <w:sz w:val="24"/>
          <w:szCs w:val="24"/>
          <w:highlight w:val="none"/>
          <w:u w:val="single" w:color="auto"/>
        </w:rPr>
        <w:t>）</w:t>
      </w:r>
      <w:r>
        <w:rPr>
          <w:rFonts w:ascii="仿宋" w:hAnsi="仿宋" w:eastAsia="仿宋" w:cs="仿宋"/>
          <w:color w:val="auto"/>
          <w:spacing w:val="-7"/>
          <w:sz w:val="24"/>
          <w:szCs w:val="24"/>
          <w:highlight w:val="none"/>
          <w:u w:val="single" w:color="auto"/>
        </w:rPr>
        <w:t xml:space="preserve"> </w:t>
      </w:r>
      <w:r>
        <w:rPr>
          <w:rFonts w:ascii="仿宋" w:hAnsi="仿宋" w:eastAsia="仿宋" w:cs="仿宋"/>
          <w:color w:val="auto"/>
          <w:sz w:val="24"/>
          <w:szCs w:val="24"/>
          <w:highlight w:val="none"/>
        </w:rPr>
        <w:t>；</w:t>
      </w:r>
    </w:p>
    <w:p w14:paraId="53FE3FD6">
      <w:pPr>
        <w:tabs>
          <w:tab w:val="left" w:pos="182"/>
        </w:tabs>
        <w:spacing w:before="195" w:line="309" w:lineRule="auto"/>
        <w:ind w:left="47" w:right="145" w:firstLine="491"/>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w:t>
      </w:r>
      <w:r>
        <w:rPr>
          <w:rFonts w:ascii="仿宋" w:hAnsi="仿宋" w:eastAsia="仿宋" w:cs="仿宋"/>
          <w:color w:val="auto"/>
          <w:spacing w:val="110"/>
          <w:sz w:val="24"/>
          <w:szCs w:val="24"/>
          <w:highlight w:val="none"/>
          <w:u w:val="single" w:color="auto"/>
        </w:rPr>
        <w:t xml:space="preserve"> </w:t>
      </w:r>
      <w:r>
        <w:rPr>
          <w:rFonts w:ascii="仿宋" w:hAnsi="仿宋" w:eastAsia="仿宋" w:cs="仿宋"/>
          <w:color w:val="auto"/>
          <w:spacing w:val="-5"/>
          <w:sz w:val="24"/>
          <w:szCs w:val="24"/>
          <w:highlight w:val="none"/>
          <w:u w:val="single" w:color="auto"/>
        </w:rPr>
        <w:t>（标的名称</w:t>
      </w:r>
      <w:r>
        <w:rPr>
          <w:rFonts w:ascii="仿宋" w:hAnsi="仿宋" w:eastAsia="仿宋" w:cs="仿宋"/>
          <w:color w:val="auto"/>
          <w:spacing w:val="-14"/>
          <w:sz w:val="24"/>
          <w:szCs w:val="24"/>
          <w:highlight w:val="none"/>
          <w:u w:val="single" w:color="auto"/>
        </w:rPr>
        <w:t>）</w:t>
      </w:r>
      <w:r>
        <w:rPr>
          <w:rFonts w:ascii="仿宋" w:hAnsi="仿宋" w:eastAsia="仿宋" w:cs="仿宋"/>
          <w:color w:val="auto"/>
          <w:spacing w:val="28"/>
          <w:sz w:val="24"/>
          <w:szCs w:val="24"/>
          <w:highlight w:val="none"/>
        </w:rPr>
        <w:t xml:space="preserve"> </w:t>
      </w:r>
      <w:r>
        <w:rPr>
          <w:rFonts w:ascii="仿宋" w:hAnsi="仿宋" w:eastAsia="仿宋" w:cs="仿宋"/>
          <w:color w:val="auto"/>
          <w:spacing w:val="-14"/>
          <w:sz w:val="24"/>
          <w:szCs w:val="24"/>
          <w:highlight w:val="none"/>
        </w:rPr>
        <w:t>，</w:t>
      </w:r>
      <w:r>
        <w:rPr>
          <w:rFonts w:ascii="仿宋" w:hAnsi="仿宋" w:eastAsia="仿宋" w:cs="仿宋"/>
          <w:color w:val="auto"/>
          <w:spacing w:val="-5"/>
          <w:sz w:val="24"/>
          <w:szCs w:val="24"/>
          <w:highlight w:val="none"/>
        </w:rPr>
        <w:t>属于</w:t>
      </w:r>
      <w:r>
        <w:rPr>
          <w:rFonts w:ascii="仿宋" w:hAnsi="仿宋" w:eastAsia="仿宋" w:cs="仿宋"/>
          <w:color w:val="auto"/>
          <w:spacing w:val="-5"/>
          <w:sz w:val="24"/>
          <w:szCs w:val="24"/>
          <w:highlight w:val="none"/>
          <w:u w:val="single" w:color="auto"/>
        </w:rPr>
        <w:t xml:space="preserve"> （采购文件中明确的所属行业</w:t>
      </w:r>
      <w:r>
        <w:rPr>
          <w:rFonts w:ascii="仿宋" w:hAnsi="仿宋" w:eastAsia="仿宋" w:cs="仿宋"/>
          <w:color w:val="auto"/>
          <w:spacing w:val="-14"/>
          <w:sz w:val="24"/>
          <w:szCs w:val="24"/>
          <w:highlight w:val="none"/>
          <w:u w:val="single" w:color="auto"/>
        </w:rPr>
        <w:t>）</w:t>
      </w:r>
      <w:r>
        <w:rPr>
          <w:rFonts w:ascii="仿宋" w:hAnsi="仿宋" w:eastAsia="仿宋" w:cs="仿宋"/>
          <w:color w:val="auto"/>
          <w:spacing w:val="-8"/>
          <w:sz w:val="24"/>
          <w:szCs w:val="24"/>
          <w:highlight w:val="none"/>
          <w:u w:val="single" w:color="auto"/>
        </w:rPr>
        <w:t xml:space="preserve"> </w:t>
      </w:r>
      <w:r>
        <w:rPr>
          <w:rFonts w:ascii="仿宋" w:hAnsi="仿宋" w:eastAsia="仿宋" w:cs="仿宋"/>
          <w:color w:val="auto"/>
          <w:spacing w:val="-86"/>
          <w:sz w:val="24"/>
          <w:szCs w:val="24"/>
          <w:highlight w:val="none"/>
        </w:rPr>
        <w:t xml:space="preserve"> </w:t>
      </w:r>
      <w:r>
        <w:rPr>
          <w:rFonts w:ascii="仿宋" w:hAnsi="仿宋" w:eastAsia="仿宋" w:cs="仿宋"/>
          <w:color w:val="auto"/>
          <w:spacing w:val="-14"/>
          <w:sz w:val="24"/>
          <w:szCs w:val="24"/>
          <w:highlight w:val="none"/>
        </w:rPr>
        <w:t>；</w:t>
      </w:r>
      <w:r>
        <w:rPr>
          <w:rFonts w:ascii="仿宋" w:hAnsi="仿宋" w:eastAsia="仿宋" w:cs="仿宋"/>
          <w:color w:val="auto"/>
          <w:spacing w:val="-5"/>
          <w:sz w:val="24"/>
          <w:szCs w:val="24"/>
          <w:highlight w:val="none"/>
        </w:rPr>
        <w:t>承建企业为</w:t>
      </w:r>
      <w:r>
        <w:rPr>
          <w:rFonts w:ascii="仿宋" w:hAnsi="仿宋" w:eastAsia="仿宋" w:cs="仿宋"/>
          <w:color w:val="auto"/>
          <w:sz w:val="24"/>
          <w:szCs w:val="24"/>
          <w:highlight w:val="none"/>
          <w:u w:val="single" w:color="auto"/>
        </w:rPr>
        <w:tab/>
      </w:r>
      <w:r>
        <w:rPr>
          <w:rFonts w:ascii="仿宋" w:hAnsi="仿宋" w:eastAsia="仿宋" w:cs="仿宋"/>
          <w:color w:val="auto"/>
          <w:spacing w:val="-10"/>
          <w:sz w:val="24"/>
          <w:szCs w:val="24"/>
          <w:highlight w:val="none"/>
          <w:u w:val="single" w:color="auto"/>
        </w:rPr>
        <w:t>（企业名称</w:t>
      </w:r>
      <w:r>
        <w:rPr>
          <w:rFonts w:ascii="仿宋" w:hAnsi="仿宋" w:eastAsia="仿宋" w:cs="仿宋"/>
          <w:color w:val="auto"/>
          <w:spacing w:val="-9"/>
          <w:sz w:val="24"/>
          <w:szCs w:val="24"/>
          <w:highlight w:val="none"/>
          <w:u w:val="single" w:color="auto"/>
        </w:rPr>
        <w:t>）</w:t>
      </w:r>
      <w:r>
        <w:rPr>
          <w:rFonts w:ascii="仿宋" w:hAnsi="仿宋" w:eastAsia="仿宋" w:cs="仿宋"/>
          <w:color w:val="auto"/>
          <w:spacing w:val="-11"/>
          <w:sz w:val="24"/>
          <w:szCs w:val="24"/>
          <w:highlight w:val="none"/>
          <w:u w:val="single" w:color="auto"/>
        </w:rPr>
        <w:t xml:space="preserve"> </w:t>
      </w:r>
      <w:r>
        <w:rPr>
          <w:rFonts w:ascii="仿宋" w:hAnsi="仿宋" w:eastAsia="仿宋" w:cs="仿宋"/>
          <w:color w:val="auto"/>
          <w:spacing w:val="-86"/>
          <w:sz w:val="24"/>
          <w:szCs w:val="24"/>
          <w:highlight w:val="none"/>
        </w:rPr>
        <w:t xml:space="preserve"> </w:t>
      </w:r>
      <w:r>
        <w:rPr>
          <w:rFonts w:ascii="仿宋" w:hAnsi="仿宋" w:eastAsia="仿宋" w:cs="仿宋"/>
          <w:color w:val="auto"/>
          <w:spacing w:val="-9"/>
          <w:sz w:val="24"/>
          <w:szCs w:val="24"/>
          <w:highlight w:val="none"/>
        </w:rPr>
        <w:t>，</w:t>
      </w:r>
      <w:r>
        <w:rPr>
          <w:rFonts w:ascii="仿宋" w:hAnsi="仿宋" w:eastAsia="仿宋" w:cs="仿宋"/>
          <w:color w:val="auto"/>
          <w:spacing w:val="-10"/>
          <w:sz w:val="24"/>
          <w:szCs w:val="24"/>
          <w:highlight w:val="none"/>
        </w:rPr>
        <w:t>从业人员</w:t>
      </w:r>
      <w:r>
        <w:rPr>
          <w:rFonts w:ascii="仿宋" w:hAnsi="仿宋" w:eastAsia="仿宋" w:cs="仿宋"/>
          <w:color w:val="auto"/>
          <w:spacing w:val="-10"/>
          <w:sz w:val="24"/>
          <w:szCs w:val="24"/>
          <w:highlight w:val="none"/>
          <w:u w:val="single" w:color="auto"/>
        </w:rPr>
        <w:t xml:space="preserve">   </w:t>
      </w:r>
      <w:r>
        <w:rPr>
          <w:rFonts w:ascii="仿宋" w:hAnsi="仿宋" w:eastAsia="仿宋" w:cs="仿宋"/>
          <w:color w:val="auto"/>
          <w:spacing w:val="-100"/>
          <w:sz w:val="24"/>
          <w:szCs w:val="24"/>
          <w:highlight w:val="none"/>
        </w:rPr>
        <w:t xml:space="preserve"> </w:t>
      </w:r>
      <w:r>
        <w:rPr>
          <w:rFonts w:ascii="仿宋" w:hAnsi="仿宋" w:eastAsia="仿宋" w:cs="仿宋"/>
          <w:color w:val="auto"/>
          <w:spacing w:val="-10"/>
          <w:sz w:val="24"/>
          <w:szCs w:val="24"/>
          <w:highlight w:val="none"/>
        </w:rPr>
        <w:t>人，营业收入为</w:t>
      </w:r>
      <w:r>
        <w:rPr>
          <w:rFonts w:ascii="仿宋" w:hAnsi="仿宋" w:eastAsia="仿宋" w:cs="仿宋"/>
          <w:color w:val="auto"/>
          <w:spacing w:val="51"/>
          <w:sz w:val="24"/>
          <w:szCs w:val="24"/>
          <w:highlight w:val="none"/>
          <w:u w:val="single" w:color="auto"/>
        </w:rPr>
        <w:t xml:space="preserve">  </w:t>
      </w:r>
      <w:r>
        <w:rPr>
          <w:rFonts w:ascii="仿宋" w:hAnsi="仿宋" w:eastAsia="仿宋" w:cs="仿宋"/>
          <w:color w:val="auto"/>
          <w:spacing w:val="-101"/>
          <w:sz w:val="24"/>
          <w:szCs w:val="24"/>
          <w:highlight w:val="none"/>
        </w:rPr>
        <w:t xml:space="preserve"> </w:t>
      </w:r>
      <w:r>
        <w:rPr>
          <w:rFonts w:ascii="仿宋" w:hAnsi="仿宋" w:eastAsia="仿宋" w:cs="仿宋"/>
          <w:color w:val="auto"/>
          <w:spacing w:val="-10"/>
          <w:sz w:val="24"/>
          <w:szCs w:val="24"/>
          <w:highlight w:val="none"/>
        </w:rPr>
        <w:t>万元，资产总额为</w:t>
      </w:r>
      <w:r>
        <w:rPr>
          <w:rFonts w:ascii="仿宋" w:hAnsi="仿宋" w:eastAsia="仿宋" w:cs="仿宋"/>
          <w:color w:val="auto"/>
          <w:spacing w:val="-10"/>
          <w:sz w:val="24"/>
          <w:szCs w:val="24"/>
          <w:highlight w:val="none"/>
          <w:u w:val="single" w:color="auto"/>
        </w:rPr>
        <w:t xml:space="preserve">   </w:t>
      </w:r>
      <w:r>
        <w:rPr>
          <w:rFonts w:ascii="仿宋" w:hAnsi="仿宋" w:eastAsia="仿宋" w:cs="仿宋"/>
          <w:color w:val="auto"/>
          <w:spacing w:val="-102"/>
          <w:sz w:val="24"/>
          <w:szCs w:val="24"/>
          <w:highlight w:val="none"/>
        </w:rPr>
        <w:t xml:space="preserve"> </w:t>
      </w:r>
      <w:r>
        <w:rPr>
          <w:rFonts w:ascii="仿宋" w:hAnsi="仿宋" w:eastAsia="仿宋" w:cs="仿宋"/>
          <w:color w:val="auto"/>
          <w:spacing w:val="-10"/>
          <w:sz w:val="24"/>
          <w:szCs w:val="24"/>
          <w:highlight w:val="none"/>
        </w:rPr>
        <w:t>万元，</w:t>
      </w:r>
    </w:p>
    <w:p w14:paraId="7BA7EC95">
      <w:pPr>
        <w:spacing w:before="2" w:line="222" w:lineRule="auto"/>
        <w:ind w:left="63"/>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属于</w:t>
      </w:r>
      <w:r>
        <w:rPr>
          <w:rFonts w:ascii="仿宋" w:hAnsi="仿宋" w:eastAsia="仿宋" w:cs="仿宋"/>
          <w:color w:val="auto"/>
          <w:spacing w:val="-5"/>
          <w:sz w:val="24"/>
          <w:szCs w:val="24"/>
          <w:highlight w:val="none"/>
          <w:u w:val="single" w:color="auto"/>
        </w:rPr>
        <w:t xml:space="preserve"> （中型企业、小型企业、微型企业</w:t>
      </w:r>
      <w:r>
        <w:rPr>
          <w:rFonts w:ascii="仿宋" w:hAnsi="仿宋" w:eastAsia="仿宋" w:cs="仿宋"/>
          <w:color w:val="auto"/>
          <w:sz w:val="24"/>
          <w:szCs w:val="24"/>
          <w:highlight w:val="none"/>
          <w:u w:val="single" w:color="auto"/>
        </w:rPr>
        <w:t>）</w:t>
      </w:r>
      <w:r>
        <w:rPr>
          <w:rFonts w:ascii="仿宋" w:hAnsi="仿宋" w:eastAsia="仿宋" w:cs="仿宋"/>
          <w:color w:val="auto"/>
          <w:spacing w:val="-7"/>
          <w:sz w:val="24"/>
          <w:szCs w:val="24"/>
          <w:highlight w:val="none"/>
          <w:u w:val="single" w:color="auto"/>
        </w:rPr>
        <w:t xml:space="preserve"> </w:t>
      </w:r>
      <w:r>
        <w:rPr>
          <w:rFonts w:ascii="仿宋" w:hAnsi="仿宋" w:eastAsia="仿宋" w:cs="仿宋"/>
          <w:color w:val="auto"/>
          <w:sz w:val="24"/>
          <w:szCs w:val="24"/>
          <w:highlight w:val="none"/>
        </w:rPr>
        <w:t>；</w:t>
      </w:r>
    </w:p>
    <w:p w14:paraId="56286BAF">
      <w:pPr>
        <w:spacing w:before="196" w:line="383" w:lineRule="exact"/>
        <w:ind w:left="552"/>
        <w:rPr>
          <w:rFonts w:ascii="仿宋" w:hAnsi="仿宋" w:eastAsia="仿宋" w:cs="仿宋"/>
          <w:color w:val="auto"/>
          <w:sz w:val="24"/>
          <w:szCs w:val="24"/>
          <w:highlight w:val="none"/>
        </w:rPr>
      </w:pPr>
      <w:r>
        <w:rPr>
          <w:rFonts w:ascii="仿宋" w:hAnsi="仿宋" w:eastAsia="仿宋" w:cs="仿宋"/>
          <w:color w:val="auto"/>
          <w:spacing w:val="-13"/>
          <w:position w:val="3"/>
          <w:sz w:val="24"/>
          <w:szCs w:val="24"/>
          <w:highlight w:val="none"/>
        </w:rPr>
        <w:t>……</w:t>
      </w:r>
    </w:p>
    <w:p w14:paraId="13708B91">
      <w:pPr>
        <w:spacing w:before="99" w:line="310" w:lineRule="auto"/>
        <w:ind w:left="71" w:right="306" w:firstLine="496"/>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以上企业，不属于大企业的分支机构，不存在控股股东为大企业的情形，</w:t>
      </w:r>
      <w:r>
        <w:rPr>
          <w:rFonts w:ascii="仿宋" w:hAnsi="仿宋" w:eastAsia="仿宋" w:cs="仿宋"/>
          <w:color w:val="auto"/>
          <w:spacing w:val="-5"/>
          <w:sz w:val="24"/>
          <w:szCs w:val="24"/>
          <w:highlight w:val="none"/>
        </w:rPr>
        <w:t>也不存在与大企业的负责人为同一人的情形。</w:t>
      </w:r>
    </w:p>
    <w:p w14:paraId="035814BD">
      <w:pPr>
        <w:spacing w:before="80" w:line="220" w:lineRule="auto"/>
        <w:ind w:left="544"/>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本企业对上述声明内容的真实性负责。如有虚假</w:t>
      </w:r>
      <w:r>
        <w:rPr>
          <w:rFonts w:ascii="仿宋" w:hAnsi="仿宋" w:eastAsia="仿宋" w:cs="仿宋"/>
          <w:color w:val="auto"/>
          <w:spacing w:val="-5"/>
          <w:sz w:val="24"/>
          <w:szCs w:val="24"/>
          <w:highlight w:val="none"/>
        </w:rPr>
        <w:t>，将依法承担相应责任。</w:t>
      </w:r>
    </w:p>
    <w:p w14:paraId="2E521FED">
      <w:pPr>
        <w:spacing w:before="199" w:line="221" w:lineRule="auto"/>
        <w:ind w:right="18"/>
        <w:jc w:val="right"/>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企业名称（盖章</w:t>
      </w:r>
      <w:r>
        <w:rPr>
          <w:rFonts w:ascii="仿宋" w:hAnsi="仿宋" w:eastAsia="仿宋" w:cs="仿宋"/>
          <w:color w:val="auto"/>
          <w:spacing w:val="5"/>
          <w:sz w:val="24"/>
          <w:szCs w:val="24"/>
          <w:highlight w:val="none"/>
        </w:rPr>
        <w:t>）：</w:t>
      </w:r>
    </w:p>
    <w:p w14:paraId="4258AC80">
      <w:pPr>
        <w:spacing w:before="197" w:line="223" w:lineRule="auto"/>
        <w:ind w:left="7558"/>
        <w:rPr>
          <w:rFonts w:ascii="仿宋" w:hAnsi="仿宋" w:eastAsia="仿宋" w:cs="仿宋"/>
          <w:color w:val="auto"/>
          <w:sz w:val="24"/>
          <w:szCs w:val="24"/>
          <w:highlight w:val="none"/>
        </w:rPr>
      </w:pPr>
      <w:r>
        <w:rPr>
          <w:rFonts w:ascii="仿宋" w:hAnsi="仿宋" w:eastAsia="仿宋" w:cs="仿宋"/>
          <w:color w:val="auto"/>
          <w:spacing w:val="-18"/>
          <w:sz w:val="24"/>
          <w:szCs w:val="24"/>
          <w:highlight w:val="none"/>
        </w:rPr>
        <w:t>日期：</w:t>
      </w:r>
    </w:p>
    <w:p w14:paraId="03B398CF">
      <w:pPr>
        <w:pStyle w:val="3"/>
        <w:spacing w:line="351" w:lineRule="auto"/>
        <w:rPr>
          <w:color w:val="auto"/>
          <w:highlight w:val="none"/>
        </w:rPr>
      </w:pPr>
    </w:p>
    <w:p w14:paraId="5996F205">
      <w:pPr>
        <w:pStyle w:val="3"/>
        <w:spacing w:line="352" w:lineRule="auto"/>
        <w:rPr>
          <w:color w:val="auto"/>
          <w:highlight w:val="none"/>
        </w:rPr>
      </w:pPr>
    </w:p>
    <w:p w14:paraId="42764CA0">
      <w:pPr>
        <w:spacing w:before="59" w:line="277" w:lineRule="exact"/>
        <w:ind w:left="17"/>
        <w:rPr>
          <w:rFonts w:ascii="仿宋" w:hAnsi="仿宋" w:eastAsia="仿宋" w:cs="仿宋"/>
          <w:color w:val="auto"/>
          <w:sz w:val="18"/>
          <w:szCs w:val="18"/>
          <w:highlight w:val="none"/>
        </w:rPr>
      </w:pPr>
      <w:r>
        <w:rPr>
          <w:rFonts w:ascii="仿宋" w:hAnsi="仿宋" w:eastAsia="仿宋" w:cs="仿宋"/>
          <w:color w:val="auto"/>
          <w:spacing w:val="15"/>
          <w:position w:val="10"/>
          <w:sz w:val="12"/>
          <w:szCs w:val="12"/>
          <w:highlight w:val="none"/>
        </w:rPr>
        <w:t xml:space="preserve">1 </w:t>
      </w:r>
      <w:r>
        <w:rPr>
          <w:rFonts w:ascii="仿宋" w:hAnsi="仿宋" w:eastAsia="仿宋" w:cs="仿宋"/>
          <w:color w:val="auto"/>
          <w:spacing w:val="15"/>
          <w:sz w:val="18"/>
          <w:szCs w:val="18"/>
          <w:highlight w:val="none"/>
        </w:rPr>
        <w:t>从业人员、营业收入、</w:t>
      </w:r>
      <w:r>
        <w:rPr>
          <w:rFonts w:ascii="仿宋" w:hAnsi="仿宋" w:eastAsia="仿宋" w:cs="仿宋"/>
          <w:color w:val="auto"/>
          <w:spacing w:val="-39"/>
          <w:sz w:val="18"/>
          <w:szCs w:val="18"/>
          <w:highlight w:val="none"/>
        </w:rPr>
        <w:t xml:space="preserve"> </w:t>
      </w:r>
      <w:r>
        <w:rPr>
          <w:rFonts w:ascii="仿宋" w:hAnsi="仿宋" w:eastAsia="仿宋" w:cs="仿宋"/>
          <w:color w:val="auto"/>
          <w:spacing w:val="15"/>
          <w:sz w:val="18"/>
          <w:szCs w:val="18"/>
          <w:highlight w:val="none"/>
        </w:rPr>
        <w:t>资产总额填报上一年度数据，无上一年度数据的新成立企业可不填报。</w:t>
      </w:r>
    </w:p>
    <w:p w14:paraId="6884297F">
      <w:pPr>
        <w:pStyle w:val="3"/>
        <w:spacing w:line="257" w:lineRule="auto"/>
        <w:rPr>
          <w:color w:val="auto"/>
          <w:highlight w:val="none"/>
        </w:rPr>
      </w:pPr>
    </w:p>
    <w:p w14:paraId="46FB2874">
      <w:pPr>
        <w:spacing w:before="79" w:line="220" w:lineRule="auto"/>
        <w:ind w:left="27"/>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注：符合中小企业划型标准的企业请提供本函，不符合的不提供</w:t>
      </w:r>
      <w:r>
        <w:rPr>
          <w:rFonts w:ascii="仿宋" w:hAnsi="仿宋" w:eastAsia="仿宋" w:cs="仿宋"/>
          <w:color w:val="auto"/>
          <w:spacing w:val="-2"/>
          <w:sz w:val="24"/>
          <w:szCs w:val="24"/>
          <w:highlight w:val="none"/>
        </w:rPr>
        <w:t>本函。</w:t>
      </w:r>
    </w:p>
    <w:p w14:paraId="3611C2B9">
      <w:pPr>
        <w:spacing w:line="220" w:lineRule="auto"/>
        <w:rPr>
          <w:rFonts w:ascii="仿宋" w:hAnsi="仿宋" w:eastAsia="仿宋" w:cs="仿宋"/>
          <w:color w:val="auto"/>
          <w:sz w:val="24"/>
          <w:szCs w:val="24"/>
          <w:highlight w:val="none"/>
        </w:rPr>
        <w:sectPr>
          <w:footerReference r:id="rId79" w:type="default"/>
          <w:pgSz w:w="11906" w:h="16840"/>
          <w:pgMar w:top="400" w:right="1785" w:bottom="1161" w:left="1785" w:header="0" w:footer="915" w:gutter="0"/>
          <w:pgNumType w:fmt="decimal"/>
          <w:cols w:space="720" w:num="1"/>
        </w:sectPr>
      </w:pPr>
    </w:p>
    <w:p w14:paraId="7B04266C">
      <w:pPr>
        <w:pStyle w:val="3"/>
        <w:spacing w:line="291" w:lineRule="auto"/>
        <w:rPr>
          <w:color w:val="auto"/>
          <w:highlight w:val="none"/>
        </w:rPr>
      </w:pPr>
    </w:p>
    <w:p w14:paraId="7B4D8790">
      <w:pPr>
        <w:pStyle w:val="3"/>
        <w:spacing w:line="291" w:lineRule="auto"/>
        <w:rPr>
          <w:color w:val="auto"/>
          <w:highlight w:val="none"/>
        </w:rPr>
      </w:pPr>
    </w:p>
    <w:p w14:paraId="32FCE098">
      <w:pPr>
        <w:pStyle w:val="3"/>
        <w:spacing w:line="291" w:lineRule="auto"/>
        <w:rPr>
          <w:color w:val="auto"/>
          <w:highlight w:val="none"/>
        </w:rPr>
      </w:pPr>
    </w:p>
    <w:p w14:paraId="59718AF6">
      <w:pPr>
        <w:spacing w:before="91" w:line="215" w:lineRule="auto"/>
        <w:ind w:left="1901"/>
        <w:rPr>
          <w:rFonts w:ascii="仿宋" w:hAnsi="仿宋" w:eastAsia="仿宋" w:cs="仿宋"/>
          <w:color w:val="auto"/>
          <w:sz w:val="28"/>
          <w:szCs w:val="28"/>
          <w:highlight w:val="none"/>
        </w:rPr>
      </w:pPr>
      <w:r>
        <w:rPr>
          <w:rFonts w:ascii="仿宋" w:hAnsi="仿宋" w:eastAsia="仿宋" w:cs="仿宋"/>
          <w:b/>
          <w:bCs/>
          <w:color w:val="auto"/>
          <w:spacing w:val="-10"/>
          <w:sz w:val="28"/>
          <w:szCs w:val="28"/>
          <w:highlight w:val="none"/>
        </w:rPr>
        <w:t>中小企业划型标准规定（工信部联企业〔2011〕300</w:t>
      </w:r>
      <w:r>
        <w:rPr>
          <w:rFonts w:ascii="仿宋" w:hAnsi="仿宋" w:eastAsia="仿宋" w:cs="仿宋"/>
          <w:color w:val="auto"/>
          <w:spacing w:val="-10"/>
          <w:sz w:val="28"/>
          <w:szCs w:val="28"/>
          <w:highlight w:val="none"/>
        </w:rPr>
        <w:t xml:space="preserve"> </w:t>
      </w:r>
      <w:r>
        <w:rPr>
          <w:rFonts w:ascii="仿宋" w:hAnsi="仿宋" w:eastAsia="仿宋" w:cs="仿宋"/>
          <w:b/>
          <w:bCs/>
          <w:color w:val="auto"/>
          <w:spacing w:val="-10"/>
          <w:sz w:val="28"/>
          <w:szCs w:val="28"/>
          <w:highlight w:val="none"/>
        </w:rPr>
        <w:t>号）</w:t>
      </w:r>
    </w:p>
    <w:tbl>
      <w:tblPr>
        <w:tblStyle w:val="11"/>
        <w:tblW w:w="10927"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759"/>
        <w:gridCol w:w="859"/>
        <w:gridCol w:w="810"/>
        <w:gridCol w:w="743"/>
        <w:gridCol w:w="907"/>
        <w:gridCol w:w="713"/>
        <w:gridCol w:w="761"/>
        <w:gridCol w:w="760"/>
        <w:gridCol w:w="679"/>
        <w:gridCol w:w="773"/>
        <w:gridCol w:w="693"/>
        <w:gridCol w:w="800"/>
      </w:tblGrid>
      <w:tr w14:paraId="60877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670" w:type="dxa"/>
            <w:vMerge w:val="restart"/>
            <w:tcBorders>
              <w:top w:val="single" w:color="000000" w:sz="8" w:space="0"/>
              <w:left w:val="single" w:color="000000" w:sz="8" w:space="0"/>
              <w:bottom w:val="nil"/>
            </w:tcBorders>
            <w:vAlign w:val="top"/>
          </w:tcPr>
          <w:p w14:paraId="1B0F41ED">
            <w:pPr>
              <w:spacing w:line="241" w:lineRule="auto"/>
              <w:rPr>
                <w:rFonts w:ascii="Arial"/>
                <w:color w:val="auto"/>
                <w:sz w:val="21"/>
                <w:highlight w:val="none"/>
              </w:rPr>
            </w:pPr>
          </w:p>
          <w:p w14:paraId="31A47074">
            <w:pPr>
              <w:pStyle w:val="12"/>
              <w:spacing w:before="52" w:line="222" w:lineRule="auto"/>
              <w:ind w:left="681"/>
              <w:rPr>
                <w:color w:val="auto"/>
                <w:sz w:val="16"/>
                <w:szCs w:val="16"/>
                <w:highlight w:val="none"/>
              </w:rPr>
            </w:pPr>
            <w:r>
              <w:rPr>
                <w:color w:val="auto"/>
                <w:spacing w:val="-6"/>
                <w:sz w:val="16"/>
                <w:szCs w:val="16"/>
                <w:highlight w:val="none"/>
              </w:rPr>
              <w:t>行业</w:t>
            </w:r>
          </w:p>
        </w:tc>
        <w:tc>
          <w:tcPr>
            <w:tcW w:w="2428" w:type="dxa"/>
            <w:gridSpan w:val="3"/>
            <w:tcBorders>
              <w:top w:val="single" w:color="000000" w:sz="8" w:space="0"/>
            </w:tcBorders>
            <w:vAlign w:val="top"/>
          </w:tcPr>
          <w:p w14:paraId="065466AF">
            <w:pPr>
              <w:pStyle w:val="12"/>
              <w:spacing w:before="109" w:line="224" w:lineRule="auto"/>
              <w:ind w:left="541"/>
              <w:rPr>
                <w:color w:val="auto"/>
                <w:sz w:val="16"/>
                <w:szCs w:val="16"/>
                <w:highlight w:val="none"/>
              </w:rPr>
            </w:pPr>
            <w:r>
              <w:rPr>
                <w:color w:val="auto"/>
                <w:spacing w:val="-7"/>
                <w:sz w:val="16"/>
                <w:szCs w:val="16"/>
                <w:highlight w:val="none"/>
              </w:rPr>
              <w:t>中小微型企业（</w:t>
            </w:r>
            <w:r>
              <w:rPr>
                <w:b/>
                <w:bCs/>
                <w:color w:val="auto"/>
                <w:spacing w:val="-7"/>
                <w:sz w:val="16"/>
                <w:szCs w:val="16"/>
                <w:highlight w:val="none"/>
              </w:rPr>
              <w:t>或</w:t>
            </w:r>
            <w:r>
              <w:rPr>
                <w:color w:val="auto"/>
                <w:spacing w:val="-7"/>
                <w:sz w:val="16"/>
                <w:szCs w:val="16"/>
                <w:highlight w:val="none"/>
              </w:rPr>
              <w:t>）</w:t>
            </w:r>
          </w:p>
        </w:tc>
        <w:tc>
          <w:tcPr>
            <w:tcW w:w="2363" w:type="dxa"/>
            <w:gridSpan w:val="3"/>
            <w:tcBorders>
              <w:top w:val="single" w:color="000000" w:sz="8" w:space="0"/>
            </w:tcBorders>
            <w:vAlign w:val="top"/>
          </w:tcPr>
          <w:p w14:paraId="61881B06">
            <w:pPr>
              <w:pStyle w:val="12"/>
              <w:spacing w:before="109" w:line="224" w:lineRule="auto"/>
              <w:ind w:left="681"/>
              <w:rPr>
                <w:color w:val="auto"/>
                <w:sz w:val="16"/>
                <w:szCs w:val="16"/>
                <w:highlight w:val="none"/>
              </w:rPr>
            </w:pPr>
            <w:r>
              <w:rPr>
                <w:color w:val="auto"/>
                <w:spacing w:val="-9"/>
                <w:sz w:val="16"/>
                <w:szCs w:val="16"/>
                <w:highlight w:val="none"/>
              </w:rPr>
              <w:t>中型企业（</w:t>
            </w:r>
            <w:r>
              <w:rPr>
                <w:b/>
                <w:bCs/>
                <w:color w:val="auto"/>
                <w:spacing w:val="-9"/>
                <w:sz w:val="16"/>
                <w:szCs w:val="16"/>
                <w:highlight w:val="none"/>
              </w:rPr>
              <w:t>且</w:t>
            </w:r>
            <w:r>
              <w:rPr>
                <w:color w:val="auto"/>
                <w:spacing w:val="-9"/>
                <w:sz w:val="16"/>
                <w:szCs w:val="16"/>
                <w:highlight w:val="none"/>
              </w:rPr>
              <w:t>）</w:t>
            </w:r>
          </w:p>
        </w:tc>
        <w:tc>
          <w:tcPr>
            <w:tcW w:w="2200" w:type="dxa"/>
            <w:gridSpan w:val="3"/>
            <w:tcBorders>
              <w:top w:val="single" w:color="000000" w:sz="8" w:space="0"/>
            </w:tcBorders>
            <w:vAlign w:val="top"/>
          </w:tcPr>
          <w:p w14:paraId="37DED606">
            <w:pPr>
              <w:pStyle w:val="12"/>
              <w:spacing w:before="112" w:line="226" w:lineRule="auto"/>
              <w:ind w:left="565"/>
              <w:rPr>
                <w:color w:val="auto"/>
                <w:sz w:val="16"/>
                <w:szCs w:val="16"/>
                <w:highlight w:val="none"/>
              </w:rPr>
            </w:pPr>
            <w:r>
              <w:rPr>
                <w:color w:val="auto"/>
                <w:spacing w:val="-4"/>
                <w:sz w:val="16"/>
                <w:szCs w:val="16"/>
                <w:highlight w:val="none"/>
              </w:rPr>
              <w:t>小型企业（</w:t>
            </w:r>
            <w:r>
              <w:rPr>
                <w:b/>
                <w:bCs/>
                <w:color w:val="auto"/>
                <w:spacing w:val="-4"/>
                <w:sz w:val="16"/>
                <w:szCs w:val="16"/>
                <w:highlight w:val="none"/>
              </w:rPr>
              <w:t>且</w:t>
            </w:r>
            <w:r>
              <w:rPr>
                <w:color w:val="auto"/>
                <w:spacing w:val="-4"/>
                <w:sz w:val="16"/>
                <w:szCs w:val="16"/>
                <w:highlight w:val="none"/>
              </w:rPr>
              <w:t>）</w:t>
            </w:r>
          </w:p>
        </w:tc>
        <w:tc>
          <w:tcPr>
            <w:tcW w:w="2266" w:type="dxa"/>
            <w:gridSpan w:val="3"/>
            <w:tcBorders>
              <w:top w:val="single" w:color="000000" w:sz="8" w:space="0"/>
              <w:right w:val="single" w:color="000000" w:sz="8" w:space="0"/>
            </w:tcBorders>
            <w:vAlign w:val="top"/>
          </w:tcPr>
          <w:p w14:paraId="1300AE29">
            <w:pPr>
              <w:pStyle w:val="12"/>
              <w:spacing w:before="109" w:line="225" w:lineRule="auto"/>
              <w:ind w:left="644"/>
              <w:rPr>
                <w:color w:val="auto"/>
                <w:sz w:val="16"/>
                <w:szCs w:val="16"/>
                <w:highlight w:val="none"/>
              </w:rPr>
            </w:pPr>
            <w:r>
              <w:rPr>
                <w:color w:val="auto"/>
                <w:spacing w:val="-4"/>
                <w:sz w:val="16"/>
                <w:szCs w:val="16"/>
                <w:highlight w:val="none"/>
              </w:rPr>
              <w:t>微型企业（</w:t>
            </w:r>
            <w:r>
              <w:rPr>
                <w:b/>
                <w:bCs/>
                <w:color w:val="auto"/>
                <w:spacing w:val="-4"/>
                <w:sz w:val="16"/>
                <w:szCs w:val="16"/>
                <w:highlight w:val="none"/>
              </w:rPr>
              <w:t>或</w:t>
            </w:r>
            <w:r>
              <w:rPr>
                <w:color w:val="auto"/>
                <w:spacing w:val="-4"/>
                <w:sz w:val="16"/>
                <w:szCs w:val="16"/>
                <w:highlight w:val="none"/>
              </w:rPr>
              <w:t>）</w:t>
            </w:r>
          </w:p>
        </w:tc>
      </w:tr>
      <w:tr w14:paraId="33A7F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670" w:type="dxa"/>
            <w:vMerge w:val="continue"/>
            <w:tcBorders>
              <w:top w:val="nil"/>
              <w:left w:val="single" w:color="000000" w:sz="8" w:space="0"/>
            </w:tcBorders>
            <w:vAlign w:val="top"/>
          </w:tcPr>
          <w:p w14:paraId="627FD277">
            <w:pPr>
              <w:rPr>
                <w:rFonts w:ascii="Arial"/>
                <w:color w:val="auto"/>
                <w:sz w:val="21"/>
                <w:highlight w:val="none"/>
              </w:rPr>
            </w:pPr>
          </w:p>
        </w:tc>
        <w:tc>
          <w:tcPr>
            <w:tcW w:w="759" w:type="dxa"/>
            <w:vAlign w:val="top"/>
          </w:tcPr>
          <w:p w14:paraId="62B1CBB1">
            <w:pPr>
              <w:pStyle w:val="12"/>
              <w:spacing w:before="119" w:line="224" w:lineRule="auto"/>
              <w:ind w:left="61"/>
              <w:rPr>
                <w:color w:val="auto"/>
                <w:sz w:val="16"/>
                <w:szCs w:val="16"/>
                <w:highlight w:val="none"/>
              </w:rPr>
            </w:pPr>
            <w:r>
              <w:rPr>
                <w:color w:val="auto"/>
                <w:spacing w:val="-4"/>
                <w:sz w:val="16"/>
                <w:szCs w:val="16"/>
                <w:highlight w:val="none"/>
              </w:rPr>
              <w:t>从业人员</w:t>
            </w:r>
          </w:p>
        </w:tc>
        <w:tc>
          <w:tcPr>
            <w:tcW w:w="859" w:type="dxa"/>
            <w:vAlign w:val="top"/>
          </w:tcPr>
          <w:p w14:paraId="05A82622">
            <w:pPr>
              <w:pStyle w:val="12"/>
              <w:spacing w:before="119" w:line="224" w:lineRule="auto"/>
              <w:ind w:left="123"/>
              <w:rPr>
                <w:color w:val="auto"/>
                <w:sz w:val="16"/>
                <w:szCs w:val="16"/>
                <w:highlight w:val="none"/>
              </w:rPr>
            </w:pPr>
            <w:r>
              <w:rPr>
                <w:color w:val="auto"/>
                <w:spacing w:val="-6"/>
                <w:sz w:val="16"/>
                <w:szCs w:val="16"/>
                <w:highlight w:val="none"/>
              </w:rPr>
              <w:t>营业收入</w:t>
            </w:r>
          </w:p>
        </w:tc>
        <w:tc>
          <w:tcPr>
            <w:tcW w:w="810" w:type="dxa"/>
            <w:vAlign w:val="top"/>
          </w:tcPr>
          <w:p w14:paraId="7020947C">
            <w:pPr>
              <w:pStyle w:val="12"/>
              <w:spacing w:before="119" w:line="224" w:lineRule="auto"/>
              <w:ind w:left="112"/>
              <w:rPr>
                <w:color w:val="auto"/>
                <w:sz w:val="16"/>
                <w:szCs w:val="16"/>
                <w:highlight w:val="none"/>
              </w:rPr>
            </w:pPr>
            <w:r>
              <w:rPr>
                <w:color w:val="auto"/>
                <w:spacing w:val="-8"/>
                <w:sz w:val="16"/>
                <w:szCs w:val="16"/>
                <w:highlight w:val="none"/>
              </w:rPr>
              <w:t>资产总额</w:t>
            </w:r>
          </w:p>
        </w:tc>
        <w:tc>
          <w:tcPr>
            <w:tcW w:w="743" w:type="dxa"/>
            <w:vAlign w:val="top"/>
          </w:tcPr>
          <w:p w14:paraId="1F1E939D">
            <w:pPr>
              <w:pStyle w:val="12"/>
              <w:spacing w:before="119" w:line="224" w:lineRule="auto"/>
              <w:ind w:left="64"/>
              <w:rPr>
                <w:color w:val="auto"/>
                <w:sz w:val="16"/>
                <w:szCs w:val="16"/>
                <w:highlight w:val="none"/>
              </w:rPr>
            </w:pPr>
            <w:r>
              <w:rPr>
                <w:color w:val="auto"/>
                <w:spacing w:val="-4"/>
                <w:sz w:val="16"/>
                <w:szCs w:val="16"/>
                <w:highlight w:val="none"/>
              </w:rPr>
              <w:t>从业人员</w:t>
            </w:r>
          </w:p>
        </w:tc>
        <w:tc>
          <w:tcPr>
            <w:tcW w:w="907" w:type="dxa"/>
            <w:vAlign w:val="top"/>
          </w:tcPr>
          <w:p w14:paraId="3FBBCB18">
            <w:pPr>
              <w:pStyle w:val="12"/>
              <w:spacing w:before="119" w:line="224" w:lineRule="auto"/>
              <w:ind w:left="159"/>
              <w:rPr>
                <w:color w:val="auto"/>
                <w:sz w:val="16"/>
                <w:szCs w:val="16"/>
                <w:highlight w:val="none"/>
              </w:rPr>
            </w:pPr>
            <w:r>
              <w:rPr>
                <w:color w:val="auto"/>
                <w:spacing w:val="-6"/>
                <w:sz w:val="16"/>
                <w:szCs w:val="16"/>
                <w:highlight w:val="none"/>
              </w:rPr>
              <w:t>营业收入</w:t>
            </w:r>
          </w:p>
        </w:tc>
        <w:tc>
          <w:tcPr>
            <w:tcW w:w="713" w:type="dxa"/>
            <w:vAlign w:val="top"/>
          </w:tcPr>
          <w:p w14:paraId="35814541">
            <w:pPr>
              <w:pStyle w:val="12"/>
              <w:spacing w:before="119" w:line="224" w:lineRule="auto"/>
              <w:ind w:left="74"/>
              <w:rPr>
                <w:color w:val="auto"/>
                <w:sz w:val="16"/>
                <w:szCs w:val="16"/>
                <w:highlight w:val="none"/>
              </w:rPr>
            </w:pPr>
            <w:r>
              <w:rPr>
                <w:color w:val="auto"/>
                <w:spacing w:val="-8"/>
                <w:sz w:val="16"/>
                <w:szCs w:val="16"/>
                <w:highlight w:val="none"/>
              </w:rPr>
              <w:t>资产总额</w:t>
            </w:r>
          </w:p>
        </w:tc>
        <w:tc>
          <w:tcPr>
            <w:tcW w:w="761" w:type="dxa"/>
            <w:vAlign w:val="top"/>
          </w:tcPr>
          <w:p w14:paraId="3F81722C">
            <w:pPr>
              <w:pStyle w:val="12"/>
              <w:spacing w:before="119" w:line="224" w:lineRule="auto"/>
              <w:ind w:left="82"/>
              <w:rPr>
                <w:color w:val="auto"/>
                <w:sz w:val="16"/>
                <w:szCs w:val="16"/>
                <w:highlight w:val="none"/>
              </w:rPr>
            </w:pPr>
            <w:r>
              <w:rPr>
                <w:color w:val="auto"/>
                <w:spacing w:val="-4"/>
                <w:sz w:val="16"/>
                <w:szCs w:val="16"/>
                <w:highlight w:val="none"/>
              </w:rPr>
              <w:t>从业人员</w:t>
            </w:r>
          </w:p>
        </w:tc>
        <w:tc>
          <w:tcPr>
            <w:tcW w:w="760" w:type="dxa"/>
            <w:vAlign w:val="top"/>
          </w:tcPr>
          <w:p w14:paraId="5B53AC79">
            <w:pPr>
              <w:pStyle w:val="12"/>
              <w:spacing w:before="119" w:line="224" w:lineRule="auto"/>
              <w:ind w:left="96"/>
              <w:rPr>
                <w:color w:val="auto"/>
                <w:sz w:val="16"/>
                <w:szCs w:val="16"/>
                <w:highlight w:val="none"/>
              </w:rPr>
            </w:pPr>
            <w:r>
              <w:rPr>
                <w:color w:val="auto"/>
                <w:spacing w:val="-6"/>
                <w:sz w:val="16"/>
                <w:szCs w:val="16"/>
                <w:highlight w:val="none"/>
              </w:rPr>
              <w:t>营业收入</w:t>
            </w:r>
          </w:p>
        </w:tc>
        <w:tc>
          <w:tcPr>
            <w:tcW w:w="679" w:type="dxa"/>
            <w:vAlign w:val="top"/>
          </w:tcPr>
          <w:p w14:paraId="5C8B5C4B">
            <w:pPr>
              <w:pStyle w:val="12"/>
              <w:spacing w:before="119" w:line="224" w:lineRule="auto"/>
              <w:jc w:val="right"/>
              <w:rPr>
                <w:color w:val="auto"/>
                <w:sz w:val="16"/>
                <w:szCs w:val="16"/>
                <w:highlight w:val="none"/>
              </w:rPr>
            </w:pPr>
            <w:r>
              <w:rPr>
                <w:color w:val="auto"/>
                <w:spacing w:val="-9"/>
                <w:sz w:val="16"/>
                <w:szCs w:val="16"/>
                <w:highlight w:val="none"/>
              </w:rPr>
              <w:t>资产总额</w:t>
            </w:r>
          </w:p>
        </w:tc>
        <w:tc>
          <w:tcPr>
            <w:tcW w:w="773" w:type="dxa"/>
            <w:vAlign w:val="top"/>
          </w:tcPr>
          <w:p w14:paraId="7F67CEEA">
            <w:pPr>
              <w:pStyle w:val="12"/>
              <w:spacing w:before="119" w:line="224" w:lineRule="auto"/>
              <w:ind w:left="97"/>
              <w:rPr>
                <w:color w:val="auto"/>
                <w:sz w:val="16"/>
                <w:szCs w:val="16"/>
                <w:highlight w:val="none"/>
              </w:rPr>
            </w:pPr>
            <w:r>
              <w:rPr>
                <w:color w:val="auto"/>
                <w:spacing w:val="-4"/>
                <w:sz w:val="16"/>
                <w:szCs w:val="16"/>
                <w:highlight w:val="none"/>
              </w:rPr>
              <w:t>从业人员</w:t>
            </w:r>
          </w:p>
        </w:tc>
        <w:tc>
          <w:tcPr>
            <w:tcW w:w="693" w:type="dxa"/>
            <w:vAlign w:val="top"/>
          </w:tcPr>
          <w:p w14:paraId="43DE2629">
            <w:pPr>
              <w:pStyle w:val="12"/>
              <w:spacing w:before="119" w:line="224" w:lineRule="auto"/>
              <w:jc w:val="right"/>
              <w:rPr>
                <w:color w:val="auto"/>
                <w:sz w:val="16"/>
                <w:szCs w:val="16"/>
                <w:highlight w:val="none"/>
              </w:rPr>
            </w:pPr>
            <w:r>
              <w:rPr>
                <w:color w:val="auto"/>
                <w:spacing w:val="-7"/>
                <w:sz w:val="16"/>
                <w:szCs w:val="16"/>
                <w:highlight w:val="none"/>
              </w:rPr>
              <w:t>营业收入</w:t>
            </w:r>
          </w:p>
        </w:tc>
        <w:tc>
          <w:tcPr>
            <w:tcW w:w="800" w:type="dxa"/>
            <w:tcBorders>
              <w:right w:val="single" w:color="000000" w:sz="8" w:space="0"/>
            </w:tcBorders>
            <w:vAlign w:val="top"/>
          </w:tcPr>
          <w:p w14:paraId="2BBFA171">
            <w:pPr>
              <w:pStyle w:val="12"/>
              <w:spacing w:before="119" w:line="224" w:lineRule="auto"/>
              <w:ind w:left="123"/>
              <w:rPr>
                <w:color w:val="auto"/>
                <w:sz w:val="16"/>
                <w:szCs w:val="16"/>
                <w:highlight w:val="none"/>
              </w:rPr>
            </w:pPr>
            <w:r>
              <w:rPr>
                <w:color w:val="auto"/>
                <w:spacing w:val="-8"/>
                <w:sz w:val="16"/>
                <w:szCs w:val="16"/>
                <w:highlight w:val="none"/>
              </w:rPr>
              <w:t>资产总额</w:t>
            </w:r>
          </w:p>
        </w:tc>
      </w:tr>
      <w:tr w14:paraId="6BC5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0" w:type="dxa"/>
            <w:tcBorders>
              <w:left w:val="single" w:color="000000" w:sz="8" w:space="0"/>
            </w:tcBorders>
            <w:vAlign w:val="top"/>
          </w:tcPr>
          <w:p w14:paraId="43D197BC">
            <w:pPr>
              <w:pStyle w:val="12"/>
              <w:spacing w:before="257" w:line="224" w:lineRule="auto"/>
              <w:ind w:left="30"/>
              <w:rPr>
                <w:color w:val="auto"/>
                <w:sz w:val="16"/>
                <w:szCs w:val="16"/>
                <w:highlight w:val="none"/>
              </w:rPr>
            </w:pPr>
            <w:r>
              <w:rPr>
                <w:color w:val="auto"/>
                <w:spacing w:val="-3"/>
                <w:sz w:val="16"/>
                <w:szCs w:val="16"/>
                <w:highlight w:val="none"/>
              </w:rPr>
              <w:t>农、林、牧、渔业</w:t>
            </w:r>
          </w:p>
        </w:tc>
        <w:tc>
          <w:tcPr>
            <w:tcW w:w="759" w:type="dxa"/>
            <w:vAlign w:val="top"/>
          </w:tcPr>
          <w:p w14:paraId="554AD544">
            <w:pPr>
              <w:rPr>
                <w:rFonts w:ascii="Arial"/>
                <w:color w:val="auto"/>
                <w:sz w:val="21"/>
                <w:highlight w:val="none"/>
              </w:rPr>
            </w:pPr>
          </w:p>
        </w:tc>
        <w:tc>
          <w:tcPr>
            <w:tcW w:w="859" w:type="dxa"/>
            <w:vAlign w:val="top"/>
          </w:tcPr>
          <w:p w14:paraId="58D5344C">
            <w:pPr>
              <w:pStyle w:val="12"/>
              <w:spacing w:before="113" w:line="308" w:lineRule="auto"/>
              <w:ind w:left="50" w:right="92" w:hanging="38"/>
              <w:rPr>
                <w:color w:val="auto"/>
                <w:sz w:val="16"/>
                <w:szCs w:val="16"/>
                <w:highlight w:val="none"/>
              </w:rPr>
            </w:pPr>
            <w:r>
              <w:rPr>
                <w:color w:val="auto"/>
                <w:spacing w:val="-5"/>
                <w:sz w:val="16"/>
                <w:szCs w:val="16"/>
                <w:highlight w:val="none"/>
              </w:rPr>
              <w:t>20000</w:t>
            </w:r>
            <w:r>
              <w:rPr>
                <w:color w:val="auto"/>
                <w:spacing w:val="-18"/>
                <w:sz w:val="16"/>
                <w:szCs w:val="16"/>
                <w:highlight w:val="none"/>
              </w:rPr>
              <w:t xml:space="preserve"> </w:t>
            </w:r>
            <w:r>
              <w:rPr>
                <w:color w:val="auto"/>
                <w:spacing w:val="-5"/>
                <w:sz w:val="16"/>
                <w:szCs w:val="16"/>
                <w:highlight w:val="none"/>
              </w:rPr>
              <w:t>万元</w:t>
            </w:r>
            <w:r>
              <w:rPr>
                <w:color w:val="auto"/>
                <w:spacing w:val="-14"/>
                <w:sz w:val="16"/>
                <w:szCs w:val="16"/>
                <w:highlight w:val="none"/>
              </w:rPr>
              <w:t>以下</w:t>
            </w:r>
          </w:p>
        </w:tc>
        <w:tc>
          <w:tcPr>
            <w:tcW w:w="810" w:type="dxa"/>
            <w:vAlign w:val="top"/>
          </w:tcPr>
          <w:p w14:paraId="7BF42644">
            <w:pPr>
              <w:rPr>
                <w:rFonts w:ascii="Arial"/>
                <w:color w:val="auto"/>
                <w:sz w:val="21"/>
                <w:highlight w:val="none"/>
              </w:rPr>
            </w:pPr>
          </w:p>
        </w:tc>
        <w:tc>
          <w:tcPr>
            <w:tcW w:w="743" w:type="dxa"/>
            <w:vAlign w:val="top"/>
          </w:tcPr>
          <w:p w14:paraId="21A1BEDA">
            <w:pPr>
              <w:rPr>
                <w:rFonts w:ascii="Arial"/>
                <w:color w:val="auto"/>
                <w:sz w:val="21"/>
                <w:highlight w:val="none"/>
              </w:rPr>
            </w:pPr>
          </w:p>
        </w:tc>
        <w:tc>
          <w:tcPr>
            <w:tcW w:w="907" w:type="dxa"/>
            <w:vAlign w:val="top"/>
          </w:tcPr>
          <w:p w14:paraId="6699B645">
            <w:pPr>
              <w:pStyle w:val="12"/>
              <w:spacing w:before="113" w:line="308" w:lineRule="auto"/>
              <w:ind w:left="62" w:right="131" w:hanging="34"/>
              <w:rPr>
                <w:color w:val="auto"/>
                <w:sz w:val="16"/>
                <w:szCs w:val="16"/>
                <w:highlight w:val="none"/>
              </w:rPr>
            </w:pPr>
            <w:r>
              <w:rPr>
                <w:color w:val="auto"/>
                <w:spacing w:val="-6"/>
                <w:sz w:val="16"/>
                <w:szCs w:val="16"/>
                <w:highlight w:val="none"/>
              </w:rPr>
              <w:t>500</w:t>
            </w:r>
            <w:r>
              <w:rPr>
                <w:color w:val="auto"/>
                <w:spacing w:val="-23"/>
                <w:sz w:val="16"/>
                <w:szCs w:val="16"/>
                <w:highlight w:val="none"/>
              </w:rPr>
              <w:t xml:space="preserve"> </w:t>
            </w:r>
            <w:r>
              <w:rPr>
                <w:color w:val="auto"/>
                <w:spacing w:val="-6"/>
                <w:sz w:val="16"/>
                <w:szCs w:val="16"/>
                <w:highlight w:val="none"/>
              </w:rPr>
              <w:t>万元及</w:t>
            </w:r>
            <w:r>
              <w:rPr>
                <w:color w:val="auto"/>
                <w:spacing w:val="-14"/>
                <w:sz w:val="16"/>
                <w:szCs w:val="16"/>
                <w:highlight w:val="none"/>
              </w:rPr>
              <w:t>以上</w:t>
            </w:r>
          </w:p>
        </w:tc>
        <w:tc>
          <w:tcPr>
            <w:tcW w:w="713" w:type="dxa"/>
            <w:vAlign w:val="top"/>
          </w:tcPr>
          <w:p w14:paraId="75E3661D">
            <w:pPr>
              <w:rPr>
                <w:rFonts w:ascii="Arial"/>
                <w:color w:val="auto"/>
                <w:sz w:val="21"/>
                <w:highlight w:val="none"/>
              </w:rPr>
            </w:pPr>
          </w:p>
        </w:tc>
        <w:tc>
          <w:tcPr>
            <w:tcW w:w="761" w:type="dxa"/>
            <w:vAlign w:val="top"/>
          </w:tcPr>
          <w:p w14:paraId="01198F11">
            <w:pPr>
              <w:rPr>
                <w:rFonts w:ascii="Arial"/>
                <w:color w:val="auto"/>
                <w:sz w:val="21"/>
                <w:highlight w:val="none"/>
              </w:rPr>
            </w:pPr>
          </w:p>
        </w:tc>
        <w:tc>
          <w:tcPr>
            <w:tcW w:w="760" w:type="dxa"/>
            <w:vAlign w:val="top"/>
          </w:tcPr>
          <w:p w14:paraId="2681CCA2">
            <w:pPr>
              <w:pStyle w:val="12"/>
              <w:spacing w:before="113" w:line="308" w:lineRule="auto"/>
              <w:ind w:left="71" w:right="51" w:hanging="34"/>
              <w:rPr>
                <w:color w:val="auto"/>
                <w:sz w:val="16"/>
                <w:szCs w:val="16"/>
                <w:highlight w:val="none"/>
              </w:rPr>
            </w:pPr>
            <w:r>
              <w:rPr>
                <w:color w:val="auto"/>
                <w:spacing w:val="-6"/>
                <w:sz w:val="16"/>
                <w:szCs w:val="16"/>
                <w:highlight w:val="none"/>
              </w:rPr>
              <w:t>50</w:t>
            </w:r>
            <w:r>
              <w:rPr>
                <w:color w:val="auto"/>
                <w:spacing w:val="-26"/>
                <w:sz w:val="16"/>
                <w:szCs w:val="16"/>
                <w:highlight w:val="none"/>
              </w:rPr>
              <w:t xml:space="preserve"> </w:t>
            </w:r>
            <w:r>
              <w:rPr>
                <w:color w:val="auto"/>
                <w:spacing w:val="-6"/>
                <w:sz w:val="16"/>
                <w:szCs w:val="16"/>
                <w:highlight w:val="none"/>
              </w:rPr>
              <w:t>万元及</w:t>
            </w:r>
            <w:r>
              <w:rPr>
                <w:color w:val="auto"/>
                <w:spacing w:val="-14"/>
                <w:sz w:val="16"/>
                <w:szCs w:val="16"/>
                <w:highlight w:val="none"/>
              </w:rPr>
              <w:t>以上</w:t>
            </w:r>
          </w:p>
        </w:tc>
        <w:tc>
          <w:tcPr>
            <w:tcW w:w="679" w:type="dxa"/>
            <w:vAlign w:val="top"/>
          </w:tcPr>
          <w:p w14:paraId="5741089E">
            <w:pPr>
              <w:rPr>
                <w:rFonts w:ascii="Arial"/>
                <w:color w:val="auto"/>
                <w:sz w:val="21"/>
                <w:highlight w:val="none"/>
              </w:rPr>
            </w:pPr>
          </w:p>
        </w:tc>
        <w:tc>
          <w:tcPr>
            <w:tcW w:w="773" w:type="dxa"/>
            <w:vAlign w:val="top"/>
          </w:tcPr>
          <w:p w14:paraId="263C311B">
            <w:pPr>
              <w:rPr>
                <w:rFonts w:ascii="Arial"/>
                <w:color w:val="auto"/>
                <w:sz w:val="21"/>
                <w:highlight w:val="none"/>
              </w:rPr>
            </w:pPr>
          </w:p>
        </w:tc>
        <w:tc>
          <w:tcPr>
            <w:tcW w:w="693" w:type="dxa"/>
            <w:vAlign w:val="top"/>
          </w:tcPr>
          <w:p w14:paraId="0264C84F">
            <w:pPr>
              <w:pStyle w:val="12"/>
              <w:spacing w:before="113" w:line="308" w:lineRule="auto"/>
              <w:ind w:left="55" w:hanging="7"/>
              <w:rPr>
                <w:color w:val="auto"/>
                <w:sz w:val="16"/>
                <w:szCs w:val="16"/>
                <w:highlight w:val="none"/>
              </w:rPr>
            </w:pPr>
            <w:r>
              <w:rPr>
                <w:color w:val="auto"/>
                <w:spacing w:val="-9"/>
                <w:sz w:val="16"/>
                <w:szCs w:val="16"/>
                <w:highlight w:val="none"/>
              </w:rPr>
              <w:t>50</w:t>
            </w:r>
            <w:r>
              <w:rPr>
                <w:color w:val="auto"/>
                <w:spacing w:val="-37"/>
                <w:sz w:val="16"/>
                <w:szCs w:val="16"/>
                <w:highlight w:val="none"/>
              </w:rPr>
              <w:t xml:space="preserve"> </w:t>
            </w:r>
            <w:r>
              <w:rPr>
                <w:color w:val="auto"/>
                <w:spacing w:val="-9"/>
                <w:sz w:val="16"/>
                <w:szCs w:val="16"/>
                <w:highlight w:val="none"/>
              </w:rPr>
              <w:t>万元以</w:t>
            </w:r>
            <w:r>
              <w:rPr>
                <w:color w:val="auto"/>
                <w:sz w:val="16"/>
                <w:szCs w:val="16"/>
                <w:highlight w:val="none"/>
              </w:rPr>
              <w:t>下</w:t>
            </w:r>
          </w:p>
        </w:tc>
        <w:tc>
          <w:tcPr>
            <w:tcW w:w="800" w:type="dxa"/>
            <w:tcBorders>
              <w:right w:val="single" w:color="000000" w:sz="8" w:space="0"/>
            </w:tcBorders>
            <w:vAlign w:val="top"/>
          </w:tcPr>
          <w:p w14:paraId="3B2746DF">
            <w:pPr>
              <w:rPr>
                <w:rFonts w:ascii="Arial"/>
                <w:color w:val="auto"/>
                <w:sz w:val="21"/>
                <w:highlight w:val="none"/>
              </w:rPr>
            </w:pPr>
          </w:p>
        </w:tc>
      </w:tr>
      <w:tr w14:paraId="2625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670" w:type="dxa"/>
            <w:tcBorders>
              <w:left w:val="single" w:color="000000" w:sz="8" w:space="0"/>
            </w:tcBorders>
            <w:vAlign w:val="top"/>
          </w:tcPr>
          <w:p w14:paraId="31282F41">
            <w:pPr>
              <w:pStyle w:val="12"/>
              <w:spacing w:before="113" w:line="325" w:lineRule="auto"/>
              <w:ind w:left="27" w:right="44" w:firstLine="9"/>
              <w:jc w:val="both"/>
              <w:rPr>
                <w:color w:val="auto"/>
                <w:sz w:val="16"/>
                <w:szCs w:val="16"/>
                <w:highlight w:val="none"/>
              </w:rPr>
            </w:pPr>
            <w:r>
              <w:rPr>
                <w:color w:val="auto"/>
                <w:spacing w:val="-3"/>
                <w:sz w:val="16"/>
                <w:szCs w:val="16"/>
                <w:highlight w:val="none"/>
              </w:rPr>
              <w:t>工业（包括采矿业，制</w:t>
            </w:r>
            <w:r>
              <w:rPr>
                <w:color w:val="auto"/>
                <w:spacing w:val="-2"/>
                <w:sz w:val="16"/>
                <w:szCs w:val="16"/>
                <w:highlight w:val="none"/>
              </w:rPr>
              <w:t>造业，电力、热力、燃气及水生产和供应业）</w:t>
            </w:r>
          </w:p>
        </w:tc>
        <w:tc>
          <w:tcPr>
            <w:tcW w:w="759" w:type="dxa"/>
            <w:vAlign w:val="top"/>
          </w:tcPr>
          <w:p w14:paraId="062F5F5A">
            <w:pPr>
              <w:pStyle w:val="12"/>
              <w:spacing w:before="270" w:line="344" w:lineRule="auto"/>
              <w:ind w:left="24" w:right="71" w:firstLine="6"/>
              <w:rPr>
                <w:color w:val="auto"/>
                <w:sz w:val="16"/>
                <w:szCs w:val="16"/>
                <w:highlight w:val="none"/>
              </w:rPr>
            </w:pPr>
            <w:r>
              <w:rPr>
                <w:color w:val="auto"/>
                <w:spacing w:val="-8"/>
                <w:sz w:val="16"/>
                <w:szCs w:val="16"/>
                <w:highlight w:val="none"/>
              </w:rPr>
              <w:t>1000</w:t>
            </w:r>
            <w:r>
              <w:rPr>
                <w:color w:val="auto"/>
                <w:spacing w:val="-21"/>
                <w:sz w:val="16"/>
                <w:szCs w:val="16"/>
                <w:highlight w:val="none"/>
              </w:rPr>
              <w:t xml:space="preserve"> </w:t>
            </w:r>
            <w:r>
              <w:rPr>
                <w:color w:val="auto"/>
                <w:spacing w:val="-8"/>
                <w:sz w:val="16"/>
                <w:szCs w:val="16"/>
                <w:highlight w:val="none"/>
              </w:rPr>
              <w:t>人以</w:t>
            </w:r>
            <w:r>
              <w:rPr>
                <w:color w:val="auto"/>
                <w:sz w:val="16"/>
                <w:szCs w:val="16"/>
                <w:highlight w:val="none"/>
              </w:rPr>
              <w:t>下</w:t>
            </w:r>
          </w:p>
        </w:tc>
        <w:tc>
          <w:tcPr>
            <w:tcW w:w="859" w:type="dxa"/>
            <w:vAlign w:val="top"/>
          </w:tcPr>
          <w:p w14:paraId="14F07828">
            <w:pPr>
              <w:pStyle w:val="12"/>
              <w:spacing w:before="270" w:line="344" w:lineRule="auto"/>
              <w:ind w:left="50" w:right="90" w:hanging="43"/>
              <w:rPr>
                <w:color w:val="auto"/>
                <w:sz w:val="16"/>
                <w:szCs w:val="16"/>
                <w:highlight w:val="none"/>
              </w:rPr>
            </w:pPr>
            <w:r>
              <w:rPr>
                <w:color w:val="auto"/>
                <w:spacing w:val="-4"/>
                <w:sz w:val="16"/>
                <w:szCs w:val="16"/>
                <w:highlight w:val="none"/>
              </w:rPr>
              <w:t>40000</w:t>
            </w:r>
            <w:r>
              <w:rPr>
                <w:color w:val="auto"/>
                <w:spacing w:val="-17"/>
                <w:sz w:val="16"/>
                <w:szCs w:val="16"/>
                <w:highlight w:val="none"/>
              </w:rPr>
              <w:t xml:space="preserve"> </w:t>
            </w:r>
            <w:r>
              <w:rPr>
                <w:color w:val="auto"/>
                <w:spacing w:val="-4"/>
                <w:sz w:val="16"/>
                <w:szCs w:val="16"/>
                <w:highlight w:val="none"/>
              </w:rPr>
              <w:t>万元</w:t>
            </w:r>
            <w:r>
              <w:rPr>
                <w:color w:val="auto"/>
                <w:spacing w:val="-14"/>
                <w:sz w:val="16"/>
                <w:szCs w:val="16"/>
                <w:highlight w:val="none"/>
              </w:rPr>
              <w:t>以下</w:t>
            </w:r>
          </w:p>
        </w:tc>
        <w:tc>
          <w:tcPr>
            <w:tcW w:w="810" w:type="dxa"/>
            <w:vAlign w:val="top"/>
          </w:tcPr>
          <w:p w14:paraId="6E3CC8EB">
            <w:pPr>
              <w:rPr>
                <w:rFonts w:ascii="Arial"/>
                <w:color w:val="auto"/>
                <w:sz w:val="21"/>
                <w:highlight w:val="none"/>
              </w:rPr>
            </w:pPr>
          </w:p>
        </w:tc>
        <w:tc>
          <w:tcPr>
            <w:tcW w:w="743" w:type="dxa"/>
            <w:vAlign w:val="top"/>
          </w:tcPr>
          <w:p w14:paraId="34D3F8CF">
            <w:pPr>
              <w:pStyle w:val="12"/>
              <w:spacing w:before="268" w:line="348" w:lineRule="auto"/>
              <w:ind w:left="58" w:right="126" w:hanging="34"/>
              <w:rPr>
                <w:color w:val="auto"/>
                <w:sz w:val="16"/>
                <w:szCs w:val="16"/>
                <w:highlight w:val="none"/>
              </w:rPr>
            </w:pPr>
            <w:r>
              <w:rPr>
                <w:color w:val="auto"/>
                <w:spacing w:val="-6"/>
                <w:sz w:val="16"/>
                <w:szCs w:val="16"/>
                <w:highlight w:val="none"/>
              </w:rPr>
              <w:t>300</w:t>
            </w:r>
            <w:r>
              <w:rPr>
                <w:color w:val="auto"/>
                <w:spacing w:val="-25"/>
                <w:sz w:val="16"/>
                <w:szCs w:val="16"/>
                <w:highlight w:val="none"/>
              </w:rPr>
              <w:t xml:space="preserve"> </w:t>
            </w:r>
            <w:r>
              <w:rPr>
                <w:color w:val="auto"/>
                <w:spacing w:val="-6"/>
                <w:sz w:val="16"/>
                <w:szCs w:val="16"/>
                <w:highlight w:val="none"/>
              </w:rPr>
              <w:t>人及</w:t>
            </w:r>
            <w:r>
              <w:rPr>
                <w:color w:val="auto"/>
                <w:spacing w:val="-14"/>
                <w:sz w:val="16"/>
                <w:szCs w:val="16"/>
                <w:highlight w:val="none"/>
              </w:rPr>
              <w:t>以上</w:t>
            </w:r>
          </w:p>
        </w:tc>
        <w:tc>
          <w:tcPr>
            <w:tcW w:w="907" w:type="dxa"/>
            <w:vAlign w:val="top"/>
          </w:tcPr>
          <w:p w14:paraId="53F651EF">
            <w:pPr>
              <w:pStyle w:val="12"/>
              <w:spacing w:before="268" w:line="348" w:lineRule="auto"/>
              <w:ind w:left="62" w:right="49" w:hanging="38"/>
              <w:rPr>
                <w:color w:val="auto"/>
                <w:sz w:val="16"/>
                <w:szCs w:val="16"/>
                <w:highlight w:val="none"/>
              </w:rPr>
            </w:pPr>
            <w:r>
              <w:rPr>
                <w:color w:val="auto"/>
                <w:spacing w:val="-5"/>
                <w:sz w:val="16"/>
                <w:szCs w:val="16"/>
                <w:highlight w:val="none"/>
              </w:rPr>
              <w:t>2000</w:t>
            </w:r>
            <w:r>
              <w:rPr>
                <w:color w:val="auto"/>
                <w:spacing w:val="-19"/>
                <w:sz w:val="16"/>
                <w:szCs w:val="16"/>
                <w:highlight w:val="none"/>
              </w:rPr>
              <w:t xml:space="preserve"> </w:t>
            </w:r>
            <w:r>
              <w:rPr>
                <w:color w:val="auto"/>
                <w:spacing w:val="-5"/>
                <w:sz w:val="16"/>
                <w:szCs w:val="16"/>
                <w:highlight w:val="none"/>
              </w:rPr>
              <w:t>万元及</w:t>
            </w:r>
            <w:r>
              <w:rPr>
                <w:color w:val="auto"/>
                <w:spacing w:val="-14"/>
                <w:sz w:val="16"/>
                <w:szCs w:val="16"/>
                <w:highlight w:val="none"/>
              </w:rPr>
              <w:t>以上</w:t>
            </w:r>
          </w:p>
        </w:tc>
        <w:tc>
          <w:tcPr>
            <w:tcW w:w="713" w:type="dxa"/>
            <w:vAlign w:val="top"/>
          </w:tcPr>
          <w:p w14:paraId="644A8945">
            <w:pPr>
              <w:rPr>
                <w:rFonts w:ascii="Arial"/>
                <w:color w:val="auto"/>
                <w:sz w:val="21"/>
                <w:highlight w:val="none"/>
              </w:rPr>
            </w:pPr>
          </w:p>
        </w:tc>
        <w:tc>
          <w:tcPr>
            <w:tcW w:w="761" w:type="dxa"/>
            <w:vAlign w:val="top"/>
          </w:tcPr>
          <w:p w14:paraId="7413F7A0">
            <w:pPr>
              <w:pStyle w:val="12"/>
              <w:spacing w:before="269" w:line="357" w:lineRule="auto"/>
              <w:ind w:left="40" w:right="57" w:hanging="9"/>
              <w:rPr>
                <w:color w:val="auto"/>
                <w:sz w:val="16"/>
                <w:szCs w:val="16"/>
                <w:highlight w:val="none"/>
              </w:rPr>
            </w:pPr>
            <w:r>
              <w:rPr>
                <w:color w:val="auto"/>
                <w:spacing w:val="-6"/>
                <w:sz w:val="16"/>
                <w:szCs w:val="16"/>
                <w:highlight w:val="none"/>
              </w:rPr>
              <w:t>20</w:t>
            </w:r>
            <w:r>
              <w:rPr>
                <w:color w:val="auto"/>
                <w:spacing w:val="-24"/>
                <w:sz w:val="16"/>
                <w:szCs w:val="16"/>
                <w:highlight w:val="none"/>
              </w:rPr>
              <w:t xml:space="preserve"> </w:t>
            </w:r>
            <w:r>
              <w:rPr>
                <w:color w:val="auto"/>
                <w:spacing w:val="-6"/>
                <w:sz w:val="16"/>
                <w:szCs w:val="16"/>
                <w:highlight w:val="none"/>
              </w:rPr>
              <w:t>人及以</w:t>
            </w:r>
            <w:r>
              <w:rPr>
                <w:color w:val="auto"/>
                <w:sz w:val="16"/>
                <w:szCs w:val="16"/>
                <w:highlight w:val="none"/>
              </w:rPr>
              <w:t>上</w:t>
            </w:r>
          </w:p>
        </w:tc>
        <w:tc>
          <w:tcPr>
            <w:tcW w:w="760" w:type="dxa"/>
            <w:vAlign w:val="top"/>
          </w:tcPr>
          <w:p w14:paraId="4F4D3DAF">
            <w:pPr>
              <w:pStyle w:val="12"/>
              <w:spacing w:before="268" w:line="348" w:lineRule="auto"/>
              <w:ind w:left="43" w:right="130" w:hanging="6"/>
              <w:rPr>
                <w:color w:val="auto"/>
                <w:sz w:val="16"/>
                <w:szCs w:val="16"/>
                <w:highlight w:val="none"/>
              </w:rPr>
            </w:pPr>
            <w:r>
              <w:rPr>
                <w:color w:val="auto"/>
                <w:spacing w:val="-6"/>
                <w:sz w:val="16"/>
                <w:szCs w:val="16"/>
                <w:highlight w:val="none"/>
              </w:rPr>
              <w:t>300</w:t>
            </w:r>
            <w:r>
              <w:rPr>
                <w:color w:val="auto"/>
                <w:spacing w:val="-25"/>
                <w:sz w:val="16"/>
                <w:szCs w:val="16"/>
                <w:highlight w:val="none"/>
              </w:rPr>
              <w:t xml:space="preserve"> </w:t>
            </w:r>
            <w:r>
              <w:rPr>
                <w:color w:val="auto"/>
                <w:spacing w:val="-6"/>
                <w:sz w:val="16"/>
                <w:szCs w:val="16"/>
                <w:highlight w:val="none"/>
              </w:rPr>
              <w:t>万元及以上</w:t>
            </w:r>
          </w:p>
        </w:tc>
        <w:tc>
          <w:tcPr>
            <w:tcW w:w="679" w:type="dxa"/>
            <w:vAlign w:val="top"/>
          </w:tcPr>
          <w:p w14:paraId="50ED5806">
            <w:pPr>
              <w:rPr>
                <w:rFonts w:ascii="Arial"/>
                <w:color w:val="auto"/>
                <w:sz w:val="21"/>
                <w:highlight w:val="none"/>
              </w:rPr>
            </w:pPr>
          </w:p>
        </w:tc>
        <w:tc>
          <w:tcPr>
            <w:tcW w:w="773" w:type="dxa"/>
            <w:vAlign w:val="top"/>
          </w:tcPr>
          <w:p w14:paraId="3CAF8C85">
            <w:pPr>
              <w:spacing w:line="404" w:lineRule="auto"/>
              <w:rPr>
                <w:rFonts w:ascii="Arial"/>
                <w:color w:val="auto"/>
                <w:sz w:val="21"/>
                <w:highlight w:val="none"/>
              </w:rPr>
            </w:pPr>
          </w:p>
          <w:p w14:paraId="429C0CCB">
            <w:pPr>
              <w:pStyle w:val="12"/>
              <w:spacing w:before="52" w:line="224" w:lineRule="auto"/>
              <w:ind w:left="39"/>
              <w:rPr>
                <w:color w:val="auto"/>
                <w:sz w:val="16"/>
                <w:szCs w:val="16"/>
                <w:highlight w:val="none"/>
              </w:rPr>
            </w:pPr>
            <w:r>
              <w:rPr>
                <w:color w:val="auto"/>
                <w:spacing w:val="-5"/>
                <w:sz w:val="16"/>
                <w:szCs w:val="16"/>
                <w:highlight w:val="none"/>
              </w:rPr>
              <w:t>20</w:t>
            </w:r>
            <w:r>
              <w:rPr>
                <w:color w:val="auto"/>
                <w:spacing w:val="-23"/>
                <w:sz w:val="16"/>
                <w:szCs w:val="16"/>
                <w:highlight w:val="none"/>
              </w:rPr>
              <w:t xml:space="preserve"> </w:t>
            </w:r>
            <w:r>
              <w:rPr>
                <w:color w:val="auto"/>
                <w:spacing w:val="-5"/>
                <w:sz w:val="16"/>
                <w:szCs w:val="16"/>
                <w:highlight w:val="none"/>
              </w:rPr>
              <w:t>人以下</w:t>
            </w:r>
          </w:p>
        </w:tc>
        <w:tc>
          <w:tcPr>
            <w:tcW w:w="693" w:type="dxa"/>
            <w:vAlign w:val="top"/>
          </w:tcPr>
          <w:p w14:paraId="5E6A57A9">
            <w:pPr>
              <w:pStyle w:val="12"/>
              <w:spacing w:before="270" w:line="344" w:lineRule="auto"/>
              <w:ind w:left="82" w:right="53" w:hanging="34"/>
              <w:rPr>
                <w:color w:val="auto"/>
                <w:sz w:val="16"/>
                <w:szCs w:val="16"/>
                <w:highlight w:val="none"/>
              </w:rPr>
            </w:pPr>
            <w:r>
              <w:rPr>
                <w:color w:val="auto"/>
                <w:spacing w:val="-6"/>
                <w:sz w:val="16"/>
                <w:szCs w:val="16"/>
                <w:highlight w:val="none"/>
              </w:rPr>
              <w:t>300</w:t>
            </w:r>
            <w:r>
              <w:rPr>
                <w:color w:val="auto"/>
                <w:spacing w:val="-24"/>
                <w:sz w:val="16"/>
                <w:szCs w:val="16"/>
                <w:highlight w:val="none"/>
              </w:rPr>
              <w:t xml:space="preserve"> </w:t>
            </w:r>
            <w:r>
              <w:rPr>
                <w:color w:val="auto"/>
                <w:spacing w:val="-6"/>
                <w:sz w:val="16"/>
                <w:szCs w:val="16"/>
                <w:highlight w:val="none"/>
              </w:rPr>
              <w:t>万元</w:t>
            </w:r>
            <w:r>
              <w:rPr>
                <w:color w:val="auto"/>
                <w:spacing w:val="-14"/>
                <w:sz w:val="16"/>
                <w:szCs w:val="16"/>
                <w:highlight w:val="none"/>
              </w:rPr>
              <w:t>以下</w:t>
            </w:r>
          </w:p>
        </w:tc>
        <w:tc>
          <w:tcPr>
            <w:tcW w:w="800" w:type="dxa"/>
            <w:tcBorders>
              <w:right w:val="single" w:color="000000" w:sz="8" w:space="0"/>
            </w:tcBorders>
            <w:vAlign w:val="top"/>
          </w:tcPr>
          <w:p w14:paraId="116018CB">
            <w:pPr>
              <w:rPr>
                <w:rFonts w:ascii="Arial"/>
                <w:color w:val="auto"/>
                <w:sz w:val="21"/>
                <w:highlight w:val="none"/>
              </w:rPr>
            </w:pPr>
          </w:p>
        </w:tc>
      </w:tr>
      <w:tr w14:paraId="3379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670" w:type="dxa"/>
            <w:vMerge w:val="restart"/>
            <w:tcBorders>
              <w:left w:val="single" w:color="000000" w:sz="8" w:space="0"/>
              <w:bottom w:val="nil"/>
            </w:tcBorders>
            <w:vAlign w:val="top"/>
          </w:tcPr>
          <w:p w14:paraId="5D46DEF4">
            <w:pPr>
              <w:pStyle w:val="12"/>
              <w:spacing w:before="261" w:line="225" w:lineRule="auto"/>
              <w:ind w:left="27"/>
              <w:rPr>
                <w:color w:val="auto"/>
                <w:sz w:val="16"/>
                <w:szCs w:val="16"/>
                <w:highlight w:val="none"/>
              </w:rPr>
            </w:pPr>
            <w:r>
              <w:rPr>
                <w:color w:val="auto"/>
                <w:spacing w:val="-5"/>
                <w:sz w:val="16"/>
                <w:szCs w:val="16"/>
                <w:highlight w:val="none"/>
              </w:rPr>
              <w:t>建筑业</w:t>
            </w:r>
          </w:p>
        </w:tc>
        <w:tc>
          <w:tcPr>
            <w:tcW w:w="759" w:type="dxa"/>
            <w:vMerge w:val="restart"/>
            <w:tcBorders>
              <w:bottom w:val="nil"/>
            </w:tcBorders>
            <w:vAlign w:val="top"/>
          </w:tcPr>
          <w:p w14:paraId="36034854">
            <w:pPr>
              <w:rPr>
                <w:rFonts w:ascii="Arial"/>
                <w:color w:val="auto"/>
                <w:sz w:val="21"/>
                <w:highlight w:val="none"/>
              </w:rPr>
            </w:pPr>
          </w:p>
        </w:tc>
        <w:tc>
          <w:tcPr>
            <w:tcW w:w="859" w:type="dxa"/>
            <w:tcBorders>
              <w:bottom w:val="nil"/>
            </w:tcBorders>
            <w:vAlign w:val="top"/>
          </w:tcPr>
          <w:p w14:paraId="462FA1EF">
            <w:pPr>
              <w:pStyle w:val="12"/>
              <w:spacing w:before="117" w:line="227" w:lineRule="auto"/>
              <w:ind w:left="11"/>
              <w:rPr>
                <w:color w:val="auto"/>
                <w:sz w:val="16"/>
                <w:szCs w:val="16"/>
                <w:highlight w:val="none"/>
              </w:rPr>
            </w:pPr>
            <w:r>
              <w:rPr>
                <w:color w:val="auto"/>
                <w:spacing w:val="-4"/>
                <w:sz w:val="16"/>
                <w:szCs w:val="16"/>
                <w:highlight w:val="none"/>
              </w:rPr>
              <w:t>80000</w:t>
            </w:r>
            <w:r>
              <w:rPr>
                <w:color w:val="auto"/>
                <w:spacing w:val="-17"/>
                <w:sz w:val="16"/>
                <w:szCs w:val="16"/>
                <w:highlight w:val="none"/>
              </w:rPr>
              <w:t xml:space="preserve"> </w:t>
            </w:r>
            <w:r>
              <w:rPr>
                <w:color w:val="auto"/>
                <w:spacing w:val="-4"/>
                <w:sz w:val="16"/>
                <w:szCs w:val="16"/>
                <w:highlight w:val="none"/>
              </w:rPr>
              <w:t>万元</w:t>
            </w:r>
          </w:p>
        </w:tc>
        <w:tc>
          <w:tcPr>
            <w:tcW w:w="810" w:type="dxa"/>
            <w:tcBorders>
              <w:bottom w:val="nil"/>
            </w:tcBorders>
            <w:vAlign w:val="top"/>
          </w:tcPr>
          <w:p w14:paraId="7DE2B84B">
            <w:pPr>
              <w:pStyle w:val="12"/>
              <w:spacing w:before="117" w:line="227" w:lineRule="auto"/>
              <w:ind w:left="16"/>
              <w:rPr>
                <w:color w:val="auto"/>
                <w:sz w:val="16"/>
                <w:szCs w:val="16"/>
                <w:highlight w:val="none"/>
              </w:rPr>
            </w:pPr>
            <w:r>
              <w:rPr>
                <w:color w:val="auto"/>
                <w:spacing w:val="-4"/>
                <w:sz w:val="16"/>
                <w:szCs w:val="16"/>
                <w:highlight w:val="none"/>
              </w:rPr>
              <w:t>80000</w:t>
            </w:r>
            <w:r>
              <w:rPr>
                <w:color w:val="auto"/>
                <w:spacing w:val="-20"/>
                <w:sz w:val="16"/>
                <w:szCs w:val="16"/>
                <w:highlight w:val="none"/>
              </w:rPr>
              <w:t xml:space="preserve"> </w:t>
            </w:r>
            <w:r>
              <w:rPr>
                <w:color w:val="auto"/>
                <w:spacing w:val="-4"/>
                <w:sz w:val="16"/>
                <w:szCs w:val="16"/>
                <w:highlight w:val="none"/>
              </w:rPr>
              <w:t>万元</w:t>
            </w:r>
          </w:p>
        </w:tc>
        <w:tc>
          <w:tcPr>
            <w:tcW w:w="743" w:type="dxa"/>
            <w:tcBorders>
              <w:bottom w:val="nil"/>
            </w:tcBorders>
            <w:vAlign w:val="top"/>
          </w:tcPr>
          <w:p w14:paraId="44F633AD">
            <w:pPr>
              <w:rPr>
                <w:rFonts w:ascii="Arial"/>
                <w:color w:val="auto"/>
                <w:sz w:val="21"/>
                <w:highlight w:val="none"/>
              </w:rPr>
            </w:pPr>
          </w:p>
        </w:tc>
        <w:tc>
          <w:tcPr>
            <w:tcW w:w="907" w:type="dxa"/>
            <w:tcBorders>
              <w:bottom w:val="nil"/>
            </w:tcBorders>
            <w:vAlign w:val="top"/>
          </w:tcPr>
          <w:p w14:paraId="76DA166A">
            <w:pPr>
              <w:pStyle w:val="12"/>
              <w:spacing w:before="118" w:line="226" w:lineRule="auto"/>
              <w:ind w:left="24"/>
              <w:rPr>
                <w:color w:val="auto"/>
                <w:sz w:val="16"/>
                <w:szCs w:val="16"/>
                <w:highlight w:val="none"/>
              </w:rPr>
            </w:pPr>
            <w:r>
              <w:rPr>
                <w:color w:val="auto"/>
                <w:spacing w:val="-5"/>
                <w:sz w:val="16"/>
                <w:szCs w:val="16"/>
                <w:highlight w:val="none"/>
              </w:rPr>
              <w:t>6000</w:t>
            </w:r>
            <w:r>
              <w:rPr>
                <w:color w:val="auto"/>
                <w:spacing w:val="-16"/>
                <w:sz w:val="16"/>
                <w:szCs w:val="16"/>
                <w:highlight w:val="none"/>
              </w:rPr>
              <w:t xml:space="preserve"> </w:t>
            </w:r>
            <w:r>
              <w:rPr>
                <w:color w:val="auto"/>
                <w:spacing w:val="-5"/>
                <w:sz w:val="16"/>
                <w:szCs w:val="16"/>
                <w:highlight w:val="none"/>
              </w:rPr>
              <w:t>万元及</w:t>
            </w:r>
          </w:p>
        </w:tc>
        <w:tc>
          <w:tcPr>
            <w:tcW w:w="713" w:type="dxa"/>
            <w:tcBorders>
              <w:bottom w:val="nil"/>
            </w:tcBorders>
            <w:vAlign w:val="top"/>
          </w:tcPr>
          <w:p w14:paraId="00546286">
            <w:pPr>
              <w:pStyle w:val="12"/>
              <w:spacing w:before="117" w:line="227" w:lineRule="auto"/>
              <w:ind w:left="30"/>
              <w:rPr>
                <w:color w:val="auto"/>
                <w:sz w:val="16"/>
                <w:szCs w:val="16"/>
                <w:highlight w:val="none"/>
              </w:rPr>
            </w:pPr>
            <w:r>
              <w:rPr>
                <w:color w:val="auto"/>
                <w:spacing w:val="-5"/>
                <w:sz w:val="16"/>
                <w:szCs w:val="16"/>
                <w:highlight w:val="none"/>
              </w:rPr>
              <w:t>5000</w:t>
            </w:r>
            <w:r>
              <w:rPr>
                <w:color w:val="auto"/>
                <w:spacing w:val="-22"/>
                <w:sz w:val="16"/>
                <w:szCs w:val="16"/>
                <w:highlight w:val="none"/>
              </w:rPr>
              <w:t xml:space="preserve"> </w:t>
            </w:r>
            <w:r>
              <w:rPr>
                <w:color w:val="auto"/>
                <w:spacing w:val="-5"/>
                <w:sz w:val="16"/>
                <w:szCs w:val="16"/>
                <w:highlight w:val="none"/>
              </w:rPr>
              <w:t>万元</w:t>
            </w:r>
          </w:p>
        </w:tc>
        <w:tc>
          <w:tcPr>
            <w:tcW w:w="761" w:type="dxa"/>
            <w:tcBorders>
              <w:bottom w:val="nil"/>
            </w:tcBorders>
            <w:vAlign w:val="top"/>
          </w:tcPr>
          <w:p w14:paraId="0D0A801A">
            <w:pPr>
              <w:rPr>
                <w:rFonts w:ascii="Arial"/>
                <w:color w:val="auto"/>
                <w:sz w:val="21"/>
                <w:highlight w:val="none"/>
              </w:rPr>
            </w:pPr>
          </w:p>
        </w:tc>
        <w:tc>
          <w:tcPr>
            <w:tcW w:w="760" w:type="dxa"/>
            <w:tcBorders>
              <w:bottom w:val="nil"/>
            </w:tcBorders>
            <w:vAlign w:val="top"/>
          </w:tcPr>
          <w:p w14:paraId="77F5F124">
            <w:pPr>
              <w:pStyle w:val="12"/>
              <w:spacing w:before="117" w:line="227" w:lineRule="auto"/>
              <w:ind w:left="37"/>
              <w:rPr>
                <w:color w:val="auto"/>
                <w:sz w:val="16"/>
                <w:szCs w:val="16"/>
                <w:highlight w:val="none"/>
              </w:rPr>
            </w:pPr>
            <w:r>
              <w:rPr>
                <w:color w:val="auto"/>
                <w:spacing w:val="-5"/>
                <w:sz w:val="16"/>
                <w:szCs w:val="16"/>
                <w:highlight w:val="none"/>
              </w:rPr>
              <w:t>300</w:t>
            </w:r>
            <w:r>
              <w:rPr>
                <w:color w:val="auto"/>
                <w:spacing w:val="-26"/>
                <w:sz w:val="16"/>
                <w:szCs w:val="16"/>
                <w:highlight w:val="none"/>
              </w:rPr>
              <w:t xml:space="preserve"> </w:t>
            </w:r>
            <w:r>
              <w:rPr>
                <w:color w:val="auto"/>
                <w:spacing w:val="-5"/>
                <w:sz w:val="16"/>
                <w:szCs w:val="16"/>
                <w:highlight w:val="none"/>
              </w:rPr>
              <w:t>万元</w:t>
            </w:r>
          </w:p>
        </w:tc>
        <w:tc>
          <w:tcPr>
            <w:tcW w:w="679" w:type="dxa"/>
            <w:tcBorders>
              <w:bottom w:val="nil"/>
            </w:tcBorders>
            <w:vAlign w:val="top"/>
          </w:tcPr>
          <w:p w14:paraId="2B9BCA83">
            <w:pPr>
              <w:pStyle w:val="12"/>
              <w:spacing w:before="117" w:line="227" w:lineRule="auto"/>
              <w:ind w:left="40"/>
              <w:rPr>
                <w:color w:val="auto"/>
                <w:sz w:val="16"/>
                <w:szCs w:val="16"/>
                <w:highlight w:val="none"/>
              </w:rPr>
            </w:pPr>
            <w:r>
              <w:rPr>
                <w:color w:val="auto"/>
                <w:spacing w:val="-5"/>
                <w:sz w:val="16"/>
                <w:szCs w:val="16"/>
                <w:highlight w:val="none"/>
              </w:rPr>
              <w:t>300</w:t>
            </w:r>
            <w:r>
              <w:rPr>
                <w:color w:val="auto"/>
                <w:spacing w:val="-26"/>
                <w:sz w:val="16"/>
                <w:szCs w:val="16"/>
                <w:highlight w:val="none"/>
              </w:rPr>
              <w:t xml:space="preserve"> </w:t>
            </w:r>
            <w:r>
              <w:rPr>
                <w:color w:val="auto"/>
                <w:spacing w:val="-5"/>
                <w:sz w:val="16"/>
                <w:szCs w:val="16"/>
                <w:highlight w:val="none"/>
              </w:rPr>
              <w:t>万元</w:t>
            </w:r>
          </w:p>
        </w:tc>
        <w:tc>
          <w:tcPr>
            <w:tcW w:w="773" w:type="dxa"/>
            <w:tcBorders>
              <w:bottom w:val="nil"/>
            </w:tcBorders>
            <w:vAlign w:val="top"/>
          </w:tcPr>
          <w:p w14:paraId="33C128D7">
            <w:pPr>
              <w:rPr>
                <w:rFonts w:ascii="Arial"/>
                <w:color w:val="auto"/>
                <w:sz w:val="21"/>
                <w:highlight w:val="none"/>
              </w:rPr>
            </w:pPr>
          </w:p>
        </w:tc>
        <w:tc>
          <w:tcPr>
            <w:tcW w:w="693" w:type="dxa"/>
            <w:tcBorders>
              <w:bottom w:val="nil"/>
            </w:tcBorders>
            <w:vAlign w:val="top"/>
          </w:tcPr>
          <w:p w14:paraId="59710991">
            <w:pPr>
              <w:pStyle w:val="12"/>
              <w:spacing w:before="117" w:line="227" w:lineRule="auto"/>
              <w:ind w:left="48"/>
              <w:rPr>
                <w:color w:val="auto"/>
                <w:sz w:val="16"/>
                <w:szCs w:val="16"/>
                <w:highlight w:val="none"/>
              </w:rPr>
            </w:pPr>
            <w:r>
              <w:rPr>
                <w:color w:val="auto"/>
                <w:spacing w:val="-6"/>
                <w:sz w:val="16"/>
                <w:szCs w:val="16"/>
                <w:highlight w:val="none"/>
              </w:rPr>
              <w:t>300</w:t>
            </w:r>
            <w:r>
              <w:rPr>
                <w:color w:val="auto"/>
                <w:spacing w:val="-21"/>
                <w:sz w:val="16"/>
                <w:szCs w:val="16"/>
                <w:highlight w:val="none"/>
              </w:rPr>
              <w:t xml:space="preserve"> </w:t>
            </w:r>
            <w:r>
              <w:rPr>
                <w:color w:val="auto"/>
                <w:spacing w:val="-6"/>
                <w:sz w:val="16"/>
                <w:szCs w:val="16"/>
                <w:highlight w:val="none"/>
              </w:rPr>
              <w:t>万元</w:t>
            </w:r>
          </w:p>
        </w:tc>
        <w:tc>
          <w:tcPr>
            <w:tcW w:w="800" w:type="dxa"/>
            <w:tcBorders>
              <w:bottom w:val="nil"/>
              <w:right w:val="single" w:color="000000" w:sz="8" w:space="0"/>
            </w:tcBorders>
            <w:vAlign w:val="top"/>
          </w:tcPr>
          <w:p w14:paraId="1BD51A03">
            <w:pPr>
              <w:pStyle w:val="12"/>
              <w:spacing w:before="118" w:line="226" w:lineRule="auto"/>
              <w:ind w:right="1"/>
              <w:jc w:val="right"/>
              <w:rPr>
                <w:color w:val="auto"/>
                <w:sz w:val="16"/>
                <w:szCs w:val="16"/>
                <w:highlight w:val="none"/>
              </w:rPr>
            </w:pPr>
            <w:r>
              <w:rPr>
                <w:color w:val="auto"/>
                <w:spacing w:val="-5"/>
                <w:sz w:val="16"/>
                <w:szCs w:val="16"/>
                <w:highlight w:val="none"/>
              </w:rPr>
              <w:t>300</w:t>
            </w:r>
            <w:r>
              <w:rPr>
                <w:color w:val="auto"/>
                <w:spacing w:val="-36"/>
                <w:sz w:val="16"/>
                <w:szCs w:val="16"/>
                <w:highlight w:val="none"/>
              </w:rPr>
              <w:t xml:space="preserve"> </w:t>
            </w:r>
            <w:r>
              <w:rPr>
                <w:color w:val="auto"/>
                <w:spacing w:val="-5"/>
                <w:sz w:val="16"/>
                <w:szCs w:val="16"/>
                <w:highlight w:val="none"/>
              </w:rPr>
              <w:t>万元以</w:t>
            </w:r>
          </w:p>
        </w:tc>
      </w:tr>
      <w:tr w14:paraId="43FF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670" w:type="dxa"/>
            <w:vMerge w:val="continue"/>
            <w:tcBorders>
              <w:top w:val="nil"/>
              <w:left w:val="single" w:color="000000" w:sz="8" w:space="0"/>
            </w:tcBorders>
            <w:vAlign w:val="top"/>
          </w:tcPr>
          <w:p w14:paraId="5BAFBF8B">
            <w:pPr>
              <w:rPr>
                <w:rFonts w:ascii="Arial"/>
                <w:color w:val="auto"/>
                <w:sz w:val="21"/>
                <w:highlight w:val="none"/>
              </w:rPr>
            </w:pPr>
          </w:p>
        </w:tc>
        <w:tc>
          <w:tcPr>
            <w:tcW w:w="759" w:type="dxa"/>
            <w:vMerge w:val="continue"/>
            <w:tcBorders>
              <w:top w:val="nil"/>
            </w:tcBorders>
            <w:vAlign w:val="top"/>
          </w:tcPr>
          <w:p w14:paraId="5E5AB48A">
            <w:pPr>
              <w:rPr>
                <w:rFonts w:ascii="Arial"/>
                <w:color w:val="auto"/>
                <w:sz w:val="21"/>
                <w:highlight w:val="none"/>
              </w:rPr>
            </w:pPr>
          </w:p>
        </w:tc>
        <w:tc>
          <w:tcPr>
            <w:tcW w:w="859" w:type="dxa"/>
            <w:tcBorders>
              <w:top w:val="nil"/>
            </w:tcBorders>
            <w:vAlign w:val="top"/>
          </w:tcPr>
          <w:p w14:paraId="1484A3BC">
            <w:pPr>
              <w:pStyle w:val="12"/>
              <w:spacing w:before="60" w:line="224" w:lineRule="auto"/>
              <w:ind w:left="51"/>
              <w:rPr>
                <w:color w:val="auto"/>
                <w:sz w:val="16"/>
                <w:szCs w:val="16"/>
                <w:highlight w:val="none"/>
              </w:rPr>
            </w:pPr>
            <w:r>
              <w:rPr>
                <w:color w:val="auto"/>
                <w:spacing w:val="-14"/>
                <w:sz w:val="16"/>
                <w:szCs w:val="16"/>
                <w:highlight w:val="none"/>
              </w:rPr>
              <w:t>以下</w:t>
            </w:r>
          </w:p>
        </w:tc>
        <w:tc>
          <w:tcPr>
            <w:tcW w:w="810" w:type="dxa"/>
            <w:tcBorders>
              <w:top w:val="nil"/>
            </w:tcBorders>
            <w:vAlign w:val="top"/>
          </w:tcPr>
          <w:p w14:paraId="2CD1D43B">
            <w:pPr>
              <w:pStyle w:val="12"/>
              <w:spacing w:before="60" w:line="224" w:lineRule="auto"/>
              <w:ind w:left="56"/>
              <w:rPr>
                <w:color w:val="auto"/>
                <w:sz w:val="16"/>
                <w:szCs w:val="16"/>
                <w:highlight w:val="none"/>
              </w:rPr>
            </w:pPr>
            <w:r>
              <w:rPr>
                <w:color w:val="auto"/>
                <w:spacing w:val="-14"/>
                <w:sz w:val="16"/>
                <w:szCs w:val="16"/>
                <w:highlight w:val="none"/>
              </w:rPr>
              <w:t>以下</w:t>
            </w:r>
          </w:p>
        </w:tc>
        <w:tc>
          <w:tcPr>
            <w:tcW w:w="743" w:type="dxa"/>
            <w:tcBorders>
              <w:top w:val="nil"/>
            </w:tcBorders>
            <w:vAlign w:val="top"/>
          </w:tcPr>
          <w:p w14:paraId="3BF17DD2">
            <w:pPr>
              <w:rPr>
                <w:rFonts w:ascii="Arial"/>
                <w:color w:val="auto"/>
                <w:sz w:val="21"/>
                <w:highlight w:val="none"/>
              </w:rPr>
            </w:pPr>
          </w:p>
        </w:tc>
        <w:tc>
          <w:tcPr>
            <w:tcW w:w="907" w:type="dxa"/>
            <w:tcBorders>
              <w:top w:val="nil"/>
            </w:tcBorders>
            <w:vAlign w:val="top"/>
          </w:tcPr>
          <w:p w14:paraId="5134AB49">
            <w:pPr>
              <w:pStyle w:val="12"/>
              <w:spacing w:before="60" w:line="226" w:lineRule="auto"/>
              <w:ind w:left="63"/>
              <w:rPr>
                <w:color w:val="auto"/>
                <w:sz w:val="16"/>
                <w:szCs w:val="16"/>
                <w:highlight w:val="none"/>
              </w:rPr>
            </w:pPr>
            <w:r>
              <w:rPr>
                <w:color w:val="auto"/>
                <w:spacing w:val="-14"/>
                <w:sz w:val="16"/>
                <w:szCs w:val="16"/>
                <w:highlight w:val="none"/>
              </w:rPr>
              <w:t>以上</w:t>
            </w:r>
          </w:p>
        </w:tc>
        <w:tc>
          <w:tcPr>
            <w:tcW w:w="713" w:type="dxa"/>
            <w:tcBorders>
              <w:top w:val="nil"/>
            </w:tcBorders>
            <w:vAlign w:val="top"/>
          </w:tcPr>
          <w:p w14:paraId="18928511">
            <w:pPr>
              <w:pStyle w:val="12"/>
              <w:spacing w:before="60" w:line="226" w:lineRule="auto"/>
              <w:ind w:left="37"/>
              <w:rPr>
                <w:color w:val="auto"/>
                <w:sz w:val="16"/>
                <w:szCs w:val="16"/>
                <w:highlight w:val="none"/>
              </w:rPr>
            </w:pPr>
            <w:r>
              <w:rPr>
                <w:color w:val="auto"/>
                <w:spacing w:val="-6"/>
                <w:sz w:val="16"/>
                <w:szCs w:val="16"/>
                <w:highlight w:val="none"/>
              </w:rPr>
              <w:t>及以上</w:t>
            </w:r>
          </w:p>
        </w:tc>
        <w:tc>
          <w:tcPr>
            <w:tcW w:w="761" w:type="dxa"/>
            <w:tcBorders>
              <w:top w:val="nil"/>
            </w:tcBorders>
            <w:vAlign w:val="top"/>
          </w:tcPr>
          <w:p w14:paraId="7E72807D">
            <w:pPr>
              <w:rPr>
                <w:rFonts w:ascii="Arial"/>
                <w:color w:val="auto"/>
                <w:sz w:val="21"/>
                <w:highlight w:val="none"/>
              </w:rPr>
            </w:pPr>
          </w:p>
        </w:tc>
        <w:tc>
          <w:tcPr>
            <w:tcW w:w="760" w:type="dxa"/>
            <w:tcBorders>
              <w:top w:val="nil"/>
            </w:tcBorders>
            <w:vAlign w:val="top"/>
          </w:tcPr>
          <w:p w14:paraId="727B31A2">
            <w:pPr>
              <w:pStyle w:val="12"/>
              <w:spacing w:before="60" w:line="226" w:lineRule="auto"/>
              <w:ind w:left="43"/>
              <w:rPr>
                <w:color w:val="auto"/>
                <w:sz w:val="16"/>
                <w:szCs w:val="16"/>
                <w:highlight w:val="none"/>
              </w:rPr>
            </w:pPr>
            <w:r>
              <w:rPr>
                <w:color w:val="auto"/>
                <w:spacing w:val="-6"/>
                <w:sz w:val="16"/>
                <w:szCs w:val="16"/>
                <w:highlight w:val="none"/>
              </w:rPr>
              <w:t>及以上</w:t>
            </w:r>
          </w:p>
        </w:tc>
        <w:tc>
          <w:tcPr>
            <w:tcW w:w="679" w:type="dxa"/>
            <w:tcBorders>
              <w:top w:val="nil"/>
            </w:tcBorders>
            <w:vAlign w:val="top"/>
          </w:tcPr>
          <w:p w14:paraId="6C7C8FD3">
            <w:pPr>
              <w:pStyle w:val="12"/>
              <w:spacing w:before="60" w:line="226" w:lineRule="auto"/>
              <w:ind w:left="47"/>
              <w:rPr>
                <w:color w:val="auto"/>
                <w:sz w:val="16"/>
                <w:szCs w:val="16"/>
                <w:highlight w:val="none"/>
              </w:rPr>
            </w:pPr>
            <w:r>
              <w:rPr>
                <w:color w:val="auto"/>
                <w:spacing w:val="-6"/>
                <w:sz w:val="16"/>
                <w:szCs w:val="16"/>
                <w:highlight w:val="none"/>
              </w:rPr>
              <w:t>及以上</w:t>
            </w:r>
          </w:p>
        </w:tc>
        <w:tc>
          <w:tcPr>
            <w:tcW w:w="773" w:type="dxa"/>
            <w:tcBorders>
              <w:top w:val="nil"/>
            </w:tcBorders>
            <w:vAlign w:val="top"/>
          </w:tcPr>
          <w:p w14:paraId="2515FC7B">
            <w:pPr>
              <w:rPr>
                <w:rFonts w:ascii="Arial"/>
                <w:color w:val="auto"/>
                <w:sz w:val="21"/>
                <w:highlight w:val="none"/>
              </w:rPr>
            </w:pPr>
          </w:p>
        </w:tc>
        <w:tc>
          <w:tcPr>
            <w:tcW w:w="693" w:type="dxa"/>
            <w:tcBorders>
              <w:top w:val="nil"/>
            </w:tcBorders>
            <w:vAlign w:val="top"/>
          </w:tcPr>
          <w:p w14:paraId="4A02B2FE">
            <w:pPr>
              <w:pStyle w:val="12"/>
              <w:spacing w:before="60" w:line="224" w:lineRule="auto"/>
              <w:ind w:left="83"/>
              <w:rPr>
                <w:color w:val="auto"/>
                <w:sz w:val="16"/>
                <w:szCs w:val="16"/>
                <w:highlight w:val="none"/>
              </w:rPr>
            </w:pPr>
            <w:r>
              <w:rPr>
                <w:color w:val="auto"/>
                <w:spacing w:val="-14"/>
                <w:sz w:val="16"/>
                <w:szCs w:val="16"/>
                <w:highlight w:val="none"/>
              </w:rPr>
              <w:t>以下</w:t>
            </w:r>
          </w:p>
        </w:tc>
        <w:tc>
          <w:tcPr>
            <w:tcW w:w="800" w:type="dxa"/>
            <w:tcBorders>
              <w:top w:val="nil"/>
              <w:right w:val="single" w:color="000000" w:sz="8" w:space="0"/>
            </w:tcBorders>
            <w:vAlign w:val="top"/>
          </w:tcPr>
          <w:p w14:paraId="5063F398">
            <w:pPr>
              <w:pStyle w:val="12"/>
              <w:spacing w:before="60" w:line="224" w:lineRule="auto"/>
              <w:ind w:left="58"/>
              <w:rPr>
                <w:color w:val="auto"/>
                <w:sz w:val="16"/>
                <w:szCs w:val="16"/>
                <w:highlight w:val="none"/>
              </w:rPr>
            </w:pPr>
            <w:r>
              <w:rPr>
                <w:color w:val="auto"/>
                <w:sz w:val="16"/>
                <w:szCs w:val="16"/>
                <w:highlight w:val="none"/>
              </w:rPr>
              <w:t>下</w:t>
            </w:r>
          </w:p>
        </w:tc>
      </w:tr>
      <w:tr w14:paraId="3E4C1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70" w:type="dxa"/>
            <w:tcBorders>
              <w:left w:val="single" w:color="000000" w:sz="8" w:space="0"/>
            </w:tcBorders>
            <w:vAlign w:val="top"/>
          </w:tcPr>
          <w:p w14:paraId="0E944DC3">
            <w:pPr>
              <w:pStyle w:val="12"/>
              <w:spacing w:before="264" w:line="224" w:lineRule="auto"/>
              <w:ind w:left="27"/>
              <w:rPr>
                <w:color w:val="auto"/>
                <w:sz w:val="16"/>
                <w:szCs w:val="16"/>
                <w:highlight w:val="none"/>
              </w:rPr>
            </w:pPr>
            <w:r>
              <w:rPr>
                <w:color w:val="auto"/>
                <w:spacing w:val="-5"/>
                <w:sz w:val="16"/>
                <w:szCs w:val="16"/>
                <w:highlight w:val="none"/>
              </w:rPr>
              <w:t>批发业</w:t>
            </w:r>
          </w:p>
        </w:tc>
        <w:tc>
          <w:tcPr>
            <w:tcW w:w="759" w:type="dxa"/>
            <w:vAlign w:val="top"/>
          </w:tcPr>
          <w:p w14:paraId="26646ED4">
            <w:pPr>
              <w:pStyle w:val="12"/>
              <w:spacing w:before="120" w:line="303" w:lineRule="auto"/>
              <w:ind w:left="23" w:right="155" w:hanging="13"/>
              <w:rPr>
                <w:color w:val="auto"/>
                <w:sz w:val="16"/>
                <w:szCs w:val="16"/>
                <w:highlight w:val="none"/>
              </w:rPr>
            </w:pPr>
            <w:r>
              <w:rPr>
                <w:color w:val="auto"/>
                <w:spacing w:val="-6"/>
                <w:sz w:val="16"/>
                <w:szCs w:val="16"/>
                <w:highlight w:val="none"/>
              </w:rPr>
              <w:t>200</w:t>
            </w:r>
            <w:r>
              <w:rPr>
                <w:color w:val="auto"/>
                <w:spacing w:val="-24"/>
                <w:sz w:val="16"/>
                <w:szCs w:val="16"/>
                <w:highlight w:val="none"/>
              </w:rPr>
              <w:t xml:space="preserve"> </w:t>
            </w:r>
            <w:r>
              <w:rPr>
                <w:color w:val="auto"/>
                <w:spacing w:val="-6"/>
                <w:sz w:val="16"/>
                <w:szCs w:val="16"/>
                <w:highlight w:val="none"/>
              </w:rPr>
              <w:t>人以</w:t>
            </w:r>
            <w:r>
              <w:rPr>
                <w:color w:val="auto"/>
                <w:sz w:val="16"/>
                <w:szCs w:val="16"/>
                <w:highlight w:val="none"/>
              </w:rPr>
              <w:t>下</w:t>
            </w:r>
          </w:p>
        </w:tc>
        <w:tc>
          <w:tcPr>
            <w:tcW w:w="859" w:type="dxa"/>
            <w:vAlign w:val="top"/>
          </w:tcPr>
          <w:p w14:paraId="1B5D5567">
            <w:pPr>
              <w:pStyle w:val="12"/>
              <w:spacing w:before="120" w:line="303" w:lineRule="auto"/>
              <w:ind w:left="50" w:right="90" w:hanging="43"/>
              <w:rPr>
                <w:color w:val="auto"/>
                <w:sz w:val="16"/>
                <w:szCs w:val="16"/>
                <w:highlight w:val="none"/>
              </w:rPr>
            </w:pPr>
            <w:r>
              <w:rPr>
                <w:color w:val="auto"/>
                <w:spacing w:val="-4"/>
                <w:sz w:val="16"/>
                <w:szCs w:val="16"/>
                <w:highlight w:val="none"/>
              </w:rPr>
              <w:t>40000</w:t>
            </w:r>
            <w:r>
              <w:rPr>
                <w:color w:val="auto"/>
                <w:spacing w:val="-17"/>
                <w:sz w:val="16"/>
                <w:szCs w:val="16"/>
                <w:highlight w:val="none"/>
              </w:rPr>
              <w:t xml:space="preserve"> </w:t>
            </w:r>
            <w:r>
              <w:rPr>
                <w:color w:val="auto"/>
                <w:spacing w:val="-4"/>
                <w:sz w:val="16"/>
                <w:szCs w:val="16"/>
                <w:highlight w:val="none"/>
              </w:rPr>
              <w:t>万元</w:t>
            </w:r>
            <w:r>
              <w:rPr>
                <w:color w:val="auto"/>
                <w:spacing w:val="-14"/>
                <w:sz w:val="16"/>
                <w:szCs w:val="16"/>
                <w:highlight w:val="none"/>
              </w:rPr>
              <w:t>以下</w:t>
            </w:r>
          </w:p>
        </w:tc>
        <w:tc>
          <w:tcPr>
            <w:tcW w:w="810" w:type="dxa"/>
            <w:vAlign w:val="top"/>
          </w:tcPr>
          <w:p w14:paraId="525E6F48">
            <w:pPr>
              <w:rPr>
                <w:rFonts w:ascii="Arial"/>
                <w:color w:val="auto"/>
                <w:sz w:val="21"/>
                <w:highlight w:val="none"/>
              </w:rPr>
            </w:pPr>
          </w:p>
        </w:tc>
        <w:tc>
          <w:tcPr>
            <w:tcW w:w="743" w:type="dxa"/>
            <w:vAlign w:val="top"/>
          </w:tcPr>
          <w:p w14:paraId="6DAD5652">
            <w:pPr>
              <w:pStyle w:val="12"/>
              <w:spacing w:before="120" w:line="303" w:lineRule="auto"/>
              <w:ind w:left="30" w:right="49" w:hanging="9"/>
              <w:rPr>
                <w:color w:val="auto"/>
                <w:sz w:val="16"/>
                <w:szCs w:val="16"/>
                <w:highlight w:val="none"/>
              </w:rPr>
            </w:pPr>
            <w:r>
              <w:rPr>
                <w:color w:val="auto"/>
                <w:spacing w:val="-6"/>
                <w:sz w:val="16"/>
                <w:szCs w:val="16"/>
                <w:highlight w:val="none"/>
              </w:rPr>
              <w:t>20</w:t>
            </w:r>
            <w:r>
              <w:rPr>
                <w:color w:val="auto"/>
                <w:spacing w:val="-24"/>
                <w:sz w:val="16"/>
                <w:szCs w:val="16"/>
                <w:highlight w:val="none"/>
              </w:rPr>
              <w:t xml:space="preserve"> </w:t>
            </w:r>
            <w:r>
              <w:rPr>
                <w:color w:val="auto"/>
                <w:spacing w:val="-6"/>
                <w:sz w:val="16"/>
                <w:szCs w:val="16"/>
                <w:highlight w:val="none"/>
              </w:rPr>
              <w:t>人及以</w:t>
            </w:r>
            <w:r>
              <w:rPr>
                <w:color w:val="auto"/>
                <w:sz w:val="16"/>
                <w:szCs w:val="16"/>
                <w:highlight w:val="none"/>
              </w:rPr>
              <w:t>上</w:t>
            </w:r>
          </w:p>
        </w:tc>
        <w:tc>
          <w:tcPr>
            <w:tcW w:w="907" w:type="dxa"/>
            <w:vAlign w:val="top"/>
          </w:tcPr>
          <w:p w14:paraId="39785C26">
            <w:pPr>
              <w:pStyle w:val="12"/>
              <w:spacing w:before="120" w:line="303" w:lineRule="auto"/>
              <w:ind w:left="62" w:right="49" w:hanging="34"/>
              <w:rPr>
                <w:color w:val="auto"/>
                <w:sz w:val="16"/>
                <w:szCs w:val="16"/>
                <w:highlight w:val="none"/>
              </w:rPr>
            </w:pPr>
            <w:r>
              <w:rPr>
                <w:color w:val="auto"/>
                <w:spacing w:val="-5"/>
                <w:sz w:val="16"/>
                <w:szCs w:val="16"/>
                <w:highlight w:val="none"/>
              </w:rPr>
              <w:t>5000</w:t>
            </w:r>
            <w:r>
              <w:rPr>
                <w:color w:val="auto"/>
                <w:spacing w:val="-22"/>
                <w:sz w:val="16"/>
                <w:szCs w:val="16"/>
                <w:highlight w:val="none"/>
              </w:rPr>
              <w:t xml:space="preserve"> </w:t>
            </w:r>
            <w:r>
              <w:rPr>
                <w:color w:val="auto"/>
                <w:spacing w:val="-5"/>
                <w:sz w:val="16"/>
                <w:szCs w:val="16"/>
                <w:highlight w:val="none"/>
              </w:rPr>
              <w:t>万元及</w:t>
            </w:r>
            <w:r>
              <w:rPr>
                <w:color w:val="auto"/>
                <w:spacing w:val="-14"/>
                <w:sz w:val="16"/>
                <w:szCs w:val="16"/>
                <w:highlight w:val="none"/>
              </w:rPr>
              <w:t>以上</w:t>
            </w:r>
          </w:p>
        </w:tc>
        <w:tc>
          <w:tcPr>
            <w:tcW w:w="713" w:type="dxa"/>
            <w:vAlign w:val="top"/>
          </w:tcPr>
          <w:p w14:paraId="78CEDAFF">
            <w:pPr>
              <w:rPr>
                <w:rFonts w:ascii="Arial"/>
                <w:color w:val="auto"/>
                <w:sz w:val="21"/>
                <w:highlight w:val="none"/>
              </w:rPr>
            </w:pPr>
          </w:p>
        </w:tc>
        <w:tc>
          <w:tcPr>
            <w:tcW w:w="761" w:type="dxa"/>
            <w:vAlign w:val="top"/>
          </w:tcPr>
          <w:p w14:paraId="4515101E">
            <w:pPr>
              <w:pStyle w:val="12"/>
              <w:spacing w:before="120" w:line="303" w:lineRule="auto"/>
              <w:ind w:left="40" w:right="133" w:hanging="7"/>
              <w:rPr>
                <w:color w:val="auto"/>
                <w:sz w:val="16"/>
                <w:szCs w:val="16"/>
                <w:highlight w:val="none"/>
              </w:rPr>
            </w:pPr>
            <w:r>
              <w:rPr>
                <w:color w:val="auto"/>
                <w:spacing w:val="-9"/>
                <w:sz w:val="16"/>
                <w:szCs w:val="16"/>
                <w:highlight w:val="none"/>
              </w:rPr>
              <w:t>5</w:t>
            </w:r>
            <w:r>
              <w:rPr>
                <w:color w:val="auto"/>
                <w:spacing w:val="-17"/>
                <w:sz w:val="16"/>
                <w:szCs w:val="16"/>
                <w:highlight w:val="none"/>
              </w:rPr>
              <w:t xml:space="preserve"> </w:t>
            </w:r>
            <w:r>
              <w:rPr>
                <w:color w:val="auto"/>
                <w:spacing w:val="-9"/>
                <w:sz w:val="16"/>
                <w:szCs w:val="16"/>
                <w:highlight w:val="none"/>
              </w:rPr>
              <w:t>人及以</w:t>
            </w:r>
            <w:r>
              <w:rPr>
                <w:color w:val="auto"/>
                <w:sz w:val="16"/>
                <w:szCs w:val="16"/>
                <w:highlight w:val="none"/>
              </w:rPr>
              <w:t>上</w:t>
            </w:r>
          </w:p>
        </w:tc>
        <w:tc>
          <w:tcPr>
            <w:tcW w:w="760" w:type="dxa"/>
            <w:vAlign w:val="top"/>
          </w:tcPr>
          <w:p w14:paraId="0A329B4C">
            <w:pPr>
              <w:pStyle w:val="12"/>
              <w:spacing w:before="120" w:line="303" w:lineRule="auto"/>
              <w:ind w:left="43" w:right="49" w:firstLine="9"/>
              <w:rPr>
                <w:color w:val="auto"/>
                <w:sz w:val="16"/>
                <w:szCs w:val="16"/>
                <w:highlight w:val="none"/>
              </w:rPr>
            </w:pPr>
            <w:r>
              <w:rPr>
                <w:color w:val="auto"/>
                <w:spacing w:val="-8"/>
                <w:sz w:val="16"/>
                <w:szCs w:val="16"/>
                <w:highlight w:val="none"/>
              </w:rPr>
              <w:t>1000</w:t>
            </w:r>
            <w:r>
              <w:rPr>
                <w:color w:val="auto"/>
                <w:spacing w:val="-21"/>
                <w:sz w:val="16"/>
                <w:szCs w:val="16"/>
                <w:highlight w:val="none"/>
              </w:rPr>
              <w:t xml:space="preserve"> </w:t>
            </w:r>
            <w:r>
              <w:rPr>
                <w:color w:val="auto"/>
                <w:spacing w:val="-8"/>
                <w:sz w:val="16"/>
                <w:szCs w:val="16"/>
                <w:highlight w:val="none"/>
              </w:rPr>
              <w:t>万元</w:t>
            </w:r>
            <w:r>
              <w:rPr>
                <w:color w:val="auto"/>
                <w:spacing w:val="-6"/>
                <w:sz w:val="16"/>
                <w:szCs w:val="16"/>
                <w:highlight w:val="none"/>
              </w:rPr>
              <w:t>及以上</w:t>
            </w:r>
          </w:p>
        </w:tc>
        <w:tc>
          <w:tcPr>
            <w:tcW w:w="679" w:type="dxa"/>
            <w:vAlign w:val="top"/>
          </w:tcPr>
          <w:p w14:paraId="633F831B">
            <w:pPr>
              <w:rPr>
                <w:rFonts w:ascii="Arial"/>
                <w:color w:val="auto"/>
                <w:sz w:val="21"/>
                <w:highlight w:val="none"/>
              </w:rPr>
            </w:pPr>
          </w:p>
        </w:tc>
        <w:tc>
          <w:tcPr>
            <w:tcW w:w="773" w:type="dxa"/>
            <w:vAlign w:val="top"/>
          </w:tcPr>
          <w:p w14:paraId="0E5DE5DD">
            <w:pPr>
              <w:pStyle w:val="12"/>
              <w:spacing w:before="264" w:line="224" w:lineRule="auto"/>
              <w:ind w:left="41"/>
              <w:rPr>
                <w:color w:val="auto"/>
                <w:sz w:val="16"/>
                <w:szCs w:val="16"/>
                <w:highlight w:val="none"/>
              </w:rPr>
            </w:pPr>
            <w:r>
              <w:rPr>
                <w:color w:val="auto"/>
                <w:spacing w:val="-7"/>
                <w:sz w:val="16"/>
                <w:szCs w:val="16"/>
                <w:highlight w:val="none"/>
              </w:rPr>
              <w:t>5</w:t>
            </w:r>
            <w:r>
              <w:rPr>
                <w:color w:val="auto"/>
                <w:spacing w:val="-18"/>
                <w:sz w:val="16"/>
                <w:szCs w:val="16"/>
                <w:highlight w:val="none"/>
              </w:rPr>
              <w:t xml:space="preserve"> </w:t>
            </w:r>
            <w:r>
              <w:rPr>
                <w:color w:val="auto"/>
                <w:spacing w:val="-7"/>
                <w:sz w:val="16"/>
                <w:szCs w:val="16"/>
                <w:highlight w:val="none"/>
              </w:rPr>
              <w:t>人以下</w:t>
            </w:r>
          </w:p>
        </w:tc>
        <w:tc>
          <w:tcPr>
            <w:tcW w:w="693" w:type="dxa"/>
            <w:vAlign w:val="top"/>
          </w:tcPr>
          <w:p w14:paraId="0520543A">
            <w:pPr>
              <w:pStyle w:val="12"/>
              <w:spacing w:before="120" w:line="303" w:lineRule="auto"/>
              <w:ind w:left="82" w:hanging="18"/>
              <w:rPr>
                <w:color w:val="auto"/>
                <w:sz w:val="16"/>
                <w:szCs w:val="16"/>
                <w:highlight w:val="none"/>
              </w:rPr>
            </w:pPr>
            <w:r>
              <w:rPr>
                <w:color w:val="auto"/>
                <w:spacing w:val="-10"/>
                <w:sz w:val="16"/>
                <w:szCs w:val="16"/>
                <w:highlight w:val="none"/>
              </w:rPr>
              <w:t>1000</w:t>
            </w:r>
            <w:r>
              <w:rPr>
                <w:color w:val="auto"/>
                <w:spacing w:val="-38"/>
                <w:sz w:val="16"/>
                <w:szCs w:val="16"/>
                <w:highlight w:val="none"/>
              </w:rPr>
              <w:t xml:space="preserve"> </w:t>
            </w:r>
            <w:r>
              <w:rPr>
                <w:color w:val="auto"/>
                <w:spacing w:val="-10"/>
                <w:sz w:val="16"/>
                <w:szCs w:val="16"/>
                <w:highlight w:val="none"/>
              </w:rPr>
              <w:t>万元</w:t>
            </w:r>
            <w:r>
              <w:rPr>
                <w:color w:val="auto"/>
                <w:spacing w:val="-15"/>
                <w:sz w:val="16"/>
                <w:szCs w:val="16"/>
                <w:highlight w:val="none"/>
              </w:rPr>
              <w:t>以下</w:t>
            </w:r>
          </w:p>
        </w:tc>
        <w:tc>
          <w:tcPr>
            <w:tcW w:w="800" w:type="dxa"/>
            <w:tcBorders>
              <w:right w:val="single" w:color="000000" w:sz="8" w:space="0"/>
            </w:tcBorders>
            <w:vAlign w:val="top"/>
          </w:tcPr>
          <w:p w14:paraId="69213F31">
            <w:pPr>
              <w:rPr>
                <w:rFonts w:ascii="Arial"/>
                <w:color w:val="auto"/>
                <w:sz w:val="21"/>
                <w:highlight w:val="none"/>
              </w:rPr>
            </w:pPr>
          </w:p>
        </w:tc>
      </w:tr>
      <w:tr w14:paraId="31575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0" w:type="dxa"/>
            <w:tcBorders>
              <w:left w:val="single" w:color="000000" w:sz="8" w:space="0"/>
            </w:tcBorders>
            <w:vAlign w:val="top"/>
          </w:tcPr>
          <w:p w14:paraId="1664F1AF">
            <w:pPr>
              <w:pStyle w:val="12"/>
              <w:spacing w:before="263" w:line="222" w:lineRule="auto"/>
              <w:ind w:left="30"/>
              <w:rPr>
                <w:color w:val="auto"/>
                <w:sz w:val="16"/>
                <w:szCs w:val="16"/>
                <w:highlight w:val="none"/>
              </w:rPr>
            </w:pPr>
            <w:r>
              <w:rPr>
                <w:color w:val="auto"/>
                <w:spacing w:val="-5"/>
                <w:sz w:val="16"/>
                <w:szCs w:val="16"/>
                <w:highlight w:val="none"/>
              </w:rPr>
              <w:t>零售业</w:t>
            </w:r>
          </w:p>
        </w:tc>
        <w:tc>
          <w:tcPr>
            <w:tcW w:w="759" w:type="dxa"/>
            <w:vAlign w:val="top"/>
          </w:tcPr>
          <w:p w14:paraId="1DCA7507">
            <w:pPr>
              <w:pStyle w:val="12"/>
              <w:spacing w:before="120" w:line="304" w:lineRule="auto"/>
              <w:ind w:left="21" w:right="155" w:hanging="9"/>
              <w:rPr>
                <w:color w:val="auto"/>
                <w:sz w:val="16"/>
                <w:szCs w:val="16"/>
                <w:highlight w:val="none"/>
              </w:rPr>
            </w:pPr>
            <w:r>
              <w:rPr>
                <w:color w:val="auto"/>
                <w:spacing w:val="-6"/>
                <w:sz w:val="16"/>
                <w:szCs w:val="16"/>
                <w:highlight w:val="none"/>
              </w:rPr>
              <w:t>300</w:t>
            </w:r>
            <w:r>
              <w:rPr>
                <w:color w:val="auto"/>
                <w:spacing w:val="-25"/>
                <w:sz w:val="16"/>
                <w:szCs w:val="16"/>
                <w:highlight w:val="none"/>
              </w:rPr>
              <w:t xml:space="preserve"> </w:t>
            </w:r>
            <w:r>
              <w:rPr>
                <w:color w:val="auto"/>
                <w:spacing w:val="-6"/>
                <w:sz w:val="16"/>
                <w:szCs w:val="16"/>
                <w:highlight w:val="none"/>
              </w:rPr>
              <w:t>人以</w:t>
            </w:r>
            <w:r>
              <w:rPr>
                <w:color w:val="auto"/>
                <w:sz w:val="16"/>
                <w:szCs w:val="16"/>
                <w:highlight w:val="none"/>
              </w:rPr>
              <w:t>下</w:t>
            </w:r>
          </w:p>
        </w:tc>
        <w:tc>
          <w:tcPr>
            <w:tcW w:w="859" w:type="dxa"/>
            <w:vAlign w:val="top"/>
          </w:tcPr>
          <w:p w14:paraId="12E8D3CF">
            <w:pPr>
              <w:pStyle w:val="12"/>
              <w:spacing w:before="120" w:line="304" w:lineRule="auto"/>
              <w:ind w:left="50" w:right="92" w:hanging="38"/>
              <w:rPr>
                <w:color w:val="auto"/>
                <w:sz w:val="16"/>
                <w:szCs w:val="16"/>
                <w:highlight w:val="none"/>
              </w:rPr>
            </w:pPr>
            <w:r>
              <w:rPr>
                <w:color w:val="auto"/>
                <w:spacing w:val="-5"/>
                <w:sz w:val="16"/>
                <w:szCs w:val="16"/>
                <w:highlight w:val="none"/>
              </w:rPr>
              <w:t>20000</w:t>
            </w:r>
            <w:r>
              <w:rPr>
                <w:color w:val="auto"/>
                <w:spacing w:val="-18"/>
                <w:sz w:val="16"/>
                <w:szCs w:val="16"/>
                <w:highlight w:val="none"/>
              </w:rPr>
              <w:t xml:space="preserve"> </w:t>
            </w:r>
            <w:r>
              <w:rPr>
                <w:color w:val="auto"/>
                <w:spacing w:val="-5"/>
                <w:sz w:val="16"/>
                <w:szCs w:val="16"/>
                <w:highlight w:val="none"/>
              </w:rPr>
              <w:t>万元</w:t>
            </w:r>
            <w:r>
              <w:rPr>
                <w:color w:val="auto"/>
                <w:spacing w:val="-14"/>
                <w:sz w:val="16"/>
                <w:szCs w:val="16"/>
                <w:highlight w:val="none"/>
              </w:rPr>
              <w:t>以下</w:t>
            </w:r>
          </w:p>
        </w:tc>
        <w:tc>
          <w:tcPr>
            <w:tcW w:w="810" w:type="dxa"/>
            <w:vAlign w:val="top"/>
          </w:tcPr>
          <w:p w14:paraId="6F3B848F">
            <w:pPr>
              <w:rPr>
                <w:rFonts w:ascii="Arial"/>
                <w:color w:val="auto"/>
                <w:sz w:val="21"/>
                <w:highlight w:val="none"/>
              </w:rPr>
            </w:pPr>
          </w:p>
        </w:tc>
        <w:tc>
          <w:tcPr>
            <w:tcW w:w="743" w:type="dxa"/>
            <w:vAlign w:val="top"/>
          </w:tcPr>
          <w:p w14:paraId="4042F3CD">
            <w:pPr>
              <w:pStyle w:val="12"/>
              <w:spacing w:before="120" w:line="304" w:lineRule="auto"/>
              <w:ind w:left="29" w:right="47" w:hanging="5"/>
              <w:rPr>
                <w:color w:val="auto"/>
                <w:sz w:val="16"/>
                <w:szCs w:val="16"/>
                <w:highlight w:val="none"/>
              </w:rPr>
            </w:pPr>
            <w:r>
              <w:rPr>
                <w:color w:val="auto"/>
                <w:spacing w:val="-6"/>
                <w:sz w:val="16"/>
                <w:szCs w:val="16"/>
                <w:highlight w:val="none"/>
              </w:rPr>
              <w:t>50</w:t>
            </w:r>
            <w:r>
              <w:rPr>
                <w:color w:val="auto"/>
                <w:spacing w:val="-25"/>
                <w:sz w:val="16"/>
                <w:szCs w:val="16"/>
                <w:highlight w:val="none"/>
              </w:rPr>
              <w:t xml:space="preserve"> </w:t>
            </w:r>
            <w:r>
              <w:rPr>
                <w:color w:val="auto"/>
                <w:spacing w:val="-6"/>
                <w:sz w:val="16"/>
                <w:szCs w:val="16"/>
                <w:highlight w:val="none"/>
              </w:rPr>
              <w:t>人及以</w:t>
            </w:r>
            <w:r>
              <w:rPr>
                <w:color w:val="auto"/>
                <w:sz w:val="16"/>
                <w:szCs w:val="16"/>
                <w:highlight w:val="none"/>
              </w:rPr>
              <w:t>上</w:t>
            </w:r>
          </w:p>
        </w:tc>
        <w:tc>
          <w:tcPr>
            <w:tcW w:w="907" w:type="dxa"/>
            <w:vAlign w:val="top"/>
          </w:tcPr>
          <w:p w14:paraId="30D7EA8F">
            <w:pPr>
              <w:pStyle w:val="12"/>
              <w:spacing w:before="120" w:line="304" w:lineRule="auto"/>
              <w:ind w:left="62" w:right="131" w:hanging="34"/>
              <w:rPr>
                <w:color w:val="auto"/>
                <w:sz w:val="16"/>
                <w:szCs w:val="16"/>
                <w:highlight w:val="none"/>
              </w:rPr>
            </w:pPr>
            <w:r>
              <w:rPr>
                <w:color w:val="auto"/>
                <w:spacing w:val="-6"/>
                <w:sz w:val="16"/>
                <w:szCs w:val="16"/>
                <w:highlight w:val="none"/>
              </w:rPr>
              <w:t>500</w:t>
            </w:r>
            <w:r>
              <w:rPr>
                <w:color w:val="auto"/>
                <w:spacing w:val="-23"/>
                <w:sz w:val="16"/>
                <w:szCs w:val="16"/>
                <w:highlight w:val="none"/>
              </w:rPr>
              <w:t xml:space="preserve"> </w:t>
            </w:r>
            <w:r>
              <w:rPr>
                <w:color w:val="auto"/>
                <w:spacing w:val="-6"/>
                <w:sz w:val="16"/>
                <w:szCs w:val="16"/>
                <w:highlight w:val="none"/>
              </w:rPr>
              <w:t>万元及</w:t>
            </w:r>
            <w:r>
              <w:rPr>
                <w:color w:val="auto"/>
                <w:spacing w:val="-14"/>
                <w:sz w:val="16"/>
                <w:szCs w:val="16"/>
                <w:highlight w:val="none"/>
              </w:rPr>
              <w:t>以上</w:t>
            </w:r>
          </w:p>
        </w:tc>
        <w:tc>
          <w:tcPr>
            <w:tcW w:w="713" w:type="dxa"/>
            <w:vAlign w:val="top"/>
          </w:tcPr>
          <w:p w14:paraId="24E150DB">
            <w:pPr>
              <w:rPr>
                <w:rFonts w:ascii="Arial"/>
                <w:color w:val="auto"/>
                <w:sz w:val="21"/>
                <w:highlight w:val="none"/>
              </w:rPr>
            </w:pPr>
          </w:p>
        </w:tc>
        <w:tc>
          <w:tcPr>
            <w:tcW w:w="761" w:type="dxa"/>
            <w:vAlign w:val="top"/>
          </w:tcPr>
          <w:p w14:paraId="332513C1">
            <w:pPr>
              <w:pStyle w:val="12"/>
              <w:spacing w:before="120" w:line="304" w:lineRule="auto"/>
              <w:ind w:left="41" w:right="57" w:firstLine="10"/>
              <w:rPr>
                <w:color w:val="auto"/>
                <w:sz w:val="16"/>
                <w:szCs w:val="16"/>
                <w:highlight w:val="none"/>
              </w:rPr>
            </w:pPr>
            <w:r>
              <w:rPr>
                <w:color w:val="auto"/>
                <w:spacing w:val="-10"/>
                <w:sz w:val="16"/>
                <w:szCs w:val="16"/>
                <w:highlight w:val="none"/>
              </w:rPr>
              <w:t>10</w:t>
            </w:r>
            <w:r>
              <w:rPr>
                <w:color w:val="auto"/>
                <w:spacing w:val="-24"/>
                <w:sz w:val="16"/>
                <w:szCs w:val="16"/>
                <w:highlight w:val="none"/>
              </w:rPr>
              <w:t xml:space="preserve"> </w:t>
            </w:r>
            <w:r>
              <w:rPr>
                <w:color w:val="auto"/>
                <w:spacing w:val="-10"/>
                <w:sz w:val="16"/>
                <w:szCs w:val="16"/>
                <w:highlight w:val="none"/>
              </w:rPr>
              <w:t>人及以</w:t>
            </w:r>
            <w:r>
              <w:rPr>
                <w:color w:val="auto"/>
                <w:sz w:val="16"/>
                <w:szCs w:val="16"/>
                <w:highlight w:val="none"/>
              </w:rPr>
              <w:t>上</w:t>
            </w:r>
          </w:p>
        </w:tc>
        <w:tc>
          <w:tcPr>
            <w:tcW w:w="760" w:type="dxa"/>
            <w:vAlign w:val="top"/>
          </w:tcPr>
          <w:p w14:paraId="7683054F">
            <w:pPr>
              <w:pStyle w:val="12"/>
              <w:spacing w:before="120" w:line="304" w:lineRule="auto"/>
              <w:ind w:left="43" w:right="128" w:firstLine="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6"/>
                <w:sz w:val="16"/>
                <w:szCs w:val="16"/>
                <w:highlight w:val="none"/>
              </w:rPr>
              <w:t>及以上</w:t>
            </w:r>
          </w:p>
        </w:tc>
        <w:tc>
          <w:tcPr>
            <w:tcW w:w="679" w:type="dxa"/>
            <w:vAlign w:val="top"/>
          </w:tcPr>
          <w:p w14:paraId="27EB5EE6">
            <w:pPr>
              <w:rPr>
                <w:rFonts w:ascii="Arial"/>
                <w:color w:val="auto"/>
                <w:sz w:val="21"/>
                <w:highlight w:val="none"/>
              </w:rPr>
            </w:pPr>
          </w:p>
        </w:tc>
        <w:tc>
          <w:tcPr>
            <w:tcW w:w="773" w:type="dxa"/>
            <w:vAlign w:val="top"/>
          </w:tcPr>
          <w:p w14:paraId="5B4C230B">
            <w:pPr>
              <w:pStyle w:val="12"/>
              <w:spacing w:before="265" w:line="224" w:lineRule="auto"/>
              <w:ind w:left="59"/>
              <w:rPr>
                <w:color w:val="auto"/>
                <w:sz w:val="16"/>
                <w:szCs w:val="16"/>
                <w:highlight w:val="none"/>
              </w:rPr>
            </w:pPr>
            <w:r>
              <w:rPr>
                <w:color w:val="auto"/>
                <w:spacing w:val="-8"/>
                <w:sz w:val="16"/>
                <w:szCs w:val="16"/>
                <w:highlight w:val="none"/>
              </w:rPr>
              <w:t>10</w:t>
            </w:r>
            <w:r>
              <w:rPr>
                <w:color w:val="auto"/>
                <w:spacing w:val="-23"/>
                <w:sz w:val="16"/>
                <w:szCs w:val="16"/>
                <w:highlight w:val="none"/>
              </w:rPr>
              <w:t xml:space="preserve"> </w:t>
            </w:r>
            <w:r>
              <w:rPr>
                <w:color w:val="auto"/>
                <w:spacing w:val="-8"/>
                <w:sz w:val="16"/>
                <w:szCs w:val="16"/>
                <w:highlight w:val="none"/>
              </w:rPr>
              <w:t>人以下</w:t>
            </w:r>
          </w:p>
        </w:tc>
        <w:tc>
          <w:tcPr>
            <w:tcW w:w="693" w:type="dxa"/>
            <w:vAlign w:val="top"/>
          </w:tcPr>
          <w:p w14:paraId="3E414A41">
            <w:pPr>
              <w:pStyle w:val="12"/>
              <w:spacing w:before="120" w:line="304" w:lineRule="auto"/>
              <w:ind w:left="83" w:right="50"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14"/>
                <w:sz w:val="16"/>
                <w:szCs w:val="16"/>
                <w:highlight w:val="none"/>
              </w:rPr>
              <w:t>以下</w:t>
            </w:r>
          </w:p>
        </w:tc>
        <w:tc>
          <w:tcPr>
            <w:tcW w:w="800" w:type="dxa"/>
            <w:tcBorders>
              <w:right w:val="single" w:color="000000" w:sz="8" w:space="0"/>
            </w:tcBorders>
            <w:vAlign w:val="top"/>
          </w:tcPr>
          <w:p w14:paraId="7ECD766F">
            <w:pPr>
              <w:rPr>
                <w:rFonts w:ascii="Arial"/>
                <w:color w:val="auto"/>
                <w:sz w:val="21"/>
                <w:highlight w:val="none"/>
              </w:rPr>
            </w:pPr>
          </w:p>
        </w:tc>
      </w:tr>
      <w:tr w14:paraId="31DA9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70" w:type="dxa"/>
            <w:tcBorders>
              <w:left w:val="single" w:color="000000" w:sz="8" w:space="0"/>
            </w:tcBorders>
            <w:vAlign w:val="top"/>
          </w:tcPr>
          <w:p w14:paraId="602317BF">
            <w:pPr>
              <w:pStyle w:val="12"/>
              <w:spacing w:before="124" w:line="301" w:lineRule="auto"/>
              <w:ind w:left="31" w:right="53" w:firstLine="4"/>
              <w:rPr>
                <w:color w:val="auto"/>
                <w:sz w:val="16"/>
                <w:szCs w:val="16"/>
                <w:highlight w:val="none"/>
              </w:rPr>
            </w:pPr>
            <w:r>
              <w:rPr>
                <w:color w:val="auto"/>
                <w:spacing w:val="-4"/>
                <w:sz w:val="16"/>
                <w:szCs w:val="16"/>
                <w:highlight w:val="none"/>
              </w:rPr>
              <w:t>交通运输业（不含铁路</w:t>
            </w:r>
            <w:r>
              <w:rPr>
                <w:color w:val="auto"/>
                <w:spacing w:val="-5"/>
                <w:sz w:val="16"/>
                <w:szCs w:val="16"/>
                <w:highlight w:val="none"/>
              </w:rPr>
              <w:t>运输业）</w:t>
            </w:r>
          </w:p>
        </w:tc>
        <w:tc>
          <w:tcPr>
            <w:tcW w:w="759" w:type="dxa"/>
            <w:vAlign w:val="top"/>
          </w:tcPr>
          <w:p w14:paraId="2C93501C">
            <w:pPr>
              <w:pStyle w:val="12"/>
              <w:spacing w:before="124" w:line="301" w:lineRule="auto"/>
              <w:ind w:left="24" w:right="71" w:firstLine="6"/>
              <w:rPr>
                <w:color w:val="auto"/>
                <w:sz w:val="16"/>
                <w:szCs w:val="16"/>
                <w:highlight w:val="none"/>
              </w:rPr>
            </w:pPr>
            <w:r>
              <w:rPr>
                <w:color w:val="auto"/>
                <w:spacing w:val="-8"/>
                <w:sz w:val="16"/>
                <w:szCs w:val="16"/>
                <w:highlight w:val="none"/>
              </w:rPr>
              <w:t>1000</w:t>
            </w:r>
            <w:r>
              <w:rPr>
                <w:color w:val="auto"/>
                <w:spacing w:val="-21"/>
                <w:sz w:val="16"/>
                <w:szCs w:val="16"/>
                <w:highlight w:val="none"/>
              </w:rPr>
              <w:t xml:space="preserve"> </w:t>
            </w:r>
            <w:r>
              <w:rPr>
                <w:color w:val="auto"/>
                <w:spacing w:val="-8"/>
                <w:sz w:val="16"/>
                <w:szCs w:val="16"/>
                <w:highlight w:val="none"/>
              </w:rPr>
              <w:t>人以</w:t>
            </w:r>
            <w:r>
              <w:rPr>
                <w:color w:val="auto"/>
                <w:sz w:val="16"/>
                <w:szCs w:val="16"/>
                <w:highlight w:val="none"/>
              </w:rPr>
              <w:t>下</w:t>
            </w:r>
          </w:p>
        </w:tc>
        <w:tc>
          <w:tcPr>
            <w:tcW w:w="859" w:type="dxa"/>
            <w:vAlign w:val="top"/>
          </w:tcPr>
          <w:p w14:paraId="51651CBD">
            <w:pPr>
              <w:pStyle w:val="12"/>
              <w:spacing w:before="124" w:line="301" w:lineRule="auto"/>
              <w:ind w:left="50" w:right="92" w:hanging="34"/>
              <w:rPr>
                <w:color w:val="auto"/>
                <w:sz w:val="16"/>
                <w:szCs w:val="16"/>
                <w:highlight w:val="none"/>
              </w:rPr>
            </w:pPr>
            <w:r>
              <w:rPr>
                <w:color w:val="auto"/>
                <w:spacing w:val="-5"/>
                <w:sz w:val="16"/>
                <w:szCs w:val="16"/>
                <w:highlight w:val="none"/>
              </w:rPr>
              <w:t>30000</w:t>
            </w:r>
            <w:r>
              <w:rPr>
                <w:color w:val="auto"/>
                <w:spacing w:val="-22"/>
                <w:sz w:val="16"/>
                <w:szCs w:val="16"/>
                <w:highlight w:val="none"/>
              </w:rPr>
              <w:t xml:space="preserve"> </w:t>
            </w:r>
            <w:r>
              <w:rPr>
                <w:color w:val="auto"/>
                <w:spacing w:val="-5"/>
                <w:sz w:val="16"/>
                <w:szCs w:val="16"/>
                <w:highlight w:val="none"/>
              </w:rPr>
              <w:t>万元</w:t>
            </w:r>
            <w:r>
              <w:rPr>
                <w:color w:val="auto"/>
                <w:spacing w:val="-14"/>
                <w:sz w:val="16"/>
                <w:szCs w:val="16"/>
                <w:highlight w:val="none"/>
              </w:rPr>
              <w:t>以下</w:t>
            </w:r>
          </w:p>
        </w:tc>
        <w:tc>
          <w:tcPr>
            <w:tcW w:w="810" w:type="dxa"/>
            <w:vAlign w:val="top"/>
          </w:tcPr>
          <w:p w14:paraId="23920B09">
            <w:pPr>
              <w:rPr>
                <w:rFonts w:ascii="Arial"/>
                <w:color w:val="auto"/>
                <w:sz w:val="21"/>
                <w:highlight w:val="none"/>
              </w:rPr>
            </w:pPr>
          </w:p>
        </w:tc>
        <w:tc>
          <w:tcPr>
            <w:tcW w:w="743" w:type="dxa"/>
            <w:vAlign w:val="top"/>
          </w:tcPr>
          <w:p w14:paraId="2483F7E4">
            <w:pPr>
              <w:pStyle w:val="12"/>
              <w:spacing w:before="124" w:line="301" w:lineRule="auto"/>
              <w:ind w:left="58" w:right="126" w:hanging="34"/>
              <w:rPr>
                <w:color w:val="auto"/>
                <w:sz w:val="16"/>
                <w:szCs w:val="16"/>
                <w:highlight w:val="none"/>
              </w:rPr>
            </w:pPr>
            <w:r>
              <w:rPr>
                <w:color w:val="auto"/>
                <w:spacing w:val="-6"/>
                <w:sz w:val="16"/>
                <w:szCs w:val="16"/>
                <w:highlight w:val="none"/>
              </w:rPr>
              <w:t>300</w:t>
            </w:r>
            <w:r>
              <w:rPr>
                <w:color w:val="auto"/>
                <w:spacing w:val="-25"/>
                <w:sz w:val="16"/>
                <w:szCs w:val="16"/>
                <w:highlight w:val="none"/>
              </w:rPr>
              <w:t xml:space="preserve"> </w:t>
            </w:r>
            <w:r>
              <w:rPr>
                <w:color w:val="auto"/>
                <w:spacing w:val="-6"/>
                <w:sz w:val="16"/>
                <w:szCs w:val="16"/>
                <w:highlight w:val="none"/>
              </w:rPr>
              <w:t>人及</w:t>
            </w:r>
            <w:r>
              <w:rPr>
                <w:color w:val="auto"/>
                <w:spacing w:val="-14"/>
                <w:sz w:val="16"/>
                <w:szCs w:val="16"/>
                <w:highlight w:val="none"/>
              </w:rPr>
              <w:t>以上</w:t>
            </w:r>
          </w:p>
        </w:tc>
        <w:tc>
          <w:tcPr>
            <w:tcW w:w="907" w:type="dxa"/>
            <w:vAlign w:val="top"/>
          </w:tcPr>
          <w:p w14:paraId="7B28571D">
            <w:pPr>
              <w:pStyle w:val="12"/>
              <w:spacing w:before="124" w:line="301" w:lineRule="auto"/>
              <w:ind w:left="62" w:right="49" w:hanging="34"/>
              <w:rPr>
                <w:color w:val="auto"/>
                <w:sz w:val="16"/>
                <w:szCs w:val="16"/>
                <w:highlight w:val="none"/>
              </w:rPr>
            </w:pPr>
            <w:r>
              <w:rPr>
                <w:color w:val="auto"/>
                <w:spacing w:val="-5"/>
                <w:sz w:val="16"/>
                <w:szCs w:val="16"/>
                <w:highlight w:val="none"/>
              </w:rPr>
              <w:t>3000</w:t>
            </w:r>
            <w:r>
              <w:rPr>
                <w:color w:val="auto"/>
                <w:spacing w:val="-22"/>
                <w:sz w:val="16"/>
                <w:szCs w:val="16"/>
                <w:highlight w:val="none"/>
              </w:rPr>
              <w:t xml:space="preserve"> </w:t>
            </w:r>
            <w:r>
              <w:rPr>
                <w:color w:val="auto"/>
                <w:spacing w:val="-5"/>
                <w:sz w:val="16"/>
                <w:szCs w:val="16"/>
                <w:highlight w:val="none"/>
              </w:rPr>
              <w:t>万元及</w:t>
            </w:r>
            <w:r>
              <w:rPr>
                <w:color w:val="auto"/>
                <w:spacing w:val="-14"/>
                <w:sz w:val="16"/>
                <w:szCs w:val="16"/>
                <w:highlight w:val="none"/>
              </w:rPr>
              <w:t>以上</w:t>
            </w:r>
          </w:p>
        </w:tc>
        <w:tc>
          <w:tcPr>
            <w:tcW w:w="713" w:type="dxa"/>
            <w:vAlign w:val="top"/>
          </w:tcPr>
          <w:p w14:paraId="7EC4D051">
            <w:pPr>
              <w:rPr>
                <w:rFonts w:ascii="Arial"/>
                <w:color w:val="auto"/>
                <w:sz w:val="21"/>
                <w:highlight w:val="none"/>
              </w:rPr>
            </w:pPr>
          </w:p>
        </w:tc>
        <w:tc>
          <w:tcPr>
            <w:tcW w:w="761" w:type="dxa"/>
            <w:vAlign w:val="top"/>
          </w:tcPr>
          <w:p w14:paraId="2A02F19D">
            <w:pPr>
              <w:pStyle w:val="12"/>
              <w:spacing w:before="124" w:line="301" w:lineRule="auto"/>
              <w:ind w:left="40" w:right="57" w:hanging="9"/>
              <w:rPr>
                <w:color w:val="auto"/>
                <w:sz w:val="16"/>
                <w:szCs w:val="16"/>
                <w:highlight w:val="none"/>
              </w:rPr>
            </w:pPr>
            <w:r>
              <w:rPr>
                <w:color w:val="auto"/>
                <w:spacing w:val="-6"/>
                <w:sz w:val="16"/>
                <w:szCs w:val="16"/>
                <w:highlight w:val="none"/>
              </w:rPr>
              <w:t>20</w:t>
            </w:r>
            <w:r>
              <w:rPr>
                <w:color w:val="auto"/>
                <w:spacing w:val="-24"/>
                <w:sz w:val="16"/>
                <w:szCs w:val="16"/>
                <w:highlight w:val="none"/>
              </w:rPr>
              <w:t xml:space="preserve"> </w:t>
            </w:r>
            <w:r>
              <w:rPr>
                <w:color w:val="auto"/>
                <w:spacing w:val="-6"/>
                <w:sz w:val="16"/>
                <w:szCs w:val="16"/>
                <w:highlight w:val="none"/>
              </w:rPr>
              <w:t>人及以</w:t>
            </w:r>
            <w:r>
              <w:rPr>
                <w:color w:val="auto"/>
                <w:sz w:val="16"/>
                <w:szCs w:val="16"/>
                <w:highlight w:val="none"/>
              </w:rPr>
              <w:t>上</w:t>
            </w:r>
          </w:p>
        </w:tc>
        <w:tc>
          <w:tcPr>
            <w:tcW w:w="760" w:type="dxa"/>
            <w:vAlign w:val="top"/>
          </w:tcPr>
          <w:p w14:paraId="27F0E3A8">
            <w:pPr>
              <w:pStyle w:val="12"/>
              <w:spacing w:before="124" w:line="301" w:lineRule="auto"/>
              <w:ind w:left="43" w:right="130" w:hanging="9"/>
              <w:rPr>
                <w:color w:val="auto"/>
                <w:sz w:val="16"/>
                <w:szCs w:val="16"/>
                <w:highlight w:val="none"/>
              </w:rPr>
            </w:pPr>
            <w:r>
              <w:rPr>
                <w:color w:val="auto"/>
                <w:spacing w:val="-6"/>
                <w:sz w:val="16"/>
                <w:szCs w:val="16"/>
                <w:highlight w:val="none"/>
              </w:rPr>
              <w:t>200</w:t>
            </w:r>
            <w:r>
              <w:rPr>
                <w:color w:val="auto"/>
                <w:spacing w:val="-21"/>
                <w:sz w:val="16"/>
                <w:szCs w:val="16"/>
                <w:highlight w:val="none"/>
              </w:rPr>
              <w:t xml:space="preserve"> </w:t>
            </w:r>
            <w:r>
              <w:rPr>
                <w:color w:val="auto"/>
                <w:spacing w:val="-6"/>
                <w:sz w:val="16"/>
                <w:szCs w:val="16"/>
                <w:highlight w:val="none"/>
              </w:rPr>
              <w:t>万元及以上</w:t>
            </w:r>
          </w:p>
        </w:tc>
        <w:tc>
          <w:tcPr>
            <w:tcW w:w="679" w:type="dxa"/>
            <w:vAlign w:val="top"/>
          </w:tcPr>
          <w:p w14:paraId="6F239FF2">
            <w:pPr>
              <w:rPr>
                <w:rFonts w:ascii="Arial"/>
                <w:color w:val="auto"/>
                <w:sz w:val="21"/>
                <w:highlight w:val="none"/>
              </w:rPr>
            </w:pPr>
          </w:p>
        </w:tc>
        <w:tc>
          <w:tcPr>
            <w:tcW w:w="773" w:type="dxa"/>
            <w:vAlign w:val="top"/>
          </w:tcPr>
          <w:p w14:paraId="32EA7F33">
            <w:pPr>
              <w:pStyle w:val="12"/>
              <w:spacing w:before="268" w:line="224" w:lineRule="auto"/>
              <w:ind w:left="39"/>
              <w:rPr>
                <w:color w:val="auto"/>
                <w:sz w:val="16"/>
                <w:szCs w:val="16"/>
                <w:highlight w:val="none"/>
              </w:rPr>
            </w:pPr>
            <w:r>
              <w:rPr>
                <w:color w:val="auto"/>
                <w:spacing w:val="-5"/>
                <w:sz w:val="16"/>
                <w:szCs w:val="16"/>
                <w:highlight w:val="none"/>
              </w:rPr>
              <w:t>20</w:t>
            </w:r>
            <w:r>
              <w:rPr>
                <w:color w:val="auto"/>
                <w:spacing w:val="-23"/>
                <w:sz w:val="16"/>
                <w:szCs w:val="16"/>
                <w:highlight w:val="none"/>
              </w:rPr>
              <w:t xml:space="preserve"> </w:t>
            </w:r>
            <w:r>
              <w:rPr>
                <w:color w:val="auto"/>
                <w:spacing w:val="-5"/>
                <w:sz w:val="16"/>
                <w:szCs w:val="16"/>
                <w:highlight w:val="none"/>
              </w:rPr>
              <w:t>人以下</w:t>
            </w:r>
          </w:p>
        </w:tc>
        <w:tc>
          <w:tcPr>
            <w:tcW w:w="693" w:type="dxa"/>
            <w:vAlign w:val="top"/>
          </w:tcPr>
          <w:p w14:paraId="5939609B">
            <w:pPr>
              <w:pStyle w:val="12"/>
              <w:spacing w:before="124" w:line="301" w:lineRule="auto"/>
              <w:ind w:left="82" w:right="50" w:hanging="38"/>
              <w:rPr>
                <w:color w:val="auto"/>
                <w:sz w:val="16"/>
                <w:szCs w:val="16"/>
                <w:highlight w:val="none"/>
              </w:rPr>
            </w:pPr>
            <w:r>
              <w:rPr>
                <w:color w:val="auto"/>
                <w:spacing w:val="-6"/>
                <w:sz w:val="16"/>
                <w:szCs w:val="16"/>
                <w:highlight w:val="none"/>
              </w:rPr>
              <w:t>200</w:t>
            </w:r>
            <w:r>
              <w:rPr>
                <w:color w:val="auto"/>
                <w:spacing w:val="-19"/>
                <w:sz w:val="16"/>
                <w:szCs w:val="16"/>
                <w:highlight w:val="none"/>
              </w:rPr>
              <w:t xml:space="preserve"> </w:t>
            </w:r>
            <w:r>
              <w:rPr>
                <w:color w:val="auto"/>
                <w:spacing w:val="-6"/>
                <w:sz w:val="16"/>
                <w:szCs w:val="16"/>
                <w:highlight w:val="none"/>
              </w:rPr>
              <w:t>万元</w:t>
            </w:r>
            <w:r>
              <w:rPr>
                <w:color w:val="auto"/>
                <w:spacing w:val="-14"/>
                <w:sz w:val="16"/>
                <w:szCs w:val="16"/>
                <w:highlight w:val="none"/>
              </w:rPr>
              <w:t>以下</w:t>
            </w:r>
          </w:p>
        </w:tc>
        <w:tc>
          <w:tcPr>
            <w:tcW w:w="800" w:type="dxa"/>
            <w:tcBorders>
              <w:right w:val="single" w:color="000000" w:sz="8" w:space="0"/>
            </w:tcBorders>
            <w:vAlign w:val="top"/>
          </w:tcPr>
          <w:p w14:paraId="4C72F632">
            <w:pPr>
              <w:rPr>
                <w:rFonts w:ascii="Arial"/>
                <w:color w:val="auto"/>
                <w:sz w:val="21"/>
                <w:highlight w:val="none"/>
              </w:rPr>
            </w:pPr>
          </w:p>
        </w:tc>
      </w:tr>
      <w:tr w14:paraId="6D35E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70" w:type="dxa"/>
            <w:tcBorders>
              <w:left w:val="single" w:color="000000" w:sz="8" w:space="0"/>
            </w:tcBorders>
            <w:vAlign w:val="top"/>
          </w:tcPr>
          <w:p w14:paraId="03BBDC54">
            <w:pPr>
              <w:pStyle w:val="12"/>
              <w:spacing w:before="272" w:line="224" w:lineRule="auto"/>
              <w:ind w:left="35"/>
              <w:rPr>
                <w:color w:val="auto"/>
                <w:sz w:val="16"/>
                <w:szCs w:val="16"/>
                <w:highlight w:val="none"/>
              </w:rPr>
            </w:pPr>
            <w:r>
              <w:rPr>
                <w:color w:val="auto"/>
                <w:spacing w:val="-6"/>
                <w:sz w:val="16"/>
                <w:szCs w:val="16"/>
                <w:highlight w:val="none"/>
              </w:rPr>
              <w:t>仓储业</w:t>
            </w:r>
          </w:p>
        </w:tc>
        <w:tc>
          <w:tcPr>
            <w:tcW w:w="759" w:type="dxa"/>
            <w:vAlign w:val="top"/>
          </w:tcPr>
          <w:p w14:paraId="5FCBC4A2">
            <w:pPr>
              <w:pStyle w:val="12"/>
              <w:spacing w:before="129" w:line="298" w:lineRule="auto"/>
              <w:ind w:left="23" w:right="155" w:hanging="13"/>
              <w:rPr>
                <w:color w:val="auto"/>
                <w:sz w:val="16"/>
                <w:szCs w:val="16"/>
                <w:highlight w:val="none"/>
              </w:rPr>
            </w:pPr>
            <w:r>
              <w:rPr>
                <w:color w:val="auto"/>
                <w:spacing w:val="-6"/>
                <w:sz w:val="16"/>
                <w:szCs w:val="16"/>
                <w:highlight w:val="none"/>
              </w:rPr>
              <w:t>200</w:t>
            </w:r>
            <w:r>
              <w:rPr>
                <w:color w:val="auto"/>
                <w:spacing w:val="-24"/>
                <w:sz w:val="16"/>
                <w:szCs w:val="16"/>
                <w:highlight w:val="none"/>
              </w:rPr>
              <w:t xml:space="preserve"> </w:t>
            </w:r>
            <w:r>
              <w:rPr>
                <w:color w:val="auto"/>
                <w:spacing w:val="-6"/>
                <w:sz w:val="16"/>
                <w:szCs w:val="16"/>
                <w:highlight w:val="none"/>
              </w:rPr>
              <w:t>人以</w:t>
            </w:r>
            <w:r>
              <w:rPr>
                <w:color w:val="auto"/>
                <w:sz w:val="16"/>
                <w:szCs w:val="16"/>
                <w:highlight w:val="none"/>
              </w:rPr>
              <w:t>下</w:t>
            </w:r>
          </w:p>
        </w:tc>
        <w:tc>
          <w:tcPr>
            <w:tcW w:w="859" w:type="dxa"/>
            <w:vAlign w:val="top"/>
          </w:tcPr>
          <w:p w14:paraId="0ACAB3E8">
            <w:pPr>
              <w:pStyle w:val="12"/>
              <w:spacing w:before="129" w:line="298" w:lineRule="auto"/>
              <w:ind w:left="50" w:right="92" w:hanging="34"/>
              <w:rPr>
                <w:color w:val="auto"/>
                <w:sz w:val="16"/>
                <w:szCs w:val="16"/>
                <w:highlight w:val="none"/>
              </w:rPr>
            </w:pPr>
            <w:r>
              <w:rPr>
                <w:color w:val="auto"/>
                <w:spacing w:val="-5"/>
                <w:sz w:val="16"/>
                <w:szCs w:val="16"/>
                <w:highlight w:val="none"/>
              </w:rPr>
              <w:t>30000</w:t>
            </w:r>
            <w:r>
              <w:rPr>
                <w:color w:val="auto"/>
                <w:spacing w:val="-22"/>
                <w:sz w:val="16"/>
                <w:szCs w:val="16"/>
                <w:highlight w:val="none"/>
              </w:rPr>
              <w:t xml:space="preserve"> </w:t>
            </w:r>
            <w:r>
              <w:rPr>
                <w:color w:val="auto"/>
                <w:spacing w:val="-5"/>
                <w:sz w:val="16"/>
                <w:szCs w:val="16"/>
                <w:highlight w:val="none"/>
              </w:rPr>
              <w:t>万元</w:t>
            </w:r>
            <w:r>
              <w:rPr>
                <w:color w:val="auto"/>
                <w:spacing w:val="-14"/>
                <w:sz w:val="16"/>
                <w:szCs w:val="16"/>
                <w:highlight w:val="none"/>
              </w:rPr>
              <w:t>以下</w:t>
            </w:r>
          </w:p>
        </w:tc>
        <w:tc>
          <w:tcPr>
            <w:tcW w:w="810" w:type="dxa"/>
            <w:vAlign w:val="top"/>
          </w:tcPr>
          <w:p w14:paraId="2A67AA70">
            <w:pPr>
              <w:rPr>
                <w:rFonts w:ascii="Arial"/>
                <w:color w:val="auto"/>
                <w:sz w:val="21"/>
                <w:highlight w:val="none"/>
              </w:rPr>
            </w:pPr>
          </w:p>
        </w:tc>
        <w:tc>
          <w:tcPr>
            <w:tcW w:w="743" w:type="dxa"/>
            <w:vAlign w:val="top"/>
          </w:tcPr>
          <w:p w14:paraId="4EE41E70">
            <w:pPr>
              <w:pStyle w:val="12"/>
              <w:spacing w:before="129" w:line="298" w:lineRule="auto"/>
              <w:ind w:left="59" w:right="124"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人及</w:t>
            </w:r>
            <w:r>
              <w:rPr>
                <w:color w:val="auto"/>
                <w:spacing w:val="-14"/>
                <w:sz w:val="16"/>
                <w:szCs w:val="16"/>
                <w:highlight w:val="none"/>
              </w:rPr>
              <w:t>以上</w:t>
            </w:r>
          </w:p>
        </w:tc>
        <w:tc>
          <w:tcPr>
            <w:tcW w:w="907" w:type="dxa"/>
            <w:vAlign w:val="top"/>
          </w:tcPr>
          <w:p w14:paraId="7E56279A">
            <w:pPr>
              <w:pStyle w:val="12"/>
              <w:spacing w:before="129" w:line="298" w:lineRule="auto"/>
              <w:ind w:left="63" w:right="47" w:hanging="19"/>
              <w:rPr>
                <w:color w:val="auto"/>
                <w:sz w:val="16"/>
                <w:szCs w:val="16"/>
                <w:highlight w:val="none"/>
              </w:rPr>
            </w:pPr>
            <w:r>
              <w:rPr>
                <w:color w:val="auto"/>
                <w:spacing w:val="-8"/>
                <w:sz w:val="16"/>
                <w:szCs w:val="16"/>
                <w:highlight w:val="none"/>
              </w:rPr>
              <w:t>1000</w:t>
            </w:r>
            <w:r>
              <w:rPr>
                <w:color w:val="auto"/>
                <w:spacing w:val="-15"/>
                <w:sz w:val="16"/>
                <w:szCs w:val="16"/>
                <w:highlight w:val="none"/>
              </w:rPr>
              <w:t xml:space="preserve"> </w:t>
            </w:r>
            <w:r>
              <w:rPr>
                <w:color w:val="auto"/>
                <w:spacing w:val="-8"/>
                <w:sz w:val="16"/>
                <w:szCs w:val="16"/>
                <w:highlight w:val="none"/>
              </w:rPr>
              <w:t>万元及</w:t>
            </w:r>
            <w:r>
              <w:rPr>
                <w:color w:val="auto"/>
                <w:spacing w:val="-14"/>
                <w:sz w:val="16"/>
                <w:szCs w:val="16"/>
                <w:highlight w:val="none"/>
              </w:rPr>
              <w:t>以上</w:t>
            </w:r>
          </w:p>
        </w:tc>
        <w:tc>
          <w:tcPr>
            <w:tcW w:w="713" w:type="dxa"/>
            <w:vAlign w:val="top"/>
          </w:tcPr>
          <w:p w14:paraId="461C50D8">
            <w:pPr>
              <w:rPr>
                <w:rFonts w:ascii="Arial"/>
                <w:color w:val="auto"/>
                <w:sz w:val="21"/>
                <w:highlight w:val="none"/>
              </w:rPr>
            </w:pPr>
          </w:p>
        </w:tc>
        <w:tc>
          <w:tcPr>
            <w:tcW w:w="761" w:type="dxa"/>
            <w:vAlign w:val="top"/>
          </w:tcPr>
          <w:p w14:paraId="232D3741">
            <w:pPr>
              <w:pStyle w:val="12"/>
              <w:spacing w:before="129" w:line="298" w:lineRule="auto"/>
              <w:ind w:left="40" w:right="57" w:hanging="9"/>
              <w:rPr>
                <w:color w:val="auto"/>
                <w:sz w:val="16"/>
                <w:szCs w:val="16"/>
                <w:highlight w:val="none"/>
              </w:rPr>
            </w:pPr>
            <w:r>
              <w:rPr>
                <w:color w:val="auto"/>
                <w:spacing w:val="-6"/>
                <w:sz w:val="16"/>
                <w:szCs w:val="16"/>
                <w:highlight w:val="none"/>
              </w:rPr>
              <w:t>20</w:t>
            </w:r>
            <w:r>
              <w:rPr>
                <w:color w:val="auto"/>
                <w:spacing w:val="-24"/>
                <w:sz w:val="16"/>
                <w:szCs w:val="16"/>
                <w:highlight w:val="none"/>
              </w:rPr>
              <w:t xml:space="preserve"> </w:t>
            </w:r>
            <w:r>
              <w:rPr>
                <w:color w:val="auto"/>
                <w:spacing w:val="-6"/>
                <w:sz w:val="16"/>
                <w:szCs w:val="16"/>
                <w:highlight w:val="none"/>
              </w:rPr>
              <w:t>人及以</w:t>
            </w:r>
            <w:r>
              <w:rPr>
                <w:color w:val="auto"/>
                <w:sz w:val="16"/>
                <w:szCs w:val="16"/>
                <w:highlight w:val="none"/>
              </w:rPr>
              <w:t>上</w:t>
            </w:r>
          </w:p>
        </w:tc>
        <w:tc>
          <w:tcPr>
            <w:tcW w:w="760" w:type="dxa"/>
            <w:vAlign w:val="top"/>
          </w:tcPr>
          <w:p w14:paraId="03E9855D">
            <w:pPr>
              <w:pStyle w:val="12"/>
              <w:spacing w:before="129" w:line="298" w:lineRule="auto"/>
              <w:ind w:left="43" w:right="128" w:firstLine="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6"/>
                <w:sz w:val="16"/>
                <w:szCs w:val="16"/>
                <w:highlight w:val="none"/>
              </w:rPr>
              <w:t>及以上</w:t>
            </w:r>
          </w:p>
        </w:tc>
        <w:tc>
          <w:tcPr>
            <w:tcW w:w="679" w:type="dxa"/>
            <w:vAlign w:val="top"/>
          </w:tcPr>
          <w:p w14:paraId="01522A74">
            <w:pPr>
              <w:rPr>
                <w:rFonts w:ascii="Arial"/>
                <w:color w:val="auto"/>
                <w:sz w:val="21"/>
                <w:highlight w:val="none"/>
              </w:rPr>
            </w:pPr>
          </w:p>
        </w:tc>
        <w:tc>
          <w:tcPr>
            <w:tcW w:w="773" w:type="dxa"/>
            <w:vAlign w:val="top"/>
          </w:tcPr>
          <w:p w14:paraId="2A1AA058">
            <w:pPr>
              <w:pStyle w:val="12"/>
              <w:spacing w:before="272" w:line="224" w:lineRule="auto"/>
              <w:ind w:left="39"/>
              <w:rPr>
                <w:color w:val="auto"/>
                <w:sz w:val="16"/>
                <w:szCs w:val="16"/>
                <w:highlight w:val="none"/>
              </w:rPr>
            </w:pPr>
            <w:r>
              <w:rPr>
                <w:color w:val="auto"/>
                <w:spacing w:val="-5"/>
                <w:sz w:val="16"/>
                <w:szCs w:val="16"/>
                <w:highlight w:val="none"/>
              </w:rPr>
              <w:t>20</w:t>
            </w:r>
            <w:r>
              <w:rPr>
                <w:color w:val="auto"/>
                <w:spacing w:val="-23"/>
                <w:sz w:val="16"/>
                <w:szCs w:val="16"/>
                <w:highlight w:val="none"/>
              </w:rPr>
              <w:t xml:space="preserve"> </w:t>
            </w:r>
            <w:r>
              <w:rPr>
                <w:color w:val="auto"/>
                <w:spacing w:val="-5"/>
                <w:sz w:val="16"/>
                <w:szCs w:val="16"/>
                <w:highlight w:val="none"/>
              </w:rPr>
              <w:t>人以下</w:t>
            </w:r>
          </w:p>
        </w:tc>
        <w:tc>
          <w:tcPr>
            <w:tcW w:w="693" w:type="dxa"/>
            <w:vAlign w:val="top"/>
          </w:tcPr>
          <w:p w14:paraId="1A3C4A13">
            <w:pPr>
              <w:pStyle w:val="12"/>
              <w:spacing w:before="129" w:line="298" w:lineRule="auto"/>
              <w:ind w:left="83" w:right="50"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14"/>
                <w:sz w:val="16"/>
                <w:szCs w:val="16"/>
                <w:highlight w:val="none"/>
              </w:rPr>
              <w:t>以下</w:t>
            </w:r>
          </w:p>
        </w:tc>
        <w:tc>
          <w:tcPr>
            <w:tcW w:w="800" w:type="dxa"/>
            <w:tcBorders>
              <w:right w:val="single" w:color="000000" w:sz="8" w:space="0"/>
            </w:tcBorders>
            <w:vAlign w:val="top"/>
          </w:tcPr>
          <w:p w14:paraId="3400E656">
            <w:pPr>
              <w:rPr>
                <w:rFonts w:ascii="Arial"/>
                <w:color w:val="auto"/>
                <w:sz w:val="21"/>
                <w:highlight w:val="none"/>
              </w:rPr>
            </w:pPr>
          </w:p>
        </w:tc>
      </w:tr>
      <w:tr w14:paraId="23378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0" w:type="dxa"/>
            <w:tcBorders>
              <w:left w:val="single" w:color="000000" w:sz="8" w:space="0"/>
            </w:tcBorders>
            <w:vAlign w:val="top"/>
          </w:tcPr>
          <w:p w14:paraId="7B597A63">
            <w:pPr>
              <w:pStyle w:val="12"/>
              <w:spacing w:before="273" w:line="223" w:lineRule="auto"/>
              <w:ind w:left="51"/>
              <w:rPr>
                <w:color w:val="auto"/>
                <w:sz w:val="16"/>
                <w:szCs w:val="16"/>
                <w:highlight w:val="none"/>
              </w:rPr>
            </w:pPr>
            <w:r>
              <w:rPr>
                <w:color w:val="auto"/>
                <w:spacing w:val="-10"/>
                <w:sz w:val="16"/>
                <w:szCs w:val="16"/>
                <w:highlight w:val="none"/>
              </w:rPr>
              <w:t>邮政业</w:t>
            </w:r>
          </w:p>
        </w:tc>
        <w:tc>
          <w:tcPr>
            <w:tcW w:w="759" w:type="dxa"/>
            <w:vAlign w:val="top"/>
          </w:tcPr>
          <w:p w14:paraId="16A6D4E4">
            <w:pPr>
              <w:pStyle w:val="12"/>
              <w:spacing w:before="127" w:line="300" w:lineRule="auto"/>
              <w:ind w:left="24" w:right="71" w:firstLine="6"/>
              <w:rPr>
                <w:color w:val="auto"/>
                <w:sz w:val="16"/>
                <w:szCs w:val="16"/>
                <w:highlight w:val="none"/>
              </w:rPr>
            </w:pPr>
            <w:r>
              <w:rPr>
                <w:color w:val="auto"/>
                <w:spacing w:val="-8"/>
                <w:sz w:val="16"/>
                <w:szCs w:val="16"/>
                <w:highlight w:val="none"/>
              </w:rPr>
              <w:t>1000</w:t>
            </w:r>
            <w:r>
              <w:rPr>
                <w:color w:val="auto"/>
                <w:spacing w:val="-21"/>
                <w:sz w:val="16"/>
                <w:szCs w:val="16"/>
                <w:highlight w:val="none"/>
              </w:rPr>
              <w:t xml:space="preserve"> </w:t>
            </w:r>
            <w:r>
              <w:rPr>
                <w:color w:val="auto"/>
                <w:spacing w:val="-8"/>
                <w:sz w:val="16"/>
                <w:szCs w:val="16"/>
                <w:highlight w:val="none"/>
              </w:rPr>
              <w:t>人以</w:t>
            </w:r>
            <w:r>
              <w:rPr>
                <w:color w:val="auto"/>
                <w:sz w:val="16"/>
                <w:szCs w:val="16"/>
                <w:highlight w:val="none"/>
              </w:rPr>
              <w:t>下</w:t>
            </w:r>
          </w:p>
        </w:tc>
        <w:tc>
          <w:tcPr>
            <w:tcW w:w="859" w:type="dxa"/>
            <w:vAlign w:val="top"/>
          </w:tcPr>
          <w:p w14:paraId="474654CC">
            <w:pPr>
              <w:pStyle w:val="12"/>
              <w:spacing w:before="127" w:line="300" w:lineRule="auto"/>
              <w:ind w:left="50" w:right="92" w:hanging="34"/>
              <w:rPr>
                <w:color w:val="auto"/>
                <w:sz w:val="16"/>
                <w:szCs w:val="16"/>
                <w:highlight w:val="none"/>
              </w:rPr>
            </w:pPr>
            <w:r>
              <w:rPr>
                <w:color w:val="auto"/>
                <w:spacing w:val="-5"/>
                <w:sz w:val="16"/>
                <w:szCs w:val="16"/>
                <w:highlight w:val="none"/>
              </w:rPr>
              <w:t>30000</w:t>
            </w:r>
            <w:r>
              <w:rPr>
                <w:color w:val="auto"/>
                <w:spacing w:val="-22"/>
                <w:sz w:val="16"/>
                <w:szCs w:val="16"/>
                <w:highlight w:val="none"/>
              </w:rPr>
              <w:t xml:space="preserve"> </w:t>
            </w:r>
            <w:r>
              <w:rPr>
                <w:color w:val="auto"/>
                <w:spacing w:val="-5"/>
                <w:sz w:val="16"/>
                <w:szCs w:val="16"/>
                <w:highlight w:val="none"/>
              </w:rPr>
              <w:t>万元</w:t>
            </w:r>
            <w:r>
              <w:rPr>
                <w:color w:val="auto"/>
                <w:spacing w:val="-14"/>
                <w:sz w:val="16"/>
                <w:szCs w:val="16"/>
                <w:highlight w:val="none"/>
              </w:rPr>
              <w:t>以下</w:t>
            </w:r>
          </w:p>
        </w:tc>
        <w:tc>
          <w:tcPr>
            <w:tcW w:w="810" w:type="dxa"/>
            <w:vAlign w:val="top"/>
          </w:tcPr>
          <w:p w14:paraId="2A80A7C7">
            <w:pPr>
              <w:rPr>
                <w:rFonts w:ascii="Arial"/>
                <w:color w:val="auto"/>
                <w:sz w:val="21"/>
                <w:highlight w:val="none"/>
              </w:rPr>
            </w:pPr>
          </w:p>
        </w:tc>
        <w:tc>
          <w:tcPr>
            <w:tcW w:w="743" w:type="dxa"/>
            <w:vAlign w:val="top"/>
          </w:tcPr>
          <w:p w14:paraId="32AD33D1">
            <w:pPr>
              <w:pStyle w:val="12"/>
              <w:spacing w:before="127" w:line="300" w:lineRule="auto"/>
              <w:ind w:left="58" w:right="126" w:hanging="34"/>
              <w:rPr>
                <w:color w:val="auto"/>
                <w:sz w:val="16"/>
                <w:szCs w:val="16"/>
                <w:highlight w:val="none"/>
              </w:rPr>
            </w:pPr>
            <w:r>
              <w:rPr>
                <w:color w:val="auto"/>
                <w:spacing w:val="-6"/>
                <w:sz w:val="16"/>
                <w:szCs w:val="16"/>
                <w:highlight w:val="none"/>
              </w:rPr>
              <w:t>300</w:t>
            </w:r>
            <w:r>
              <w:rPr>
                <w:color w:val="auto"/>
                <w:spacing w:val="-25"/>
                <w:sz w:val="16"/>
                <w:szCs w:val="16"/>
                <w:highlight w:val="none"/>
              </w:rPr>
              <w:t xml:space="preserve"> </w:t>
            </w:r>
            <w:r>
              <w:rPr>
                <w:color w:val="auto"/>
                <w:spacing w:val="-6"/>
                <w:sz w:val="16"/>
                <w:szCs w:val="16"/>
                <w:highlight w:val="none"/>
              </w:rPr>
              <w:t>人及</w:t>
            </w:r>
            <w:r>
              <w:rPr>
                <w:color w:val="auto"/>
                <w:spacing w:val="-14"/>
                <w:sz w:val="16"/>
                <w:szCs w:val="16"/>
                <w:highlight w:val="none"/>
              </w:rPr>
              <w:t>以上</w:t>
            </w:r>
          </w:p>
        </w:tc>
        <w:tc>
          <w:tcPr>
            <w:tcW w:w="907" w:type="dxa"/>
            <w:vAlign w:val="top"/>
          </w:tcPr>
          <w:p w14:paraId="6CB7652B">
            <w:pPr>
              <w:pStyle w:val="12"/>
              <w:spacing w:before="127" w:line="300" w:lineRule="auto"/>
              <w:ind w:left="62" w:right="49" w:hanging="38"/>
              <w:rPr>
                <w:color w:val="auto"/>
                <w:sz w:val="16"/>
                <w:szCs w:val="16"/>
                <w:highlight w:val="none"/>
              </w:rPr>
            </w:pPr>
            <w:r>
              <w:rPr>
                <w:color w:val="auto"/>
                <w:spacing w:val="-5"/>
                <w:sz w:val="16"/>
                <w:szCs w:val="16"/>
                <w:highlight w:val="none"/>
              </w:rPr>
              <w:t>2000</w:t>
            </w:r>
            <w:r>
              <w:rPr>
                <w:color w:val="auto"/>
                <w:spacing w:val="-19"/>
                <w:sz w:val="16"/>
                <w:szCs w:val="16"/>
                <w:highlight w:val="none"/>
              </w:rPr>
              <w:t xml:space="preserve"> </w:t>
            </w:r>
            <w:r>
              <w:rPr>
                <w:color w:val="auto"/>
                <w:spacing w:val="-5"/>
                <w:sz w:val="16"/>
                <w:szCs w:val="16"/>
                <w:highlight w:val="none"/>
              </w:rPr>
              <w:t>万元及</w:t>
            </w:r>
            <w:r>
              <w:rPr>
                <w:color w:val="auto"/>
                <w:spacing w:val="-14"/>
                <w:sz w:val="16"/>
                <w:szCs w:val="16"/>
                <w:highlight w:val="none"/>
              </w:rPr>
              <w:t>以上</w:t>
            </w:r>
          </w:p>
        </w:tc>
        <w:tc>
          <w:tcPr>
            <w:tcW w:w="713" w:type="dxa"/>
            <w:vAlign w:val="top"/>
          </w:tcPr>
          <w:p w14:paraId="39DD8D73">
            <w:pPr>
              <w:rPr>
                <w:rFonts w:ascii="Arial"/>
                <w:color w:val="auto"/>
                <w:sz w:val="21"/>
                <w:highlight w:val="none"/>
              </w:rPr>
            </w:pPr>
          </w:p>
        </w:tc>
        <w:tc>
          <w:tcPr>
            <w:tcW w:w="761" w:type="dxa"/>
            <w:vAlign w:val="top"/>
          </w:tcPr>
          <w:p w14:paraId="08ECE808">
            <w:pPr>
              <w:pStyle w:val="12"/>
              <w:spacing w:before="127" w:line="300" w:lineRule="auto"/>
              <w:ind w:left="40" w:right="57" w:hanging="9"/>
              <w:rPr>
                <w:color w:val="auto"/>
                <w:sz w:val="16"/>
                <w:szCs w:val="16"/>
                <w:highlight w:val="none"/>
              </w:rPr>
            </w:pPr>
            <w:r>
              <w:rPr>
                <w:color w:val="auto"/>
                <w:spacing w:val="-6"/>
                <w:sz w:val="16"/>
                <w:szCs w:val="16"/>
                <w:highlight w:val="none"/>
              </w:rPr>
              <w:t>20</w:t>
            </w:r>
            <w:r>
              <w:rPr>
                <w:color w:val="auto"/>
                <w:spacing w:val="-24"/>
                <w:sz w:val="16"/>
                <w:szCs w:val="16"/>
                <w:highlight w:val="none"/>
              </w:rPr>
              <w:t xml:space="preserve"> </w:t>
            </w:r>
            <w:r>
              <w:rPr>
                <w:color w:val="auto"/>
                <w:spacing w:val="-6"/>
                <w:sz w:val="16"/>
                <w:szCs w:val="16"/>
                <w:highlight w:val="none"/>
              </w:rPr>
              <w:t>人及以</w:t>
            </w:r>
            <w:r>
              <w:rPr>
                <w:color w:val="auto"/>
                <w:sz w:val="16"/>
                <w:szCs w:val="16"/>
                <w:highlight w:val="none"/>
              </w:rPr>
              <w:t>上</w:t>
            </w:r>
          </w:p>
        </w:tc>
        <w:tc>
          <w:tcPr>
            <w:tcW w:w="760" w:type="dxa"/>
            <w:vAlign w:val="top"/>
          </w:tcPr>
          <w:p w14:paraId="76F9943A">
            <w:pPr>
              <w:pStyle w:val="12"/>
              <w:spacing w:before="127" w:line="300" w:lineRule="auto"/>
              <w:ind w:left="43" w:right="128" w:firstLine="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6"/>
                <w:sz w:val="16"/>
                <w:szCs w:val="16"/>
                <w:highlight w:val="none"/>
              </w:rPr>
              <w:t>及以上</w:t>
            </w:r>
          </w:p>
        </w:tc>
        <w:tc>
          <w:tcPr>
            <w:tcW w:w="679" w:type="dxa"/>
            <w:vAlign w:val="top"/>
          </w:tcPr>
          <w:p w14:paraId="7480800A">
            <w:pPr>
              <w:rPr>
                <w:rFonts w:ascii="Arial"/>
                <w:color w:val="auto"/>
                <w:sz w:val="21"/>
                <w:highlight w:val="none"/>
              </w:rPr>
            </w:pPr>
          </w:p>
        </w:tc>
        <w:tc>
          <w:tcPr>
            <w:tcW w:w="773" w:type="dxa"/>
            <w:vAlign w:val="top"/>
          </w:tcPr>
          <w:p w14:paraId="2E8D45FD">
            <w:pPr>
              <w:pStyle w:val="12"/>
              <w:spacing w:before="273" w:line="224" w:lineRule="auto"/>
              <w:ind w:left="39"/>
              <w:rPr>
                <w:color w:val="auto"/>
                <w:sz w:val="16"/>
                <w:szCs w:val="16"/>
                <w:highlight w:val="none"/>
              </w:rPr>
            </w:pPr>
            <w:r>
              <w:rPr>
                <w:color w:val="auto"/>
                <w:spacing w:val="-5"/>
                <w:sz w:val="16"/>
                <w:szCs w:val="16"/>
                <w:highlight w:val="none"/>
              </w:rPr>
              <w:t>20</w:t>
            </w:r>
            <w:r>
              <w:rPr>
                <w:color w:val="auto"/>
                <w:spacing w:val="-23"/>
                <w:sz w:val="16"/>
                <w:szCs w:val="16"/>
                <w:highlight w:val="none"/>
              </w:rPr>
              <w:t xml:space="preserve"> </w:t>
            </w:r>
            <w:r>
              <w:rPr>
                <w:color w:val="auto"/>
                <w:spacing w:val="-5"/>
                <w:sz w:val="16"/>
                <w:szCs w:val="16"/>
                <w:highlight w:val="none"/>
              </w:rPr>
              <w:t>人以下</w:t>
            </w:r>
          </w:p>
        </w:tc>
        <w:tc>
          <w:tcPr>
            <w:tcW w:w="693" w:type="dxa"/>
            <w:vAlign w:val="top"/>
          </w:tcPr>
          <w:p w14:paraId="2C345C8A">
            <w:pPr>
              <w:pStyle w:val="12"/>
              <w:spacing w:before="127" w:line="300" w:lineRule="auto"/>
              <w:ind w:left="83" w:right="50"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14"/>
                <w:sz w:val="16"/>
                <w:szCs w:val="16"/>
                <w:highlight w:val="none"/>
              </w:rPr>
              <w:t>以下</w:t>
            </w:r>
          </w:p>
        </w:tc>
        <w:tc>
          <w:tcPr>
            <w:tcW w:w="800" w:type="dxa"/>
            <w:tcBorders>
              <w:right w:val="single" w:color="000000" w:sz="8" w:space="0"/>
            </w:tcBorders>
            <w:vAlign w:val="top"/>
          </w:tcPr>
          <w:p w14:paraId="279549F6">
            <w:pPr>
              <w:rPr>
                <w:rFonts w:ascii="Arial"/>
                <w:color w:val="auto"/>
                <w:sz w:val="21"/>
                <w:highlight w:val="none"/>
              </w:rPr>
            </w:pPr>
          </w:p>
        </w:tc>
      </w:tr>
      <w:tr w14:paraId="498B3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0" w:type="dxa"/>
            <w:tcBorders>
              <w:left w:val="single" w:color="000000" w:sz="8" w:space="0"/>
            </w:tcBorders>
            <w:vAlign w:val="top"/>
          </w:tcPr>
          <w:p w14:paraId="18DB9F8F">
            <w:pPr>
              <w:pStyle w:val="12"/>
              <w:spacing w:before="276" w:line="223" w:lineRule="auto"/>
              <w:ind w:left="27"/>
              <w:rPr>
                <w:color w:val="auto"/>
                <w:sz w:val="16"/>
                <w:szCs w:val="16"/>
                <w:highlight w:val="none"/>
              </w:rPr>
            </w:pPr>
            <w:r>
              <w:rPr>
                <w:color w:val="auto"/>
                <w:spacing w:val="-5"/>
                <w:sz w:val="16"/>
                <w:szCs w:val="16"/>
                <w:highlight w:val="none"/>
              </w:rPr>
              <w:t>住宿业</w:t>
            </w:r>
          </w:p>
        </w:tc>
        <w:tc>
          <w:tcPr>
            <w:tcW w:w="759" w:type="dxa"/>
            <w:vAlign w:val="top"/>
          </w:tcPr>
          <w:p w14:paraId="04825EE1">
            <w:pPr>
              <w:pStyle w:val="12"/>
              <w:spacing w:before="130" w:line="298" w:lineRule="auto"/>
              <w:ind w:left="21" w:right="155" w:hanging="9"/>
              <w:rPr>
                <w:color w:val="auto"/>
                <w:sz w:val="16"/>
                <w:szCs w:val="16"/>
                <w:highlight w:val="none"/>
              </w:rPr>
            </w:pPr>
            <w:r>
              <w:rPr>
                <w:color w:val="auto"/>
                <w:spacing w:val="-6"/>
                <w:sz w:val="16"/>
                <w:szCs w:val="16"/>
                <w:highlight w:val="none"/>
              </w:rPr>
              <w:t>300</w:t>
            </w:r>
            <w:r>
              <w:rPr>
                <w:color w:val="auto"/>
                <w:spacing w:val="-25"/>
                <w:sz w:val="16"/>
                <w:szCs w:val="16"/>
                <w:highlight w:val="none"/>
              </w:rPr>
              <w:t xml:space="preserve"> </w:t>
            </w:r>
            <w:r>
              <w:rPr>
                <w:color w:val="auto"/>
                <w:spacing w:val="-6"/>
                <w:sz w:val="16"/>
                <w:szCs w:val="16"/>
                <w:highlight w:val="none"/>
              </w:rPr>
              <w:t>人以</w:t>
            </w:r>
            <w:r>
              <w:rPr>
                <w:color w:val="auto"/>
                <w:sz w:val="16"/>
                <w:szCs w:val="16"/>
                <w:highlight w:val="none"/>
              </w:rPr>
              <w:t>下</w:t>
            </w:r>
          </w:p>
        </w:tc>
        <w:tc>
          <w:tcPr>
            <w:tcW w:w="859" w:type="dxa"/>
            <w:vAlign w:val="top"/>
          </w:tcPr>
          <w:p w14:paraId="432BF846">
            <w:pPr>
              <w:pStyle w:val="12"/>
              <w:spacing w:before="130" w:line="298" w:lineRule="auto"/>
              <w:ind w:left="51" w:right="90" w:hanging="19"/>
              <w:rPr>
                <w:color w:val="auto"/>
                <w:sz w:val="16"/>
                <w:szCs w:val="16"/>
                <w:highlight w:val="none"/>
              </w:rPr>
            </w:pPr>
            <w:r>
              <w:rPr>
                <w:color w:val="auto"/>
                <w:spacing w:val="-7"/>
                <w:sz w:val="16"/>
                <w:szCs w:val="16"/>
                <w:highlight w:val="none"/>
              </w:rPr>
              <w:t>10000</w:t>
            </w:r>
            <w:r>
              <w:rPr>
                <w:color w:val="auto"/>
                <w:spacing w:val="-21"/>
                <w:sz w:val="16"/>
                <w:szCs w:val="16"/>
                <w:highlight w:val="none"/>
              </w:rPr>
              <w:t xml:space="preserve"> </w:t>
            </w:r>
            <w:r>
              <w:rPr>
                <w:color w:val="auto"/>
                <w:spacing w:val="-7"/>
                <w:sz w:val="16"/>
                <w:szCs w:val="16"/>
                <w:highlight w:val="none"/>
              </w:rPr>
              <w:t>万元</w:t>
            </w:r>
            <w:r>
              <w:rPr>
                <w:color w:val="auto"/>
                <w:spacing w:val="-14"/>
                <w:sz w:val="16"/>
                <w:szCs w:val="16"/>
                <w:highlight w:val="none"/>
              </w:rPr>
              <w:t>以下</w:t>
            </w:r>
          </w:p>
        </w:tc>
        <w:tc>
          <w:tcPr>
            <w:tcW w:w="810" w:type="dxa"/>
            <w:vAlign w:val="top"/>
          </w:tcPr>
          <w:p w14:paraId="7B7A04D1">
            <w:pPr>
              <w:rPr>
                <w:rFonts w:ascii="Arial"/>
                <w:color w:val="auto"/>
                <w:sz w:val="21"/>
                <w:highlight w:val="none"/>
              </w:rPr>
            </w:pPr>
          </w:p>
        </w:tc>
        <w:tc>
          <w:tcPr>
            <w:tcW w:w="743" w:type="dxa"/>
            <w:vAlign w:val="top"/>
          </w:tcPr>
          <w:p w14:paraId="0FC66838">
            <w:pPr>
              <w:pStyle w:val="12"/>
              <w:spacing w:before="130" w:line="298" w:lineRule="auto"/>
              <w:ind w:left="59" w:right="124"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人及</w:t>
            </w:r>
            <w:r>
              <w:rPr>
                <w:color w:val="auto"/>
                <w:spacing w:val="-14"/>
                <w:sz w:val="16"/>
                <w:szCs w:val="16"/>
                <w:highlight w:val="none"/>
              </w:rPr>
              <w:t>以上</w:t>
            </w:r>
          </w:p>
        </w:tc>
        <w:tc>
          <w:tcPr>
            <w:tcW w:w="907" w:type="dxa"/>
            <w:vAlign w:val="top"/>
          </w:tcPr>
          <w:p w14:paraId="4DCAFA52">
            <w:pPr>
              <w:pStyle w:val="12"/>
              <w:spacing w:before="130" w:line="298" w:lineRule="auto"/>
              <w:ind w:left="62" w:right="49" w:hanging="38"/>
              <w:rPr>
                <w:color w:val="auto"/>
                <w:sz w:val="16"/>
                <w:szCs w:val="16"/>
                <w:highlight w:val="none"/>
              </w:rPr>
            </w:pPr>
            <w:r>
              <w:rPr>
                <w:color w:val="auto"/>
                <w:spacing w:val="-5"/>
                <w:sz w:val="16"/>
                <w:szCs w:val="16"/>
                <w:highlight w:val="none"/>
              </w:rPr>
              <w:t>2000</w:t>
            </w:r>
            <w:r>
              <w:rPr>
                <w:color w:val="auto"/>
                <w:spacing w:val="-19"/>
                <w:sz w:val="16"/>
                <w:szCs w:val="16"/>
                <w:highlight w:val="none"/>
              </w:rPr>
              <w:t xml:space="preserve"> </w:t>
            </w:r>
            <w:r>
              <w:rPr>
                <w:color w:val="auto"/>
                <w:spacing w:val="-5"/>
                <w:sz w:val="16"/>
                <w:szCs w:val="16"/>
                <w:highlight w:val="none"/>
              </w:rPr>
              <w:t>万元及</w:t>
            </w:r>
            <w:r>
              <w:rPr>
                <w:color w:val="auto"/>
                <w:spacing w:val="-14"/>
                <w:sz w:val="16"/>
                <w:szCs w:val="16"/>
                <w:highlight w:val="none"/>
              </w:rPr>
              <w:t>以上</w:t>
            </w:r>
          </w:p>
        </w:tc>
        <w:tc>
          <w:tcPr>
            <w:tcW w:w="713" w:type="dxa"/>
            <w:vAlign w:val="top"/>
          </w:tcPr>
          <w:p w14:paraId="799C648D">
            <w:pPr>
              <w:rPr>
                <w:rFonts w:ascii="Arial"/>
                <w:color w:val="auto"/>
                <w:sz w:val="21"/>
                <w:highlight w:val="none"/>
              </w:rPr>
            </w:pPr>
          </w:p>
        </w:tc>
        <w:tc>
          <w:tcPr>
            <w:tcW w:w="761" w:type="dxa"/>
            <w:vAlign w:val="top"/>
          </w:tcPr>
          <w:p w14:paraId="6F175371">
            <w:pPr>
              <w:pStyle w:val="12"/>
              <w:spacing w:before="130" w:line="298" w:lineRule="auto"/>
              <w:ind w:left="41" w:right="57" w:firstLine="10"/>
              <w:rPr>
                <w:color w:val="auto"/>
                <w:sz w:val="16"/>
                <w:szCs w:val="16"/>
                <w:highlight w:val="none"/>
              </w:rPr>
            </w:pPr>
            <w:r>
              <w:rPr>
                <w:color w:val="auto"/>
                <w:spacing w:val="-10"/>
                <w:sz w:val="16"/>
                <w:szCs w:val="16"/>
                <w:highlight w:val="none"/>
              </w:rPr>
              <w:t>10</w:t>
            </w:r>
            <w:r>
              <w:rPr>
                <w:color w:val="auto"/>
                <w:spacing w:val="-24"/>
                <w:sz w:val="16"/>
                <w:szCs w:val="16"/>
                <w:highlight w:val="none"/>
              </w:rPr>
              <w:t xml:space="preserve"> </w:t>
            </w:r>
            <w:r>
              <w:rPr>
                <w:color w:val="auto"/>
                <w:spacing w:val="-10"/>
                <w:sz w:val="16"/>
                <w:szCs w:val="16"/>
                <w:highlight w:val="none"/>
              </w:rPr>
              <w:t>人及以</w:t>
            </w:r>
            <w:r>
              <w:rPr>
                <w:color w:val="auto"/>
                <w:sz w:val="16"/>
                <w:szCs w:val="16"/>
                <w:highlight w:val="none"/>
              </w:rPr>
              <w:t>上</w:t>
            </w:r>
          </w:p>
        </w:tc>
        <w:tc>
          <w:tcPr>
            <w:tcW w:w="760" w:type="dxa"/>
            <w:vAlign w:val="top"/>
          </w:tcPr>
          <w:p w14:paraId="33169DF4">
            <w:pPr>
              <w:pStyle w:val="12"/>
              <w:spacing w:before="130" w:line="298" w:lineRule="auto"/>
              <w:ind w:left="43" w:right="128" w:firstLine="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6"/>
                <w:sz w:val="16"/>
                <w:szCs w:val="16"/>
                <w:highlight w:val="none"/>
              </w:rPr>
              <w:t>及以上</w:t>
            </w:r>
          </w:p>
        </w:tc>
        <w:tc>
          <w:tcPr>
            <w:tcW w:w="679" w:type="dxa"/>
            <w:vAlign w:val="top"/>
          </w:tcPr>
          <w:p w14:paraId="3BF20D81">
            <w:pPr>
              <w:rPr>
                <w:rFonts w:ascii="Arial"/>
                <w:color w:val="auto"/>
                <w:sz w:val="21"/>
                <w:highlight w:val="none"/>
              </w:rPr>
            </w:pPr>
          </w:p>
        </w:tc>
        <w:tc>
          <w:tcPr>
            <w:tcW w:w="773" w:type="dxa"/>
            <w:vAlign w:val="top"/>
          </w:tcPr>
          <w:p w14:paraId="355EFB0D">
            <w:pPr>
              <w:pStyle w:val="12"/>
              <w:spacing w:before="276" w:line="224" w:lineRule="auto"/>
              <w:ind w:left="59"/>
              <w:rPr>
                <w:color w:val="auto"/>
                <w:sz w:val="16"/>
                <w:szCs w:val="16"/>
                <w:highlight w:val="none"/>
              </w:rPr>
            </w:pPr>
            <w:r>
              <w:rPr>
                <w:color w:val="auto"/>
                <w:spacing w:val="-8"/>
                <w:sz w:val="16"/>
                <w:szCs w:val="16"/>
                <w:highlight w:val="none"/>
              </w:rPr>
              <w:t>10</w:t>
            </w:r>
            <w:r>
              <w:rPr>
                <w:color w:val="auto"/>
                <w:spacing w:val="-23"/>
                <w:sz w:val="16"/>
                <w:szCs w:val="16"/>
                <w:highlight w:val="none"/>
              </w:rPr>
              <w:t xml:space="preserve"> </w:t>
            </w:r>
            <w:r>
              <w:rPr>
                <w:color w:val="auto"/>
                <w:spacing w:val="-8"/>
                <w:sz w:val="16"/>
                <w:szCs w:val="16"/>
                <w:highlight w:val="none"/>
              </w:rPr>
              <w:t>人以下</w:t>
            </w:r>
          </w:p>
        </w:tc>
        <w:tc>
          <w:tcPr>
            <w:tcW w:w="693" w:type="dxa"/>
            <w:vAlign w:val="top"/>
          </w:tcPr>
          <w:p w14:paraId="6944B913">
            <w:pPr>
              <w:pStyle w:val="12"/>
              <w:spacing w:before="130" w:line="298" w:lineRule="auto"/>
              <w:ind w:left="83" w:right="50"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14"/>
                <w:sz w:val="16"/>
                <w:szCs w:val="16"/>
                <w:highlight w:val="none"/>
              </w:rPr>
              <w:t>以下</w:t>
            </w:r>
          </w:p>
        </w:tc>
        <w:tc>
          <w:tcPr>
            <w:tcW w:w="800" w:type="dxa"/>
            <w:tcBorders>
              <w:right w:val="single" w:color="000000" w:sz="8" w:space="0"/>
            </w:tcBorders>
            <w:vAlign w:val="top"/>
          </w:tcPr>
          <w:p w14:paraId="50D4F0B4">
            <w:pPr>
              <w:rPr>
                <w:rFonts w:ascii="Arial"/>
                <w:color w:val="auto"/>
                <w:sz w:val="21"/>
                <w:highlight w:val="none"/>
              </w:rPr>
            </w:pPr>
          </w:p>
        </w:tc>
      </w:tr>
      <w:tr w14:paraId="3A194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0" w:type="dxa"/>
            <w:tcBorders>
              <w:left w:val="single" w:color="000000" w:sz="8" w:space="0"/>
            </w:tcBorders>
            <w:vAlign w:val="top"/>
          </w:tcPr>
          <w:p w14:paraId="2FAB679F">
            <w:pPr>
              <w:pStyle w:val="12"/>
              <w:spacing w:before="279" w:line="224" w:lineRule="auto"/>
              <w:ind w:left="35"/>
              <w:rPr>
                <w:color w:val="auto"/>
                <w:sz w:val="16"/>
                <w:szCs w:val="16"/>
                <w:highlight w:val="none"/>
              </w:rPr>
            </w:pPr>
            <w:r>
              <w:rPr>
                <w:color w:val="auto"/>
                <w:spacing w:val="-6"/>
                <w:sz w:val="16"/>
                <w:szCs w:val="16"/>
                <w:highlight w:val="none"/>
              </w:rPr>
              <w:t>餐饮业</w:t>
            </w:r>
          </w:p>
        </w:tc>
        <w:tc>
          <w:tcPr>
            <w:tcW w:w="759" w:type="dxa"/>
            <w:vAlign w:val="top"/>
          </w:tcPr>
          <w:p w14:paraId="0B7D0A59">
            <w:pPr>
              <w:pStyle w:val="12"/>
              <w:spacing w:before="135" w:line="295" w:lineRule="auto"/>
              <w:ind w:left="21" w:right="155" w:hanging="9"/>
              <w:rPr>
                <w:color w:val="auto"/>
                <w:sz w:val="16"/>
                <w:szCs w:val="16"/>
                <w:highlight w:val="none"/>
              </w:rPr>
            </w:pPr>
            <w:r>
              <w:rPr>
                <w:color w:val="auto"/>
                <w:spacing w:val="-6"/>
                <w:sz w:val="16"/>
                <w:szCs w:val="16"/>
                <w:highlight w:val="none"/>
              </w:rPr>
              <w:t>300</w:t>
            </w:r>
            <w:r>
              <w:rPr>
                <w:color w:val="auto"/>
                <w:spacing w:val="-25"/>
                <w:sz w:val="16"/>
                <w:szCs w:val="16"/>
                <w:highlight w:val="none"/>
              </w:rPr>
              <w:t xml:space="preserve"> </w:t>
            </w:r>
            <w:r>
              <w:rPr>
                <w:color w:val="auto"/>
                <w:spacing w:val="-6"/>
                <w:sz w:val="16"/>
                <w:szCs w:val="16"/>
                <w:highlight w:val="none"/>
              </w:rPr>
              <w:t>人以</w:t>
            </w:r>
            <w:r>
              <w:rPr>
                <w:color w:val="auto"/>
                <w:sz w:val="16"/>
                <w:szCs w:val="16"/>
                <w:highlight w:val="none"/>
              </w:rPr>
              <w:t>下</w:t>
            </w:r>
          </w:p>
        </w:tc>
        <w:tc>
          <w:tcPr>
            <w:tcW w:w="859" w:type="dxa"/>
            <w:vAlign w:val="top"/>
          </w:tcPr>
          <w:p w14:paraId="0FC265CE">
            <w:pPr>
              <w:pStyle w:val="12"/>
              <w:spacing w:before="135" w:line="295" w:lineRule="auto"/>
              <w:ind w:left="51" w:right="90" w:hanging="19"/>
              <w:rPr>
                <w:color w:val="auto"/>
                <w:sz w:val="16"/>
                <w:szCs w:val="16"/>
                <w:highlight w:val="none"/>
              </w:rPr>
            </w:pPr>
            <w:r>
              <w:rPr>
                <w:color w:val="auto"/>
                <w:spacing w:val="-7"/>
                <w:sz w:val="16"/>
                <w:szCs w:val="16"/>
                <w:highlight w:val="none"/>
              </w:rPr>
              <w:t>10000</w:t>
            </w:r>
            <w:r>
              <w:rPr>
                <w:color w:val="auto"/>
                <w:spacing w:val="-21"/>
                <w:sz w:val="16"/>
                <w:szCs w:val="16"/>
                <w:highlight w:val="none"/>
              </w:rPr>
              <w:t xml:space="preserve"> </w:t>
            </w:r>
            <w:r>
              <w:rPr>
                <w:color w:val="auto"/>
                <w:spacing w:val="-7"/>
                <w:sz w:val="16"/>
                <w:szCs w:val="16"/>
                <w:highlight w:val="none"/>
              </w:rPr>
              <w:t>万元</w:t>
            </w:r>
            <w:r>
              <w:rPr>
                <w:color w:val="auto"/>
                <w:spacing w:val="-14"/>
                <w:sz w:val="16"/>
                <w:szCs w:val="16"/>
                <w:highlight w:val="none"/>
              </w:rPr>
              <w:t>以下</w:t>
            </w:r>
          </w:p>
        </w:tc>
        <w:tc>
          <w:tcPr>
            <w:tcW w:w="810" w:type="dxa"/>
            <w:vAlign w:val="top"/>
          </w:tcPr>
          <w:p w14:paraId="6167FE2B">
            <w:pPr>
              <w:rPr>
                <w:rFonts w:ascii="Arial"/>
                <w:color w:val="auto"/>
                <w:sz w:val="21"/>
                <w:highlight w:val="none"/>
              </w:rPr>
            </w:pPr>
          </w:p>
        </w:tc>
        <w:tc>
          <w:tcPr>
            <w:tcW w:w="743" w:type="dxa"/>
            <w:vAlign w:val="top"/>
          </w:tcPr>
          <w:p w14:paraId="01B8FE34">
            <w:pPr>
              <w:pStyle w:val="12"/>
              <w:spacing w:before="135" w:line="295" w:lineRule="auto"/>
              <w:ind w:left="59" w:right="124"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人及</w:t>
            </w:r>
            <w:r>
              <w:rPr>
                <w:color w:val="auto"/>
                <w:spacing w:val="-14"/>
                <w:sz w:val="16"/>
                <w:szCs w:val="16"/>
                <w:highlight w:val="none"/>
              </w:rPr>
              <w:t>以上</w:t>
            </w:r>
          </w:p>
        </w:tc>
        <w:tc>
          <w:tcPr>
            <w:tcW w:w="907" w:type="dxa"/>
            <w:vAlign w:val="top"/>
          </w:tcPr>
          <w:p w14:paraId="44A5503E">
            <w:pPr>
              <w:pStyle w:val="12"/>
              <w:spacing w:before="135" w:line="295" w:lineRule="auto"/>
              <w:ind w:left="62" w:right="49" w:hanging="38"/>
              <w:rPr>
                <w:color w:val="auto"/>
                <w:sz w:val="16"/>
                <w:szCs w:val="16"/>
                <w:highlight w:val="none"/>
              </w:rPr>
            </w:pPr>
            <w:r>
              <w:rPr>
                <w:color w:val="auto"/>
                <w:spacing w:val="-5"/>
                <w:sz w:val="16"/>
                <w:szCs w:val="16"/>
                <w:highlight w:val="none"/>
              </w:rPr>
              <w:t>2000</w:t>
            </w:r>
            <w:r>
              <w:rPr>
                <w:color w:val="auto"/>
                <w:spacing w:val="-19"/>
                <w:sz w:val="16"/>
                <w:szCs w:val="16"/>
                <w:highlight w:val="none"/>
              </w:rPr>
              <w:t xml:space="preserve"> </w:t>
            </w:r>
            <w:r>
              <w:rPr>
                <w:color w:val="auto"/>
                <w:spacing w:val="-5"/>
                <w:sz w:val="16"/>
                <w:szCs w:val="16"/>
                <w:highlight w:val="none"/>
              </w:rPr>
              <w:t>万元及</w:t>
            </w:r>
            <w:r>
              <w:rPr>
                <w:color w:val="auto"/>
                <w:spacing w:val="-14"/>
                <w:sz w:val="16"/>
                <w:szCs w:val="16"/>
                <w:highlight w:val="none"/>
              </w:rPr>
              <w:t>以上</w:t>
            </w:r>
          </w:p>
        </w:tc>
        <w:tc>
          <w:tcPr>
            <w:tcW w:w="713" w:type="dxa"/>
            <w:vAlign w:val="top"/>
          </w:tcPr>
          <w:p w14:paraId="0DF87088">
            <w:pPr>
              <w:rPr>
                <w:rFonts w:ascii="Arial"/>
                <w:color w:val="auto"/>
                <w:sz w:val="21"/>
                <w:highlight w:val="none"/>
              </w:rPr>
            </w:pPr>
          </w:p>
        </w:tc>
        <w:tc>
          <w:tcPr>
            <w:tcW w:w="761" w:type="dxa"/>
            <w:vAlign w:val="top"/>
          </w:tcPr>
          <w:p w14:paraId="178422E4">
            <w:pPr>
              <w:pStyle w:val="12"/>
              <w:spacing w:before="135" w:line="295" w:lineRule="auto"/>
              <w:ind w:left="41" w:right="57" w:firstLine="10"/>
              <w:rPr>
                <w:color w:val="auto"/>
                <w:sz w:val="16"/>
                <w:szCs w:val="16"/>
                <w:highlight w:val="none"/>
              </w:rPr>
            </w:pPr>
            <w:r>
              <w:rPr>
                <w:color w:val="auto"/>
                <w:spacing w:val="-10"/>
                <w:sz w:val="16"/>
                <w:szCs w:val="16"/>
                <w:highlight w:val="none"/>
              </w:rPr>
              <w:t>10</w:t>
            </w:r>
            <w:r>
              <w:rPr>
                <w:color w:val="auto"/>
                <w:spacing w:val="-24"/>
                <w:sz w:val="16"/>
                <w:szCs w:val="16"/>
                <w:highlight w:val="none"/>
              </w:rPr>
              <w:t xml:space="preserve"> </w:t>
            </w:r>
            <w:r>
              <w:rPr>
                <w:color w:val="auto"/>
                <w:spacing w:val="-10"/>
                <w:sz w:val="16"/>
                <w:szCs w:val="16"/>
                <w:highlight w:val="none"/>
              </w:rPr>
              <w:t>人及以</w:t>
            </w:r>
            <w:r>
              <w:rPr>
                <w:color w:val="auto"/>
                <w:sz w:val="16"/>
                <w:szCs w:val="16"/>
                <w:highlight w:val="none"/>
              </w:rPr>
              <w:t>上</w:t>
            </w:r>
          </w:p>
        </w:tc>
        <w:tc>
          <w:tcPr>
            <w:tcW w:w="760" w:type="dxa"/>
            <w:vAlign w:val="top"/>
          </w:tcPr>
          <w:p w14:paraId="11A50608">
            <w:pPr>
              <w:pStyle w:val="12"/>
              <w:spacing w:before="135" w:line="295" w:lineRule="auto"/>
              <w:ind w:left="43" w:right="128" w:firstLine="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6"/>
                <w:sz w:val="16"/>
                <w:szCs w:val="16"/>
                <w:highlight w:val="none"/>
              </w:rPr>
              <w:t>及以上</w:t>
            </w:r>
          </w:p>
        </w:tc>
        <w:tc>
          <w:tcPr>
            <w:tcW w:w="679" w:type="dxa"/>
            <w:vAlign w:val="top"/>
          </w:tcPr>
          <w:p w14:paraId="4FFEE0F7">
            <w:pPr>
              <w:rPr>
                <w:rFonts w:ascii="Arial"/>
                <w:color w:val="auto"/>
                <w:sz w:val="21"/>
                <w:highlight w:val="none"/>
              </w:rPr>
            </w:pPr>
          </w:p>
        </w:tc>
        <w:tc>
          <w:tcPr>
            <w:tcW w:w="773" w:type="dxa"/>
            <w:vAlign w:val="top"/>
          </w:tcPr>
          <w:p w14:paraId="57CE0DF0">
            <w:pPr>
              <w:pStyle w:val="12"/>
              <w:spacing w:before="279" w:line="224" w:lineRule="auto"/>
              <w:ind w:left="59"/>
              <w:rPr>
                <w:color w:val="auto"/>
                <w:sz w:val="16"/>
                <w:szCs w:val="16"/>
                <w:highlight w:val="none"/>
              </w:rPr>
            </w:pPr>
            <w:r>
              <w:rPr>
                <w:color w:val="auto"/>
                <w:spacing w:val="-8"/>
                <w:sz w:val="16"/>
                <w:szCs w:val="16"/>
                <w:highlight w:val="none"/>
              </w:rPr>
              <w:t>10</w:t>
            </w:r>
            <w:r>
              <w:rPr>
                <w:color w:val="auto"/>
                <w:spacing w:val="-23"/>
                <w:sz w:val="16"/>
                <w:szCs w:val="16"/>
                <w:highlight w:val="none"/>
              </w:rPr>
              <w:t xml:space="preserve"> </w:t>
            </w:r>
            <w:r>
              <w:rPr>
                <w:color w:val="auto"/>
                <w:spacing w:val="-8"/>
                <w:sz w:val="16"/>
                <w:szCs w:val="16"/>
                <w:highlight w:val="none"/>
              </w:rPr>
              <w:t>人以下</w:t>
            </w:r>
          </w:p>
        </w:tc>
        <w:tc>
          <w:tcPr>
            <w:tcW w:w="693" w:type="dxa"/>
            <w:vAlign w:val="top"/>
          </w:tcPr>
          <w:p w14:paraId="531EF3C8">
            <w:pPr>
              <w:pStyle w:val="12"/>
              <w:spacing w:before="135" w:line="295" w:lineRule="auto"/>
              <w:ind w:left="83" w:right="50"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14"/>
                <w:sz w:val="16"/>
                <w:szCs w:val="16"/>
                <w:highlight w:val="none"/>
              </w:rPr>
              <w:t>以下</w:t>
            </w:r>
          </w:p>
        </w:tc>
        <w:tc>
          <w:tcPr>
            <w:tcW w:w="800" w:type="dxa"/>
            <w:tcBorders>
              <w:right w:val="single" w:color="000000" w:sz="8" w:space="0"/>
            </w:tcBorders>
            <w:vAlign w:val="top"/>
          </w:tcPr>
          <w:p w14:paraId="0E408B98">
            <w:pPr>
              <w:rPr>
                <w:rFonts w:ascii="Arial"/>
                <w:color w:val="auto"/>
                <w:sz w:val="21"/>
                <w:highlight w:val="none"/>
              </w:rPr>
            </w:pPr>
          </w:p>
        </w:tc>
      </w:tr>
      <w:tr w14:paraId="4EA08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0" w:type="dxa"/>
            <w:tcBorders>
              <w:left w:val="single" w:color="000000" w:sz="8" w:space="0"/>
            </w:tcBorders>
            <w:vAlign w:val="top"/>
          </w:tcPr>
          <w:p w14:paraId="3831F869">
            <w:pPr>
              <w:pStyle w:val="12"/>
              <w:spacing w:before="135" w:line="295" w:lineRule="auto"/>
              <w:ind w:left="35" w:right="25" w:hanging="8"/>
              <w:rPr>
                <w:color w:val="auto"/>
                <w:sz w:val="16"/>
                <w:szCs w:val="16"/>
                <w:highlight w:val="none"/>
              </w:rPr>
            </w:pPr>
            <w:r>
              <w:rPr>
                <w:color w:val="auto"/>
                <w:spacing w:val="-15"/>
                <w:sz w:val="16"/>
                <w:szCs w:val="16"/>
                <w:highlight w:val="none"/>
              </w:rPr>
              <w:t>信息传输业（包括电信、</w:t>
            </w:r>
            <w:r>
              <w:rPr>
                <w:color w:val="auto"/>
                <w:spacing w:val="-6"/>
                <w:sz w:val="16"/>
                <w:szCs w:val="16"/>
                <w:highlight w:val="none"/>
              </w:rPr>
              <w:t>互联网和相关服务）</w:t>
            </w:r>
          </w:p>
        </w:tc>
        <w:tc>
          <w:tcPr>
            <w:tcW w:w="759" w:type="dxa"/>
            <w:vAlign w:val="top"/>
          </w:tcPr>
          <w:p w14:paraId="22E3FE72">
            <w:pPr>
              <w:pStyle w:val="12"/>
              <w:spacing w:before="135" w:line="295" w:lineRule="auto"/>
              <w:ind w:left="23" w:right="73" w:hanging="13"/>
              <w:rPr>
                <w:color w:val="auto"/>
                <w:sz w:val="16"/>
                <w:szCs w:val="16"/>
                <w:highlight w:val="none"/>
              </w:rPr>
            </w:pPr>
            <w:r>
              <w:rPr>
                <w:color w:val="auto"/>
                <w:spacing w:val="-6"/>
                <w:sz w:val="16"/>
                <w:szCs w:val="16"/>
                <w:highlight w:val="none"/>
              </w:rPr>
              <w:t>2000</w:t>
            </w:r>
            <w:r>
              <w:rPr>
                <w:color w:val="auto"/>
                <w:spacing w:val="-16"/>
                <w:sz w:val="16"/>
                <w:szCs w:val="16"/>
                <w:highlight w:val="none"/>
              </w:rPr>
              <w:t xml:space="preserve"> </w:t>
            </w:r>
            <w:r>
              <w:rPr>
                <w:color w:val="auto"/>
                <w:spacing w:val="-6"/>
                <w:sz w:val="16"/>
                <w:szCs w:val="16"/>
                <w:highlight w:val="none"/>
              </w:rPr>
              <w:t>人以</w:t>
            </w:r>
            <w:r>
              <w:rPr>
                <w:color w:val="auto"/>
                <w:sz w:val="16"/>
                <w:szCs w:val="16"/>
                <w:highlight w:val="none"/>
              </w:rPr>
              <w:t>下</w:t>
            </w:r>
          </w:p>
        </w:tc>
        <w:tc>
          <w:tcPr>
            <w:tcW w:w="859" w:type="dxa"/>
            <w:vAlign w:val="top"/>
          </w:tcPr>
          <w:p w14:paraId="7AF9EE55">
            <w:pPr>
              <w:pStyle w:val="12"/>
              <w:spacing w:before="135" w:line="295" w:lineRule="auto"/>
              <w:ind w:left="51" w:right="18" w:hanging="19"/>
              <w:rPr>
                <w:color w:val="auto"/>
                <w:sz w:val="16"/>
                <w:szCs w:val="16"/>
                <w:highlight w:val="none"/>
              </w:rPr>
            </w:pPr>
            <w:r>
              <w:rPr>
                <w:color w:val="auto"/>
                <w:spacing w:val="-6"/>
                <w:sz w:val="16"/>
                <w:szCs w:val="16"/>
                <w:highlight w:val="none"/>
              </w:rPr>
              <w:t>100000</w:t>
            </w:r>
            <w:r>
              <w:rPr>
                <w:color w:val="auto"/>
                <w:spacing w:val="-29"/>
                <w:sz w:val="16"/>
                <w:szCs w:val="16"/>
                <w:highlight w:val="none"/>
              </w:rPr>
              <w:t xml:space="preserve"> </w:t>
            </w:r>
            <w:r>
              <w:rPr>
                <w:color w:val="auto"/>
                <w:spacing w:val="-6"/>
                <w:sz w:val="16"/>
                <w:szCs w:val="16"/>
                <w:highlight w:val="none"/>
              </w:rPr>
              <w:t>万元</w:t>
            </w:r>
            <w:r>
              <w:rPr>
                <w:color w:val="auto"/>
                <w:spacing w:val="-14"/>
                <w:sz w:val="16"/>
                <w:szCs w:val="16"/>
                <w:highlight w:val="none"/>
              </w:rPr>
              <w:t>以下</w:t>
            </w:r>
          </w:p>
        </w:tc>
        <w:tc>
          <w:tcPr>
            <w:tcW w:w="810" w:type="dxa"/>
            <w:vAlign w:val="top"/>
          </w:tcPr>
          <w:p w14:paraId="599C96EF">
            <w:pPr>
              <w:rPr>
                <w:rFonts w:ascii="Arial"/>
                <w:color w:val="auto"/>
                <w:sz w:val="21"/>
                <w:highlight w:val="none"/>
              </w:rPr>
            </w:pPr>
          </w:p>
        </w:tc>
        <w:tc>
          <w:tcPr>
            <w:tcW w:w="743" w:type="dxa"/>
            <w:vAlign w:val="top"/>
          </w:tcPr>
          <w:p w14:paraId="6BF7B5DA">
            <w:pPr>
              <w:pStyle w:val="12"/>
              <w:spacing w:before="135" w:line="295" w:lineRule="auto"/>
              <w:ind w:left="59" w:right="124"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人及</w:t>
            </w:r>
            <w:r>
              <w:rPr>
                <w:color w:val="auto"/>
                <w:spacing w:val="-14"/>
                <w:sz w:val="16"/>
                <w:szCs w:val="16"/>
                <w:highlight w:val="none"/>
              </w:rPr>
              <w:t>以上</w:t>
            </w:r>
          </w:p>
        </w:tc>
        <w:tc>
          <w:tcPr>
            <w:tcW w:w="907" w:type="dxa"/>
            <w:vAlign w:val="top"/>
          </w:tcPr>
          <w:p w14:paraId="1452D36A">
            <w:pPr>
              <w:pStyle w:val="12"/>
              <w:spacing w:before="135" w:line="295" w:lineRule="auto"/>
              <w:ind w:left="63" w:right="47" w:hanging="19"/>
              <w:rPr>
                <w:color w:val="auto"/>
                <w:sz w:val="16"/>
                <w:szCs w:val="16"/>
                <w:highlight w:val="none"/>
              </w:rPr>
            </w:pPr>
            <w:r>
              <w:rPr>
                <w:color w:val="auto"/>
                <w:spacing w:val="-8"/>
                <w:sz w:val="16"/>
                <w:szCs w:val="16"/>
                <w:highlight w:val="none"/>
              </w:rPr>
              <w:t>1000</w:t>
            </w:r>
            <w:r>
              <w:rPr>
                <w:color w:val="auto"/>
                <w:spacing w:val="-15"/>
                <w:sz w:val="16"/>
                <w:szCs w:val="16"/>
                <w:highlight w:val="none"/>
              </w:rPr>
              <w:t xml:space="preserve"> </w:t>
            </w:r>
            <w:r>
              <w:rPr>
                <w:color w:val="auto"/>
                <w:spacing w:val="-8"/>
                <w:sz w:val="16"/>
                <w:szCs w:val="16"/>
                <w:highlight w:val="none"/>
              </w:rPr>
              <w:t>万元及</w:t>
            </w:r>
            <w:r>
              <w:rPr>
                <w:color w:val="auto"/>
                <w:spacing w:val="-14"/>
                <w:sz w:val="16"/>
                <w:szCs w:val="16"/>
                <w:highlight w:val="none"/>
              </w:rPr>
              <w:t>以上</w:t>
            </w:r>
          </w:p>
        </w:tc>
        <w:tc>
          <w:tcPr>
            <w:tcW w:w="713" w:type="dxa"/>
            <w:vAlign w:val="top"/>
          </w:tcPr>
          <w:p w14:paraId="372CF56E">
            <w:pPr>
              <w:rPr>
                <w:rFonts w:ascii="Arial"/>
                <w:color w:val="auto"/>
                <w:sz w:val="21"/>
                <w:highlight w:val="none"/>
              </w:rPr>
            </w:pPr>
          </w:p>
        </w:tc>
        <w:tc>
          <w:tcPr>
            <w:tcW w:w="761" w:type="dxa"/>
            <w:vAlign w:val="top"/>
          </w:tcPr>
          <w:p w14:paraId="7E96DC9F">
            <w:pPr>
              <w:pStyle w:val="12"/>
              <w:spacing w:before="135" w:line="295" w:lineRule="auto"/>
              <w:ind w:left="41" w:right="57" w:firstLine="10"/>
              <w:rPr>
                <w:color w:val="auto"/>
                <w:sz w:val="16"/>
                <w:szCs w:val="16"/>
                <w:highlight w:val="none"/>
              </w:rPr>
            </w:pPr>
            <w:r>
              <w:rPr>
                <w:color w:val="auto"/>
                <w:spacing w:val="-10"/>
                <w:sz w:val="16"/>
                <w:szCs w:val="16"/>
                <w:highlight w:val="none"/>
              </w:rPr>
              <w:t>10</w:t>
            </w:r>
            <w:r>
              <w:rPr>
                <w:color w:val="auto"/>
                <w:spacing w:val="-24"/>
                <w:sz w:val="16"/>
                <w:szCs w:val="16"/>
                <w:highlight w:val="none"/>
              </w:rPr>
              <w:t xml:space="preserve"> </w:t>
            </w:r>
            <w:r>
              <w:rPr>
                <w:color w:val="auto"/>
                <w:spacing w:val="-10"/>
                <w:sz w:val="16"/>
                <w:szCs w:val="16"/>
                <w:highlight w:val="none"/>
              </w:rPr>
              <w:t>人及以</w:t>
            </w:r>
            <w:r>
              <w:rPr>
                <w:color w:val="auto"/>
                <w:sz w:val="16"/>
                <w:szCs w:val="16"/>
                <w:highlight w:val="none"/>
              </w:rPr>
              <w:t>上</w:t>
            </w:r>
          </w:p>
        </w:tc>
        <w:tc>
          <w:tcPr>
            <w:tcW w:w="760" w:type="dxa"/>
            <w:vAlign w:val="top"/>
          </w:tcPr>
          <w:p w14:paraId="49DFFF07">
            <w:pPr>
              <w:pStyle w:val="12"/>
              <w:spacing w:before="135" w:line="295" w:lineRule="auto"/>
              <w:ind w:left="43" w:right="128" w:firstLine="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6"/>
                <w:sz w:val="16"/>
                <w:szCs w:val="16"/>
                <w:highlight w:val="none"/>
              </w:rPr>
              <w:t>及以上</w:t>
            </w:r>
          </w:p>
        </w:tc>
        <w:tc>
          <w:tcPr>
            <w:tcW w:w="679" w:type="dxa"/>
            <w:vAlign w:val="top"/>
          </w:tcPr>
          <w:p w14:paraId="5C3D0338">
            <w:pPr>
              <w:rPr>
                <w:rFonts w:ascii="Arial"/>
                <w:color w:val="auto"/>
                <w:sz w:val="21"/>
                <w:highlight w:val="none"/>
              </w:rPr>
            </w:pPr>
          </w:p>
        </w:tc>
        <w:tc>
          <w:tcPr>
            <w:tcW w:w="773" w:type="dxa"/>
            <w:vAlign w:val="top"/>
          </w:tcPr>
          <w:p w14:paraId="15DC70F3">
            <w:pPr>
              <w:pStyle w:val="12"/>
              <w:spacing w:before="279" w:line="224" w:lineRule="auto"/>
              <w:ind w:left="59"/>
              <w:rPr>
                <w:color w:val="auto"/>
                <w:sz w:val="16"/>
                <w:szCs w:val="16"/>
                <w:highlight w:val="none"/>
              </w:rPr>
            </w:pPr>
            <w:r>
              <w:rPr>
                <w:color w:val="auto"/>
                <w:spacing w:val="-8"/>
                <w:sz w:val="16"/>
                <w:szCs w:val="16"/>
                <w:highlight w:val="none"/>
              </w:rPr>
              <w:t>10</w:t>
            </w:r>
            <w:r>
              <w:rPr>
                <w:color w:val="auto"/>
                <w:spacing w:val="-23"/>
                <w:sz w:val="16"/>
                <w:szCs w:val="16"/>
                <w:highlight w:val="none"/>
              </w:rPr>
              <w:t xml:space="preserve"> </w:t>
            </w:r>
            <w:r>
              <w:rPr>
                <w:color w:val="auto"/>
                <w:spacing w:val="-8"/>
                <w:sz w:val="16"/>
                <w:szCs w:val="16"/>
                <w:highlight w:val="none"/>
              </w:rPr>
              <w:t>人以下</w:t>
            </w:r>
          </w:p>
        </w:tc>
        <w:tc>
          <w:tcPr>
            <w:tcW w:w="693" w:type="dxa"/>
            <w:vAlign w:val="top"/>
          </w:tcPr>
          <w:p w14:paraId="11305310">
            <w:pPr>
              <w:pStyle w:val="12"/>
              <w:spacing w:before="135" w:line="295" w:lineRule="auto"/>
              <w:ind w:left="83" w:right="50"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14"/>
                <w:sz w:val="16"/>
                <w:szCs w:val="16"/>
                <w:highlight w:val="none"/>
              </w:rPr>
              <w:t>以下</w:t>
            </w:r>
          </w:p>
        </w:tc>
        <w:tc>
          <w:tcPr>
            <w:tcW w:w="800" w:type="dxa"/>
            <w:tcBorders>
              <w:right w:val="single" w:color="000000" w:sz="8" w:space="0"/>
            </w:tcBorders>
            <w:vAlign w:val="top"/>
          </w:tcPr>
          <w:p w14:paraId="7CA55C5D">
            <w:pPr>
              <w:rPr>
                <w:rFonts w:ascii="Arial"/>
                <w:color w:val="auto"/>
                <w:sz w:val="21"/>
                <w:highlight w:val="none"/>
              </w:rPr>
            </w:pPr>
          </w:p>
        </w:tc>
      </w:tr>
      <w:tr w14:paraId="09932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0" w:type="dxa"/>
            <w:tcBorders>
              <w:left w:val="single" w:color="000000" w:sz="8" w:space="0"/>
            </w:tcBorders>
            <w:vAlign w:val="top"/>
          </w:tcPr>
          <w:p w14:paraId="5C5B4FA7">
            <w:pPr>
              <w:pStyle w:val="12"/>
              <w:spacing w:before="282" w:line="223" w:lineRule="auto"/>
              <w:ind w:left="30"/>
              <w:rPr>
                <w:color w:val="auto"/>
                <w:sz w:val="16"/>
                <w:szCs w:val="16"/>
                <w:highlight w:val="none"/>
              </w:rPr>
            </w:pPr>
            <w:r>
              <w:rPr>
                <w:color w:val="auto"/>
                <w:spacing w:val="-3"/>
                <w:sz w:val="16"/>
                <w:szCs w:val="16"/>
                <w:highlight w:val="none"/>
              </w:rPr>
              <w:t>软件和信息技术服务业</w:t>
            </w:r>
          </w:p>
        </w:tc>
        <w:tc>
          <w:tcPr>
            <w:tcW w:w="759" w:type="dxa"/>
            <w:vAlign w:val="top"/>
          </w:tcPr>
          <w:p w14:paraId="5BEB8557">
            <w:pPr>
              <w:pStyle w:val="12"/>
              <w:spacing w:before="139" w:line="293" w:lineRule="auto"/>
              <w:ind w:left="21" w:right="155" w:hanging="9"/>
              <w:rPr>
                <w:color w:val="auto"/>
                <w:sz w:val="16"/>
                <w:szCs w:val="16"/>
                <w:highlight w:val="none"/>
              </w:rPr>
            </w:pPr>
            <w:r>
              <w:rPr>
                <w:color w:val="auto"/>
                <w:spacing w:val="-6"/>
                <w:sz w:val="16"/>
                <w:szCs w:val="16"/>
                <w:highlight w:val="none"/>
              </w:rPr>
              <w:t>300</w:t>
            </w:r>
            <w:r>
              <w:rPr>
                <w:color w:val="auto"/>
                <w:spacing w:val="-25"/>
                <w:sz w:val="16"/>
                <w:szCs w:val="16"/>
                <w:highlight w:val="none"/>
              </w:rPr>
              <w:t xml:space="preserve"> </w:t>
            </w:r>
            <w:r>
              <w:rPr>
                <w:color w:val="auto"/>
                <w:spacing w:val="-6"/>
                <w:sz w:val="16"/>
                <w:szCs w:val="16"/>
                <w:highlight w:val="none"/>
              </w:rPr>
              <w:t>人以</w:t>
            </w:r>
            <w:r>
              <w:rPr>
                <w:color w:val="auto"/>
                <w:sz w:val="16"/>
                <w:szCs w:val="16"/>
                <w:highlight w:val="none"/>
              </w:rPr>
              <w:t>下</w:t>
            </w:r>
          </w:p>
        </w:tc>
        <w:tc>
          <w:tcPr>
            <w:tcW w:w="859" w:type="dxa"/>
            <w:vAlign w:val="top"/>
          </w:tcPr>
          <w:p w14:paraId="60BE4AB3">
            <w:pPr>
              <w:pStyle w:val="12"/>
              <w:spacing w:before="139" w:line="293" w:lineRule="auto"/>
              <w:ind w:left="51" w:right="90" w:hanging="19"/>
              <w:rPr>
                <w:color w:val="auto"/>
                <w:sz w:val="16"/>
                <w:szCs w:val="16"/>
                <w:highlight w:val="none"/>
              </w:rPr>
            </w:pPr>
            <w:r>
              <w:rPr>
                <w:color w:val="auto"/>
                <w:spacing w:val="-7"/>
                <w:sz w:val="16"/>
                <w:szCs w:val="16"/>
                <w:highlight w:val="none"/>
              </w:rPr>
              <w:t>10000</w:t>
            </w:r>
            <w:r>
              <w:rPr>
                <w:color w:val="auto"/>
                <w:spacing w:val="-21"/>
                <w:sz w:val="16"/>
                <w:szCs w:val="16"/>
                <w:highlight w:val="none"/>
              </w:rPr>
              <w:t xml:space="preserve"> </w:t>
            </w:r>
            <w:r>
              <w:rPr>
                <w:color w:val="auto"/>
                <w:spacing w:val="-7"/>
                <w:sz w:val="16"/>
                <w:szCs w:val="16"/>
                <w:highlight w:val="none"/>
              </w:rPr>
              <w:t>万元</w:t>
            </w:r>
            <w:r>
              <w:rPr>
                <w:color w:val="auto"/>
                <w:spacing w:val="-14"/>
                <w:sz w:val="16"/>
                <w:szCs w:val="16"/>
                <w:highlight w:val="none"/>
              </w:rPr>
              <w:t>以下</w:t>
            </w:r>
          </w:p>
        </w:tc>
        <w:tc>
          <w:tcPr>
            <w:tcW w:w="810" w:type="dxa"/>
            <w:vAlign w:val="top"/>
          </w:tcPr>
          <w:p w14:paraId="280BA3CA">
            <w:pPr>
              <w:rPr>
                <w:rFonts w:ascii="Arial"/>
                <w:color w:val="auto"/>
                <w:sz w:val="21"/>
                <w:highlight w:val="none"/>
              </w:rPr>
            </w:pPr>
          </w:p>
        </w:tc>
        <w:tc>
          <w:tcPr>
            <w:tcW w:w="743" w:type="dxa"/>
            <w:vAlign w:val="top"/>
          </w:tcPr>
          <w:p w14:paraId="35F2EFA8">
            <w:pPr>
              <w:pStyle w:val="12"/>
              <w:spacing w:before="139" w:line="293" w:lineRule="auto"/>
              <w:ind w:left="59" w:right="124"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人及</w:t>
            </w:r>
            <w:r>
              <w:rPr>
                <w:color w:val="auto"/>
                <w:spacing w:val="-14"/>
                <w:sz w:val="16"/>
                <w:szCs w:val="16"/>
                <w:highlight w:val="none"/>
              </w:rPr>
              <w:t>以上</w:t>
            </w:r>
          </w:p>
        </w:tc>
        <w:tc>
          <w:tcPr>
            <w:tcW w:w="907" w:type="dxa"/>
            <w:vAlign w:val="top"/>
          </w:tcPr>
          <w:p w14:paraId="5C150EB6">
            <w:pPr>
              <w:pStyle w:val="12"/>
              <w:spacing w:before="139" w:line="293" w:lineRule="auto"/>
              <w:ind w:left="63" w:right="47" w:hanging="19"/>
              <w:rPr>
                <w:color w:val="auto"/>
                <w:sz w:val="16"/>
                <w:szCs w:val="16"/>
                <w:highlight w:val="none"/>
              </w:rPr>
            </w:pPr>
            <w:r>
              <w:rPr>
                <w:color w:val="auto"/>
                <w:spacing w:val="-8"/>
                <w:sz w:val="16"/>
                <w:szCs w:val="16"/>
                <w:highlight w:val="none"/>
              </w:rPr>
              <w:t>1000</w:t>
            </w:r>
            <w:r>
              <w:rPr>
                <w:color w:val="auto"/>
                <w:spacing w:val="-15"/>
                <w:sz w:val="16"/>
                <w:szCs w:val="16"/>
                <w:highlight w:val="none"/>
              </w:rPr>
              <w:t xml:space="preserve"> </w:t>
            </w:r>
            <w:r>
              <w:rPr>
                <w:color w:val="auto"/>
                <w:spacing w:val="-8"/>
                <w:sz w:val="16"/>
                <w:szCs w:val="16"/>
                <w:highlight w:val="none"/>
              </w:rPr>
              <w:t>万元及</w:t>
            </w:r>
            <w:r>
              <w:rPr>
                <w:color w:val="auto"/>
                <w:spacing w:val="-14"/>
                <w:sz w:val="16"/>
                <w:szCs w:val="16"/>
                <w:highlight w:val="none"/>
              </w:rPr>
              <w:t>以上</w:t>
            </w:r>
          </w:p>
        </w:tc>
        <w:tc>
          <w:tcPr>
            <w:tcW w:w="713" w:type="dxa"/>
            <w:vAlign w:val="top"/>
          </w:tcPr>
          <w:p w14:paraId="0C0FD9C4">
            <w:pPr>
              <w:rPr>
                <w:rFonts w:ascii="Arial"/>
                <w:color w:val="auto"/>
                <w:sz w:val="21"/>
                <w:highlight w:val="none"/>
              </w:rPr>
            </w:pPr>
          </w:p>
        </w:tc>
        <w:tc>
          <w:tcPr>
            <w:tcW w:w="761" w:type="dxa"/>
            <w:vAlign w:val="top"/>
          </w:tcPr>
          <w:p w14:paraId="05C0A0B8">
            <w:pPr>
              <w:pStyle w:val="12"/>
              <w:spacing w:before="139" w:line="293" w:lineRule="auto"/>
              <w:ind w:left="41" w:right="57" w:firstLine="10"/>
              <w:rPr>
                <w:color w:val="auto"/>
                <w:sz w:val="16"/>
                <w:szCs w:val="16"/>
                <w:highlight w:val="none"/>
              </w:rPr>
            </w:pPr>
            <w:r>
              <w:rPr>
                <w:color w:val="auto"/>
                <w:spacing w:val="-10"/>
                <w:sz w:val="16"/>
                <w:szCs w:val="16"/>
                <w:highlight w:val="none"/>
              </w:rPr>
              <w:t>10</w:t>
            </w:r>
            <w:r>
              <w:rPr>
                <w:color w:val="auto"/>
                <w:spacing w:val="-24"/>
                <w:sz w:val="16"/>
                <w:szCs w:val="16"/>
                <w:highlight w:val="none"/>
              </w:rPr>
              <w:t xml:space="preserve"> </w:t>
            </w:r>
            <w:r>
              <w:rPr>
                <w:color w:val="auto"/>
                <w:spacing w:val="-10"/>
                <w:sz w:val="16"/>
                <w:szCs w:val="16"/>
                <w:highlight w:val="none"/>
              </w:rPr>
              <w:t>人及以</w:t>
            </w:r>
            <w:r>
              <w:rPr>
                <w:color w:val="auto"/>
                <w:sz w:val="16"/>
                <w:szCs w:val="16"/>
                <w:highlight w:val="none"/>
              </w:rPr>
              <w:t>上</w:t>
            </w:r>
          </w:p>
        </w:tc>
        <w:tc>
          <w:tcPr>
            <w:tcW w:w="760" w:type="dxa"/>
            <w:vAlign w:val="top"/>
          </w:tcPr>
          <w:p w14:paraId="77013004">
            <w:pPr>
              <w:pStyle w:val="12"/>
              <w:spacing w:before="139" w:line="293" w:lineRule="auto"/>
              <w:ind w:left="71" w:right="51" w:hanging="34"/>
              <w:rPr>
                <w:color w:val="auto"/>
                <w:sz w:val="16"/>
                <w:szCs w:val="16"/>
                <w:highlight w:val="none"/>
              </w:rPr>
            </w:pPr>
            <w:r>
              <w:rPr>
                <w:color w:val="auto"/>
                <w:spacing w:val="-6"/>
                <w:sz w:val="16"/>
                <w:szCs w:val="16"/>
                <w:highlight w:val="none"/>
              </w:rPr>
              <w:t>50</w:t>
            </w:r>
            <w:r>
              <w:rPr>
                <w:color w:val="auto"/>
                <w:spacing w:val="-26"/>
                <w:sz w:val="16"/>
                <w:szCs w:val="16"/>
                <w:highlight w:val="none"/>
              </w:rPr>
              <w:t xml:space="preserve"> </w:t>
            </w:r>
            <w:r>
              <w:rPr>
                <w:color w:val="auto"/>
                <w:spacing w:val="-6"/>
                <w:sz w:val="16"/>
                <w:szCs w:val="16"/>
                <w:highlight w:val="none"/>
              </w:rPr>
              <w:t>万元及</w:t>
            </w:r>
            <w:r>
              <w:rPr>
                <w:color w:val="auto"/>
                <w:spacing w:val="-14"/>
                <w:sz w:val="16"/>
                <w:szCs w:val="16"/>
                <w:highlight w:val="none"/>
              </w:rPr>
              <w:t>以上</w:t>
            </w:r>
          </w:p>
        </w:tc>
        <w:tc>
          <w:tcPr>
            <w:tcW w:w="679" w:type="dxa"/>
            <w:vAlign w:val="top"/>
          </w:tcPr>
          <w:p w14:paraId="0653D791">
            <w:pPr>
              <w:rPr>
                <w:rFonts w:ascii="Arial"/>
                <w:color w:val="auto"/>
                <w:sz w:val="21"/>
                <w:highlight w:val="none"/>
              </w:rPr>
            </w:pPr>
          </w:p>
        </w:tc>
        <w:tc>
          <w:tcPr>
            <w:tcW w:w="773" w:type="dxa"/>
            <w:vAlign w:val="top"/>
          </w:tcPr>
          <w:p w14:paraId="27E967C7">
            <w:pPr>
              <w:pStyle w:val="12"/>
              <w:spacing w:before="282" w:line="224" w:lineRule="auto"/>
              <w:ind w:left="59"/>
              <w:rPr>
                <w:color w:val="auto"/>
                <w:sz w:val="16"/>
                <w:szCs w:val="16"/>
                <w:highlight w:val="none"/>
              </w:rPr>
            </w:pPr>
            <w:r>
              <w:rPr>
                <w:color w:val="auto"/>
                <w:spacing w:val="-8"/>
                <w:sz w:val="16"/>
                <w:szCs w:val="16"/>
                <w:highlight w:val="none"/>
              </w:rPr>
              <w:t>10</w:t>
            </w:r>
            <w:r>
              <w:rPr>
                <w:color w:val="auto"/>
                <w:spacing w:val="-23"/>
                <w:sz w:val="16"/>
                <w:szCs w:val="16"/>
                <w:highlight w:val="none"/>
              </w:rPr>
              <w:t xml:space="preserve"> </w:t>
            </w:r>
            <w:r>
              <w:rPr>
                <w:color w:val="auto"/>
                <w:spacing w:val="-8"/>
                <w:sz w:val="16"/>
                <w:szCs w:val="16"/>
                <w:highlight w:val="none"/>
              </w:rPr>
              <w:t>人以下</w:t>
            </w:r>
          </w:p>
        </w:tc>
        <w:tc>
          <w:tcPr>
            <w:tcW w:w="693" w:type="dxa"/>
            <w:vAlign w:val="top"/>
          </w:tcPr>
          <w:p w14:paraId="4F6CFD5A">
            <w:pPr>
              <w:pStyle w:val="12"/>
              <w:spacing w:before="139" w:line="293" w:lineRule="auto"/>
              <w:ind w:left="55" w:hanging="7"/>
              <w:rPr>
                <w:color w:val="auto"/>
                <w:sz w:val="16"/>
                <w:szCs w:val="16"/>
                <w:highlight w:val="none"/>
              </w:rPr>
            </w:pPr>
            <w:r>
              <w:rPr>
                <w:color w:val="auto"/>
                <w:spacing w:val="-9"/>
                <w:sz w:val="16"/>
                <w:szCs w:val="16"/>
                <w:highlight w:val="none"/>
              </w:rPr>
              <w:t>50</w:t>
            </w:r>
            <w:r>
              <w:rPr>
                <w:color w:val="auto"/>
                <w:spacing w:val="-37"/>
                <w:sz w:val="16"/>
                <w:szCs w:val="16"/>
                <w:highlight w:val="none"/>
              </w:rPr>
              <w:t xml:space="preserve"> </w:t>
            </w:r>
            <w:r>
              <w:rPr>
                <w:color w:val="auto"/>
                <w:spacing w:val="-9"/>
                <w:sz w:val="16"/>
                <w:szCs w:val="16"/>
                <w:highlight w:val="none"/>
              </w:rPr>
              <w:t>万元以</w:t>
            </w:r>
            <w:r>
              <w:rPr>
                <w:color w:val="auto"/>
                <w:sz w:val="16"/>
                <w:szCs w:val="16"/>
                <w:highlight w:val="none"/>
              </w:rPr>
              <w:t>下</w:t>
            </w:r>
          </w:p>
        </w:tc>
        <w:tc>
          <w:tcPr>
            <w:tcW w:w="800" w:type="dxa"/>
            <w:tcBorders>
              <w:right w:val="single" w:color="000000" w:sz="8" w:space="0"/>
            </w:tcBorders>
            <w:vAlign w:val="top"/>
          </w:tcPr>
          <w:p w14:paraId="6C0AF286">
            <w:pPr>
              <w:rPr>
                <w:rFonts w:ascii="Arial"/>
                <w:color w:val="auto"/>
                <w:sz w:val="21"/>
                <w:highlight w:val="none"/>
              </w:rPr>
            </w:pPr>
          </w:p>
        </w:tc>
      </w:tr>
      <w:tr w14:paraId="1420C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670" w:type="dxa"/>
            <w:tcBorders>
              <w:left w:val="single" w:color="000000" w:sz="8" w:space="0"/>
            </w:tcBorders>
            <w:vAlign w:val="top"/>
          </w:tcPr>
          <w:p w14:paraId="3C3AEA35">
            <w:pPr>
              <w:pStyle w:val="12"/>
              <w:spacing w:before="285" w:line="224" w:lineRule="auto"/>
              <w:ind w:left="35"/>
              <w:rPr>
                <w:color w:val="auto"/>
                <w:sz w:val="16"/>
                <w:szCs w:val="16"/>
                <w:highlight w:val="none"/>
              </w:rPr>
            </w:pPr>
            <w:r>
              <w:rPr>
                <w:color w:val="auto"/>
                <w:spacing w:val="-4"/>
                <w:sz w:val="16"/>
                <w:szCs w:val="16"/>
                <w:highlight w:val="none"/>
              </w:rPr>
              <w:t>房地产开发经营</w:t>
            </w:r>
          </w:p>
        </w:tc>
        <w:tc>
          <w:tcPr>
            <w:tcW w:w="759" w:type="dxa"/>
            <w:vAlign w:val="top"/>
          </w:tcPr>
          <w:p w14:paraId="15B7DF86">
            <w:pPr>
              <w:pStyle w:val="12"/>
              <w:spacing w:before="141" w:line="291" w:lineRule="auto"/>
              <w:ind w:left="20" w:right="76" w:hanging="10"/>
              <w:rPr>
                <w:color w:val="auto"/>
                <w:sz w:val="16"/>
                <w:szCs w:val="16"/>
                <w:highlight w:val="none"/>
              </w:rPr>
            </w:pPr>
            <w:r>
              <w:rPr>
                <w:color w:val="auto"/>
                <w:spacing w:val="-5"/>
                <w:sz w:val="16"/>
                <w:szCs w:val="16"/>
                <w:highlight w:val="none"/>
              </w:rPr>
              <w:t>200000</w:t>
            </w:r>
            <w:r>
              <w:rPr>
                <w:color w:val="auto"/>
                <w:spacing w:val="-19"/>
                <w:sz w:val="16"/>
                <w:szCs w:val="16"/>
                <w:highlight w:val="none"/>
              </w:rPr>
              <w:t xml:space="preserve"> </w:t>
            </w:r>
            <w:r>
              <w:rPr>
                <w:color w:val="auto"/>
                <w:spacing w:val="-5"/>
                <w:sz w:val="16"/>
                <w:szCs w:val="16"/>
                <w:highlight w:val="none"/>
              </w:rPr>
              <w:t>万</w:t>
            </w:r>
            <w:r>
              <w:rPr>
                <w:color w:val="auto"/>
                <w:spacing w:val="-6"/>
                <w:sz w:val="16"/>
                <w:szCs w:val="16"/>
                <w:highlight w:val="none"/>
              </w:rPr>
              <w:t>元以下</w:t>
            </w:r>
          </w:p>
        </w:tc>
        <w:tc>
          <w:tcPr>
            <w:tcW w:w="859" w:type="dxa"/>
            <w:vAlign w:val="top"/>
          </w:tcPr>
          <w:p w14:paraId="504535E1">
            <w:pPr>
              <w:pStyle w:val="12"/>
              <w:spacing w:before="141" w:line="291" w:lineRule="auto"/>
              <w:ind w:left="51" w:right="90" w:hanging="19"/>
              <w:rPr>
                <w:color w:val="auto"/>
                <w:sz w:val="16"/>
                <w:szCs w:val="16"/>
                <w:highlight w:val="none"/>
              </w:rPr>
            </w:pPr>
            <w:r>
              <w:rPr>
                <w:color w:val="auto"/>
                <w:spacing w:val="-7"/>
                <w:sz w:val="16"/>
                <w:szCs w:val="16"/>
                <w:highlight w:val="none"/>
              </w:rPr>
              <w:t>10000</w:t>
            </w:r>
            <w:r>
              <w:rPr>
                <w:color w:val="auto"/>
                <w:spacing w:val="-21"/>
                <w:sz w:val="16"/>
                <w:szCs w:val="16"/>
                <w:highlight w:val="none"/>
              </w:rPr>
              <w:t xml:space="preserve"> </w:t>
            </w:r>
            <w:r>
              <w:rPr>
                <w:color w:val="auto"/>
                <w:spacing w:val="-7"/>
                <w:sz w:val="16"/>
                <w:szCs w:val="16"/>
                <w:highlight w:val="none"/>
              </w:rPr>
              <w:t>万元</w:t>
            </w:r>
            <w:r>
              <w:rPr>
                <w:color w:val="auto"/>
                <w:spacing w:val="-14"/>
                <w:sz w:val="16"/>
                <w:szCs w:val="16"/>
                <w:highlight w:val="none"/>
              </w:rPr>
              <w:t>以下</w:t>
            </w:r>
          </w:p>
        </w:tc>
        <w:tc>
          <w:tcPr>
            <w:tcW w:w="810" w:type="dxa"/>
            <w:vAlign w:val="top"/>
          </w:tcPr>
          <w:p w14:paraId="7BDD7521">
            <w:pPr>
              <w:rPr>
                <w:rFonts w:ascii="Arial"/>
                <w:color w:val="auto"/>
                <w:sz w:val="21"/>
                <w:highlight w:val="none"/>
              </w:rPr>
            </w:pPr>
          </w:p>
        </w:tc>
        <w:tc>
          <w:tcPr>
            <w:tcW w:w="743" w:type="dxa"/>
            <w:vAlign w:val="top"/>
          </w:tcPr>
          <w:p w14:paraId="0FF94866">
            <w:pPr>
              <w:rPr>
                <w:rFonts w:ascii="Arial"/>
                <w:color w:val="auto"/>
                <w:sz w:val="21"/>
                <w:highlight w:val="none"/>
              </w:rPr>
            </w:pPr>
          </w:p>
        </w:tc>
        <w:tc>
          <w:tcPr>
            <w:tcW w:w="907" w:type="dxa"/>
            <w:vAlign w:val="top"/>
          </w:tcPr>
          <w:p w14:paraId="73A7955E">
            <w:pPr>
              <w:pStyle w:val="12"/>
              <w:spacing w:before="141" w:line="291" w:lineRule="auto"/>
              <w:ind w:left="63" w:right="47" w:hanging="19"/>
              <w:rPr>
                <w:color w:val="auto"/>
                <w:sz w:val="16"/>
                <w:szCs w:val="16"/>
                <w:highlight w:val="none"/>
              </w:rPr>
            </w:pPr>
            <w:r>
              <w:rPr>
                <w:color w:val="auto"/>
                <w:spacing w:val="-8"/>
                <w:sz w:val="16"/>
                <w:szCs w:val="16"/>
                <w:highlight w:val="none"/>
              </w:rPr>
              <w:t>1000</w:t>
            </w:r>
            <w:r>
              <w:rPr>
                <w:color w:val="auto"/>
                <w:spacing w:val="-15"/>
                <w:sz w:val="16"/>
                <w:szCs w:val="16"/>
                <w:highlight w:val="none"/>
              </w:rPr>
              <w:t xml:space="preserve"> </w:t>
            </w:r>
            <w:r>
              <w:rPr>
                <w:color w:val="auto"/>
                <w:spacing w:val="-8"/>
                <w:sz w:val="16"/>
                <w:szCs w:val="16"/>
                <w:highlight w:val="none"/>
              </w:rPr>
              <w:t>万元及</w:t>
            </w:r>
            <w:r>
              <w:rPr>
                <w:color w:val="auto"/>
                <w:spacing w:val="-14"/>
                <w:sz w:val="16"/>
                <w:szCs w:val="16"/>
                <w:highlight w:val="none"/>
              </w:rPr>
              <w:t>以上</w:t>
            </w:r>
          </w:p>
        </w:tc>
        <w:tc>
          <w:tcPr>
            <w:tcW w:w="713" w:type="dxa"/>
            <w:vAlign w:val="top"/>
          </w:tcPr>
          <w:p w14:paraId="1B126225">
            <w:pPr>
              <w:pStyle w:val="12"/>
              <w:spacing w:before="141" w:line="291" w:lineRule="auto"/>
              <w:ind w:left="36" w:right="11" w:hanging="6"/>
              <w:rPr>
                <w:color w:val="auto"/>
                <w:sz w:val="16"/>
                <w:szCs w:val="16"/>
                <w:highlight w:val="none"/>
              </w:rPr>
            </w:pPr>
            <w:r>
              <w:rPr>
                <w:color w:val="auto"/>
                <w:spacing w:val="-6"/>
                <w:sz w:val="16"/>
                <w:szCs w:val="16"/>
                <w:highlight w:val="none"/>
              </w:rPr>
              <w:t>5000</w:t>
            </w:r>
            <w:r>
              <w:rPr>
                <w:color w:val="auto"/>
                <w:spacing w:val="-20"/>
                <w:sz w:val="16"/>
                <w:szCs w:val="16"/>
                <w:highlight w:val="none"/>
              </w:rPr>
              <w:t xml:space="preserve"> </w:t>
            </w:r>
            <w:r>
              <w:rPr>
                <w:color w:val="auto"/>
                <w:spacing w:val="-6"/>
                <w:sz w:val="16"/>
                <w:szCs w:val="16"/>
                <w:highlight w:val="none"/>
              </w:rPr>
              <w:t>万元及以上</w:t>
            </w:r>
          </w:p>
        </w:tc>
        <w:tc>
          <w:tcPr>
            <w:tcW w:w="761" w:type="dxa"/>
            <w:vAlign w:val="top"/>
          </w:tcPr>
          <w:p w14:paraId="54E2EA90">
            <w:pPr>
              <w:rPr>
                <w:rFonts w:ascii="Arial"/>
                <w:color w:val="auto"/>
                <w:sz w:val="21"/>
                <w:highlight w:val="none"/>
              </w:rPr>
            </w:pPr>
          </w:p>
        </w:tc>
        <w:tc>
          <w:tcPr>
            <w:tcW w:w="760" w:type="dxa"/>
            <w:vAlign w:val="top"/>
          </w:tcPr>
          <w:p w14:paraId="3AAFA598">
            <w:pPr>
              <w:pStyle w:val="12"/>
              <w:spacing w:before="141" w:line="291" w:lineRule="auto"/>
              <w:ind w:left="43" w:right="128" w:firstLine="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6"/>
                <w:sz w:val="16"/>
                <w:szCs w:val="16"/>
                <w:highlight w:val="none"/>
              </w:rPr>
              <w:t>及以上</w:t>
            </w:r>
          </w:p>
        </w:tc>
        <w:tc>
          <w:tcPr>
            <w:tcW w:w="679" w:type="dxa"/>
            <w:vAlign w:val="top"/>
          </w:tcPr>
          <w:p w14:paraId="0AD0AB16">
            <w:pPr>
              <w:pStyle w:val="12"/>
              <w:spacing w:before="141" w:line="291" w:lineRule="auto"/>
              <w:ind w:left="47" w:right="10" w:hanging="10"/>
              <w:rPr>
                <w:color w:val="auto"/>
                <w:sz w:val="16"/>
                <w:szCs w:val="16"/>
                <w:highlight w:val="none"/>
              </w:rPr>
            </w:pPr>
            <w:r>
              <w:rPr>
                <w:color w:val="auto"/>
                <w:spacing w:val="-6"/>
                <w:sz w:val="16"/>
                <w:szCs w:val="16"/>
                <w:highlight w:val="none"/>
              </w:rPr>
              <w:t>2000</w:t>
            </w:r>
            <w:r>
              <w:rPr>
                <w:color w:val="auto"/>
                <w:spacing w:val="-23"/>
                <w:sz w:val="16"/>
                <w:szCs w:val="16"/>
                <w:highlight w:val="none"/>
              </w:rPr>
              <w:t xml:space="preserve"> </w:t>
            </w:r>
            <w:r>
              <w:rPr>
                <w:color w:val="auto"/>
                <w:spacing w:val="-6"/>
                <w:sz w:val="16"/>
                <w:szCs w:val="16"/>
                <w:highlight w:val="none"/>
              </w:rPr>
              <w:t>万</w:t>
            </w:r>
            <w:r>
              <w:rPr>
                <w:color w:val="auto"/>
                <w:spacing w:val="-7"/>
                <w:sz w:val="16"/>
                <w:szCs w:val="16"/>
                <w:highlight w:val="none"/>
              </w:rPr>
              <w:t>元及以上</w:t>
            </w:r>
          </w:p>
        </w:tc>
        <w:tc>
          <w:tcPr>
            <w:tcW w:w="773" w:type="dxa"/>
            <w:vAlign w:val="top"/>
          </w:tcPr>
          <w:p w14:paraId="611A2826">
            <w:pPr>
              <w:rPr>
                <w:rFonts w:ascii="Arial"/>
                <w:color w:val="auto"/>
                <w:sz w:val="21"/>
                <w:highlight w:val="none"/>
              </w:rPr>
            </w:pPr>
          </w:p>
        </w:tc>
        <w:tc>
          <w:tcPr>
            <w:tcW w:w="693" w:type="dxa"/>
            <w:vAlign w:val="top"/>
          </w:tcPr>
          <w:p w14:paraId="31984AFB">
            <w:pPr>
              <w:pStyle w:val="12"/>
              <w:spacing w:before="141" w:line="291" w:lineRule="auto"/>
              <w:ind w:left="83" w:right="50"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14"/>
                <w:sz w:val="16"/>
                <w:szCs w:val="16"/>
                <w:highlight w:val="none"/>
              </w:rPr>
              <w:t>以下</w:t>
            </w:r>
          </w:p>
        </w:tc>
        <w:tc>
          <w:tcPr>
            <w:tcW w:w="800" w:type="dxa"/>
            <w:tcBorders>
              <w:right w:val="single" w:color="000000" w:sz="8" w:space="0"/>
            </w:tcBorders>
            <w:vAlign w:val="top"/>
          </w:tcPr>
          <w:p w14:paraId="0153AC11">
            <w:pPr>
              <w:pStyle w:val="12"/>
              <w:spacing w:before="141" w:line="291" w:lineRule="auto"/>
              <w:ind w:left="85" w:right="70" w:hanging="38"/>
              <w:rPr>
                <w:color w:val="auto"/>
                <w:sz w:val="16"/>
                <w:szCs w:val="16"/>
                <w:highlight w:val="none"/>
              </w:rPr>
            </w:pPr>
            <w:r>
              <w:rPr>
                <w:color w:val="auto"/>
                <w:spacing w:val="-5"/>
                <w:sz w:val="16"/>
                <w:szCs w:val="16"/>
                <w:highlight w:val="none"/>
              </w:rPr>
              <w:t>2000</w:t>
            </w:r>
            <w:r>
              <w:rPr>
                <w:color w:val="auto"/>
                <w:spacing w:val="-22"/>
                <w:sz w:val="16"/>
                <w:szCs w:val="16"/>
                <w:highlight w:val="none"/>
              </w:rPr>
              <w:t xml:space="preserve"> </w:t>
            </w:r>
            <w:r>
              <w:rPr>
                <w:color w:val="auto"/>
                <w:spacing w:val="-5"/>
                <w:sz w:val="16"/>
                <w:szCs w:val="16"/>
                <w:highlight w:val="none"/>
              </w:rPr>
              <w:t>万元</w:t>
            </w:r>
            <w:r>
              <w:rPr>
                <w:color w:val="auto"/>
                <w:spacing w:val="-14"/>
                <w:sz w:val="16"/>
                <w:szCs w:val="16"/>
                <w:highlight w:val="none"/>
              </w:rPr>
              <w:t>以下</w:t>
            </w:r>
          </w:p>
        </w:tc>
      </w:tr>
      <w:tr w14:paraId="70081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0" w:type="dxa"/>
            <w:tcBorders>
              <w:left w:val="single" w:color="000000" w:sz="8" w:space="0"/>
            </w:tcBorders>
            <w:vAlign w:val="top"/>
          </w:tcPr>
          <w:p w14:paraId="749833C2">
            <w:pPr>
              <w:pStyle w:val="12"/>
              <w:spacing w:before="284" w:line="222" w:lineRule="auto"/>
              <w:ind w:left="30"/>
              <w:rPr>
                <w:color w:val="auto"/>
                <w:sz w:val="16"/>
                <w:szCs w:val="16"/>
                <w:highlight w:val="none"/>
              </w:rPr>
            </w:pPr>
            <w:r>
              <w:rPr>
                <w:color w:val="auto"/>
                <w:spacing w:val="-4"/>
                <w:sz w:val="16"/>
                <w:szCs w:val="16"/>
                <w:highlight w:val="none"/>
              </w:rPr>
              <w:t>物业管理</w:t>
            </w:r>
          </w:p>
        </w:tc>
        <w:tc>
          <w:tcPr>
            <w:tcW w:w="759" w:type="dxa"/>
            <w:vAlign w:val="top"/>
          </w:tcPr>
          <w:p w14:paraId="2C00BBFE">
            <w:pPr>
              <w:pStyle w:val="12"/>
              <w:spacing w:before="140" w:line="292" w:lineRule="auto"/>
              <w:ind w:left="24" w:right="71" w:firstLine="6"/>
              <w:rPr>
                <w:color w:val="auto"/>
                <w:sz w:val="16"/>
                <w:szCs w:val="16"/>
                <w:highlight w:val="none"/>
              </w:rPr>
            </w:pPr>
            <w:r>
              <w:rPr>
                <w:color w:val="auto"/>
                <w:spacing w:val="-8"/>
                <w:sz w:val="16"/>
                <w:szCs w:val="16"/>
                <w:highlight w:val="none"/>
              </w:rPr>
              <w:t>1000</w:t>
            </w:r>
            <w:r>
              <w:rPr>
                <w:color w:val="auto"/>
                <w:spacing w:val="-21"/>
                <w:sz w:val="16"/>
                <w:szCs w:val="16"/>
                <w:highlight w:val="none"/>
              </w:rPr>
              <w:t xml:space="preserve"> </w:t>
            </w:r>
            <w:r>
              <w:rPr>
                <w:color w:val="auto"/>
                <w:spacing w:val="-8"/>
                <w:sz w:val="16"/>
                <w:szCs w:val="16"/>
                <w:highlight w:val="none"/>
              </w:rPr>
              <w:t>人以</w:t>
            </w:r>
            <w:r>
              <w:rPr>
                <w:color w:val="auto"/>
                <w:sz w:val="16"/>
                <w:szCs w:val="16"/>
                <w:highlight w:val="none"/>
              </w:rPr>
              <w:t>下</w:t>
            </w:r>
          </w:p>
        </w:tc>
        <w:tc>
          <w:tcPr>
            <w:tcW w:w="859" w:type="dxa"/>
            <w:vAlign w:val="top"/>
          </w:tcPr>
          <w:p w14:paraId="05B6D4B7">
            <w:pPr>
              <w:pStyle w:val="12"/>
              <w:spacing w:before="140" w:line="292" w:lineRule="auto"/>
              <w:ind w:left="23" w:right="20" w:hanging="7"/>
              <w:rPr>
                <w:color w:val="auto"/>
                <w:sz w:val="16"/>
                <w:szCs w:val="16"/>
                <w:highlight w:val="none"/>
              </w:rPr>
            </w:pPr>
            <w:r>
              <w:rPr>
                <w:color w:val="auto"/>
                <w:spacing w:val="-5"/>
                <w:sz w:val="16"/>
                <w:szCs w:val="16"/>
                <w:highlight w:val="none"/>
              </w:rPr>
              <w:t>5000</w:t>
            </w:r>
            <w:r>
              <w:rPr>
                <w:color w:val="auto"/>
                <w:spacing w:val="-30"/>
                <w:sz w:val="16"/>
                <w:szCs w:val="16"/>
                <w:highlight w:val="none"/>
              </w:rPr>
              <w:t xml:space="preserve"> </w:t>
            </w:r>
            <w:r>
              <w:rPr>
                <w:color w:val="auto"/>
                <w:spacing w:val="-5"/>
                <w:sz w:val="16"/>
                <w:szCs w:val="16"/>
                <w:highlight w:val="none"/>
              </w:rPr>
              <w:t>万元以</w:t>
            </w:r>
            <w:r>
              <w:rPr>
                <w:color w:val="auto"/>
                <w:sz w:val="16"/>
                <w:szCs w:val="16"/>
                <w:highlight w:val="none"/>
              </w:rPr>
              <w:t>下</w:t>
            </w:r>
          </w:p>
        </w:tc>
        <w:tc>
          <w:tcPr>
            <w:tcW w:w="810" w:type="dxa"/>
            <w:vAlign w:val="top"/>
          </w:tcPr>
          <w:p w14:paraId="4E9D967B">
            <w:pPr>
              <w:rPr>
                <w:rFonts w:ascii="Arial"/>
                <w:color w:val="auto"/>
                <w:sz w:val="21"/>
                <w:highlight w:val="none"/>
              </w:rPr>
            </w:pPr>
          </w:p>
        </w:tc>
        <w:tc>
          <w:tcPr>
            <w:tcW w:w="743" w:type="dxa"/>
            <w:vAlign w:val="top"/>
          </w:tcPr>
          <w:p w14:paraId="736889CF">
            <w:pPr>
              <w:pStyle w:val="12"/>
              <w:spacing w:before="140" w:line="292" w:lineRule="auto"/>
              <w:ind w:left="58" w:right="126" w:hanging="34"/>
              <w:rPr>
                <w:color w:val="auto"/>
                <w:sz w:val="16"/>
                <w:szCs w:val="16"/>
                <w:highlight w:val="none"/>
              </w:rPr>
            </w:pPr>
            <w:r>
              <w:rPr>
                <w:color w:val="auto"/>
                <w:spacing w:val="-6"/>
                <w:sz w:val="16"/>
                <w:szCs w:val="16"/>
                <w:highlight w:val="none"/>
              </w:rPr>
              <w:t>300</w:t>
            </w:r>
            <w:r>
              <w:rPr>
                <w:color w:val="auto"/>
                <w:spacing w:val="-25"/>
                <w:sz w:val="16"/>
                <w:szCs w:val="16"/>
                <w:highlight w:val="none"/>
              </w:rPr>
              <w:t xml:space="preserve"> </w:t>
            </w:r>
            <w:r>
              <w:rPr>
                <w:color w:val="auto"/>
                <w:spacing w:val="-6"/>
                <w:sz w:val="16"/>
                <w:szCs w:val="16"/>
                <w:highlight w:val="none"/>
              </w:rPr>
              <w:t>人及</w:t>
            </w:r>
            <w:r>
              <w:rPr>
                <w:color w:val="auto"/>
                <w:spacing w:val="-14"/>
                <w:sz w:val="16"/>
                <w:szCs w:val="16"/>
                <w:highlight w:val="none"/>
              </w:rPr>
              <w:t>以上</w:t>
            </w:r>
          </w:p>
        </w:tc>
        <w:tc>
          <w:tcPr>
            <w:tcW w:w="907" w:type="dxa"/>
            <w:vAlign w:val="top"/>
          </w:tcPr>
          <w:p w14:paraId="5EDEFA27">
            <w:pPr>
              <w:pStyle w:val="12"/>
              <w:spacing w:before="140" w:line="292" w:lineRule="auto"/>
              <w:ind w:left="63" w:right="47" w:hanging="19"/>
              <w:rPr>
                <w:color w:val="auto"/>
                <w:sz w:val="16"/>
                <w:szCs w:val="16"/>
                <w:highlight w:val="none"/>
              </w:rPr>
            </w:pPr>
            <w:r>
              <w:rPr>
                <w:color w:val="auto"/>
                <w:spacing w:val="-8"/>
                <w:sz w:val="16"/>
                <w:szCs w:val="16"/>
                <w:highlight w:val="none"/>
              </w:rPr>
              <w:t>1000</w:t>
            </w:r>
            <w:r>
              <w:rPr>
                <w:color w:val="auto"/>
                <w:spacing w:val="-15"/>
                <w:sz w:val="16"/>
                <w:szCs w:val="16"/>
                <w:highlight w:val="none"/>
              </w:rPr>
              <w:t xml:space="preserve"> </w:t>
            </w:r>
            <w:r>
              <w:rPr>
                <w:color w:val="auto"/>
                <w:spacing w:val="-8"/>
                <w:sz w:val="16"/>
                <w:szCs w:val="16"/>
                <w:highlight w:val="none"/>
              </w:rPr>
              <w:t>万元及</w:t>
            </w:r>
            <w:r>
              <w:rPr>
                <w:color w:val="auto"/>
                <w:spacing w:val="-14"/>
                <w:sz w:val="16"/>
                <w:szCs w:val="16"/>
                <w:highlight w:val="none"/>
              </w:rPr>
              <w:t>以上</w:t>
            </w:r>
          </w:p>
        </w:tc>
        <w:tc>
          <w:tcPr>
            <w:tcW w:w="713" w:type="dxa"/>
            <w:vAlign w:val="top"/>
          </w:tcPr>
          <w:p w14:paraId="5C190FED">
            <w:pPr>
              <w:rPr>
                <w:rFonts w:ascii="Arial"/>
                <w:color w:val="auto"/>
                <w:sz w:val="21"/>
                <w:highlight w:val="none"/>
              </w:rPr>
            </w:pPr>
          </w:p>
        </w:tc>
        <w:tc>
          <w:tcPr>
            <w:tcW w:w="761" w:type="dxa"/>
            <w:vAlign w:val="top"/>
          </w:tcPr>
          <w:p w14:paraId="16F09F90">
            <w:pPr>
              <w:pStyle w:val="12"/>
              <w:spacing w:before="140" w:line="292" w:lineRule="auto"/>
              <w:ind w:left="70" w:right="133" w:hanging="19"/>
              <w:rPr>
                <w:color w:val="auto"/>
                <w:sz w:val="16"/>
                <w:szCs w:val="16"/>
                <w:highlight w:val="none"/>
              </w:rPr>
            </w:pPr>
            <w:r>
              <w:rPr>
                <w:color w:val="auto"/>
                <w:spacing w:val="-9"/>
                <w:sz w:val="16"/>
                <w:szCs w:val="16"/>
                <w:highlight w:val="none"/>
              </w:rPr>
              <w:t>100</w:t>
            </w:r>
            <w:r>
              <w:rPr>
                <w:color w:val="auto"/>
                <w:spacing w:val="-25"/>
                <w:sz w:val="16"/>
                <w:szCs w:val="16"/>
                <w:highlight w:val="none"/>
              </w:rPr>
              <w:t xml:space="preserve"> </w:t>
            </w:r>
            <w:r>
              <w:rPr>
                <w:color w:val="auto"/>
                <w:spacing w:val="-9"/>
                <w:sz w:val="16"/>
                <w:szCs w:val="16"/>
                <w:highlight w:val="none"/>
              </w:rPr>
              <w:t>人及</w:t>
            </w:r>
            <w:r>
              <w:rPr>
                <w:color w:val="auto"/>
                <w:spacing w:val="-14"/>
                <w:sz w:val="16"/>
                <w:szCs w:val="16"/>
                <w:highlight w:val="none"/>
              </w:rPr>
              <w:t>以上</w:t>
            </w:r>
          </w:p>
        </w:tc>
        <w:tc>
          <w:tcPr>
            <w:tcW w:w="760" w:type="dxa"/>
            <w:vAlign w:val="top"/>
          </w:tcPr>
          <w:p w14:paraId="0B815EE0">
            <w:pPr>
              <w:pStyle w:val="12"/>
              <w:spacing w:before="140" w:line="292" w:lineRule="auto"/>
              <w:ind w:left="43" w:right="130" w:hanging="6"/>
              <w:rPr>
                <w:color w:val="auto"/>
                <w:sz w:val="16"/>
                <w:szCs w:val="16"/>
                <w:highlight w:val="none"/>
              </w:rPr>
            </w:pPr>
            <w:r>
              <w:rPr>
                <w:color w:val="auto"/>
                <w:spacing w:val="-6"/>
                <w:sz w:val="16"/>
                <w:szCs w:val="16"/>
                <w:highlight w:val="none"/>
              </w:rPr>
              <w:t>500</w:t>
            </w:r>
            <w:r>
              <w:rPr>
                <w:color w:val="auto"/>
                <w:spacing w:val="-25"/>
                <w:sz w:val="16"/>
                <w:szCs w:val="16"/>
                <w:highlight w:val="none"/>
              </w:rPr>
              <w:t xml:space="preserve"> </w:t>
            </w:r>
            <w:r>
              <w:rPr>
                <w:color w:val="auto"/>
                <w:spacing w:val="-6"/>
                <w:sz w:val="16"/>
                <w:szCs w:val="16"/>
                <w:highlight w:val="none"/>
              </w:rPr>
              <w:t>万元及以上</w:t>
            </w:r>
          </w:p>
        </w:tc>
        <w:tc>
          <w:tcPr>
            <w:tcW w:w="679" w:type="dxa"/>
            <w:vAlign w:val="top"/>
          </w:tcPr>
          <w:p w14:paraId="0446C0CE">
            <w:pPr>
              <w:rPr>
                <w:rFonts w:ascii="Arial"/>
                <w:color w:val="auto"/>
                <w:sz w:val="21"/>
                <w:highlight w:val="none"/>
              </w:rPr>
            </w:pPr>
          </w:p>
        </w:tc>
        <w:tc>
          <w:tcPr>
            <w:tcW w:w="773" w:type="dxa"/>
            <w:vAlign w:val="top"/>
          </w:tcPr>
          <w:p w14:paraId="10FBE02E">
            <w:pPr>
              <w:pStyle w:val="12"/>
              <w:spacing w:before="286" w:line="224" w:lineRule="auto"/>
              <w:jc w:val="right"/>
              <w:rPr>
                <w:color w:val="auto"/>
                <w:sz w:val="16"/>
                <w:szCs w:val="16"/>
                <w:highlight w:val="none"/>
              </w:rPr>
            </w:pPr>
            <w:r>
              <w:rPr>
                <w:color w:val="auto"/>
                <w:spacing w:val="-10"/>
                <w:sz w:val="16"/>
                <w:szCs w:val="16"/>
                <w:highlight w:val="none"/>
              </w:rPr>
              <w:t>100</w:t>
            </w:r>
            <w:r>
              <w:rPr>
                <w:color w:val="auto"/>
                <w:spacing w:val="-38"/>
                <w:sz w:val="16"/>
                <w:szCs w:val="16"/>
                <w:highlight w:val="none"/>
              </w:rPr>
              <w:t xml:space="preserve"> </w:t>
            </w:r>
            <w:r>
              <w:rPr>
                <w:color w:val="auto"/>
                <w:spacing w:val="-10"/>
                <w:sz w:val="16"/>
                <w:szCs w:val="16"/>
                <w:highlight w:val="none"/>
              </w:rPr>
              <w:t>人以下</w:t>
            </w:r>
          </w:p>
        </w:tc>
        <w:tc>
          <w:tcPr>
            <w:tcW w:w="693" w:type="dxa"/>
            <w:vAlign w:val="top"/>
          </w:tcPr>
          <w:p w14:paraId="1E255287">
            <w:pPr>
              <w:pStyle w:val="12"/>
              <w:spacing w:before="140" w:line="292" w:lineRule="auto"/>
              <w:ind w:left="82" w:right="53" w:hanging="34"/>
              <w:rPr>
                <w:color w:val="auto"/>
                <w:sz w:val="16"/>
                <w:szCs w:val="16"/>
                <w:highlight w:val="none"/>
              </w:rPr>
            </w:pPr>
            <w:r>
              <w:rPr>
                <w:color w:val="auto"/>
                <w:spacing w:val="-6"/>
                <w:sz w:val="16"/>
                <w:szCs w:val="16"/>
                <w:highlight w:val="none"/>
              </w:rPr>
              <w:t>500</w:t>
            </w:r>
            <w:r>
              <w:rPr>
                <w:color w:val="auto"/>
                <w:spacing w:val="-24"/>
                <w:sz w:val="16"/>
                <w:szCs w:val="16"/>
                <w:highlight w:val="none"/>
              </w:rPr>
              <w:t xml:space="preserve"> </w:t>
            </w:r>
            <w:r>
              <w:rPr>
                <w:color w:val="auto"/>
                <w:spacing w:val="-6"/>
                <w:sz w:val="16"/>
                <w:szCs w:val="16"/>
                <w:highlight w:val="none"/>
              </w:rPr>
              <w:t>万元</w:t>
            </w:r>
            <w:r>
              <w:rPr>
                <w:color w:val="auto"/>
                <w:spacing w:val="-14"/>
                <w:sz w:val="16"/>
                <w:szCs w:val="16"/>
                <w:highlight w:val="none"/>
              </w:rPr>
              <w:t>以下</w:t>
            </w:r>
          </w:p>
        </w:tc>
        <w:tc>
          <w:tcPr>
            <w:tcW w:w="800" w:type="dxa"/>
            <w:tcBorders>
              <w:right w:val="single" w:color="000000" w:sz="8" w:space="0"/>
            </w:tcBorders>
            <w:vAlign w:val="top"/>
          </w:tcPr>
          <w:p w14:paraId="2BC6B46B">
            <w:pPr>
              <w:rPr>
                <w:rFonts w:ascii="Arial"/>
                <w:color w:val="auto"/>
                <w:sz w:val="21"/>
                <w:highlight w:val="none"/>
              </w:rPr>
            </w:pPr>
          </w:p>
        </w:tc>
      </w:tr>
      <w:tr w14:paraId="3782B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670" w:type="dxa"/>
            <w:tcBorders>
              <w:left w:val="single" w:color="000000" w:sz="8" w:space="0"/>
            </w:tcBorders>
            <w:vAlign w:val="top"/>
          </w:tcPr>
          <w:p w14:paraId="4B0B07D3">
            <w:pPr>
              <w:pStyle w:val="12"/>
              <w:spacing w:before="289" w:line="223" w:lineRule="auto"/>
              <w:ind w:left="30"/>
              <w:rPr>
                <w:color w:val="auto"/>
                <w:sz w:val="16"/>
                <w:szCs w:val="16"/>
                <w:highlight w:val="none"/>
              </w:rPr>
            </w:pPr>
            <w:r>
              <w:rPr>
                <w:color w:val="auto"/>
                <w:spacing w:val="-3"/>
                <w:sz w:val="16"/>
                <w:szCs w:val="16"/>
                <w:highlight w:val="none"/>
              </w:rPr>
              <w:t>租赁和商务服务业</w:t>
            </w:r>
          </w:p>
        </w:tc>
        <w:tc>
          <w:tcPr>
            <w:tcW w:w="759" w:type="dxa"/>
            <w:vAlign w:val="top"/>
          </w:tcPr>
          <w:p w14:paraId="71376C20">
            <w:pPr>
              <w:pStyle w:val="12"/>
              <w:spacing w:before="144" w:line="290" w:lineRule="auto"/>
              <w:ind w:left="21" w:right="155" w:hanging="9"/>
              <w:rPr>
                <w:color w:val="auto"/>
                <w:sz w:val="16"/>
                <w:szCs w:val="16"/>
                <w:highlight w:val="none"/>
              </w:rPr>
            </w:pPr>
            <w:r>
              <w:rPr>
                <w:color w:val="auto"/>
                <w:spacing w:val="-6"/>
                <w:sz w:val="16"/>
                <w:szCs w:val="16"/>
                <w:highlight w:val="none"/>
              </w:rPr>
              <w:t>300</w:t>
            </w:r>
            <w:r>
              <w:rPr>
                <w:color w:val="auto"/>
                <w:spacing w:val="-25"/>
                <w:sz w:val="16"/>
                <w:szCs w:val="16"/>
                <w:highlight w:val="none"/>
              </w:rPr>
              <w:t xml:space="preserve"> </w:t>
            </w:r>
            <w:r>
              <w:rPr>
                <w:color w:val="auto"/>
                <w:spacing w:val="-6"/>
                <w:sz w:val="16"/>
                <w:szCs w:val="16"/>
                <w:highlight w:val="none"/>
              </w:rPr>
              <w:t>人以</w:t>
            </w:r>
            <w:r>
              <w:rPr>
                <w:color w:val="auto"/>
                <w:sz w:val="16"/>
                <w:szCs w:val="16"/>
                <w:highlight w:val="none"/>
              </w:rPr>
              <w:t>下</w:t>
            </w:r>
          </w:p>
        </w:tc>
        <w:tc>
          <w:tcPr>
            <w:tcW w:w="859" w:type="dxa"/>
            <w:vAlign w:val="top"/>
          </w:tcPr>
          <w:p w14:paraId="094DE3A7">
            <w:pPr>
              <w:rPr>
                <w:rFonts w:ascii="Arial"/>
                <w:color w:val="auto"/>
                <w:sz w:val="21"/>
                <w:highlight w:val="none"/>
              </w:rPr>
            </w:pPr>
          </w:p>
        </w:tc>
        <w:tc>
          <w:tcPr>
            <w:tcW w:w="810" w:type="dxa"/>
            <w:vAlign w:val="top"/>
          </w:tcPr>
          <w:p w14:paraId="2141A86B">
            <w:pPr>
              <w:pStyle w:val="12"/>
              <w:spacing w:before="144" w:line="290" w:lineRule="auto"/>
              <w:ind w:left="30" w:right="117" w:firstLine="6"/>
              <w:rPr>
                <w:color w:val="auto"/>
                <w:sz w:val="16"/>
                <w:szCs w:val="16"/>
                <w:highlight w:val="none"/>
              </w:rPr>
            </w:pPr>
            <w:r>
              <w:rPr>
                <w:color w:val="auto"/>
                <w:spacing w:val="-7"/>
                <w:sz w:val="16"/>
                <w:szCs w:val="16"/>
                <w:highlight w:val="none"/>
              </w:rPr>
              <w:t>120000</w:t>
            </w:r>
            <w:r>
              <w:rPr>
                <w:color w:val="auto"/>
                <w:spacing w:val="-23"/>
                <w:sz w:val="16"/>
                <w:szCs w:val="16"/>
                <w:highlight w:val="none"/>
              </w:rPr>
              <w:t xml:space="preserve"> </w:t>
            </w:r>
            <w:r>
              <w:rPr>
                <w:color w:val="auto"/>
                <w:spacing w:val="-7"/>
                <w:sz w:val="16"/>
                <w:szCs w:val="16"/>
                <w:highlight w:val="none"/>
              </w:rPr>
              <w:t>万</w:t>
            </w:r>
            <w:r>
              <w:rPr>
                <w:color w:val="auto"/>
                <w:spacing w:val="-6"/>
                <w:sz w:val="16"/>
                <w:szCs w:val="16"/>
                <w:highlight w:val="none"/>
              </w:rPr>
              <w:t>元以下</w:t>
            </w:r>
          </w:p>
        </w:tc>
        <w:tc>
          <w:tcPr>
            <w:tcW w:w="743" w:type="dxa"/>
            <w:vAlign w:val="top"/>
          </w:tcPr>
          <w:p w14:paraId="1DAF5F0F">
            <w:pPr>
              <w:pStyle w:val="12"/>
              <w:spacing w:before="144" w:line="290" w:lineRule="auto"/>
              <w:ind w:left="59" w:right="124"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人及</w:t>
            </w:r>
            <w:r>
              <w:rPr>
                <w:color w:val="auto"/>
                <w:spacing w:val="-14"/>
                <w:sz w:val="16"/>
                <w:szCs w:val="16"/>
                <w:highlight w:val="none"/>
              </w:rPr>
              <w:t>以上</w:t>
            </w:r>
          </w:p>
        </w:tc>
        <w:tc>
          <w:tcPr>
            <w:tcW w:w="907" w:type="dxa"/>
            <w:vAlign w:val="top"/>
          </w:tcPr>
          <w:p w14:paraId="039C0396">
            <w:pPr>
              <w:rPr>
                <w:rFonts w:ascii="Arial"/>
                <w:color w:val="auto"/>
                <w:sz w:val="21"/>
                <w:highlight w:val="none"/>
              </w:rPr>
            </w:pPr>
          </w:p>
        </w:tc>
        <w:tc>
          <w:tcPr>
            <w:tcW w:w="713" w:type="dxa"/>
            <w:vAlign w:val="top"/>
          </w:tcPr>
          <w:p w14:paraId="723FA312">
            <w:pPr>
              <w:pStyle w:val="12"/>
              <w:spacing w:before="144" w:line="290" w:lineRule="auto"/>
              <w:ind w:left="36" w:right="13" w:hanging="13"/>
              <w:rPr>
                <w:color w:val="auto"/>
                <w:sz w:val="16"/>
                <w:szCs w:val="16"/>
                <w:highlight w:val="none"/>
              </w:rPr>
            </w:pPr>
            <w:r>
              <w:rPr>
                <w:color w:val="auto"/>
                <w:spacing w:val="-5"/>
                <w:sz w:val="16"/>
                <w:szCs w:val="16"/>
                <w:highlight w:val="none"/>
              </w:rPr>
              <w:t>8000</w:t>
            </w:r>
            <w:r>
              <w:rPr>
                <w:color w:val="auto"/>
                <w:spacing w:val="-21"/>
                <w:sz w:val="16"/>
                <w:szCs w:val="16"/>
                <w:highlight w:val="none"/>
              </w:rPr>
              <w:t xml:space="preserve"> </w:t>
            </w:r>
            <w:r>
              <w:rPr>
                <w:color w:val="auto"/>
                <w:spacing w:val="-5"/>
                <w:sz w:val="16"/>
                <w:szCs w:val="16"/>
                <w:highlight w:val="none"/>
              </w:rPr>
              <w:t>万元</w:t>
            </w:r>
            <w:r>
              <w:rPr>
                <w:color w:val="auto"/>
                <w:spacing w:val="-6"/>
                <w:sz w:val="16"/>
                <w:szCs w:val="16"/>
                <w:highlight w:val="none"/>
              </w:rPr>
              <w:t>及以上</w:t>
            </w:r>
          </w:p>
        </w:tc>
        <w:tc>
          <w:tcPr>
            <w:tcW w:w="761" w:type="dxa"/>
            <w:vAlign w:val="top"/>
          </w:tcPr>
          <w:p w14:paraId="699F623A">
            <w:pPr>
              <w:pStyle w:val="12"/>
              <w:spacing w:before="144" w:line="290" w:lineRule="auto"/>
              <w:ind w:left="41" w:right="57" w:firstLine="10"/>
              <w:rPr>
                <w:color w:val="auto"/>
                <w:sz w:val="16"/>
                <w:szCs w:val="16"/>
                <w:highlight w:val="none"/>
              </w:rPr>
            </w:pPr>
            <w:r>
              <w:rPr>
                <w:color w:val="auto"/>
                <w:spacing w:val="-10"/>
                <w:sz w:val="16"/>
                <w:szCs w:val="16"/>
                <w:highlight w:val="none"/>
              </w:rPr>
              <w:t>10</w:t>
            </w:r>
            <w:r>
              <w:rPr>
                <w:color w:val="auto"/>
                <w:spacing w:val="-24"/>
                <w:sz w:val="16"/>
                <w:szCs w:val="16"/>
                <w:highlight w:val="none"/>
              </w:rPr>
              <w:t xml:space="preserve"> </w:t>
            </w:r>
            <w:r>
              <w:rPr>
                <w:color w:val="auto"/>
                <w:spacing w:val="-10"/>
                <w:sz w:val="16"/>
                <w:szCs w:val="16"/>
                <w:highlight w:val="none"/>
              </w:rPr>
              <w:t>人及以</w:t>
            </w:r>
            <w:r>
              <w:rPr>
                <w:color w:val="auto"/>
                <w:sz w:val="16"/>
                <w:szCs w:val="16"/>
                <w:highlight w:val="none"/>
              </w:rPr>
              <w:t>上</w:t>
            </w:r>
          </w:p>
        </w:tc>
        <w:tc>
          <w:tcPr>
            <w:tcW w:w="760" w:type="dxa"/>
            <w:vAlign w:val="top"/>
          </w:tcPr>
          <w:p w14:paraId="7A52D721">
            <w:pPr>
              <w:rPr>
                <w:rFonts w:ascii="Arial"/>
                <w:color w:val="auto"/>
                <w:sz w:val="21"/>
                <w:highlight w:val="none"/>
              </w:rPr>
            </w:pPr>
          </w:p>
        </w:tc>
        <w:tc>
          <w:tcPr>
            <w:tcW w:w="679" w:type="dxa"/>
            <w:vAlign w:val="top"/>
          </w:tcPr>
          <w:p w14:paraId="3D9D9A00">
            <w:pPr>
              <w:pStyle w:val="12"/>
              <w:spacing w:before="144" w:line="290" w:lineRule="auto"/>
              <w:ind w:left="47" w:right="44" w:firstLine="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万元</w:t>
            </w:r>
            <w:r>
              <w:rPr>
                <w:color w:val="auto"/>
                <w:spacing w:val="-6"/>
                <w:sz w:val="16"/>
                <w:szCs w:val="16"/>
                <w:highlight w:val="none"/>
              </w:rPr>
              <w:t>及以上</w:t>
            </w:r>
          </w:p>
        </w:tc>
        <w:tc>
          <w:tcPr>
            <w:tcW w:w="773" w:type="dxa"/>
            <w:vAlign w:val="top"/>
          </w:tcPr>
          <w:p w14:paraId="6ECF4823">
            <w:pPr>
              <w:pStyle w:val="12"/>
              <w:spacing w:before="289" w:line="224" w:lineRule="auto"/>
              <w:ind w:left="59"/>
              <w:rPr>
                <w:color w:val="auto"/>
                <w:sz w:val="16"/>
                <w:szCs w:val="16"/>
                <w:highlight w:val="none"/>
              </w:rPr>
            </w:pPr>
            <w:r>
              <w:rPr>
                <w:color w:val="auto"/>
                <w:spacing w:val="-8"/>
                <w:sz w:val="16"/>
                <w:szCs w:val="16"/>
                <w:highlight w:val="none"/>
              </w:rPr>
              <w:t>10</w:t>
            </w:r>
            <w:r>
              <w:rPr>
                <w:color w:val="auto"/>
                <w:spacing w:val="-23"/>
                <w:sz w:val="16"/>
                <w:szCs w:val="16"/>
                <w:highlight w:val="none"/>
              </w:rPr>
              <w:t xml:space="preserve"> </w:t>
            </w:r>
            <w:r>
              <w:rPr>
                <w:color w:val="auto"/>
                <w:spacing w:val="-8"/>
                <w:sz w:val="16"/>
                <w:szCs w:val="16"/>
                <w:highlight w:val="none"/>
              </w:rPr>
              <w:t>人以下</w:t>
            </w:r>
          </w:p>
        </w:tc>
        <w:tc>
          <w:tcPr>
            <w:tcW w:w="693" w:type="dxa"/>
            <w:vAlign w:val="top"/>
          </w:tcPr>
          <w:p w14:paraId="645D5F15">
            <w:pPr>
              <w:rPr>
                <w:rFonts w:ascii="Arial"/>
                <w:color w:val="auto"/>
                <w:sz w:val="21"/>
                <w:highlight w:val="none"/>
              </w:rPr>
            </w:pPr>
          </w:p>
        </w:tc>
        <w:tc>
          <w:tcPr>
            <w:tcW w:w="800" w:type="dxa"/>
            <w:tcBorders>
              <w:right w:val="single" w:color="000000" w:sz="8" w:space="0"/>
            </w:tcBorders>
            <w:vAlign w:val="top"/>
          </w:tcPr>
          <w:p w14:paraId="25E6032D">
            <w:pPr>
              <w:pStyle w:val="12"/>
              <w:spacing w:before="144" w:line="290" w:lineRule="auto"/>
              <w:ind w:left="60" w:right="3" w:firstLine="6"/>
              <w:rPr>
                <w:color w:val="auto"/>
                <w:sz w:val="16"/>
                <w:szCs w:val="16"/>
                <w:highlight w:val="none"/>
              </w:rPr>
            </w:pPr>
            <w:r>
              <w:rPr>
                <w:color w:val="auto"/>
                <w:spacing w:val="-8"/>
                <w:sz w:val="16"/>
                <w:szCs w:val="16"/>
                <w:highlight w:val="none"/>
              </w:rPr>
              <w:t>100</w:t>
            </w:r>
            <w:r>
              <w:rPr>
                <w:color w:val="auto"/>
                <w:spacing w:val="-36"/>
                <w:sz w:val="16"/>
                <w:szCs w:val="16"/>
                <w:highlight w:val="none"/>
              </w:rPr>
              <w:t xml:space="preserve"> </w:t>
            </w:r>
            <w:r>
              <w:rPr>
                <w:color w:val="auto"/>
                <w:spacing w:val="-8"/>
                <w:sz w:val="16"/>
                <w:szCs w:val="16"/>
                <w:highlight w:val="none"/>
              </w:rPr>
              <w:t>万元以</w:t>
            </w:r>
            <w:r>
              <w:rPr>
                <w:color w:val="auto"/>
                <w:sz w:val="16"/>
                <w:szCs w:val="16"/>
                <w:highlight w:val="none"/>
              </w:rPr>
              <w:t>下</w:t>
            </w:r>
          </w:p>
        </w:tc>
      </w:tr>
      <w:tr w14:paraId="00EF7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7" w:hRule="atLeast"/>
        </w:trPr>
        <w:tc>
          <w:tcPr>
            <w:tcW w:w="1670" w:type="dxa"/>
            <w:tcBorders>
              <w:left w:val="single" w:color="000000" w:sz="8" w:space="0"/>
              <w:bottom w:val="single" w:color="000000" w:sz="8" w:space="0"/>
            </w:tcBorders>
            <w:vAlign w:val="top"/>
          </w:tcPr>
          <w:p w14:paraId="1261C87C">
            <w:pPr>
              <w:pStyle w:val="12"/>
              <w:spacing w:before="148" w:line="222" w:lineRule="auto"/>
              <w:ind w:left="31"/>
              <w:rPr>
                <w:color w:val="auto"/>
                <w:sz w:val="16"/>
                <w:szCs w:val="16"/>
                <w:highlight w:val="none"/>
              </w:rPr>
            </w:pPr>
            <w:r>
              <w:rPr>
                <w:color w:val="auto"/>
                <w:spacing w:val="-3"/>
                <w:sz w:val="16"/>
                <w:szCs w:val="16"/>
                <w:highlight w:val="none"/>
              </w:rPr>
              <w:t>其他未列明行业（包括</w:t>
            </w:r>
          </w:p>
          <w:p w14:paraId="74A442E9">
            <w:pPr>
              <w:pStyle w:val="12"/>
              <w:spacing w:before="104" w:line="224" w:lineRule="auto"/>
              <w:ind w:left="30"/>
              <w:rPr>
                <w:color w:val="auto"/>
                <w:sz w:val="16"/>
                <w:szCs w:val="16"/>
                <w:highlight w:val="none"/>
              </w:rPr>
            </w:pPr>
            <w:r>
              <w:rPr>
                <w:color w:val="auto"/>
                <w:spacing w:val="-3"/>
                <w:sz w:val="16"/>
                <w:szCs w:val="16"/>
                <w:highlight w:val="none"/>
              </w:rPr>
              <w:t>科学研究和技术服务</w:t>
            </w:r>
          </w:p>
          <w:p w14:paraId="6BC1AE4D">
            <w:pPr>
              <w:pStyle w:val="12"/>
              <w:spacing w:before="133" w:line="341" w:lineRule="auto"/>
              <w:ind w:left="27" w:right="25"/>
              <w:rPr>
                <w:color w:val="auto"/>
                <w:sz w:val="16"/>
                <w:szCs w:val="16"/>
                <w:highlight w:val="none"/>
              </w:rPr>
            </w:pPr>
            <w:r>
              <w:rPr>
                <w:color w:val="auto"/>
                <w:spacing w:val="-6"/>
                <w:sz w:val="16"/>
                <w:szCs w:val="16"/>
                <w:highlight w:val="none"/>
              </w:rPr>
              <w:t>业，水利、环境和公共</w:t>
            </w:r>
            <w:r>
              <w:rPr>
                <w:color w:val="auto"/>
                <w:spacing w:val="-15"/>
                <w:sz w:val="16"/>
                <w:szCs w:val="16"/>
                <w:highlight w:val="none"/>
              </w:rPr>
              <w:t>设施管理业，居民服务、</w:t>
            </w:r>
          </w:p>
          <w:p w14:paraId="028D868A">
            <w:pPr>
              <w:pStyle w:val="12"/>
              <w:spacing w:line="223" w:lineRule="auto"/>
              <w:ind w:left="27"/>
              <w:rPr>
                <w:color w:val="auto"/>
                <w:sz w:val="16"/>
                <w:szCs w:val="16"/>
                <w:highlight w:val="none"/>
              </w:rPr>
            </w:pPr>
            <w:r>
              <w:rPr>
                <w:color w:val="auto"/>
                <w:spacing w:val="-5"/>
                <w:sz w:val="16"/>
                <w:szCs w:val="16"/>
                <w:highlight w:val="none"/>
              </w:rPr>
              <w:t>修理和其他服务业，社</w:t>
            </w:r>
          </w:p>
          <w:p w14:paraId="39C793F4">
            <w:pPr>
              <w:pStyle w:val="12"/>
              <w:spacing w:before="105" w:line="221" w:lineRule="auto"/>
              <w:ind w:left="32"/>
              <w:rPr>
                <w:color w:val="auto"/>
                <w:sz w:val="16"/>
                <w:szCs w:val="16"/>
                <w:highlight w:val="none"/>
              </w:rPr>
            </w:pPr>
            <w:r>
              <w:rPr>
                <w:color w:val="auto"/>
                <w:spacing w:val="-6"/>
                <w:sz w:val="16"/>
                <w:szCs w:val="16"/>
                <w:highlight w:val="none"/>
              </w:rPr>
              <w:t>会工作，文化、体育和</w:t>
            </w:r>
          </w:p>
          <w:p w14:paraId="38CA5BE3">
            <w:pPr>
              <w:pStyle w:val="12"/>
              <w:spacing w:before="106" w:line="225" w:lineRule="auto"/>
              <w:ind w:left="27"/>
              <w:rPr>
                <w:color w:val="auto"/>
                <w:sz w:val="16"/>
                <w:szCs w:val="16"/>
                <w:highlight w:val="none"/>
              </w:rPr>
            </w:pPr>
            <w:r>
              <w:rPr>
                <w:color w:val="auto"/>
                <w:spacing w:val="-5"/>
                <w:sz w:val="16"/>
                <w:szCs w:val="16"/>
                <w:highlight w:val="none"/>
              </w:rPr>
              <w:t>娱乐业等）</w:t>
            </w:r>
          </w:p>
        </w:tc>
        <w:tc>
          <w:tcPr>
            <w:tcW w:w="759" w:type="dxa"/>
            <w:tcBorders>
              <w:bottom w:val="single" w:color="000000" w:sz="8" w:space="0"/>
            </w:tcBorders>
            <w:vAlign w:val="top"/>
          </w:tcPr>
          <w:p w14:paraId="6EDA351B">
            <w:pPr>
              <w:spacing w:line="244" w:lineRule="auto"/>
              <w:rPr>
                <w:rFonts w:ascii="Arial"/>
                <w:color w:val="auto"/>
                <w:sz w:val="21"/>
                <w:highlight w:val="none"/>
              </w:rPr>
            </w:pPr>
          </w:p>
          <w:p w14:paraId="59846B4D">
            <w:pPr>
              <w:spacing w:line="245" w:lineRule="auto"/>
              <w:rPr>
                <w:rFonts w:ascii="Arial"/>
                <w:color w:val="auto"/>
                <w:sz w:val="21"/>
                <w:highlight w:val="none"/>
              </w:rPr>
            </w:pPr>
          </w:p>
          <w:p w14:paraId="1827CB33">
            <w:pPr>
              <w:spacing w:line="245" w:lineRule="auto"/>
              <w:rPr>
                <w:rFonts w:ascii="Arial"/>
                <w:color w:val="auto"/>
                <w:sz w:val="21"/>
                <w:highlight w:val="none"/>
              </w:rPr>
            </w:pPr>
          </w:p>
          <w:p w14:paraId="67505673">
            <w:pPr>
              <w:spacing w:line="245" w:lineRule="auto"/>
              <w:rPr>
                <w:rFonts w:ascii="Arial"/>
                <w:color w:val="auto"/>
                <w:sz w:val="21"/>
                <w:highlight w:val="none"/>
              </w:rPr>
            </w:pPr>
          </w:p>
          <w:p w14:paraId="0ACB22CE">
            <w:pPr>
              <w:pStyle w:val="12"/>
              <w:spacing w:before="52" w:line="344" w:lineRule="auto"/>
              <w:ind w:left="21" w:right="155" w:hanging="9"/>
              <w:rPr>
                <w:color w:val="auto"/>
                <w:sz w:val="16"/>
                <w:szCs w:val="16"/>
                <w:highlight w:val="none"/>
              </w:rPr>
            </w:pPr>
            <w:r>
              <w:rPr>
                <w:color w:val="auto"/>
                <w:spacing w:val="-6"/>
                <w:sz w:val="16"/>
                <w:szCs w:val="16"/>
                <w:highlight w:val="none"/>
              </w:rPr>
              <w:t>300</w:t>
            </w:r>
            <w:r>
              <w:rPr>
                <w:color w:val="auto"/>
                <w:spacing w:val="-25"/>
                <w:sz w:val="16"/>
                <w:szCs w:val="16"/>
                <w:highlight w:val="none"/>
              </w:rPr>
              <w:t xml:space="preserve"> </w:t>
            </w:r>
            <w:r>
              <w:rPr>
                <w:color w:val="auto"/>
                <w:spacing w:val="-6"/>
                <w:sz w:val="16"/>
                <w:szCs w:val="16"/>
                <w:highlight w:val="none"/>
              </w:rPr>
              <w:t>人以</w:t>
            </w:r>
            <w:r>
              <w:rPr>
                <w:color w:val="auto"/>
                <w:sz w:val="16"/>
                <w:szCs w:val="16"/>
                <w:highlight w:val="none"/>
              </w:rPr>
              <w:t>下</w:t>
            </w:r>
          </w:p>
        </w:tc>
        <w:tc>
          <w:tcPr>
            <w:tcW w:w="859" w:type="dxa"/>
            <w:tcBorders>
              <w:bottom w:val="single" w:color="000000" w:sz="8" w:space="0"/>
            </w:tcBorders>
            <w:vAlign w:val="top"/>
          </w:tcPr>
          <w:p w14:paraId="4288099A">
            <w:pPr>
              <w:rPr>
                <w:rFonts w:ascii="Arial"/>
                <w:color w:val="auto"/>
                <w:sz w:val="21"/>
                <w:highlight w:val="none"/>
              </w:rPr>
            </w:pPr>
          </w:p>
        </w:tc>
        <w:tc>
          <w:tcPr>
            <w:tcW w:w="810" w:type="dxa"/>
            <w:tcBorders>
              <w:bottom w:val="single" w:color="000000" w:sz="8" w:space="0"/>
            </w:tcBorders>
            <w:vAlign w:val="top"/>
          </w:tcPr>
          <w:p w14:paraId="2BDB1AF6">
            <w:pPr>
              <w:rPr>
                <w:rFonts w:ascii="Arial"/>
                <w:color w:val="auto"/>
                <w:sz w:val="21"/>
                <w:highlight w:val="none"/>
              </w:rPr>
            </w:pPr>
          </w:p>
        </w:tc>
        <w:tc>
          <w:tcPr>
            <w:tcW w:w="743" w:type="dxa"/>
            <w:tcBorders>
              <w:bottom w:val="single" w:color="000000" w:sz="8" w:space="0"/>
            </w:tcBorders>
            <w:vAlign w:val="top"/>
          </w:tcPr>
          <w:p w14:paraId="7560263D">
            <w:pPr>
              <w:spacing w:line="244" w:lineRule="auto"/>
              <w:rPr>
                <w:rFonts w:ascii="Arial"/>
                <w:color w:val="auto"/>
                <w:sz w:val="21"/>
                <w:highlight w:val="none"/>
              </w:rPr>
            </w:pPr>
          </w:p>
          <w:p w14:paraId="498865DE">
            <w:pPr>
              <w:spacing w:line="244" w:lineRule="auto"/>
              <w:rPr>
                <w:rFonts w:ascii="Arial"/>
                <w:color w:val="auto"/>
                <w:sz w:val="21"/>
                <w:highlight w:val="none"/>
              </w:rPr>
            </w:pPr>
          </w:p>
          <w:p w14:paraId="0DAC6098">
            <w:pPr>
              <w:spacing w:line="244" w:lineRule="auto"/>
              <w:rPr>
                <w:rFonts w:ascii="Arial"/>
                <w:color w:val="auto"/>
                <w:sz w:val="21"/>
                <w:highlight w:val="none"/>
              </w:rPr>
            </w:pPr>
          </w:p>
          <w:p w14:paraId="3E58B057">
            <w:pPr>
              <w:spacing w:line="245" w:lineRule="auto"/>
              <w:rPr>
                <w:rFonts w:ascii="Arial"/>
                <w:color w:val="auto"/>
                <w:sz w:val="21"/>
                <w:highlight w:val="none"/>
              </w:rPr>
            </w:pPr>
          </w:p>
          <w:p w14:paraId="3263383E">
            <w:pPr>
              <w:pStyle w:val="12"/>
              <w:spacing w:before="52" w:line="348" w:lineRule="auto"/>
              <w:ind w:left="59" w:right="124" w:hanging="19"/>
              <w:rPr>
                <w:color w:val="auto"/>
                <w:sz w:val="16"/>
                <w:szCs w:val="16"/>
                <w:highlight w:val="none"/>
              </w:rPr>
            </w:pPr>
            <w:r>
              <w:rPr>
                <w:color w:val="auto"/>
                <w:spacing w:val="-9"/>
                <w:sz w:val="16"/>
                <w:szCs w:val="16"/>
                <w:highlight w:val="none"/>
              </w:rPr>
              <w:t>100</w:t>
            </w:r>
            <w:r>
              <w:rPr>
                <w:color w:val="auto"/>
                <w:spacing w:val="-23"/>
                <w:sz w:val="16"/>
                <w:szCs w:val="16"/>
                <w:highlight w:val="none"/>
              </w:rPr>
              <w:t xml:space="preserve"> </w:t>
            </w:r>
            <w:r>
              <w:rPr>
                <w:color w:val="auto"/>
                <w:spacing w:val="-9"/>
                <w:sz w:val="16"/>
                <w:szCs w:val="16"/>
                <w:highlight w:val="none"/>
              </w:rPr>
              <w:t>人及</w:t>
            </w:r>
            <w:r>
              <w:rPr>
                <w:color w:val="auto"/>
                <w:spacing w:val="-14"/>
                <w:sz w:val="16"/>
                <w:szCs w:val="16"/>
                <w:highlight w:val="none"/>
              </w:rPr>
              <w:t>以上</w:t>
            </w:r>
          </w:p>
        </w:tc>
        <w:tc>
          <w:tcPr>
            <w:tcW w:w="907" w:type="dxa"/>
            <w:tcBorders>
              <w:bottom w:val="single" w:color="000000" w:sz="8" w:space="0"/>
            </w:tcBorders>
            <w:vAlign w:val="top"/>
          </w:tcPr>
          <w:p w14:paraId="6BA4ACF3">
            <w:pPr>
              <w:rPr>
                <w:rFonts w:ascii="Arial"/>
                <w:color w:val="auto"/>
                <w:sz w:val="21"/>
                <w:highlight w:val="none"/>
              </w:rPr>
            </w:pPr>
          </w:p>
        </w:tc>
        <w:tc>
          <w:tcPr>
            <w:tcW w:w="713" w:type="dxa"/>
            <w:tcBorders>
              <w:bottom w:val="single" w:color="000000" w:sz="8" w:space="0"/>
            </w:tcBorders>
            <w:vAlign w:val="top"/>
          </w:tcPr>
          <w:p w14:paraId="2C733933">
            <w:pPr>
              <w:rPr>
                <w:rFonts w:ascii="Arial"/>
                <w:color w:val="auto"/>
                <w:sz w:val="21"/>
                <w:highlight w:val="none"/>
              </w:rPr>
            </w:pPr>
          </w:p>
        </w:tc>
        <w:tc>
          <w:tcPr>
            <w:tcW w:w="761" w:type="dxa"/>
            <w:tcBorders>
              <w:bottom w:val="single" w:color="000000" w:sz="8" w:space="0"/>
            </w:tcBorders>
            <w:vAlign w:val="top"/>
          </w:tcPr>
          <w:p w14:paraId="2770C923">
            <w:pPr>
              <w:spacing w:line="244" w:lineRule="auto"/>
              <w:rPr>
                <w:rFonts w:ascii="Arial"/>
                <w:color w:val="auto"/>
                <w:sz w:val="21"/>
                <w:highlight w:val="none"/>
              </w:rPr>
            </w:pPr>
          </w:p>
          <w:p w14:paraId="3CC56ED0">
            <w:pPr>
              <w:spacing w:line="244" w:lineRule="auto"/>
              <w:rPr>
                <w:rFonts w:ascii="Arial"/>
                <w:color w:val="auto"/>
                <w:sz w:val="21"/>
                <w:highlight w:val="none"/>
              </w:rPr>
            </w:pPr>
          </w:p>
          <w:p w14:paraId="149536BC">
            <w:pPr>
              <w:spacing w:line="244" w:lineRule="auto"/>
              <w:rPr>
                <w:rFonts w:ascii="Arial"/>
                <w:color w:val="auto"/>
                <w:sz w:val="21"/>
                <w:highlight w:val="none"/>
              </w:rPr>
            </w:pPr>
          </w:p>
          <w:p w14:paraId="1F6B87FC">
            <w:pPr>
              <w:spacing w:line="244" w:lineRule="auto"/>
              <w:rPr>
                <w:rFonts w:ascii="Arial"/>
                <w:color w:val="auto"/>
                <w:sz w:val="21"/>
                <w:highlight w:val="none"/>
              </w:rPr>
            </w:pPr>
          </w:p>
          <w:p w14:paraId="1AE6F373">
            <w:pPr>
              <w:pStyle w:val="12"/>
              <w:spacing w:before="52" w:line="359" w:lineRule="auto"/>
              <w:ind w:left="41" w:right="57" w:firstLine="10"/>
              <w:rPr>
                <w:color w:val="auto"/>
                <w:sz w:val="16"/>
                <w:szCs w:val="16"/>
                <w:highlight w:val="none"/>
              </w:rPr>
            </w:pPr>
            <w:r>
              <w:rPr>
                <w:color w:val="auto"/>
                <w:spacing w:val="-10"/>
                <w:sz w:val="16"/>
                <w:szCs w:val="16"/>
                <w:highlight w:val="none"/>
              </w:rPr>
              <w:t>10</w:t>
            </w:r>
            <w:r>
              <w:rPr>
                <w:color w:val="auto"/>
                <w:spacing w:val="-24"/>
                <w:sz w:val="16"/>
                <w:szCs w:val="16"/>
                <w:highlight w:val="none"/>
              </w:rPr>
              <w:t xml:space="preserve"> </w:t>
            </w:r>
            <w:r>
              <w:rPr>
                <w:color w:val="auto"/>
                <w:spacing w:val="-10"/>
                <w:sz w:val="16"/>
                <w:szCs w:val="16"/>
                <w:highlight w:val="none"/>
              </w:rPr>
              <w:t>人及以</w:t>
            </w:r>
            <w:r>
              <w:rPr>
                <w:color w:val="auto"/>
                <w:sz w:val="16"/>
                <w:szCs w:val="16"/>
                <w:highlight w:val="none"/>
              </w:rPr>
              <w:t>上</w:t>
            </w:r>
          </w:p>
        </w:tc>
        <w:tc>
          <w:tcPr>
            <w:tcW w:w="760" w:type="dxa"/>
            <w:tcBorders>
              <w:bottom w:val="single" w:color="000000" w:sz="8" w:space="0"/>
            </w:tcBorders>
            <w:vAlign w:val="top"/>
          </w:tcPr>
          <w:p w14:paraId="1D1C5E11">
            <w:pPr>
              <w:rPr>
                <w:rFonts w:ascii="Arial"/>
                <w:color w:val="auto"/>
                <w:sz w:val="21"/>
                <w:highlight w:val="none"/>
              </w:rPr>
            </w:pPr>
          </w:p>
        </w:tc>
        <w:tc>
          <w:tcPr>
            <w:tcW w:w="679" w:type="dxa"/>
            <w:tcBorders>
              <w:bottom w:val="single" w:color="000000" w:sz="8" w:space="0"/>
            </w:tcBorders>
            <w:vAlign w:val="top"/>
          </w:tcPr>
          <w:p w14:paraId="5EB1ECB5">
            <w:pPr>
              <w:rPr>
                <w:rFonts w:ascii="Arial"/>
                <w:color w:val="auto"/>
                <w:sz w:val="21"/>
                <w:highlight w:val="none"/>
              </w:rPr>
            </w:pPr>
          </w:p>
        </w:tc>
        <w:tc>
          <w:tcPr>
            <w:tcW w:w="773" w:type="dxa"/>
            <w:tcBorders>
              <w:bottom w:val="single" w:color="000000" w:sz="8" w:space="0"/>
            </w:tcBorders>
            <w:vAlign w:val="top"/>
          </w:tcPr>
          <w:p w14:paraId="598854ED">
            <w:pPr>
              <w:spacing w:line="285" w:lineRule="auto"/>
              <w:rPr>
                <w:rFonts w:ascii="Arial"/>
                <w:color w:val="auto"/>
                <w:sz w:val="21"/>
                <w:highlight w:val="none"/>
              </w:rPr>
            </w:pPr>
          </w:p>
          <w:p w14:paraId="103D2979">
            <w:pPr>
              <w:spacing w:line="285" w:lineRule="auto"/>
              <w:rPr>
                <w:rFonts w:ascii="Arial"/>
                <w:color w:val="auto"/>
                <w:sz w:val="21"/>
                <w:highlight w:val="none"/>
              </w:rPr>
            </w:pPr>
          </w:p>
          <w:p w14:paraId="2F8470EB">
            <w:pPr>
              <w:spacing w:line="285" w:lineRule="auto"/>
              <w:rPr>
                <w:rFonts w:ascii="Arial"/>
                <w:color w:val="auto"/>
                <w:sz w:val="21"/>
                <w:highlight w:val="none"/>
              </w:rPr>
            </w:pPr>
          </w:p>
          <w:p w14:paraId="26702D86">
            <w:pPr>
              <w:spacing w:line="285" w:lineRule="auto"/>
              <w:rPr>
                <w:rFonts w:ascii="Arial"/>
                <w:color w:val="auto"/>
                <w:sz w:val="21"/>
                <w:highlight w:val="none"/>
              </w:rPr>
            </w:pPr>
          </w:p>
          <w:p w14:paraId="616AF26F">
            <w:pPr>
              <w:pStyle w:val="12"/>
              <w:spacing w:before="52" w:line="224" w:lineRule="auto"/>
              <w:ind w:left="59"/>
              <w:rPr>
                <w:color w:val="auto"/>
                <w:sz w:val="16"/>
                <w:szCs w:val="16"/>
                <w:highlight w:val="none"/>
              </w:rPr>
            </w:pPr>
            <w:r>
              <w:rPr>
                <w:color w:val="auto"/>
                <w:spacing w:val="-8"/>
                <w:sz w:val="16"/>
                <w:szCs w:val="16"/>
                <w:highlight w:val="none"/>
              </w:rPr>
              <w:t>10</w:t>
            </w:r>
            <w:r>
              <w:rPr>
                <w:color w:val="auto"/>
                <w:spacing w:val="-23"/>
                <w:sz w:val="16"/>
                <w:szCs w:val="16"/>
                <w:highlight w:val="none"/>
              </w:rPr>
              <w:t xml:space="preserve"> </w:t>
            </w:r>
            <w:r>
              <w:rPr>
                <w:color w:val="auto"/>
                <w:spacing w:val="-8"/>
                <w:sz w:val="16"/>
                <w:szCs w:val="16"/>
                <w:highlight w:val="none"/>
              </w:rPr>
              <w:t>人以下</w:t>
            </w:r>
          </w:p>
        </w:tc>
        <w:tc>
          <w:tcPr>
            <w:tcW w:w="693" w:type="dxa"/>
            <w:tcBorders>
              <w:bottom w:val="single" w:color="000000" w:sz="8" w:space="0"/>
            </w:tcBorders>
            <w:vAlign w:val="top"/>
          </w:tcPr>
          <w:p w14:paraId="0F78DDA4">
            <w:pPr>
              <w:rPr>
                <w:rFonts w:ascii="Arial"/>
                <w:color w:val="auto"/>
                <w:sz w:val="21"/>
                <w:highlight w:val="none"/>
              </w:rPr>
            </w:pPr>
          </w:p>
        </w:tc>
        <w:tc>
          <w:tcPr>
            <w:tcW w:w="800" w:type="dxa"/>
            <w:tcBorders>
              <w:bottom w:val="single" w:color="000000" w:sz="8" w:space="0"/>
              <w:right w:val="single" w:color="000000" w:sz="8" w:space="0"/>
            </w:tcBorders>
            <w:vAlign w:val="top"/>
          </w:tcPr>
          <w:p w14:paraId="10AFE12F">
            <w:pPr>
              <w:rPr>
                <w:rFonts w:ascii="Arial"/>
                <w:color w:val="auto"/>
                <w:sz w:val="21"/>
                <w:highlight w:val="none"/>
              </w:rPr>
            </w:pPr>
          </w:p>
        </w:tc>
      </w:tr>
    </w:tbl>
    <w:p w14:paraId="43A1C244">
      <w:pPr>
        <w:pStyle w:val="3"/>
        <w:rPr>
          <w:color w:val="auto"/>
          <w:highlight w:val="none"/>
        </w:rPr>
      </w:pPr>
    </w:p>
    <w:p w14:paraId="67CED148">
      <w:pPr>
        <w:rPr>
          <w:color w:val="auto"/>
          <w:highlight w:val="none"/>
        </w:rPr>
        <w:sectPr>
          <w:footerReference r:id="rId80" w:type="default"/>
          <w:pgSz w:w="11906" w:h="16840"/>
          <w:pgMar w:top="400" w:right="479" w:bottom="1161" w:left="478" w:header="0" w:footer="915" w:gutter="0"/>
          <w:pgNumType w:fmt="decimal"/>
          <w:cols w:space="720" w:num="1"/>
        </w:sectPr>
      </w:pPr>
    </w:p>
    <w:p w14:paraId="2CC85995">
      <w:pPr>
        <w:pStyle w:val="3"/>
        <w:spacing w:line="268" w:lineRule="auto"/>
        <w:rPr>
          <w:color w:val="auto"/>
          <w:highlight w:val="none"/>
        </w:rPr>
      </w:pPr>
    </w:p>
    <w:p w14:paraId="2820AFF1">
      <w:pPr>
        <w:pStyle w:val="3"/>
        <w:spacing w:line="268" w:lineRule="auto"/>
        <w:rPr>
          <w:color w:val="auto"/>
          <w:highlight w:val="none"/>
        </w:rPr>
      </w:pPr>
    </w:p>
    <w:p w14:paraId="4B61F183">
      <w:pPr>
        <w:pStyle w:val="3"/>
        <w:spacing w:line="269" w:lineRule="auto"/>
        <w:rPr>
          <w:color w:val="auto"/>
          <w:highlight w:val="none"/>
        </w:rPr>
      </w:pPr>
    </w:p>
    <w:p w14:paraId="52ADC58F">
      <w:pPr>
        <w:pStyle w:val="3"/>
        <w:spacing w:line="269" w:lineRule="auto"/>
        <w:rPr>
          <w:color w:val="auto"/>
          <w:highlight w:val="none"/>
        </w:rPr>
      </w:pPr>
    </w:p>
    <w:p w14:paraId="57D9E770">
      <w:pPr>
        <w:spacing w:before="58" w:line="233" w:lineRule="auto"/>
        <w:ind w:left="34"/>
        <w:rPr>
          <w:rFonts w:ascii="仿宋" w:hAnsi="仿宋" w:eastAsia="仿宋" w:cs="仿宋"/>
          <w:color w:val="auto"/>
          <w:sz w:val="18"/>
          <w:szCs w:val="18"/>
          <w:highlight w:val="none"/>
        </w:rPr>
      </w:pPr>
      <w:r>
        <w:rPr>
          <w:rFonts w:ascii="仿宋" w:hAnsi="仿宋" w:eastAsia="仿宋" w:cs="仿宋"/>
          <w:b/>
          <w:bCs/>
          <w:color w:val="auto"/>
          <w:spacing w:val="-8"/>
          <w:sz w:val="18"/>
          <w:szCs w:val="18"/>
          <w:highlight w:val="none"/>
        </w:rPr>
        <w:t>附件</w:t>
      </w:r>
      <w:r>
        <w:rPr>
          <w:rFonts w:ascii="仿宋" w:hAnsi="仿宋" w:eastAsia="仿宋" w:cs="仿宋"/>
          <w:color w:val="auto"/>
          <w:spacing w:val="7"/>
          <w:sz w:val="18"/>
          <w:szCs w:val="18"/>
          <w:highlight w:val="none"/>
        </w:rPr>
        <w:t xml:space="preserve"> </w:t>
      </w:r>
      <w:r>
        <w:rPr>
          <w:rFonts w:ascii="仿宋" w:hAnsi="仿宋" w:eastAsia="仿宋" w:cs="仿宋"/>
          <w:b/>
          <w:bCs/>
          <w:color w:val="auto"/>
          <w:spacing w:val="-8"/>
          <w:sz w:val="18"/>
          <w:szCs w:val="18"/>
          <w:highlight w:val="none"/>
        </w:rPr>
        <w:t>1：</w:t>
      </w:r>
    </w:p>
    <w:p w14:paraId="24D744B8">
      <w:pPr>
        <w:pStyle w:val="3"/>
        <w:spacing w:line="467" w:lineRule="auto"/>
        <w:rPr>
          <w:color w:val="auto"/>
          <w:highlight w:val="none"/>
        </w:rPr>
      </w:pPr>
    </w:p>
    <w:p w14:paraId="3D7AFE08">
      <w:pPr>
        <w:spacing w:before="98" w:line="219" w:lineRule="auto"/>
        <w:ind w:left="2751"/>
        <w:rPr>
          <w:rFonts w:ascii="新宋体" w:hAnsi="新宋体" w:eastAsia="新宋体" w:cs="新宋体"/>
          <w:color w:val="auto"/>
          <w:sz w:val="30"/>
          <w:szCs w:val="30"/>
          <w:highlight w:val="none"/>
        </w:rPr>
      </w:pPr>
      <w:r>
        <w:rPr>
          <w:rFonts w:ascii="新宋体" w:hAnsi="新宋体" w:eastAsia="新宋体" w:cs="新宋体"/>
          <w:b/>
          <w:bCs/>
          <w:color w:val="auto"/>
          <w:spacing w:val="7"/>
          <w:sz w:val="30"/>
          <w:szCs w:val="30"/>
          <w:highlight w:val="none"/>
        </w:rPr>
        <w:t>使用新疆籍劳动力承诺书</w:t>
      </w:r>
    </w:p>
    <w:p w14:paraId="5C40A0E4">
      <w:pPr>
        <w:pStyle w:val="3"/>
        <w:spacing w:line="310" w:lineRule="auto"/>
        <w:rPr>
          <w:color w:val="auto"/>
          <w:highlight w:val="none"/>
        </w:rPr>
      </w:pPr>
    </w:p>
    <w:p w14:paraId="0D54140F">
      <w:pPr>
        <w:pStyle w:val="3"/>
        <w:spacing w:line="310" w:lineRule="auto"/>
        <w:rPr>
          <w:color w:val="auto"/>
          <w:highlight w:val="none"/>
        </w:rPr>
      </w:pPr>
    </w:p>
    <w:p w14:paraId="37012ECB">
      <w:pPr>
        <w:pStyle w:val="3"/>
        <w:spacing w:line="310" w:lineRule="auto"/>
        <w:rPr>
          <w:color w:val="auto"/>
          <w:highlight w:val="none"/>
        </w:rPr>
      </w:pPr>
    </w:p>
    <w:p w14:paraId="6BCD051D">
      <w:pPr>
        <w:spacing w:before="78" w:line="221" w:lineRule="auto"/>
        <w:ind w:left="3109"/>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（招标人名称</w:t>
      </w:r>
      <w:r>
        <w:rPr>
          <w:rFonts w:ascii="仿宋" w:hAnsi="仿宋" w:eastAsia="仿宋" w:cs="仿宋"/>
          <w:color w:val="auto"/>
          <w:spacing w:val="-5"/>
          <w:sz w:val="24"/>
          <w:szCs w:val="24"/>
          <w:highlight w:val="none"/>
        </w:rPr>
        <w:t>）：</w:t>
      </w:r>
    </w:p>
    <w:p w14:paraId="0966A440">
      <w:pPr>
        <w:spacing w:before="189" w:line="316" w:lineRule="auto"/>
        <w:ind w:left="18" w:firstLine="496"/>
        <w:jc w:val="both"/>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若我单位有幸中标，将积极响应自治区和当地有关认真落实使用新疆籍劳动</w:t>
      </w:r>
      <w:r>
        <w:rPr>
          <w:rFonts w:ascii="仿宋" w:hAnsi="仿宋" w:eastAsia="仿宋" w:cs="仿宋"/>
          <w:color w:val="auto"/>
          <w:spacing w:val="4"/>
          <w:sz w:val="24"/>
          <w:szCs w:val="24"/>
          <w:highlight w:val="none"/>
        </w:rPr>
        <w:t>力的规 定，我单位郑重承诺：保证使用新疆籍人员就业比例不少于70%（其中</w:t>
      </w:r>
      <w:r>
        <w:rPr>
          <w:rFonts w:ascii="仿宋" w:hAnsi="仿宋" w:eastAsia="仿宋" w:cs="仿宋"/>
          <w:color w:val="auto"/>
          <w:spacing w:val="-2"/>
          <w:sz w:val="24"/>
          <w:szCs w:val="24"/>
          <w:highlight w:val="none"/>
        </w:rPr>
        <w:t>普通基础工作岗 位吸纳新疆籍劳动力就业比例</w:t>
      </w:r>
      <w:r>
        <w:rPr>
          <w:rFonts w:ascii="仿宋" w:hAnsi="仿宋" w:eastAsia="仿宋" w:cs="仿宋"/>
          <w:color w:val="auto"/>
          <w:spacing w:val="-3"/>
          <w:sz w:val="24"/>
          <w:szCs w:val="24"/>
          <w:highlight w:val="none"/>
        </w:rPr>
        <w:t>不少于90%）。</w:t>
      </w:r>
    </w:p>
    <w:p w14:paraId="7A6538AA">
      <w:pPr>
        <w:pStyle w:val="3"/>
        <w:spacing w:line="281" w:lineRule="auto"/>
        <w:rPr>
          <w:color w:val="auto"/>
          <w:highlight w:val="none"/>
        </w:rPr>
      </w:pPr>
    </w:p>
    <w:p w14:paraId="18A8EE9D">
      <w:pPr>
        <w:pStyle w:val="3"/>
        <w:spacing w:line="281" w:lineRule="auto"/>
        <w:rPr>
          <w:color w:val="auto"/>
          <w:highlight w:val="none"/>
        </w:rPr>
      </w:pPr>
    </w:p>
    <w:p w14:paraId="7C8ED646">
      <w:pPr>
        <w:pStyle w:val="3"/>
        <w:spacing w:line="282" w:lineRule="auto"/>
        <w:rPr>
          <w:color w:val="auto"/>
          <w:highlight w:val="none"/>
        </w:rPr>
      </w:pPr>
    </w:p>
    <w:p w14:paraId="36827D3C">
      <w:pPr>
        <w:spacing w:before="78" w:line="225" w:lineRule="auto"/>
        <w:ind w:left="518"/>
        <w:rPr>
          <w:rFonts w:ascii="仿宋" w:hAnsi="仿宋" w:eastAsia="仿宋" w:cs="仿宋"/>
          <w:color w:val="auto"/>
          <w:sz w:val="24"/>
          <w:szCs w:val="24"/>
          <w:highlight w:val="none"/>
        </w:rPr>
      </w:pPr>
      <w:r>
        <w:rPr>
          <w:rFonts w:ascii="仿宋" w:hAnsi="仿宋" w:eastAsia="仿宋" w:cs="仿宋"/>
          <w:color w:val="auto"/>
          <w:spacing w:val="-7"/>
          <w:position w:val="2"/>
          <w:sz w:val="24"/>
          <w:szCs w:val="24"/>
          <w:highlight w:val="none"/>
        </w:rPr>
        <w:t>供应商</w:t>
      </w:r>
      <w:r>
        <w:rPr>
          <w:rFonts w:ascii="仿宋" w:hAnsi="仿宋" w:eastAsia="仿宋" w:cs="仿宋"/>
          <w:color w:val="auto"/>
          <w:spacing w:val="-19"/>
          <w:position w:val="2"/>
          <w:sz w:val="24"/>
          <w:szCs w:val="24"/>
          <w:highlight w:val="none"/>
        </w:rPr>
        <w:t>：</w:t>
      </w:r>
      <w:r>
        <w:rPr>
          <w:rFonts w:ascii="仿宋" w:hAnsi="仿宋" w:eastAsia="仿宋" w:cs="仿宋"/>
          <w:color w:val="auto"/>
          <w:spacing w:val="3"/>
          <w:position w:val="2"/>
          <w:sz w:val="24"/>
          <w:szCs w:val="24"/>
          <w:highlight w:val="none"/>
        </w:rPr>
        <w:t xml:space="preserve">                        </w:t>
      </w:r>
      <w:r>
        <w:rPr>
          <w:rFonts w:ascii="仿宋" w:hAnsi="仿宋" w:eastAsia="仿宋" w:cs="仿宋"/>
          <w:color w:val="auto"/>
          <w:spacing w:val="-19"/>
          <w:position w:val="-1"/>
          <w:sz w:val="24"/>
          <w:szCs w:val="24"/>
          <w:highlight w:val="none"/>
        </w:rPr>
        <w:t>（</w:t>
      </w:r>
      <w:r>
        <w:rPr>
          <w:rFonts w:ascii="仿宋" w:hAnsi="仿宋" w:eastAsia="仿宋" w:cs="仿宋"/>
          <w:color w:val="auto"/>
          <w:spacing w:val="-7"/>
          <w:position w:val="-1"/>
          <w:sz w:val="24"/>
          <w:szCs w:val="24"/>
          <w:highlight w:val="none"/>
        </w:rPr>
        <w:t>盖单位章）</w:t>
      </w:r>
    </w:p>
    <w:p w14:paraId="6BE8D5F4">
      <w:pPr>
        <w:spacing w:before="113" w:line="223" w:lineRule="auto"/>
        <w:ind w:left="3949"/>
        <w:rPr>
          <w:rFonts w:ascii="仿宋" w:hAnsi="仿宋" w:eastAsia="仿宋" w:cs="仿宋"/>
          <w:color w:val="auto"/>
          <w:sz w:val="24"/>
          <w:szCs w:val="24"/>
          <w:highlight w:val="none"/>
        </w:rPr>
      </w:pPr>
      <w:r>
        <w:rPr>
          <w:color w:val="auto"/>
          <w:highlight w:val="none"/>
        </w:rPr>
        <w:pict>
          <v:shape id="_x0000_s1028" o:spid="_x0000_s1028" o:spt="202" type="#_x0000_t202" style="position:absolute;left:0pt;margin-left:339.95pt;margin-top:5pt;height:16.6pt;width:46.6pt;z-index:251661312;mso-width-relative:page;mso-height-relative:page;" filled="f" stroked="f" coordsize="21600,21600">
            <v:path/>
            <v:fill on="f" focussize="0,0"/>
            <v:stroke on="f"/>
            <v:imagedata o:title=""/>
            <o:lock v:ext="edit" aspectratio="f"/>
            <v:textbox inset="0mm,0mm,0mm,0mm">
              <w:txbxContent>
                <w:p w14:paraId="1D46B728">
                  <w:pPr>
                    <w:spacing w:before="20" w:line="224" w:lineRule="auto"/>
                    <w:jc w:val="right"/>
                    <w:rPr>
                      <w:rFonts w:ascii="仿宋" w:hAnsi="仿宋" w:eastAsia="仿宋" w:cs="仿宋"/>
                      <w:sz w:val="24"/>
                      <w:szCs w:val="24"/>
                    </w:rPr>
                  </w:pPr>
                  <w:r>
                    <w:rPr>
                      <w:rFonts w:ascii="仿宋" w:hAnsi="仿宋" w:eastAsia="仿宋" w:cs="仿宋"/>
                      <w:spacing w:val="-18"/>
                      <w:sz w:val="24"/>
                      <w:szCs w:val="24"/>
                    </w:rPr>
                    <w:t>（签字）</w:t>
                  </w:r>
                </w:p>
              </w:txbxContent>
            </v:textbox>
          </v:shape>
        </w:pict>
      </w:r>
      <w:r>
        <w:rPr>
          <w:rFonts w:ascii="仿宋" w:hAnsi="仿宋" w:eastAsia="仿宋" w:cs="仿宋"/>
          <w:color w:val="auto"/>
          <w:spacing w:val="-9"/>
          <w:sz w:val="24"/>
          <w:szCs w:val="24"/>
          <w:highlight w:val="none"/>
        </w:rPr>
        <w:t>法定代表人：</w:t>
      </w:r>
    </w:p>
    <w:p w14:paraId="3354734F">
      <w:pPr>
        <w:spacing w:before="77" w:line="222" w:lineRule="auto"/>
        <w:ind w:left="4657"/>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年</w:t>
      </w:r>
      <w:r>
        <w:rPr>
          <w:rFonts w:ascii="仿宋" w:hAnsi="仿宋" w:eastAsia="仿宋" w:cs="仿宋"/>
          <w:color w:val="auto"/>
          <w:spacing w:val="24"/>
          <w:sz w:val="24"/>
          <w:szCs w:val="24"/>
          <w:highlight w:val="none"/>
        </w:rPr>
        <w:t xml:space="preserve">  </w:t>
      </w:r>
      <w:r>
        <w:rPr>
          <w:rFonts w:ascii="仿宋" w:hAnsi="仿宋" w:eastAsia="仿宋" w:cs="仿宋"/>
          <w:color w:val="auto"/>
          <w:spacing w:val="-16"/>
          <w:sz w:val="24"/>
          <w:szCs w:val="24"/>
          <w:highlight w:val="none"/>
        </w:rPr>
        <w:t>月</w:t>
      </w:r>
      <w:r>
        <w:rPr>
          <w:rFonts w:ascii="仿宋" w:hAnsi="仿宋" w:eastAsia="仿宋" w:cs="仿宋"/>
          <w:color w:val="auto"/>
          <w:spacing w:val="10"/>
          <w:sz w:val="24"/>
          <w:szCs w:val="24"/>
          <w:highlight w:val="none"/>
        </w:rPr>
        <w:t xml:space="preserve">    </w:t>
      </w:r>
      <w:r>
        <w:rPr>
          <w:rFonts w:ascii="仿宋" w:hAnsi="仿宋" w:eastAsia="仿宋" w:cs="仿宋"/>
          <w:color w:val="auto"/>
          <w:spacing w:val="-16"/>
          <w:sz w:val="24"/>
          <w:szCs w:val="24"/>
          <w:highlight w:val="none"/>
        </w:rPr>
        <w:t>日</w:t>
      </w:r>
    </w:p>
    <w:p w14:paraId="2AD9F7F2">
      <w:pPr>
        <w:spacing w:line="222" w:lineRule="auto"/>
        <w:rPr>
          <w:rFonts w:ascii="仿宋" w:hAnsi="仿宋" w:eastAsia="仿宋" w:cs="仿宋"/>
          <w:color w:val="auto"/>
          <w:sz w:val="24"/>
          <w:szCs w:val="24"/>
          <w:highlight w:val="none"/>
        </w:rPr>
        <w:sectPr>
          <w:footerReference r:id="rId81" w:type="default"/>
          <w:pgSz w:w="11906" w:h="16840"/>
          <w:pgMar w:top="400" w:right="1783" w:bottom="1157" w:left="1785" w:header="0" w:footer="911" w:gutter="0"/>
          <w:pgNumType w:fmt="decimal"/>
          <w:cols w:space="720" w:num="1"/>
        </w:sectPr>
      </w:pPr>
    </w:p>
    <w:p w14:paraId="2BF93C23">
      <w:pPr>
        <w:pStyle w:val="3"/>
        <w:spacing w:line="261" w:lineRule="auto"/>
        <w:rPr>
          <w:color w:val="auto"/>
          <w:highlight w:val="none"/>
        </w:rPr>
      </w:pPr>
    </w:p>
    <w:p w14:paraId="5EC30629">
      <w:pPr>
        <w:pStyle w:val="3"/>
        <w:spacing w:line="261" w:lineRule="auto"/>
        <w:rPr>
          <w:color w:val="auto"/>
          <w:highlight w:val="none"/>
        </w:rPr>
      </w:pPr>
    </w:p>
    <w:p w14:paraId="6CD15D64">
      <w:pPr>
        <w:pStyle w:val="3"/>
        <w:spacing w:line="261" w:lineRule="auto"/>
        <w:rPr>
          <w:color w:val="auto"/>
          <w:highlight w:val="none"/>
        </w:rPr>
      </w:pPr>
    </w:p>
    <w:p w14:paraId="2E5FC63F">
      <w:pPr>
        <w:spacing w:before="59" w:line="234" w:lineRule="auto"/>
        <w:ind w:left="918"/>
        <w:rPr>
          <w:rFonts w:ascii="仿宋" w:hAnsi="仿宋" w:eastAsia="仿宋" w:cs="仿宋"/>
          <w:color w:val="auto"/>
          <w:sz w:val="18"/>
          <w:szCs w:val="18"/>
          <w:highlight w:val="none"/>
        </w:rPr>
      </w:pPr>
      <w:r>
        <w:rPr>
          <w:rFonts w:ascii="仿宋" w:hAnsi="仿宋" w:eastAsia="仿宋" w:cs="仿宋"/>
          <w:b/>
          <w:bCs/>
          <w:color w:val="auto"/>
          <w:spacing w:val="-5"/>
          <w:sz w:val="18"/>
          <w:szCs w:val="18"/>
          <w:highlight w:val="none"/>
        </w:rPr>
        <w:t>附表</w:t>
      </w:r>
      <w:r>
        <w:rPr>
          <w:rFonts w:ascii="仿宋" w:hAnsi="仿宋" w:eastAsia="仿宋" w:cs="仿宋"/>
          <w:color w:val="auto"/>
          <w:spacing w:val="-13"/>
          <w:sz w:val="18"/>
          <w:szCs w:val="18"/>
          <w:highlight w:val="none"/>
        </w:rPr>
        <w:t xml:space="preserve"> </w:t>
      </w:r>
      <w:r>
        <w:rPr>
          <w:rFonts w:ascii="仿宋" w:hAnsi="仿宋" w:eastAsia="仿宋" w:cs="仿宋"/>
          <w:b/>
          <w:bCs/>
          <w:color w:val="auto"/>
          <w:spacing w:val="-5"/>
          <w:sz w:val="18"/>
          <w:szCs w:val="18"/>
          <w:highlight w:val="none"/>
        </w:rPr>
        <w:t>2：</w:t>
      </w:r>
    </w:p>
    <w:p w14:paraId="7FEA24E3">
      <w:pPr>
        <w:pStyle w:val="3"/>
        <w:spacing w:line="347" w:lineRule="auto"/>
        <w:rPr>
          <w:color w:val="auto"/>
          <w:highlight w:val="none"/>
        </w:rPr>
      </w:pPr>
    </w:p>
    <w:p w14:paraId="1FC7864E">
      <w:pPr>
        <w:spacing w:before="97" w:line="219" w:lineRule="auto"/>
        <w:ind w:left="3148"/>
        <w:rPr>
          <w:rFonts w:ascii="宋体" w:hAnsi="宋体" w:eastAsia="宋体" w:cs="宋体"/>
          <w:color w:val="auto"/>
          <w:sz w:val="30"/>
          <w:szCs w:val="30"/>
          <w:highlight w:val="none"/>
        </w:rPr>
      </w:pPr>
      <w:r>
        <w:rPr>
          <w:rFonts w:ascii="宋体" w:hAnsi="宋体" w:eastAsia="宋体" w:cs="宋体"/>
          <w:b/>
          <w:bCs/>
          <w:color w:val="auto"/>
          <w:spacing w:val="8"/>
          <w:sz w:val="30"/>
          <w:szCs w:val="30"/>
          <w:highlight w:val="none"/>
        </w:rPr>
        <w:t>农村劳动力培训就业情况统计表</w:t>
      </w:r>
    </w:p>
    <w:p w14:paraId="55030A29">
      <w:pPr>
        <w:pStyle w:val="3"/>
        <w:spacing w:line="423" w:lineRule="auto"/>
        <w:rPr>
          <w:color w:val="auto"/>
          <w:highlight w:val="none"/>
        </w:rPr>
      </w:pPr>
    </w:p>
    <w:p w14:paraId="0F98EF0E">
      <w:pPr>
        <w:spacing w:before="78" w:line="221" w:lineRule="auto"/>
        <w:ind w:left="1414" w:right="1062" w:hanging="9"/>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填报单位：</w:t>
      </w:r>
      <w:r>
        <w:rPr>
          <w:rFonts w:ascii="仿宋" w:hAnsi="仿宋" w:eastAsia="仿宋" w:cs="仿宋"/>
          <w:color w:val="auto"/>
          <w:spacing w:val="2"/>
          <w:sz w:val="24"/>
          <w:szCs w:val="24"/>
          <w:highlight w:val="none"/>
        </w:rPr>
        <w:t xml:space="preserve">                                       </w:t>
      </w:r>
      <w:r>
        <w:rPr>
          <w:rFonts w:ascii="仿宋" w:hAnsi="仿宋" w:eastAsia="仿宋" w:cs="仿宋"/>
          <w:color w:val="auto"/>
          <w:spacing w:val="-7"/>
          <w:sz w:val="24"/>
          <w:szCs w:val="24"/>
          <w:highlight w:val="none"/>
        </w:rPr>
        <w:t>填报时间：年</w:t>
      </w:r>
      <w:r>
        <w:rPr>
          <w:rFonts w:ascii="仿宋" w:hAnsi="仿宋" w:eastAsia="仿宋" w:cs="仿宋"/>
          <w:color w:val="auto"/>
          <w:spacing w:val="-14"/>
          <w:sz w:val="24"/>
          <w:szCs w:val="24"/>
          <w:highlight w:val="none"/>
        </w:rPr>
        <w:t>月</w:t>
      </w:r>
      <w:r>
        <w:rPr>
          <w:rFonts w:ascii="仿宋" w:hAnsi="仿宋" w:eastAsia="仿宋" w:cs="仿宋"/>
          <w:color w:val="auto"/>
          <w:spacing w:val="35"/>
          <w:sz w:val="24"/>
          <w:szCs w:val="24"/>
          <w:highlight w:val="none"/>
        </w:rPr>
        <w:t xml:space="preserve">  </w:t>
      </w:r>
      <w:r>
        <w:rPr>
          <w:rFonts w:ascii="仿宋" w:hAnsi="仿宋" w:eastAsia="仿宋" w:cs="仿宋"/>
          <w:color w:val="auto"/>
          <w:spacing w:val="-14"/>
          <w:sz w:val="24"/>
          <w:szCs w:val="24"/>
          <w:highlight w:val="none"/>
        </w:rPr>
        <w:t>日</w:t>
      </w:r>
    </w:p>
    <w:p w14:paraId="6DA9A33B">
      <w:pPr>
        <w:spacing w:before="108"/>
        <w:rPr>
          <w:color w:val="auto"/>
          <w:highlight w:val="none"/>
        </w:rPr>
      </w:pPr>
    </w:p>
    <w:tbl>
      <w:tblPr>
        <w:tblStyle w:val="11"/>
        <w:tblW w:w="9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87"/>
        <w:gridCol w:w="1087"/>
        <w:gridCol w:w="1086"/>
        <w:gridCol w:w="1088"/>
        <w:gridCol w:w="1087"/>
        <w:gridCol w:w="1087"/>
        <w:gridCol w:w="1087"/>
        <w:gridCol w:w="1097"/>
      </w:tblGrid>
      <w:tr w14:paraId="4259D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1096" w:type="dxa"/>
            <w:vMerge w:val="restart"/>
            <w:tcBorders>
              <w:bottom w:val="nil"/>
            </w:tcBorders>
            <w:vAlign w:val="top"/>
          </w:tcPr>
          <w:p w14:paraId="0E92D800">
            <w:pPr>
              <w:pStyle w:val="12"/>
              <w:spacing w:before="225" w:line="318" w:lineRule="auto"/>
              <w:ind w:left="155" w:right="59" w:hanging="6"/>
              <w:jc w:val="both"/>
              <w:rPr>
                <w:color w:val="auto"/>
                <w:highlight w:val="none"/>
              </w:rPr>
            </w:pPr>
            <w:r>
              <w:rPr>
                <w:color w:val="auto"/>
                <w:spacing w:val="-17"/>
                <w:highlight w:val="none"/>
              </w:rPr>
              <w:t>施 工</w:t>
            </w:r>
            <w:r>
              <w:rPr>
                <w:color w:val="auto"/>
                <w:spacing w:val="-16"/>
                <w:highlight w:val="none"/>
              </w:rPr>
              <w:t xml:space="preserve"> </w:t>
            </w:r>
            <w:r>
              <w:rPr>
                <w:color w:val="auto"/>
                <w:spacing w:val="-17"/>
                <w:highlight w:val="none"/>
              </w:rPr>
              <w:t>单</w:t>
            </w:r>
            <w:r>
              <w:rPr>
                <w:color w:val="auto"/>
                <w:spacing w:val="-22"/>
                <w:highlight w:val="none"/>
              </w:rPr>
              <w:t>位（合同</w:t>
            </w:r>
            <w:r>
              <w:rPr>
                <w:color w:val="auto"/>
                <w:spacing w:val="-9"/>
                <w:highlight w:val="none"/>
              </w:rPr>
              <w:t>编号）</w:t>
            </w:r>
          </w:p>
        </w:tc>
        <w:tc>
          <w:tcPr>
            <w:tcW w:w="1087" w:type="dxa"/>
            <w:vMerge w:val="restart"/>
            <w:tcBorders>
              <w:bottom w:val="nil"/>
            </w:tcBorders>
            <w:vAlign w:val="top"/>
          </w:tcPr>
          <w:p w14:paraId="42FCE908">
            <w:pPr>
              <w:pStyle w:val="12"/>
              <w:spacing w:before="222" w:line="323" w:lineRule="auto"/>
              <w:ind w:left="155" w:right="68" w:hanging="12"/>
              <w:jc w:val="both"/>
              <w:rPr>
                <w:color w:val="auto"/>
                <w:highlight w:val="none"/>
              </w:rPr>
            </w:pPr>
            <w:r>
              <w:rPr>
                <w:color w:val="auto"/>
                <w:spacing w:val="-19"/>
                <w:highlight w:val="none"/>
              </w:rPr>
              <w:t>用</w:t>
            </w:r>
            <w:r>
              <w:rPr>
                <w:color w:val="auto"/>
                <w:spacing w:val="-16"/>
                <w:highlight w:val="none"/>
              </w:rPr>
              <w:t xml:space="preserve"> </w:t>
            </w:r>
            <w:r>
              <w:rPr>
                <w:color w:val="auto"/>
                <w:spacing w:val="-19"/>
                <w:highlight w:val="none"/>
              </w:rPr>
              <w:t>工 需</w:t>
            </w:r>
            <w:r>
              <w:rPr>
                <w:color w:val="auto"/>
                <w:spacing w:val="-18"/>
                <w:highlight w:val="none"/>
              </w:rPr>
              <w:t>求 总</w:t>
            </w:r>
            <w:r>
              <w:rPr>
                <w:color w:val="auto"/>
                <w:spacing w:val="-31"/>
                <w:highlight w:val="none"/>
              </w:rPr>
              <w:t xml:space="preserve"> </w:t>
            </w:r>
            <w:r>
              <w:rPr>
                <w:color w:val="auto"/>
                <w:spacing w:val="-18"/>
                <w:highlight w:val="none"/>
              </w:rPr>
              <w:t>数</w:t>
            </w:r>
            <w:r>
              <w:rPr>
                <w:color w:val="auto"/>
                <w:spacing w:val="-16"/>
                <w:highlight w:val="none"/>
              </w:rPr>
              <w:t>（</w:t>
            </w:r>
            <w:r>
              <w:rPr>
                <w:color w:val="auto"/>
                <w:spacing w:val="-26"/>
                <w:highlight w:val="none"/>
              </w:rPr>
              <w:t xml:space="preserve"> </w:t>
            </w:r>
            <w:r>
              <w:rPr>
                <w:color w:val="auto"/>
                <w:spacing w:val="-16"/>
                <w:highlight w:val="none"/>
              </w:rPr>
              <w:t>人</w:t>
            </w:r>
            <w:r>
              <w:rPr>
                <w:color w:val="auto"/>
                <w:spacing w:val="-29"/>
                <w:highlight w:val="none"/>
              </w:rPr>
              <w:t xml:space="preserve"> </w:t>
            </w:r>
            <w:r>
              <w:rPr>
                <w:color w:val="auto"/>
                <w:spacing w:val="-16"/>
                <w:highlight w:val="none"/>
              </w:rPr>
              <w:t>）</w:t>
            </w:r>
            <w:r>
              <w:rPr>
                <w:color w:val="auto"/>
                <w:highlight w:val="none"/>
              </w:rPr>
              <w:t xml:space="preserve"> </w:t>
            </w:r>
            <w:r>
              <w:rPr>
                <w:color w:val="auto"/>
                <w:spacing w:val="-9"/>
                <w:highlight w:val="none"/>
              </w:rPr>
              <w:t>(%)</w:t>
            </w:r>
          </w:p>
        </w:tc>
        <w:tc>
          <w:tcPr>
            <w:tcW w:w="1087" w:type="dxa"/>
            <w:vMerge w:val="restart"/>
            <w:tcBorders>
              <w:bottom w:val="nil"/>
            </w:tcBorders>
            <w:vAlign w:val="top"/>
          </w:tcPr>
          <w:p w14:paraId="7E2F7491">
            <w:pPr>
              <w:pStyle w:val="12"/>
              <w:spacing w:before="225" w:line="318" w:lineRule="auto"/>
              <w:ind w:left="160" w:right="70" w:hanging="17"/>
              <w:jc w:val="both"/>
              <w:rPr>
                <w:color w:val="auto"/>
                <w:highlight w:val="none"/>
              </w:rPr>
            </w:pPr>
            <w:r>
              <w:rPr>
                <w:color w:val="auto"/>
                <w:spacing w:val="-17"/>
                <w:highlight w:val="none"/>
              </w:rPr>
              <w:t>新</w:t>
            </w:r>
            <w:r>
              <w:rPr>
                <w:color w:val="auto"/>
                <w:spacing w:val="-25"/>
                <w:highlight w:val="none"/>
              </w:rPr>
              <w:t xml:space="preserve"> </w:t>
            </w:r>
            <w:r>
              <w:rPr>
                <w:color w:val="auto"/>
                <w:spacing w:val="-17"/>
                <w:highlight w:val="none"/>
              </w:rPr>
              <w:t>疆 籍</w:t>
            </w:r>
            <w:r>
              <w:rPr>
                <w:color w:val="auto"/>
                <w:spacing w:val="-25"/>
                <w:highlight w:val="none"/>
              </w:rPr>
              <w:t>（</w:t>
            </w:r>
            <w:r>
              <w:rPr>
                <w:color w:val="auto"/>
                <w:spacing w:val="-16"/>
                <w:highlight w:val="none"/>
              </w:rPr>
              <w:t xml:space="preserve"> </w:t>
            </w:r>
            <w:r>
              <w:rPr>
                <w:color w:val="auto"/>
                <w:spacing w:val="-25"/>
                <w:highlight w:val="none"/>
              </w:rPr>
              <w:t>人</w:t>
            </w:r>
            <w:r>
              <w:rPr>
                <w:color w:val="auto"/>
                <w:spacing w:val="-20"/>
                <w:highlight w:val="none"/>
              </w:rPr>
              <w:t xml:space="preserve"> </w:t>
            </w:r>
            <w:r>
              <w:rPr>
                <w:color w:val="auto"/>
                <w:spacing w:val="-25"/>
                <w:highlight w:val="none"/>
              </w:rPr>
              <w:t>）</w:t>
            </w:r>
            <w:r>
              <w:rPr>
                <w:color w:val="auto"/>
                <w:highlight w:val="none"/>
              </w:rPr>
              <w:t xml:space="preserve"> </w:t>
            </w:r>
            <w:r>
              <w:rPr>
                <w:color w:val="auto"/>
                <w:spacing w:val="-9"/>
                <w:highlight w:val="none"/>
              </w:rPr>
              <w:t>(%)</w:t>
            </w:r>
          </w:p>
        </w:tc>
        <w:tc>
          <w:tcPr>
            <w:tcW w:w="1086" w:type="dxa"/>
            <w:vMerge w:val="restart"/>
            <w:tcBorders>
              <w:bottom w:val="nil"/>
            </w:tcBorders>
            <w:vAlign w:val="top"/>
          </w:tcPr>
          <w:p w14:paraId="707F885C">
            <w:pPr>
              <w:pStyle w:val="12"/>
              <w:spacing w:before="220" w:line="326" w:lineRule="auto"/>
              <w:ind w:left="150" w:right="52"/>
              <w:jc w:val="both"/>
              <w:rPr>
                <w:color w:val="auto"/>
                <w:highlight w:val="none"/>
              </w:rPr>
            </w:pPr>
            <w:r>
              <w:rPr>
                <w:color w:val="auto"/>
                <w:spacing w:val="-21"/>
                <w:highlight w:val="none"/>
              </w:rPr>
              <w:t>其中：一</w:t>
            </w:r>
            <w:r>
              <w:rPr>
                <w:color w:val="auto"/>
                <w:spacing w:val="-17"/>
                <w:highlight w:val="none"/>
              </w:rPr>
              <w:t>般</w:t>
            </w:r>
            <w:r>
              <w:rPr>
                <w:color w:val="auto"/>
                <w:spacing w:val="-18"/>
                <w:highlight w:val="none"/>
              </w:rPr>
              <w:t xml:space="preserve"> </w:t>
            </w:r>
            <w:r>
              <w:rPr>
                <w:color w:val="auto"/>
                <w:spacing w:val="-17"/>
                <w:highlight w:val="none"/>
              </w:rPr>
              <w:t>普 工岗</w:t>
            </w:r>
            <w:r>
              <w:rPr>
                <w:color w:val="auto"/>
                <w:spacing w:val="21"/>
                <w:highlight w:val="none"/>
              </w:rPr>
              <w:t xml:space="preserve">   </w:t>
            </w:r>
            <w:r>
              <w:rPr>
                <w:color w:val="auto"/>
                <w:spacing w:val="-17"/>
                <w:highlight w:val="none"/>
              </w:rPr>
              <w:t>位</w:t>
            </w:r>
            <w:r>
              <w:rPr>
                <w:color w:val="auto"/>
                <w:spacing w:val="-9"/>
                <w:highlight w:val="none"/>
              </w:rPr>
              <w:t>（人）</w:t>
            </w:r>
          </w:p>
        </w:tc>
        <w:tc>
          <w:tcPr>
            <w:tcW w:w="1088" w:type="dxa"/>
            <w:vMerge w:val="restart"/>
            <w:tcBorders>
              <w:bottom w:val="nil"/>
            </w:tcBorders>
            <w:vAlign w:val="top"/>
          </w:tcPr>
          <w:p w14:paraId="51662E22">
            <w:pPr>
              <w:pStyle w:val="12"/>
              <w:spacing w:before="224" w:line="321" w:lineRule="auto"/>
              <w:ind w:left="166" w:right="48" w:hanging="7"/>
              <w:jc w:val="both"/>
              <w:rPr>
                <w:color w:val="auto"/>
                <w:highlight w:val="none"/>
              </w:rPr>
            </w:pPr>
            <w:r>
              <w:rPr>
                <w:color w:val="auto"/>
                <w:spacing w:val="-22"/>
                <w:highlight w:val="none"/>
              </w:rPr>
              <w:t>其中：技</w:t>
            </w:r>
            <w:r>
              <w:rPr>
                <w:color w:val="auto"/>
                <w:spacing w:val="25"/>
                <w:highlight w:val="none"/>
              </w:rPr>
              <w:t>能岗位</w:t>
            </w:r>
            <w:r>
              <w:rPr>
                <w:color w:val="auto"/>
                <w:spacing w:val="-11"/>
                <w:highlight w:val="none"/>
              </w:rPr>
              <w:t>（人）</w:t>
            </w:r>
          </w:p>
        </w:tc>
        <w:tc>
          <w:tcPr>
            <w:tcW w:w="1087" w:type="dxa"/>
            <w:vMerge w:val="restart"/>
            <w:tcBorders>
              <w:bottom w:val="nil"/>
            </w:tcBorders>
            <w:vAlign w:val="top"/>
          </w:tcPr>
          <w:p w14:paraId="499C1330">
            <w:pPr>
              <w:pStyle w:val="12"/>
              <w:spacing w:before="214" w:line="313" w:lineRule="auto"/>
              <w:ind w:left="152" w:right="48" w:firstLine="5"/>
              <w:rPr>
                <w:color w:val="auto"/>
                <w:highlight w:val="none"/>
              </w:rPr>
            </w:pPr>
            <w:r>
              <w:rPr>
                <w:color w:val="auto"/>
                <w:spacing w:val="-22"/>
                <w:highlight w:val="none"/>
              </w:rPr>
              <w:t>其中：一</w:t>
            </w:r>
            <w:r>
              <w:rPr>
                <w:color w:val="auto"/>
                <w:spacing w:val="-17"/>
                <w:highlight w:val="none"/>
              </w:rPr>
              <w:t>般</w:t>
            </w:r>
            <w:r>
              <w:rPr>
                <w:color w:val="auto"/>
                <w:spacing w:val="-18"/>
                <w:highlight w:val="none"/>
              </w:rPr>
              <w:t xml:space="preserve"> </w:t>
            </w:r>
            <w:r>
              <w:rPr>
                <w:color w:val="auto"/>
                <w:spacing w:val="-17"/>
                <w:highlight w:val="none"/>
              </w:rPr>
              <w:t>普 工</w:t>
            </w:r>
          </w:p>
          <w:p w14:paraId="556912FC">
            <w:pPr>
              <w:pStyle w:val="12"/>
              <w:spacing w:before="2" w:line="309" w:lineRule="auto"/>
              <w:ind w:left="151" w:right="55" w:firstLine="30"/>
              <w:jc w:val="both"/>
              <w:rPr>
                <w:color w:val="auto"/>
                <w:highlight w:val="none"/>
              </w:rPr>
            </w:pPr>
            <w:r>
              <w:rPr>
                <w:color w:val="auto"/>
                <w:spacing w:val="-26"/>
                <w:highlight w:val="none"/>
              </w:rPr>
              <w:t>岗</w:t>
            </w:r>
            <w:r>
              <w:rPr>
                <w:color w:val="auto"/>
                <w:spacing w:val="-20"/>
                <w:highlight w:val="none"/>
              </w:rPr>
              <w:t xml:space="preserve"> </w:t>
            </w:r>
            <w:r>
              <w:rPr>
                <w:color w:val="auto"/>
                <w:spacing w:val="-26"/>
                <w:highlight w:val="none"/>
              </w:rPr>
              <w:t>位</w:t>
            </w:r>
            <w:r>
              <w:rPr>
                <w:color w:val="auto"/>
                <w:spacing w:val="-19"/>
                <w:highlight w:val="none"/>
              </w:rPr>
              <w:t xml:space="preserve"> </w:t>
            </w:r>
            <w:r>
              <w:rPr>
                <w:color w:val="auto"/>
                <w:spacing w:val="-26"/>
                <w:highlight w:val="none"/>
              </w:rPr>
              <w:t>新</w:t>
            </w:r>
            <w:r>
              <w:rPr>
                <w:color w:val="auto"/>
                <w:spacing w:val="-17"/>
                <w:highlight w:val="none"/>
              </w:rPr>
              <w:t>疆</w:t>
            </w:r>
            <w:r>
              <w:rPr>
                <w:color w:val="auto"/>
                <w:spacing w:val="23"/>
                <w:highlight w:val="none"/>
              </w:rPr>
              <w:t xml:space="preserve">   </w:t>
            </w:r>
            <w:r>
              <w:rPr>
                <w:color w:val="auto"/>
                <w:spacing w:val="-17"/>
                <w:highlight w:val="none"/>
              </w:rPr>
              <w:t>籍</w:t>
            </w:r>
            <w:r>
              <w:rPr>
                <w:color w:val="auto"/>
                <w:spacing w:val="-24"/>
                <w:highlight w:val="none"/>
              </w:rPr>
              <w:t>（</w:t>
            </w:r>
            <w:r>
              <w:rPr>
                <w:color w:val="auto"/>
                <w:spacing w:val="-18"/>
                <w:highlight w:val="none"/>
              </w:rPr>
              <w:t xml:space="preserve"> </w:t>
            </w:r>
            <w:r>
              <w:rPr>
                <w:color w:val="auto"/>
                <w:spacing w:val="-24"/>
                <w:highlight w:val="none"/>
              </w:rPr>
              <w:t>人</w:t>
            </w:r>
            <w:r>
              <w:rPr>
                <w:color w:val="auto"/>
                <w:spacing w:val="4"/>
                <w:highlight w:val="none"/>
              </w:rPr>
              <w:t xml:space="preserve"> </w:t>
            </w:r>
            <w:r>
              <w:rPr>
                <w:color w:val="auto"/>
                <w:spacing w:val="-24"/>
                <w:highlight w:val="none"/>
              </w:rPr>
              <w:t>）</w:t>
            </w:r>
            <w:r>
              <w:rPr>
                <w:color w:val="auto"/>
                <w:highlight w:val="none"/>
              </w:rPr>
              <w:t xml:space="preserve"> </w:t>
            </w:r>
            <w:r>
              <w:rPr>
                <w:color w:val="auto"/>
                <w:spacing w:val="-6"/>
                <w:highlight w:val="none"/>
              </w:rPr>
              <w:t>(%)</w:t>
            </w:r>
          </w:p>
        </w:tc>
        <w:tc>
          <w:tcPr>
            <w:tcW w:w="1087" w:type="dxa"/>
            <w:vMerge w:val="restart"/>
            <w:tcBorders>
              <w:bottom w:val="nil"/>
            </w:tcBorders>
            <w:vAlign w:val="top"/>
          </w:tcPr>
          <w:p w14:paraId="1A8E7628">
            <w:pPr>
              <w:pStyle w:val="12"/>
              <w:spacing w:before="222" w:line="317" w:lineRule="auto"/>
              <w:ind w:left="151" w:right="55" w:firstLine="31"/>
              <w:jc w:val="both"/>
              <w:rPr>
                <w:color w:val="auto"/>
                <w:highlight w:val="none"/>
              </w:rPr>
            </w:pPr>
            <w:r>
              <w:rPr>
                <w:color w:val="auto"/>
                <w:spacing w:val="41"/>
                <w:highlight w:val="none"/>
              </w:rPr>
              <w:t>需参加</w:t>
            </w:r>
            <w:r>
              <w:rPr>
                <w:color w:val="auto"/>
                <w:spacing w:val="-18"/>
                <w:highlight w:val="none"/>
              </w:rPr>
              <w:t>培</w:t>
            </w:r>
            <w:r>
              <w:rPr>
                <w:color w:val="auto"/>
                <w:spacing w:val="-21"/>
                <w:highlight w:val="none"/>
              </w:rPr>
              <w:t xml:space="preserve"> </w:t>
            </w:r>
            <w:r>
              <w:rPr>
                <w:color w:val="auto"/>
                <w:spacing w:val="-18"/>
                <w:highlight w:val="none"/>
              </w:rPr>
              <w:t>训</w:t>
            </w:r>
            <w:r>
              <w:rPr>
                <w:color w:val="auto"/>
                <w:spacing w:val="-14"/>
                <w:highlight w:val="none"/>
              </w:rPr>
              <w:t xml:space="preserve"> </w:t>
            </w:r>
            <w:r>
              <w:rPr>
                <w:color w:val="auto"/>
                <w:spacing w:val="-18"/>
                <w:highlight w:val="none"/>
              </w:rPr>
              <w:t>人</w:t>
            </w:r>
            <w:r>
              <w:rPr>
                <w:color w:val="auto"/>
                <w:highlight w:val="none"/>
              </w:rPr>
              <w:t>数</w:t>
            </w:r>
          </w:p>
        </w:tc>
        <w:tc>
          <w:tcPr>
            <w:tcW w:w="1087" w:type="dxa"/>
            <w:vAlign w:val="top"/>
          </w:tcPr>
          <w:p w14:paraId="52AFE8B8">
            <w:pPr>
              <w:pStyle w:val="12"/>
              <w:spacing w:before="221" w:line="223" w:lineRule="auto"/>
              <w:ind w:left="157"/>
              <w:rPr>
                <w:color w:val="auto"/>
                <w:highlight w:val="none"/>
              </w:rPr>
            </w:pPr>
            <w:r>
              <w:rPr>
                <w:color w:val="auto"/>
                <w:spacing w:val="-11"/>
                <w:highlight w:val="none"/>
              </w:rPr>
              <w:t>平</w:t>
            </w:r>
            <w:r>
              <w:rPr>
                <w:color w:val="auto"/>
                <w:spacing w:val="-20"/>
                <w:highlight w:val="none"/>
              </w:rPr>
              <w:t xml:space="preserve"> </w:t>
            </w:r>
            <w:r>
              <w:rPr>
                <w:color w:val="auto"/>
                <w:spacing w:val="-11"/>
                <w:highlight w:val="none"/>
              </w:rPr>
              <w:t>均 务</w:t>
            </w:r>
          </w:p>
          <w:p w14:paraId="2977D381">
            <w:pPr>
              <w:pStyle w:val="12"/>
              <w:spacing w:before="118" w:line="223" w:lineRule="auto"/>
              <w:jc w:val="right"/>
              <w:rPr>
                <w:color w:val="auto"/>
                <w:highlight w:val="none"/>
              </w:rPr>
            </w:pPr>
            <w:r>
              <w:rPr>
                <w:color w:val="auto"/>
                <w:spacing w:val="-17"/>
                <w:highlight w:val="none"/>
              </w:rPr>
              <w:t>工 时</w:t>
            </w:r>
            <w:r>
              <w:rPr>
                <w:color w:val="auto"/>
                <w:spacing w:val="16"/>
                <w:highlight w:val="none"/>
              </w:rPr>
              <w:t xml:space="preserve"> </w:t>
            </w:r>
            <w:r>
              <w:rPr>
                <w:color w:val="auto"/>
                <w:spacing w:val="-17"/>
                <w:highlight w:val="none"/>
              </w:rPr>
              <w:t>间</w:t>
            </w:r>
          </w:p>
          <w:p w14:paraId="1FE3A7F2">
            <w:pPr>
              <w:pStyle w:val="12"/>
              <w:spacing w:before="120" w:line="225" w:lineRule="auto"/>
              <w:ind w:left="171"/>
              <w:rPr>
                <w:color w:val="auto"/>
                <w:highlight w:val="none"/>
              </w:rPr>
            </w:pPr>
            <w:r>
              <w:rPr>
                <w:color w:val="auto"/>
                <w:spacing w:val="-11"/>
                <w:highlight w:val="none"/>
              </w:rPr>
              <w:t>（天）</w:t>
            </w:r>
          </w:p>
        </w:tc>
        <w:tc>
          <w:tcPr>
            <w:tcW w:w="1097" w:type="dxa"/>
            <w:vMerge w:val="restart"/>
            <w:tcBorders>
              <w:bottom w:val="nil"/>
            </w:tcBorders>
            <w:vAlign w:val="top"/>
          </w:tcPr>
          <w:p w14:paraId="6FA036D5">
            <w:pPr>
              <w:pStyle w:val="12"/>
              <w:spacing w:before="221" w:line="325" w:lineRule="auto"/>
              <w:ind w:left="134" w:right="62" w:firstLine="25"/>
              <w:jc w:val="both"/>
              <w:rPr>
                <w:color w:val="auto"/>
                <w:highlight w:val="none"/>
              </w:rPr>
            </w:pPr>
            <w:r>
              <w:rPr>
                <w:color w:val="auto"/>
                <w:spacing w:val="-16"/>
                <w:highlight w:val="none"/>
              </w:rPr>
              <w:t>平</w:t>
            </w:r>
            <w:r>
              <w:rPr>
                <w:color w:val="auto"/>
                <w:spacing w:val="-28"/>
                <w:highlight w:val="none"/>
              </w:rPr>
              <w:t xml:space="preserve"> </w:t>
            </w:r>
            <w:r>
              <w:rPr>
                <w:color w:val="auto"/>
                <w:spacing w:val="-16"/>
                <w:highlight w:val="none"/>
              </w:rPr>
              <w:t>均 务</w:t>
            </w:r>
            <w:r>
              <w:rPr>
                <w:color w:val="auto"/>
                <w:spacing w:val="-14"/>
                <w:highlight w:val="none"/>
              </w:rPr>
              <w:t>工</w:t>
            </w:r>
            <w:r>
              <w:rPr>
                <w:color w:val="auto"/>
                <w:spacing w:val="-17"/>
                <w:highlight w:val="none"/>
              </w:rPr>
              <w:t xml:space="preserve"> </w:t>
            </w:r>
            <w:r>
              <w:rPr>
                <w:color w:val="auto"/>
                <w:spacing w:val="-14"/>
                <w:highlight w:val="none"/>
              </w:rPr>
              <w:t>报</w:t>
            </w:r>
            <w:r>
              <w:rPr>
                <w:color w:val="auto"/>
                <w:spacing w:val="-15"/>
                <w:highlight w:val="none"/>
              </w:rPr>
              <w:t xml:space="preserve"> </w:t>
            </w:r>
            <w:r>
              <w:rPr>
                <w:color w:val="auto"/>
                <w:spacing w:val="-14"/>
                <w:highlight w:val="none"/>
              </w:rPr>
              <w:t>酬</w:t>
            </w:r>
            <w:r>
              <w:rPr>
                <w:color w:val="auto"/>
                <w:spacing w:val="7"/>
                <w:highlight w:val="none"/>
              </w:rPr>
              <w:t>（元/人</w:t>
            </w:r>
            <w:r>
              <w:rPr>
                <w:color w:val="auto"/>
                <w:spacing w:val="-5"/>
                <w:highlight w:val="none"/>
              </w:rPr>
              <w:t>/日）</w:t>
            </w:r>
          </w:p>
        </w:tc>
      </w:tr>
      <w:tr w14:paraId="27E3D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096" w:type="dxa"/>
            <w:vMerge w:val="continue"/>
            <w:tcBorders>
              <w:top w:val="nil"/>
            </w:tcBorders>
            <w:vAlign w:val="top"/>
          </w:tcPr>
          <w:p w14:paraId="39D2623B">
            <w:pPr>
              <w:rPr>
                <w:rFonts w:ascii="Arial"/>
                <w:color w:val="auto"/>
                <w:sz w:val="21"/>
                <w:highlight w:val="none"/>
              </w:rPr>
            </w:pPr>
          </w:p>
        </w:tc>
        <w:tc>
          <w:tcPr>
            <w:tcW w:w="1087" w:type="dxa"/>
            <w:vMerge w:val="continue"/>
            <w:tcBorders>
              <w:top w:val="nil"/>
            </w:tcBorders>
            <w:vAlign w:val="top"/>
          </w:tcPr>
          <w:p w14:paraId="7210B5D6">
            <w:pPr>
              <w:rPr>
                <w:rFonts w:ascii="Arial"/>
                <w:color w:val="auto"/>
                <w:sz w:val="21"/>
                <w:highlight w:val="none"/>
              </w:rPr>
            </w:pPr>
          </w:p>
        </w:tc>
        <w:tc>
          <w:tcPr>
            <w:tcW w:w="1087" w:type="dxa"/>
            <w:vMerge w:val="continue"/>
            <w:tcBorders>
              <w:top w:val="nil"/>
            </w:tcBorders>
            <w:vAlign w:val="top"/>
          </w:tcPr>
          <w:p w14:paraId="20AAFFE6">
            <w:pPr>
              <w:rPr>
                <w:rFonts w:ascii="Arial"/>
                <w:color w:val="auto"/>
                <w:sz w:val="21"/>
                <w:highlight w:val="none"/>
              </w:rPr>
            </w:pPr>
          </w:p>
        </w:tc>
        <w:tc>
          <w:tcPr>
            <w:tcW w:w="1086" w:type="dxa"/>
            <w:vMerge w:val="continue"/>
            <w:tcBorders>
              <w:top w:val="nil"/>
            </w:tcBorders>
            <w:vAlign w:val="top"/>
          </w:tcPr>
          <w:p w14:paraId="3C794129">
            <w:pPr>
              <w:rPr>
                <w:rFonts w:ascii="Arial"/>
                <w:color w:val="auto"/>
                <w:sz w:val="21"/>
                <w:highlight w:val="none"/>
              </w:rPr>
            </w:pPr>
          </w:p>
        </w:tc>
        <w:tc>
          <w:tcPr>
            <w:tcW w:w="1088" w:type="dxa"/>
            <w:vMerge w:val="continue"/>
            <w:tcBorders>
              <w:top w:val="nil"/>
            </w:tcBorders>
            <w:vAlign w:val="top"/>
          </w:tcPr>
          <w:p w14:paraId="609641D1">
            <w:pPr>
              <w:rPr>
                <w:rFonts w:ascii="Arial"/>
                <w:color w:val="auto"/>
                <w:sz w:val="21"/>
                <w:highlight w:val="none"/>
              </w:rPr>
            </w:pPr>
          </w:p>
        </w:tc>
        <w:tc>
          <w:tcPr>
            <w:tcW w:w="1087" w:type="dxa"/>
            <w:vMerge w:val="continue"/>
            <w:tcBorders>
              <w:top w:val="nil"/>
            </w:tcBorders>
            <w:vAlign w:val="top"/>
          </w:tcPr>
          <w:p w14:paraId="4307404C">
            <w:pPr>
              <w:rPr>
                <w:rFonts w:ascii="Arial"/>
                <w:color w:val="auto"/>
                <w:sz w:val="21"/>
                <w:highlight w:val="none"/>
              </w:rPr>
            </w:pPr>
          </w:p>
        </w:tc>
        <w:tc>
          <w:tcPr>
            <w:tcW w:w="1087" w:type="dxa"/>
            <w:vMerge w:val="continue"/>
            <w:tcBorders>
              <w:top w:val="nil"/>
            </w:tcBorders>
            <w:vAlign w:val="top"/>
          </w:tcPr>
          <w:p w14:paraId="3ED663E7">
            <w:pPr>
              <w:rPr>
                <w:rFonts w:ascii="Arial"/>
                <w:color w:val="auto"/>
                <w:sz w:val="21"/>
                <w:highlight w:val="none"/>
              </w:rPr>
            </w:pPr>
          </w:p>
        </w:tc>
        <w:tc>
          <w:tcPr>
            <w:tcW w:w="1087" w:type="dxa"/>
            <w:vAlign w:val="top"/>
          </w:tcPr>
          <w:p w14:paraId="25115BE1">
            <w:pPr>
              <w:pStyle w:val="12"/>
              <w:spacing w:before="214" w:line="310" w:lineRule="auto"/>
              <w:ind w:left="224" w:right="64" w:hanging="64"/>
              <w:rPr>
                <w:color w:val="auto"/>
                <w:highlight w:val="none"/>
              </w:rPr>
            </w:pPr>
            <w:r>
              <w:rPr>
                <w:color w:val="auto"/>
                <w:spacing w:val="45"/>
                <w:highlight w:val="none"/>
              </w:rPr>
              <w:t>起止时</w:t>
            </w:r>
            <w:r>
              <w:rPr>
                <w:color w:val="auto"/>
                <w:highlight w:val="none"/>
              </w:rPr>
              <w:t>间</w:t>
            </w:r>
          </w:p>
        </w:tc>
        <w:tc>
          <w:tcPr>
            <w:tcW w:w="1097" w:type="dxa"/>
            <w:vMerge w:val="continue"/>
            <w:tcBorders>
              <w:top w:val="nil"/>
            </w:tcBorders>
            <w:vAlign w:val="top"/>
          </w:tcPr>
          <w:p w14:paraId="68BDB966">
            <w:pPr>
              <w:rPr>
                <w:rFonts w:ascii="Arial"/>
                <w:color w:val="auto"/>
                <w:sz w:val="21"/>
                <w:highlight w:val="none"/>
              </w:rPr>
            </w:pPr>
          </w:p>
        </w:tc>
      </w:tr>
      <w:tr w14:paraId="1B978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0" w:hRule="atLeast"/>
        </w:trPr>
        <w:tc>
          <w:tcPr>
            <w:tcW w:w="1096" w:type="dxa"/>
            <w:vAlign w:val="top"/>
          </w:tcPr>
          <w:p w14:paraId="0CCE5B9A">
            <w:pPr>
              <w:rPr>
                <w:rFonts w:ascii="Arial"/>
                <w:color w:val="auto"/>
                <w:sz w:val="21"/>
                <w:highlight w:val="none"/>
              </w:rPr>
            </w:pPr>
          </w:p>
        </w:tc>
        <w:tc>
          <w:tcPr>
            <w:tcW w:w="1087" w:type="dxa"/>
            <w:vMerge w:val="restart"/>
            <w:tcBorders>
              <w:bottom w:val="nil"/>
            </w:tcBorders>
            <w:vAlign w:val="top"/>
          </w:tcPr>
          <w:p w14:paraId="7EB108E7">
            <w:pPr>
              <w:rPr>
                <w:rFonts w:ascii="Arial"/>
                <w:color w:val="auto"/>
                <w:sz w:val="21"/>
                <w:highlight w:val="none"/>
              </w:rPr>
            </w:pPr>
          </w:p>
        </w:tc>
        <w:tc>
          <w:tcPr>
            <w:tcW w:w="1087" w:type="dxa"/>
            <w:vAlign w:val="top"/>
          </w:tcPr>
          <w:p w14:paraId="5D97F3E8">
            <w:pPr>
              <w:rPr>
                <w:rFonts w:ascii="Arial"/>
                <w:color w:val="auto"/>
                <w:sz w:val="21"/>
                <w:highlight w:val="none"/>
              </w:rPr>
            </w:pPr>
          </w:p>
        </w:tc>
        <w:tc>
          <w:tcPr>
            <w:tcW w:w="1086" w:type="dxa"/>
            <w:vMerge w:val="restart"/>
            <w:tcBorders>
              <w:bottom w:val="nil"/>
            </w:tcBorders>
            <w:vAlign w:val="top"/>
          </w:tcPr>
          <w:p w14:paraId="059D5564">
            <w:pPr>
              <w:rPr>
                <w:rFonts w:ascii="Arial"/>
                <w:color w:val="auto"/>
                <w:sz w:val="21"/>
                <w:highlight w:val="none"/>
              </w:rPr>
            </w:pPr>
          </w:p>
        </w:tc>
        <w:tc>
          <w:tcPr>
            <w:tcW w:w="1088" w:type="dxa"/>
            <w:vMerge w:val="restart"/>
            <w:tcBorders>
              <w:bottom w:val="nil"/>
            </w:tcBorders>
            <w:vAlign w:val="top"/>
          </w:tcPr>
          <w:p w14:paraId="27B98998">
            <w:pPr>
              <w:rPr>
                <w:rFonts w:ascii="Arial"/>
                <w:color w:val="auto"/>
                <w:sz w:val="21"/>
                <w:highlight w:val="none"/>
              </w:rPr>
            </w:pPr>
          </w:p>
        </w:tc>
        <w:tc>
          <w:tcPr>
            <w:tcW w:w="1087" w:type="dxa"/>
            <w:vAlign w:val="top"/>
          </w:tcPr>
          <w:p w14:paraId="0866E585">
            <w:pPr>
              <w:rPr>
                <w:rFonts w:ascii="Arial"/>
                <w:color w:val="auto"/>
                <w:sz w:val="21"/>
                <w:highlight w:val="none"/>
              </w:rPr>
            </w:pPr>
          </w:p>
        </w:tc>
        <w:tc>
          <w:tcPr>
            <w:tcW w:w="1087" w:type="dxa"/>
            <w:vMerge w:val="restart"/>
            <w:tcBorders>
              <w:bottom w:val="nil"/>
            </w:tcBorders>
            <w:vAlign w:val="top"/>
          </w:tcPr>
          <w:p w14:paraId="7E4C2FA8">
            <w:pPr>
              <w:rPr>
                <w:rFonts w:ascii="Arial"/>
                <w:color w:val="auto"/>
                <w:sz w:val="21"/>
                <w:highlight w:val="none"/>
              </w:rPr>
            </w:pPr>
          </w:p>
        </w:tc>
        <w:tc>
          <w:tcPr>
            <w:tcW w:w="1087" w:type="dxa"/>
            <w:vAlign w:val="top"/>
          </w:tcPr>
          <w:p w14:paraId="0D92C778">
            <w:pPr>
              <w:rPr>
                <w:rFonts w:ascii="Arial"/>
                <w:color w:val="auto"/>
                <w:sz w:val="21"/>
                <w:highlight w:val="none"/>
              </w:rPr>
            </w:pPr>
          </w:p>
        </w:tc>
        <w:tc>
          <w:tcPr>
            <w:tcW w:w="1097" w:type="dxa"/>
            <w:vMerge w:val="restart"/>
            <w:tcBorders>
              <w:bottom w:val="nil"/>
            </w:tcBorders>
            <w:vAlign w:val="top"/>
          </w:tcPr>
          <w:p w14:paraId="584DDEB5">
            <w:pPr>
              <w:rPr>
                <w:rFonts w:ascii="Arial"/>
                <w:color w:val="auto"/>
                <w:sz w:val="21"/>
                <w:highlight w:val="none"/>
              </w:rPr>
            </w:pPr>
          </w:p>
        </w:tc>
      </w:tr>
      <w:tr w14:paraId="1CA3F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1096" w:type="dxa"/>
            <w:vAlign w:val="top"/>
          </w:tcPr>
          <w:p w14:paraId="13260CF7">
            <w:pPr>
              <w:rPr>
                <w:rFonts w:ascii="Arial"/>
                <w:color w:val="auto"/>
                <w:sz w:val="21"/>
                <w:highlight w:val="none"/>
              </w:rPr>
            </w:pPr>
          </w:p>
        </w:tc>
        <w:tc>
          <w:tcPr>
            <w:tcW w:w="1087" w:type="dxa"/>
            <w:vMerge w:val="continue"/>
            <w:tcBorders>
              <w:top w:val="nil"/>
            </w:tcBorders>
            <w:vAlign w:val="top"/>
          </w:tcPr>
          <w:p w14:paraId="121CDB33">
            <w:pPr>
              <w:rPr>
                <w:rFonts w:ascii="Arial"/>
                <w:color w:val="auto"/>
                <w:sz w:val="21"/>
                <w:highlight w:val="none"/>
              </w:rPr>
            </w:pPr>
          </w:p>
        </w:tc>
        <w:tc>
          <w:tcPr>
            <w:tcW w:w="1087" w:type="dxa"/>
            <w:vAlign w:val="top"/>
          </w:tcPr>
          <w:p w14:paraId="31C086B2">
            <w:pPr>
              <w:rPr>
                <w:rFonts w:ascii="Arial"/>
                <w:color w:val="auto"/>
                <w:sz w:val="21"/>
                <w:highlight w:val="none"/>
              </w:rPr>
            </w:pPr>
          </w:p>
        </w:tc>
        <w:tc>
          <w:tcPr>
            <w:tcW w:w="1086" w:type="dxa"/>
            <w:vMerge w:val="continue"/>
            <w:tcBorders>
              <w:top w:val="nil"/>
            </w:tcBorders>
            <w:vAlign w:val="top"/>
          </w:tcPr>
          <w:p w14:paraId="07AC9974">
            <w:pPr>
              <w:rPr>
                <w:rFonts w:ascii="Arial"/>
                <w:color w:val="auto"/>
                <w:sz w:val="21"/>
                <w:highlight w:val="none"/>
              </w:rPr>
            </w:pPr>
          </w:p>
        </w:tc>
        <w:tc>
          <w:tcPr>
            <w:tcW w:w="1088" w:type="dxa"/>
            <w:vMerge w:val="continue"/>
            <w:tcBorders>
              <w:top w:val="nil"/>
            </w:tcBorders>
            <w:vAlign w:val="top"/>
          </w:tcPr>
          <w:p w14:paraId="5CEA18F4">
            <w:pPr>
              <w:rPr>
                <w:rFonts w:ascii="Arial"/>
                <w:color w:val="auto"/>
                <w:sz w:val="21"/>
                <w:highlight w:val="none"/>
              </w:rPr>
            </w:pPr>
          </w:p>
        </w:tc>
        <w:tc>
          <w:tcPr>
            <w:tcW w:w="1087" w:type="dxa"/>
            <w:vAlign w:val="top"/>
          </w:tcPr>
          <w:p w14:paraId="1E5ADCCF">
            <w:pPr>
              <w:rPr>
                <w:rFonts w:ascii="Arial"/>
                <w:color w:val="auto"/>
                <w:sz w:val="21"/>
                <w:highlight w:val="none"/>
              </w:rPr>
            </w:pPr>
          </w:p>
        </w:tc>
        <w:tc>
          <w:tcPr>
            <w:tcW w:w="1087" w:type="dxa"/>
            <w:vMerge w:val="continue"/>
            <w:tcBorders>
              <w:top w:val="nil"/>
            </w:tcBorders>
            <w:vAlign w:val="top"/>
          </w:tcPr>
          <w:p w14:paraId="751947B5">
            <w:pPr>
              <w:rPr>
                <w:rFonts w:ascii="Arial"/>
                <w:color w:val="auto"/>
                <w:sz w:val="21"/>
                <w:highlight w:val="none"/>
              </w:rPr>
            </w:pPr>
          </w:p>
        </w:tc>
        <w:tc>
          <w:tcPr>
            <w:tcW w:w="1087" w:type="dxa"/>
            <w:vAlign w:val="top"/>
          </w:tcPr>
          <w:p w14:paraId="44F8ADDF">
            <w:pPr>
              <w:rPr>
                <w:rFonts w:ascii="Arial"/>
                <w:color w:val="auto"/>
                <w:sz w:val="21"/>
                <w:highlight w:val="none"/>
              </w:rPr>
            </w:pPr>
          </w:p>
        </w:tc>
        <w:tc>
          <w:tcPr>
            <w:tcW w:w="1097" w:type="dxa"/>
            <w:vMerge w:val="continue"/>
            <w:tcBorders>
              <w:top w:val="nil"/>
            </w:tcBorders>
            <w:vAlign w:val="top"/>
          </w:tcPr>
          <w:p w14:paraId="25E7213D">
            <w:pPr>
              <w:rPr>
                <w:rFonts w:ascii="Arial"/>
                <w:color w:val="auto"/>
                <w:sz w:val="21"/>
                <w:highlight w:val="none"/>
              </w:rPr>
            </w:pPr>
          </w:p>
        </w:tc>
      </w:tr>
    </w:tbl>
    <w:p w14:paraId="757AA65B">
      <w:pPr>
        <w:spacing w:before="181" w:line="222" w:lineRule="auto"/>
        <w:ind w:left="754"/>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填报人：</w:t>
      </w:r>
      <w:r>
        <w:rPr>
          <w:rFonts w:ascii="仿宋" w:hAnsi="仿宋" w:eastAsia="仿宋" w:cs="仿宋"/>
          <w:color w:val="auto"/>
          <w:spacing w:val="3"/>
          <w:sz w:val="24"/>
          <w:szCs w:val="24"/>
          <w:highlight w:val="none"/>
        </w:rPr>
        <w:t xml:space="preserve">                   </w:t>
      </w:r>
      <w:r>
        <w:rPr>
          <w:rFonts w:ascii="仿宋" w:hAnsi="仿宋" w:eastAsia="仿宋" w:cs="仿宋"/>
          <w:color w:val="auto"/>
          <w:spacing w:val="-3"/>
          <w:sz w:val="24"/>
          <w:szCs w:val="24"/>
          <w:highlight w:val="none"/>
        </w:rPr>
        <w:t xml:space="preserve">主要领导：             </w:t>
      </w:r>
      <w:r>
        <w:rPr>
          <w:rFonts w:ascii="仿宋" w:hAnsi="仿宋" w:eastAsia="仿宋" w:cs="仿宋"/>
          <w:color w:val="auto"/>
          <w:spacing w:val="-4"/>
          <w:sz w:val="24"/>
          <w:szCs w:val="24"/>
          <w:highlight w:val="none"/>
        </w:rPr>
        <w:t xml:space="preserve">       联系方式：</w:t>
      </w:r>
    </w:p>
    <w:p w14:paraId="0CDFB91F">
      <w:pPr>
        <w:pStyle w:val="3"/>
        <w:spacing w:line="464" w:lineRule="auto"/>
        <w:rPr>
          <w:color w:val="auto"/>
          <w:highlight w:val="none"/>
        </w:rPr>
      </w:pPr>
    </w:p>
    <w:p w14:paraId="2C3F7503">
      <w:pPr>
        <w:spacing w:before="78" w:line="317" w:lineRule="auto"/>
        <w:ind w:left="752" w:right="733" w:firstLine="464"/>
        <w:jc w:val="both"/>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说明：1、用工需求总数包括一般普工岗位、技能岗位。2、施工企业根据项</w:t>
      </w:r>
      <w:r>
        <w:rPr>
          <w:rFonts w:ascii="仿宋" w:hAnsi="仿宋" w:eastAsia="仿宋" w:cs="仿宋"/>
          <w:color w:val="auto"/>
          <w:sz w:val="24"/>
          <w:szCs w:val="24"/>
          <w:highlight w:val="none"/>
        </w:rPr>
        <w:t>目工程 特点、工程量、实事求是填写本表中用工人数、需</w:t>
      </w:r>
      <w:r>
        <w:rPr>
          <w:rFonts w:ascii="仿宋" w:hAnsi="仿宋" w:eastAsia="仿宋" w:cs="仿宋"/>
          <w:color w:val="auto"/>
          <w:spacing w:val="-1"/>
          <w:sz w:val="24"/>
          <w:szCs w:val="24"/>
          <w:highlight w:val="none"/>
        </w:rPr>
        <w:t>要培训人数，</w:t>
      </w:r>
      <w:r>
        <w:rPr>
          <w:rFonts w:ascii="仿宋" w:hAnsi="仿宋" w:eastAsia="仿宋" w:cs="仿宋"/>
          <w:color w:val="auto"/>
          <w:spacing w:val="-71"/>
          <w:sz w:val="24"/>
          <w:szCs w:val="24"/>
          <w:highlight w:val="none"/>
        </w:rPr>
        <w:t xml:space="preserve"> </w:t>
      </w:r>
      <w:r>
        <w:rPr>
          <w:rFonts w:ascii="仿宋" w:hAnsi="仿宋" w:eastAsia="仿宋" w:cs="仿宋"/>
          <w:color w:val="auto"/>
          <w:spacing w:val="-1"/>
          <w:sz w:val="24"/>
          <w:szCs w:val="24"/>
          <w:highlight w:val="none"/>
        </w:rPr>
        <w:t>中标后</w:t>
      </w:r>
      <w:r>
        <w:rPr>
          <w:rFonts w:ascii="仿宋" w:hAnsi="仿宋" w:eastAsia="仿宋" w:cs="仿宋"/>
          <w:color w:val="auto"/>
          <w:spacing w:val="1"/>
          <w:sz w:val="24"/>
          <w:szCs w:val="24"/>
          <w:highlight w:val="none"/>
        </w:rPr>
        <w:t>必须每月向项目 所在地乡、镇人民政府，项目主管单位申报农村劳动力培训就</w:t>
      </w:r>
      <w:r>
        <w:rPr>
          <w:rFonts w:ascii="仿宋" w:hAnsi="仿宋" w:eastAsia="仿宋" w:cs="仿宋"/>
          <w:color w:val="auto"/>
          <w:spacing w:val="-3"/>
          <w:sz w:val="24"/>
          <w:szCs w:val="24"/>
          <w:highlight w:val="none"/>
        </w:rPr>
        <w:t>业情况及工程进度。</w:t>
      </w:r>
    </w:p>
    <w:sectPr>
      <w:footerReference r:id="rId82" w:type="default"/>
      <w:pgSz w:w="11906" w:h="16840"/>
      <w:pgMar w:top="400" w:right="1049" w:bottom="1157" w:left="1048" w:header="0" w:footer="91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2EAB">
    <w:pPr>
      <w:pStyle w:val="3"/>
      <w:spacing w:line="184" w:lineRule="auto"/>
      <w:ind w:left="4137"/>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1D9B7">
    <w:pPr>
      <w:pStyle w:val="3"/>
      <w:spacing w:line="184" w:lineRule="auto"/>
      <w:ind w:left="4430"/>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A1CC">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51A1CC">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D78B">
    <w:pPr>
      <w:pStyle w:val="3"/>
      <w:spacing w:line="235" w:lineRule="exact"/>
      <w:ind w:left="4434"/>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68BFD">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DE68BFD">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D9CB">
    <w:pPr>
      <w:pStyle w:val="3"/>
      <w:spacing w:line="184" w:lineRule="auto"/>
      <w:ind w:left="4410"/>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4572B">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064572B">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6A02">
    <w:pPr>
      <w:pStyle w:val="3"/>
      <w:spacing w:line="235" w:lineRule="exact"/>
      <w:ind w:left="4453"/>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86964">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5A86964">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897AA">
    <w:pPr>
      <w:pStyle w:val="3"/>
      <w:spacing w:line="235" w:lineRule="exact"/>
      <w:ind w:left="4410"/>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B7CAC">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F5B7CAC">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A03B0">
    <w:pPr>
      <w:pStyle w:val="3"/>
      <w:spacing w:line="184" w:lineRule="auto"/>
      <w:ind w:left="4405"/>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554E3">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47554E3">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B49B1">
    <w:pPr>
      <w:pStyle w:val="3"/>
      <w:spacing w:line="235" w:lineRule="exact"/>
      <w:ind w:left="442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B7111">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9AB7111">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5C2C">
    <w:pPr>
      <w:pStyle w:val="3"/>
      <w:spacing w:line="235" w:lineRule="exact"/>
      <w:ind w:left="4415"/>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9A6FD">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CE9A6FD">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ED9AA">
    <w:pPr>
      <w:pStyle w:val="3"/>
      <w:spacing w:line="235" w:lineRule="exact"/>
      <w:ind w:left="4554"/>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8C4E5">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D08C4E5">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66FF">
    <w:pPr>
      <w:pStyle w:val="3"/>
      <w:spacing w:line="235" w:lineRule="exact"/>
      <w:ind w:left="4431"/>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0BAC4">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60BAC4">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711E">
    <w:pPr>
      <w:pStyle w:val="3"/>
      <w:spacing w:line="184" w:lineRule="auto"/>
      <w:ind w:left="4278"/>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DB8BA">
    <w:pPr>
      <w:pStyle w:val="3"/>
      <w:spacing w:line="235" w:lineRule="exact"/>
      <w:ind w:left="4410"/>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CEF04">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DCCEF04">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74A8">
    <w:pPr>
      <w:pStyle w:val="3"/>
      <w:spacing w:line="235" w:lineRule="exact"/>
      <w:ind w:left="4413"/>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79BC7">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E479BC7">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C106E">
    <w:pPr>
      <w:pStyle w:val="3"/>
      <w:spacing w:line="235" w:lineRule="exact"/>
      <w:ind w:left="4461"/>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109E9">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61109E9">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0495">
    <w:pPr>
      <w:spacing w:line="176" w:lineRule="auto"/>
      <w:ind w:left="44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4022B">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7A4022B">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1FCB">
    <w:pPr>
      <w:pStyle w:val="3"/>
      <w:spacing w:line="235" w:lineRule="exact"/>
      <w:ind w:left="4323"/>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4584E">
                          <w:pPr>
                            <w:pStyle w:val="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FD4584E">
                    <w:pPr>
                      <w:pStyle w:val="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F46A2">
    <w:pPr>
      <w:pStyle w:val="3"/>
      <w:spacing w:line="235" w:lineRule="exact"/>
      <w:ind w:left="4471"/>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0A297">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AA0A297">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35BF5">
    <w:pPr>
      <w:pStyle w:val="3"/>
      <w:spacing w:line="235" w:lineRule="exact"/>
      <w:ind w:left="4471"/>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EE60D">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DEEE60D">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70BED">
    <w:pPr>
      <w:pStyle w:val="3"/>
      <w:spacing w:line="235" w:lineRule="exact"/>
      <w:ind w:left="4471"/>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7012A">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157012A">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A1FD">
    <w:pPr>
      <w:pStyle w:val="3"/>
      <w:spacing w:line="235" w:lineRule="exact"/>
      <w:ind w:left="4465"/>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9CB92">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C89CB92">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9727F">
    <w:pPr>
      <w:pStyle w:val="3"/>
      <w:spacing w:line="184" w:lineRule="auto"/>
      <w:ind w:left="4448"/>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41CB26">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A41CB26">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60616">
    <w:pPr>
      <w:pStyle w:val="3"/>
      <w:spacing w:line="235" w:lineRule="exact"/>
      <w:ind w:left="4485"/>
      <w:rPr>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BB908">
    <w:pPr>
      <w:pStyle w:val="3"/>
      <w:spacing w:line="184" w:lineRule="auto"/>
      <w:ind w:left="4450"/>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8B0B3">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A48B0B3">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76C57">
    <w:pPr>
      <w:pStyle w:val="3"/>
      <w:spacing w:line="235" w:lineRule="exact"/>
      <w:ind w:left="4447"/>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66ACD">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DC66ACD">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AAD5">
    <w:pPr>
      <w:pStyle w:val="3"/>
      <w:spacing w:line="184" w:lineRule="auto"/>
      <w:ind w:left="4424"/>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E9692">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BAE9692">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99A1B">
    <w:pPr>
      <w:pStyle w:val="3"/>
      <w:spacing w:line="235" w:lineRule="exact"/>
      <w:ind w:left="4200"/>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BC118">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3ABC118">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EAA1A">
    <w:pPr>
      <w:pStyle w:val="3"/>
      <w:spacing w:line="235" w:lineRule="exact"/>
      <w:ind w:left="4457"/>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4C788">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444C788">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6933">
    <w:pPr>
      <w:pStyle w:val="3"/>
      <w:spacing w:line="184" w:lineRule="auto"/>
      <w:ind w:left="4414"/>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511BD">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A6511BD">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9958">
    <w:pPr>
      <w:pStyle w:val="3"/>
      <w:spacing w:line="235" w:lineRule="exact"/>
      <w:ind w:left="4421"/>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5E078">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AA5E078">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289B">
    <w:pPr>
      <w:pStyle w:val="3"/>
      <w:spacing w:line="235" w:lineRule="exact"/>
      <w:ind w:left="4435"/>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6B774">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3A6B774">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7381">
    <w:pPr>
      <w:pStyle w:val="3"/>
      <w:spacing w:line="235" w:lineRule="exact"/>
      <w:ind w:left="4440"/>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709D4">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B5709D4">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2FF81">
    <w:pPr>
      <w:pStyle w:val="3"/>
      <w:spacing w:line="235" w:lineRule="exact"/>
      <w:ind w:left="4440"/>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C4C6F">
                          <w:pPr>
                            <w:pStyle w:val="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E7C4C6F">
                    <w:pPr>
                      <w:pStyle w:val="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20423">
    <w:pPr>
      <w:pStyle w:val="3"/>
      <w:spacing w:line="182" w:lineRule="auto"/>
      <w:ind w:left="485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316D">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5C316D">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BC431">
    <w:pPr>
      <w:pStyle w:val="3"/>
      <w:spacing w:line="235" w:lineRule="exact"/>
      <w:ind w:left="4440"/>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0B1B4">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0E0B1B4">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657B">
    <w:pPr>
      <w:pStyle w:val="3"/>
      <w:spacing w:line="235" w:lineRule="exact"/>
      <w:ind w:left="4440"/>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52DB7">
                          <w:pPr>
                            <w:pStyle w:val="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AD52DB7">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62AB0">
    <w:pPr>
      <w:pStyle w:val="3"/>
      <w:spacing w:line="235" w:lineRule="exact"/>
      <w:ind w:left="4438"/>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F67D6">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6BF67D6">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D459A">
    <w:pPr>
      <w:pStyle w:val="3"/>
      <w:spacing w:line="235" w:lineRule="exact"/>
      <w:ind w:left="4443"/>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3F925">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C23F925">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EB99">
    <w:pPr>
      <w:pStyle w:val="3"/>
      <w:spacing w:line="235" w:lineRule="exact"/>
      <w:ind w:left="4443"/>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A9B69">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02A9B69">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1BB9">
    <w:pPr>
      <w:pStyle w:val="3"/>
      <w:spacing w:line="235" w:lineRule="exact"/>
      <w:ind w:left="4443"/>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3C907">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9D3C907">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964A">
    <w:pPr>
      <w:pStyle w:val="3"/>
      <w:spacing w:line="235" w:lineRule="exact"/>
      <w:ind w:left="4443"/>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F2BA7">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CFF2BA7">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EF65">
    <w:pPr>
      <w:pStyle w:val="3"/>
      <w:spacing w:line="235" w:lineRule="exact"/>
      <w:ind w:left="4443"/>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2EC32">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372EC32">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2FF6">
    <w:pPr>
      <w:pStyle w:val="3"/>
      <w:spacing w:line="235" w:lineRule="exact"/>
      <w:ind w:left="4247"/>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AED16">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99AED16">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9C9A3">
    <w:pPr>
      <w:pStyle w:val="3"/>
      <w:spacing w:line="235" w:lineRule="exact"/>
      <w:ind w:left="4236"/>
      <w:rPr>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28AE">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39428AE">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9D95">
    <w:pPr>
      <w:pStyle w:val="3"/>
      <w:spacing w:line="184" w:lineRule="auto"/>
      <w:ind w:left="4617"/>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C723C">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EC723C">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ADB8C">
    <w:pPr>
      <w:pStyle w:val="3"/>
      <w:spacing w:line="235" w:lineRule="exact"/>
      <w:ind w:left="4074"/>
      <w:rPr>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7C680A">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67C680A">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9B93C">
    <w:pPr>
      <w:pStyle w:val="3"/>
      <w:spacing w:line="235" w:lineRule="exact"/>
      <w:ind w:left="4397"/>
      <w:rPr>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0D493">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520D493">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D198">
    <w:pPr>
      <w:pStyle w:val="3"/>
      <w:spacing w:line="235" w:lineRule="exact"/>
      <w:ind w:left="4074"/>
      <w:rPr>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39F26">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9C39F26">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F8323">
    <w:pPr>
      <w:pStyle w:val="3"/>
      <w:spacing w:line="235" w:lineRule="exact"/>
      <w:ind w:left="4075"/>
      <w:rPr>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E8F48">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61E8F48">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4FEAE">
    <w:pPr>
      <w:pStyle w:val="3"/>
      <w:spacing w:line="235" w:lineRule="exact"/>
      <w:ind w:left="4074"/>
      <w:rPr>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1A900">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4D1A900">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FE12">
    <w:pPr>
      <w:pStyle w:val="3"/>
      <w:spacing w:line="235" w:lineRule="exact"/>
      <w:ind w:left="4074"/>
      <w:rPr>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5BF28">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9D5BF28">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A236F">
    <w:pPr>
      <w:pStyle w:val="3"/>
      <w:spacing w:line="235" w:lineRule="exact"/>
      <w:ind w:left="4074"/>
      <w:rPr>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7A6F0">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5C7A6F0">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0515">
    <w:pPr>
      <w:pStyle w:val="3"/>
      <w:spacing w:line="235" w:lineRule="exact"/>
      <w:ind w:left="4074"/>
      <w:rPr>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7AE72">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487AE72">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0097">
    <w:pPr>
      <w:pStyle w:val="3"/>
      <w:spacing w:line="235" w:lineRule="exact"/>
      <w:ind w:left="4077"/>
      <w:rPr>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B80FA">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A4B80FA">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61FB">
    <w:pPr>
      <w:pStyle w:val="3"/>
      <w:spacing w:line="184" w:lineRule="auto"/>
      <w:ind w:left="4076"/>
      <w:rPr>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2AF41">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7182AF41">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0A7F">
    <w:pPr>
      <w:pStyle w:val="3"/>
      <w:spacing w:line="235" w:lineRule="exact"/>
      <w:ind w:left="441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60A32">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660A32">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52B57">
    <w:pPr>
      <w:pStyle w:val="3"/>
      <w:spacing w:line="184" w:lineRule="auto"/>
      <w:ind w:left="4076"/>
      <w:rPr>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1BE73">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5E1BE73">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8FC6">
    <w:pPr>
      <w:pStyle w:val="3"/>
      <w:spacing w:line="235" w:lineRule="exact"/>
      <w:ind w:left="4076"/>
      <w:rPr>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59387">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4359387">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A2DEF">
    <w:pPr>
      <w:pStyle w:val="3"/>
      <w:spacing w:line="184" w:lineRule="auto"/>
      <w:ind w:left="4076"/>
      <w:rPr>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4429E">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3E4429E">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A99D">
    <w:pPr>
      <w:pStyle w:val="3"/>
      <w:spacing w:line="235" w:lineRule="exact"/>
      <w:ind w:left="4076"/>
      <w:rPr>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9A1FE">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1299A1FE">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B447F">
    <w:pPr>
      <w:pStyle w:val="3"/>
      <w:spacing w:line="235" w:lineRule="exact"/>
      <w:ind w:left="4076"/>
      <w:rPr>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31E3F">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6D31E3F">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54A5A">
    <w:pPr>
      <w:pStyle w:val="3"/>
      <w:spacing w:line="182" w:lineRule="auto"/>
      <w:ind w:left="4076"/>
      <w:rPr>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C88F4">
                          <w:pPr>
                            <w:pStyle w:val="5"/>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159C88F4">
                    <w:pPr>
                      <w:pStyle w:val="5"/>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045C7">
    <w:pPr>
      <w:pStyle w:val="3"/>
      <w:spacing w:line="235" w:lineRule="exact"/>
      <w:ind w:left="4076"/>
      <w:rPr>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C6B48">
                          <w:pPr>
                            <w:pStyle w:val="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6F2C6B48">
                    <w:pPr>
                      <w:pStyle w:val="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C58F">
    <w:pPr>
      <w:pStyle w:val="3"/>
      <w:spacing w:line="235" w:lineRule="exact"/>
      <w:ind w:left="4076"/>
      <w:rPr>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B5221">
                          <w:pPr>
                            <w:pStyle w:val="5"/>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631B5221">
                    <w:pPr>
                      <w:pStyle w:val="5"/>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B20F">
    <w:pPr>
      <w:pStyle w:val="3"/>
      <w:spacing w:line="235" w:lineRule="exact"/>
      <w:ind w:left="4075"/>
      <w:rPr>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884EB">
                          <w:pPr>
                            <w:pStyle w:val="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28884EB">
                    <w:pPr>
                      <w:pStyle w:val="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6C3B">
    <w:pPr>
      <w:pStyle w:val="3"/>
      <w:spacing w:line="235" w:lineRule="exact"/>
      <w:ind w:left="4075"/>
      <w:rPr>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83415">
                          <w:pPr>
                            <w:pStyle w:val="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5D983415">
                    <w:pPr>
                      <w:pStyle w:val="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CE6CC">
    <w:pPr>
      <w:pStyle w:val="3"/>
      <w:spacing w:line="235" w:lineRule="exact"/>
      <w:ind w:left="4436"/>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5A52">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0A5A52">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30EE">
    <w:pPr>
      <w:pStyle w:val="3"/>
      <w:spacing w:line="235" w:lineRule="exact"/>
      <w:ind w:left="5381"/>
      <w:rPr>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5D4BB">
                          <w:pPr>
                            <w:pStyle w:val="5"/>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D45D4BB">
                    <w:pPr>
                      <w:pStyle w:val="5"/>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4E5A8">
    <w:pPr>
      <w:pStyle w:val="3"/>
      <w:spacing w:line="235" w:lineRule="exact"/>
      <w:ind w:left="4075"/>
      <w:rPr>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EAF15">
                          <w:pPr>
                            <w:pStyle w:val="5"/>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8EEAF15">
                    <w:pPr>
                      <w:pStyle w:val="5"/>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1EA51">
    <w:pPr>
      <w:pStyle w:val="3"/>
      <w:spacing w:line="235" w:lineRule="exact"/>
      <w:ind w:left="4812"/>
      <w:rPr>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FB6B8">
                          <w:pPr>
                            <w:pStyle w:val="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0EFB6B8">
                    <w:pPr>
                      <w:pStyle w:val="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BB2A">
    <w:pPr>
      <w:pStyle w:val="3"/>
      <w:spacing w:line="235" w:lineRule="exact"/>
      <w:ind w:left="4410"/>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EFFCA">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0EFFCA">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6FBA6">
    <w:pPr>
      <w:pStyle w:val="3"/>
      <w:spacing w:line="184" w:lineRule="auto"/>
      <w:ind w:left="4422"/>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0780B">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10780B">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2F9FB">
    <w:pPr>
      <w:spacing w:before="61" w:line="222" w:lineRule="auto"/>
      <w:ind w:left="76"/>
      <w:rPr>
        <w:rFonts w:ascii="仿宋" w:hAnsi="仿宋" w:eastAsia="仿宋" w:cs="仿宋"/>
        <w:sz w:val="24"/>
        <w:szCs w:val="24"/>
      </w:rPr>
    </w:pPr>
    <w:r>
      <w:pict>
        <v:shape id="_x0000_s2049" o:spid="_x0000_s2049" style="position:absolute;left:0pt;margin-left:70.9pt;margin-top:96.25pt;height:0.15pt;width:407.9pt;mso-position-horizontal-relative:page;mso-position-vertical-relative:page;z-index:251659264;mso-width-relative:page;mso-height-relative:page;" filled="f" stroked="t" coordsize="8157,3" o:allowincell="f" path="m0,1l8157,1e">
          <v:fill on="f" focussize="0,0"/>
          <v:stroke weight="0.12pt" color="#000000" miterlimit="2" joinstyle="bevel"/>
          <v:imagedata o:title=""/>
          <o:lock v:ext="edit"/>
        </v:shape>
      </w:pict>
    </w:r>
    <w:r>
      <w:rPr>
        <w:rFonts w:ascii="仿宋" w:hAnsi="仿宋" w:eastAsia="仿宋" w:cs="仿宋"/>
        <w:spacing w:val="-5"/>
        <w:sz w:val="24"/>
        <w:szCs w:val="24"/>
      </w:rPr>
      <w:t>1.4.3 发包人对工程的报价标准和功能要求的特殊要求：</w:t>
    </w:r>
  </w:p>
  <w:p w14:paraId="3551CA99">
    <w:pPr>
      <w:spacing w:before="12" w:line="29" w:lineRule="exact"/>
      <w:ind w:left="8202"/>
      <w:rPr>
        <w:rFonts w:ascii="仿宋" w:hAnsi="仿宋" w:eastAsia="仿宋" w:cs="仿宋"/>
        <w:sz w:val="6"/>
        <w:szCs w:val="6"/>
      </w:rPr>
    </w:pPr>
    <w:r>
      <w:rPr>
        <w:rFonts w:ascii="仿宋" w:hAnsi="仿宋" w:eastAsia="仿宋" w:cs="仿宋"/>
        <w:sz w:val="6"/>
        <w:szCs w:val="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A93FA">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3B74">
    <w:pPr>
      <w:spacing w:before="61" w:line="189" w:lineRule="auto"/>
      <w:ind w:left="37"/>
      <w:rPr>
        <w:rFonts w:ascii="仿宋" w:hAnsi="仿宋" w:eastAsia="仿宋" w:cs="仿宋"/>
        <w:sz w:val="24"/>
        <w:szCs w:val="24"/>
      </w:rPr>
    </w:pPr>
    <w:r>
      <w:rPr>
        <w:rFonts w:ascii="仿宋" w:hAnsi="仿宋" w:eastAsia="仿宋" w:cs="仿宋"/>
        <w:spacing w:val="-3"/>
        <w:sz w:val="24"/>
        <w:szCs w:val="24"/>
      </w:rPr>
      <w:t>5.3.2 承包人提前通知监理人隐蔽工程</w:t>
    </w:r>
    <w:r>
      <w:rPr>
        <w:rFonts w:ascii="仿宋" w:hAnsi="仿宋" w:eastAsia="仿宋" w:cs="仿宋"/>
        <w:spacing w:val="-4"/>
        <w:sz w:val="24"/>
        <w:szCs w:val="24"/>
      </w:rPr>
      <w:t>检查的期限的约定：</w:t>
    </w:r>
  </w:p>
  <w:p w14:paraId="175C7C70">
    <w:pPr>
      <w:tabs>
        <w:tab w:val="left" w:pos="6882"/>
      </w:tabs>
      <w:spacing w:before="60" w:line="95" w:lineRule="auto"/>
      <w:rPr>
        <w:rFonts w:ascii="仿宋" w:hAnsi="仿宋" w:eastAsia="仿宋" w:cs="仿宋"/>
        <w:sz w:val="6"/>
        <w:szCs w:val="6"/>
      </w:rPr>
    </w:pPr>
    <w:r>
      <w:rPr>
        <w:rFonts w:ascii="仿宋" w:hAnsi="仿宋" w:eastAsia="仿宋" w:cs="仿宋"/>
        <w:sz w:val="6"/>
        <w:szCs w:val="6"/>
        <w:u w:val="single" w:color="auto"/>
      </w:rPr>
      <w:tab/>
    </w:r>
    <w:r>
      <w:rPr>
        <w:rFonts w:ascii="仿宋" w:hAnsi="仿宋" w:eastAsia="仿宋" w:cs="仿宋"/>
        <w:spacing w:val="-6"/>
        <w:sz w:val="6"/>
        <w:szCs w:val="6"/>
        <w:u w:val="single" w:color="auto"/>
      </w:rPr>
      <w:t>。</w:t>
    </w:r>
    <w:r>
      <w:rPr>
        <w:rFonts w:ascii="仿宋" w:hAnsi="仿宋" w:eastAsia="仿宋" w:cs="仿宋"/>
        <w:sz w:val="6"/>
        <w:szCs w:val="6"/>
        <w:u w:val="single" w:color="auto"/>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9AB57">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88C7">
    <w:pPr>
      <w:spacing w:before="61" w:line="189" w:lineRule="auto"/>
      <w:ind w:left="546"/>
      <w:rPr>
        <w:rFonts w:ascii="仿宋" w:hAnsi="仿宋" w:eastAsia="仿宋" w:cs="仿宋"/>
        <w:sz w:val="24"/>
        <w:szCs w:val="24"/>
      </w:rPr>
    </w:pPr>
    <w:r>
      <w:rPr>
        <w:rFonts w:ascii="仿宋" w:hAnsi="仿宋" w:eastAsia="仿宋" w:cs="仿宋"/>
        <w:spacing w:val="-5"/>
        <w:sz w:val="24"/>
        <w:szCs w:val="24"/>
      </w:rPr>
      <w:t>关于竣工验收程序的约定：</w:t>
    </w:r>
  </w:p>
  <w:p w14:paraId="576F31FD">
    <w:pPr>
      <w:tabs>
        <w:tab w:val="left" w:pos="6882"/>
      </w:tabs>
      <w:spacing w:before="52" w:line="89" w:lineRule="auto"/>
      <w:rPr>
        <w:rFonts w:ascii="仿宋" w:hAnsi="仿宋" w:eastAsia="仿宋" w:cs="仿宋"/>
        <w:sz w:val="6"/>
        <w:szCs w:val="6"/>
      </w:rPr>
    </w:pPr>
    <w:r>
      <w:rPr>
        <w:rFonts w:ascii="仿宋" w:hAnsi="仿宋" w:eastAsia="仿宋" w:cs="仿宋"/>
        <w:sz w:val="6"/>
        <w:szCs w:val="6"/>
        <w:u w:val="double" w:color="auto"/>
      </w:rPr>
      <w:tab/>
    </w:r>
    <w:r>
      <w:rPr>
        <w:rFonts w:ascii="仿宋" w:hAnsi="仿宋" w:eastAsia="仿宋" w:cs="仿宋"/>
        <w:spacing w:val="-9"/>
        <w:sz w:val="6"/>
        <w:szCs w:val="6"/>
        <w:u w:val="single" w:color="auto"/>
      </w:rPr>
      <w:t>。</w:t>
    </w:r>
    <w:r>
      <w:rPr>
        <w:rFonts w:ascii="仿宋" w:hAnsi="仿宋" w:eastAsia="仿宋" w:cs="仿宋"/>
        <w:sz w:val="6"/>
        <w:szCs w:val="6"/>
        <w:u w:val="single" w:color="auto"/>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A265">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2C4E8C"/>
    <w:rsid w:val="03341256"/>
    <w:rsid w:val="0A7E63E0"/>
    <w:rsid w:val="100B7A68"/>
    <w:rsid w:val="11F12DFD"/>
    <w:rsid w:val="14267BEC"/>
    <w:rsid w:val="164E3483"/>
    <w:rsid w:val="19AE61A3"/>
    <w:rsid w:val="1B8E2443"/>
    <w:rsid w:val="1D5E6CF8"/>
    <w:rsid w:val="259C4889"/>
    <w:rsid w:val="2A1D07DB"/>
    <w:rsid w:val="2B9E76FA"/>
    <w:rsid w:val="2D202ABC"/>
    <w:rsid w:val="342A06C4"/>
    <w:rsid w:val="44332F67"/>
    <w:rsid w:val="4760647F"/>
    <w:rsid w:val="4B2F6603"/>
    <w:rsid w:val="4B717302"/>
    <w:rsid w:val="4D6B792C"/>
    <w:rsid w:val="4F583EE0"/>
    <w:rsid w:val="536D782E"/>
    <w:rsid w:val="58D565A1"/>
    <w:rsid w:val="5D72616D"/>
    <w:rsid w:val="5E543AC4"/>
    <w:rsid w:val="6098238E"/>
    <w:rsid w:val="60A76A75"/>
    <w:rsid w:val="63DA4A6C"/>
    <w:rsid w:val="64405216"/>
    <w:rsid w:val="667C1E0A"/>
    <w:rsid w:val="68103152"/>
    <w:rsid w:val="6E3851B0"/>
    <w:rsid w:val="6EDD3662"/>
    <w:rsid w:val="78CB4582"/>
    <w:rsid w:val="793E3D20"/>
    <w:rsid w:val="7D511DEB"/>
    <w:rsid w:val="7D983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spacing w:after="120" w:line="360" w:lineRule="auto"/>
      <w:ind w:firstLine="425"/>
      <w:jc w:val="both"/>
    </w:pPr>
    <w:rPr>
      <w:rFonts w:ascii="Arial" w:hAnsi="Arial" w:eastAsia="宋体" w:cs="Times New Roman"/>
      <w:spacing w:val="8"/>
      <w:kern w:val="2"/>
      <w:sz w:val="24"/>
      <w:szCs w:val="20"/>
      <w:lang w:val="en-US" w:eastAsia="zh-CN" w:bidi="ar-SA"/>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7" Type="http://schemas.openxmlformats.org/officeDocument/2006/relationships/fontTable" Target="fontTable.xml"/><Relationship Id="rId86" Type="http://schemas.openxmlformats.org/officeDocument/2006/relationships/customXml" Target="../customXml/item1.xml"/><Relationship Id="rId85" Type="http://schemas.openxmlformats.org/officeDocument/2006/relationships/image" Target="media/image2.png"/><Relationship Id="rId84" Type="http://schemas.openxmlformats.org/officeDocument/2006/relationships/image" Target="media/image1.png"/><Relationship Id="rId83" Type="http://schemas.openxmlformats.org/officeDocument/2006/relationships/theme" Target="theme/theme1.xml"/><Relationship Id="rId82" Type="http://schemas.openxmlformats.org/officeDocument/2006/relationships/footer" Target="footer72.xml"/><Relationship Id="rId81" Type="http://schemas.openxmlformats.org/officeDocument/2006/relationships/footer" Target="footer71.xml"/><Relationship Id="rId80" Type="http://schemas.openxmlformats.org/officeDocument/2006/relationships/footer" Target="footer70.xml"/><Relationship Id="rId8" Type="http://schemas.openxmlformats.org/officeDocument/2006/relationships/footer" Target="footer4.xml"/><Relationship Id="rId79" Type="http://schemas.openxmlformats.org/officeDocument/2006/relationships/footer" Target="footer69.xml"/><Relationship Id="rId78" Type="http://schemas.openxmlformats.org/officeDocument/2006/relationships/footer" Target="footer68.xml"/><Relationship Id="rId77" Type="http://schemas.openxmlformats.org/officeDocument/2006/relationships/footer" Target="footer67.xml"/><Relationship Id="rId76" Type="http://schemas.openxmlformats.org/officeDocument/2006/relationships/footer" Target="footer66.xml"/><Relationship Id="rId75" Type="http://schemas.openxmlformats.org/officeDocument/2006/relationships/footer" Target="footer65.xml"/><Relationship Id="rId74" Type="http://schemas.openxmlformats.org/officeDocument/2006/relationships/footer" Target="footer64.xml"/><Relationship Id="rId73" Type="http://schemas.openxmlformats.org/officeDocument/2006/relationships/footer" Target="footer63.xml"/><Relationship Id="rId72" Type="http://schemas.openxmlformats.org/officeDocument/2006/relationships/footer" Target="footer62.xml"/><Relationship Id="rId71" Type="http://schemas.openxmlformats.org/officeDocument/2006/relationships/footer" Target="footer61.xml"/><Relationship Id="rId70" Type="http://schemas.openxmlformats.org/officeDocument/2006/relationships/footer" Target="footer60.xml"/><Relationship Id="rId7" Type="http://schemas.openxmlformats.org/officeDocument/2006/relationships/footer" Target="footer3.xml"/><Relationship Id="rId69" Type="http://schemas.openxmlformats.org/officeDocument/2006/relationships/footer" Target="footer59.xml"/><Relationship Id="rId68" Type="http://schemas.openxmlformats.org/officeDocument/2006/relationships/footer" Target="footer58.xml"/><Relationship Id="rId67" Type="http://schemas.openxmlformats.org/officeDocument/2006/relationships/footer" Target="footer57.xml"/><Relationship Id="rId66" Type="http://schemas.openxmlformats.org/officeDocument/2006/relationships/footer" Target="footer56.xml"/><Relationship Id="rId65" Type="http://schemas.openxmlformats.org/officeDocument/2006/relationships/footer" Target="footer55.xml"/><Relationship Id="rId64" Type="http://schemas.openxmlformats.org/officeDocument/2006/relationships/footer" Target="footer54.xml"/><Relationship Id="rId63" Type="http://schemas.openxmlformats.org/officeDocument/2006/relationships/footer" Target="footer53.xml"/><Relationship Id="rId62" Type="http://schemas.openxmlformats.org/officeDocument/2006/relationships/footer" Target="footer52.xml"/><Relationship Id="rId61" Type="http://schemas.openxmlformats.org/officeDocument/2006/relationships/footer" Target="footer51.xml"/><Relationship Id="rId60" Type="http://schemas.openxmlformats.org/officeDocument/2006/relationships/footer" Target="footer50.xml"/><Relationship Id="rId6" Type="http://schemas.openxmlformats.org/officeDocument/2006/relationships/footer" Target="footer2.xml"/><Relationship Id="rId59" Type="http://schemas.openxmlformats.org/officeDocument/2006/relationships/footer" Target="footer49.xml"/><Relationship Id="rId58" Type="http://schemas.openxmlformats.org/officeDocument/2006/relationships/footer" Target="footer48.xml"/><Relationship Id="rId57" Type="http://schemas.openxmlformats.org/officeDocument/2006/relationships/footer" Target="footer47.xml"/><Relationship Id="rId56" Type="http://schemas.openxmlformats.org/officeDocument/2006/relationships/footer" Target="footer46.xml"/><Relationship Id="rId55" Type="http://schemas.openxmlformats.org/officeDocument/2006/relationships/header" Target="header6.xml"/><Relationship Id="rId54" Type="http://schemas.openxmlformats.org/officeDocument/2006/relationships/footer" Target="footer45.xml"/><Relationship Id="rId53" Type="http://schemas.openxmlformats.org/officeDocument/2006/relationships/header" Target="header5.xml"/><Relationship Id="rId52" Type="http://schemas.openxmlformats.org/officeDocument/2006/relationships/footer" Target="footer44.xml"/><Relationship Id="rId51" Type="http://schemas.openxmlformats.org/officeDocument/2006/relationships/footer" Target="footer43.xml"/><Relationship Id="rId50" Type="http://schemas.openxmlformats.org/officeDocument/2006/relationships/footer" Target="footer42.xml"/><Relationship Id="rId5" Type="http://schemas.openxmlformats.org/officeDocument/2006/relationships/footer" Target="footer1.xml"/><Relationship Id="rId49" Type="http://schemas.openxmlformats.org/officeDocument/2006/relationships/footer" Target="footer41.xml"/><Relationship Id="rId48" Type="http://schemas.openxmlformats.org/officeDocument/2006/relationships/footer" Target="footer40.xml"/><Relationship Id="rId47" Type="http://schemas.openxmlformats.org/officeDocument/2006/relationships/header" Target="header4.xml"/><Relationship Id="rId46" Type="http://schemas.openxmlformats.org/officeDocument/2006/relationships/footer" Target="footer39.xml"/><Relationship Id="rId45" Type="http://schemas.openxmlformats.org/officeDocument/2006/relationships/header" Target="header3.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header" Target="header2.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header" Target="header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Words>17656</Words>
  <Characters>19535</Characters>
  <TotalTime>36</TotalTime>
  <ScaleCrop>false</ScaleCrop>
  <LinksUpToDate>false</LinksUpToDate>
  <CharactersWithSpaces>20247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2026-03-27T15:42:00Z</dcterms:created>
  <dc:creator>市政务服务办</dc:creator>
  <cp:lastModifiedBy>y。</cp:lastModifiedBy>
  <dcterms:modified xsi:type="dcterms:W3CDTF">2026-04-27T10:46:07Z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2026-04-24T12:35:22Z</vt:filetime>
  </property>
  <property fmtid="{D5CDD505-2E9C-101B-9397-08002B2CF9AE}" pid="4" name="KSOTemplateDocerSaveRecord">
    <vt:lpwstr>eyJoZGlkIjoiNTBmZjQ5MDY2N2UxMmQxNmU0Y2NmMWYyZjgyODJmOWEiLCJ1c2VySWQiOiI4MzU5Njk1MTgifQ==</vt:lpwstr>
  </property>
  <property fmtid="{D5CDD505-2E9C-101B-9397-08002B2CF9AE}" pid="5" name="KSOProductBuildVer">
    <vt:lpwstr>2052-12.1.0.26375</vt:lpwstr>
  </property>
  <property fmtid="{D5CDD505-2E9C-101B-9397-08002B2CF9AE}" pid="6" name="ICV">
    <vt:lpwstr>65BA3C42675048909692F67EBC80296D_13</vt:lpwstr>
  </property>
</Properties>
</file>