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59B7E">
      <w:pPr>
        <w:rPr>
          <w:rFonts w:hint="eastAsia"/>
        </w:rPr>
      </w:pPr>
    </w:p>
    <w:p w14:paraId="3BFA4C3E">
      <w:pPr>
        <w:jc w:val="center"/>
        <w:rPr>
          <w:rFonts w:hint="eastAsia" w:ascii="宋体" w:hAnsi="宋体"/>
          <w:b/>
        </w:rPr>
      </w:pPr>
      <w:r>
        <w:rPr>
          <w:rFonts w:hint="eastAsia" w:ascii="宋体" w:hAnsi="宋体" w:cs="华文行楷"/>
          <w:b/>
          <w:sz w:val="52"/>
          <w:szCs w:val="52"/>
          <w:lang w:val="zh-CN"/>
        </w:rPr>
        <w:t>青海省政府采购</w:t>
      </w:r>
    </w:p>
    <w:p w14:paraId="445BC07E">
      <w:pPr>
        <w:rPr>
          <w:rFonts w:hint="eastAsia" w:ascii="宋体" w:hAnsi="宋体"/>
          <w:b/>
        </w:rPr>
      </w:pPr>
    </w:p>
    <w:p w14:paraId="69C42F96">
      <w:pPr>
        <w:rPr>
          <w:b/>
        </w:rPr>
      </w:pPr>
    </w:p>
    <w:p w14:paraId="518DC87E">
      <w:pPr>
        <w:rPr>
          <w:b/>
        </w:rPr>
      </w:pPr>
    </w:p>
    <w:p w14:paraId="208812D1">
      <w:pPr>
        <w:rPr>
          <w:b/>
        </w:rPr>
      </w:pPr>
    </w:p>
    <w:p w14:paraId="7B99D57B">
      <w:pPr>
        <w:pStyle w:val="8"/>
        <w:ind w:firstLine="480"/>
      </w:pPr>
    </w:p>
    <w:p w14:paraId="14D02FC3">
      <w:pPr>
        <w:rPr>
          <w:b/>
        </w:rPr>
      </w:pPr>
    </w:p>
    <w:p w14:paraId="1A1D97F1">
      <w:pPr>
        <w:rPr>
          <w:b/>
        </w:rPr>
      </w:pPr>
    </w:p>
    <w:p w14:paraId="4FE9DD9F">
      <w:pPr>
        <w:jc w:val="center"/>
        <w:rPr>
          <w:rFonts w:hint="eastAsia" w:ascii="宋体" w:hAnsi="宋体" w:cs="华文行楷"/>
          <w:b/>
          <w:sz w:val="52"/>
          <w:szCs w:val="52"/>
          <w:lang w:val="zh-CN"/>
        </w:rPr>
      </w:pPr>
      <w:r>
        <w:rPr>
          <w:rFonts w:hint="eastAsia" w:ascii="宋体" w:hAnsi="宋体" w:cs="华文行楷"/>
          <w:b/>
          <w:sz w:val="52"/>
          <w:szCs w:val="52"/>
          <w:lang w:val="zh-CN"/>
        </w:rPr>
        <w:t>电子竞争性磋商文件</w:t>
      </w:r>
    </w:p>
    <w:p w14:paraId="0258EDF9">
      <w:pPr>
        <w:jc w:val="center"/>
        <w:rPr>
          <w:b/>
          <w:sz w:val="52"/>
          <w:szCs w:val="52"/>
        </w:rPr>
      </w:pPr>
    </w:p>
    <w:p w14:paraId="1DCA7E65">
      <w:pPr>
        <w:rPr>
          <w:b/>
          <w:sz w:val="32"/>
          <w:szCs w:val="32"/>
        </w:rPr>
      </w:pPr>
    </w:p>
    <w:p w14:paraId="16EC984C">
      <w:pPr>
        <w:pStyle w:val="14"/>
        <w:ind w:left="0" w:leftChars="0"/>
      </w:pPr>
    </w:p>
    <w:p w14:paraId="03A6EA7F">
      <w:pPr>
        <w:pStyle w:val="14"/>
        <w:ind w:left="0" w:leftChars="0"/>
      </w:pPr>
    </w:p>
    <w:p w14:paraId="703E654B">
      <w:pPr>
        <w:pStyle w:val="14"/>
        <w:ind w:left="0" w:leftChars="0"/>
      </w:pPr>
    </w:p>
    <w:p w14:paraId="73916184">
      <w:pPr>
        <w:jc w:val="center"/>
        <w:rPr>
          <w:b/>
          <w:sz w:val="32"/>
          <w:szCs w:val="32"/>
        </w:rPr>
      </w:pPr>
    </w:p>
    <w:p w14:paraId="3F6D0E6A">
      <w:pPr>
        <w:ind w:firstLine="960" w:firstLineChars="300"/>
        <w:jc w:val="left"/>
        <w:rPr>
          <w:b/>
          <w:sz w:val="32"/>
          <w:szCs w:val="32"/>
          <w:highlight w:val="none"/>
        </w:rPr>
      </w:pPr>
      <w:r>
        <w:rPr>
          <w:rFonts w:hint="eastAsia"/>
          <w:b/>
          <w:sz w:val="32"/>
          <w:szCs w:val="32"/>
          <w:highlight w:val="none"/>
        </w:rPr>
        <w:t>采购项目编号：</w:t>
      </w:r>
      <w:r>
        <w:rPr>
          <w:rFonts w:hint="eastAsia"/>
          <w:b/>
          <w:sz w:val="32"/>
          <w:szCs w:val="32"/>
          <w:highlight w:val="none"/>
          <w:lang w:eastAsia="zh-CN"/>
        </w:rPr>
        <w:t>青海聚帛竞磋（货物）2026-019</w:t>
      </w:r>
      <w:r>
        <w:rPr>
          <w:rFonts w:hint="eastAsia"/>
          <w:b/>
          <w:sz w:val="32"/>
          <w:szCs w:val="32"/>
          <w:highlight w:val="none"/>
        </w:rPr>
        <w:t xml:space="preserve">   </w:t>
      </w:r>
    </w:p>
    <w:p w14:paraId="0588448D">
      <w:pPr>
        <w:widowControl/>
        <w:spacing w:line="576" w:lineRule="exact"/>
        <w:ind w:left="3197" w:leftChars="456" w:hanging="2240" w:hangingChars="700"/>
        <w:rPr>
          <w:rFonts w:hint="eastAsia" w:eastAsia="宋体"/>
          <w:b/>
          <w:sz w:val="32"/>
          <w:szCs w:val="32"/>
          <w:highlight w:val="none"/>
          <w:lang w:eastAsia="zh-CN"/>
        </w:rPr>
      </w:pPr>
      <w:r>
        <w:rPr>
          <w:rFonts w:hint="eastAsia"/>
          <w:b/>
          <w:sz w:val="32"/>
          <w:szCs w:val="32"/>
          <w:highlight w:val="none"/>
        </w:rPr>
        <w:t>采购项目名称：</w:t>
      </w:r>
      <w:bookmarkStart w:id="0" w:name="_Hlk218459966"/>
      <w:r>
        <w:rPr>
          <w:rFonts w:hint="eastAsia"/>
          <w:b/>
          <w:sz w:val="32"/>
          <w:szCs w:val="32"/>
          <w:highlight w:val="none"/>
        </w:rPr>
        <w:t>尖扎县一体化网络应急指挥中心建设项目</w:t>
      </w:r>
      <w:bookmarkEnd w:id="0"/>
    </w:p>
    <w:p w14:paraId="31C8D87D">
      <w:pPr>
        <w:widowControl/>
        <w:spacing w:line="576" w:lineRule="exact"/>
        <w:ind w:left="957" w:leftChars="456"/>
        <w:rPr>
          <w:rFonts w:hint="eastAsia" w:ascii="宋体" w:hAnsi="宋体" w:eastAsia="宋体" w:cs="方正小标宋简体"/>
          <w:b/>
          <w:kern w:val="0"/>
          <w:sz w:val="32"/>
          <w:szCs w:val="32"/>
          <w:highlight w:val="none"/>
          <w:lang w:eastAsia="zh-CN"/>
        </w:rPr>
      </w:pPr>
      <w:r>
        <w:rPr>
          <w:rFonts w:hint="eastAsia"/>
          <w:b/>
          <w:sz w:val="32"/>
          <w:szCs w:val="32"/>
          <w:highlight w:val="none"/>
        </w:rPr>
        <w:t>项目采购单位：</w:t>
      </w:r>
      <w:r>
        <w:rPr>
          <w:rFonts w:hint="eastAsia"/>
          <w:b/>
          <w:sz w:val="32"/>
          <w:szCs w:val="32"/>
          <w:highlight w:val="none"/>
          <w:lang w:eastAsia="zh-CN"/>
        </w:rPr>
        <w:t>中共尖扎县委宣传部（本级）</w:t>
      </w:r>
    </w:p>
    <w:p w14:paraId="3DD188F5">
      <w:pPr>
        <w:ind w:firstLine="960" w:firstLineChars="300"/>
        <w:jc w:val="left"/>
        <w:rPr>
          <w:rFonts w:hint="eastAsia" w:ascii="宋体" w:hAnsi="宋体"/>
          <w:b/>
          <w:sz w:val="32"/>
          <w:szCs w:val="32"/>
        </w:rPr>
      </w:pPr>
      <w:r>
        <w:rPr>
          <w:rFonts w:hint="eastAsia" w:ascii="宋体" w:hAnsi="宋体"/>
          <w:b/>
          <w:sz w:val="32"/>
          <w:szCs w:val="32"/>
        </w:rPr>
        <w:t>委托代理机构：青海聚帛工程项目管理有限公司</w:t>
      </w:r>
    </w:p>
    <w:p w14:paraId="25AA71A9">
      <w:pPr>
        <w:ind w:firstLine="1270" w:firstLineChars="397"/>
        <w:jc w:val="left"/>
        <w:rPr>
          <w:rFonts w:hint="eastAsia"/>
          <w:b/>
          <w:sz w:val="32"/>
          <w:szCs w:val="32"/>
        </w:rPr>
      </w:pPr>
      <w:r>
        <w:rPr>
          <w:rFonts w:hint="eastAsia"/>
          <w:b/>
          <w:sz w:val="32"/>
          <w:szCs w:val="32"/>
        </w:rPr>
        <w:t xml:space="preserve"> </w:t>
      </w:r>
    </w:p>
    <w:p w14:paraId="4CABE1D0">
      <w:pPr>
        <w:pStyle w:val="21"/>
        <w:ind w:left="0" w:leftChars="0" w:firstLine="0" w:firstLineChars="0"/>
        <w:rPr>
          <w:rFonts w:hint="eastAsia"/>
        </w:rPr>
      </w:pPr>
    </w:p>
    <w:p w14:paraId="4A1F6ED8">
      <w:pPr>
        <w:jc w:val="center"/>
        <w:rPr>
          <w:rFonts w:hint="eastAsia" w:ascii="宋体" w:hAnsi="宋体"/>
          <w:b/>
          <w:sz w:val="32"/>
          <w:szCs w:val="32"/>
        </w:rPr>
      </w:pPr>
    </w:p>
    <w:p w14:paraId="5E44D416">
      <w:pPr>
        <w:widowControl/>
        <w:tabs>
          <w:tab w:val="left" w:pos="904"/>
        </w:tabs>
        <w:spacing w:line="576" w:lineRule="exact"/>
        <w:jc w:val="center"/>
        <w:rPr>
          <w:rFonts w:hint="default" w:ascii="Times New Roman" w:hAnsi="Times New Roman" w:cs="Times New Roman"/>
          <w:b/>
          <w:sz w:val="32"/>
          <w:szCs w:val="32"/>
          <w:lang w:val="en-US" w:eastAsia="zh-CN"/>
        </w:rPr>
        <w:sectPr>
          <w:footerReference r:id="rId3" w:type="default"/>
          <w:pgSz w:w="11906" w:h="16838"/>
          <w:pgMar w:top="1021" w:right="1134" w:bottom="1021" w:left="1021" w:header="851" w:footer="851" w:gutter="0"/>
          <w:pgNumType w:fmt="decimal"/>
          <w:cols w:space="720" w:num="1"/>
          <w:docGrid w:type="linesAndChars" w:linePitch="312" w:charSpace="0"/>
        </w:sectPr>
      </w:pPr>
      <w:r>
        <w:rPr>
          <w:rFonts w:hint="eastAsia" w:ascii="Times New Roman" w:hAnsi="Times New Roman" w:cs="Times New Roman"/>
          <w:b/>
          <w:sz w:val="32"/>
          <w:szCs w:val="32"/>
          <w:lang w:val="en-US" w:eastAsia="zh-CN"/>
        </w:rPr>
        <w:t>2026年0</w:t>
      </w:r>
      <w:r>
        <w:rPr>
          <w:rFonts w:hint="eastAsia" w:cs="Times New Roman"/>
          <w:b/>
          <w:sz w:val="32"/>
          <w:szCs w:val="32"/>
          <w:lang w:val="en-US" w:eastAsia="zh-CN"/>
        </w:rPr>
        <w:t>4</w:t>
      </w:r>
      <w:r>
        <w:rPr>
          <w:rFonts w:hint="eastAsia" w:ascii="Times New Roman" w:hAnsi="Times New Roman" w:cs="Times New Roman"/>
          <w:b/>
          <w:sz w:val="32"/>
          <w:szCs w:val="32"/>
          <w:lang w:val="en-US" w:eastAsia="zh-CN"/>
        </w:rPr>
        <w:t>月</w:t>
      </w:r>
    </w:p>
    <w:sdt>
      <w:sdtPr>
        <w:rPr>
          <w:rFonts w:hint="eastAsia" w:ascii="宋体" w:hAnsi="宋体" w:eastAsia="宋体" w:cs="宋体"/>
          <w:kern w:val="2"/>
          <w:sz w:val="24"/>
          <w:szCs w:val="24"/>
          <w:lang w:val="en-US" w:eastAsia="zh-CN" w:bidi="ar-SA"/>
        </w:rPr>
        <w:id w:val="147453878"/>
        <w15:color w:val="DBDBDB"/>
        <w:docPartObj>
          <w:docPartGallery w:val="Table of Contents"/>
          <w:docPartUnique/>
        </w:docPartObj>
      </w:sdtPr>
      <w:sdtEndPr>
        <w:rPr>
          <w:rFonts w:hint="eastAsia" w:ascii="Times New Roman" w:hAnsi="Times New Roman" w:eastAsia="宋体" w:cs="Times New Roman"/>
          <w:kern w:val="2"/>
          <w:sz w:val="21"/>
          <w:szCs w:val="22"/>
          <w:lang w:val="en-US" w:eastAsia="zh-CN" w:bidi="ar-SA"/>
        </w:rPr>
      </w:sdtEndPr>
      <w:sdtContent>
        <w:p w14:paraId="17918C8C">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目录</w:t>
          </w:r>
        </w:p>
        <w:p w14:paraId="5037307E">
          <w:pPr>
            <w:pStyle w:val="30"/>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_Toc21710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第一部分</w:t>
          </w:r>
          <w:r>
            <w:rPr>
              <w:rFonts w:hint="eastAsia" w:ascii="宋体" w:hAnsi="宋体" w:eastAsia="宋体" w:cs="宋体"/>
              <w:sz w:val="24"/>
              <w:szCs w:val="24"/>
            </w:rPr>
            <w:t xml:space="preserve"> 磋商采购公告</w:t>
          </w:r>
          <w:r>
            <w:rPr>
              <w:rFonts w:hint="eastAsia" w:ascii="宋体" w:hAnsi="宋体" w:eastAsia="宋体" w:cs="宋体"/>
              <w:sz w:val="24"/>
              <w:szCs w:val="24"/>
            </w:rPr>
            <w:tab/>
          </w:r>
          <w:r>
            <w:rPr>
              <w:rFonts w:hint="eastAsia" w:ascii="宋体" w:hAnsi="宋体" w:eastAsia="宋体" w:cs="宋体"/>
              <w:sz w:val="24"/>
              <w:szCs w:val="24"/>
              <w:lang w:val="en-US" w:eastAsia="zh-CN"/>
            </w:rPr>
            <w:t>3</w:t>
          </w:r>
          <w:r>
            <w:rPr>
              <w:rFonts w:hint="eastAsia" w:ascii="宋体" w:hAnsi="宋体" w:eastAsia="宋体" w:cs="宋体"/>
              <w:sz w:val="24"/>
              <w:szCs w:val="24"/>
            </w:rPr>
            <w:fldChar w:fldCharType="end"/>
          </w:r>
        </w:p>
        <w:p w14:paraId="3556E17D">
          <w:pPr>
            <w:pStyle w:val="30"/>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_Toc11640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w:t>
          </w:r>
          <w:r>
            <w:rPr>
              <w:rFonts w:hint="eastAsia" w:ascii="宋体" w:hAnsi="宋体" w:eastAsia="宋体" w:cs="宋体"/>
              <w:bCs/>
              <w:sz w:val="24"/>
              <w:szCs w:val="24"/>
              <w:lang w:val="en-US" w:eastAsia="zh-CN"/>
            </w:rPr>
            <w:t>二</w:t>
          </w:r>
          <w:r>
            <w:rPr>
              <w:rFonts w:hint="eastAsia" w:ascii="宋体" w:hAnsi="宋体" w:eastAsia="宋体" w:cs="宋体"/>
              <w:bCs/>
              <w:sz w:val="24"/>
              <w:szCs w:val="24"/>
            </w:rPr>
            <w:t xml:space="preserve">部分  </w:t>
          </w:r>
          <w:r>
            <w:rPr>
              <w:rFonts w:hint="eastAsia" w:ascii="宋体" w:hAnsi="宋体" w:eastAsia="宋体" w:cs="宋体"/>
              <w:bCs/>
              <w:sz w:val="24"/>
              <w:szCs w:val="24"/>
              <w:lang w:val="en-US" w:eastAsia="zh-CN"/>
            </w:rPr>
            <w:t>供应商</w:t>
          </w:r>
          <w:r>
            <w:rPr>
              <w:rFonts w:hint="eastAsia" w:ascii="宋体" w:hAnsi="宋体" w:eastAsia="宋体" w:cs="宋体"/>
              <w:bCs/>
              <w:sz w:val="24"/>
              <w:szCs w:val="24"/>
            </w:rPr>
            <w:t>须知前附表</w:t>
          </w:r>
          <w:r>
            <w:rPr>
              <w:rFonts w:hint="eastAsia" w:ascii="宋体" w:hAnsi="宋体" w:eastAsia="宋体" w:cs="宋体"/>
              <w:sz w:val="24"/>
              <w:szCs w:val="24"/>
            </w:rPr>
            <w:tab/>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p>
        <w:p w14:paraId="11F37F8B">
          <w:pPr>
            <w:pStyle w:val="30"/>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_Toc9241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第</w:t>
          </w:r>
          <w:r>
            <w:rPr>
              <w:rFonts w:hint="eastAsia" w:ascii="宋体" w:hAnsi="宋体" w:eastAsia="宋体" w:cs="宋体"/>
              <w:sz w:val="24"/>
              <w:szCs w:val="24"/>
              <w:lang w:val="en-US" w:eastAsia="zh-CN"/>
            </w:rPr>
            <w:t>三</w:t>
          </w:r>
          <w:r>
            <w:rPr>
              <w:rFonts w:hint="eastAsia" w:ascii="宋体" w:hAnsi="宋体" w:eastAsia="宋体" w:cs="宋体"/>
              <w:sz w:val="24"/>
              <w:szCs w:val="24"/>
              <w:lang w:val="zh-CN"/>
            </w:rPr>
            <w:t>部分</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_Toc9241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02A031">
          <w:pPr>
            <w:pStyle w:val="30"/>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_Toc31145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第</w:t>
          </w:r>
          <w:r>
            <w:rPr>
              <w:rFonts w:hint="eastAsia" w:ascii="宋体" w:hAnsi="宋体" w:eastAsia="宋体" w:cs="宋体"/>
              <w:sz w:val="24"/>
              <w:szCs w:val="24"/>
              <w:lang w:val="en-US" w:eastAsia="zh-CN"/>
            </w:rPr>
            <w:t>四</w:t>
          </w:r>
          <w:r>
            <w:rPr>
              <w:rFonts w:hint="eastAsia" w:ascii="宋体" w:hAnsi="宋体" w:eastAsia="宋体" w:cs="宋体"/>
              <w:sz w:val="24"/>
              <w:szCs w:val="24"/>
              <w:lang w:val="zh-CN"/>
            </w:rPr>
            <w:t>部分 青海省政府采购项目合同书范本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_Toc31145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EAA1DB9">
          <w:pPr>
            <w:pStyle w:val="30"/>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_Toc6539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第</w:t>
          </w:r>
          <w:r>
            <w:rPr>
              <w:rFonts w:hint="eastAsia" w:ascii="宋体" w:hAnsi="宋体" w:eastAsia="宋体" w:cs="宋体"/>
              <w:sz w:val="24"/>
              <w:szCs w:val="24"/>
              <w:lang w:val="en-US" w:eastAsia="zh-CN"/>
            </w:rPr>
            <w:t>五</w:t>
          </w:r>
          <w:r>
            <w:rPr>
              <w:rFonts w:hint="eastAsia" w:ascii="宋体" w:hAnsi="宋体" w:eastAsia="宋体" w:cs="宋体"/>
              <w:sz w:val="24"/>
              <w:szCs w:val="24"/>
              <w:lang w:val="zh-CN"/>
            </w:rPr>
            <w:t>部分  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_Toc6539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B4B028E">
          <w:pPr>
            <w:pStyle w:val="30"/>
            <w:tabs>
              <w:tab w:val="right" w:leader="dot" w:pos="8306"/>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_Toc26595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eastAsia="zh-CN"/>
            </w:rPr>
            <w:t>第</w:t>
          </w:r>
          <w:r>
            <w:rPr>
              <w:rFonts w:hint="eastAsia" w:ascii="宋体" w:hAnsi="宋体" w:eastAsia="宋体" w:cs="宋体"/>
              <w:sz w:val="24"/>
              <w:szCs w:val="24"/>
              <w:lang w:val="en-US" w:eastAsia="zh-CN"/>
            </w:rPr>
            <w:t>六</w:t>
          </w:r>
          <w:r>
            <w:rPr>
              <w:rFonts w:hint="eastAsia" w:ascii="宋体" w:hAnsi="宋体" w:eastAsia="宋体" w:cs="宋体"/>
              <w:sz w:val="24"/>
              <w:szCs w:val="24"/>
              <w:lang w:val="zh-CN" w:eastAsia="zh-CN"/>
            </w:rPr>
            <w:t>部分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采购项目</w:t>
          </w:r>
          <w:r>
            <w:rPr>
              <w:rFonts w:hint="eastAsia" w:ascii="宋体" w:hAnsi="宋体" w:eastAsia="宋体" w:cs="宋体"/>
              <w:sz w:val="24"/>
              <w:szCs w:val="24"/>
              <w:lang w:val="en-US" w:eastAsia="zh-CN"/>
            </w:rPr>
            <w:t>要求及</w:t>
          </w:r>
          <w:r>
            <w:rPr>
              <w:rFonts w:hint="eastAsia" w:ascii="宋体" w:hAnsi="宋体" w:eastAsia="宋体" w:cs="宋体"/>
              <w:sz w:val="24"/>
              <w:szCs w:val="24"/>
              <w:lang w:val="zh-CN" w:eastAsia="zh-CN"/>
            </w:rPr>
            <w:t>服务</w:t>
          </w:r>
          <w:r>
            <w:rPr>
              <w:rFonts w:hint="eastAsia" w:ascii="宋体" w:hAnsi="宋体" w:eastAsia="宋体" w:cs="宋体"/>
              <w:sz w:val="24"/>
              <w:szCs w:val="24"/>
              <w:lang w:val="en-US" w:eastAsia="zh-CN"/>
            </w:rPr>
            <w:t>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_Toc26595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722D58">
          <w:p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rPr>
            <w:fldChar w:fldCharType="end"/>
          </w:r>
        </w:p>
      </w:sdtContent>
    </w:sdt>
    <w:p w14:paraId="2DAFD3B8">
      <w:pPr>
        <w:pStyle w:val="17"/>
        <w:spacing w:before="0" w:after="0" w:line="360" w:lineRule="auto"/>
        <w:outlineLvl w:val="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第一部分</w:t>
      </w:r>
      <w:r>
        <w:rPr>
          <w:rFonts w:hint="eastAsia" w:ascii="宋体" w:hAnsi="宋体" w:eastAsia="宋体" w:cs="宋体"/>
          <w:color w:val="auto"/>
          <w:highlight w:val="none"/>
        </w:rPr>
        <w:t xml:space="preserve"> 磋商采购公告</w:t>
      </w:r>
    </w:p>
    <w:p w14:paraId="0A2CBEAC">
      <w:pPr>
        <w:pStyle w:val="17"/>
        <w:spacing w:before="0" w:after="0" w:line="360" w:lineRule="auto"/>
        <w:ind w:firstLine="643" w:firstLineChars="200"/>
        <w:rPr>
          <w:rFonts w:hint="eastAsia" w:ascii="宋体" w:hAnsi="宋体" w:eastAsia="宋体" w:cs="宋体"/>
          <w:color w:val="auto"/>
          <w:highlight w:val="none"/>
          <w:lang w:eastAsia="zh-CN"/>
        </w:rPr>
      </w:pPr>
      <w:bookmarkStart w:id="1" w:name="_Toc30267"/>
      <w:bookmarkStart w:id="2" w:name="_Toc17221"/>
      <w:bookmarkStart w:id="3" w:name="_Toc1800"/>
      <w:r>
        <w:rPr>
          <w:rFonts w:hint="eastAsia" w:ascii="宋体" w:hAnsi="宋体" w:cs="宋体"/>
          <w:color w:val="auto"/>
          <w:highlight w:val="none"/>
          <w:lang w:eastAsia="zh-CN"/>
        </w:rPr>
        <w:t>尖扎县一体化网络应急指挥中心建设项目</w:t>
      </w:r>
    </w:p>
    <w:p w14:paraId="2EA56E0A">
      <w:pPr>
        <w:pStyle w:val="17"/>
        <w:spacing w:before="0" w:after="0" w:line="360" w:lineRule="auto"/>
        <w:ind w:firstLine="643" w:firstLineChars="200"/>
        <w:rPr>
          <w:rFonts w:hint="eastAsia" w:ascii="宋体" w:hAnsi="宋体" w:eastAsia="宋体" w:cs="宋体"/>
          <w:color w:val="auto"/>
          <w:highlight w:val="none"/>
        </w:rPr>
      </w:pPr>
      <w:r>
        <w:rPr>
          <w:rFonts w:hint="eastAsia" w:ascii="宋体" w:hAnsi="宋体" w:eastAsia="宋体" w:cs="宋体"/>
          <w:color w:val="auto"/>
          <w:highlight w:val="none"/>
        </w:rPr>
        <w:t>竞争性磋商采购公告</w:t>
      </w:r>
      <w:bookmarkEnd w:id="1"/>
      <w:bookmarkEnd w:id="2"/>
      <w:bookmarkEnd w:id="3"/>
    </w:p>
    <w:p w14:paraId="2B74A15E">
      <w:pPr>
        <w:spacing w:after="240" w:line="360" w:lineRule="auto"/>
        <w:ind w:firstLine="2249" w:firstLineChars="700"/>
        <w:rPr>
          <w:rFonts w:hint="eastAsia" w:ascii="宋体" w:hAnsi="宋体" w:eastAsia="宋体" w:cs="宋体"/>
          <w:b/>
          <w:bCs/>
          <w:color w:val="auto"/>
          <w:kern w:val="28"/>
          <w:sz w:val="32"/>
          <w:szCs w:val="32"/>
          <w:highlight w:val="none"/>
          <w:lang w:val="zh-CN" w:eastAsia="zh-CN" w:bidi="ar-SA"/>
        </w:rPr>
      </w:pPr>
      <w:bookmarkStart w:id="4" w:name="_Toc9087"/>
      <w:bookmarkStart w:id="5" w:name="_Toc28133"/>
      <w:r>
        <w:rPr>
          <w:rFonts w:hint="eastAsia" w:ascii="宋体" w:hAnsi="宋体" w:cs="宋体"/>
          <w:b/>
          <w:bCs/>
          <w:color w:val="auto"/>
          <w:kern w:val="28"/>
          <w:sz w:val="32"/>
          <w:szCs w:val="32"/>
          <w:highlight w:val="none"/>
          <w:lang w:val="zh-CN" w:eastAsia="zh-CN" w:bidi="ar-SA"/>
        </w:rPr>
        <w:t>青海聚帛竞磋（货物）2026-019</w:t>
      </w:r>
    </w:p>
    <w:p w14:paraId="0643833F">
      <w:pPr>
        <w:spacing w:after="240" w:line="360" w:lineRule="auto"/>
        <w:ind w:firstLine="482"/>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项目概况</w:t>
      </w:r>
    </w:p>
    <w:tbl>
      <w:tblPr>
        <w:tblStyle w:val="23"/>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0"/>
      </w:tblGrid>
      <w:tr w14:paraId="333C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8960" w:type="dxa"/>
            <w:noWrap w:val="0"/>
            <w:vAlign w:val="center"/>
          </w:tcPr>
          <w:p w14:paraId="4E36BB02">
            <w:pPr>
              <w:spacing w:after="240" w:line="360" w:lineRule="auto"/>
              <w:ind w:firstLine="482"/>
              <w:rPr>
                <w:rFonts w:hint="eastAsia" w:ascii="宋体" w:hAnsi="宋体" w:eastAsia="宋体" w:cs="宋体"/>
                <w:color w:val="auto"/>
                <w:highlight w:val="none"/>
                <w:lang w:val="zh-CN"/>
              </w:rPr>
            </w:pPr>
            <w:r>
              <w:rPr>
                <w:rFonts w:hint="eastAsia" w:ascii="宋体" w:hAnsi="宋体" w:eastAsia="宋体" w:cs="宋体"/>
                <w:color w:val="auto"/>
                <w:sz w:val="24"/>
                <w:szCs w:val="28"/>
                <w:highlight w:val="none"/>
                <w:lang w:val="zh-CN"/>
              </w:rPr>
              <w:t>（</w:t>
            </w:r>
            <w:r>
              <w:rPr>
                <w:rFonts w:hint="eastAsia" w:ascii="宋体" w:hAnsi="宋体" w:cs="宋体"/>
                <w:color w:val="auto"/>
                <w:sz w:val="24"/>
                <w:szCs w:val="28"/>
                <w:highlight w:val="none"/>
                <w:lang w:val="zh-CN"/>
              </w:rPr>
              <w:t>尖扎县一体化网络应急指挥中心建设项目</w:t>
            </w:r>
            <w:r>
              <w:rPr>
                <w:rFonts w:hint="eastAsia" w:ascii="宋体" w:hAnsi="宋体" w:eastAsia="宋体" w:cs="宋体"/>
                <w:color w:val="auto"/>
                <w:sz w:val="24"/>
                <w:szCs w:val="28"/>
                <w:highlight w:val="none"/>
                <w:lang w:val="zh-CN"/>
              </w:rPr>
              <w:t>）采购项目的潜在供应商应在线上获取通过政采云平台（www.zcygov.cn）获取采购文件，并于</w:t>
            </w:r>
            <w:r>
              <w:rPr>
                <w:rFonts w:hint="eastAsia" w:ascii="宋体" w:hAnsi="宋体" w:cs="宋体"/>
                <w:color w:val="auto"/>
                <w:sz w:val="24"/>
                <w:szCs w:val="28"/>
                <w:highlight w:val="none"/>
                <w:u w:val="single"/>
                <w:lang w:val="en-US" w:eastAsia="zh-CN"/>
              </w:rPr>
              <w:t>2026年04月30日下午14时30分</w:t>
            </w:r>
            <w:r>
              <w:rPr>
                <w:rFonts w:hint="eastAsia" w:ascii="宋体" w:hAnsi="宋体" w:eastAsia="宋体" w:cs="宋体"/>
                <w:color w:val="auto"/>
                <w:sz w:val="24"/>
                <w:szCs w:val="28"/>
                <w:highlight w:val="none"/>
                <w:lang w:val="zh-CN"/>
              </w:rPr>
              <w:t>（北京时间）前递交响应文件。</w:t>
            </w:r>
          </w:p>
        </w:tc>
      </w:tr>
    </w:tbl>
    <w:p w14:paraId="16EDC4F2">
      <w:pPr>
        <w:spacing w:line="360" w:lineRule="auto"/>
        <w:ind w:firstLine="482" w:firstLineChars="200"/>
        <w:outlineLvl w:val="1"/>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、项目基本情况</w:t>
      </w:r>
    </w:p>
    <w:p w14:paraId="163E8FCB">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项目编号：</w:t>
      </w:r>
      <w:r>
        <w:rPr>
          <w:rFonts w:hint="eastAsia" w:ascii="宋体" w:hAnsi="宋体" w:cs="宋体"/>
          <w:color w:val="auto"/>
          <w:sz w:val="24"/>
          <w:szCs w:val="24"/>
          <w:highlight w:val="none"/>
          <w:lang w:val="zh-CN"/>
        </w:rPr>
        <w:t>青海聚帛竞磋（货物）2026-</w:t>
      </w:r>
      <w:r>
        <w:rPr>
          <w:rFonts w:hint="eastAsia" w:ascii="宋体" w:hAnsi="宋体" w:cs="宋体"/>
          <w:color w:val="auto"/>
          <w:sz w:val="24"/>
          <w:szCs w:val="24"/>
          <w:highlight w:val="none"/>
          <w:lang w:val="en-US" w:eastAsia="zh-CN"/>
        </w:rPr>
        <w:t>019</w:t>
      </w:r>
    </w:p>
    <w:p w14:paraId="5272A24A">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项目名称：尖扎县一体化网络应急指挥中心建设项目</w:t>
      </w:r>
    </w:p>
    <w:bookmarkEnd w:id="4"/>
    <w:bookmarkEnd w:id="5"/>
    <w:p w14:paraId="199361A8">
      <w:pPr>
        <w:spacing w:line="360" w:lineRule="auto"/>
        <w:ind w:firstLine="482" w:firstLineChars="200"/>
        <w:rPr>
          <w:rFonts w:hint="eastAsia" w:ascii="宋体" w:hAnsi="宋体" w:eastAsia="宋体" w:cs="宋体"/>
          <w:color w:val="auto"/>
          <w:sz w:val="24"/>
          <w:szCs w:val="24"/>
          <w:highlight w:val="none"/>
        </w:rPr>
      </w:pPr>
      <w:bookmarkStart w:id="6" w:name="_Toc18806"/>
      <w:bookmarkStart w:id="7" w:name="_Toc4009"/>
      <w:r>
        <w:rPr>
          <w:rFonts w:hint="eastAsia" w:ascii="宋体" w:hAnsi="宋体" w:eastAsia="宋体" w:cs="宋体"/>
          <w:b/>
          <w:bCs/>
          <w:color w:val="auto"/>
          <w:sz w:val="24"/>
          <w:szCs w:val="24"/>
          <w:highlight w:val="none"/>
        </w:rPr>
        <w:t>2.项目概况和采购范围</w:t>
      </w:r>
      <w:bookmarkEnd w:id="6"/>
      <w:bookmarkEnd w:id="7"/>
    </w:p>
    <w:p w14:paraId="6551B468">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2.1 </w:t>
      </w:r>
      <w:r>
        <w:rPr>
          <w:rFonts w:hint="eastAsia" w:ascii="宋体" w:hAnsi="宋体" w:eastAsia="宋体" w:cs="宋体"/>
          <w:color w:val="auto"/>
          <w:sz w:val="24"/>
          <w:szCs w:val="24"/>
          <w:highlight w:val="none"/>
          <w:lang w:val="zh-CN"/>
        </w:rPr>
        <w:t>采购预</w:t>
      </w:r>
      <w:r>
        <w:rPr>
          <w:rFonts w:hint="eastAsia" w:ascii="宋体" w:hAnsi="宋体" w:eastAsia="宋体" w:cs="宋体"/>
          <w:color w:val="auto"/>
          <w:sz w:val="24"/>
          <w:szCs w:val="24"/>
          <w:highlight w:val="none"/>
        </w:rPr>
        <w:t>算金额</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eastAsia="zh-CN"/>
        </w:rPr>
        <w:t>小写：¥3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000</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 xml:space="preserve"> 大写：</w:t>
      </w:r>
      <w:r>
        <w:rPr>
          <w:rFonts w:hint="eastAsia" w:ascii="宋体" w:hAnsi="宋体" w:cs="宋体"/>
          <w:color w:val="auto"/>
          <w:sz w:val="24"/>
          <w:szCs w:val="24"/>
          <w:highlight w:val="none"/>
          <w:lang w:val="en-US" w:eastAsia="zh-CN"/>
        </w:rPr>
        <w:t>叁拾叁万元整</w:t>
      </w:r>
    </w:p>
    <w:p w14:paraId="431A4FAE">
      <w:pPr>
        <w:spacing w:line="360" w:lineRule="auto"/>
        <w:ind w:firstLine="480" w:firstLineChars="200"/>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rPr>
        <w:t xml:space="preserve">2.2 </w:t>
      </w:r>
      <w:r>
        <w:rPr>
          <w:rFonts w:hint="eastAsia" w:ascii="宋体" w:hAnsi="宋体" w:eastAsia="宋体" w:cs="宋体"/>
          <w:color w:val="auto"/>
          <w:sz w:val="24"/>
          <w:szCs w:val="24"/>
          <w:highlight w:val="none"/>
          <w:lang w:val="zh-CN"/>
        </w:rPr>
        <w:t>最高限价：</w:t>
      </w:r>
      <w:r>
        <w:rPr>
          <w:rFonts w:hint="eastAsia" w:ascii="宋体" w:hAnsi="宋体" w:cs="宋体"/>
          <w:color w:val="auto"/>
          <w:sz w:val="24"/>
          <w:szCs w:val="24"/>
          <w:highlight w:val="none"/>
          <w:lang w:val="zh-CN"/>
        </w:rPr>
        <w:t>小写：</w:t>
      </w: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000</w:t>
      </w:r>
      <w:r>
        <w:rPr>
          <w:rFonts w:hint="eastAsia" w:ascii="宋体" w:hAnsi="宋体" w:cs="宋体"/>
          <w:color w:val="auto"/>
          <w:sz w:val="24"/>
          <w:szCs w:val="24"/>
          <w:highlight w:val="none"/>
          <w:lang w:val="en-US" w:eastAsia="zh-CN"/>
        </w:rPr>
        <w:t>.00</w:t>
      </w:r>
      <w:r>
        <w:rPr>
          <w:rFonts w:hint="eastAsia" w:ascii="宋体" w:hAnsi="宋体" w:cs="宋体"/>
          <w:color w:val="auto"/>
          <w:sz w:val="24"/>
          <w:szCs w:val="24"/>
          <w:highlight w:val="none"/>
          <w:lang w:eastAsia="zh-CN"/>
        </w:rPr>
        <w:t xml:space="preserve"> 大写：</w:t>
      </w:r>
      <w:r>
        <w:rPr>
          <w:rFonts w:hint="eastAsia" w:ascii="宋体" w:hAnsi="宋体" w:cs="宋体"/>
          <w:color w:val="auto"/>
          <w:sz w:val="24"/>
          <w:szCs w:val="24"/>
          <w:highlight w:val="none"/>
          <w:lang w:val="en-US" w:eastAsia="zh-CN"/>
        </w:rPr>
        <w:t>叁拾叁万元整</w:t>
      </w:r>
    </w:p>
    <w:p w14:paraId="451605BD">
      <w:pPr>
        <w:spacing w:line="360" w:lineRule="auto"/>
        <w:ind w:firstLine="480" w:firstLineChars="200"/>
        <w:rPr>
          <w:rFonts w:ascii="仿宋_GB2312" w:eastAsia="仿宋_GB2312"/>
          <w:sz w:val="28"/>
          <w:szCs w:val="28"/>
          <w:highlight w:val="none"/>
        </w:rPr>
      </w:pPr>
      <w:r>
        <w:rPr>
          <w:rFonts w:hint="eastAsia" w:ascii="宋体" w:hAnsi="宋体" w:eastAsia="宋体" w:cs="宋体"/>
          <w:color w:val="auto"/>
          <w:sz w:val="24"/>
          <w:szCs w:val="24"/>
          <w:highlight w:val="none"/>
        </w:rPr>
        <w:t xml:space="preserve">2.3 </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内容：尖扎县一体化网络应急指挥中心建设主要包括显示系统建设、会议系统建设、网络安全系统建设、配套设施建设。</w:t>
      </w:r>
    </w:p>
    <w:p w14:paraId="618A1A72">
      <w:pPr>
        <w:spacing w:line="360" w:lineRule="auto"/>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2.4 </w:t>
      </w:r>
      <w:r>
        <w:rPr>
          <w:rFonts w:hint="eastAsia" w:ascii="宋体" w:hAnsi="宋体" w:cs="宋体"/>
          <w:color w:val="auto"/>
          <w:sz w:val="24"/>
          <w:szCs w:val="24"/>
          <w:highlight w:val="none"/>
          <w:lang w:eastAsia="zh-CN"/>
        </w:rPr>
        <w:t>交货</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highlight w:val="none"/>
          <w:lang w:val="en-US" w:eastAsia="zh-CN"/>
        </w:rPr>
        <w:t>合同签订后30个日历日</w:t>
      </w:r>
    </w:p>
    <w:p w14:paraId="658778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 </w:t>
      </w:r>
      <w:r>
        <w:rPr>
          <w:rFonts w:hint="eastAsia" w:ascii="宋体" w:hAnsi="宋体" w:cs="宋体"/>
          <w:color w:val="auto"/>
          <w:sz w:val="24"/>
          <w:szCs w:val="24"/>
          <w:highlight w:val="none"/>
          <w:lang w:eastAsia="zh-CN"/>
        </w:rPr>
        <w:t>交货地点</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lang w:val="zh-CN"/>
        </w:rPr>
        <w:t>尖扎县</w:t>
      </w:r>
    </w:p>
    <w:p w14:paraId="0DA6279E">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2.6 </w:t>
      </w:r>
      <w:r>
        <w:rPr>
          <w:rFonts w:hint="eastAsia" w:ascii="宋体" w:hAnsi="宋体" w:eastAsia="宋体" w:cs="宋体"/>
          <w:color w:val="auto"/>
          <w:sz w:val="24"/>
          <w:szCs w:val="24"/>
          <w:highlight w:val="none"/>
          <w:lang w:val="zh-CN"/>
        </w:rPr>
        <w:t>采购方式：</w:t>
      </w:r>
      <w:r>
        <w:rPr>
          <w:rFonts w:hint="eastAsia" w:ascii="宋体" w:hAnsi="宋体" w:eastAsia="宋体" w:cs="宋体"/>
          <w:color w:val="auto"/>
          <w:sz w:val="24"/>
          <w:szCs w:val="24"/>
          <w:highlight w:val="none"/>
        </w:rPr>
        <w:t>竞争性磋商</w:t>
      </w:r>
    </w:p>
    <w:p w14:paraId="37588B9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3.供应商资格条件</w:t>
      </w:r>
    </w:p>
    <w:p w14:paraId="2271DD1C">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1、根据《中华人民共和国政府采购法实施条例》第十七条：</w:t>
      </w:r>
    </w:p>
    <w:p w14:paraId="72FFC3D1">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参加政府采购活动的供应商应当具备政府采购法第二十二条第一款规定的条件，提供下列材料：</w:t>
      </w:r>
    </w:p>
    <w:p w14:paraId="7C3BE21D">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（1）法人或者其他组织的营业执照等证明文件，自然人的身份证明；</w:t>
      </w:r>
    </w:p>
    <w:p w14:paraId="012119EA">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（2）财务状况报告，依法缴纳税收和社会保障资金的相关材料；</w:t>
      </w:r>
    </w:p>
    <w:p w14:paraId="23E50AC8">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（3）具备履行合同所必需的设备和专业技术能力的证明材料；</w:t>
      </w:r>
    </w:p>
    <w:p w14:paraId="38AF2168">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（4）参加政府采购活动前3年内在经营活动中没有重大违法记录的书面声明；</w:t>
      </w:r>
    </w:p>
    <w:p w14:paraId="4AB9BA09">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（5）具备法律、行政法规规定的其他条件的证明材料。</w:t>
      </w:r>
    </w:p>
    <w:p w14:paraId="7D81E81C">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2、单位负责人为同一人或者存在直接控股、管理关系的不同供应商，不得参加同一合同项下的政府采购活动。否则，皆取消响应资格；</w:t>
      </w:r>
    </w:p>
    <w:p w14:paraId="6686DD76">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3、为本采购项目提供整体设计、规范编制或者项目管理、监理、检测等服务的供应商，不得再参加该采购项目的其他采购活动。</w:t>
      </w:r>
    </w:p>
    <w:p w14:paraId="58734AC6">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供应商应提供相关信誉情况的证明材料，包括:经信用中国（www.creditchina.gov.cn）、中国政府采购网（www.ccgp.gov.cn）等渠道查询后，列入失信被执行人、重大税收违法失信主体、政府采购严重违法失信行为记录名单的，取消响应资格；（依据《财政部关于在政府采购活动中查询及使用信用记录有关问题的通知》（财库〔2016〕125 号)信用记录查询渠道</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本项目评标现场，采购人、采购代理机构将通过“信用中国”网站（www.creditchina.gov.cn）、中国政府采购网（www.ccgp.gov.cn）等渠道查询供应商主体信用记录，并采取必要方式做好信用信息查询记录和证据留存，信用信息查询记录及相关证据将与其他采购文件一并保存”，供应商主体信用记录以评标现场采购人、采购代理机构查询结果为准。）</w:t>
      </w:r>
    </w:p>
    <w:p w14:paraId="75804A9B">
      <w:pPr>
        <w:spacing w:line="360" w:lineRule="auto"/>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5、财务要求:</w:t>
      </w:r>
      <w:r>
        <w:rPr>
          <w:rFonts w:hint="eastAsia" w:ascii="宋体" w:hAnsi="宋体" w:eastAsia="宋体" w:cs="宋体"/>
          <w:color w:val="auto"/>
          <w:sz w:val="24"/>
          <w:szCs w:val="24"/>
          <w:highlight w:val="none"/>
          <w:lang w:val="zh-CN" w:eastAsia="zh-CN"/>
        </w:rPr>
        <w:t xml:space="preserve">供应商需提供经第三方机构出具的 </w:t>
      </w:r>
      <w:r>
        <w:rPr>
          <w:rFonts w:hint="eastAsia" w:ascii="宋体" w:hAnsi="宋体" w:cs="宋体"/>
          <w:color w:val="auto"/>
          <w:sz w:val="24"/>
          <w:szCs w:val="24"/>
          <w:highlight w:val="none"/>
          <w:lang w:val="zh-CN" w:eastAsia="zh-CN"/>
        </w:rPr>
        <w:t>2024年或2025年</w:t>
      </w:r>
      <w:r>
        <w:rPr>
          <w:rFonts w:hint="eastAsia" w:ascii="宋体" w:hAnsi="宋体" w:eastAsia="宋体" w:cs="宋体"/>
          <w:color w:val="auto"/>
          <w:sz w:val="24"/>
          <w:szCs w:val="24"/>
          <w:highlight w:val="none"/>
          <w:lang w:val="zh-CN" w:eastAsia="zh-CN"/>
        </w:rPr>
        <w:t>财务审计报告包括资产负债表、利润表、现金流量表及其附注包括第三方机构的营业执照、执业证书及审计人员的执业证书复印件，或</w:t>
      </w:r>
      <w:r>
        <w:rPr>
          <w:rFonts w:hint="eastAsia" w:ascii="宋体" w:hAnsi="宋体" w:eastAsia="宋体" w:cs="宋体"/>
          <w:color w:val="auto"/>
          <w:sz w:val="24"/>
          <w:szCs w:val="24"/>
          <w:highlight w:val="none"/>
          <w:lang w:val="zh-CN"/>
        </w:rPr>
        <w:t>提供银行</w:t>
      </w:r>
      <w:r>
        <w:rPr>
          <w:rFonts w:hint="eastAsia" w:ascii="宋体" w:hAnsi="宋体" w:eastAsia="宋体" w:cs="宋体"/>
          <w:color w:val="auto"/>
          <w:sz w:val="24"/>
          <w:szCs w:val="24"/>
          <w:highlight w:val="none"/>
          <w:lang w:val="zh-CN" w:eastAsia="zh-CN"/>
        </w:rPr>
        <w:t>出具</w:t>
      </w:r>
      <w:r>
        <w:rPr>
          <w:rFonts w:hint="eastAsia" w:ascii="宋体" w:hAnsi="宋体" w:eastAsia="宋体" w:cs="宋体"/>
          <w:color w:val="auto"/>
          <w:sz w:val="24"/>
          <w:szCs w:val="24"/>
          <w:highlight w:val="none"/>
          <w:lang w:val="zh-CN"/>
        </w:rPr>
        <w:t>的资信证明</w:t>
      </w:r>
      <w:r>
        <w:rPr>
          <w:rFonts w:hint="eastAsia" w:ascii="宋体" w:hAnsi="宋体" w:eastAsia="宋体" w:cs="宋体"/>
          <w:color w:val="auto"/>
          <w:sz w:val="24"/>
          <w:szCs w:val="24"/>
          <w:highlight w:val="none"/>
          <w:lang w:val="zh-CN" w:eastAsia="zh-CN"/>
        </w:rPr>
        <w:t>。扫描（或复印）件应全面、完整、清晰。</w:t>
      </w:r>
    </w:p>
    <w:p w14:paraId="3696A186">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、本项目不接受供应商以联合体方式进行响应。</w:t>
      </w:r>
    </w:p>
    <w:p w14:paraId="2E3FA03D">
      <w:pPr>
        <w:keepNext w:val="0"/>
        <w:keepLines w:val="0"/>
        <w:pageBreakBefore w:val="0"/>
        <w:widowControl w:val="0"/>
        <w:kinsoku/>
        <w:wordWrap/>
        <w:overflowPunct/>
        <w:topLinePunct w:val="0"/>
        <w:autoSpaceDE/>
        <w:autoSpaceDN/>
        <w:bidi w:val="0"/>
        <w:adjustRightInd/>
        <w:snapToGrid/>
        <w:spacing w:after="240" w:line="24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ascii="宋体" w:hAnsi="宋体" w:cs="宋体"/>
          <w:color w:val="auto"/>
          <w:sz w:val="24"/>
          <w:szCs w:val="24"/>
          <w:highlight w:val="none"/>
          <w:lang w:val="en-US" w:eastAsia="zh-CN"/>
        </w:rPr>
        <w:t>不</w:t>
      </w:r>
      <w:r>
        <w:rPr>
          <w:rFonts w:hint="eastAsia" w:ascii="宋体" w:hAnsi="宋体" w:eastAsia="宋体" w:cs="宋体"/>
          <w:color w:val="auto"/>
          <w:sz w:val="24"/>
          <w:szCs w:val="24"/>
          <w:highlight w:val="none"/>
          <w:lang w:val="en-US" w:eastAsia="zh-CN"/>
        </w:rPr>
        <w:t>专门面向中小企业</w:t>
      </w:r>
      <w:r>
        <w:rPr>
          <w:rFonts w:hint="eastAsia" w:ascii="宋体" w:hAnsi="宋体" w:cs="宋体"/>
          <w:color w:val="auto"/>
          <w:sz w:val="24"/>
          <w:szCs w:val="24"/>
          <w:highlight w:val="none"/>
          <w:lang w:val="en-US" w:eastAsia="zh-CN"/>
        </w:rPr>
        <w:t>。</w:t>
      </w:r>
    </w:p>
    <w:p w14:paraId="0CEB92C1">
      <w:pPr>
        <w:keepNext w:val="0"/>
        <w:keepLines w:val="0"/>
        <w:pageBreakBefore w:val="0"/>
        <w:widowControl w:val="0"/>
        <w:kinsoku/>
        <w:wordWrap/>
        <w:overflowPunct/>
        <w:topLinePunct w:val="0"/>
        <w:autoSpaceDE/>
        <w:autoSpaceDN/>
        <w:bidi w:val="0"/>
        <w:adjustRightInd/>
        <w:snapToGrid/>
        <w:spacing w:after="240" w:line="24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其他资质：</w:t>
      </w:r>
      <w:r>
        <w:rPr>
          <w:rFonts w:hint="eastAsia" w:ascii="宋体" w:hAnsi="宋体" w:cs="宋体"/>
          <w:color w:val="auto"/>
          <w:sz w:val="24"/>
          <w:szCs w:val="24"/>
          <w:highlight w:val="none"/>
          <w:lang w:val="en-US" w:eastAsia="zh-CN"/>
        </w:rPr>
        <w:t>/</w:t>
      </w:r>
    </w:p>
    <w:p w14:paraId="171D211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4.磋商采购文件的获取</w:t>
      </w:r>
    </w:p>
    <w:p w14:paraId="16037C7E">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时间：</w:t>
      </w:r>
      <w:r>
        <w:rPr>
          <w:rFonts w:hint="eastAsia" w:ascii="宋体" w:hAnsi="宋体" w:cs="宋体"/>
          <w:color w:val="auto"/>
          <w:sz w:val="24"/>
          <w:szCs w:val="24"/>
          <w:highlight w:val="none"/>
          <w:lang w:val="zh-CN"/>
        </w:rPr>
        <w:t>2026年04月16日至2026年04月2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CN"/>
        </w:rPr>
        <w:t>日</w:t>
      </w:r>
      <w:r>
        <w:rPr>
          <w:rFonts w:hint="eastAsia" w:ascii="宋体" w:hAnsi="宋体" w:eastAsia="宋体" w:cs="宋体"/>
          <w:color w:val="auto"/>
          <w:sz w:val="24"/>
          <w:szCs w:val="24"/>
          <w:highlight w:val="none"/>
          <w:lang w:val="zh-CN"/>
        </w:rPr>
        <w:t>（北京时间，法定节假日除外）</w:t>
      </w:r>
    </w:p>
    <w:p w14:paraId="55584DEB">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地点：线上获取通过政采云平台（www.zcygov.cn）获取</w:t>
      </w:r>
    </w:p>
    <w:p w14:paraId="63A7D157">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方式：供应商登录政采云平台https://www.zcygov.cn/在线申请获取采购文件（进入“项目采购”应用，在获取采购文件菜单中选择项目，申请获取采购文件）售价：¥</w:t>
      </w:r>
      <w:r>
        <w:rPr>
          <w:rFonts w:hint="eastAsia" w:ascii="宋体" w:hAnsi="宋体" w:eastAsia="宋体" w:cs="宋体"/>
          <w:color w:val="auto"/>
          <w:sz w:val="24"/>
          <w:szCs w:val="24"/>
          <w:highlight w:val="none"/>
        </w:rPr>
        <w:t>0.00</w:t>
      </w:r>
      <w:r>
        <w:rPr>
          <w:rFonts w:hint="eastAsia" w:ascii="宋体" w:hAnsi="宋体" w:eastAsia="宋体" w:cs="宋体"/>
          <w:color w:val="auto"/>
          <w:sz w:val="24"/>
          <w:szCs w:val="24"/>
          <w:highlight w:val="none"/>
          <w:lang w:val="zh-CN"/>
        </w:rPr>
        <w:t>元（竞争性磋商文件售后不退,响应资格不能转让）</w:t>
      </w:r>
    </w:p>
    <w:p w14:paraId="0AD83594">
      <w:pPr>
        <w:pStyle w:val="21"/>
        <w:numPr>
          <w:ilvl w:val="0"/>
          <w:numId w:val="1"/>
        </w:numPr>
        <w:spacing w:after="0"/>
        <w:ind w:firstLine="482" w:firstLineChars="200"/>
        <w:outlineLvl w:val="1"/>
        <w:rPr>
          <w:rFonts w:hint="eastAsia" w:ascii="宋体" w:hAnsi="宋体" w:eastAsia="宋体" w:cs="宋体"/>
          <w:b/>
          <w:bCs/>
          <w:color w:val="auto"/>
          <w:szCs w:val="24"/>
          <w:highlight w:val="none"/>
        </w:rPr>
      </w:pPr>
      <w:bookmarkStart w:id="8" w:name="_Toc21106"/>
      <w:bookmarkStart w:id="9" w:name="_Toc12811"/>
      <w:r>
        <w:rPr>
          <w:rFonts w:hint="eastAsia" w:ascii="宋体" w:hAnsi="宋体" w:eastAsia="宋体" w:cs="宋体"/>
          <w:b/>
          <w:bCs/>
          <w:color w:val="auto"/>
          <w:szCs w:val="24"/>
          <w:highlight w:val="none"/>
        </w:rPr>
        <w:t>响应文件的提交</w:t>
      </w:r>
      <w:bookmarkEnd w:id="8"/>
      <w:bookmarkEnd w:id="9"/>
    </w:p>
    <w:p w14:paraId="3A0E8593">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截止时间：</w:t>
      </w:r>
      <w:r>
        <w:rPr>
          <w:rFonts w:hint="eastAsia" w:ascii="宋体" w:hAnsi="宋体" w:cs="宋体"/>
          <w:color w:val="auto"/>
          <w:sz w:val="24"/>
          <w:szCs w:val="24"/>
          <w:highlight w:val="none"/>
          <w:lang w:val="en-US" w:eastAsia="zh-CN"/>
        </w:rPr>
        <w:t>2026年04月30日下午14时30分</w:t>
      </w:r>
      <w:r>
        <w:rPr>
          <w:rFonts w:hint="eastAsia" w:ascii="宋体" w:hAnsi="宋体" w:eastAsia="宋体" w:cs="宋体"/>
          <w:color w:val="auto"/>
          <w:sz w:val="24"/>
          <w:szCs w:val="24"/>
          <w:highlight w:val="none"/>
          <w:lang w:val="zh-CN"/>
        </w:rPr>
        <w:t>（北京时间）</w:t>
      </w:r>
    </w:p>
    <w:p w14:paraId="293099A9">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地点：政采云平台（https://www.zcygov.cn/）</w:t>
      </w:r>
    </w:p>
    <w:p w14:paraId="2AA814D1">
      <w:pPr>
        <w:spacing w:line="360" w:lineRule="auto"/>
        <w:ind w:firstLine="482" w:firstLineChars="200"/>
        <w:outlineLvl w:val="1"/>
        <w:rPr>
          <w:rFonts w:hint="eastAsia" w:ascii="宋体" w:hAnsi="宋体" w:eastAsia="宋体" w:cs="宋体"/>
          <w:b/>
          <w:bCs/>
          <w:color w:val="auto"/>
          <w:sz w:val="24"/>
          <w:szCs w:val="24"/>
          <w:highlight w:val="none"/>
        </w:rPr>
      </w:pPr>
      <w:bookmarkStart w:id="10" w:name="_Toc10656"/>
      <w:bookmarkStart w:id="11" w:name="_Toc20448"/>
      <w:r>
        <w:rPr>
          <w:rFonts w:hint="eastAsia" w:ascii="宋体" w:hAnsi="宋体" w:eastAsia="宋体" w:cs="宋体"/>
          <w:b/>
          <w:bCs/>
          <w:color w:val="auto"/>
          <w:sz w:val="24"/>
          <w:szCs w:val="24"/>
          <w:highlight w:val="none"/>
        </w:rPr>
        <w:t>6.响应文件的开启</w:t>
      </w:r>
      <w:bookmarkEnd w:id="10"/>
      <w:bookmarkEnd w:id="11"/>
    </w:p>
    <w:p w14:paraId="30BC8502">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开启时间：</w:t>
      </w:r>
      <w:r>
        <w:rPr>
          <w:rFonts w:hint="eastAsia" w:ascii="宋体" w:hAnsi="宋体" w:cs="宋体"/>
          <w:color w:val="auto"/>
          <w:sz w:val="24"/>
          <w:szCs w:val="24"/>
          <w:highlight w:val="none"/>
          <w:lang w:val="zh-CN" w:eastAsia="zh-CN"/>
        </w:rPr>
        <w:t>2026年04月30日下午14时30分</w:t>
      </w:r>
      <w:r>
        <w:rPr>
          <w:rFonts w:hint="eastAsia" w:ascii="宋体" w:hAnsi="宋体" w:eastAsia="宋体" w:cs="宋体"/>
          <w:color w:val="auto"/>
          <w:sz w:val="24"/>
          <w:szCs w:val="24"/>
          <w:highlight w:val="none"/>
          <w:lang w:val="zh-CN"/>
        </w:rPr>
        <w:t>（北京时间）</w:t>
      </w:r>
    </w:p>
    <w:p w14:paraId="6663E5CF">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地点：政采云平台（https://www.zcygov.cn/）</w:t>
      </w:r>
    </w:p>
    <w:p w14:paraId="43AD75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方式：本次采购采用线提交响应文件的方式，线上电子版响应文件必须在响应文件递交截止时间前上传平台，由采购代理机构在青海聚帛工程项目管理有限公司（青海省西宁市城西区文苑路7号庄和财富广场A座9楼109</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室）开启响应文件组织远程解密、远程不见面线上解密;供应商如对项目采购电子交易系统操作有疑问，可登录政采云（https://www.zcygov.cn/），点击右侧咨询小采，获取采小蜜智能服务管家帮助，或拨打政采云服务热线400-881-7190获取热线服务帮助。CA问题联系电话（人工）；天谷CA 400-087-8198。</w:t>
      </w:r>
    </w:p>
    <w:p w14:paraId="32A2B46F">
      <w:pPr>
        <w:spacing w:line="360" w:lineRule="auto"/>
        <w:ind w:firstLine="482" w:firstLineChars="200"/>
        <w:outlineLvl w:val="1"/>
        <w:rPr>
          <w:rFonts w:hint="eastAsia" w:ascii="宋体" w:hAnsi="宋体" w:eastAsia="宋体" w:cs="宋体"/>
          <w:b/>
          <w:bCs/>
          <w:color w:val="auto"/>
          <w:sz w:val="24"/>
          <w:szCs w:val="24"/>
          <w:highlight w:val="none"/>
          <w:lang w:val="zh-CN"/>
        </w:rPr>
      </w:pPr>
      <w:bookmarkStart w:id="12" w:name="_Toc2039"/>
      <w:bookmarkStart w:id="13" w:name="_Toc11071"/>
      <w:bookmarkStart w:id="14" w:name="_Toc113024091"/>
      <w:bookmarkStart w:id="15" w:name="_Toc25347"/>
      <w:bookmarkStart w:id="16" w:name="_Toc15908"/>
      <w:bookmarkStart w:id="17" w:name="_Toc30971"/>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val="zh-CN"/>
        </w:rPr>
        <w:t>公告期限</w:t>
      </w:r>
      <w:bookmarkEnd w:id="12"/>
      <w:bookmarkEnd w:id="13"/>
      <w:bookmarkEnd w:id="14"/>
      <w:bookmarkEnd w:id="15"/>
      <w:bookmarkEnd w:id="16"/>
      <w:bookmarkEnd w:id="17"/>
    </w:p>
    <w:p w14:paraId="4F6D1E26">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自本公告发布之日起</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个工作日。</w:t>
      </w:r>
    </w:p>
    <w:p w14:paraId="2C4C7E39">
      <w:pPr>
        <w:spacing w:line="360" w:lineRule="auto"/>
        <w:ind w:firstLine="482" w:firstLineChars="200"/>
        <w:outlineLvl w:val="1"/>
        <w:rPr>
          <w:rFonts w:hint="eastAsia" w:ascii="宋体" w:hAnsi="宋体" w:eastAsia="宋体" w:cs="宋体"/>
          <w:b/>
          <w:bCs/>
          <w:color w:val="auto"/>
          <w:sz w:val="24"/>
          <w:szCs w:val="24"/>
          <w:highlight w:val="none"/>
          <w:lang w:val="zh-CN"/>
        </w:rPr>
      </w:pPr>
      <w:bookmarkStart w:id="18" w:name="_Toc14181"/>
      <w:bookmarkStart w:id="19" w:name="_Toc11490"/>
      <w:bookmarkStart w:id="20" w:name="_Toc30876"/>
      <w:bookmarkStart w:id="21" w:name="_Toc113024092"/>
      <w:bookmarkStart w:id="22" w:name="_Toc14683"/>
      <w:bookmarkStart w:id="23" w:name="_Toc8484"/>
      <w:bookmarkStart w:id="24" w:name="_Toc2752"/>
      <w:bookmarkStart w:id="25" w:name="_Toc26803"/>
      <w:bookmarkStart w:id="26" w:name="_Toc18126"/>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zh-CN"/>
        </w:rPr>
        <w:t>其他补充事宜</w:t>
      </w:r>
      <w:bookmarkEnd w:id="18"/>
      <w:bookmarkEnd w:id="19"/>
      <w:bookmarkEnd w:id="20"/>
      <w:bookmarkEnd w:id="21"/>
      <w:bookmarkEnd w:id="22"/>
      <w:bookmarkEnd w:id="23"/>
      <w:bookmarkEnd w:id="24"/>
      <w:bookmarkEnd w:id="25"/>
      <w:bookmarkEnd w:id="26"/>
    </w:p>
    <w:p w14:paraId="6C9C60F5">
      <w:pPr>
        <w:spacing w:after="240"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highlight w:val="none"/>
          <w:lang w:val="zh-CN"/>
        </w:rPr>
        <w:t>本公告在</w:t>
      </w:r>
      <w:r>
        <w:rPr>
          <w:rFonts w:hint="eastAsia" w:ascii="宋体" w:hAnsi="宋体" w:cs="宋体"/>
          <w:color w:val="auto"/>
          <w:kern w:val="0"/>
          <w:sz w:val="24"/>
          <w:highlight w:val="none"/>
          <w:lang w:val="zh-CN" w:eastAsia="zh-CN"/>
        </w:rPr>
        <w:t>《青海政府采购网》、《中国招标投标公共服务平台》、《青海省电子招标投标公共服务平台》</w:t>
      </w:r>
      <w:r>
        <w:rPr>
          <w:rFonts w:hint="eastAsia" w:ascii="宋体" w:hAnsi="宋体" w:eastAsia="宋体" w:cs="宋体"/>
          <w:color w:val="auto"/>
          <w:kern w:val="0"/>
          <w:sz w:val="24"/>
          <w:highlight w:val="none"/>
          <w:lang w:val="zh-CN"/>
        </w:rPr>
        <w:t>同时发布，具体以《青海政府采购网》为准。</w:t>
      </w:r>
    </w:p>
    <w:p w14:paraId="1CB7DCE7">
      <w:pPr>
        <w:spacing w:after="240" w:line="360" w:lineRule="auto"/>
        <w:ind w:firstLine="482"/>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2、本次采购采用线上提交响应文件的方式进行采购，线上响应文件在提交响应文件截止时间前上传。</w:t>
      </w:r>
    </w:p>
    <w:p w14:paraId="508D69E0">
      <w:pPr>
        <w:spacing w:after="240"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val="zh-CN"/>
        </w:rPr>
        <w:t>、若对项目采购电子交易系统操作有疑问</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可登录政采云</w:t>
      </w:r>
      <w:r>
        <w:rPr>
          <w:rFonts w:hint="eastAsia" w:ascii="宋体" w:hAnsi="宋体" w:eastAsia="宋体" w:cs="宋体"/>
          <w:color w:val="auto"/>
          <w:kern w:val="0"/>
          <w:sz w:val="24"/>
          <w:highlight w:val="none"/>
        </w:rPr>
        <w:t>（https://www.zcygov.cn/），</w:t>
      </w:r>
      <w:r>
        <w:rPr>
          <w:rFonts w:hint="eastAsia" w:ascii="宋体" w:hAnsi="宋体" w:eastAsia="宋体" w:cs="宋体"/>
          <w:color w:val="auto"/>
          <w:kern w:val="0"/>
          <w:sz w:val="24"/>
          <w:highlight w:val="none"/>
          <w:lang w:val="zh-CN"/>
        </w:rPr>
        <w:t>点击右侧咨询小采</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获取采小蜜智能服务管家帮助</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或拨打政采云服务热线</w:t>
      </w:r>
      <w:r>
        <w:rPr>
          <w:rFonts w:hint="eastAsia" w:ascii="宋体" w:hAnsi="宋体" w:eastAsia="宋体" w:cs="宋体"/>
          <w:color w:val="auto"/>
          <w:kern w:val="0"/>
          <w:sz w:val="24"/>
          <w:highlight w:val="none"/>
        </w:rPr>
        <w:t>400-881-7190</w:t>
      </w:r>
      <w:r>
        <w:rPr>
          <w:rFonts w:hint="eastAsia" w:ascii="宋体" w:hAnsi="宋体" w:eastAsia="宋体" w:cs="宋体"/>
          <w:color w:val="auto"/>
          <w:kern w:val="0"/>
          <w:sz w:val="24"/>
          <w:highlight w:val="none"/>
          <w:lang w:val="zh-CN"/>
        </w:rPr>
        <w:t>获取热线服务帮助。</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CA问题联系电话（人工）；天谷CA 400-087-8198。</w:t>
      </w:r>
    </w:p>
    <w:p w14:paraId="38ECD7FB">
      <w:pPr>
        <w:pStyle w:val="21"/>
        <w:ind w:firstLine="240"/>
        <w:rPr>
          <w:rFonts w:hint="eastAsia" w:ascii="宋体" w:hAnsi="宋体" w:eastAsia="宋体" w:cs="宋体"/>
          <w:b/>
          <w:bCs/>
          <w:color w:val="auto"/>
          <w:kern w:val="0"/>
          <w:highlight w:val="none"/>
          <w:lang w:val="zh-CN"/>
        </w:rPr>
      </w:pPr>
      <w:r>
        <w:rPr>
          <w:rFonts w:hint="eastAsia" w:ascii="宋体" w:hAnsi="宋体" w:eastAsia="宋体" w:cs="宋体"/>
          <w:color w:val="auto"/>
          <w:kern w:val="0"/>
          <w:highlight w:val="none"/>
        </w:rPr>
        <w:t>4、成交供应商在领取成交通知书时应提交纸质响应文件</w:t>
      </w:r>
      <w:r>
        <w:rPr>
          <w:rFonts w:hint="eastAsia" w:ascii="宋体" w:hAnsi="宋体" w:eastAsia="宋体" w:cs="宋体"/>
          <w:b/>
          <w:bCs/>
          <w:color w:val="auto"/>
          <w:kern w:val="0"/>
          <w:highlight w:val="none"/>
        </w:rPr>
        <w:t>（1份正本、2份副本和相应的电子文档（U盘）1份）</w:t>
      </w:r>
      <w:r>
        <w:rPr>
          <w:rFonts w:hint="eastAsia" w:ascii="宋体" w:hAnsi="宋体" w:eastAsia="宋体" w:cs="宋体"/>
          <w:color w:val="auto"/>
          <w:kern w:val="0"/>
          <w:highlight w:val="none"/>
        </w:rPr>
        <w:t>，纸质响应文件应与上传至政府采购云平台加密的电子响应文件一致。成交供应商提供的每份纸质响应文件都必须清楚地标明“正本”或“副本”字样。响应文件统一使用A4幅面的纸张印制，必须胶装成册并编码，以其他方式装订的响应文件一概不予接受。</w:t>
      </w:r>
    </w:p>
    <w:p w14:paraId="7F4E24AE">
      <w:pPr>
        <w:spacing w:line="360" w:lineRule="auto"/>
        <w:ind w:firstLine="482" w:firstLineChars="200"/>
        <w:outlineLvl w:val="1"/>
        <w:rPr>
          <w:rFonts w:hint="eastAsia" w:ascii="宋体" w:hAnsi="宋体" w:eastAsia="宋体" w:cs="宋体"/>
          <w:b/>
          <w:bCs/>
          <w:color w:val="auto"/>
          <w:sz w:val="24"/>
          <w:szCs w:val="24"/>
          <w:highlight w:val="none"/>
        </w:rPr>
      </w:pPr>
      <w:bookmarkStart w:id="27" w:name="_Toc2670"/>
      <w:bookmarkStart w:id="28" w:name="_Toc21963"/>
      <w:r>
        <w:rPr>
          <w:rFonts w:hint="eastAsia" w:ascii="宋体" w:hAnsi="宋体" w:eastAsia="宋体" w:cs="宋体"/>
          <w:b/>
          <w:bCs/>
          <w:color w:val="auto"/>
          <w:sz w:val="24"/>
          <w:szCs w:val="24"/>
          <w:highlight w:val="none"/>
        </w:rPr>
        <w:t>9、联系方式</w:t>
      </w:r>
      <w:bookmarkEnd w:id="27"/>
      <w:bookmarkEnd w:id="28"/>
    </w:p>
    <w:p w14:paraId="6405CCB0">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 购 人：</w:t>
      </w:r>
      <w:r>
        <w:rPr>
          <w:rFonts w:hint="eastAsia" w:ascii="宋体" w:hAnsi="宋体" w:cs="宋体"/>
          <w:color w:val="auto"/>
          <w:sz w:val="24"/>
          <w:szCs w:val="24"/>
          <w:highlight w:val="none"/>
          <w:lang w:val="zh-CN"/>
        </w:rPr>
        <w:t>中共尖扎县委宣传部(本级)</w:t>
      </w:r>
    </w:p>
    <w:p w14:paraId="03DBF919">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    址：</w:t>
      </w:r>
      <w:r>
        <w:rPr>
          <w:rFonts w:hint="eastAsia" w:ascii="宋体" w:hAnsi="宋体" w:cs="宋体"/>
          <w:color w:val="auto"/>
          <w:sz w:val="24"/>
          <w:szCs w:val="24"/>
          <w:highlight w:val="none"/>
          <w:lang w:val="zh-CN"/>
        </w:rPr>
        <w:t>尖扎县马克唐镇铁岭路党政大楼四楼</w:t>
      </w:r>
    </w:p>
    <w:p w14:paraId="576CC32A">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 系 人：</w:t>
      </w:r>
      <w:r>
        <w:rPr>
          <w:rFonts w:hint="eastAsia" w:ascii="宋体" w:hAnsi="宋体" w:cs="宋体"/>
          <w:color w:val="auto"/>
          <w:sz w:val="24"/>
          <w:szCs w:val="24"/>
          <w:highlight w:val="none"/>
          <w:lang w:val="en-US" w:eastAsia="zh-CN"/>
        </w:rPr>
        <w:t>索老师</w:t>
      </w:r>
    </w:p>
    <w:p w14:paraId="6FD11DE0">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 系 电 话：</w:t>
      </w:r>
      <w:r>
        <w:rPr>
          <w:rFonts w:hint="eastAsia" w:ascii="宋体" w:hAnsi="宋体" w:cs="宋体"/>
          <w:color w:val="auto"/>
          <w:sz w:val="24"/>
          <w:szCs w:val="24"/>
          <w:highlight w:val="none"/>
          <w:lang w:val="zh-CN"/>
        </w:rPr>
        <w:t>15909737881</w:t>
      </w:r>
    </w:p>
    <w:p w14:paraId="19881CB8">
      <w:pPr>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zh-CN"/>
        </w:rPr>
        <w:t>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理</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机</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构：青海聚帛工程项目管理有限公司</w:t>
      </w:r>
      <w:r>
        <w:rPr>
          <w:rFonts w:hint="eastAsia" w:ascii="宋体" w:hAnsi="宋体" w:eastAsia="宋体" w:cs="宋体"/>
          <w:color w:val="auto"/>
          <w:kern w:val="0"/>
          <w:sz w:val="24"/>
          <w:szCs w:val="24"/>
          <w:highlight w:val="none"/>
          <w:lang w:val="zh-CN"/>
        </w:rPr>
        <w:t xml:space="preserve"> </w:t>
      </w:r>
    </w:p>
    <w:p w14:paraId="7EDAB96D">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zh-CN"/>
        </w:rPr>
        <w:t>联 系 人：</w:t>
      </w:r>
      <w:r>
        <w:rPr>
          <w:rFonts w:hint="eastAsia" w:ascii="宋体" w:hAnsi="宋体" w:cs="宋体"/>
          <w:color w:val="auto"/>
          <w:kern w:val="0"/>
          <w:sz w:val="24"/>
          <w:szCs w:val="24"/>
          <w:highlight w:val="none"/>
          <w:lang w:val="en-US" w:eastAsia="zh-CN"/>
        </w:rPr>
        <w:t>张女士</w:t>
      </w:r>
    </w:p>
    <w:p w14:paraId="6ED9C5D5">
      <w:pPr>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联</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系</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电</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 xml:space="preserve">话：0971-8800244 </w:t>
      </w:r>
    </w:p>
    <w:p w14:paraId="4E76DB2B">
      <w:pPr>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联</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系</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地</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址：青海省西宁市城西区文苑路7号财富中心A座9楼10</w:t>
      </w:r>
      <w:r>
        <w:rPr>
          <w:rFonts w:hint="eastAsia" w:ascii="宋体" w:hAnsi="宋体" w:cs="宋体"/>
          <w:color w:val="auto"/>
          <w:kern w:val="0"/>
          <w:sz w:val="24"/>
          <w:szCs w:val="24"/>
          <w:highlight w:val="none"/>
          <w:lang w:val="en-US" w:eastAsia="zh-CN"/>
        </w:rPr>
        <w:t>93</w:t>
      </w:r>
      <w:r>
        <w:rPr>
          <w:rFonts w:hint="eastAsia" w:ascii="宋体" w:hAnsi="宋体" w:eastAsia="宋体" w:cs="宋体"/>
          <w:color w:val="auto"/>
          <w:kern w:val="0"/>
          <w:sz w:val="24"/>
          <w:szCs w:val="24"/>
          <w:highlight w:val="none"/>
          <w:lang w:val="zh-CN"/>
        </w:rPr>
        <w:t>室</w:t>
      </w:r>
    </w:p>
    <w:p w14:paraId="33B0A6F5">
      <w:pPr>
        <w:spacing w:line="360" w:lineRule="auto"/>
        <w:ind w:firstLine="480" w:firstLineChars="200"/>
        <w:jc w:val="right"/>
        <w:rPr>
          <w:rFonts w:hint="eastAsia" w:ascii="宋体" w:hAnsi="宋体" w:eastAsia="宋体" w:cs="宋体"/>
          <w:color w:val="auto"/>
          <w:sz w:val="24"/>
          <w:szCs w:val="24"/>
          <w:highlight w:val="none"/>
          <w:lang w:val="zh-CN"/>
        </w:rPr>
      </w:pPr>
    </w:p>
    <w:p w14:paraId="0EC6A1C9">
      <w:pPr>
        <w:spacing w:line="360" w:lineRule="auto"/>
        <w:ind w:firstLine="480" w:firstLineChars="200"/>
        <w:jc w:val="right"/>
        <w:rPr>
          <w:rFonts w:hint="eastAsia" w:ascii="宋体" w:hAnsi="宋体" w:eastAsia="宋体" w:cs="宋体"/>
          <w:color w:val="auto"/>
          <w:sz w:val="24"/>
          <w:szCs w:val="24"/>
          <w:highlight w:val="none"/>
          <w:lang w:val="zh-CN"/>
        </w:rPr>
      </w:pPr>
    </w:p>
    <w:p w14:paraId="6ED07712">
      <w:pPr>
        <w:spacing w:line="360" w:lineRule="auto"/>
        <w:ind w:firstLine="4800" w:firstLineChars="2000"/>
        <w:outlineLvl w:val="0"/>
        <w:rPr>
          <w:rFonts w:hint="eastAsia" w:ascii="宋体" w:hAnsi="宋体" w:eastAsia="宋体" w:cs="宋体"/>
          <w:color w:val="auto"/>
          <w:sz w:val="24"/>
          <w:szCs w:val="24"/>
          <w:highlight w:val="none"/>
        </w:rPr>
      </w:pPr>
      <w:bookmarkStart w:id="29" w:name="_Toc6441"/>
      <w:bookmarkStart w:id="30" w:name="_Toc19197"/>
      <w:bookmarkStart w:id="31" w:name="_Toc31712"/>
      <w:bookmarkStart w:id="32" w:name="_Toc29652"/>
      <w:r>
        <w:rPr>
          <w:rFonts w:hint="eastAsia" w:ascii="宋体" w:hAnsi="宋体" w:eastAsia="宋体" w:cs="宋体"/>
          <w:color w:val="auto"/>
          <w:sz w:val="24"/>
          <w:szCs w:val="24"/>
          <w:highlight w:val="none"/>
          <w:lang w:val="zh-CN"/>
        </w:rPr>
        <w:t>青海聚帛工程项目管理有限公司</w:t>
      </w:r>
      <w:bookmarkEnd w:id="29"/>
      <w:bookmarkEnd w:id="30"/>
      <w:bookmarkEnd w:id="31"/>
      <w:bookmarkEnd w:id="32"/>
    </w:p>
    <w:p w14:paraId="051DBC17">
      <w:pPr>
        <w:spacing w:line="360" w:lineRule="auto"/>
        <w:ind w:firstLine="480" w:firstLineChars="200"/>
        <w:jc w:val="center"/>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2026年04月15日</w:t>
      </w:r>
    </w:p>
    <w:p w14:paraId="528CD023">
      <w:pPr>
        <w:pStyle w:val="18"/>
        <w:rPr>
          <w:rFonts w:hint="eastAsia" w:ascii="宋体" w:hAnsi="宋体" w:eastAsia="宋体" w:cs="宋体"/>
          <w:sz w:val="24"/>
          <w:szCs w:val="24"/>
          <w:highlight w:val="none"/>
        </w:rPr>
        <w:sectPr>
          <w:pgSz w:w="11906" w:h="16838"/>
          <w:pgMar w:top="1440" w:right="1800" w:bottom="1440" w:left="1800" w:header="851" w:footer="992" w:gutter="0"/>
          <w:cols w:space="425" w:num="1"/>
          <w:docGrid w:type="lines" w:linePitch="312" w:charSpace="0"/>
        </w:sectPr>
      </w:pPr>
    </w:p>
    <w:p w14:paraId="08124B56">
      <w:pPr>
        <w:jc w:val="center"/>
        <w:outlineLvl w:val="0"/>
        <w:rPr>
          <w:rFonts w:hint="eastAsia" w:ascii="宋体" w:hAnsi="宋体" w:eastAsia="宋体" w:cs="宋体"/>
          <w:color w:val="auto"/>
          <w:highlight w:val="none"/>
        </w:rPr>
      </w:pPr>
      <w:bookmarkStart w:id="33" w:name="_Toc24527"/>
      <w:bookmarkStart w:id="34" w:name="_Toc13071"/>
      <w:r>
        <w:rPr>
          <w:rFonts w:hint="eastAsia" w:ascii="宋体" w:hAnsi="宋体" w:eastAsia="宋体" w:cs="宋体"/>
          <w:b/>
          <w:color w:val="auto"/>
          <w:sz w:val="32"/>
          <w:szCs w:val="24"/>
          <w:highlight w:val="none"/>
        </w:rPr>
        <w:t>第二部分  供应商须知前附表</w:t>
      </w:r>
      <w:bookmarkEnd w:id="33"/>
      <w:bookmarkEnd w:id="34"/>
    </w:p>
    <w:tbl>
      <w:tblPr>
        <w:tblStyle w:val="22"/>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6008"/>
      </w:tblGrid>
      <w:tr w14:paraId="45FD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431" w:type="dxa"/>
            <w:noWrap w:val="0"/>
            <w:vAlign w:val="center"/>
          </w:tcPr>
          <w:p w14:paraId="4F4A69AA">
            <w:pPr>
              <w:widowControl/>
              <w:spacing w:line="320" w:lineRule="exact"/>
              <w:jc w:val="center"/>
              <w:rPr>
                <w:rFonts w:hint="eastAsia" w:ascii="宋体" w:hAnsi="宋体" w:eastAsia="宋体" w:cs="宋体"/>
                <w:color w:val="auto"/>
                <w:sz w:val="24"/>
                <w:szCs w:val="24"/>
                <w:highlight w:val="yellow"/>
              </w:rPr>
            </w:pPr>
            <w:bookmarkStart w:id="35" w:name="OLE_LINK1"/>
            <w:r>
              <w:rPr>
                <w:rFonts w:hint="eastAsia" w:ascii="宋体" w:hAnsi="宋体" w:eastAsia="宋体" w:cs="宋体"/>
                <w:color w:val="auto"/>
                <w:sz w:val="24"/>
                <w:szCs w:val="24"/>
                <w:highlight w:val="none"/>
              </w:rPr>
              <w:t>采购项目编号</w:t>
            </w:r>
          </w:p>
        </w:tc>
        <w:tc>
          <w:tcPr>
            <w:tcW w:w="6008" w:type="dxa"/>
            <w:noWrap w:val="0"/>
            <w:vAlign w:val="center"/>
          </w:tcPr>
          <w:p w14:paraId="478632F7">
            <w:pPr>
              <w:spacing w:line="360" w:lineRule="auto"/>
              <w:rPr>
                <w:rFonts w:hint="eastAsia" w:ascii="宋体" w:hAnsi="宋体" w:eastAsia="宋体" w:cs="宋体"/>
                <w:color w:val="auto"/>
                <w:sz w:val="24"/>
                <w:szCs w:val="24"/>
                <w:highlight w:val="yellow"/>
                <w:lang w:eastAsia="zh-CN"/>
              </w:rPr>
            </w:pPr>
            <w:r>
              <w:rPr>
                <w:rFonts w:hint="eastAsia" w:ascii="宋体" w:hAnsi="宋体" w:cs="宋体"/>
                <w:color w:val="auto"/>
                <w:sz w:val="24"/>
                <w:szCs w:val="24"/>
                <w:highlight w:val="none"/>
                <w:lang w:eastAsia="zh-CN"/>
              </w:rPr>
              <w:t>青海聚帛竞磋（货物）2026-019</w:t>
            </w:r>
          </w:p>
        </w:tc>
      </w:tr>
      <w:tr w14:paraId="4B31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431" w:type="dxa"/>
            <w:noWrap w:val="0"/>
            <w:vAlign w:val="center"/>
          </w:tcPr>
          <w:p w14:paraId="2BCDAB64">
            <w:pPr>
              <w:widowControl/>
              <w:spacing w:line="320" w:lineRule="exact"/>
              <w:jc w:val="center"/>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采购项目名称</w:t>
            </w:r>
          </w:p>
        </w:tc>
        <w:tc>
          <w:tcPr>
            <w:tcW w:w="6008" w:type="dxa"/>
            <w:noWrap w:val="0"/>
            <w:vAlign w:val="center"/>
          </w:tcPr>
          <w:p w14:paraId="60153E4A">
            <w:pPr>
              <w:spacing w:line="360" w:lineRule="auto"/>
              <w:rPr>
                <w:rFonts w:hint="eastAsia" w:ascii="宋体" w:hAnsi="宋体" w:eastAsia="宋体" w:cs="宋体"/>
                <w:color w:val="auto"/>
                <w:sz w:val="24"/>
                <w:szCs w:val="24"/>
                <w:highlight w:val="yellow"/>
                <w:lang w:eastAsia="zh-CN"/>
              </w:rPr>
            </w:pPr>
            <w:r>
              <w:rPr>
                <w:rFonts w:hint="eastAsia" w:ascii="宋体" w:hAnsi="宋体" w:cs="宋体"/>
                <w:color w:val="auto"/>
                <w:sz w:val="24"/>
                <w:szCs w:val="24"/>
                <w:highlight w:val="none"/>
                <w:lang w:eastAsia="zh-CN"/>
              </w:rPr>
              <w:t>尖扎县一体化网络应急指挥中心建设项目</w:t>
            </w:r>
          </w:p>
        </w:tc>
      </w:tr>
      <w:tr w14:paraId="7484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431" w:type="dxa"/>
            <w:noWrap w:val="0"/>
            <w:vAlign w:val="center"/>
          </w:tcPr>
          <w:p w14:paraId="6228F340">
            <w:pPr>
              <w:widowControl/>
              <w:spacing w:line="320" w:lineRule="exact"/>
              <w:jc w:val="center"/>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采购方式</w:t>
            </w:r>
          </w:p>
        </w:tc>
        <w:tc>
          <w:tcPr>
            <w:tcW w:w="6008" w:type="dxa"/>
            <w:noWrap w:val="0"/>
            <w:vAlign w:val="center"/>
          </w:tcPr>
          <w:p w14:paraId="79C8E75C">
            <w:pPr>
              <w:spacing w:line="360" w:lineRule="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竞争性磋商</w:t>
            </w:r>
          </w:p>
        </w:tc>
      </w:tr>
      <w:tr w14:paraId="3D7A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31" w:type="dxa"/>
            <w:noWrap w:val="0"/>
            <w:vAlign w:val="center"/>
          </w:tcPr>
          <w:p w14:paraId="05EDBD00">
            <w:pPr>
              <w:widowControl/>
              <w:spacing w:line="320" w:lineRule="exact"/>
              <w:jc w:val="center"/>
              <w:rPr>
                <w:rFonts w:hint="eastAsia" w:ascii="宋体" w:hAnsi="宋体" w:eastAsia="宋体" w:cs="宋体"/>
                <w:color w:val="auto"/>
                <w:kern w:val="0"/>
                <w:sz w:val="24"/>
                <w:szCs w:val="24"/>
                <w:highlight w:val="yellow"/>
              </w:rPr>
            </w:pPr>
            <w:r>
              <w:rPr>
                <w:rFonts w:hint="eastAsia" w:ascii="宋体" w:hAnsi="宋体" w:eastAsia="宋体" w:cs="宋体"/>
                <w:color w:val="auto"/>
                <w:sz w:val="24"/>
                <w:szCs w:val="24"/>
                <w:highlight w:val="none"/>
              </w:rPr>
              <w:t>采购预算控制额度</w:t>
            </w:r>
          </w:p>
        </w:tc>
        <w:tc>
          <w:tcPr>
            <w:tcW w:w="6008" w:type="dxa"/>
            <w:noWrap w:val="0"/>
            <w:vAlign w:val="center"/>
          </w:tcPr>
          <w:p w14:paraId="5A0B3125">
            <w:pPr>
              <w:spacing w:line="360" w:lineRule="auto"/>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cs="宋体"/>
                <w:color w:val="auto"/>
                <w:sz w:val="24"/>
                <w:szCs w:val="24"/>
                <w:highlight w:val="none"/>
                <w:lang w:val="en-US" w:eastAsia="zh-CN"/>
              </w:rPr>
              <w:t>33</w:t>
            </w:r>
            <w:r>
              <w:rPr>
                <w:rFonts w:hint="eastAsia" w:ascii="宋体" w:hAnsi="宋体" w:eastAsia="宋体" w:cs="宋体"/>
                <w:color w:val="auto"/>
                <w:sz w:val="24"/>
                <w:szCs w:val="24"/>
                <w:highlight w:val="none"/>
                <w:lang w:val="en-US" w:eastAsia="zh-CN"/>
              </w:rPr>
              <w:t>0，000.00</w:t>
            </w:r>
            <w:r>
              <w:rPr>
                <w:rFonts w:hint="eastAsia" w:ascii="宋体" w:hAnsi="宋体" w:eastAsia="宋体" w:cs="宋体"/>
                <w:color w:val="auto"/>
                <w:sz w:val="24"/>
                <w:szCs w:val="24"/>
                <w:highlight w:val="none"/>
                <w:lang w:val="zh-CN" w:eastAsia="zh-CN"/>
              </w:rPr>
              <w:t xml:space="preserve"> 大写：</w:t>
            </w:r>
            <w:r>
              <w:rPr>
                <w:rFonts w:hint="eastAsia" w:ascii="宋体" w:hAnsi="宋体" w:cs="宋体"/>
                <w:color w:val="auto"/>
                <w:sz w:val="24"/>
                <w:szCs w:val="24"/>
                <w:highlight w:val="none"/>
                <w:lang w:val="en-US" w:eastAsia="zh-CN"/>
              </w:rPr>
              <w:t>叁拾叁万元整</w:t>
            </w:r>
          </w:p>
        </w:tc>
      </w:tr>
      <w:tr w14:paraId="3B8B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431" w:type="dxa"/>
            <w:noWrap w:val="0"/>
            <w:vAlign w:val="center"/>
          </w:tcPr>
          <w:p w14:paraId="6DB2E14B">
            <w:pPr>
              <w:widowControl/>
              <w:spacing w:line="320" w:lineRule="exact"/>
              <w:jc w:val="center"/>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最高磋商限价</w:t>
            </w:r>
          </w:p>
        </w:tc>
        <w:tc>
          <w:tcPr>
            <w:tcW w:w="6008" w:type="dxa"/>
            <w:noWrap w:val="0"/>
            <w:vAlign w:val="center"/>
          </w:tcPr>
          <w:p w14:paraId="2CFF6C8D">
            <w:pPr>
              <w:widowControl/>
              <w:spacing w:line="320" w:lineRule="exact"/>
              <w:jc w:val="both"/>
              <w:rPr>
                <w:rFonts w:hint="eastAsia" w:ascii="宋体" w:hAnsi="宋体" w:eastAsia="宋体" w:cs="宋体"/>
                <w:color w:val="auto"/>
                <w:kern w:val="0"/>
                <w:sz w:val="24"/>
                <w:szCs w:val="24"/>
                <w:highlight w:val="yellow"/>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cs="宋体"/>
                <w:color w:val="auto"/>
                <w:sz w:val="24"/>
                <w:szCs w:val="24"/>
                <w:highlight w:val="none"/>
                <w:lang w:val="en-US" w:eastAsia="zh-CN"/>
              </w:rPr>
              <w:t>33</w:t>
            </w:r>
            <w:r>
              <w:rPr>
                <w:rFonts w:hint="eastAsia" w:ascii="宋体" w:hAnsi="宋体" w:eastAsia="宋体" w:cs="宋体"/>
                <w:color w:val="auto"/>
                <w:sz w:val="24"/>
                <w:szCs w:val="24"/>
                <w:highlight w:val="none"/>
                <w:lang w:val="en-US" w:eastAsia="zh-CN"/>
              </w:rPr>
              <w:t>0，000.00</w:t>
            </w:r>
            <w:r>
              <w:rPr>
                <w:rFonts w:hint="eastAsia" w:ascii="宋体" w:hAnsi="宋体" w:eastAsia="宋体" w:cs="宋体"/>
                <w:color w:val="auto"/>
                <w:sz w:val="24"/>
                <w:szCs w:val="24"/>
                <w:highlight w:val="none"/>
                <w:lang w:val="zh-CN" w:eastAsia="zh-CN"/>
              </w:rPr>
              <w:t xml:space="preserve"> 大写：</w:t>
            </w:r>
            <w:r>
              <w:rPr>
                <w:rFonts w:hint="eastAsia" w:ascii="宋体" w:hAnsi="宋体" w:cs="宋体"/>
                <w:color w:val="auto"/>
                <w:sz w:val="24"/>
                <w:szCs w:val="24"/>
                <w:highlight w:val="none"/>
                <w:lang w:val="en-US" w:eastAsia="zh-CN"/>
              </w:rPr>
              <w:t>叁拾叁万元整</w:t>
            </w:r>
          </w:p>
        </w:tc>
      </w:tr>
      <w:tr w14:paraId="5270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431" w:type="dxa"/>
            <w:noWrap w:val="0"/>
            <w:vAlign w:val="center"/>
          </w:tcPr>
          <w:p w14:paraId="3CFC285B">
            <w:pPr>
              <w:widowControl/>
              <w:spacing w:line="320" w:lineRule="exact"/>
              <w:jc w:val="center"/>
              <w:rPr>
                <w:rFonts w:hint="eastAsia" w:ascii="宋体" w:hAnsi="宋体" w:eastAsia="宋体" w:cs="宋体"/>
                <w:color w:val="auto"/>
                <w:kern w:val="0"/>
                <w:sz w:val="24"/>
                <w:szCs w:val="24"/>
                <w:highlight w:val="yellow"/>
              </w:rPr>
            </w:pPr>
            <w:r>
              <w:rPr>
                <w:rFonts w:hint="eastAsia" w:ascii="宋体" w:hAnsi="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内容</w:t>
            </w:r>
          </w:p>
        </w:tc>
        <w:tc>
          <w:tcPr>
            <w:tcW w:w="6008" w:type="dxa"/>
            <w:noWrap w:val="0"/>
            <w:vAlign w:val="center"/>
          </w:tcPr>
          <w:p w14:paraId="3DE9062E">
            <w:pPr>
              <w:spacing w:line="360" w:lineRule="auto"/>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尖扎县一体化网络应急指挥中心建设主要包括显示系统建设、会议系统建设、网络安全系统建设、配套设施建设。</w:t>
            </w:r>
          </w:p>
        </w:tc>
      </w:tr>
      <w:tr w14:paraId="6FAE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431" w:type="dxa"/>
            <w:noWrap w:val="0"/>
            <w:vAlign w:val="center"/>
          </w:tcPr>
          <w:p w14:paraId="5A156102">
            <w:pPr>
              <w:widowControl/>
              <w:spacing w:line="320" w:lineRule="exact"/>
              <w:jc w:val="center"/>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none"/>
              </w:rPr>
              <w:t>项目分包个数</w:t>
            </w:r>
          </w:p>
        </w:tc>
        <w:tc>
          <w:tcPr>
            <w:tcW w:w="6008" w:type="dxa"/>
            <w:noWrap w:val="0"/>
            <w:vAlign w:val="center"/>
          </w:tcPr>
          <w:p w14:paraId="6AB25078">
            <w:pPr>
              <w:spacing w:line="360" w:lineRule="auto"/>
              <w:rPr>
                <w:rFonts w:hint="eastAsia" w:ascii="宋体" w:hAnsi="宋体" w:eastAsia="宋体" w:cs="宋体"/>
                <w:color w:val="auto"/>
                <w:sz w:val="24"/>
                <w:szCs w:val="24"/>
                <w:highlight w:val="yellow"/>
                <w:lang w:eastAsia="zh-CN"/>
              </w:rPr>
            </w:pPr>
            <w:r>
              <w:rPr>
                <w:rFonts w:hint="eastAsia" w:ascii="宋体" w:hAnsi="宋体" w:cs="宋体"/>
                <w:color w:val="auto"/>
                <w:sz w:val="24"/>
                <w:szCs w:val="24"/>
                <w:highlight w:val="none"/>
                <w:lang w:eastAsia="zh-CN"/>
              </w:rPr>
              <w:t>不分包</w:t>
            </w:r>
          </w:p>
        </w:tc>
      </w:tr>
      <w:tr w14:paraId="0D90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431" w:type="dxa"/>
            <w:noWrap w:val="0"/>
            <w:vAlign w:val="center"/>
          </w:tcPr>
          <w:p w14:paraId="1197BF3F">
            <w:pPr>
              <w:widowControl/>
              <w:spacing w:line="320" w:lineRule="exact"/>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采购要求</w:t>
            </w:r>
          </w:p>
        </w:tc>
        <w:tc>
          <w:tcPr>
            <w:tcW w:w="6008" w:type="dxa"/>
            <w:noWrap w:val="0"/>
            <w:vAlign w:val="top"/>
          </w:tcPr>
          <w:p w14:paraId="0D6A2401">
            <w:pPr>
              <w:spacing w:line="360" w:lineRule="auto"/>
              <w:rPr>
                <w:rFonts w:hint="eastAsia" w:ascii="宋体" w:hAnsi="宋体" w:eastAsia="宋体" w:cs="宋体"/>
                <w:color w:val="auto"/>
                <w:sz w:val="24"/>
                <w:szCs w:val="24"/>
                <w:highlight w:val="yellow"/>
              </w:rPr>
            </w:pPr>
            <w:r>
              <w:rPr>
                <w:rFonts w:hint="eastAsia" w:ascii="宋体" w:hAnsi="宋体" w:cs="宋体"/>
                <w:color w:val="auto"/>
                <w:sz w:val="24"/>
                <w:szCs w:val="24"/>
                <w:highlight w:val="none"/>
                <w:lang w:eastAsia="zh-CN"/>
              </w:rPr>
              <w:t>尖扎县一体化网络应急指挥中心建设项目</w:t>
            </w:r>
            <w:r>
              <w:rPr>
                <w:rFonts w:hint="eastAsia" w:ascii="宋体" w:hAnsi="宋体" w:eastAsia="宋体" w:cs="宋体"/>
                <w:color w:val="auto"/>
                <w:sz w:val="24"/>
                <w:szCs w:val="24"/>
                <w:highlight w:val="none"/>
              </w:rPr>
              <w:t>（具体</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内容详见采购文件第六部分 采购项目要求及</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内容）</w:t>
            </w:r>
          </w:p>
        </w:tc>
      </w:tr>
      <w:tr w14:paraId="5F0C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2431" w:type="dxa"/>
            <w:noWrap w:val="0"/>
            <w:vAlign w:val="center"/>
          </w:tcPr>
          <w:p w14:paraId="210CDFBB">
            <w:pPr>
              <w:widowControl/>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供应商资格条件</w:t>
            </w:r>
          </w:p>
        </w:tc>
        <w:tc>
          <w:tcPr>
            <w:tcW w:w="6008" w:type="dxa"/>
            <w:noWrap w:val="0"/>
            <w:vAlign w:val="top"/>
          </w:tcPr>
          <w:p w14:paraId="70D51625">
            <w:p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1、根据《中华人民共和国政府采购法实施条例》第十七条：</w:t>
            </w:r>
          </w:p>
          <w:p w14:paraId="017AA596">
            <w:p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参加政府采购活动的供应商应当具备政府采购法第二十二条第一款规定的条件，提供下列材料：</w:t>
            </w:r>
          </w:p>
          <w:p w14:paraId="60885E3E">
            <w:p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（1）法人或者其他组织的营业执照等证明文件，自然人的身份证明；</w:t>
            </w:r>
          </w:p>
          <w:p w14:paraId="3B0F6EE1">
            <w:p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（2）财务状况报告，依法缴纳税收和社会保障资金的相关材料；</w:t>
            </w:r>
          </w:p>
          <w:p w14:paraId="147B51E5">
            <w:p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（3）具备履行合同所必需的设备和专业技术能力的证明材料；</w:t>
            </w:r>
          </w:p>
          <w:p w14:paraId="5C1A3DBE">
            <w:p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（4）参加政府采购活动前3年内在经营活动中没有重大违法记录的书面声明；</w:t>
            </w:r>
          </w:p>
          <w:p w14:paraId="04C7EBDB">
            <w:p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（5）具备法律、行政法规规定的其他条件的证明材料。</w:t>
            </w:r>
          </w:p>
          <w:p w14:paraId="31B0C263">
            <w:p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2、单位负责人为同一人或者存在直接控股、管理关系的不同供应商，不得参加同一合同项下的政府采购活动。否则，皆取消响应资格；</w:t>
            </w:r>
          </w:p>
          <w:p w14:paraId="675F08DE">
            <w:p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3、为本采购项目提供整体设计、规范编制或者项目管理、监理、检测等服务的供应商，不得再参加该采购项目的其他采购活动。</w:t>
            </w:r>
          </w:p>
          <w:p w14:paraId="05BAC83B">
            <w:p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4、供应商应提供相关信誉情况的证明材料，包括:经信用中国（www.creditchina.gov.cn）、中国政府采购网（www.ccgp.gov.cn）等渠道查询后，列入失信被执行人、重大税收违法失信主体、政府采购严重违法失信行为记录名单的，取消响应资格；（依据《财政部关于在政府采购活动中查询及使用信用记录有关问题的通知》（财库〔2016〕125 号)“（二）信用记录查询渠道。本项目评标现场，采购人、采购代理机构将通过“信用中国”网站（www.creditchina.gov.cn）、中国政府采购网（www.ccgp.gov.cn）等渠道查询供应商主体信用记录，并采取必要方式做好信用信息查询记录和证据留存，信用信息查询记录及相关证据将与其他采购文件一并保存”，供应商主体信用记录以评标现场采购人、采购代理机构查询结果为准。）</w:t>
            </w:r>
          </w:p>
          <w:p w14:paraId="49759427">
            <w:p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5、财务要求:供应商需提供经第三方机构出具的 2024年或2025年财务审计报告包括资产负债表、利润表、现金流量表及其附注包括第三方机构的营业执照、执业证书及审计人员的执业证书复印件，或提供银行出具的资信证明。扫描（或复印）件应全面、完整、清晰。</w:t>
            </w:r>
          </w:p>
          <w:p w14:paraId="7ACF6E5B">
            <w:p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val="zh-CN" w:eastAsia="zh-CN"/>
              </w:rPr>
              <w:t>、本项目不接受供应商以联合体方式进行响应。</w:t>
            </w:r>
          </w:p>
          <w:p w14:paraId="14FF8806">
            <w:pPr>
              <w:spacing w:line="360" w:lineRule="auto"/>
              <w:ind w:firstLine="480" w:firstLineChars="200"/>
              <w:rPr>
                <w:rFonts w:hint="eastAsia" w:ascii="宋体" w:hAnsi="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ascii="宋体" w:hAnsi="宋体" w:cs="宋体"/>
                <w:color w:val="auto"/>
                <w:sz w:val="24"/>
                <w:szCs w:val="24"/>
                <w:highlight w:val="none"/>
                <w:lang w:val="en-US" w:eastAsia="zh-CN"/>
              </w:rPr>
              <w:t>不</w:t>
            </w:r>
            <w:r>
              <w:rPr>
                <w:rFonts w:hint="eastAsia" w:ascii="宋体" w:hAnsi="宋体" w:eastAsia="宋体" w:cs="宋体"/>
                <w:color w:val="auto"/>
                <w:sz w:val="24"/>
                <w:szCs w:val="24"/>
                <w:highlight w:val="none"/>
                <w:lang w:val="en-US" w:eastAsia="zh-CN"/>
              </w:rPr>
              <w:t>专门面向中小企业</w:t>
            </w:r>
            <w:r>
              <w:rPr>
                <w:rFonts w:hint="eastAsia" w:ascii="宋体" w:hAnsi="宋体" w:cs="宋体"/>
                <w:color w:val="auto"/>
                <w:sz w:val="24"/>
                <w:szCs w:val="24"/>
                <w:highlight w:val="none"/>
                <w:lang w:val="en-US" w:eastAsia="zh-CN"/>
              </w:rPr>
              <w:t>。</w:t>
            </w:r>
          </w:p>
          <w:p w14:paraId="39639884">
            <w:pPr>
              <w:spacing w:line="360" w:lineRule="auto"/>
              <w:ind w:firstLine="480" w:firstLineChars="200"/>
              <w:rPr>
                <w:rFonts w:hint="eastAsia"/>
              </w:rPr>
            </w:pPr>
            <w:r>
              <w:rPr>
                <w:rFonts w:hint="eastAsia" w:ascii="宋体" w:hAnsi="宋体" w:cs="宋体"/>
                <w:color w:val="auto"/>
                <w:sz w:val="24"/>
                <w:szCs w:val="24"/>
                <w:highlight w:val="none"/>
                <w:lang w:val="en-US" w:eastAsia="zh-CN"/>
              </w:rPr>
              <w:t>8、</w:t>
            </w:r>
            <w:r>
              <w:rPr>
                <w:rFonts w:hint="default" w:ascii="宋体" w:hAnsi="宋体" w:eastAsia="宋体" w:cs="宋体"/>
                <w:color w:val="auto"/>
                <w:sz w:val="24"/>
                <w:szCs w:val="24"/>
                <w:highlight w:val="none"/>
                <w:lang w:val="en-US" w:eastAsia="zh-CN"/>
              </w:rPr>
              <w:t>其他资质：</w:t>
            </w:r>
            <w:r>
              <w:rPr>
                <w:rFonts w:hint="eastAsia" w:ascii="宋体" w:hAnsi="宋体" w:cs="宋体"/>
                <w:color w:val="auto"/>
                <w:sz w:val="24"/>
                <w:szCs w:val="24"/>
                <w:highlight w:val="none"/>
                <w:lang w:val="en-US" w:eastAsia="zh-CN"/>
              </w:rPr>
              <w:t>无</w:t>
            </w:r>
          </w:p>
        </w:tc>
      </w:tr>
      <w:tr w14:paraId="1046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431" w:type="dxa"/>
            <w:noWrap w:val="0"/>
            <w:vAlign w:val="center"/>
          </w:tcPr>
          <w:p w14:paraId="11BFCBFF">
            <w:pPr>
              <w:widowControl/>
              <w:spacing w:line="320" w:lineRule="exact"/>
              <w:jc w:val="center"/>
              <w:rPr>
                <w:rFonts w:hint="eastAsia" w:ascii="宋体" w:hAnsi="宋体" w:eastAsia="宋体" w:cs="宋体"/>
                <w:color w:val="auto"/>
                <w:kern w:val="0"/>
                <w:sz w:val="24"/>
                <w:szCs w:val="24"/>
                <w:highlight w:val="yellow"/>
              </w:rPr>
            </w:pPr>
            <w:r>
              <w:rPr>
                <w:rFonts w:hint="eastAsia" w:ascii="宋体" w:hAnsi="宋体" w:eastAsia="宋体" w:cs="宋体"/>
                <w:color w:val="auto"/>
                <w:sz w:val="24"/>
                <w:szCs w:val="24"/>
                <w:highlight w:val="none"/>
                <w:lang w:val="zh-CN"/>
              </w:rPr>
              <w:t>磋商保证金</w:t>
            </w:r>
          </w:p>
        </w:tc>
        <w:tc>
          <w:tcPr>
            <w:tcW w:w="6008" w:type="dxa"/>
            <w:noWrap w:val="0"/>
            <w:vAlign w:val="top"/>
          </w:tcPr>
          <w:p w14:paraId="7720C3BE">
            <w:pPr>
              <w:pStyle w:val="27"/>
              <w:spacing w:line="360" w:lineRule="auto"/>
              <w:ind w:firstLine="0" w:firstLineChars="0"/>
              <w:jc w:val="left"/>
              <w:rPr>
                <w:rFonts w:hint="eastAsia" w:ascii="宋体" w:hAnsi="宋体" w:eastAsia="宋体" w:cs="宋体"/>
                <w:bCs w:val="0"/>
                <w:color w:val="auto"/>
                <w:szCs w:val="24"/>
                <w:highlight w:val="none"/>
                <w:lang w:val="zh-CN"/>
              </w:rPr>
            </w:pPr>
            <w:r>
              <w:rPr>
                <w:rFonts w:hint="eastAsia" w:ascii="宋体" w:hAnsi="宋体" w:eastAsia="宋体" w:cs="宋体"/>
                <w:bCs w:val="0"/>
                <w:color w:val="auto"/>
                <w:szCs w:val="24"/>
                <w:highlight w:val="none"/>
                <w:lang w:val="zh-CN"/>
              </w:rPr>
              <w:t>磋商保证金：</w:t>
            </w:r>
            <w:r>
              <w:rPr>
                <w:rFonts w:hint="eastAsia" w:ascii="宋体" w:hAnsi="宋体" w:eastAsia="宋体" w:cs="宋体"/>
                <w:bCs w:val="0"/>
                <w:color w:val="auto"/>
                <w:szCs w:val="24"/>
                <w:highlight w:val="none"/>
                <w:lang w:val="en-US" w:eastAsia="zh-CN"/>
              </w:rPr>
              <w:t>小写：</w:t>
            </w:r>
            <w:r>
              <w:rPr>
                <w:rFonts w:hint="eastAsia" w:ascii="宋体" w:hAnsi="宋体" w:eastAsia="宋体" w:cs="宋体"/>
                <w:bCs w:val="0"/>
                <w:color w:val="auto"/>
                <w:szCs w:val="24"/>
                <w:highlight w:val="none"/>
                <w:lang w:val="zh-CN"/>
              </w:rPr>
              <w:t>¥</w:t>
            </w:r>
            <w:r>
              <w:rPr>
                <w:rFonts w:hint="eastAsia" w:ascii="宋体" w:hAnsi="宋体" w:eastAsia="宋体" w:cs="宋体"/>
                <w:bCs w:val="0"/>
                <w:color w:val="auto"/>
                <w:szCs w:val="24"/>
                <w:highlight w:val="none"/>
                <w:lang w:val="en-US" w:eastAsia="zh-CN"/>
              </w:rPr>
              <w:t>0.00</w:t>
            </w:r>
            <w:r>
              <w:rPr>
                <w:rFonts w:hint="eastAsia" w:ascii="宋体" w:hAnsi="宋体" w:eastAsia="宋体" w:cs="宋体"/>
                <w:bCs w:val="0"/>
                <w:color w:val="auto"/>
                <w:szCs w:val="24"/>
                <w:highlight w:val="none"/>
                <w:lang w:val="zh-CN"/>
              </w:rPr>
              <w:t>元 大写：</w:t>
            </w:r>
            <w:r>
              <w:rPr>
                <w:rFonts w:hint="eastAsia" w:ascii="宋体" w:hAnsi="宋体" w:eastAsia="宋体" w:cs="宋体"/>
                <w:bCs w:val="0"/>
                <w:color w:val="auto"/>
                <w:szCs w:val="24"/>
                <w:highlight w:val="none"/>
                <w:lang w:val="en-US" w:eastAsia="zh-CN"/>
              </w:rPr>
              <w:t>零</w:t>
            </w:r>
            <w:r>
              <w:rPr>
                <w:rFonts w:hint="eastAsia" w:ascii="宋体" w:hAnsi="宋体" w:eastAsia="宋体" w:cs="宋体"/>
                <w:bCs w:val="0"/>
                <w:color w:val="auto"/>
                <w:szCs w:val="24"/>
                <w:highlight w:val="none"/>
                <w:lang w:val="zh-CN"/>
              </w:rPr>
              <w:t>元整</w:t>
            </w:r>
          </w:p>
          <w:p w14:paraId="3FE4E4DB">
            <w:pPr>
              <w:pStyle w:val="27"/>
              <w:spacing w:line="360" w:lineRule="auto"/>
              <w:ind w:firstLine="0" w:firstLineChars="0"/>
              <w:jc w:val="left"/>
              <w:rPr>
                <w:rFonts w:hint="eastAsia" w:ascii="宋体" w:hAnsi="宋体" w:eastAsia="宋体" w:cs="宋体"/>
                <w:bCs w:val="0"/>
                <w:color w:val="auto"/>
                <w:szCs w:val="24"/>
                <w:highlight w:val="none"/>
                <w:lang w:val="zh-CN"/>
              </w:rPr>
            </w:pPr>
            <w:r>
              <w:rPr>
                <w:rFonts w:hint="eastAsia" w:ascii="宋体" w:hAnsi="宋体" w:eastAsia="宋体" w:cs="宋体"/>
                <w:bCs w:val="0"/>
                <w:color w:val="auto"/>
                <w:szCs w:val="24"/>
                <w:highlight w:val="none"/>
                <w:lang w:val="zh-CN"/>
              </w:rPr>
              <w:t>收款单位：青海聚帛工程项目管理有限公司</w:t>
            </w:r>
          </w:p>
          <w:p w14:paraId="2FDE34A4">
            <w:pPr>
              <w:pStyle w:val="27"/>
              <w:spacing w:line="360" w:lineRule="auto"/>
              <w:ind w:firstLine="0" w:firstLineChars="0"/>
              <w:jc w:val="left"/>
              <w:rPr>
                <w:rFonts w:hint="eastAsia" w:ascii="宋体" w:hAnsi="宋体" w:eastAsia="宋体" w:cs="宋体"/>
                <w:bCs w:val="0"/>
                <w:color w:val="auto"/>
                <w:szCs w:val="24"/>
                <w:highlight w:val="none"/>
                <w:lang w:val="zh-CN"/>
              </w:rPr>
            </w:pPr>
            <w:r>
              <w:rPr>
                <w:rFonts w:hint="eastAsia" w:ascii="宋体" w:hAnsi="宋体" w:eastAsia="宋体" w:cs="宋体"/>
                <w:bCs w:val="0"/>
                <w:color w:val="auto"/>
                <w:szCs w:val="24"/>
                <w:highlight w:val="none"/>
                <w:lang w:val="zh-CN"/>
              </w:rPr>
              <w:t>开 户 行：中国光大银行股份有限公司西宁分行</w:t>
            </w:r>
          </w:p>
          <w:p w14:paraId="28E46DB6">
            <w:pPr>
              <w:pStyle w:val="27"/>
              <w:spacing w:line="360" w:lineRule="auto"/>
              <w:ind w:firstLine="0" w:firstLineChars="0"/>
              <w:jc w:val="left"/>
              <w:rPr>
                <w:rFonts w:hint="eastAsia" w:ascii="宋体" w:hAnsi="宋体" w:eastAsia="宋体" w:cs="宋体"/>
                <w:bCs w:val="0"/>
                <w:color w:val="auto"/>
                <w:szCs w:val="24"/>
                <w:highlight w:val="none"/>
                <w:lang w:val="zh-CN"/>
              </w:rPr>
            </w:pPr>
            <w:r>
              <w:rPr>
                <w:rFonts w:hint="eastAsia" w:ascii="宋体" w:hAnsi="宋体" w:eastAsia="宋体" w:cs="宋体"/>
                <w:bCs w:val="0"/>
                <w:color w:val="auto"/>
                <w:szCs w:val="24"/>
                <w:highlight w:val="none"/>
                <w:lang w:val="zh-CN"/>
              </w:rPr>
              <w:t>银行账号：5582  0188  0000  67752</w:t>
            </w:r>
          </w:p>
          <w:p w14:paraId="2575ECB9">
            <w:pPr>
              <w:widowControl/>
              <w:spacing w:line="320" w:lineRule="exact"/>
              <w:jc w:val="left"/>
              <w:rPr>
                <w:rFonts w:hint="eastAsia" w:ascii="宋体" w:hAnsi="宋体" w:eastAsia="宋体" w:cs="宋体"/>
                <w:color w:val="auto"/>
                <w:kern w:val="0"/>
                <w:highlight w:val="yellow"/>
              </w:rPr>
            </w:pPr>
            <w:r>
              <w:rPr>
                <w:rFonts w:hint="eastAsia" w:ascii="宋体" w:hAnsi="宋体" w:eastAsia="宋体" w:cs="宋体"/>
                <w:color w:val="auto"/>
                <w:sz w:val="24"/>
                <w:szCs w:val="24"/>
                <w:highlight w:val="none"/>
                <w:lang w:val="zh-CN"/>
              </w:rPr>
              <w:t>缴费时间：磋商截止期，以银行到账时间为准。</w:t>
            </w:r>
          </w:p>
        </w:tc>
      </w:tr>
      <w:tr w14:paraId="097D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431" w:type="dxa"/>
            <w:noWrap w:val="0"/>
            <w:vAlign w:val="center"/>
          </w:tcPr>
          <w:p w14:paraId="56219A40">
            <w:pPr>
              <w:widowControl/>
              <w:spacing w:line="320" w:lineRule="exact"/>
              <w:jc w:val="center"/>
              <w:rPr>
                <w:rFonts w:hint="eastAsia" w:ascii="宋体" w:hAnsi="宋体" w:eastAsia="宋体" w:cs="宋体"/>
                <w:color w:val="auto"/>
                <w:sz w:val="24"/>
                <w:szCs w:val="24"/>
                <w:highlight w:val="yellow"/>
                <w:lang w:val="zh-CN"/>
              </w:rPr>
            </w:pPr>
            <w:r>
              <w:rPr>
                <w:rFonts w:hint="eastAsia" w:ascii="宋体" w:hAnsi="宋体" w:eastAsia="宋体" w:cs="宋体"/>
                <w:color w:val="auto"/>
                <w:sz w:val="24"/>
                <w:szCs w:val="24"/>
                <w:highlight w:val="none"/>
                <w:lang w:val="zh-CN"/>
              </w:rPr>
              <w:t>缴费方式</w:t>
            </w:r>
          </w:p>
        </w:tc>
        <w:tc>
          <w:tcPr>
            <w:tcW w:w="6008" w:type="dxa"/>
            <w:noWrap w:val="0"/>
            <w:vAlign w:val="top"/>
          </w:tcPr>
          <w:p w14:paraId="73BC43A3">
            <w:pPr>
              <w:pStyle w:val="27"/>
              <w:adjustRightInd/>
              <w:snapToGrid/>
              <w:spacing w:line="360" w:lineRule="auto"/>
              <w:ind w:firstLine="0" w:firstLineChars="0"/>
              <w:jc w:val="left"/>
              <w:rPr>
                <w:rFonts w:hint="eastAsia" w:ascii="宋体" w:hAnsi="宋体" w:eastAsia="宋体" w:cs="宋体"/>
                <w:bCs w:val="0"/>
                <w:color w:val="auto"/>
                <w:szCs w:val="24"/>
                <w:highlight w:val="none"/>
                <w:lang w:val="zh-CN"/>
              </w:rPr>
            </w:pPr>
            <w:r>
              <w:rPr>
                <w:rFonts w:hint="eastAsia" w:ascii="宋体" w:hAnsi="宋体" w:eastAsia="宋体" w:cs="宋体"/>
                <w:bCs w:val="0"/>
                <w:color w:val="auto"/>
                <w:szCs w:val="24"/>
                <w:highlight w:val="none"/>
                <w:lang w:val="zh-CN"/>
              </w:rPr>
              <w:t>磋商保证金缴纳形式：转账、电汇、</w:t>
            </w:r>
            <w:r>
              <w:rPr>
                <w:rFonts w:hint="eastAsia" w:ascii="宋体" w:hAnsi="宋体" w:eastAsia="宋体" w:cs="宋体"/>
                <w:bCs w:val="0"/>
                <w:color w:val="auto"/>
                <w:szCs w:val="24"/>
                <w:highlight w:val="none"/>
              </w:rPr>
              <w:t>保函</w:t>
            </w:r>
            <w:r>
              <w:rPr>
                <w:rFonts w:hint="eastAsia" w:ascii="宋体" w:hAnsi="宋体" w:eastAsia="宋体" w:cs="宋体"/>
                <w:bCs w:val="0"/>
                <w:color w:val="auto"/>
                <w:szCs w:val="24"/>
                <w:highlight w:val="none"/>
                <w:lang w:val="zh-CN"/>
              </w:rPr>
              <w:t>（不接受现金），须由供应商从其基本账户转入指定专用账户，汇单附言栏内注明项目名称、</w:t>
            </w:r>
            <w:r>
              <w:rPr>
                <w:rFonts w:hint="eastAsia" w:ascii="宋体" w:hAnsi="宋体" w:eastAsia="宋体" w:cs="宋体"/>
                <w:bCs w:val="0"/>
                <w:color w:val="auto"/>
                <w:szCs w:val="24"/>
                <w:highlight w:val="none"/>
              </w:rPr>
              <w:t>包号</w:t>
            </w:r>
            <w:r>
              <w:rPr>
                <w:rFonts w:hint="eastAsia" w:ascii="宋体" w:hAnsi="宋体" w:eastAsia="宋体" w:cs="宋体"/>
                <w:bCs w:val="0"/>
                <w:color w:val="auto"/>
                <w:szCs w:val="24"/>
                <w:highlight w:val="none"/>
                <w:lang w:val="zh-CN"/>
              </w:rPr>
              <w:t>及用途，附基本账户开户许可证复印件；</w:t>
            </w:r>
          </w:p>
          <w:p w14:paraId="1DBE77F0">
            <w:pPr>
              <w:spacing w:line="360" w:lineRule="auto"/>
              <w:rPr>
                <w:rFonts w:hint="eastAsia" w:ascii="宋体" w:hAnsi="宋体" w:eastAsia="宋体" w:cs="宋体"/>
                <w:color w:val="auto"/>
                <w:highlight w:val="yellow"/>
                <w:lang w:val="zh-CN"/>
              </w:rPr>
            </w:pPr>
            <w:r>
              <w:rPr>
                <w:rFonts w:hint="eastAsia" w:ascii="宋体" w:hAnsi="宋体" w:eastAsia="宋体" w:cs="宋体"/>
                <w:color w:val="auto"/>
                <w:sz w:val="24"/>
                <w:szCs w:val="24"/>
                <w:highlight w:val="none"/>
                <w:lang w:val="zh-CN"/>
              </w:rPr>
              <w:t>供应商未按照磋商文件要求提交磋商保证金的，磋商无效。</w:t>
            </w:r>
          </w:p>
        </w:tc>
      </w:tr>
      <w:tr w14:paraId="62A2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431" w:type="dxa"/>
            <w:noWrap w:val="0"/>
            <w:vAlign w:val="center"/>
          </w:tcPr>
          <w:p w14:paraId="0F647465">
            <w:pPr>
              <w:widowControl/>
              <w:spacing w:line="360" w:lineRule="auto"/>
              <w:jc w:val="center"/>
              <w:rPr>
                <w:rFonts w:hint="eastAsia" w:ascii="宋体" w:hAnsi="宋体" w:eastAsia="宋体" w:cs="宋体"/>
                <w:color w:val="auto"/>
                <w:sz w:val="24"/>
                <w:szCs w:val="24"/>
                <w:highlight w:val="yellow"/>
                <w:lang w:val="zh-CN"/>
              </w:rPr>
            </w:pPr>
            <w:r>
              <w:rPr>
                <w:rFonts w:hint="eastAsia" w:ascii="宋体" w:hAnsi="宋体" w:eastAsia="宋体" w:cs="宋体"/>
                <w:color w:val="auto"/>
                <w:sz w:val="24"/>
                <w:szCs w:val="24"/>
                <w:highlight w:val="none"/>
                <w:lang w:val="zh-CN"/>
              </w:rPr>
              <w:t>磋商保证金退还</w:t>
            </w:r>
          </w:p>
        </w:tc>
        <w:tc>
          <w:tcPr>
            <w:tcW w:w="6008" w:type="dxa"/>
            <w:noWrap w:val="0"/>
            <w:vAlign w:val="top"/>
          </w:tcPr>
          <w:p w14:paraId="79230FB8">
            <w:pPr>
              <w:widowControl/>
              <w:spacing w:line="360" w:lineRule="auto"/>
              <w:jc w:val="left"/>
              <w:rPr>
                <w:rFonts w:hint="eastAsia" w:ascii="宋体" w:hAnsi="宋体" w:eastAsia="宋体" w:cs="宋体"/>
                <w:color w:val="auto"/>
                <w:sz w:val="24"/>
                <w:szCs w:val="24"/>
                <w:highlight w:val="yellow"/>
                <w:lang w:val="zh-CN"/>
              </w:rPr>
            </w:pPr>
            <w:r>
              <w:rPr>
                <w:rFonts w:hint="eastAsia" w:ascii="宋体" w:hAnsi="宋体" w:eastAsia="宋体" w:cs="宋体"/>
                <w:color w:val="auto"/>
                <w:sz w:val="24"/>
                <w:szCs w:val="24"/>
                <w:highlight w:val="none"/>
                <w:lang w:val="zh-CN"/>
              </w:rPr>
              <w:t>未成交供应商的磋商保证金在成交通知书发出后5个工作日内退还，成交供应商的磋商保证金在采购合同签订后5个工作日内退还。</w:t>
            </w:r>
          </w:p>
        </w:tc>
      </w:tr>
      <w:tr w14:paraId="21B3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431" w:type="dxa"/>
            <w:noWrap w:val="0"/>
            <w:vAlign w:val="center"/>
          </w:tcPr>
          <w:p w14:paraId="78F3FA1C">
            <w:pPr>
              <w:widowControl/>
              <w:spacing w:line="360" w:lineRule="auto"/>
              <w:jc w:val="center"/>
              <w:rPr>
                <w:rFonts w:hint="eastAsia" w:ascii="宋体" w:hAnsi="宋体" w:eastAsia="宋体" w:cs="宋体"/>
                <w:color w:val="auto"/>
                <w:sz w:val="24"/>
                <w:szCs w:val="24"/>
                <w:highlight w:val="yellow"/>
                <w:lang w:val="zh-CN"/>
              </w:rPr>
            </w:pPr>
            <w:r>
              <w:rPr>
                <w:rFonts w:hint="eastAsia" w:ascii="宋体" w:hAnsi="宋体" w:eastAsia="宋体" w:cs="宋体"/>
                <w:color w:val="auto"/>
                <w:sz w:val="24"/>
                <w:szCs w:val="24"/>
                <w:highlight w:val="none"/>
                <w:lang w:val="zh-CN"/>
              </w:rPr>
              <w:t>公告发布时间</w:t>
            </w:r>
          </w:p>
        </w:tc>
        <w:tc>
          <w:tcPr>
            <w:tcW w:w="6008" w:type="dxa"/>
            <w:noWrap w:val="0"/>
            <w:vAlign w:val="center"/>
          </w:tcPr>
          <w:p w14:paraId="73FB2505">
            <w:pPr>
              <w:widowControl/>
              <w:spacing w:line="360" w:lineRule="auto"/>
              <w:jc w:val="left"/>
              <w:rPr>
                <w:rFonts w:hint="eastAsia" w:ascii="宋体" w:hAnsi="宋体" w:eastAsia="宋体" w:cs="宋体"/>
                <w:color w:val="auto"/>
                <w:sz w:val="24"/>
                <w:szCs w:val="24"/>
                <w:highlight w:val="yellow"/>
                <w:lang w:val="zh-CN"/>
              </w:rPr>
            </w:pPr>
            <w:r>
              <w:rPr>
                <w:rFonts w:hint="eastAsia" w:ascii="宋体" w:hAnsi="宋体" w:eastAsia="宋体" w:cs="宋体"/>
                <w:color w:val="auto"/>
                <w:sz w:val="24"/>
                <w:szCs w:val="24"/>
                <w:highlight w:val="none"/>
                <w:lang w:val="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zh-CN"/>
              </w:rPr>
              <w:t>日</w:t>
            </w:r>
          </w:p>
        </w:tc>
      </w:tr>
      <w:tr w14:paraId="1E4B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31" w:type="dxa"/>
            <w:noWrap w:val="0"/>
            <w:vAlign w:val="center"/>
          </w:tcPr>
          <w:p w14:paraId="7CC81E4A">
            <w:pPr>
              <w:widowControl/>
              <w:spacing w:line="360" w:lineRule="auto"/>
              <w:jc w:val="center"/>
              <w:rPr>
                <w:rFonts w:hint="eastAsia" w:ascii="宋体" w:hAnsi="宋体" w:eastAsia="宋体" w:cs="宋体"/>
                <w:color w:val="auto"/>
                <w:sz w:val="24"/>
                <w:szCs w:val="24"/>
                <w:highlight w:val="yellow"/>
                <w:lang w:val="zh-CN"/>
              </w:rPr>
            </w:pPr>
            <w:r>
              <w:rPr>
                <w:rFonts w:hint="eastAsia" w:ascii="宋体" w:hAnsi="宋体" w:eastAsia="宋体" w:cs="宋体"/>
                <w:color w:val="auto"/>
                <w:sz w:val="24"/>
                <w:szCs w:val="24"/>
                <w:highlight w:val="none"/>
                <w:lang w:val="zh-CN"/>
              </w:rPr>
              <w:t>竞争性磋商文件网上报名时间</w:t>
            </w:r>
          </w:p>
        </w:tc>
        <w:tc>
          <w:tcPr>
            <w:tcW w:w="6008" w:type="dxa"/>
            <w:noWrap w:val="0"/>
            <w:vAlign w:val="center"/>
          </w:tcPr>
          <w:p w14:paraId="2A05C5D5">
            <w:pPr>
              <w:widowControl/>
              <w:spacing w:line="360" w:lineRule="auto"/>
              <w:jc w:val="left"/>
              <w:rPr>
                <w:rFonts w:hint="eastAsia" w:ascii="宋体" w:hAnsi="宋体" w:eastAsia="宋体" w:cs="宋体"/>
                <w:color w:val="auto"/>
                <w:sz w:val="24"/>
                <w:szCs w:val="24"/>
                <w:highlight w:val="yellow"/>
                <w:lang w:val="zh-CN"/>
              </w:rPr>
            </w:pPr>
            <w:r>
              <w:rPr>
                <w:rFonts w:hint="eastAsia" w:ascii="宋体" w:hAnsi="宋体" w:cs="宋体"/>
                <w:color w:val="auto"/>
                <w:sz w:val="24"/>
                <w:szCs w:val="24"/>
                <w:highlight w:val="none"/>
                <w:lang w:val="zh-CN"/>
              </w:rPr>
              <w:t>2026年04月16日至2026年04月2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CN"/>
              </w:rPr>
              <w:t>日</w:t>
            </w:r>
            <w:r>
              <w:rPr>
                <w:rFonts w:hint="eastAsia" w:ascii="宋体" w:hAnsi="宋体" w:eastAsia="宋体" w:cs="宋体"/>
                <w:color w:val="auto"/>
                <w:sz w:val="24"/>
                <w:szCs w:val="24"/>
                <w:highlight w:val="none"/>
                <w:lang w:val="zh-CN"/>
              </w:rPr>
              <w:t>（00:00-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59</w:t>
            </w:r>
            <w:r>
              <w:rPr>
                <w:rFonts w:hint="eastAsia" w:ascii="宋体" w:hAnsi="宋体" w:eastAsia="宋体" w:cs="宋体"/>
                <w:color w:val="auto"/>
                <w:sz w:val="24"/>
                <w:szCs w:val="24"/>
                <w:highlight w:val="none"/>
                <w:lang w:val="zh-CN"/>
              </w:rPr>
              <w:t>分，北京时间，法定节假日除外）</w:t>
            </w:r>
          </w:p>
        </w:tc>
      </w:tr>
      <w:tr w14:paraId="4D86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431" w:type="dxa"/>
            <w:noWrap w:val="0"/>
            <w:vAlign w:val="center"/>
          </w:tcPr>
          <w:p w14:paraId="2CBB23EF">
            <w:pPr>
              <w:pStyle w:val="27"/>
              <w:adjustRightInd/>
              <w:snapToGrid/>
              <w:spacing w:line="360" w:lineRule="auto"/>
              <w:ind w:firstLine="0" w:firstLineChars="0"/>
              <w:jc w:val="center"/>
              <w:rPr>
                <w:rFonts w:hint="eastAsia" w:ascii="宋体" w:hAnsi="宋体" w:eastAsia="宋体" w:cs="宋体"/>
                <w:bCs w:val="0"/>
                <w:color w:val="auto"/>
                <w:szCs w:val="24"/>
                <w:highlight w:val="yellow"/>
                <w:lang w:val="zh-CN"/>
              </w:rPr>
            </w:pPr>
            <w:r>
              <w:rPr>
                <w:rFonts w:hint="eastAsia" w:ascii="宋体" w:hAnsi="宋体" w:eastAsia="宋体" w:cs="宋体"/>
                <w:bCs w:val="0"/>
                <w:color w:val="auto"/>
                <w:kern w:val="2"/>
                <w:sz w:val="24"/>
                <w:szCs w:val="24"/>
                <w:highlight w:val="none"/>
                <w:lang w:val="zh-CN" w:eastAsia="zh-CN" w:bidi="ar-SA"/>
              </w:rPr>
              <w:t>竞争性磋商文件发售方式</w:t>
            </w:r>
          </w:p>
        </w:tc>
        <w:tc>
          <w:tcPr>
            <w:tcW w:w="6008" w:type="dxa"/>
            <w:noWrap w:val="0"/>
            <w:vAlign w:val="center"/>
          </w:tcPr>
          <w:p w14:paraId="5B7242B7">
            <w:pPr>
              <w:pStyle w:val="27"/>
              <w:spacing w:line="360" w:lineRule="auto"/>
              <w:ind w:firstLine="0" w:firstLineChars="0"/>
              <w:jc w:val="left"/>
              <w:rPr>
                <w:rFonts w:hint="eastAsia" w:ascii="宋体" w:hAnsi="宋体" w:eastAsia="宋体" w:cs="宋体"/>
                <w:bCs w:val="0"/>
                <w:color w:val="auto"/>
                <w:szCs w:val="24"/>
                <w:highlight w:val="yellow"/>
                <w:lang w:val="zh-CN"/>
              </w:rPr>
            </w:pPr>
            <w:r>
              <w:rPr>
                <w:rFonts w:hint="eastAsia" w:ascii="宋体" w:hAnsi="宋体" w:eastAsia="宋体" w:cs="宋体"/>
                <w:bCs w:val="0"/>
                <w:color w:val="auto"/>
                <w:kern w:val="2"/>
                <w:sz w:val="24"/>
                <w:szCs w:val="24"/>
                <w:highlight w:val="none"/>
                <w:lang w:val="zh-CN" w:eastAsia="zh-CN" w:bidi="ar-SA"/>
              </w:rPr>
              <w:t>线上报名，具体方式请咨询线上电子化交易系统：咨询电话：政采云95763。《青海政府采购网》免费下载磋商文件。（提示：请潜在供应商报名前务必完成网上企业注册等手续；具体操作详见附件操作指南）</w:t>
            </w:r>
          </w:p>
        </w:tc>
      </w:tr>
      <w:tr w14:paraId="498C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31" w:type="dxa"/>
            <w:noWrap w:val="0"/>
            <w:vAlign w:val="center"/>
          </w:tcPr>
          <w:p w14:paraId="0DEC7558">
            <w:pPr>
              <w:widowControl/>
              <w:spacing w:line="320" w:lineRule="exact"/>
              <w:jc w:val="center"/>
              <w:rPr>
                <w:rFonts w:hint="eastAsia" w:ascii="宋体" w:hAnsi="宋体" w:eastAsia="宋体" w:cs="宋体"/>
                <w:color w:val="auto"/>
                <w:kern w:val="0"/>
                <w:sz w:val="24"/>
                <w:szCs w:val="24"/>
                <w:highlight w:val="yellow"/>
              </w:rPr>
            </w:pPr>
            <w:r>
              <w:rPr>
                <w:rFonts w:hint="eastAsia" w:ascii="宋体" w:hAnsi="宋体" w:eastAsia="宋体" w:cs="宋体"/>
                <w:color w:val="auto"/>
                <w:sz w:val="24"/>
                <w:szCs w:val="24"/>
                <w:highlight w:val="none"/>
                <w:lang w:val="zh-CN"/>
              </w:rPr>
              <w:t>竞争性磋商文件发售地点</w:t>
            </w:r>
          </w:p>
        </w:tc>
        <w:tc>
          <w:tcPr>
            <w:tcW w:w="6008" w:type="dxa"/>
            <w:noWrap w:val="0"/>
            <w:vAlign w:val="center"/>
          </w:tcPr>
          <w:p w14:paraId="3299FAC8">
            <w:pPr>
              <w:rPr>
                <w:rFonts w:hint="eastAsia" w:ascii="宋体" w:hAnsi="宋体" w:eastAsia="宋体" w:cs="宋体"/>
                <w:color w:val="auto"/>
                <w:szCs w:val="24"/>
                <w:highlight w:val="yellow"/>
                <w:lang w:val="zh-CN"/>
              </w:rPr>
            </w:pPr>
            <w:r>
              <w:rPr>
                <w:rFonts w:hint="eastAsia" w:ascii="宋体" w:hAnsi="宋体" w:eastAsia="宋体" w:cs="宋体"/>
                <w:color w:val="auto"/>
                <w:sz w:val="24"/>
                <w:szCs w:val="24"/>
                <w:highlight w:val="none"/>
                <w:lang w:val="zh-CN"/>
              </w:rPr>
              <w:t>《青海政府采购网》免费下载磋商文件。</w:t>
            </w:r>
          </w:p>
        </w:tc>
      </w:tr>
      <w:tr w14:paraId="7FA1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431" w:type="dxa"/>
            <w:noWrap w:val="0"/>
            <w:vAlign w:val="center"/>
          </w:tcPr>
          <w:p w14:paraId="3D51126A">
            <w:pPr>
              <w:widowControl/>
              <w:spacing w:before="100" w:beforeAutospacing="1" w:after="100" w:afterAutospacing="1"/>
              <w:jc w:val="center"/>
              <w:rPr>
                <w:rFonts w:hint="eastAsia" w:ascii="宋体" w:hAnsi="宋体" w:eastAsia="宋体" w:cs="宋体"/>
                <w:color w:val="auto"/>
                <w:kern w:val="0"/>
                <w:sz w:val="24"/>
                <w:szCs w:val="24"/>
                <w:highlight w:val="yellow"/>
              </w:rPr>
            </w:pPr>
            <w:r>
              <w:rPr>
                <w:rFonts w:hint="eastAsia" w:ascii="宋体" w:hAnsi="宋体" w:eastAsia="宋体" w:cs="宋体"/>
                <w:color w:val="auto"/>
                <w:sz w:val="24"/>
                <w:szCs w:val="24"/>
                <w:highlight w:val="none"/>
                <w:lang w:val="zh-CN" w:eastAsia="zh-CN"/>
              </w:rPr>
              <w:t>开启响应文件</w:t>
            </w:r>
            <w:r>
              <w:rPr>
                <w:rFonts w:hint="eastAsia" w:ascii="宋体" w:hAnsi="宋体" w:eastAsia="宋体" w:cs="宋体"/>
                <w:color w:val="auto"/>
                <w:sz w:val="24"/>
                <w:szCs w:val="24"/>
                <w:highlight w:val="none"/>
                <w:lang w:val="zh-CN"/>
              </w:rPr>
              <w:t>（解密）时间</w:t>
            </w:r>
          </w:p>
        </w:tc>
        <w:tc>
          <w:tcPr>
            <w:tcW w:w="6008" w:type="dxa"/>
            <w:noWrap w:val="0"/>
            <w:vAlign w:val="center"/>
          </w:tcPr>
          <w:p w14:paraId="2C7F745B">
            <w:pPr>
              <w:pStyle w:val="27"/>
              <w:spacing w:line="360" w:lineRule="auto"/>
              <w:ind w:firstLine="0" w:firstLineChars="0"/>
              <w:jc w:val="left"/>
              <w:rPr>
                <w:rFonts w:hint="eastAsia" w:ascii="宋体" w:hAnsi="宋体" w:eastAsia="宋体" w:cs="宋体"/>
                <w:bCs w:val="0"/>
                <w:color w:val="auto"/>
                <w:szCs w:val="24"/>
                <w:highlight w:val="yellow"/>
                <w:lang w:val="zh-CN"/>
              </w:rPr>
            </w:pPr>
            <w:r>
              <w:rPr>
                <w:rFonts w:hint="eastAsia" w:ascii="宋体" w:hAnsi="宋体" w:eastAsia="宋体" w:cs="宋体"/>
                <w:bCs w:val="0"/>
                <w:color w:val="auto"/>
                <w:kern w:val="2"/>
                <w:sz w:val="24"/>
                <w:szCs w:val="24"/>
                <w:highlight w:val="none"/>
                <w:lang w:val="zh-CN" w:eastAsia="zh-CN" w:bidi="ar-SA"/>
              </w:rPr>
              <w:t>2026年04月30日下午14时30分（北京时间）</w:t>
            </w:r>
          </w:p>
        </w:tc>
      </w:tr>
      <w:tr w14:paraId="48CD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trPr>
        <w:tc>
          <w:tcPr>
            <w:tcW w:w="2431" w:type="dxa"/>
            <w:noWrap w:val="0"/>
            <w:vAlign w:val="center"/>
          </w:tcPr>
          <w:p w14:paraId="66DC162C">
            <w:pPr>
              <w:widowControl/>
              <w:spacing w:before="100" w:beforeAutospacing="1" w:after="100" w:afterAutospacing="1"/>
              <w:jc w:val="center"/>
              <w:rPr>
                <w:rFonts w:hint="eastAsia" w:ascii="宋体" w:hAnsi="宋体" w:eastAsia="宋体" w:cs="宋体"/>
                <w:color w:val="auto"/>
                <w:kern w:val="0"/>
                <w:sz w:val="24"/>
                <w:szCs w:val="24"/>
                <w:highlight w:val="yellow"/>
              </w:rPr>
            </w:pPr>
            <w:r>
              <w:rPr>
                <w:rFonts w:hint="eastAsia" w:ascii="宋体" w:hAnsi="宋体" w:eastAsia="宋体" w:cs="宋体"/>
                <w:color w:val="auto"/>
                <w:sz w:val="24"/>
                <w:szCs w:val="24"/>
                <w:highlight w:val="none"/>
                <w:lang w:val="zh-CN"/>
              </w:rPr>
              <w:t>递交响应文件方式</w:t>
            </w:r>
          </w:p>
        </w:tc>
        <w:tc>
          <w:tcPr>
            <w:tcW w:w="6008" w:type="dxa"/>
            <w:noWrap w:val="0"/>
            <w:vAlign w:val="center"/>
          </w:tcPr>
          <w:p w14:paraId="247C2D53">
            <w:pPr>
              <w:pStyle w:val="27"/>
              <w:spacing w:line="360" w:lineRule="auto"/>
              <w:ind w:firstLine="0" w:firstLineChars="0"/>
              <w:jc w:val="left"/>
              <w:rPr>
                <w:rFonts w:hint="eastAsia" w:ascii="宋体" w:hAnsi="宋体" w:eastAsia="宋体" w:cs="宋体"/>
                <w:bCs w:val="0"/>
                <w:color w:val="auto"/>
                <w:kern w:val="2"/>
                <w:sz w:val="24"/>
                <w:szCs w:val="24"/>
                <w:highlight w:val="none"/>
                <w:lang w:val="zh-CN" w:eastAsia="zh-CN" w:bidi="ar-SA"/>
              </w:rPr>
            </w:pPr>
            <w:r>
              <w:rPr>
                <w:rFonts w:hint="eastAsia" w:ascii="宋体" w:hAnsi="宋体" w:eastAsia="宋体" w:cs="宋体"/>
                <w:bCs w:val="0"/>
                <w:color w:val="auto"/>
                <w:kern w:val="2"/>
                <w:sz w:val="24"/>
                <w:szCs w:val="24"/>
                <w:highlight w:val="none"/>
                <w:lang w:val="zh-CN" w:eastAsia="zh-CN" w:bidi="ar-SA"/>
              </w:rPr>
              <w:t>本次采购采用线上提交响应文件的方式，线上电子版响应文件必须在响应文件递交截止时间前上传平台；</w:t>
            </w:r>
          </w:p>
          <w:p w14:paraId="3878FADE">
            <w:pPr>
              <w:pStyle w:val="27"/>
              <w:spacing w:line="360" w:lineRule="auto"/>
              <w:ind w:firstLine="0" w:firstLineChars="0"/>
              <w:jc w:val="left"/>
              <w:rPr>
                <w:rFonts w:hint="eastAsia" w:ascii="宋体" w:hAnsi="宋体" w:eastAsia="宋体" w:cs="宋体"/>
                <w:bCs w:val="0"/>
                <w:color w:val="auto"/>
                <w:szCs w:val="24"/>
                <w:highlight w:val="yellow"/>
                <w:lang w:val="zh-CN"/>
              </w:rPr>
            </w:pPr>
            <w:r>
              <w:rPr>
                <w:rFonts w:hint="eastAsia" w:ascii="宋体" w:hAnsi="宋体" w:eastAsia="宋体" w:cs="宋体"/>
                <w:bCs w:val="0"/>
                <w:color w:val="auto"/>
                <w:kern w:val="2"/>
                <w:sz w:val="24"/>
                <w:szCs w:val="24"/>
                <w:highlight w:val="none"/>
                <w:lang w:val="zh-CN" w:eastAsia="zh-CN" w:bidi="ar-SA"/>
              </w:rPr>
              <w:t>潜在供应商如对项目采购电子交易系统操作有疑问，可登录政采云（https://www.zcygov.cn/），点击右侧咨询小采，获取采小蜜智能服务管家帮助，或拨打政采云服务热线400-881-7190获取热线服务帮助。CA问题联系电话（人工）；天谷CA  400-087-8198。</w:t>
            </w:r>
          </w:p>
        </w:tc>
      </w:tr>
      <w:tr w14:paraId="7BA2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431" w:type="dxa"/>
            <w:noWrap w:val="0"/>
            <w:vAlign w:val="center"/>
          </w:tcPr>
          <w:p w14:paraId="31A4528A">
            <w:pPr>
              <w:widowControl/>
              <w:spacing w:line="320" w:lineRule="exact"/>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lang w:val="zh-CN"/>
              </w:rPr>
              <w:t>提交响应文件及</w:t>
            </w:r>
            <w:r>
              <w:rPr>
                <w:rFonts w:hint="eastAsia" w:ascii="宋体" w:hAnsi="宋体" w:eastAsia="宋体" w:cs="宋体"/>
                <w:color w:val="auto"/>
                <w:sz w:val="24"/>
                <w:szCs w:val="24"/>
                <w:highlight w:val="none"/>
                <w:lang w:val="zh-CN" w:eastAsia="zh-CN"/>
              </w:rPr>
              <w:t>开启响应文件</w:t>
            </w:r>
            <w:r>
              <w:rPr>
                <w:rFonts w:hint="eastAsia" w:ascii="宋体" w:hAnsi="宋体" w:eastAsia="宋体" w:cs="宋体"/>
                <w:color w:val="auto"/>
                <w:sz w:val="24"/>
                <w:szCs w:val="24"/>
                <w:highlight w:val="none"/>
                <w:lang w:val="zh-CN"/>
              </w:rPr>
              <w:t>地点</w:t>
            </w:r>
          </w:p>
        </w:tc>
        <w:tc>
          <w:tcPr>
            <w:tcW w:w="6008" w:type="dxa"/>
            <w:noWrap w:val="0"/>
            <w:vAlign w:val="center"/>
          </w:tcPr>
          <w:p w14:paraId="68E27E39">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地点：政采云平台（https://www.zcygov.cn/）</w:t>
            </w:r>
          </w:p>
          <w:p w14:paraId="53021257">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eastAsia="zh-CN"/>
              </w:rPr>
              <w:t>开启响应文件</w:t>
            </w:r>
            <w:r>
              <w:rPr>
                <w:rFonts w:hint="eastAsia" w:ascii="宋体" w:hAnsi="宋体" w:eastAsia="宋体" w:cs="宋体"/>
                <w:color w:val="auto"/>
                <w:sz w:val="24"/>
                <w:szCs w:val="24"/>
                <w:highlight w:val="none"/>
                <w:lang w:val="zh-CN"/>
              </w:rPr>
              <w:t>地点：青海聚帛工程项目管理有限公司（青海省西宁市城西区文苑路7号财富中心A座109</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室）</w:t>
            </w:r>
          </w:p>
          <w:p w14:paraId="320AB741">
            <w:pPr>
              <w:rPr>
                <w:rFonts w:hint="eastAsia" w:ascii="宋体" w:hAnsi="宋体" w:eastAsia="宋体" w:cs="宋体"/>
                <w:color w:val="auto"/>
                <w:kern w:val="0"/>
                <w:sz w:val="24"/>
                <w:szCs w:val="24"/>
                <w:highlight w:val="yellow"/>
              </w:rPr>
            </w:pPr>
            <w:r>
              <w:rPr>
                <w:rFonts w:hint="eastAsia" w:ascii="宋体" w:hAnsi="宋体" w:eastAsia="宋体" w:cs="宋体"/>
                <w:color w:val="auto"/>
                <w:sz w:val="24"/>
                <w:szCs w:val="24"/>
                <w:highlight w:val="none"/>
                <w:lang w:val="zh-CN"/>
              </w:rPr>
              <w:t>如非系统原因造成无法解密的或非系统原因加密文件上传不成功的或没办理CA锁而造成加密文件无法解密、加密文件无法上传的视为无效磋商。</w:t>
            </w:r>
          </w:p>
        </w:tc>
      </w:tr>
      <w:tr w14:paraId="20C6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2431" w:type="dxa"/>
            <w:noWrap w:val="0"/>
            <w:vAlign w:val="center"/>
          </w:tcPr>
          <w:p w14:paraId="592B6068">
            <w:pPr>
              <w:widowControl/>
              <w:spacing w:line="320" w:lineRule="exact"/>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lang w:val="zh-CN"/>
              </w:rPr>
              <w:t>采购单位及联系人</w:t>
            </w:r>
          </w:p>
        </w:tc>
        <w:tc>
          <w:tcPr>
            <w:tcW w:w="6008" w:type="dxa"/>
            <w:noWrap w:val="0"/>
            <w:vAlign w:val="top"/>
          </w:tcPr>
          <w:p w14:paraId="0ECB3FCC">
            <w:pP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采 购 人：中共尖扎县委宣传部</w:t>
            </w:r>
          </w:p>
          <w:p w14:paraId="24CE2954">
            <w:pP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联 系 人：</w:t>
            </w:r>
            <w:r>
              <w:rPr>
                <w:rFonts w:hint="eastAsia" w:ascii="宋体" w:hAnsi="宋体" w:eastAsia="宋体" w:cs="宋体"/>
                <w:color w:val="auto"/>
                <w:sz w:val="24"/>
                <w:szCs w:val="24"/>
                <w:highlight w:val="none"/>
                <w:lang w:val="en-US" w:eastAsia="zh-CN"/>
              </w:rPr>
              <w:t>索老师</w:t>
            </w:r>
            <w:r>
              <w:rPr>
                <w:rFonts w:hint="eastAsia" w:ascii="宋体" w:hAnsi="宋体" w:eastAsia="宋体" w:cs="宋体"/>
                <w:color w:val="auto"/>
                <w:sz w:val="24"/>
                <w:szCs w:val="24"/>
                <w:highlight w:val="none"/>
                <w:lang w:val="zh-CN" w:eastAsia="zh-CN"/>
              </w:rPr>
              <w:t xml:space="preserve">  </w:t>
            </w:r>
          </w:p>
          <w:p w14:paraId="3A66DD05">
            <w:pPr>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联 系 电 话：15909737881</w:t>
            </w:r>
          </w:p>
        </w:tc>
      </w:tr>
      <w:tr w14:paraId="0797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431" w:type="dxa"/>
            <w:noWrap w:val="0"/>
            <w:vAlign w:val="center"/>
          </w:tcPr>
          <w:p w14:paraId="35D6F883">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采购代理机构及联系人</w:t>
            </w:r>
          </w:p>
        </w:tc>
        <w:tc>
          <w:tcPr>
            <w:tcW w:w="6008" w:type="dxa"/>
            <w:noWrap w:val="0"/>
            <w:vAlign w:val="top"/>
          </w:tcPr>
          <w:p w14:paraId="2C86021D">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采购代理机构：青海聚帛工程项目管理有限公司</w:t>
            </w:r>
          </w:p>
          <w:p w14:paraId="614FAD85">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张女士</w:t>
            </w:r>
          </w:p>
          <w:p w14:paraId="5E175B07">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联系电话：0971-8800244</w:t>
            </w:r>
          </w:p>
          <w:p w14:paraId="6577F863">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邮箱地址：qhjubo@163.com</w:t>
            </w:r>
          </w:p>
          <w:p w14:paraId="6BF2570D">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联系地址：青海省西宁市城西区文苑路7号财富中心A座9楼109</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室</w:t>
            </w:r>
          </w:p>
        </w:tc>
      </w:tr>
      <w:tr w14:paraId="121C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431" w:type="dxa"/>
            <w:noWrap w:val="0"/>
            <w:vAlign w:val="center"/>
          </w:tcPr>
          <w:p w14:paraId="6D44A737">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采购代理服务费</w:t>
            </w:r>
          </w:p>
        </w:tc>
        <w:tc>
          <w:tcPr>
            <w:tcW w:w="6008" w:type="dxa"/>
            <w:noWrap w:val="0"/>
            <w:vAlign w:val="top"/>
          </w:tcPr>
          <w:p w14:paraId="61BF0898">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收取对象：成交供应商支付</w:t>
            </w:r>
          </w:p>
          <w:p w14:paraId="30C01656">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收取金额：</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4,00</w:t>
            </w:r>
            <w:r>
              <w:rPr>
                <w:rFonts w:hint="eastAsia" w:ascii="宋体" w:hAnsi="宋体" w:eastAsia="宋体" w:cs="宋体"/>
                <w:color w:val="auto"/>
                <w:sz w:val="24"/>
                <w:szCs w:val="24"/>
                <w:highlight w:val="none"/>
                <w:lang w:val="zh-CN"/>
              </w:rPr>
              <w:t>0.00 元 大写：</w:t>
            </w:r>
            <w:r>
              <w:rPr>
                <w:rFonts w:hint="eastAsia" w:ascii="宋体" w:hAnsi="宋体" w:eastAsia="宋体" w:cs="宋体"/>
                <w:color w:val="auto"/>
                <w:sz w:val="24"/>
                <w:szCs w:val="24"/>
                <w:highlight w:val="none"/>
                <w:lang w:val="en-US" w:eastAsia="zh-CN"/>
              </w:rPr>
              <w:t>肆仟元整</w:t>
            </w:r>
          </w:p>
        </w:tc>
      </w:tr>
      <w:tr w14:paraId="6A76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31" w:type="dxa"/>
            <w:noWrap w:val="0"/>
            <w:vAlign w:val="center"/>
          </w:tcPr>
          <w:p w14:paraId="44D21170">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代理机构开户行</w:t>
            </w:r>
          </w:p>
        </w:tc>
        <w:tc>
          <w:tcPr>
            <w:tcW w:w="6008" w:type="dxa"/>
            <w:noWrap w:val="0"/>
            <w:vAlign w:val="center"/>
          </w:tcPr>
          <w:p w14:paraId="37251AC5">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中国光大银行股份有限公司西宁分行</w:t>
            </w:r>
          </w:p>
        </w:tc>
      </w:tr>
      <w:tr w14:paraId="07C1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31" w:type="dxa"/>
            <w:noWrap w:val="0"/>
            <w:vAlign w:val="center"/>
          </w:tcPr>
          <w:p w14:paraId="5FB7329D">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收款人</w:t>
            </w:r>
          </w:p>
        </w:tc>
        <w:tc>
          <w:tcPr>
            <w:tcW w:w="6008" w:type="dxa"/>
            <w:noWrap w:val="0"/>
            <w:vAlign w:val="center"/>
          </w:tcPr>
          <w:p w14:paraId="52A98C22">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青海聚帛工程项目管理有限公司</w:t>
            </w:r>
          </w:p>
        </w:tc>
      </w:tr>
      <w:tr w14:paraId="0D22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431" w:type="dxa"/>
            <w:noWrap w:val="0"/>
            <w:vAlign w:val="center"/>
          </w:tcPr>
          <w:p w14:paraId="04127787">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银行账号</w:t>
            </w:r>
          </w:p>
        </w:tc>
        <w:tc>
          <w:tcPr>
            <w:tcW w:w="6008" w:type="dxa"/>
            <w:noWrap w:val="0"/>
            <w:vAlign w:val="center"/>
          </w:tcPr>
          <w:p w14:paraId="7F2EC01A">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5582  0188  0000  67752</w:t>
            </w:r>
          </w:p>
        </w:tc>
      </w:tr>
      <w:tr w14:paraId="7768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31" w:type="dxa"/>
            <w:noWrap w:val="0"/>
            <w:vAlign w:val="center"/>
          </w:tcPr>
          <w:p w14:paraId="00263C36">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其他事项</w:t>
            </w:r>
          </w:p>
        </w:tc>
        <w:tc>
          <w:tcPr>
            <w:tcW w:w="6008" w:type="dxa"/>
            <w:noWrap w:val="0"/>
            <w:vAlign w:val="top"/>
          </w:tcPr>
          <w:p w14:paraId="1347F9C8">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1、本次项目招标采用线上进行，线上电子加密响应文件必须在响应文件递交截止时间前上传至电子开评标系统；</w:t>
            </w:r>
          </w:p>
          <w:p w14:paraId="3833F579">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2、线上电子化开评标系统操作及办理CA锁等相关事宜请咨询政采云：咨询电话：95763。</w:t>
            </w:r>
          </w:p>
          <w:p w14:paraId="6D5B370F">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3、线上CA：</w:t>
            </w:r>
          </w:p>
          <w:p w14:paraId="7187816E">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PC咨询网址（可及时反馈问题截图，让客服快速定位问题）:http://tseal.cn/k.html，咨询电话：95763。</w:t>
            </w:r>
          </w:p>
          <w:p w14:paraId="2D01CC35">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4、公示网址：</w:t>
            </w:r>
          </w:p>
          <w:p w14:paraId="52FAD26E">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青海政府采购网(http://www.ccgp-qinghai.gov.cn/home.html）</w:t>
            </w:r>
          </w:p>
          <w:p w14:paraId="3D542D6F">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中国招标投标公共服务平台</w:t>
            </w:r>
          </w:p>
          <w:p w14:paraId="64C58208">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（http://cebpubservice.cn/）</w:t>
            </w:r>
          </w:p>
          <w:p w14:paraId="7A182482">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青海省电子招标投标公共服务平台</w:t>
            </w:r>
          </w:p>
          <w:p w14:paraId="368C764B">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(https://www.qhdzzbfw.gov.cn/fwpt/）</w:t>
            </w:r>
          </w:p>
        </w:tc>
      </w:tr>
      <w:tr w14:paraId="15F8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431" w:type="dxa"/>
            <w:noWrap w:val="0"/>
            <w:vAlign w:val="center"/>
          </w:tcPr>
          <w:p w14:paraId="57EE4C1B">
            <w:pPr>
              <w:widowControl/>
              <w:spacing w:line="320" w:lineRule="exact"/>
              <w:jc w:val="left"/>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lang w:val="zh-CN"/>
              </w:rPr>
              <w:t>财政监管部门及电话</w:t>
            </w:r>
          </w:p>
        </w:tc>
        <w:tc>
          <w:tcPr>
            <w:tcW w:w="6008" w:type="dxa"/>
            <w:noWrap w:val="0"/>
            <w:vAlign w:val="top"/>
          </w:tcPr>
          <w:p w14:paraId="6698D233">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监管部门:尖扎县财政局 </w:t>
            </w:r>
          </w:p>
          <w:p w14:paraId="26A7381E">
            <w:pPr>
              <w:widowControl/>
              <w:tabs>
                <w:tab w:val="center" w:pos="2896"/>
              </w:tabs>
              <w:spacing w:line="320" w:lineRule="exact"/>
              <w:jc w:val="left"/>
              <w:rPr>
                <w:rFonts w:hint="default" w:ascii="宋体" w:hAnsi="宋体" w:eastAsia="宋体" w:cs="宋体"/>
                <w:color w:val="auto"/>
                <w:kern w:val="0"/>
                <w:sz w:val="24"/>
                <w:szCs w:val="24"/>
                <w:highlight w:val="yellow"/>
                <w:lang w:val="en-US" w:eastAsia="zh-CN"/>
              </w:rPr>
            </w:pPr>
            <w:r>
              <w:rPr>
                <w:rFonts w:hint="eastAsia" w:ascii="宋体" w:hAnsi="宋体" w:eastAsia="宋体" w:cs="宋体"/>
                <w:color w:val="auto"/>
                <w:sz w:val="24"/>
                <w:szCs w:val="24"/>
                <w:highlight w:val="none"/>
                <w:lang w:val="zh-CN"/>
              </w:rPr>
              <w:t>联系电话：</w:t>
            </w:r>
            <w:r>
              <w:rPr>
                <w:rFonts w:hint="default" w:ascii="宋体" w:hAnsi="宋体" w:eastAsia="宋体" w:cs="宋体"/>
                <w:color w:val="auto"/>
                <w:sz w:val="24"/>
                <w:szCs w:val="24"/>
                <w:highlight w:val="none"/>
                <w:lang w:val="en-US" w:eastAsia="zh-CN"/>
              </w:rPr>
              <w:t>0971-</w:t>
            </w:r>
            <w:r>
              <w:rPr>
                <w:rFonts w:hint="eastAsia" w:ascii="宋体" w:hAnsi="宋体" w:eastAsia="宋体" w:cs="宋体"/>
                <w:color w:val="auto"/>
                <w:sz w:val="24"/>
                <w:szCs w:val="24"/>
                <w:highlight w:val="none"/>
                <w:lang w:val="en-US" w:eastAsia="zh-CN"/>
              </w:rPr>
              <w:t>8733917</w:t>
            </w:r>
          </w:p>
        </w:tc>
      </w:tr>
      <w:bookmarkEnd w:id="35"/>
    </w:tbl>
    <w:p w14:paraId="16BD43C9">
      <w:pPr>
        <w:rPr>
          <w:rFonts w:hint="eastAsia" w:ascii="宋体" w:hAnsi="宋体" w:eastAsia="宋体" w:cs="宋体"/>
          <w:sz w:val="24"/>
          <w:szCs w:val="24"/>
          <w:highlight w:val="yellow"/>
        </w:rPr>
      </w:pPr>
    </w:p>
    <w:p w14:paraId="6DEC3F01">
      <w:pPr>
        <w:jc w:val="both"/>
        <w:rPr>
          <w:rFonts w:hint="eastAsia" w:ascii="宋体" w:hAnsi="宋体" w:eastAsia="宋体" w:cs="宋体"/>
          <w:b/>
          <w:sz w:val="24"/>
          <w:szCs w:val="24"/>
          <w:lang w:val="zh-CN"/>
        </w:rPr>
      </w:pPr>
    </w:p>
    <w:p w14:paraId="1B6A53DA">
      <w:pPr>
        <w:pStyle w:val="18"/>
        <w:sectPr>
          <w:pgSz w:w="11906" w:h="16838"/>
          <w:pgMar w:top="1440" w:right="1800" w:bottom="1440" w:left="1800" w:header="851" w:footer="992" w:gutter="0"/>
          <w:cols w:space="425" w:num="1"/>
          <w:docGrid w:type="lines" w:linePitch="312" w:charSpace="0"/>
        </w:sectPr>
      </w:pPr>
    </w:p>
    <w:p w14:paraId="79087687">
      <w:pPr>
        <w:keepNext w:val="0"/>
        <w:keepLines w:val="0"/>
        <w:pageBreakBefore w:val="0"/>
        <w:kinsoku/>
        <w:wordWrap/>
        <w:overflowPunct/>
        <w:topLinePunct w:val="0"/>
        <w:bidi w:val="0"/>
        <w:snapToGrid/>
        <w:spacing w:after="240" w:line="360" w:lineRule="auto"/>
        <w:ind w:firstLine="482" w:firstLineChars="200"/>
        <w:jc w:val="center"/>
        <w:textAlignment w:val="auto"/>
        <w:outlineLvl w:val="0"/>
        <w:rPr>
          <w:rFonts w:hint="eastAsia" w:ascii="宋体" w:hAnsi="宋体" w:eastAsia="宋体" w:cs="宋体"/>
          <w:b/>
          <w:sz w:val="24"/>
          <w:szCs w:val="24"/>
        </w:rPr>
      </w:pPr>
      <w:bookmarkStart w:id="36" w:name="_Toc9241"/>
      <w:r>
        <w:rPr>
          <w:rFonts w:hint="eastAsia" w:ascii="宋体" w:hAnsi="宋体" w:eastAsia="宋体" w:cs="宋体"/>
          <w:b/>
          <w:sz w:val="24"/>
          <w:szCs w:val="24"/>
          <w:lang w:val="zh-CN"/>
        </w:rPr>
        <w:t>第</w:t>
      </w:r>
      <w:r>
        <w:rPr>
          <w:rFonts w:hint="eastAsia" w:ascii="宋体" w:hAnsi="宋体" w:eastAsia="宋体" w:cs="宋体"/>
          <w:b/>
          <w:sz w:val="24"/>
          <w:szCs w:val="24"/>
          <w:lang w:val="en-US" w:eastAsia="zh-CN"/>
        </w:rPr>
        <w:t>三</w:t>
      </w:r>
      <w:r>
        <w:rPr>
          <w:rFonts w:hint="eastAsia" w:ascii="宋体" w:hAnsi="宋体" w:eastAsia="宋体" w:cs="宋体"/>
          <w:b/>
          <w:sz w:val="24"/>
          <w:szCs w:val="24"/>
          <w:lang w:val="zh-CN"/>
        </w:rPr>
        <w:t>部分</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供应商</w:t>
      </w:r>
      <w:r>
        <w:rPr>
          <w:rFonts w:hint="eastAsia" w:ascii="宋体" w:hAnsi="宋体" w:eastAsia="宋体" w:cs="宋体"/>
          <w:b/>
          <w:sz w:val="24"/>
          <w:szCs w:val="24"/>
          <w:lang w:val="zh-CN"/>
        </w:rPr>
        <w:t>须知</w:t>
      </w:r>
      <w:bookmarkEnd w:id="36"/>
    </w:p>
    <w:p w14:paraId="42DBFE1B">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bookmarkStart w:id="37" w:name="_Toc428180537"/>
      <w:r>
        <w:rPr>
          <w:rFonts w:hint="eastAsia" w:ascii="宋体" w:hAnsi="宋体" w:eastAsia="宋体" w:cs="宋体"/>
          <w:b/>
          <w:sz w:val="24"/>
          <w:szCs w:val="24"/>
          <w:lang w:val="zh-CN"/>
        </w:rPr>
        <w:t>一、说  明</w:t>
      </w:r>
      <w:bookmarkEnd w:id="37"/>
      <w:bookmarkStart w:id="38" w:name="_Toc428180538"/>
    </w:p>
    <w:p w14:paraId="192FE8BD">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1.适用范围</w:t>
      </w:r>
      <w:bookmarkEnd w:id="38"/>
    </w:p>
    <w:p w14:paraId="79CC6C1F">
      <w:pPr>
        <w:keepNext w:val="0"/>
        <w:keepLines w:val="0"/>
        <w:pageBreakBefore w:val="0"/>
        <w:widowControl/>
        <w:kinsoku/>
        <w:wordWrap/>
        <w:overflowPunct/>
        <w:topLinePunct w:val="0"/>
        <w:bidi w:val="0"/>
        <w:snapToGrid/>
        <w:spacing w:after="240"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本次竞争性磋商项目依据采购人的采购计划，仅适用于本竞争性磋商文件中所叙述的项目。</w:t>
      </w:r>
      <w:bookmarkStart w:id="39" w:name="_Toc428180539"/>
    </w:p>
    <w:p w14:paraId="68E68870">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2.采购方式、合格的</w:t>
      </w:r>
      <w:bookmarkEnd w:id="39"/>
      <w:r>
        <w:rPr>
          <w:rFonts w:hint="eastAsia" w:ascii="宋体" w:hAnsi="宋体" w:eastAsia="宋体" w:cs="宋体"/>
          <w:b/>
          <w:bCs/>
          <w:kern w:val="0"/>
          <w:sz w:val="24"/>
          <w:szCs w:val="24"/>
          <w:lang w:val="zh-CN"/>
        </w:rPr>
        <w:t>供应商</w:t>
      </w:r>
    </w:p>
    <w:p w14:paraId="39C5CB16">
      <w:pPr>
        <w:keepNext w:val="0"/>
        <w:keepLines w:val="0"/>
        <w:pageBreakBefore w:val="0"/>
        <w:widowControl/>
        <w:kinsoku/>
        <w:wordWrap/>
        <w:overflowPunct/>
        <w:topLinePunct w:val="0"/>
        <w:bidi w:val="0"/>
        <w:snapToGrid/>
        <w:spacing w:after="240"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2.1本次招标采取竞争性磋商方式。</w:t>
      </w:r>
    </w:p>
    <w:p w14:paraId="5114E675">
      <w:pPr>
        <w:keepNext w:val="0"/>
        <w:keepLines w:val="0"/>
        <w:pageBreakBefore w:val="0"/>
        <w:widowControl/>
        <w:kinsoku/>
        <w:wordWrap/>
        <w:overflowPunct/>
        <w:topLinePunct w:val="0"/>
        <w:bidi w:val="0"/>
        <w:snapToGrid/>
        <w:spacing w:after="240"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2.2合格的供应商：详见第一部分供应商须知前列表“供应商资格条件”。</w:t>
      </w:r>
    </w:p>
    <w:p w14:paraId="35838D19">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bookmarkStart w:id="40" w:name="_Toc428180540"/>
      <w:r>
        <w:rPr>
          <w:rFonts w:hint="eastAsia" w:ascii="宋体" w:hAnsi="宋体" w:eastAsia="宋体" w:cs="宋体"/>
          <w:b/>
          <w:bCs/>
          <w:kern w:val="0"/>
          <w:sz w:val="24"/>
          <w:szCs w:val="24"/>
          <w:lang w:val="zh-CN"/>
        </w:rPr>
        <w:t>3.响应费用</w:t>
      </w:r>
      <w:bookmarkEnd w:id="40"/>
    </w:p>
    <w:p w14:paraId="07E716A1">
      <w:pPr>
        <w:keepNext w:val="0"/>
        <w:keepLines w:val="0"/>
        <w:pageBreakBefore w:val="0"/>
        <w:widowControl/>
        <w:kinsoku/>
        <w:wordWrap/>
        <w:overflowPunct/>
        <w:topLinePunct w:val="0"/>
        <w:bidi w:val="0"/>
        <w:snapToGrid/>
        <w:spacing w:after="240" w:line="360" w:lineRule="auto"/>
        <w:ind w:firstLine="480" w:firstLineChars="200"/>
        <w:jc w:val="left"/>
        <w:textAlignment w:val="auto"/>
        <w:rPr>
          <w:rFonts w:hint="eastAsia" w:ascii="宋体" w:hAnsi="宋体" w:eastAsia="宋体" w:cs="宋体"/>
          <w:sz w:val="24"/>
          <w:szCs w:val="24"/>
          <w:lang w:val="zh-CN"/>
        </w:rPr>
      </w:pPr>
      <w:bookmarkStart w:id="41" w:name="_Toc428180541"/>
      <w:r>
        <w:rPr>
          <w:rFonts w:hint="eastAsia" w:ascii="宋体" w:hAnsi="宋体" w:eastAsia="宋体" w:cs="宋体"/>
          <w:sz w:val="24"/>
          <w:szCs w:val="24"/>
          <w:lang w:val="zh-CN"/>
        </w:rPr>
        <w:t>供应商应承担准备和与参加本次响应有关的费用。采购代理机构对供应商发生的费用不承担任何责任。</w:t>
      </w:r>
    </w:p>
    <w:p w14:paraId="674402C0">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sz w:val="24"/>
          <w:szCs w:val="24"/>
          <w:lang w:val="zh-CN"/>
        </w:rPr>
        <w:t>二、竞争性磋商文件说明</w:t>
      </w:r>
      <w:bookmarkEnd w:id="41"/>
      <w:bookmarkStart w:id="42" w:name="_Toc428180542"/>
    </w:p>
    <w:p w14:paraId="18273E4F">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4. 竞争性磋商文件的构成</w:t>
      </w:r>
      <w:bookmarkEnd w:id="42"/>
    </w:p>
    <w:p w14:paraId="12EFAB0E">
      <w:pPr>
        <w:keepNext w:val="0"/>
        <w:keepLines w:val="0"/>
        <w:pageBreakBefore w:val="0"/>
        <w:widowControl/>
        <w:kinsoku/>
        <w:wordWrap/>
        <w:overflowPunct/>
        <w:topLinePunct w:val="0"/>
        <w:bidi w:val="0"/>
        <w:snapToGrid/>
        <w:spacing w:after="240"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4.1竞争性磋商文件包括：</w:t>
      </w:r>
    </w:p>
    <w:p w14:paraId="52A9BA01">
      <w:pPr>
        <w:keepNext w:val="0"/>
        <w:keepLines w:val="0"/>
        <w:pageBreakBefore w:val="0"/>
        <w:widowControl/>
        <w:kinsoku/>
        <w:wordWrap/>
        <w:overflowPunct/>
        <w:topLinePunct w:val="0"/>
        <w:bidi w:val="0"/>
        <w:snapToGrid/>
        <w:spacing w:after="240"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磋商采购公告</w:t>
      </w:r>
    </w:p>
    <w:p w14:paraId="5BF8B72F">
      <w:pPr>
        <w:keepNext w:val="0"/>
        <w:keepLines w:val="0"/>
        <w:pageBreakBefore w:val="0"/>
        <w:widowControl/>
        <w:kinsoku/>
        <w:wordWrap/>
        <w:overflowPunct/>
        <w:topLinePunct w:val="0"/>
        <w:bidi w:val="0"/>
        <w:snapToGrid/>
        <w:spacing w:after="240"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（2）供应商</w:t>
      </w:r>
      <w:r>
        <w:rPr>
          <w:rFonts w:hint="eastAsia" w:ascii="宋体" w:hAnsi="宋体" w:eastAsia="宋体" w:cs="宋体"/>
          <w:sz w:val="24"/>
          <w:szCs w:val="24"/>
          <w:lang w:val="zh-CN"/>
        </w:rPr>
        <w:t>须知前附表</w:t>
      </w:r>
    </w:p>
    <w:p w14:paraId="0DCF1B2C">
      <w:pPr>
        <w:keepNext w:val="0"/>
        <w:keepLines w:val="0"/>
        <w:pageBreakBefore w:val="0"/>
        <w:widowControl/>
        <w:kinsoku/>
        <w:wordWrap/>
        <w:overflowPunct/>
        <w:topLinePunct w:val="0"/>
        <w:bidi w:val="0"/>
        <w:snapToGrid/>
        <w:spacing w:after="240"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供应商</w:t>
      </w:r>
      <w:r>
        <w:rPr>
          <w:rFonts w:hint="eastAsia" w:ascii="宋体" w:hAnsi="宋体" w:eastAsia="宋体" w:cs="宋体"/>
          <w:sz w:val="24"/>
          <w:szCs w:val="24"/>
          <w:lang w:val="zh-CN"/>
        </w:rPr>
        <w:t>须知</w:t>
      </w:r>
    </w:p>
    <w:p w14:paraId="438AF93A">
      <w:pPr>
        <w:keepNext w:val="0"/>
        <w:keepLines w:val="0"/>
        <w:pageBreakBefore w:val="0"/>
        <w:widowControl/>
        <w:kinsoku/>
        <w:wordWrap/>
        <w:overflowPunct/>
        <w:topLinePunct w:val="0"/>
        <w:bidi w:val="0"/>
        <w:snapToGrid/>
        <w:spacing w:after="240"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（3）政府采购项目合同书范本</w:t>
      </w:r>
    </w:p>
    <w:p w14:paraId="7FFF64CB">
      <w:pPr>
        <w:keepNext w:val="0"/>
        <w:keepLines w:val="0"/>
        <w:pageBreakBefore w:val="0"/>
        <w:widowControl/>
        <w:kinsoku/>
        <w:wordWrap/>
        <w:overflowPunct/>
        <w:topLinePunct w:val="0"/>
        <w:bidi w:val="0"/>
        <w:snapToGrid/>
        <w:spacing w:after="240"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（4）磋商响应文件格式（相关附件）</w:t>
      </w:r>
    </w:p>
    <w:p w14:paraId="4782B991">
      <w:pPr>
        <w:keepNext w:val="0"/>
        <w:keepLines w:val="0"/>
        <w:pageBreakBefore w:val="0"/>
        <w:widowControl/>
        <w:kinsoku/>
        <w:wordWrap/>
        <w:overflowPunct/>
        <w:topLinePunct w:val="0"/>
        <w:bidi w:val="0"/>
        <w:snapToGrid/>
        <w:spacing w:after="240" w:line="360" w:lineRule="auto"/>
        <w:ind w:firstLine="480" w:firstLineChars="200"/>
        <w:jc w:val="lef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rPr>
        <w:t>（5）采购项目要求及</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内容</w:t>
      </w:r>
    </w:p>
    <w:p w14:paraId="70E8B621">
      <w:pPr>
        <w:keepNext w:val="0"/>
        <w:keepLines w:val="0"/>
        <w:pageBreakBefore w:val="0"/>
        <w:widowControl/>
        <w:kinsoku/>
        <w:wordWrap/>
        <w:overflowPunct/>
        <w:topLinePunct w:val="0"/>
        <w:bidi w:val="0"/>
        <w:snapToGrid/>
        <w:spacing w:after="240"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（6）采购过程中发生的澄清、变更和补充文件</w:t>
      </w:r>
    </w:p>
    <w:p w14:paraId="024F778D">
      <w:pPr>
        <w:keepNext w:val="0"/>
        <w:keepLines w:val="0"/>
        <w:pageBreakBefore w:val="0"/>
        <w:widowControl/>
        <w:kinsoku/>
        <w:wordWrap/>
        <w:overflowPunct/>
        <w:topLinePunct w:val="0"/>
        <w:bidi w:val="0"/>
        <w:snapToGrid/>
        <w:spacing w:after="240" w:line="360" w:lineRule="auto"/>
        <w:ind w:firstLine="480" w:firstLineChars="200"/>
        <w:jc w:val="left"/>
        <w:textAlignment w:val="auto"/>
        <w:rPr>
          <w:rFonts w:hint="eastAsia" w:ascii="宋体" w:hAnsi="宋体" w:eastAsia="宋体" w:cs="宋体"/>
          <w:b/>
          <w:sz w:val="24"/>
          <w:szCs w:val="24"/>
          <w:lang w:val="zh-CN"/>
        </w:rPr>
      </w:pPr>
      <w:r>
        <w:rPr>
          <w:rFonts w:hint="eastAsia" w:ascii="宋体" w:hAnsi="宋体" w:eastAsia="宋体" w:cs="宋体"/>
          <w:sz w:val="24"/>
          <w:szCs w:val="24"/>
          <w:lang w:val="zh-CN"/>
        </w:rPr>
        <w:t>4.2供应商应当按照竞争性磋商文件的要求编制磋商响应文件。磋商响应文件应当对竞争性磋商文件提出的要求和条件作出明确响应。</w:t>
      </w:r>
      <w:bookmarkStart w:id="43" w:name="_Toc428180543"/>
    </w:p>
    <w:p w14:paraId="5130072B">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5. 竞争性磋商文件的质疑</w:t>
      </w:r>
      <w:bookmarkEnd w:id="43"/>
    </w:p>
    <w:p w14:paraId="6CBD0D74">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b/>
          <w:sz w:val="24"/>
          <w:szCs w:val="24"/>
          <w:highlight w:val="none"/>
          <w:lang w:val="zh-CN"/>
        </w:rPr>
      </w:pPr>
      <w:r>
        <w:rPr>
          <w:rFonts w:hint="eastAsia" w:ascii="宋体" w:hAnsi="宋体" w:eastAsia="宋体" w:cs="宋体"/>
          <w:sz w:val="24"/>
          <w:szCs w:val="24"/>
          <w:highlight w:val="none"/>
          <w:lang w:val="zh-CN"/>
        </w:rPr>
        <w:t>供应商认为竞争性磋商文件使自己的权益受到损害的，应在获取竞争性磋商文件之日或者磋商文件公告期限届满之日起</w:t>
      </w:r>
      <w:r>
        <w:rPr>
          <w:rFonts w:hint="eastAsia" w:ascii="宋体" w:hAnsi="宋体" w:cs="宋体"/>
          <w:sz w:val="24"/>
          <w:szCs w:val="24"/>
          <w:highlight w:val="none"/>
          <w:lang w:val="en-US" w:eastAsia="zh-CN"/>
        </w:rPr>
        <w:t>7个工作日</w:t>
      </w:r>
      <w:r>
        <w:rPr>
          <w:rFonts w:hint="eastAsia" w:ascii="宋体" w:hAnsi="宋体" w:eastAsia="宋体" w:cs="宋体"/>
          <w:sz w:val="24"/>
          <w:szCs w:val="24"/>
          <w:highlight w:val="none"/>
          <w:lang w:val="zh-CN"/>
        </w:rPr>
        <w:t>内以书面形式提出质疑（不接受匿名质疑），采购代理机构在收到供应商的书面质疑后</w:t>
      </w:r>
      <w:r>
        <w:rPr>
          <w:rFonts w:hint="eastAsia" w:ascii="宋体" w:hAnsi="宋体" w:cs="宋体"/>
          <w:sz w:val="24"/>
          <w:szCs w:val="24"/>
          <w:highlight w:val="none"/>
          <w:lang w:val="en-US" w:eastAsia="zh-CN"/>
        </w:rPr>
        <w:t>7个工作日</w:t>
      </w:r>
      <w:r>
        <w:rPr>
          <w:rFonts w:hint="eastAsia" w:ascii="宋体" w:hAnsi="宋体" w:eastAsia="宋体" w:cs="宋体"/>
          <w:sz w:val="24"/>
          <w:szCs w:val="24"/>
          <w:highlight w:val="none"/>
          <w:lang w:val="zh-CN"/>
        </w:rPr>
        <w:t>内予以答复，并将变更事宜在青海政府采购网上发布公告，告知本项目的所有潜在供应商。</w:t>
      </w:r>
      <w:bookmarkStart w:id="44" w:name="_Toc428180544"/>
    </w:p>
    <w:p w14:paraId="705E109E">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6. 竞争性磋商文件的修改</w:t>
      </w:r>
      <w:bookmarkEnd w:id="44"/>
    </w:p>
    <w:p w14:paraId="263A41D2">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6.1 在响应截止期前，采购代理机构可对竞争性磋商文件进行必要的修改或者澄清。</w:t>
      </w:r>
    </w:p>
    <w:p w14:paraId="45CCEAE9">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6.2 采购代理机构对已发出竞争性磋商文件进行必要的澄清或者修改的，在竞争性磋商文件要求提交磋商响应文件截止时间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zh-CN"/>
        </w:rPr>
        <w:t>日前，在</w:t>
      </w:r>
      <w:r>
        <w:rPr>
          <w:rFonts w:hint="eastAsia" w:ascii="宋体" w:hAnsi="宋体" w:cs="宋体"/>
          <w:sz w:val="24"/>
          <w:szCs w:val="24"/>
          <w:highlight w:val="none"/>
          <w:lang w:val="zh-CN" w:eastAsia="zh-CN"/>
        </w:rPr>
        <w:t>《青海政府采购网》、《中国招标投标公共服务平台》、《青海省电子招标投标公共服务平台》</w:t>
      </w:r>
      <w:r>
        <w:rPr>
          <w:rFonts w:hint="eastAsia" w:ascii="宋体" w:hAnsi="宋体" w:eastAsia="宋体" w:cs="宋体"/>
          <w:sz w:val="24"/>
          <w:szCs w:val="24"/>
          <w:highlight w:val="none"/>
          <w:lang w:val="zh-CN"/>
        </w:rPr>
        <w:t>发布公告；不足</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zh-CN"/>
        </w:rPr>
        <w:t>日的，顺延提交磋商响应文件的截止时间。该澄清或者修改的内容为磋商文件的组成部分。</w:t>
      </w:r>
    </w:p>
    <w:p w14:paraId="548532FA">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6.3 在提交磋商响应文件截止时间前，采购代理机构可以视采购具体情况，延长响应截止时间和开标时间，并在磋商文件中要求的响应截止时间和开标时间的3日前，将</w:t>
      </w:r>
      <w:r>
        <w:rPr>
          <w:rFonts w:hint="eastAsia" w:ascii="宋体" w:hAnsi="宋体" w:cs="宋体"/>
          <w:sz w:val="24"/>
          <w:szCs w:val="24"/>
          <w:lang w:val="en-US" w:eastAsia="zh-CN"/>
        </w:rPr>
        <w:t>更正</w:t>
      </w:r>
      <w:r>
        <w:rPr>
          <w:rFonts w:hint="eastAsia" w:ascii="宋体" w:hAnsi="宋体" w:eastAsia="宋体" w:cs="宋体"/>
          <w:sz w:val="24"/>
          <w:szCs w:val="24"/>
          <w:lang w:val="zh-CN"/>
        </w:rPr>
        <w:t>公告发布在</w:t>
      </w:r>
      <w:r>
        <w:rPr>
          <w:rFonts w:hint="eastAsia" w:ascii="宋体" w:hAnsi="宋体" w:cs="宋体"/>
          <w:sz w:val="24"/>
          <w:szCs w:val="24"/>
          <w:highlight w:val="none"/>
          <w:lang w:val="zh-CN" w:eastAsia="zh-CN"/>
        </w:rPr>
        <w:t>《青海政府采购网》、《中国招标投标公共服务平台》、《青海省电子招标投标公共服务平台》</w:t>
      </w:r>
      <w:r>
        <w:rPr>
          <w:rFonts w:hint="eastAsia" w:ascii="宋体" w:hAnsi="宋体" w:cs="宋体"/>
          <w:sz w:val="24"/>
          <w:szCs w:val="24"/>
          <w:highlight w:val="none"/>
          <w:lang w:val="en-US" w:eastAsia="zh-CN"/>
        </w:rPr>
        <w:t>上</w:t>
      </w:r>
      <w:r>
        <w:rPr>
          <w:rFonts w:hint="eastAsia" w:ascii="宋体" w:hAnsi="宋体" w:eastAsia="宋体" w:cs="宋体"/>
          <w:sz w:val="24"/>
          <w:szCs w:val="24"/>
          <w:lang w:val="zh-CN"/>
        </w:rPr>
        <w:t>。</w:t>
      </w:r>
      <w:bookmarkStart w:id="45" w:name="_Toc428180545"/>
    </w:p>
    <w:p w14:paraId="6059500B">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sz w:val="24"/>
          <w:szCs w:val="24"/>
          <w:lang w:val="zh-CN"/>
        </w:rPr>
      </w:pPr>
      <w:r>
        <w:rPr>
          <w:rFonts w:hint="eastAsia" w:ascii="宋体" w:hAnsi="宋体" w:eastAsia="宋体" w:cs="宋体"/>
          <w:b/>
          <w:sz w:val="24"/>
          <w:szCs w:val="24"/>
          <w:lang w:val="zh-CN"/>
        </w:rPr>
        <w:t>三、磋商响应文件的编制</w:t>
      </w:r>
      <w:bookmarkEnd w:id="45"/>
      <w:bookmarkStart w:id="46" w:name="_Toc428180546"/>
    </w:p>
    <w:p w14:paraId="02BE1DDD">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sz w:val="24"/>
          <w:szCs w:val="24"/>
          <w:lang w:val="zh-CN"/>
        </w:rPr>
      </w:pPr>
      <w:r>
        <w:rPr>
          <w:rFonts w:hint="eastAsia" w:ascii="宋体" w:hAnsi="宋体" w:eastAsia="宋体" w:cs="宋体"/>
          <w:b/>
          <w:sz w:val="24"/>
          <w:szCs w:val="24"/>
          <w:lang w:val="zh-CN"/>
        </w:rPr>
        <w:t>7.磋商响应文件的语言及度量衡单位</w:t>
      </w:r>
      <w:bookmarkEnd w:id="46"/>
    </w:p>
    <w:p w14:paraId="6A40D337">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7.1供应商提交的磋商响应文件以及供应商与采购代理机构就此响应发生的所有来往函电均应使用简体中文。除签名、盖章、专用名称等特殊情形外，以中文汉语以外的文字表述的响应文件视同未提供。</w:t>
      </w:r>
    </w:p>
    <w:p w14:paraId="39E0EE1A">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7.2 除竞争性磋商文件中另有规定外，磋商响应文件所使用的度量衡单位，均须采用国家法定计量单位。</w:t>
      </w:r>
    </w:p>
    <w:p w14:paraId="46E51C59">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b/>
          <w:sz w:val="24"/>
          <w:szCs w:val="24"/>
          <w:lang w:val="zh-CN"/>
        </w:rPr>
      </w:pPr>
      <w:r>
        <w:rPr>
          <w:rFonts w:hint="eastAsia" w:ascii="宋体" w:hAnsi="宋体" w:eastAsia="宋体" w:cs="宋体"/>
          <w:sz w:val="24"/>
          <w:szCs w:val="24"/>
          <w:lang w:val="zh-CN"/>
        </w:rPr>
        <w:t>7.3 附有外文资料的，须翻译成中文并加盖供应商公章，如果翻译的中文资料与外文资料存在差异和矛盾时，以中文资料为准。其准确性由供应商负责。</w:t>
      </w:r>
      <w:bookmarkStart w:id="47" w:name="_Toc428180547"/>
    </w:p>
    <w:p w14:paraId="51CFE1FC">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sz w:val="24"/>
          <w:szCs w:val="24"/>
          <w:lang w:val="zh-CN"/>
        </w:rPr>
      </w:pPr>
      <w:r>
        <w:rPr>
          <w:rFonts w:hint="eastAsia" w:ascii="宋体" w:hAnsi="宋体" w:eastAsia="宋体" w:cs="宋体"/>
          <w:b/>
          <w:sz w:val="24"/>
          <w:szCs w:val="24"/>
          <w:lang w:val="zh-CN"/>
        </w:rPr>
        <w:t>8.磋商报价及币种</w:t>
      </w:r>
      <w:bookmarkEnd w:id="47"/>
    </w:p>
    <w:p w14:paraId="0063B8A0">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sz w:val="24"/>
          <w:szCs w:val="24"/>
          <w:highlight w:val="none"/>
          <w:lang w:val="zh-CN"/>
        </w:rPr>
        <w:t>8.l 磋商报价为响应总价。必须包括：</w:t>
      </w:r>
      <w:r>
        <w:rPr>
          <w:rFonts w:hint="eastAsia" w:ascii="宋体" w:hAnsi="宋体" w:cs="宋体"/>
          <w:color w:val="auto"/>
          <w:sz w:val="24"/>
          <w:szCs w:val="24"/>
          <w:highlight w:val="none"/>
          <w:lang w:val="en-US" w:eastAsia="zh-CN"/>
        </w:rPr>
        <w:t>成品</w:t>
      </w:r>
      <w:r>
        <w:rPr>
          <w:rFonts w:hint="eastAsia" w:ascii="宋体" w:hAnsi="宋体" w:eastAsia="宋体" w:cs="宋体"/>
          <w:color w:val="auto"/>
          <w:sz w:val="24"/>
          <w:szCs w:val="24"/>
          <w:highlight w:val="none"/>
          <w:lang w:val="zh-CN"/>
        </w:rPr>
        <w:t>费、</w:t>
      </w:r>
      <w:r>
        <w:rPr>
          <w:rFonts w:hint="eastAsia" w:ascii="宋体" w:hAnsi="宋体" w:cs="宋体"/>
          <w:color w:val="auto"/>
          <w:sz w:val="24"/>
          <w:szCs w:val="24"/>
          <w:highlight w:val="none"/>
          <w:lang w:val="en-US" w:eastAsia="zh-CN"/>
        </w:rPr>
        <w:t>人工</w:t>
      </w:r>
      <w:r>
        <w:rPr>
          <w:rFonts w:hint="eastAsia" w:ascii="宋体" w:hAnsi="宋体" w:eastAsia="宋体" w:cs="宋体"/>
          <w:color w:val="auto"/>
          <w:sz w:val="24"/>
          <w:szCs w:val="24"/>
          <w:highlight w:val="none"/>
          <w:lang w:val="zh-CN"/>
        </w:rPr>
        <w:t>费、验收费、手续费、包装费、运输费、</w:t>
      </w:r>
      <w:r>
        <w:rPr>
          <w:rFonts w:hint="eastAsia" w:ascii="宋体" w:hAnsi="宋体" w:cs="宋体"/>
          <w:color w:val="auto"/>
          <w:sz w:val="24"/>
          <w:szCs w:val="24"/>
          <w:highlight w:val="none"/>
          <w:lang w:val="zh-CN"/>
        </w:rPr>
        <w:t>安装费、调试费、</w:t>
      </w:r>
      <w:r>
        <w:rPr>
          <w:rFonts w:hint="eastAsia" w:ascii="宋体" w:hAnsi="宋体" w:eastAsia="宋体" w:cs="宋体"/>
          <w:color w:val="auto"/>
          <w:sz w:val="24"/>
          <w:szCs w:val="24"/>
          <w:highlight w:val="none"/>
          <w:lang w:val="zh-CN"/>
        </w:rPr>
        <w:t>差旅费、售前、售中、售后服务费、税金、招标代理服务费及不可预见费等全部费用。</w:t>
      </w:r>
    </w:p>
    <w:p w14:paraId="0320D983">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8.2 </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函中应注明</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有效期。</w:t>
      </w:r>
    </w:p>
    <w:p w14:paraId="2FDDB132">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8.3 供应商应根据磋商文件规定的格式完整填写所有内容，并保证所提供的全部资料真实可信，自愿承担相应责任。</w:t>
      </w:r>
    </w:p>
    <w:p w14:paraId="38530570">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 xml:space="preserve">8.4 </w:t>
      </w:r>
      <w:r>
        <w:rPr>
          <w:rFonts w:hint="eastAsia" w:ascii="宋体" w:hAnsi="宋体" w:eastAsia="宋体" w:cs="宋体"/>
          <w:sz w:val="24"/>
          <w:szCs w:val="24"/>
          <w:lang w:val="en-US" w:eastAsia="zh-CN"/>
        </w:rPr>
        <w:t>响应</w:t>
      </w:r>
      <w:r>
        <w:rPr>
          <w:rFonts w:hint="eastAsia" w:ascii="宋体" w:hAnsi="宋体" w:eastAsia="宋体" w:cs="宋体"/>
          <w:sz w:val="24"/>
          <w:szCs w:val="24"/>
          <w:lang w:val="zh-CN"/>
        </w:rPr>
        <w:t>币种为人民币。</w:t>
      </w:r>
      <w:bookmarkStart w:id="48" w:name="_Toc428180549"/>
    </w:p>
    <w:p w14:paraId="0DA74232">
      <w:pPr>
        <w:keepNext w:val="0"/>
        <w:keepLines w:val="0"/>
        <w:pageBreakBefore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eastAsia="宋体" w:cs="宋体"/>
          <w:b/>
          <w:bCs/>
          <w:sz w:val="24"/>
          <w:szCs w:val="24"/>
          <w:highlight w:val="none"/>
          <w:lang w:val="zh-CN"/>
        </w:rPr>
      </w:pPr>
      <w:bookmarkStart w:id="49" w:name="_Toc16582"/>
      <w:r>
        <w:rPr>
          <w:rFonts w:hint="eastAsia" w:ascii="宋体" w:hAnsi="宋体" w:eastAsia="宋体" w:cs="宋体"/>
          <w:b/>
          <w:bCs/>
          <w:sz w:val="24"/>
          <w:szCs w:val="24"/>
          <w:highlight w:val="none"/>
          <w:lang w:val="zh-CN"/>
        </w:rPr>
        <w:t>9.</w:t>
      </w:r>
      <w:bookmarkEnd w:id="49"/>
      <w:r>
        <w:rPr>
          <w:rFonts w:hint="eastAsia" w:ascii="宋体" w:hAnsi="宋体" w:eastAsia="宋体" w:cs="宋体"/>
          <w:b/>
          <w:bCs/>
          <w:sz w:val="24"/>
          <w:szCs w:val="24"/>
          <w:highlight w:val="none"/>
          <w:lang w:val="zh-CN"/>
        </w:rPr>
        <w:t>磋商保证金</w:t>
      </w:r>
      <w:r>
        <w:rPr>
          <w:rFonts w:hint="eastAsia" w:ascii="宋体" w:hAnsi="宋体" w:cs="宋体"/>
          <w:b/>
          <w:bCs/>
          <w:sz w:val="24"/>
          <w:szCs w:val="24"/>
          <w:highlight w:val="none"/>
          <w:lang w:val="zh-CN"/>
        </w:rPr>
        <w:t>（无）</w:t>
      </w:r>
    </w:p>
    <w:p w14:paraId="7AE93C62">
      <w:pPr>
        <w:keepNext w:val="0"/>
        <w:keepLines w:val="0"/>
        <w:pageBreakBefore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9.1 供应商须在响应截止期前按以下要求交纳磋商保证金</w:t>
      </w:r>
    </w:p>
    <w:p w14:paraId="7AC0C021">
      <w:pPr>
        <w:keepNext w:val="0"/>
        <w:keepLines w:val="0"/>
        <w:pageBreakBefore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磋商保证金：</w:t>
      </w:r>
      <w:r>
        <w:rPr>
          <w:rFonts w:hint="eastAsia" w:ascii="宋体" w:hAnsi="宋体" w:eastAsia="宋体" w:cs="宋体"/>
          <w:b/>
          <w:bCs/>
          <w:sz w:val="24"/>
          <w:szCs w:val="24"/>
          <w:highlight w:val="none"/>
          <w:lang w:val="zh-CN" w:eastAsia="zh-CN"/>
        </w:rPr>
        <w:t>小写：¥ 0.00</w:t>
      </w:r>
      <w:r>
        <w:rPr>
          <w:rFonts w:hint="eastAsia" w:ascii="宋体" w:hAnsi="宋体" w:eastAsia="宋体" w:cs="宋体"/>
          <w:b/>
          <w:bCs/>
          <w:sz w:val="24"/>
          <w:szCs w:val="24"/>
          <w:highlight w:val="none"/>
          <w:lang w:val="zh-CN"/>
        </w:rPr>
        <w:t>元  大写：</w:t>
      </w:r>
      <w:r>
        <w:rPr>
          <w:rFonts w:hint="eastAsia" w:ascii="宋体" w:hAnsi="宋体" w:eastAsia="宋体" w:cs="宋体"/>
          <w:b/>
          <w:bCs/>
          <w:sz w:val="24"/>
          <w:szCs w:val="24"/>
          <w:highlight w:val="none"/>
          <w:lang w:val="zh-CN" w:eastAsia="zh-CN"/>
        </w:rPr>
        <w:t>零</w:t>
      </w:r>
      <w:r>
        <w:rPr>
          <w:rFonts w:hint="eastAsia" w:ascii="宋体" w:hAnsi="宋体" w:eastAsia="宋体" w:cs="宋体"/>
          <w:b/>
          <w:bCs/>
          <w:sz w:val="24"/>
          <w:szCs w:val="24"/>
          <w:highlight w:val="none"/>
          <w:lang w:val="zh-CN"/>
        </w:rPr>
        <w:t>元整</w:t>
      </w:r>
    </w:p>
    <w:p w14:paraId="576AC1D2">
      <w:pPr>
        <w:keepNext w:val="0"/>
        <w:keepLines w:val="0"/>
        <w:pageBreakBefore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收款单位：青海聚帛工程项目管理有限公司</w:t>
      </w:r>
    </w:p>
    <w:p w14:paraId="6566F69A">
      <w:pPr>
        <w:keepNext w:val="0"/>
        <w:keepLines w:val="0"/>
        <w:pageBreakBefore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eastAsia="宋体" w:cs="宋体"/>
          <w:b/>
          <w:bCs/>
          <w:sz w:val="24"/>
          <w:szCs w:val="24"/>
          <w:highlight w:val="none"/>
          <w:lang w:val="zh-CN"/>
        </w:rPr>
      </w:pPr>
      <w:bookmarkStart w:id="50" w:name="_Toc2512"/>
      <w:r>
        <w:rPr>
          <w:rFonts w:hint="eastAsia" w:ascii="宋体" w:hAnsi="宋体" w:eastAsia="宋体" w:cs="宋体"/>
          <w:b/>
          <w:bCs/>
          <w:sz w:val="24"/>
          <w:szCs w:val="24"/>
          <w:highlight w:val="none"/>
          <w:lang w:val="zh-CN"/>
        </w:rPr>
        <w:t>开 户 行：中国光大银行股份有限公司西宁分行</w:t>
      </w:r>
      <w:bookmarkEnd w:id="50"/>
    </w:p>
    <w:p w14:paraId="3DD638B2">
      <w:pPr>
        <w:keepNext w:val="0"/>
        <w:keepLines w:val="0"/>
        <w:pageBreakBefore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银行账号：5582  0188  0000  67752</w:t>
      </w:r>
    </w:p>
    <w:p w14:paraId="18CC16D7">
      <w:pPr>
        <w:keepNext w:val="0"/>
        <w:keepLines w:val="0"/>
        <w:pageBreakBefore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交纳时间：提交磋商文件截止及开启响应文件时间前，以银行到账时间为准。（在附言中备注项目名称及用途。）</w:t>
      </w:r>
    </w:p>
    <w:p w14:paraId="589AB86E">
      <w:pPr>
        <w:keepNext w:val="0"/>
        <w:keepLines w:val="0"/>
        <w:pageBreakBefore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如采购项目变更开启响应文件时间，则保证金交纳时间相应顺延。</w:t>
      </w:r>
    </w:p>
    <w:p w14:paraId="35FCFCAD">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9.2 缴费方式：磋商保证金应当以支票、汇票、本票或者金融机构、担保机构出具的保函等非现金形式提交；通过银行转账的，由</w:t>
      </w:r>
      <w:r>
        <w:rPr>
          <w:rFonts w:hint="eastAsia" w:ascii="宋体" w:hAnsi="宋体" w:eastAsia="宋体" w:cs="宋体"/>
          <w:sz w:val="24"/>
          <w:szCs w:val="24"/>
          <w:lang w:val="zh-CN" w:eastAsia="zh-CN"/>
        </w:rPr>
        <w:t>供应商</w:t>
      </w:r>
      <w:r>
        <w:rPr>
          <w:rFonts w:hint="eastAsia" w:ascii="宋体" w:hAnsi="宋体" w:eastAsia="宋体" w:cs="宋体"/>
          <w:sz w:val="24"/>
          <w:szCs w:val="24"/>
          <w:lang w:val="zh-CN"/>
        </w:rPr>
        <w:t>汇（转）入9.1条规定的账户。</w:t>
      </w:r>
    </w:p>
    <w:p w14:paraId="5810DF31">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9.3 磋商保证金退还：供应商在响应截止时间前撤回已提交的响应文件的，采购代理机构应当自收到供应商书面撤回通知之日起5个工作日内，退还已收取的磋商保证金，但因供应商自身原因导致无法及时退还的除外。</w:t>
      </w:r>
    </w:p>
    <w:p w14:paraId="0E913CC0">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采购代理机构应当自中标通知书发出之日起5个工作日内退还未中标人的磋商保证金，自采购合同签订之日起5个工作日内退还中标人的磋商保证金或者转为中标人的履约保证金。</w:t>
      </w:r>
    </w:p>
    <w:p w14:paraId="7E5CCDFF">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采购代理机构逾期退还磋商保证金的，除应当退还磋商保证金本金外，还应当按中国人民银行同期贷款基准利率上浮20％后的利率支付超期资金占用费，但因供应商自身原因导致无法及时退还的除外。</w:t>
      </w:r>
    </w:p>
    <w:p w14:paraId="6DF41F2A">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9.4 响应有效期内供应商撤销响应文件的，采购人或者采购代理机构可以不退还磋商保证金。</w:t>
      </w:r>
    </w:p>
    <w:p w14:paraId="45DCBC29">
      <w:pPr>
        <w:keepNext w:val="0"/>
        <w:keepLines w:val="0"/>
        <w:pageBreakBefore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eastAsia="宋体" w:cs="宋体"/>
          <w:sz w:val="24"/>
          <w:szCs w:val="24"/>
          <w:lang w:val="zh-CN"/>
        </w:rPr>
      </w:pPr>
      <w:r>
        <w:rPr>
          <w:rFonts w:hint="eastAsia" w:ascii="宋体" w:hAnsi="宋体" w:eastAsia="宋体" w:cs="宋体"/>
          <w:b/>
          <w:bCs/>
          <w:kern w:val="0"/>
          <w:sz w:val="24"/>
          <w:szCs w:val="24"/>
          <w:lang w:val="en-US" w:eastAsia="zh-CN"/>
        </w:rPr>
        <w:t>10</w:t>
      </w:r>
      <w:r>
        <w:rPr>
          <w:rFonts w:hint="eastAsia" w:ascii="宋体" w:hAnsi="宋体" w:eastAsia="宋体" w:cs="宋体"/>
          <w:b/>
          <w:bCs/>
          <w:kern w:val="0"/>
          <w:sz w:val="24"/>
          <w:szCs w:val="24"/>
          <w:lang w:val="zh-CN"/>
        </w:rPr>
        <w:t>.响应有效期</w:t>
      </w:r>
      <w:bookmarkEnd w:id="48"/>
    </w:p>
    <w:p w14:paraId="250C2A97">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bookmarkStart w:id="51" w:name="_Toc428180550"/>
      <w:r>
        <w:rPr>
          <w:rFonts w:hint="eastAsia" w:ascii="宋体" w:hAnsi="宋体" w:eastAsia="宋体" w:cs="宋体"/>
          <w:sz w:val="24"/>
          <w:szCs w:val="24"/>
          <w:lang w:val="zh-CN"/>
        </w:rPr>
        <w:t>响应有效期为自开标之日起60天。</w:t>
      </w:r>
    </w:p>
    <w:p w14:paraId="6365F525">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en-US" w:eastAsia="zh-CN"/>
        </w:rPr>
        <w:t>11</w:t>
      </w:r>
      <w:r>
        <w:rPr>
          <w:rFonts w:hint="eastAsia" w:ascii="宋体" w:hAnsi="宋体" w:eastAsia="宋体" w:cs="宋体"/>
          <w:b/>
          <w:bCs/>
          <w:kern w:val="0"/>
          <w:sz w:val="24"/>
          <w:szCs w:val="24"/>
          <w:lang w:val="zh-CN"/>
        </w:rPr>
        <w:t>.磋商响应文件构成</w:t>
      </w:r>
      <w:bookmarkEnd w:id="51"/>
    </w:p>
    <w:p w14:paraId="58739DDA">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1供应商应提交相关证明材料，作为其参加响应和中标后有能力履行合同的证明。编写的磋商响应文件须包括以下内容（格式见磋商文件第四部分）：</w:t>
      </w:r>
    </w:p>
    <w:p w14:paraId="1C23A20C">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en-US" w:eastAsia="zh-CN"/>
        </w:rPr>
        <w:t>12</w:t>
      </w:r>
      <w:r>
        <w:rPr>
          <w:rFonts w:hint="eastAsia" w:ascii="宋体" w:hAnsi="宋体" w:eastAsia="宋体" w:cs="宋体"/>
          <w:b/>
          <w:bCs/>
          <w:kern w:val="0"/>
          <w:sz w:val="24"/>
          <w:szCs w:val="24"/>
          <w:lang w:val="zh-CN"/>
        </w:rPr>
        <w:t>.1.1资格审查文件</w:t>
      </w:r>
    </w:p>
    <w:p w14:paraId="77E6A6A2">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（1）响应函</w:t>
      </w:r>
    </w:p>
    <w:p w14:paraId="128544CC">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（2）法定代表人证明书</w:t>
      </w:r>
    </w:p>
    <w:p w14:paraId="1F137663">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（3）法定代表人授权书</w:t>
      </w:r>
    </w:p>
    <w:p w14:paraId="60C087F0">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（4）供应商承诺函</w:t>
      </w:r>
    </w:p>
    <w:p w14:paraId="0C15641B">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（5）供应商诚信承诺书</w:t>
      </w:r>
    </w:p>
    <w:p w14:paraId="3F675013">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（6）供应商资格证明文件</w:t>
      </w:r>
    </w:p>
    <w:p w14:paraId="4B925BD1">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（7）无重大违法记录声明</w:t>
      </w:r>
    </w:p>
    <w:p w14:paraId="0251E6D2">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（8）财务状况、缴纳税收和社会保障资金证明</w:t>
      </w:r>
    </w:p>
    <w:p w14:paraId="4763F7CB">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）投标保证金证明</w:t>
      </w:r>
    </w:p>
    <w:p w14:paraId="710DCE04">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）中小企业声明函</w:t>
      </w:r>
      <w:r>
        <w:rPr>
          <w:rFonts w:hint="eastAsia" w:ascii="宋体" w:hAnsi="宋体" w:cs="宋体"/>
          <w:sz w:val="24"/>
          <w:szCs w:val="24"/>
          <w:lang w:val="zh-CN"/>
        </w:rPr>
        <w:t>（</w:t>
      </w:r>
      <w:r>
        <w:rPr>
          <w:rFonts w:hint="eastAsia" w:ascii="宋体" w:hAnsi="宋体" w:cs="宋体"/>
          <w:sz w:val="24"/>
          <w:szCs w:val="24"/>
          <w:lang w:val="en-US" w:eastAsia="zh-CN"/>
        </w:rPr>
        <w:t>货物</w:t>
      </w:r>
      <w:r>
        <w:rPr>
          <w:rFonts w:hint="eastAsia" w:ascii="宋体" w:hAnsi="宋体" w:cs="宋体"/>
          <w:sz w:val="24"/>
          <w:szCs w:val="24"/>
          <w:lang w:val="zh-CN"/>
        </w:rPr>
        <w:t>）</w:t>
      </w:r>
    </w:p>
    <w:p w14:paraId="699E44D9">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cs="宋体"/>
          <w:sz w:val="24"/>
          <w:szCs w:val="24"/>
          <w:lang w:val="en-US" w:eastAsia="zh-CN"/>
        </w:rPr>
        <w:t>11</w:t>
      </w:r>
      <w:r>
        <w:rPr>
          <w:rFonts w:hint="eastAsia" w:ascii="宋体" w:hAnsi="宋体" w:eastAsia="宋体" w:cs="宋体"/>
          <w:sz w:val="24"/>
          <w:szCs w:val="24"/>
          <w:lang w:val="zh-CN"/>
        </w:rPr>
        <w:t>）残疾人福利性单位声明函</w:t>
      </w:r>
    </w:p>
    <w:p w14:paraId="3C82089C">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cs="宋体"/>
          <w:sz w:val="24"/>
          <w:szCs w:val="24"/>
          <w:lang w:val="en-US" w:eastAsia="zh-CN"/>
        </w:rPr>
        <w:t>12</w:t>
      </w:r>
      <w:r>
        <w:rPr>
          <w:rFonts w:hint="eastAsia" w:ascii="宋体" w:hAnsi="宋体" w:eastAsia="宋体" w:cs="宋体"/>
          <w:sz w:val="24"/>
          <w:szCs w:val="24"/>
          <w:lang w:val="zh-CN"/>
        </w:rPr>
        <w:t>）监狱企业证明资料</w:t>
      </w:r>
    </w:p>
    <w:p w14:paraId="2FEA5BB8">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en-US" w:eastAsia="zh-CN"/>
        </w:rPr>
        <w:t>12</w:t>
      </w:r>
      <w:r>
        <w:rPr>
          <w:rFonts w:hint="eastAsia" w:ascii="宋体" w:hAnsi="宋体" w:eastAsia="宋体" w:cs="宋体"/>
          <w:b/>
          <w:bCs/>
          <w:kern w:val="0"/>
          <w:sz w:val="24"/>
          <w:szCs w:val="24"/>
          <w:lang w:val="zh-CN"/>
        </w:rPr>
        <w:t>.1.2符合性审查文件</w:t>
      </w:r>
    </w:p>
    <w:p w14:paraId="46CE8FAC">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13</w:t>
      </w:r>
      <w:r>
        <w:rPr>
          <w:rFonts w:hint="eastAsia" w:ascii="宋体" w:hAnsi="宋体" w:eastAsia="宋体" w:cs="宋体"/>
          <w:sz w:val="24"/>
          <w:szCs w:val="24"/>
          <w:lang w:val="zh-CN"/>
        </w:rPr>
        <w:t>）磋商报价表</w:t>
      </w:r>
    </w:p>
    <w:p w14:paraId="3E77CDE8">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（14</w:t>
      </w:r>
      <w:r>
        <w:rPr>
          <w:rFonts w:hint="eastAsia" w:ascii="宋体" w:hAnsi="宋体" w:eastAsia="宋体" w:cs="宋体"/>
          <w:sz w:val="24"/>
          <w:szCs w:val="24"/>
          <w:lang w:val="zh-CN"/>
        </w:rPr>
        <w:t>）分项报价表</w:t>
      </w:r>
    </w:p>
    <w:p w14:paraId="64B86FC5">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15</w:t>
      </w:r>
      <w:r>
        <w:rPr>
          <w:rFonts w:hint="eastAsia" w:ascii="宋体" w:hAnsi="宋体" w:eastAsia="宋体" w:cs="宋体"/>
          <w:sz w:val="24"/>
          <w:szCs w:val="24"/>
          <w:lang w:val="zh-CN"/>
        </w:rPr>
        <w:t>）评</w:t>
      </w:r>
      <w:r>
        <w:rPr>
          <w:rFonts w:hint="eastAsia" w:ascii="宋体" w:hAnsi="宋体" w:eastAsia="宋体" w:cs="宋体"/>
          <w:sz w:val="24"/>
          <w:szCs w:val="24"/>
          <w:lang w:val="zh-CN" w:eastAsia="zh-CN"/>
        </w:rPr>
        <w:t>审</w:t>
      </w:r>
      <w:r>
        <w:rPr>
          <w:rFonts w:hint="eastAsia" w:ascii="宋体" w:hAnsi="宋体" w:eastAsia="宋体" w:cs="宋体"/>
          <w:sz w:val="24"/>
          <w:szCs w:val="24"/>
          <w:lang w:val="zh-CN"/>
        </w:rPr>
        <w:t>对照表</w:t>
      </w:r>
    </w:p>
    <w:p w14:paraId="7369E270">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zh-CN"/>
        </w:rPr>
        <w:t>（</w:t>
      </w:r>
      <w:r>
        <w:rPr>
          <w:rFonts w:hint="eastAsia" w:ascii="宋体" w:hAnsi="宋体" w:cs="宋体"/>
          <w:sz w:val="24"/>
          <w:szCs w:val="24"/>
          <w:lang w:val="en-US" w:eastAsia="zh-CN"/>
        </w:rPr>
        <w:t>16）技术规格响应表</w:t>
      </w:r>
    </w:p>
    <w:p w14:paraId="1014F79B">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cs="宋体"/>
          <w:sz w:val="24"/>
          <w:szCs w:val="24"/>
          <w:lang w:val="en-US" w:eastAsia="zh-CN"/>
        </w:rPr>
        <w:t>17</w:t>
      </w:r>
      <w:r>
        <w:rPr>
          <w:rFonts w:hint="eastAsia" w:ascii="宋体" w:hAnsi="宋体" w:eastAsia="宋体" w:cs="宋体"/>
          <w:sz w:val="24"/>
          <w:szCs w:val="24"/>
          <w:lang w:val="zh-CN"/>
        </w:rPr>
        <w:t>）其他资格证明材料</w:t>
      </w:r>
    </w:p>
    <w:p w14:paraId="6C728A94">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cs="宋体"/>
          <w:sz w:val="24"/>
          <w:szCs w:val="24"/>
          <w:lang w:val="en-US" w:eastAsia="zh-CN"/>
        </w:rPr>
        <w:t>18</w:t>
      </w:r>
      <w:r>
        <w:rPr>
          <w:rFonts w:hint="eastAsia" w:ascii="宋体" w:hAnsi="宋体" w:eastAsia="宋体" w:cs="宋体"/>
          <w:sz w:val="24"/>
          <w:szCs w:val="24"/>
          <w:lang w:val="zh-CN"/>
        </w:rPr>
        <w:t>）响应产品相关资料</w:t>
      </w:r>
    </w:p>
    <w:p w14:paraId="51CFBE5B">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cs="宋体"/>
          <w:sz w:val="24"/>
          <w:szCs w:val="24"/>
          <w:lang w:val="en-US" w:eastAsia="zh-CN"/>
        </w:rPr>
        <w:t>19</w:t>
      </w:r>
      <w:r>
        <w:rPr>
          <w:rFonts w:hint="eastAsia" w:ascii="宋体" w:hAnsi="宋体" w:eastAsia="宋体" w:cs="宋体"/>
          <w:sz w:val="24"/>
          <w:szCs w:val="24"/>
          <w:lang w:val="zh-CN"/>
        </w:rPr>
        <w:t>）供应商的类似业绩证明材料</w:t>
      </w:r>
    </w:p>
    <w:p w14:paraId="3663812A">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cs="宋体"/>
          <w:sz w:val="24"/>
          <w:szCs w:val="24"/>
          <w:lang w:val="en-US" w:eastAsia="zh-CN"/>
        </w:rPr>
        <w:t>20</w:t>
      </w:r>
      <w:r>
        <w:rPr>
          <w:rFonts w:hint="eastAsia" w:ascii="宋体" w:hAnsi="宋体" w:eastAsia="宋体" w:cs="宋体"/>
          <w:sz w:val="24"/>
          <w:szCs w:val="24"/>
          <w:lang w:val="zh-CN"/>
        </w:rPr>
        <w:t>）销售及</w:t>
      </w:r>
      <w:r>
        <w:rPr>
          <w:rFonts w:hint="eastAsia" w:ascii="宋体" w:hAnsi="宋体" w:cs="宋体"/>
          <w:sz w:val="24"/>
          <w:szCs w:val="24"/>
          <w:lang w:val="zh-CN"/>
        </w:rPr>
        <w:t>采购</w:t>
      </w:r>
      <w:r>
        <w:rPr>
          <w:rFonts w:hint="eastAsia" w:ascii="宋体" w:hAnsi="宋体" w:eastAsia="宋体" w:cs="宋体"/>
          <w:sz w:val="24"/>
          <w:szCs w:val="24"/>
          <w:lang w:val="zh-CN"/>
        </w:rPr>
        <w:t>相关内容</w:t>
      </w:r>
    </w:p>
    <w:p w14:paraId="46049E76">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cs="宋体"/>
          <w:sz w:val="24"/>
          <w:szCs w:val="24"/>
          <w:lang w:val="en-US" w:eastAsia="zh-CN"/>
        </w:rPr>
        <w:t>21</w:t>
      </w:r>
      <w:r>
        <w:rPr>
          <w:rFonts w:hint="eastAsia" w:ascii="宋体" w:hAnsi="宋体" w:eastAsia="宋体" w:cs="宋体"/>
          <w:sz w:val="24"/>
          <w:szCs w:val="24"/>
          <w:lang w:val="zh-CN"/>
        </w:rPr>
        <w:t>）供应商在其他方面有必要说明的事项</w:t>
      </w:r>
    </w:p>
    <w:p w14:paraId="31D63802">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w:t>
      </w:r>
      <w:r>
        <w:rPr>
          <w:rFonts w:hint="eastAsia" w:ascii="宋体" w:hAnsi="宋体" w:cs="宋体"/>
          <w:sz w:val="24"/>
          <w:szCs w:val="24"/>
          <w:lang w:val="en-US" w:eastAsia="zh-CN"/>
        </w:rPr>
        <w:t>2</w:t>
      </w:r>
      <w:r>
        <w:rPr>
          <w:rFonts w:hint="eastAsia" w:ascii="宋体" w:hAnsi="宋体" w:eastAsia="宋体" w:cs="宋体"/>
          <w:sz w:val="24"/>
          <w:szCs w:val="24"/>
          <w:lang w:val="zh-CN" w:eastAsia="zh-CN"/>
        </w:rPr>
        <w:t xml:space="preserve">）关于符合本国产品标准的声明函 </w:t>
      </w:r>
    </w:p>
    <w:p w14:paraId="1B91C4E8">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注：竞争性磋商文件要求签字、盖章的地方必须由供应商的法定代表人或委托代理人按要求签字或盖章；供应商提供的扫描（或复印）件均需加盖公章。供应商须按上述内容、顺序和格式编制响应文件。</w:t>
      </w:r>
      <w:bookmarkStart w:id="52" w:name="_Toc428180551"/>
    </w:p>
    <w:p w14:paraId="54727204">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1</w:t>
      </w: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lang w:val="zh-CN"/>
        </w:rPr>
        <w:t>. 磋商响应文件的编制要求</w:t>
      </w:r>
      <w:bookmarkEnd w:id="52"/>
    </w:p>
    <w:p w14:paraId="60D1BB49">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1供应商应按照竞争性磋商文件所提供的文件格式，分别填写竞争性磋商文件第四部分的内容，应分别注明所提供货物的名称、技术配置及参数、数量和价格等内容，并由法定代表人或委托代理人按要求签字、加盖公章。</w:t>
      </w:r>
    </w:p>
    <w:p w14:paraId="158B3714">
      <w:pPr>
        <w:keepNext w:val="0"/>
        <w:keepLines w:val="0"/>
        <w:pageBreakBefore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val="zh-CN"/>
        </w:rPr>
        <w:t>.2供应商应按竞争性磋商文件要求准备电子磋商响应文件,务必在开标截止前上传至电子开评标系统；因供应商原因解密不成功的视为无效响应。加密电子响应文件的制作详情请咨询政采云，咨询电话：</w:t>
      </w:r>
      <w:r>
        <w:rPr>
          <w:rFonts w:hint="eastAsia" w:ascii="宋体" w:hAnsi="宋体" w:eastAsia="宋体" w:cs="宋体"/>
          <w:b/>
          <w:bCs/>
          <w:sz w:val="24"/>
          <w:szCs w:val="24"/>
        </w:rPr>
        <w:t>95763</w:t>
      </w:r>
      <w:r>
        <w:rPr>
          <w:rFonts w:hint="eastAsia" w:ascii="宋体" w:hAnsi="宋体" w:eastAsia="宋体" w:cs="宋体"/>
          <w:b/>
          <w:bCs/>
          <w:sz w:val="24"/>
          <w:szCs w:val="24"/>
          <w:lang w:val="zh-CN"/>
        </w:rPr>
        <w:t>。</w:t>
      </w:r>
    </w:p>
    <w:p w14:paraId="6C866ED7">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13</w:t>
      </w:r>
      <w:r>
        <w:rPr>
          <w:rFonts w:hint="eastAsia" w:ascii="宋体" w:hAnsi="宋体" w:eastAsia="宋体" w:cs="宋体"/>
          <w:sz w:val="24"/>
          <w:szCs w:val="24"/>
          <w:lang w:val="zh-CN"/>
        </w:rPr>
        <w:t>.3磋商响应文件中不得行间插字、涂改或增删，如有修改错漏处，须由响应企业法人或其委托代理人签字或盖个人印鉴。</w:t>
      </w:r>
      <w:bookmarkStart w:id="53" w:name="_Toc428180552"/>
    </w:p>
    <w:p w14:paraId="11458D63">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en-US" w:eastAsia="zh-CN"/>
        </w:rPr>
      </w:pPr>
      <w:r>
        <w:rPr>
          <w:rFonts w:hint="eastAsia" w:ascii="宋体" w:hAnsi="宋体" w:eastAsia="宋体" w:cs="宋体"/>
          <w:b/>
          <w:sz w:val="24"/>
          <w:szCs w:val="24"/>
          <w:lang w:val="zh-CN"/>
        </w:rPr>
        <w:t>四、磋商响应文件的递交</w:t>
      </w:r>
      <w:bookmarkEnd w:id="53"/>
      <w:r>
        <w:rPr>
          <w:rFonts w:hint="eastAsia" w:ascii="宋体" w:hAnsi="宋体" w:eastAsia="宋体" w:cs="宋体"/>
          <w:b/>
          <w:sz w:val="24"/>
          <w:szCs w:val="24"/>
          <w:lang w:val="zh-CN"/>
        </w:rPr>
        <w:t>（供应商无需到现场提交纸质响应文件）</w:t>
      </w:r>
      <w:bookmarkStart w:id="54" w:name="_Toc428180553"/>
    </w:p>
    <w:p w14:paraId="6633EE19">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en-US" w:eastAsia="zh-CN"/>
        </w:rPr>
        <w:t>14</w:t>
      </w:r>
      <w:r>
        <w:rPr>
          <w:rFonts w:hint="eastAsia" w:ascii="宋体" w:hAnsi="宋体" w:eastAsia="宋体" w:cs="宋体"/>
          <w:b/>
          <w:bCs/>
          <w:kern w:val="0"/>
          <w:sz w:val="24"/>
          <w:szCs w:val="24"/>
          <w:lang w:val="zh-CN"/>
        </w:rPr>
        <w:t>. 磋商响应文件的标记</w:t>
      </w:r>
      <w:bookmarkEnd w:id="54"/>
    </w:p>
    <w:p w14:paraId="2F80CC60">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加密电子响应文件需供应商线上填写最终报价表及最终分项报价表。</w:t>
      </w:r>
      <w:bookmarkStart w:id="55" w:name="_Toc428180554"/>
    </w:p>
    <w:p w14:paraId="380B576E">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en-US" w:eastAsia="zh-CN"/>
        </w:rPr>
        <w:t>15</w:t>
      </w:r>
      <w:r>
        <w:rPr>
          <w:rFonts w:hint="eastAsia" w:ascii="宋体" w:hAnsi="宋体" w:eastAsia="宋体" w:cs="宋体"/>
          <w:b/>
          <w:bCs/>
          <w:kern w:val="0"/>
          <w:sz w:val="24"/>
          <w:szCs w:val="24"/>
          <w:lang w:val="zh-CN"/>
        </w:rPr>
        <w:t>. 递送磋商响应文件的地点、截止日期</w:t>
      </w:r>
      <w:bookmarkEnd w:id="55"/>
    </w:p>
    <w:p w14:paraId="491F7CEA">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kern w:val="0"/>
          <w:sz w:val="24"/>
          <w:szCs w:val="24"/>
          <w:lang w:val="en-US" w:eastAsia="zh-CN"/>
        </w:rPr>
        <w:t>15</w:t>
      </w:r>
      <w:r>
        <w:rPr>
          <w:rFonts w:hint="eastAsia" w:ascii="宋体" w:hAnsi="宋体" w:eastAsia="宋体" w:cs="宋体"/>
          <w:sz w:val="24"/>
          <w:szCs w:val="24"/>
          <w:lang w:val="zh-CN"/>
        </w:rPr>
        <w:t>.1所有磋商响应文件都必须按竞争性磋商文件规定的响应截止时间之前的要求上传，并在解密时间段内进行解密。</w:t>
      </w:r>
    </w:p>
    <w:p w14:paraId="00F95890">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15</w:t>
      </w:r>
      <w:r>
        <w:rPr>
          <w:rFonts w:hint="eastAsia" w:ascii="宋体" w:hAnsi="宋体" w:eastAsia="宋体" w:cs="宋体"/>
          <w:sz w:val="24"/>
          <w:szCs w:val="24"/>
          <w:lang w:val="zh-CN"/>
        </w:rPr>
        <w:t>.2采购代理机构可以按照第6条规定，通过修改竞争性磋商文件自行决定酌情延长响应截止期，在此情况下，采购代理机构和供应商受响应截止时间制约的所有权利和义务均延长至新的截止日期。</w:t>
      </w:r>
    </w:p>
    <w:p w14:paraId="59AA07F5">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sz w:val="24"/>
          <w:szCs w:val="24"/>
          <w:lang w:val="zh-CN"/>
        </w:rPr>
      </w:pPr>
      <w:bookmarkStart w:id="56" w:name="_Toc428180555"/>
      <w:r>
        <w:rPr>
          <w:rFonts w:hint="eastAsia" w:ascii="宋体" w:hAnsi="宋体" w:eastAsia="宋体" w:cs="宋体"/>
          <w:b/>
          <w:sz w:val="24"/>
          <w:szCs w:val="24"/>
          <w:lang w:val="en-US" w:eastAsia="zh-CN"/>
        </w:rPr>
        <w:t>16</w:t>
      </w:r>
      <w:r>
        <w:rPr>
          <w:rFonts w:hint="eastAsia" w:ascii="宋体" w:hAnsi="宋体" w:eastAsia="宋体" w:cs="宋体"/>
          <w:b/>
          <w:sz w:val="24"/>
          <w:szCs w:val="24"/>
          <w:lang w:val="zh-CN"/>
        </w:rPr>
        <w:t>. 磋商响应文件的撤回和修改</w:t>
      </w:r>
      <w:bookmarkEnd w:id="56"/>
    </w:p>
    <w:p w14:paraId="440C5191">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允许供应商在响应截止期前撤回其响应（须以书面形式通知采购代理机构），但响应截止时间后不得撤回其响应。</w:t>
      </w:r>
      <w:bookmarkStart w:id="57" w:name="_Toc428180556"/>
    </w:p>
    <w:p w14:paraId="0AF4437E">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en-US" w:eastAsia="zh-CN"/>
        </w:rPr>
      </w:pPr>
      <w:r>
        <w:rPr>
          <w:rFonts w:hint="eastAsia" w:ascii="宋体" w:hAnsi="宋体" w:eastAsia="宋体" w:cs="宋体"/>
          <w:b/>
          <w:sz w:val="24"/>
          <w:szCs w:val="24"/>
          <w:lang w:val="zh-CN"/>
        </w:rPr>
        <w:t>五、评标</w:t>
      </w:r>
      <w:bookmarkEnd w:id="57"/>
      <w:bookmarkStart w:id="58" w:name="_Toc428180557"/>
    </w:p>
    <w:p w14:paraId="382422AD">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en-US" w:eastAsia="zh-CN"/>
        </w:rPr>
        <w:t>17</w:t>
      </w:r>
      <w:r>
        <w:rPr>
          <w:rFonts w:hint="eastAsia" w:ascii="宋体" w:hAnsi="宋体" w:eastAsia="宋体" w:cs="宋体"/>
          <w:b/>
          <w:bCs/>
          <w:kern w:val="0"/>
          <w:sz w:val="24"/>
          <w:szCs w:val="24"/>
          <w:lang w:val="zh-CN"/>
        </w:rPr>
        <w:t>.评标</w:t>
      </w:r>
      <w:bookmarkEnd w:id="58"/>
    </w:p>
    <w:p w14:paraId="336EA8C6">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17</w:t>
      </w:r>
      <w:r>
        <w:rPr>
          <w:rFonts w:hint="eastAsia" w:ascii="宋体" w:hAnsi="宋体" w:eastAsia="宋体" w:cs="宋体"/>
          <w:sz w:val="24"/>
          <w:szCs w:val="24"/>
          <w:lang w:val="zh-CN"/>
        </w:rPr>
        <w:t>.1采购代理机构组织响应、评标活动，时间和地点以竞争性磋商文件中确定的为准。供应商须派法定代表人或委托代理人在响应截止时间之前进行网上签到以证明其出席响应会议，否则视为自动放弃。</w:t>
      </w:r>
    </w:p>
    <w:p w14:paraId="10310B33">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17</w:t>
      </w:r>
      <w:r>
        <w:rPr>
          <w:rFonts w:hint="eastAsia" w:ascii="宋体" w:hAnsi="宋体" w:eastAsia="宋体" w:cs="宋体"/>
          <w:sz w:val="24"/>
          <w:szCs w:val="24"/>
          <w:lang w:val="zh-CN"/>
        </w:rPr>
        <w:t xml:space="preserve">.2响应截止时间供应商不足三家的，不得开标。 </w:t>
      </w:r>
    </w:p>
    <w:p w14:paraId="230177D9">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17.</w:t>
      </w:r>
      <w:r>
        <w:rPr>
          <w:rFonts w:hint="eastAsia" w:ascii="宋体" w:hAnsi="宋体" w:eastAsia="宋体" w:cs="宋体"/>
          <w:sz w:val="24"/>
          <w:szCs w:val="24"/>
          <w:lang w:val="zh-CN"/>
        </w:rPr>
        <w:t>3开标时，“磋商报价表”中的报价与磋商响应文件中“磋商报价表”内容不一致的，以磋商响应文件的报价为准。磋商响应文件中大写金额与小写金额不一致的，以大写金额为准；总价金额与按单价汇总金额不一致的，以单价汇总金额计算结果为准；单价金额小数点有明显错位的，以总价为准，并修改单价；对不同文字文本响应文件的解释发生异议的，以中文文本为准。若供应商拒绝接受，其响应将被拒绝。</w:t>
      </w:r>
      <w:bookmarkStart w:id="59" w:name="_Toc428180558"/>
    </w:p>
    <w:p w14:paraId="77A4F8C0">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en-US" w:eastAsia="zh-CN"/>
        </w:rPr>
      </w:pPr>
      <w:r>
        <w:rPr>
          <w:rFonts w:hint="eastAsia" w:ascii="宋体" w:hAnsi="宋体" w:eastAsia="宋体" w:cs="宋体"/>
          <w:b/>
          <w:sz w:val="24"/>
          <w:szCs w:val="24"/>
          <w:lang w:val="zh-CN"/>
        </w:rPr>
        <w:t>六、资格审查程序及方法</w:t>
      </w:r>
      <w:bookmarkEnd w:id="59"/>
      <w:bookmarkStart w:id="60" w:name="_Toc428180559"/>
    </w:p>
    <w:p w14:paraId="42E4E25C">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en-US" w:eastAsia="zh-CN"/>
        </w:rPr>
        <w:t>18</w:t>
      </w:r>
      <w:r>
        <w:rPr>
          <w:rFonts w:hint="eastAsia" w:ascii="宋体" w:hAnsi="宋体" w:eastAsia="宋体" w:cs="宋体"/>
          <w:b/>
          <w:bCs/>
          <w:kern w:val="0"/>
          <w:sz w:val="24"/>
          <w:szCs w:val="24"/>
          <w:lang w:val="zh-CN"/>
        </w:rPr>
        <w:t>.资格审查程序</w:t>
      </w:r>
    </w:p>
    <w:p w14:paraId="678BD2C9">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18</w:t>
      </w:r>
      <w:r>
        <w:rPr>
          <w:rFonts w:hint="eastAsia" w:ascii="宋体" w:hAnsi="宋体" w:eastAsia="宋体" w:cs="宋体"/>
          <w:sz w:val="24"/>
          <w:szCs w:val="24"/>
          <w:lang w:val="zh-CN"/>
        </w:rPr>
        <w:t>.1 由磋商小组对供应商的资格进行审查。</w:t>
      </w:r>
    </w:p>
    <w:p w14:paraId="162F15BD">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b/>
          <w:sz w:val="24"/>
          <w:szCs w:val="24"/>
          <w:lang w:val="zh-CN"/>
        </w:rPr>
      </w:pPr>
      <w:r>
        <w:rPr>
          <w:rFonts w:hint="eastAsia" w:ascii="宋体" w:hAnsi="宋体" w:eastAsia="宋体" w:cs="宋体"/>
          <w:sz w:val="24"/>
          <w:szCs w:val="24"/>
          <w:lang w:val="en-US" w:eastAsia="zh-CN"/>
        </w:rPr>
        <w:t>18</w:t>
      </w:r>
      <w:r>
        <w:rPr>
          <w:rFonts w:hint="eastAsia" w:ascii="宋体" w:hAnsi="宋体" w:eastAsia="宋体" w:cs="宋体"/>
          <w:sz w:val="24"/>
          <w:szCs w:val="24"/>
          <w:lang w:val="zh-CN"/>
        </w:rPr>
        <w:t>.2 合格供应商不足3家的，不得评标。</w:t>
      </w:r>
      <w:bookmarkStart w:id="61" w:name="_Toc500493778"/>
    </w:p>
    <w:p w14:paraId="518F2128">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en-US" w:eastAsia="zh-CN"/>
        </w:rPr>
        <w:t>19</w:t>
      </w:r>
      <w:r>
        <w:rPr>
          <w:rFonts w:hint="eastAsia" w:ascii="宋体" w:hAnsi="宋体" w:eastAsia="宋体" w:cs="宋体"/>
          <w:b/>
          <w:bCs/>
          <w:kern w:val="0"/>
          <w:sz w:val="24"/>
          <w:szCs w:val="24"/>
          <w:lang w:val="zh-CN"/>
        </w:rPr>
        <w:t>.资格审查不通过的情形</w:t>
      </w:r>
      <w:bookmarkEnd w:id="61"/>
    </w:p>
    <w:p w14:paraId="14F0B27F">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资格审查时，供应商存在下列情况之一的，按无效响应处理：</w:t>
      </w:r>
    </w:p>
    <w:p w14:paraId="3937E1C3">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19</w:t>
      </w:r>
      <w:r>
        <w:rPr>
          <w:rFonts w:hint="eastAsia" w:ascii="宋体" w:hAnsi="宋体" w:eastAsia="宋体" w:cs="宋体"/>
          <w:sz w:val="24"/>
          <w:szCs w:val="24"/>
          <w:lang w:val="zh-CN"/>
        </w:rPr>
        <w:t>.1 不符合磋商文件第一部分供应商须知前附表“供应商资格条件”的；</w:t>
      </w:r>
    </w:p>
    <w:p w14:paraId="578D340F">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19</w:t>
      </w:r>
      <w:r>
        <w:rPr>
          <w:rFonts w:hint="eastAsia" w:ascii="宋体" w:hAnsi="宋体" w:eastAsia="宋体" w:cs="宋体"/>
          <w:sz w:val="24"/>
          <w:szCs w:val="24"/>
          <w:lang w:val="zh-CN"/>
        </w:rPr>
        <w:t>.2 未按第</w:t>
      </w:r>
      <w:r>
        <w:rPr>
          <w:rFonts w:hint="eastAsia" w:ascii="宋体" w:hAnsi="宋体" w:eastAsia="宋体" w:cs="宋体"/>
          <w:sz w:val="24"/>
          <w:szCs w:val="24"/>
          <w:lang w:val="en-US" w:eastAsia="zh-CN"/>
        </w:rPr>
        <w:t>12</w:t>
      </w:r>
      <w:r>
        <w:rPr>
          <w:rFonts w:hint="eastAsia" w:ascii="宋体" w:hAnsi="宋体" w:eastAsia="宋体" w:cs="宋体"/>
          <w:sz w:val="24"/>
          <w:szCs w:val="24"/>
          <w:lang w:val="zh-CN"/>
        </w:rPr>
        <w:t>.1.1款（1）-</w:t>
      </w:r>
      <w:r>
        <w:rPr>
          <w:rFonts w:hint="eastAsia" w:ascii="宋体" w:hAnsi="宋体" w:cs="宋体"/>
          <w:sz w:val="24"/>
          <w:szCs w:val="24"/>
          <w:lang w:val="zh-CN"/>
        </w:rPr>
        <w:t>（</w:t>
      </w:r>
      <w:r>
        <w:rPr>
          <w:rFonts w:hint="eastAsia" w:ascii="宋体" w:hAnsi="宋体" w:cs="宋体"/>
          <w:sz w:val="24"/>
          <w:szCs w:val="24"/>
          <w:lang w:val="en-US" w:eastAsia="zh-CN"/>
        </w:rPr>
        <w:t>10</w:t>
      </w:r>
      <w:r>
        <w:rPr>
          <w:rFonts w:hint="eastAsia" w:ascii="宋体" w:hAnsi="宋体" w:cs="宋体"/>
          <w:sz w:val="24"/>
          <w:szCs w:val="24"/>
          <w:lang w:val="zh-CN"/>
        </w:rPr>
        <w:t>）</w:t>
      </w:r>
      <w:r>
        <w:rPr>
          <w:rFonts w:hint="eastAsia" w:ascii="宋体" w:hAnsi="宋体" w:eastAsia="宋体" w:cs="宋体"/>
          <w:sz w:val="24"/>
          <w:szCs w:val="24"/>
          <w:lang w:val="zh-CN"/>
        </w:rPr>
        <w:t>要求提供相关资料的；</w:t>
      </w:r>
    </w:p>
    <w:p w14:paraId="5EA75CCC">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19</w:t>
      </w:r>
      <w:r>
        <w:rPr>
          <w:rFonts w:hint="eastAsia" w:ascii="宋体" w:hAnsi="宋体" w:eastAsia="宋体" w:cs="宋体"/>
          <w:sz w:val="24"/>
          <w:szCs w:val="24"/>
          <w:lang w:val="zh-CN"/>
        </w:rPr>
        <w:t>.3 资格性审查文件没有按磋商文件规定和要求签字、盖章的；</w:t>
      </w:r>
    </w:p>
    <w:p w14:paraId="45EBAE1B">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19</w:t>
      </w:r>
      <w:r>
        <w:rPr>
          <w:rFonts w:hint="eastAsia" w:ascii="宋体" w:hAnsi="宋体" w:eastAsia="宋体" w:cs="宋体"/>
          <w:sz w:val="24"/>
          <w:szCs w:val="24"/>
          <w:lang w:val="zh-CN"/>
        </w:rPr>
        <w:t>.4 擅自修改磋商文件规定的响应文件格式以及编制要求的；</w:t>
      </w:r>
    </w:p>
    <w:p w14:paraId="5ECC3E6D">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19</w:t>
      </w:r>
      <w:r>
        <w:rPr>
          <w:rFonts w:hint="eastAsia" w:ascii="宋体" w:hAnsi="宋体" w:eastAsia="宋体" w:cs="宋体"/>
          <w:sz w:val="24"/>
          <w:szCs w:val="24"/>
          <w:lang w:val="zh-CN"/>
        </w:rPr>
        <w:t>.5磋商文件中出现的其他无效响应情形。</w:t>
      </w:r>
    </w:p>
    <w:p w14:paraId="3F0F455F">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en-US" w:eastAsia="zh-CN"/>
        </w:rPr>
      </w:pPr>
      <w:r>
        <w:rPr>
          <w:rFonts w:hint="eastAsia" w:ascii="宋体" w:hAnsi="宋体" w:eastAsia="宋体" w:cs="宋体"/>
          <w:b/>
          <w:sz w:val="24"/>
          <w:szCs w:val="24"/>
          <w:lang w:val="zh-CN"/>
        </w:rPr>
        <w:t>七、评标程序及方法</w:t>
      </w:r>
    </w:p>
    <w:p w14:paraId="490730F6">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en-US" w:eastAsia="zh-CN"/>
        </w:rPr>
        <w:t>20</w:t>
      </w:r>
      <w:r>
        <w:rPr>
          <w:rFonts w:hint="eastAsia" w:ascii="宋体" w:hAnsi="宋体" w:eastAsia="宋体" w:cs="宋体"/>
          <w:b/>
          <w:bCs/>
          <w:kern w:val="0"/>
          <w:sz w:val="24"/>
          <w:szCs w:val="24"/>
          <w:lang w:val="zh-CN"/>
        </w:rPr>
        <w:t>.磋商小组</w:t>
      </w:r>
      <w:bookmarkEnd w:id="60"/>
    </w:p>
    <w:p w14:paraId="49E8A5EA">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20</w:t>
      </w:r>
      <w:r>
        <w:rPr>
          <w:rFonts w:hint="eastAsia" w:ascii="宋体" w:hAnsi="宋体" w:eastAsia="宋体" w:cs="宋体"/>
          <w:sz w:val="24"/>
          <w:szCs w:val="24"/>
          <w:lang w:val="zh-CN"/>
        </w:rPr>
        <w:t>.1 采购代理机构根据采购项目的特点依法组建磋商小组。小组成员由采购人熟悉相关业务的代表以及技术方面的专家组成；人数为三人及三人以上组成。</w:t>
      </w:r>
    </w:p>
    <w:p w14:paraId="03426EFD">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20</w:t>
      </w:r>
      <w:r>
        <w:rPr>
          <w:rFonts w:hint="eastAsia" w:ascii="宋体" w:hAnsi="宋体" w:eastAsia="宋体" w:cs="宋体"/>
          <w:sz w:val="24"/>
          <w:szCs w:val="24"/>
          <w:lang w:val="zh-CN"/>
        </w:rPr>
        <w:t xml:space="preserve">.2磋商小组成员由下列情形之一的，应该回避： </w:t>
      </w:r>
    </w:p>
    <w:p w14:paraId="088B322B">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（1）采购人或供应商的主要负责人的近亲属；</w:t>
      </w:r>
    </w:p>
    <w:p w14:paraId="5B4E46AC">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（2）项目主管部门或者行政监督部门的人员；</w:t>
      </w:r>
    </w:p>
    <w:p w14:paraId="038B760A">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（3）与供应商有经济利益关系，可能影响对响应公正评审的；</w:t>
      </w:r>
    </w:p>
    <w:p w14:paraId="21F034E6">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（4）确定中标候选人名单，以及根据采购人委托直接确定中标人；</w:t>
      </w:r>
    </w:p>
    <w:p w14:paraId="1526102B">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（5）向采购代理机构或者有关部门报告评标中发现的违法行为。</w:t>
      </w:r>
    </w:p>
    <w:p w14:paraId="40887A4D">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bookmarkStart w:id="62" w:name="_Toc428180560"/>
      <w:r>
        <w:rPr>
          <w:rFonts w:hint="eastAsia" w:ascii="宋体" w:hAnsi="宋体" w:eastAsia="宋体" w:cs="宋体"/>
          <w:sz w:val="24"/>
          <w:szCs w:val="24"/>
          <w:lang w:val="en-US" w:eastAsia="zh-CN"/>
        </w:rPr>
        <w:t>20</w:t>
      </w:r>
      <w:r>
        <w:rPr>
          <w:rFonts w:hint="eastAsia" w:ascii="宋体" w:hAnsi="宋体" w:eastAsia="宋体" w:cs="宋体"/>
          <w:sz w:val="24"/>
          <w:szCs w:val="24"/>
          <w:lang w:val="zh-CN"/>
        </w:rPr>
        <w:t>.3磋商小组应遵守并履行下列义务：</w:t>
      </w:r>
    </w:p>
    <w:p w14:paraId="1A51A8F8">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（1）遵纪守法，客观、公正、廉洁地履行职责；</w:t>
      </w:r>
    </w:p>
    <w:p w14:paraId="2A31BC6F">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（2）按照磋商文件规定的评标方法和评标标准进行评审；</w:t>
      </w:r>
    </w:p>
    <w:p w14:paraId="7CEB2CD6">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（3）对评标文件、评标情况和评标中获悉的商业秘密保密；</w:t>
      </w:r>
    </w:p>
    <w:p w14:paraId="5394F4E6">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（4）解答响应供应商及有关方面的质疑；</w:t>
      </w:r>
    </w:p>
    <w:p w14:paraId="105281B3">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20</w:t>
      </w:r>
      <w:r>
        <w:rPr>
          <w:rFonts w:hint="eastAsia" w:ascii="宋体" w:hAnsi="宋体" w:eastAsia="宋体" w:cs="宋体"/>
          <w:sz w:val="24"/>
          <w:szCs w:val="24"/>
          <w:lang w:val="zh-CN"/>
        </w:rPr>
        <w:t>.4评标原则：评标活动遵循公平、公正、科学和择优的原则。</w:t>
      </w:r>
    </w:p>
    <w:p w14:paraId="65AAD0DD">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20</w:t>
      </w:r>
      <w:r>
        <w:rPr>
          <w:rFonts w:hint="eastAsia" w:ascii="宋体" w:hAnsi="宋体" w:eastAsia="宋体" w:cs="宋体"/>
          <w:sz w:val="24"/>
          <w:szCs w:val="24"/>
          <w:lang w:val="zh-CN"/>
        </w:rPr>
        <w:t>.5 磋商小组应依据响应文件规定的评标方法和评标标准对其他因素进行客观评审。</w:t>
      </w:r>
    </w:p>
    <w:p w14:paraId="01F98ED4">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b/>
          <w:bCs/>
          <w:kern w:val="0"/>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lang w:val="zh-CN"/>
        </w:rPr>
        <w:t>.6 评标委员会发现响应文件存在歧义、重大缺陷导致评标工作无法进行，或者磋商文件内容违反国家有关强制性规定的，应当停止评标工作，与采购代理机构沟通并作书面记录。采购代理机构确认后，应当修改磋商文件，重新组织采购活动。</w:t>
      </w:r>
      <w:bookmarkEnd w:id="62"/>
      <w:bookmarkStart w:id="63" w:name="_Toc325726023"/>
      <w:bookmarkStart w:id="64" w:name="_Toc376936754"/>
      <w:bookmarkStart w:id="65" w:name="_Toc500493781"/>
    </w:p>
    <w:p w14:paraId="7B834360">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21</w:t>
      </w:r>
      <w:r>
        <w:rPr>
          <w:rFonts w:hint="eastAsia" w:ascii="宋体" w:hAnsi="宋体" w:eastAsia="宋体" w:cs="宋体"/>
          <w:b/>
          <w:bCs/>
          <w:kern w:val="0"/>
          <w:sz w:val="24"/>
          <w:szCs w:val="24"/>
        </w:rPr>
        <w:t>.评标工作程序</w:t>
      </w:r>
      <w:bookmarkEnd w:id="63"/>
      <w:bookmarkEnd w:id="64"/>
      <w:bookmarkEnd w:id="65"/>
    </w:p>
    <w:p w14:paraId="7B5FCE3B">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21</w:t>
      </w:r>
      <w:r>
        <w:rPr>
          <w:rFonts w:hint="eastAsia" w:ascii="宋体" w:hAnsi="宋体" w:eastAsia="宋体" w:cs="宋体"/>
          <w:sz w:val="24"/>
          <w:szCs w:val="24"/>
          <w:lang w:val="zh-CN"/>
        </w:rPr>
        <w:t>.1进入符合性评标阶段后，由磋商小组负责审议资格性审查通过的所有响应文件，并对响应文件进行评审、评分。</w:t>
      </w:r>
    </w:p>
    <w:p w14:paraId="7EBDECA6">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21</w:t>
      </w:r>
      <w:r>
        <w:rPr>
          <w:rFonts w:hint="eastAsia" w:ascii="宋体" w:hAnsi="宋体" w:eastAsia="宋体" w:cs="宋体"/>
          <w:sz w:val="24"/>
          <w:szCs w:val="24"/>
          <w:lang w:val="zh-CN"/>
        </w:rPr>
        <w:t>.2 符合性审查时，存在下列情况之一的，按无效响应处理：</w:t>
      </w:r>
    </w:p>
    <w:p w14:paraId="319D9118">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（1）未按第</w:t>
      </w:r>
      <w:r>
        <w:rPr>
          <w:rFonts w:hint="eastAsia" w:ascii="宋体" w:hAnsi="宋体" w:eastAsia="宋体" w:cs="宋体"/>
          <w:sz w:val="24"/>
          <w:szCs w:val="24"/>
          <w:lang w:val="en-US" w:eastAsia="zh-CN"/>
        </w:rPr>
        <w:t>12</w:t>
      </w:r>
      <w:r>
        <w:rPr>
          <w:rFonts w:hint="eastAsia" w:ascii="宋体" w:hAnsi="宋体" w:eastAsia="宋体" w:cs="宋体"/>
          <w:sz w:val="24"/>
          <w:szCs w:val="24"/>
          <w:lang w:val="zh-CN"/>
        </w:rPr>
        <w:t>.1.2款（</w:t>
      </w:r>
      <w:r>
        <w:rPr>
          <w:rFonts w:hint="eastAsia" w:ascii="宋体" w:hAnsi="宋体" w:cs="宋体"/>
          <w:sz w:val="24"/>
          <w:szCs w:val="24"/>
          <w:lang w:val="en-US" w:eastAsia="zh-CN"/>
        </w:rPr>
        <w:t>13</w:t>
      </w:r>
      <w:r>
        <w:rPr>
          <w:rFonts w:hint="eastAsia" w:ascii="宋体" w:hAnsi="宋体" w:eastAsia="宋体" w:cs="宋体"/>
          <w:sz w:val="24"/>
          <w:szCs w:val="24"/>
          <w:lang w:val="zh-CN"/>
        </w:rPr>
        <w:t>）-（</w:t>
      </w:r>
      <w:r>
        <w:rPr>
          <w:rFonts w:hint="eastAsia" w:ascii="宋体" w:hAnsi="宋体" w:cs="宋体"/>
          <w:sz w:val="24"/>
          <w:szCs w:val="24"/>
          <w:lang w:val="en-US" w:eastAsia="zh-CN"/>
        </w:rPr>
        <w:t>16</w:t>
      </w:r>
      <w:r>
        <w:rPr>
          <w:rFonts w:hint="eastAsia" w:ascii="宋体" w:hAnsi="宋体" w:eastAsia="宋体" w:cs="宋体"/>
          <w:sz w:val="24"/>
          <w:szCs w:val="24"/>
          <w:lang w:val="zh-CN"/>
        </w:rPr>
        <w:t>）</w:t>
      </w:r>
      <w:r>
        <w:rPr>
          <w:rFonts w:hint="eastAsia" w:ascii="宋体" w:hAnsi="宋体" w:cs="宋体"/>
          <w:sz w:val="24"/>
          <w:szCs w:val="24"/>
          <w:lang w:val="zh-CN"/>
        </w:rPr>
        <w:t>、（</w:t>
      </w:r>
      <w:r>
        <w:rPr>
          <w:rFonts w:hint="eastAsia" w:ascii="宋体" w:hAnsi="宋体" w:cs="宋体"/>
          <w:sz w:val="24"/>
          <w:szCs w:val="24"/>
          <w:lang w:val="en-US" w:eastAsia="zh-CN"/>
        </w:rPr>
        <w:t>18</w:t>
      </w:r>
      <w:r>
        <w:rPr>
          <w:rFonts w:hint="eastAsia" w:ascii="宋体" w:hAnsi="宋体" w:cs="宋体"/>
          <w:sz w:val="24"/>
          <w:szCs w:val="24"/>
          <w:lang w:val="zh-CN"/>
        </w:rPr>
        <w:t>）</w:t>
      </w:r>
      <w:r>
        <w:rPr>
          <w:rFonts w:hint="eastAsia" w:ascii="宋体" w:hAnsi="宋体" w:eastAsia="宋体" w:cs="宋体"/>
          <w:sz w:val="24"/>
          <w:szCs w:val="24"/>
          <w:lang w:val="zh-CN"/>
        </w:rPr>
        <w:t>要求提供相关资料的；</w:t>
      </w:r>
    </w:p>
    <w:p w14:paraId="5AB073E9">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（2）符合性审查文件没有按竞争性磋商文件规定和要求签字、盖章的；</w:t>
      </w:r>
    </w:p>
    <w:p w14:paraId="6050756E">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cs="宋体"/>
          <w:sz w:val="24"/>
          <w:szCs w:val="24"/>
          <w:lang w:val="en-US" w:eastAsia="zh-CN"/>
        </w:rPr>
        <w:t>交货</w:t>
      </w:r>
      <w:r>
        <w:rPr>
          <w:rFonts w:hint="eastAsia" w:ascii="宋体" w:hAnsi="宋体" w:eastAsia="宋体" w:cs="宋体"/>
          <w:sz w:val="24"/>
          <w:szCs w:val="24"/>
          <w:lang w:val="zh-CN"/>
        </w:rPr>
        <w:t>期、响应有效期不能满足响应文件要求的；</w:t>
      </w:r>
    </w:p>
    <w:p w14:paraId="43F73191">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（4）响应总报价超过竞争性磋商文件规定的采购预算额度或者最高限价的；</w:t>
      </w:r>
    </w:p>
    <w:p w14:paraId="7AE41B68">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（5）响应产品的服务、技术标准明显不符合采购项目要求的；</w:t>
      </w:r>
    </w:p>
    <w:p w14:paraId="6F8F563C">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（6）供应商提供的服务或产品未完全满足竞争性磋商文件确定的重要技术指标、参数的；</w:t>
      </w:r>
    </w:p>
    <w:p w14:paraId="64458FA4">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（7）磋商响应文件含有采购人不能接受的附加条件的；</w:t>
      </w:r>
    </w:p>
    <w:p w14:paraId="668E77C1">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（8）磋商小组认为应按无效响应处理的其他情况；</w:t>
      </w:r>
    </w:p>
    <w:p w14:paraId="182DB911">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（9）法律、法规规定的其他情形。</w:t>
      </w:r>
    </w:p>
    <w:p w14:paraId="52ECB0ED">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21</w:t>
      </w:r>
      <w:r>
        <w:rPr>
          <w:rFonts w:hint="eastAsia" w:ascii="宋体" w:hAnsi="宋体" w:eastAsia="宋体" w:cs="宋体"/>
          <w:sz w:val="24"/>
          <w:szCs w:val="24"/>
          <w:lang w:val="zh-CN"/>
        </w:rPr>
        <w:t>.3 磋商小组认为供应商的报价明显低于其他通过符合性审查供应商的报价，有可能影响产品质量或者不能诚信履约的，应当要求其在评标现场合理的时间内线上提供说明，必要时提交相关证明材料；供应商不能证明其报价合理性的，磋商小组会应当将其作为无效响应处理。</w:t>
      </w:r>
    </w:p>
    <w:p w14:paraId="05834E36">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21</w:t>
      </w:r>
      <w:r>
        <w:rPr>
          <w:rFonts w:hint="eastAsia" w:ascii="宋体" w:hAnsi="宋体" w:eastAsia="宋体" w:cs="宋体"/>
          <w:sz w:val="24"/>
          <w:szCs w:val="24"/>
          <w:lang w:val="zh-CN"/>
        </w:rPr>
        <w:t>.4 在项目评标时，提供相同品牌产品且通过资格审查、符合性审查的不同供应商参加同一合同项下响应的，按一家供应商计算，评审后得分最高的同品牌供应商获得</w:t>
      </w:r>
      <w:r>
        <w:rPr>
          <w:rFonts w:hint="eastAsia" w:ascii="宋体" w:hAnsi="宋体" w:eastAsia="宋体" w:cs="宋体"/>
          <w:sz w:val="24"/>
          <w:szCs w:val="24"/>
          <w:lang w:val="en-US" w:eastAsia="zh-CN"/>
        </w:rPr>
        <w:t>成交供应商</w:t>
      </w:r>
      <w:r>
        <w:rPr>
          <w:rFonts w:hint="eastAsia" w:ascii="宋体" w:hAnsi="宋体" w:eastAsia="宋体" w:cs="宋体"/>
          <w:sz w:val="24"/>
          <w:szCs w:val="24"/>
          <w:lang w:val="zh-CN"/>
        </w:rPr>
        <w:t>推荐资格；评审得分相同的，由采购人或者采购人委托磋商小组采取随机抽取方式确定，其他同品牌供应商不作为</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候选人。</w:t>
      </w:r>
      <w:bookmarkStart w:id="66" w:name="_Toc500493782"/>
    </w:p>
    <w:p w14:paraId="029371FA">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21.5本国产品价格扣除</w:t>
      </w:r>
    </w:p>
    <w:p w14:paraId="43AA606E">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21</w:t>
      </w:r>
      <w:r>
        <w:rPr>
          <w:rFonts w:hint="default" w:ascii="宋体" w:hAnsi="宋体" w:cs="宋体"/>
          <w:sz w:val="24"/>
          <w:szCs w:val="24"/>
          <w:lang w:val="en-US" w:eastAsia="zh-CN"/>
        </w:rPr>
        <w:t>.</w:t>
      </w:r>
      <w:r>
        <w:rPr>
          <w:rFonts w:hint="eastAsia" w:ascii="宋体" w:hAnsi="宋体" w:cs="宋体"/>
          <w:sz w:val="24"/>
          <w:szCs w:val="24"/>
          <w:lang w:val="en-US" w:eastAsia="zh-CN"/>
        </w:rPr>
        <w:t>5</w:t>
      </w:r>
      <w:r>
        <w:rPr>
          <w:rFonts w:hint="default" w:ascii="宋体" w:hAnsi="宋体" w:cs="宋体"/>
          <w:sz w:val="24"/>
          <w:szCs w:val="24"/>
          <w:lang w:val="en-US" w:eastAsia="zh-CN"/>
        </w:rPr>
        <w:t>.1 根据《国务院办公厅关于在政府采购中实施本国产品标准及相关政策的通知》国办发〔2025〕34号，符合本国产品标准的可享受价格扣除，本国产品应当符合以下条件：</w:t>
      </w:r>
    </w:p>
    <w:p w14:paraId="509A4DFC">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（一）在中国境内生产；</w:t>
      </w:r>
    </w:p>
    <w:p w14:paraId="7FB88E85">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（二）在中国境内生产的组件成本占比达到规定比例；</w:t>
      </w:r>
    </w:p>
    <w:p w14:paraId="02321D28">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（三）特定产品的关键组件、关键工序符合相关要求。</w:t>
      </w:r>
    </w:p>
    <w:p w14:paraId="425CC8FE">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21</w:t>
      </w:r>
      <w:r>
        <w:rPr>
          <w:rFonts w:hint="default" w:ascii="宋体" w:hAnsi="宋体" w:cs="宋体"/>
          <w:sz w:val="24"/>
          <w:szCs w:val="24"/>
          <w:lang w:val="en-US" w:eastAsia="zh-CN"/>
        </w:rPr>
        <w:t>.</w:t>
      </w:r>
      <w:r>
        <w:rPr>
          <w:rFonts w:hint="eastAsia" w:ascii="宋体" w:hAnsi="宋体" w:cs="宋体"/>
          <w:sz w:val="24"/>
          <w:szCs w:val="24"/>
          <w:lang w:val="en-US" w:eastAsia="zh-CN"/>
        </w:rPr>
        <w:t>5</w:t>
      </w:r>
      <w:r>
        <w:rPr>
          <w:rFonts w:hint="default" w:ascii="宋体" w:hAnsi="宋体" w:cs="宋体"/>
          <w:sz w:val="24"/>
          <w:szCs w:val="24"/>
          <w:lang w:val="en-US" w:eastAsia="zh-CN"/>
        </w:rPr>
        <w:t>.2 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FC9CD15">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default" w:ascii="宋体" w:hAnsi="宋体" w:cs="宋体"/>
          <w:sz w:val="24"/>
          <w:szCs w:val="24"/>
          <w:lang w:val="en-US" w:eastAsia="zh-CN"/>
        </w:rPr>
      </w:pPr>
      <w:r>
        <w:rPr>
          <w:rFonts w:hint="default" w:ascii="宋体" w:hAnsi="宋体" w:cs="宋体"/>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930FDDE">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21</w:t>
      </w:r>
      <w:r>
        <w:rPr>
          <w:rFonts w:hint="default" w:ascii="宋体" w:hAnsi="宋体" w:cs="宋体"/>
          <w:sz w:val="24"/>
          <w:szCs w:val="24"/>
          <w:lang w:val="en-US" w:eastAsia="zh-CN"/>
        </w:rPr>
        <w:t>.</w:t>
      </w:r>
      <w:r>
        <w:rPr>
          <w:rFonts w:hint="eastAsia" w:ascii="宋体" w:hAnsi="宋体" w:cs="宋体"/>
          <w:sz w:val="24"/>
          <w:szCs w:val="24"/>
          <w:lang w:val="en-US" w:eastAsia="zh-CN"/>
        </w:rPr>
        <w:t>5</w:t>
      </w:r>
      <w:r>
        <w:rPr>
          <w:rFonts w:hint="default" w:ascii="宋体" w:hAnsi="宋体" w:cs="宋体"/>
          <w:sz w:val="24"/>
          <w:szCs w:val="24"/>
          <w:lang w:val="en-US" w:eastAsia="zh-CN"/>
        </w:rPr>
        <w:t>.3 投标人应提供《关于符合本国产品标准的声明函》原件，未提供的，视为放弃享受本国产品价格扣除优惠政策。</w:t>
      </w:r>
    </w:p>
    <w:p w14:paraId="79F04FD3">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21</w:t>
      </w:r>
      <w:r>
        <w:rPr>
          <w:rFonts w:hint="default" w:ascii="宋体" w:hAnsi="宋体" w:cs="宋体"/>
          <w:sz w:val="24"/>
          <w:szCs w:val="24"/>
          <w:lang w:val="en-US" w:eastAsia="zh-CN"/>
        </w:rPr>
        <w:t>.</w:t>
      </w:r>
      <w:r>
        <w:rPr>
          <w:rFonts w:hint="eastAsia" w:ascii="宋体" w:hAnsi="宋体" w:cs="宋体"/>
          <w:sz w:val="24"/>
          <w:szCs w:val="24"/>
          <w:lang w:val="en-US" w:eastAsia="zh-CN"/>
        </w:rPr>
        <w:t>5</w:t>
      </w:r>
      <w:r>
        <w:rPr>
          <w:rFonts w:hint="default" w:ascii="宋体" w:hAnsi="宋体" w:cs="宋体"/>
          <w:sz w:val="24"/>
          <w:szCs w:val="24"/>
          <w:lang w:val="en-US" w:eastAsia="zh-CN"/>
        </w:rPr>
        <w:t>.4 当采购项目或者采购包中含有多种产品时，投标人还需提供《本国产品成本比例的声明函》原件。</w:t>
      </w:r>
    </w:p>
    <w:p w14:paraId="14869C5D">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22</w:t>
      </w:r>
      <w:r>
        <w:rPr>
          <w:rFonts w:hint="eastAsia" w:ascii="宋体" w:hAnsi="宋体" w:eastAsia="宋体" w:cs="宋体"/>
          <w:b/>
          <w:bCs/>
          <w:kern w:val="0"/>
          <w:sz w:val="24"/>
          <w:szCs w:val="24"/>
        </w:rPr>
        <w:t>.答疑的方式和情形</w:t>
      </w:r>
      <w:bookmarkEnd w:id="66"/>
    </w:p>
    <w:p w14:paraId="0829FD0D">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22</w:t>
      </w:r>
      <w:r>
        <w:rPr>
          <w:rFonts w:hint="eastAsia" w:ascii="宋体" w:hAnsi="宋体" w:eastAsia="宋体" w:cs="宋体"/>
          <w:sz w:val="24"/>
          <w:szCs w:val="24"/>
          <w:lang w:val="zh-CN"/>
        </w:rPr>
        <w:t>.1 答疑方式：详见第一部分供应商须知前附表“答疑方式”。</w:t>
      </w:r>
    </w:p>
    <w:p w14:paraId="363ACE42">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22</w:t>
      </w:r>
      <w:r>
        <w:rPr>
          <w:rFonts w:hint="eastAsia" w:ascii="宋体" w:hAnsi="宋体" w:eastAsia="宋体" w:cs="宋体"/>
          <w:sz w:val="24"/>
          <w:szCs w:val="24"/>
          <w:lang w:val="zh-CN"/>
        </w:rPr>
        <w:t>.2 对于竞争性磋商文件中含义不明确、同类问题表述不一致或者有明显文字和计算错误的内容，磋商小组应当要求供应商作出必要的澄清、说明或者补正。供应商的澄清、说明或者补正不得超出竞争性磋商文件的范围或者改变竞争性磋商文件的实质性内容，并作为竞争性磋商文件的组成部分。</w:t>
      </w:r>
    </w:p>
    <w:p w14:paraId="4BFBB0B4">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22</w:t>
      </w:r>
      <w:r>
        <w:rPr>
          <w:rFonts w:hint="eastAsia" w:ascii="宋体" w:hAnsi="宋体" w:eastAsia="宋体" w:cs="宋体"/>
          <w:sz w:val="24"/>
          <w:szCs w:val="24"/>
          <w:lang w:val="zh-CN"/>
        </w:rPr>
        <w:t>.3 答疑期间，供应商存在以下情况的，澄清、说明的内容将不予接受，磋商小组将按照竞争性磋商文件的要求对现有的响应资料做出评审意见：</w:t>
      </w:r>
    </w:p>
    <w:p w14:paraId="2F8B044C">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（1）拒绝或在规定的时间内未做出澄清、说明；</w:t>
      </w:r>
    </w:p>
    <w:p w14:paraId="1EE1F8C4">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（2）供应商的澄清、说明或者补正超出竞争性磋商文件的范围或者改变竞争性磋商文件的实质性内容；</w:t>
      </w:r>
    </w:p>
    <w:p w14:paraId="6B4D8066">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（3）澄清、说明的内容仍不能说明问题的；</w:t>
      </w:r>
    </w:p>
    <w:p w14:paraId="2BEBB00D">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（4）供应商主动提出的澄清、说明的内容；</w:t>
      </w:r>
    </w:p>
    <w:p w14:paraId="51B47984">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（5）磋商小组认为应不予接受的其他情况。</w:t>
      </w:r>
      <w:bookmarkStart w:id="67" w:name="_Toc376936755"/>
      <w:bookmarkStart w:id="68" w:name="_Toc500493783"/>
      <w:bookmarkStart w:id="69" w:name="_Toc325726024"/>
    </w:p>
    <w:p w14:paraId="0DF9F568">
      <w:pPr>
        <w:keepNext w:val="0"/>
        <w:keepLines w:val="0"/>
        <w:pageBreakBefore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23</w:t>
      </w:r>
      <w:r>
        <w:rPr>
          <w:rFonts w:hint="eastAsia" w:ascii="宋体" w:hAnsi="宋体" w:eastAsia="宋体" w:cs="宋体"/>
          <w:b/>
          <w:bCs/>
          <w:kern w:val="0"/>
          <w:sz w:val="24"/>
          <w:szCs w:val="24"/>
        </w:rPr>
        <w:t>.评标办法</w:t>
      </w:r>
      <w:bookmarkEnd w:id="67"/>
      <w:bookmarkEnd w:id="68"/>
      <w:bookmarkEnd w:id="69"/>
    </w:p>
    <w:p w14:paraId="5741F04E">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23</w:t>
      </w:r>
      <w:r>
        <w:rPr>
          <w:rFonts w:hint="eastAsia" w:ascii="宋体" w:hAnsi="宋体" w:eastAsia="宋体" w:cs="宋体"/>
          <w:sz w:val="24"/>
          <w:szCs w:val="24"/>
          <w:lang w:val="zh-CN"/>
        </w:rPr>
        <w:t>.1依照《中华人民共和国政府采购法》、《中华人民共和国政府采购法实施条例》、财政部《政府采购货物和服务招标响应管理办法》的规定，结合该项目的特点制定本评标办法，本次评标采用综合评分法。</w:t>
      </w:r>
    </w:p>
    <w:p w14:paraId="63547A1F">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本次综合评分的主要因素是：磋商报价、企业业绩、技术水平、售后服务等。评标过程中，在同等条件下，优先采购具有环境标志、节能、自主创新的产品。</w:t>
      </w:r>
    </w:p>
    <w:p w14:paraId="4EC20E23">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根据《政府采购促进中小企业发展管理办法》，中小企业参加政府采购活动，应当出具本办法规定的《中小企业声明函》，否则不得享受相关中 小企业扶持政策。其划型标准严格按照国家工信部、国家统计局、国家发改委、财政部出台的《中小企业划型标准规定》（工信部联企业[2011]300号）执行。供应商提供的《中小企业声明函》资料必须真实，否则，按照有关规定予以处理。</w:t>
      </w:r>
    </w:p>
    <w:p w14:paraId="4043827F">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根据财政部、民政部、中国残疾人联合会出台的《关于促进残疾人就业政府采购政策的通知》（财库[2017]141号），属残疾人福利性单位的，供应商须提供《残疾人福利性单位声明函》，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5F993391">
      <w:pPr>
        <w:keepNext w:val="0"/>
        <w:keepLines w:val="0"/>
        <w:pageBreakBefore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.2 比较与评价：磋商小组将按竞争性磋商文件中规定的评标办法和标准，对符合性审查合格的磋商响应文件进行综合比较与评价。即在最大限度地满足竞争性磋商文件实质性要求的前提下，按照竞争性磋商文件中规定的各项因素进行综合评审，以评标总得分由高到低排序确定预中标候选人。若得分相同时，按磋商报价由低到高顺序排列；得分相同且报价相同的，按技术指标优劣顺序排列。</w:t>
      </w:r>
    </w:p>
    <w:p w14:paraId="2488F38C">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23.3异常低价审查程序：</w:t>
      </w:r>
    </w:p>
    <w:p w14:paraId="3FDF5833">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23.3.1</w:t>
      </w:r>
      <w:r>
        <w:rPr>
          <w:rFonts w:hint="eastAsia" w:ascii="宋体" w:hAnsi="宋体" w:cs="宋体"/>
          <w:color w:val="auto"/>
          <w:sz w:val="24"/>
          <w:szCs w:val="24"/>
          <w:highlight w:val="none"/>
          <w:lang w:val="zh-CN"/>
        </w:rPr>
        <w:t>投标（响应）报价低于全部通过符合性审查供应商投标（响应）报价平均值50%的，即投标（响应）报价&lt;全部通过符合性审查供应商投标（响应）报价平均值×50%； </w:t>
      </w:r>
    </w:p>
    <w:p w14:paraId="1FB73F3A">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23.3.2</w:t>
      </w:r>
      <w:r>
        <w:rPr>
          <w:rFonts w:hint="eastAsia" w:ascii="宋体" w:hAnsi="宋体" w:cs="宋体"/>
          <w:color w:val="auto"/>
          <w:sz w:val="24"/>
          <w:szCs w:val="24"/>
          <w:highlight w:val="none"/>
          <w:lang w:val="zh-CN"/>
        </w:rPr>
        <w:t>.投标（响应）报价低于通过符合性审查的次低报价供应商投标（响应）报价50%的，即投标（响应）报价&lt;通过符合性审查的次低报价供应商投标（响应）报价×50%； </w:t>
      </w:r>
    </w:p>
    <w:p w14:paraId="3834E270">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23.3.3</w:t>
      </w:r>
      <w:r>
        <w:rPr>
          <w:rFonts w:hint="eastAsia" w:ascii="宋体" w:hAnsi="宋体" w:cs="宋体"/>
          <w:color w:val="auto"/>
          <w:sz w:val="24"/>
          <w:szCs w:val="24"/>
          <w:highlight w:val="none"/>
          <w:lang w:val="zh-CN"/>
        </w:rPr>
        <w:t>.投标（响应）报价低于采购项目最高限价45%的，即投标（响应）报价&lt;采购项目最高限价×45%； </w:t>
      </w:r>
    </w:p>
    <w:p w14:paraId="5B090660">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23.3.4</w:t>
      </w:r>
      <w:r>
        <w:rPr>
          <w:rFonts w:hint="eastAsia" w:ascii="宋体" w:hAnsi="宋体" w:cs="宋体"/>
          <w:color w:val="auto"/>
          <w:sz w:val="24"/>
          <w:szCs w:val="24"/>
          <w:highlight w:val="none"/>
          <w:lang w:val="zh-CN"/>
        </w:rPr>
        <w:t>.评审委员会基于专业判断，认为供应商报价过低，有可能影响产品质量或者不能诚信履约的其他情形。</w:t>
      </w:r>
    </w:p>
    <w:p w14:paraId="152791E9">
      <w:pPr>
        <w:keepNext w:val="0"/>
        <w:keepLines w:val="0"/>
        <w:pageBreakBefore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cs="宋体"/>
          <w:color w:val="auto"/>
          <w:sz w:val="24"/>
          <w:szCs w:val="24"/>
          <w:highlight w:val="none"/>
          <w:lang w:val="en-US" w:eastAsia="zh-CN"/>
        </w:rPr>
        <w:t>根据关于推动《解决政府采购异常低价问题的通知》（财库〔2026〕2号)的要求，响应报价属于上述第1项至第4项情形之一的，评审委员会可启动异常低价审查，要求相关供应商在评审现场对响应价格做出解释，提供项目具体成本测算等与报价合理性相关的书面说明及必要的证明材料，包括不限于原材料成本、人工成本、制造费用等。投标（响应）供应商不能提供书面说明、证明材料，或者提供的书面说明、证明材料不能证明其报价合理性的，评审委员会应当将其作为无效投标（响应）处理。</w:t>
      </w:r>
    </w:p>
    <w:p w14:paraId="3CB83637">
      <w:pPr>
        <w:keepNext w:val="0"/>
        <w:keepLines w:val="0"/>
        <w:pageBreakBefore w:val="0"/>
        <w:widowControl w:val="0"/>
        <w:kinsoku/>
        <w:wordWrap/>
        <w:overflowPunct/>
        <w:topLinePunct w:val="0"/>
        <w:bidi w:val="0"/>
        <w:snapToGrid/>
        <w:spacing w:line="360" w:lineRule="auto"/>
        <w:ind w:firstLine="422" w:firstLineChars="200"/>
        <w:jc w:val="left"/>
        <w:textAlignment w:val="auto"/>
        <w:rPr>
          <w:rFonts w:hint="eastAsia"/>
          <w:b/>
          <w:bCs/>
        </w:rPr>
      </w:pPr>
      <w:bookmarkStart w:id="70" w:name="_Toc428180562"/>
      <w:bookmarkStart w:id="71" w:name="_Toc500493784"/>
      <w:bookmarkStart w:id="72" w:name="_Toc325726025"/>
      <w:bookmarkStart w:id="73" w:name="_Toc376936756"/>
      <w:r>
        <w:rPr>
          <w:rFonts w:hint="eastAsia"/>
          <w:b/>
          <w:bCs/>
        </w:rPr>
        <w:t>评审标准：</w:t>
      </w:r>
    </w:p>
    <w:tbl>
      <w:tblPr>
        <w:tblStyle w:val="22"/>
        <w:tblW w:w="85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53"/>
        <w:gridCol w:w="1309"/>
        <w:gridCol w:w="5893"/>
      </w:tblGrid>
      <w:tr w14:paraId="328A5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72750DB3">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类别</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3721ABB8">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满分分值</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7E45A914">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评标标准</w:t>
            </w:r>
          </w:p>
        </w:tc>
      </w:tr>
      <w:tr w14:paraId="34EA0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1F45F771">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响应报价</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6561CBB7">
            <w:pPr>
              <w:spacing w:line="360" w:lineRule="auto"/>
              <w:ind w:firstLine="0" w:firstLineChars="0"/>
              <w:jc w:val="center"/>
              <w:rPr>
                <w:rFonts w:ascii="宋体" w:hAnsi="宋体" w:cs="宋体"/>
                <w:b/>
                <w:bCs/>
                <w:color w:val="000000"/>
              </w:rPr>
            </w:pPr>
            <w:r>
              <w:rPr>
                <w:rFonts w:hint="eastAsia" w:ascii="宋体" w:hAnsi="宋体" w:cs="宋体"/>
                <w:b/>
                <w:bCs/>
                <w:color w:val="000000"/>
              </w:rPr>
              <w:t>30分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0F314E2C">
            <w:pPr>
              <w:spacing w:line="360" w:lineRule="auto"/>
              <w:ind w:firstLine="480"/>
              <w:jc w:val="left"/>
              <w:rPr>
                <w:rFonts w:hint="eastAsia" w:ascii="宋体" w:hAnsi="宋体" w:cs="宋体"/>
                <w:color w:val="000000"/>
              </w:rPr>
            </w:pPr>
            <w:r>
              <w:rPr>
                <w:rFonts w:hint="eastAsia" w:ascii="宋体" w:hAnsi="宋体" w:cs="宋体"/>
                <w:color w:val="000000"/>
              </w:rPr>
              <w:t>在所有的有效投标报价中，以最低投标报价为基准价，其价格分为满分。其他响应单位的报价分统一按下列公式计算：投标报价得分=(评标基准价／投标报价)×价格权值（30%）×100（四舍五入后保留小数点后两位）。</w:t>
            </w:r>
          </w:p>
          <w:p w14:paraId="76E56731">
            <w:pPr>
              <w:spacing w:line="360" w:lineRule="auto"/>
              <w:ind w:firstLine="480"/>
              <w:jc w:val="left"/>
              <w:rPr>
                <w:rFonts w:hint="eastAsia" w:ascii="宋体" w:hAnsi="宋体" w:cs="宋体"/>
                <w:color w:val="000000"/>
              </w:rPr>
            </w:pPr>
            <w:r>
              <w:rPr>
                <w:rFonts w:hint="eastAsia" w:ascii="宋体" w:hAnsi="宋体" w:cs="宋体"/>
                <w:color w:val="000000"/>
              </w:rPr>
              <w:t>注：根据《政府采购促进中小企业发展管理办法》（财库〔2020〕46号）和《财政部关于进一步加大政府采购支持中小企业力度的通知》（财库〔2022〕19号）的相关规定，对小型和微型企业造（生产）产品的价格给予10%的扣除，用扣除后的价格计算评标基准价和投标报价。残疾人福利性单位属于小型、微型企业的，不重复享受政策。执行国家统一定价标准和采用固定价格采购的项目，其价格不列为评审因素。</w:t>
            </w:r>
          </w:p>
          <w:p w14:paraId="3C1C0BF2">
            <w:pPr>
              <w:spacing w:line="360" w:lineRule="auto"/>
              <w:ind w:firstLine="480"/>
              <w:jc w:val="left"/>
              <w:rPr>
                <w:rFonts w:hint="eastAsia" w:ascii="宋体" w:hAnsi="宋体"/>
                <w:color w:val="000000"/>
                <w:sz w:val="21"/>
                <w:szCs w:val="21"/>
              </w:rPr>
            </w:pPr>
            <w:r>
              <w:rPr>
                <w:rFonts w:hint="eastAsia" w:ascii="宋体" w:hAnsi="宋体" w:cs="宋体"/>
                <w:color w:val="000000"/>
              </w:rPr>
              <w:t>（注：1、预留100%专门面向中小企业采购的项目不适用本条；2、未预留份额专门面向中小企业采购的采购项目，以及预留份额项目中的非预留部分采购包适用本条。）</w:t>
            </w:r>
          </w:p>
        </w:tc>
      </w:tr>
      <w:tr w14:paraId="5F9C1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25487814">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rPr>
              <w:t>类似业绩</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357D55F6">
            <w:pPr>
              <w:spacing w:line="360" w:lineRule="auto"/>
              <w:ind w:firstLine="0" w:firstLineChars="0"/>
              <w:jc w:val="center"/>
              <w:rPr>
                <w:rFonts w:ascii="宋体" w:hAnsi="宋体" w:cs="宋体"/>
                <w:b/>
                <w:bCs/>
                <w:color w:val="000000"/>
              </w:rPr>
            </w:pPr>
            <w:r>
              <w:rPr>
                <w:rFonts w:hint="eastAsia" w:ascii="宋体" w:hAnsi="宋体" w:cs="宋体"/>
                <w:b/>
                <w:bCs/>
                <w:color w:val="000000"/>
                <w:lang w:val="en-US" w:eastAsia="zh-CN"/>
              </w:rPr>
              <w:t>2</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2184AB7B">
            <w:pPr>
              <w:spacing w:line="360" w:lineRule="auto"/>
              <w:ind w:firstLine="480"/>
              <w:jc w:val="left"/>
              <w:rPr>
                <w:rFonts w:hint="eastAsia" w:ascii="宋体" w:hAnsi="宋体" w:cs="宋体"/>
                <w:color w:val="000000"/>
              </w:rPr>
            </w:pPr>
            <w:r>
              <w:rPr>
                <w:rFonts w:hint="eastAsia" w:ascii="宋体" w:hAnsi="宋体" w:cs="宋体"/>
                <w:color w:val="000000"/>
              </w:rPr>
              <w:t>自202</w:t>
            </w:r>
            <w:r>
              <w:rPr>
                <w:rFonts w:hint="eastAsia" w:ascii="宋体" w:hAnsi="宋体" w:cs="宋体"/>
                <w:color w:val="000000"/>
                <w:lang w:val="en-US" w:eastAsia="zh-CN"/>
              </w:rPr>
              <w:t>3</w:t>
            </w:r>
            <w:r>
              <w:rPr>
                <w:rFonts w:hint="eastAsia" w:ascii="宋体" w:hAnsi="宋体" w:cs="宋体"/>
                <w:color w:val="000000"/>
              </w:rPr>
              <w:t>年01月01日至今供应商有类似项目业绩的，每提供一项业绩的得1分，最多得</w:t>
            </w:r>
            <w:r>
              <w:rPr>
                <w:rFonts w:hint="eastAsia" w:ascii="宋体" w:hAnsi="宋体" w:cs="宋体"/>
                <w:color w:val="000000"/>
                <w:lang w:val="en-US" w:eastAsia="zh-CN"/>
              </w:rPr>
              <w:t>2</w:t>
            </w:r>
            <w:r>
              <w:rPr>
                <w:rFonts w:hint="eastAsia" w:ascii="宋体" w:hAnsi="宋体" w:cs="宋体"/>
                <w:color w:val="000000"/>
              </w:rPr>
              <w:t>分（需提供有效的中标/成交通知书或者包含合同首页、标的及金额所在页、采购合同签字盖章页的合同复印（或扫描）件）。</w:t>
            </w:r>
          </w:p>
        </w:tc>
      </w:tr>
      <w:tr w14:paraId="27BD3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327D4ED1">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技术</w:t>
            </w:r>
            <w:r>
              <w:rPr>
                <w:rFonts w:hint="eastAsia" w:ascii="宋体" w:hAnsi="宋体" w:cs="宋体"/>
                <w:b/>
                <w:bCs/>
                <w:color w:val="000000"/>
              </w:rPr>
              <w:t>参数</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14659C9">
            <w:pPr>
              <w:spacing w:line="360" w:lineRule="auto"/>
              <w:ind w:firstLine="0" w:firstLineChars="0"/>
              <w:jc w:val="center"/>
              <w:rPr>
                <w:rFonts w:ascii="宋体" w:hAnsi="宋体" w:cs="宋体"/>
                <w:b/>
                <w:bCs/>
                <w:color w:val="000000"/>
              </w:rPr>
            </w:pPr>
            <w:r>
              <w:rPr>
                <w:rFonts w:hint="eastAsia" w:ascii="宋体" w:hAnsi="宋体" w:cs="宋体"/>
                <w:b/>
                <w:bCs/>
                <w:color w:val="000000"/>
                <w:lang w:val="en-US" w:eastAsia="zh-CN"/>
              </w:rPr>
              <w:t>20</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1FE082A9">
            <w:pPr>
              <w:spacing w:line="360" w:lineRule="auto"/>
              <w:ind w:firstLine="480"/>
              <w:jc w:val="left"/>
              <w:rPr>
                <w:rFonts w:hint="eastAsia" w:ascii="宋体" w:hAnsi="宋体" w:cs="宋体"/>
                <w:color w:val="000000"/>
              </w:rPr>
            </w:pPr>
            <w:r>
              <w:rPr>
                <w:rFonts w:hint="eastAsia" w:ascii="宋体" w:hAnsi="宋体" w:cs="宋体"/>
                <w:color w:val="000000"/>
              </w:rPr>
              <w:t>响应产品技术参数和配置完全满足或高于磋商文件要求的，得</w:t>
            </w:r>
            <w:r>
              <w:rPr>
                <w:rFonts w:hint="eastAsia" w:ascii="宋体" w:hAnsi="宋体" w:cs="宋体"/>
                <w:color w:val="000000"/>
                <w:lang w:val="en-US" w:eastAsia="zh-CN"/>
              </w:rPr>
              <w:t>20</w:t>
            </w:r>
            <w:r>
              <w:rPr>
                <w:rFonts w:hint="eastAsia" w:ascii="宋体" w:hAnsi="宋体" w:cs="宋体"/>
                <w:color w:val="000000"/>
              </w:rPr>
              <w:t>分；技术参数每有一项负偏离一项扣</w:t>
            </w:r>
            <w:r>
              <w:rPr>
                <w:rFonts w:hint="eastAsia" w:ascii="宋体" w:hAnsi="宋体" w:cs="宋体"/>
                <w:color w:val="000000"/>
                <w:lang w:val="en-US" w:eastAsia="zh-CN"/>
              </w:rPr>
              <w:t>2</w:t>
            </w:r>
            <w:r>
              <w:rPr>
                <w:rFonts w:hint="eastAsia" w:ascii="宋体" w:hAnsi="宋体" w:cs="宋体"/>
                <w:color w:val="000000"/>
              </w:rPr>
              <w:t>分；扣完为止。（以</w:t>
            </w:r>
            <w:r>
              <w:rPr>
                <w:rFonts w:hint="eastAsia" w:ascii="宋体" w:hAnsi="宋体" w:cs="宋体"/>
                <w:kern w:val="0"/>
                <w:sz w:val="24"/>
                <w:szCs w:val="24"/>
              </w:rPr>
              <w:t>相关产品</w:t>
            </w:r>
            <w:r>
              <w:rPr>
                <w:rFonts w:hint="eastAsia" w:ascii="宋体" w:hAnsi="宋体" w:cs="宋体"/>
                <w:color w:val="000000"/>
              </w:rPr>
              <w:t>第三方检测机构的检测报告或制造商向社会公众发布的产品彩页或白皮书等</w:t>
            </w:r>
            <w:r>
              <w:rPr>
                <w:rFonts w:hint="eastAsia" w:ascii="宋体" w:hAnsi="宋体" w:cs="宋体"/>
                <w:color w:val="000000"/>
                <w:lang w:val="en-US" w:eastAsia="zh-CN"/>
              </w:rPr>
              <w:t>资料</w:t>
            </w:r>
            <w:r>
              <w:rPr>
                <w:rFonts w:hint="eastAsia" w:ascii="宋体" w:hAnsi="宋体" w:cs="宋体"/>
                <w:color w:val="000000"/>
              </w:rPr>
              <w:t>为准）</w:t>
            </w:r>
          </w:p>
        </w:tc>
      </w:tr>
      <w:tr w14:paraId="6E889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20B1E89C">
            <w:pPr>
              <w:spacing w:line="360" w:lineRule="auto"/>
              <w:ind w:firstLine="0" w:firstLineChars="0"/>
              <w:jc w:val="center"/>
              <w:rPr>
                <w:rFonts w:hint="eastAsia" w:ascii="宋体" w:hAnsi="宋体" w:eastAsia="宋体" w:cs="宋体"/>
                <w:b/>
                <w:bCs/>
                <w:color w:val="000000"/>
                <w:lang w:val="zh-CN"/>
              </w:rPr>
            </w:pPr>
            <w:r>
              <w:rPr>
                <w:rFonts w:hint="eastAsia" w:ascii="宋体" w:hAnsi="宋体" w:eastAsia="宋体" w:cs="宋体"/>
                <w:b/>
                <w:bCs/>
                <w:color w:val="000000"/>
                <w:lang w:val="zh-CN"/>
              </w:rPr>
              <w:t>人员配置</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76CBB93D">
            <w:pPr>
              <w:spacing w:line="360" w:lineRule="auto"/>
              <w:ind w:firstLine="0" w:firstLineChars="0"/>
              <w:jc w:val="center"/>
              <w:rPr>
                <w:rFonts w:hint="default" w:ascii="宋体" w:hAnsi="宋体" w:eastAsia="宋体" w:cs="宋体"/>
                <w:b/>
                <w:bCs/>
                <w:color w:val="000000"/>
                <w:lang w:val="en-US" w:eastAsia="zh-CN"/>
              </w:rPr>
            </w:pPr>
            <w:r>
              <w:rPr>
                <w:rFonts w:hint="eastAsia" w:ascii="宋体" w:hAnsi="宋体" w:eastAsia="宋体" w:cs="宋体"/>
                <w:b/>
                <w:bCs/>
                <w:color w:val="000000"/>
                <w:lang w:val="en-US" w:eastAsia="zh-CN"/>
              </w:rPr>
              <w:t>3分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79910695">
            <w:pPr>
              <w:spacing w:line="360" w:lineRule="auto"/>
              <w:ind w:firstLine="480"/>
              <w:jc w:val="left"/>
              <w:rPr>
                <w:rFonts w:hint="eastAsia" w:ascii="宋体" w:hAnsi="宋体" w:cs="宋体"/>
                <w:color w:val="000000"/>
              </w:rPr>
            </w:pPr>
            <w:r>
              <w:rPr>
                <w:rFonts w:hint="eastAsia" w:ascii="宋体" w:hAnsi="宋体" w:cs="宋体"/>
                <w:color w:val="000000"/>
              </w:rPr>
              <w:t>本项目须确定项目负责人1人；安装调试人员1人；售后人员1人，上述人员每提供一人得1分，最高得</w:t>
            </w:r>
            <w:r>
              <w:rPr>
                <w:rFonts w:hint="eastAsia" w:ascii="宋体" w:hAnsi="宋体" w:cs="宋体"/>
                <w:color w:val="000000"/>
                <w:lang w:val="en-US" w:eastAsia="zh-CN"/>
              </w:rPr>
              <w:t>3</w:t>
            </w:r>
            <w:r>
              <w:rPr>
                <w:rFonts w:hint="eastAsia" w:ascii="宋体" w:hAnsi="宋体" w:cs="宋体"/>
                <w:color w:val="000000"/>
              </w:rPr>
              <w:t>分，不提供不得分。（</w:t>
            </w:r>
            <w:r>
              <w:rPr>
                <w:rFonts w:hint="eastAsia" w:ascii="宋体" w:hAnsi="宋体" w:cs="宋体"/>
                <w:color w:val="000000"/>
                <w:lang w:val="en-US" w:eastAsia="zh-CN"/>
              </w:rPr>
              <w:t>须</w:t>
            </w:r>
            <w:r>
              <w:rPr>
                <w:rFonts w:hint="eastAsia" w:ascii="宋体" w:hAnsi="宋体" w:cs="宋体"/>
                <w:color w:val="000000"/>
              </w:rPr>
              <w:t>提供相关人员身份证、近3个月内缴纳的社保证明、劳动合同、上岗证和联系方式）。</w:t>
            </w:r>
          </w:p>
        </w:tc>
      </w:tr>
      <w:tr w14:paraId="70259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7"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22117710">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rPr>
              <w:t>节能和环保</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7B24BBC4">
            <w:pPr>
              <w:spacing w:line="360" w:lineRule="auto"/>
              <w:ind w:firstLine="0" w:firstLineChars="0"/>
              <w:jc w:val="center"/>
              <w:rPr>
                <w:rFonts w:ascii="宋体" w:hAnsi="宋体" w:cs="宋体"/>
                <w:b/>
                <w:bCs/>
                <w:color w:val="000000"/>
              </w:rPr>
            </w:pPr>
            <w:r>
              <w:rPr>
                <w:rFonts w:hint="eastAsia" w:ascii="宋体" w:hAnsi="宋体" w:cs="宋体"/>
                <w:b/>
                <w:bCs/>
                <w:color w:val="000000"/>
                <w:lang w:val="en-US" w:eastAsia="zh-CN"/>
              </w:rPr>
              <w:t>1</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232839C0">
            <w:pPr>
              <w:pStyle w:val="8"/>
              <w:spacing w:after="240" w:line="240" w:lineRule="auto"/>
              <w:ind w:firstLine="0" w:firstLineChars="0"/>
              <w:jc w:val="left"/>
              <w:rPr>
                <w:rFonts w:hint="eastAsia" w:ascii="宋体" w:hAnsi="宋体" w:eastAsia="宋体" w:cs="宋体"/>
                <w:color w:val="000000"/>
                <w:kern w:val="2"/>
                <w:sz w:val="21"/>
                <w:szCs w:val="22"/>
                <w:lang w:val="en-US" w:eastAsia="zh-CN" w:bidi="ar-SA"/>
              </w:rPr>
            </w:pPr>
            <w:r>
              <w:rPr>
                <w:rFonts w:hint="eastAsia" w:ascii="宋体" w:hAnsi="宋体" w:eastAsia="宋体" w:cs="宋体"/>
                <w:color w:val="000000"/>
                <w:kern w:val="2"/>
                <w:sz w:val="21"/>
                <w:szCs w:val="22"/>
                <w:lang w:val="en-US" w:eastAsia="zh-CN" w:bidi="ar-SA"/>
              </w:rPr>
              <w:t>（1）所投产品具有环保认证证书；</w:t>
            </w:r>
          </w:p>
          <w:p w14:paraId="54AD244E">
            <w:pPr>
              <w:pStyle w:val="8"/>
              <w:spacing w:after="240" w:line="240" w:lineRule="auto"/>
              <w:ind w:firstLine="0" w:firstLineChars="0"/>
              <w:jc w:val="left"/>
              <w:rPr>
                <w:rFonts w:hint="eastAsia" w:ascii="宋体" w:hAnsi="宋体" w:eastAsia="宋体" w:cs="宋体"/>
                <w:color w:val="000000"/>
                <w:kern w:val="2"/>
                <w:sz w:val="21"/>
                <w:szCs w:val="22"/>
                <w:lang w:val="en-US" w:eastAsia="zh-CN" w:bidi="ar-SA"/>
              </w:rPr>
            </w:pPr>
            <w:r>
              <w:rPr>
                <w:rFonts w:hint="eastAsia" w:ascii="宋体" w:hAnsi="宋体" w:eastAsia="宋体" w:cs="宋体"/>
                <w:color w:val="000000"/>
                <w:kern w:val="2"/>
                <w:sz w:val="21"/>
                <w:szCs w:val="22"/>
                <w:lang w:val="en-US" w:eastAsia="zh-CN" w:bidi="ar-SA"/>
              </w:rPr>
              <w:t>（2）所投产品具有节能认证证书；</w:t>
            </w:r>
          </w:p>
          <w:p w14:paraId="69511193">
            <w:pPr>
              <w:spacing w:line="360" w:lineRule="auto"/>
              <w:ind w:firstLine="480"/>
              <w:jc w:val="left"/>
              <w:rPr>
                <w:rFonts w:hint="eastAsia" w:ascii="宋体" w:hAnsi="宋体" w:cs="宋体"/>
                <w:color w:val="000000"/>
              </w:rPr>
            </w:pPr>
            <w:r>
              <w:rPr>
                <w:rFonts w:hint="eastAsia" w:ascii="宋体" w:hAnsi="宋体"/>
                <w:szCs w:val="28"/>
              </w:rPr>
              <w:t>以上证书每提供一项得</w:t>
            </w:r>
            <w:r>
              <w:rPr>
                <w:rFonts w:hint="eastAsia" w:ascii="宋体" w:hAnsi="宋体"/>
                <w:szCs w:val="28"/>
                <w:lang w:val="en-US" w:eastAsia="zh-CN"/>
              </w:rPr>
              <w:t>0.5</w:t>
            </w:r>
            <w:r>
              <w:rPr>
                <w:rFonts w:hint="eastAsia" w:ascii="宋体" w:hAnsi="宋体"/>
                <w:szCs w:val="28"/>
              </w:rPr>
              <w:t>分，满分</w:t>
            </w:r>
            <w:r>
              <w:rPr>
                <w:rFonts w:hint="eastAsia" w:ascii="宋体" w:hAnsi="宋体"/>
                <w:szCs w:val="28"/>
                <w:lang w:val="en-US" w:eastAsia="zh-CN"/>
              </w:rPr>
              <w:t>1</w:t>
            </w:r>
            <w:r>
              <w:rPr>
                <w:rFonts w:hint="eastAsia" w:ascii="宋体" w:hAnsi="宋体"/>
                <w:szCs w:val="28"/>
              </w:rPr>
              <w:t>分。</w:t>
            </w:r>
            <w:r>
              <w:rPr>
                <w:rFonts w:hint="eastAsia" w:ascii="宋体" w:hAnsi="宋体"/>
                <w:szCs w:val="28"/>
                <w:lang w:val="zh-CN"/>
              </w:rPr>
              <w:t>该项得分的认定以《国家节能产品认证</w:t>
            </w:r>
            <w:r>
              <w:rPr>
                <w:rFonts w:hint="eastAsia" w:ascii="宋体" w:hAnsi="宋体" w:cs="宋体"/>
                <w:color w:val="000000"/>
                <w:lang w:val="zh-CN"/>
              </w:rPr>
              <w:t>证书》复印件、《中国环境标志产品认证证书》复印件。</w:t>
            </w:r>
          </w:p>
        </w:tc>
      </w:tr>
      <w:tr w14:paraId="75CC2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7"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194B22C4">
            <w:pPr>
              <w:spacing w:line="360" w:lineRule="auto"/>
              <w:ind w:firstLine="0" w:firstLineChars="0"/>
              <w:jc w:val="center"/>
              <w:rPr>
                <w:rFonts w:ascii="宋体" w:hAnsi="宋体" w:cs="宋体"/>
                <w:b/>
                <w:bCs/>
                <w:color w:val="000000"/>
              </w:rPr>
            </w:pPr>
            <w:r>
              <w:rPr>
                <w:rFonts w:hint="eastAsia" w:ascii="宋体" w:hAnsi="宋体" w:cs="宋体"/>
                <w:b/>
                <w:bCs/>
                <w:color w:val="000000"/>
              </w:rPr>
              <w:t>项目管理及实施方案</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7036F1D9">
            <w:pPr>
              <w:spacing w:line="360" w:lineRule="auto"/>
              <w:ind w:firstLine="0" w:firstLineChars="0"/>
              <w:jc w:val="center"/>
              <w:rPr>
                <w:rFonts w:ascii="宋体" w:hAnsi="宋体" w:cs="宋体"/>
                <w:b/>
                <w:bCs/>
                <w:color w:val="000000"/>
              </w:rPr>
            </w:pPr>
            <w:r>
              <w:rPr>
                <w:rFonts w:hint="eastAsia" w:ascii="宋体" w:hAnsi="宋体" w:cs="宋体"/>
                <w:b/>
                <w:bCs/>
                <w:color w:val="000000"/>
                <w:lang w:val="en-US" w:eastAsia="zh-CN"/>
              </w:rPr>
              <w:t>32</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755D2C8D">
            <w:pPr>
              <w:spacing w:line="360" w:lineRule="auto"/>
              <w:ind w:firstLine="480"/>
              <w:jc w:val="left"/>
              <w:rPr>
                <w:rFonts w:hint="eastAsia" w:ascii="宋体" w:hAnsi="宋体"/>
                <w:szCs w:val="28"/>
              </w:rPr>
            </w:pPr>
            <w:r>
              <w:rPr>
                <w:rFonts w:hint="eastAsia" w:ascii="宋体" w:hAnsi="宋体"/>
                <w:szCs w:val="28"/>
              </w:rPr>
              <w:t>供应商针对本项目制定项目管理及实施方案，包括但不限于：</w:t>
            </w:r>
          </w:p>
          <w:p w14:paraId="0F4605B2">
            <w:pPr>
              <w:numPr>
                <w:ilvl w:val="0"/>
                <w:numId w:val="2"/>
              </w:numPr>
              <w:spacing w:line="360" w:lineRule="auto"/>
              <w:ind w:firstLine="480"/>
              <w:jc w:val="left"/>
              <w:rPr>
                <w:rFonts w:hint="eastAsia" w:ascii="宋体" w:hAnsi="宋体"/>
                <w:szCs w:val="28"/>
              </w:rPr>
            </w:pPr>
            <w:r>
              <w:rPr>
                <w:rFonts w:hint="eastAsia" w:ascii="宋体" w:hAnsi="宋体"/>
                <w:szCs w:val="28"/>
              </w:rPr>
              <w:t>供货方案；</w:t>
            </w:r>
          </w:p>
          <w:p w14:paraId="63DCB274">
            <w:pPr>
              <w:numPr>
                <w:ilvl w:val="0"/>
                <w:numId w:val="2"/>
              </w:numPr>
              <w:spacing w:line="360" w:lineRule="auto"/>
              <w:ind w:firstLine="480"/>
              <w:jc w:val="left"/>
              <w:rPr>
                <w:rFonts w:hint="eastAsia" w:ascii="宋体" w:hAnsi="宋体"/>
                <w:szCs w:val="28"/>
              </w:rPr>
            </w:pPr>
            <w:r>
              <w:rPr>
                <w:rFonts w:hint="eastAsia" w:ascii="宋体" w:hAnsi="宋体"/>
                <w:szCs w:val="28"/>
              </w:rPr>
              <w:t>进度计划；</w:t>
            </w:r>
          </w:p>
          <w:p w14:paraId="101EE147">
            <w:pPr>
              <w:numPr>
                <w:ilvl w:val="0"/>
                <w:numId w:val="2"/>
              </w:numPr>
              <w:spacing w:line="360" w:lineRule="auto"/>
              <w:ind w:firstLine="480"/>
              <w:jc w:val="left"/>
              <w:rPr>
                <w:rFonts w:hint="eastAsia" w:ascii="宋体" w:hAnsi="宋体"/>
                <w:szCs w:val="28"/>
              </w:rPr>
            </w:pPr>
            <w:r>
              <w:rPr>
                <w:rFonts w:hint="eastAsia" w:ascii="宋体" w:hAnsi="宋体"/>
                <w:szCs w:val="28"/>
              </w:rPr>
              <w:t>项目人员管理机构及管理措施；</w:t>
            </w:r>
          </w:p>
          <w:p w14:paraId="49876644">
            <w:pPr>
              <w:numPr>
                <w:ilvl w:val="0"/>
                <w:numId w:val="2"/>
              </w:numPr>
              <w:spacing w:line="360" w:lineRule="auto"/>
              <w:ind w:firstLine="480"/>
              <w:jc w:val="left"/>
              <w:rPr>
                <w:rFonts w:hint="eastAsia" w:ascii="宋体" w:hAnsi="宋体"/>
                <w:szCs w:val="28"/>
              </w:rPr>
            </w:pPr>
            <w:r>
              <w:rPr>
                <w:rFonts w:hint="eastAsia" w:ascii="宋体" w:hAnsi="宋体"/>
                <w:szCs w:val="28"/>
                <w:lang w:val="en-US" w:eastAsia="zh-CN"/>
              </w:rPr>
              <w:t>人员培训方案；</w:t>
            </w:r>
          </w:p>
          <w:p w14:paraId="4C019384">
            <w:pPr>
              <w:numPr>
                <w:ilvl w:val="0"/>
                <w:numId w:val="2"/>
              </w:numPr>
              <w:spacing w:line="360" w:lineRule="auto"/>
              <w:ind w:firstLine="480"/>
              <w:jc w:val="left"/>
              <w:rPr>
                <w:rFonts w:hint="eastAsia" w:ascii="宋体" w:hAnsi="宋体"/>
                <w:szCs w:val="28"/>
              </w:rPr>
            </w:pPr>
            <w:r>
              <w:rPr>
                <w:rFonts w:hint="eastAsia" w:ascii="宋体" w:hAnsi="宋体"/>
                <w:szCs w:val="28"/>
              </w:rPr>
              <w:t>起运、装卸、防护、配送及运输；</w:t>
            </w:r>
          </w:p>
          <w:p w14:paraId="1FF167AE">
            <w:pPr>
              <w:numPr>
                <w:ilvl w:val="0"/>
                <w:numId w:val="2"/>
              </w:numPr>
              <w:spacing w:line="360" w:lineRule="auto"/>
              <w:ind w:firstLine="480"/>
              <w:jc w:val="left"/>
              <w:rPr>
                <w:rFonts w:hint="eastAsia" w:ascii="宋体" w:hAnsi="宋体"/>
                <w:szCs w:val="28"/>
              </w:rPr>
            </w:pPr>
            <w:r>
              <w:rPr>
                <w:rFonts w:hint="eastAsia" w:ascii="宋体" w:hAnsi="宋体" w:cs="宋体"/>
                <w:kern w:val="0"/>
                <w:szCs w:val="24"/>
              </w:rPr>
              <w:t>配套安装及调试方案</w:t>
            </w:r>
            <w:r>
              <w:rPr>
                <w:rFonts w:hint="eastAsia" w:ascii="宋体" w:hAnsi="宋体"/>
                <w:szCs w:val="28"/>
                <w:lang w:val="en-US" w:eastAsia="zh-CN"/>
              </w:rPr>
              <w:t>；</w:t>
            </w:r>
          </w:p>
          <w:p w14:paraId="56C86D7F">
            <w:pPr>
              <w:numPr>
                <w:ilvl w:val="0"/>
                <w:numId w:val="2"/>
              </w:numPr>
              <w:spacing w:line="360" w:lineRule="auto"/>
              <w:ind w:firstLine="480"/>
              <w:jc w:val="left"/>
              <w:rPr>
                <w:rFonts w:hint="eastAsia" w:ascii="宋体" w:hAnsi="宋体" w:cs="宋体"/>
                <w:kern w:val="0"/>
                <w:szCs w:val="24"/>
              </w:rPr>
            </w:pPr>
            <w:r>
              <w:rPr>
                <w:rFonts w:hint="eastAsia" w:ascii="宋体" w:hAnsi="宋体" w:cs="宋体"/>
                <w:kern w:val="0"/>
                <w:szCs w:val="24"/>
                <w:lang w:val="en-US" w:eastAsia="zh-CN"/>
              </w:rPr>
              <w:t>货物仓储方案</w:t>
            </w:r>
            <w:r>
              <w:rPr>
                <w:rFonts w:hint="eastAsia" w:ascii="宋体" w:hAnsi="宋体" w:cs="宋体"/>
                <w:kern w:val="0"/>
                <w:szCs w:val="24"/>
              </w:rPr>
              <w:t>；</w:t>
            </w:r>
          </w:p>
          <w:p w14:paraId="3DF57C13">
            <w:pPr>
              <w:numPr>
                <w:ilvl w:val="0"/>
                <w:numId w:val="2"/>
              </w:numPr>
              <w:spacing w:line="360" w:lineRule="auto"/>
              <w:ind w:firstLine="480"/>
              <w:jc w:val="left"/>
              <w:rPr>
                <w:rFonts w:hint="eastAsia" w:ascii="宋体" w:hAnsi="宋体"/>
                <w:szCs w:val="28"/>
              </w:rPr>
            </w:pPr>
            <w:r>
              <w:rPr>
                <w:rFonts w:hint="eastAsia" w:ascii="宋体" w:hAnsi="宋体"/>
                <w:szCs w:val="28"/>
              </w:rPr>
              <w:t>项目应急预案等。</w:t>
            </w:r>
          </w:p>
          <w:p w14:paraId="112D9DAA">
            <w:pPr>
              <w:spacing w:line="360" w:lineRule="auto"/>
              <w:ind w:firstLine="480"/>
              <w:jc w:val="left"/>
              <w:rPr>
                <w:rFonts w:hint="eastAsia" w:ascii="宋体" w:hAnsi="宋体"/>
                <w:szCs w:val="28"/>
              </w:rPr>
            </w:pPr>
            <w:r>
              <w:rPr>
                <w:rFonts w:hint="eastAsia" w:ascii="宋体" w:hAnsi="宋体"/>
                <w:szCs w:val="28"/>
              </w:rPr>
              <w:t>上述内容提供完整的，与实际项目贴合的得</w:t>
            </w:r>
            <w:r>
              <w:rPr>
                <w:rFonts w:hint="eastAsia" w:ascii="宋体" w:hAnsi="宋体"/>
                <w:szCs w:val="28"/>
                <w:lang w:val="en-US" w:eastAsia="zh-CN"/>
              </w:rPr>
              <w:t>32</w:t>
            </w:r>
            <w:r>
              <w:rPr>
                <w:rFonts w:hint="eastAsia" w:ascii="宋体" w:hAnsi="宋体"/>
                <w:szCs w:val="28"/>
              </w:rPr>
              <w:t>分；每缺一处扣</w:t>
            </w:r>
            <w:r>
              <w:rPr>
                <w:rFonts w:hint="eastAsia" w:ascii="宋体" w:hAnsi="宋体"/>
                <w:szCs w:val="28"/>
                <w:lang w:val="en-US" w:eastAsia="zh-CN"/>
              </w:rPr>
              <w:t>4</w:t>
            </w:r>
            <w:r>
              <w:rPr>
                <w:rFonts w:hint="eastAsia" w:ascii="宋体" w:hAnsi="宋体"/>
                <w:szCs w:val="28"/>
              </w:rPr>
              <w:t>分；每有一处阐述简略或不符合项目实际情况扣</w:t>
            </w:r>
            <w:r>
              <w:rPr>
                <w:rFonts w:hint="eastAsia" w:ascii="宋体" w:hAnsi="宋体"/>
                <w:szCs w:val="28"/>
                <w:lang w:val="en-US" w:eastAsia="zh-CN"/>
              </w:rPr>
              <w:t>2</w:t>
            </w:r>
            <w:r>
              <w:rPr>
                <w:rFonts w:hint="eastAsia" w:ascii="宋体" w:hAnsi="宋体"/>
                <w:szCs w:val="28"/>
              </w:rPr>
              <w:t>分。</w:t>
            </w:r>
          </w:p>
          <w:p w14:paraId="6460CF91">
            <w:pPr>
              <w:spacing w:line="360" w:lineRule="auto"/>
              <w:ind w:firstLine="480"/>
              <w:jc w:val="left"/>
              <w:rPr>
                <w:rFonts w:ascii="宋体" w:hAnsi="宋体" w:cs="宋体"/>
                <w:color w:val="000000"/>
              </w:rPr>
            </w:pPr>
            <w:r>
              <w:rPr>
                <w:rFonts w:hint="eastAsia" w:ascii="宋体" w:hAnsi="宋体"/>
                <w:szCs w:val="28"/>
              </w:rPr>
              <w:t>注：阐述简略或不符合项目实际情况是指：方案内容不切合行业实际、不符合行业政策；或方案内容生搬硬造，与实际情况不符，存在偏差；或方案内容过于简略；或存在与项目无关的文字内容；或内容不适用项目实际情况；或内容逻辑漏洞或原理错误。</w:t>
            </w:r>
          </w:p>
        </w:tc>
      </w:tr>
      <w:tr w14:paraId="4E5A4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6D96AA20">
            <w:pPr>
              <w:spacing w:line="360" w:lineRule="auto"/>
              <w:ind w:firstLine="0" w:firstLineChars="0"/>
              <w:jc w:val="center"/>
              <w:rPr>
                <w:rFonts w:hint="eastAsia" w:ascii="宋体" w:hAnsi="宋体" w:cs="宋体"/>
                <w:b/>
                <w:bCs/>
                <w:color w:val="000000"/>
              </w:rPr>
            </w:pPr>
            <w:r>
              <w:rPr>
                <w:rFonts w:hint="eastAsia" w:ascii="宋体" w:hAnsi="宋体" w:cs="宋体"/>
                <w:b/>
                <w:bCs/>
                <w:color w:val="000000"/>
              </w:rPr>
              <w:t>质量保证措施及预案</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096130A2">
            <w:pPr>
              <w:spacing w:line="360" w:lineRule="auto"/>
              <w:ind w:firstLine="0" w:firstLineChars="0"/>
              <w:jc w:val="center"/>
              <w:rPr>
                <w:rFonts w:ascii="宋体" w:hAnsi="宋体" w:cs="宋体"/>
                <w:b/>
                <w:bCs/>
                <w:color w:val="000000"/>
              </w:rPr>
            </w:pPr>
            <w:r>
              <w:rPr>
                <w:rFonts w:hint="eastAsia" w:ascii="宋体" w:hAnsi="宋体" w:cs="宋体"/>
                <w:b/>
                <w:bCs/>
                <w:color w:val="000000"/>
                <w:lang w:val="en-US" w:eastAsia="zh-CN"/>
              </w:rPr>
              <w:t>5</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3CA94355">
            <w:pPr>
              <w:pStyle w:val="12"/>
              <w:spacing w:line="360" w:lineRule="auto"/>
              <w:ind w:firstLine="480"/>
              <w:rPr>
                <w:rFonts w:hint="eastAsia" w:ascii="宋体" w:hAnsi="宋体" w:eastAsia="宋体" w:cs="宋体"/>
                <w:kern w:val="2"/>
                <w:sz w:val="21"/>
                <w:szCs w:val="22"/>
                <w:lang w:val="zh-CN" w:eastAsia="zh-CN" w:bidi="ar-SA"/>
              </w:rPr>
            </w:pPr>
            <w:r>
              <w:rPr>
                <w:rFonts w:hint="eastAsia" w:ascii="宋体" w:hAnsi="宋体" w:eastAsia="宋体" w:cs="宋体"/>
                <w:kern w:val="2"/>
                <w:sz w:val="21"/>
                <w:szCs w:val="22"/>
                <w:lang w:val="zh-CN" w:eastAsia="zh-CN" w:bidi="ar-SA"/>
              </w:rPr>
              <w:t>供应商针对本项目提供设备质量保证措施，具体内容包括但不限于：</w:t>
            </w:r>
          </w:p>
          <w:p w14:paraId="6A7E8780">
            <w:pPr>
              <w:pStyle w:val="12"/>
              <w:numPr>
                <w:ilvl w:val="0"/>
                <w:numId w:val="0"/>
              </w:numPr>
              <w:spacing w:line="360" w:lineRule="auto"/>
              <w:ind w:firstLine="630" w:firstLineChars="300"/>
              <w:rPr>
                <w:rFonts w:hint="eastAsia" w:ascii="宋体" w:hAnsi="宋体" w:eastAsia="宋体" w:cs="宋体"/>
                <w:kern w:val="2"/>
                <w:sz w:val="21"/>
                <w:szCs w:val="22"/>
                <w:lang w:val="zh-CN" w:eastAsia="zh-CN" w:bidi="ar-SA"/>
              </w:rPr>
            </w:pPr>
            <w:r>
              <w:rPr>
                <w:rFonts w:hint="eastAsia" w:ascii="宋体" w:hAnsi="宋体" w:eastAsia="宋体" w:cs="宋体"/>
                <w:kern w:val="2"/>
                <w:sz w:val="21"/>
                <w:szCs w:val="22"/>
                <w:lang w:val="zh-CN" w:eastAsia="zh-CN" w:bidi="ar-SA"/>
              </w:rPr>
              <w:t>（</w:t>
            </w:r>
            <w:r>
              <w:rPr>
                <w:rFonts w:hint="eastAsia" w:ascii="宋体" w:hAnsi="宋体" w:eastAsia="宋体" w:cs="宋体"/>
                <w:kern w:val="2"/>
                <w:sz w:val="21"/>
                <w:szCs w:val="22"/>
                <w:lang w:val="en-US" w:eastAsia="zh-CN" w:bidi="ar-SA"/>
              </w:rPr>
              <w:t>1</w:t>
            </w:r>
            <w:r>
              <w:rPr>
                <w:rFonts w:hint="eastAsia" w:ascii="宋体" w:hAnsi="宋体" w:eastAsia="宋体" w:cs="宋体"/>
                <w:kern w:val="2"/>
                <w:sz w:val="21"/>
                <w:szCs w:val="22"/>
                <w:lang w:val="zh-CN" w:eastAsia="zh-CN" w:bidi="ar-SA"/>
              </w:rPr>
              <w:t>）质量保证的相关措施；</w:t>
            </w:r>
          </w:p>
          <w:p w14:paraId="75977860">
            <w:pPr>
              <w:pStyle w:val="12"/>
              <w:numPr>
                <w:ilvl w:val="0"/>
                <w:numId w:val="0"/>
              </w:numPr>
              <w:spacing w:line="360" w:lineRule="auto"/>
              <w:ind w:firstLine="630" w:firstLineChars="300"/>
              <w:rPr>
                <w:rFonts w:hint="eastAsia" w:ascii="宋体" w:hAnsi="宋体" w:eastAsia="宋体" w:cs="宋体"/>
                <w:kern w:val="2"/>
                <w:sz w:val="21"/>
                <w:szCs w:val="22"/>
                <w:lang w:val="zh-CN" w:eastAsia="zh-CN" w:bidi="ar-SA"/>
              </w:rPr>
            </w:pPr>
            <w:r>
              <w:rPr>
                <w:rFonts w:hint="eastAsia" w:ascii="宋体" w:hAnsi="宋体" w:eastAsia="宋体" w:cs="宋体"/>
                <w:kern w:val="2"/>
                <w:sz w:val="21"/>
                <w:szCs w:val="22"/>
                <w:lang w:val="zh-CN" w:eastAsia="zh-CN" w:bidi="ar-SA"/>
              </w:rPr>
              <w:t>（</w:t>
            </w:r>
            <w:r>
              <w:rPr>
                <w:rFonts w:hint="eastAsia" w:ascii="宋体" w:hAnsi="宋体" w:eastAsia="宋体" w:cs="宋体"/>
                <w:kern w:val="2"/>
                <w:sz w:val="21"/>
                <w:szCs w:val="22"/>
                <w:lang w:val="en-US" w:eastAsia="zh-CN" w:bidi="ar-SA"/>
              </w:rPr>
              <w:t>2</w:t>
            </w:r>
            <w:r>
              <w:rPr>
                <w:rFonts w:hint="eastAsia" w:ascii="宋体" w:hAnsi="宋体" w:eastAsia="宋体" w:cs="宋体"/>
                <w:kern w:val="2"/>
                <w:sz w:val="21"/>
                <w:szCs w:val="22"/>
                <w:lang w:val="zh-CN" w:eastAsia="zh-CN" w:bidi="ar-SA"/>
              </w:rPr>
              <w:t>）质量控制流程；</w:t>
            </w:r>
          </w:p>
          <w:p w14:paraId="57455FDE">
            <w:pPr>
              <w:pStyle w:val="12"/>
              <w:numPr>
                <w:ilvl w:val="0"/>
                <w:numId w:val="0"/>
              </w:numPr>
              <w:spacing w:line="360" w:lineRule="auto"/>
              <w:ind w:firstLine="630" w:firstLineChars="300"/>
              <w:rPr>
                <w:rFonts w:hint="eastAsia" w:ascii="宋体" w:hAnsi="宋体" w:eastAsia="宋体" w:cs="宋体"/>
                <w:kern w:val="2"/>
                <w:sz w:val="21"/>
                <w:szCs w:val="22"/>
                <w:lang w:val="zh-CN" w:eastAsia="zh-CN" w:bidi="ar-SA"/>
              </w:rPr>
            </w:pPr>
            <w:r>
              <w:rPr>
                <w:rFonts w:hint="eastAsia" w:ascii="宋体" w:hAnsi="宋体" w:eastAsia="宋体" w:cs="宋体"/>
                <w:kern w:val="2"/>
                <w:sz w:val="21"/>
                <w:szCs w:val="22"/>
                <w:lang w:val="zh-CN" w:eastAsia="zh-CN" w:bidi="ar-SA"/>
              </w:rPr>
              <w:t>（</w:t>
            </w:r>
            <w:r>
              <w:rPr>
                <w:rFonts w:hint="eastAsia" w:ascii="宋体" w:hAnsi="宋体" w:eastAsia="宋体" w:cs="宋体"/>
                <w:kern w:val="2"/>
                <w:sz w:val="21"/>
                <w:szCs w:val="22"/>
                <w:lang w:val="en-US" w:eastAsia="zh-CN" w:bidi="ar-SA"/>
              </w:rPr>
              <w:t>3</w:t>
            </w:r>
            <w:r>
              <w:rPr>
                <w:rFonts w:hint="eastAsia" w:ascii="宋体" w:hAnsi="宋体" w:eastAsia="宋体" w:cs="宋体"/>
                <w:kern w:val="2"/>
                <w:sz w:val="21"/>
                <w:szCs w:val="22"/>
                <w:lang w:val="zh-CN" w:eastAsia="zh-CN" w:bidi="ar-SA"/>
              </w:rPr>
              <w:t>）安全保障措施等；</w:t>
            </w:r>
          </w:p>
          <w:p w14:paraId="09F2DF87">
            <w:pPr>
              <w:ind w:firstLine="630" w:firstLineChars="300"/>
              <w:rPr>
                <w:rFonts w:hint="eastAsia" w:ascii="宋体" w:hAnsi="宋体" w:eastAsia="宋体" w:cs="宋体"/>
                <w:kern w:val="2"/>
                <w:sz w:val="21"/>
                <w:szCs w:val="22"/>
                <w:lang w:val="zh-CN" w:eastAsia="zh-CN" w:bidi="ar-SA"/>
              </w:rPr>
            </w:pPr>
            <w:r>
              <w:rPr>
                <w:rFonts w:hint="eastAsia" w:ascii="宋体" w:hAnsi="宋体" w:eastAsia="宋体" w:cs="宋体"/>
                <w:kern w:val="2"/>
                <w:sz w:val="21"/>
                <w:szCs w:val="22"/>
                <w:lang w:val="zh-CN" w:eastAsia="zh-CN" w:bidi="ar-SA"/>
              </w:rPr>
              <w:t>（</w:t>
            </w:r>
            <w:r>
              <w:rPr>
                <w:rFonts w:hint="eastAsia" w:ascii="宋体" w:hAnsi="宋体" w:eastAsia="宋体" w:cs="宋体"/>
                <w:kern w:val="2"/>
                <w:sz w:val="21"/>
                <w:szCs w:val="22"/>
                <w:lang w:val="en-US" w:eastAsia="zh-CN" w:bidi="ar-SA"/>
              </w:rPr>
              <w:t>4</w:t>
            </w:r>
            <w:r>
              <w:rPr>
                <w:rFonts w:hint="eastAsia" w:ascii="宋体" w:hAnsi="宋体" w:eastAsia="宋体" w:cs="宋体"/>
                <w:kern w:val="2"/>
                <w:sz w:val="21"/>
                <w:szCs w:val="22"/>
                <w:lang w:val="zh-CN" w:eastAsia="zh-CN" w:bidi="ar-SA"/>
              </w:rPr>
              <w:t>）进度计划保障措施；</w:t>
            </w:r>
          </w:p>
          <w:p w14:paraId="230698BC">
            <w:pPr>
              <w:pStyle w:val="12"/>
              <w:numPr>
                <w:ilvl w:val="0"/>
                <w:numId w:val="0"/>
              </w:numPr>
              <w:spacing w:line="360" w:lineRule="auto"/>
              <w:ind w:firstLine="630" w:firstLineChars="300"/>
              <w:rPr>
                <w:rFonts w:hint="eastAsia" w:ascii="宋体" w:hAnsi="宋体" w:eastAsia="宋体" w:cs="宋体"/>
                <w:kern w:val="2"/>
                <w:sz w:val="21"/>
                <w:szCs w:val="22"/>
                <w:lang w:val="zh-CN" w:eastAsia="zh-CN" w:bidi="ar-SA"/>
              </w:rPr>
            </w:pPr>
            <w:r>
              <w:rPr>
                <w:rFonts w:hint="eastAsia" w:ascii="宋体" w:hAnsi="宋体" w:eastAsia="宋体" w:cs="宋体"/>
                <w:kern w:val="2"/>
                <w:sz w:val="21"/>
                <w:szCs w:val="22"/>
                <w:lang w:val="zh-CN" w:eastAsia="zh-CN" w:bidi="ar-SA"/>
              </w:rPr>
              <w:t>（</w:t>
            </w:r>
            <w:r>
              <w:rPr>
                <w:rFonts w:hint="eastAsia" w:ascii="宋体" w:hAnsi="宋体" w:eastAsia="宋体" w:cs="宋体"/>
                <w:kern w:val="2"/>
                <w:sz w:val="21"/>
                <w:szCs w:val="22"/>
                <w:lang w:val="en-US" w:eastAsia="zh-CN" w:bidi="ar-SA"/>
              </w:rPr>
              <w:t>5</w:t>
            </w:r>
            <w:r>
              <w:rPr>
                <w:rFonts w:hint="eastAsia" w:ascii="宋体" w:hAnsi="宋体" w:eastAsia="宋体" w:cs="宋体"/>
                <w:kern w:val="2"/>
                <w:sz w:val="21"/>
                <w:szCs w:val="22"/>
                <w:lang w:val="zh-CN" w:eastAsia="zh-CN" w:bidi="ar-SA"/>
              </w:rPr>
              <w:t>）物货丢失、退换货预案等。</w:t>
            </w:r>
          </w:p>
          <w:p w14:paraId="4805C5C5">
            <w:pPr>
              <w:pStyle w:val="12"/>
              <w:spacing w:line="360" w:lineRule="auto"/>
              <w:ind w:firstLine="480"/>
              <w:rPr>
                <w:rFonts w:hint="eastAsia" w:ascii="宋体" w:hAnsi="宋体" w:eastAsia="宋体" w:cs="宋体"/>
                <w:kern w:val="2"/>
                <w:sz w:val="21"/>
                <w:szCs w:val="22"/>
                <w:lang w:val="zh-CN" w:eastAsia="zh-CN" w:bidi="ar-SA"/>
              </w:rPr>
            </w:pPr>
            <w:r>
              <w:rPr>
                <w:rFonts w:hint="eastAsia" w:ascii="宋体" w:hAnsi="宋体" w:eastAsia="宋体" w:cs="宋体"/>
                <w:kern w:val="2"/>
                <w:sz w:val="21"/>
                <w:szCs w:val="22"/>
                <w:lang w:val="zh-CN" w:eastAsia="zh-CN" w:bidi="ar-SA"/>
              </w:rPr>
              <w:t>上述内容提供完整的，与实际项目贴合的得</w:t>
            </w:r>
            <w:r>
              <w:rPr>
                <w:rFonts w:hint="eastAsia" w:ascii="宋体" w:hAnsi="宋体" w:eastAsia="宋体" w:cs="宋体"/>
                <w:kern w:val="2"/>
                <w:sz w:val="21"/>
                <w:szCs w:val="22"/>
                <w:lang w:val="en-US" w:eastAsia="zh-CN" w:bidi="ar-SA"/>
              </w:rPr>
              <w:t>5</w:t>
            </w:r>
            <w:r>
              <w:rPr>
                <w:rFonts w:hint="eastAsia" w:ascii="宋体" w:hAnsi="宋体" w:eastAsia="宋体" w:cs="宋体"/>
                <w:kern w:val="2"/>
                <w:sz w:val="21"/>
                <w:szCs w:val="22"/>
                <w:lang w:val="zh-CN" w:eastAsia="zh-CN" w:bidi="ar-SA"/>
              </w:rPr>
              <w:t>分； 每缺一处扣</w:t>
            </w:r>
            <w:r>
              <w:rPr>
                <w:rFonts w:hint="eastAsia" w:ascii="宋体" w:hAnsi="宋体" w:eastAsia="宋体" w:cs="宋体"/>
                <w:kern w:val="2"/>
                <w:sz w:val="21"/>
                <w:szCs w:val="22"/>
                <w:lang w:val="en-US" w:eastAsia="zh-CN" w:bidi="ar-SA"/>
              </w:rPr>
              <w:t>1</w:t>
            </w:r>
            <w:r>
              <w:rPr>
                <w:rFonts w:hint="eastAsia" w:ascii="宋体" w:hAnsi="宋体" w:eastAsia="宋体" w:cs="宋体"/>
                <w:kern w:val="2"/>
                <w:sz w:val="21"/>
                <w:szCs w:val="22"/>
                <w:lang w:val="zh-CN" w:eastAsia="zh-CN" w:bidi="ar-SA"/>
              </w:rPr>
              <w:t>分；每有一处阐述简略或不符合项目实际情况扣</w:t>
            </w:r>
            <w:r>
              <w:rPr>
                <w:rFonts w:hint="eastAsia" w:ascii="宋体" w:hAnsi="宋体" w:eastAsia="宋体" w:cs="宋体"/>
                <w:kern w:val="2"/>
                <w:sz w:val="21"/>
                <w:szCs w:val="22"/>
                <w:lang w:val="en-US" w:eastAsia="zh-CN" w:bidi="ar-SA"/>
              </w:rPr>
              <w:t>0.5</w:t>
            </w:r>
            <w:r>
              <w:rPr>
                <w:rFonts w:hint="eastAsia" w:ascii="宋体" w:hAnsi="宋体" w:eastAsia="宋体" w:cs="宋体"/>
                <w:kern w:val="2"/>
                <w:sz w:val="21"/>
                <w:szCs w:val="22"/>
                <w:lang w:val="zh-CN" w:eastAsia="zh-CN" w:bidi="ar-SA"/>
              </w:rPr>
              <w:t>分。</w:t>
            </w:r>
          </w:p>
          <w:p w14:paraId="4AB859FE">
            <w:pPr>
              <w:pStyle w:val="12"/>
              <w:spacing w:line="360" w:lineRule="auto"/>
              <w:ind w:firstLine="480"/>
              <w:rPr>
                <w:rFonts w:hAnsi="宋体" w:cs="宋体"/>
                <w:color w:val="000000"/>
                <w:szCs w:val="24"/>
              </w:rPr>
            </w:pPr>
            <w:r>
              <w:rPr>
                <w:rFonts w:hint="eastAsia" w:ascii="宋体" w:hAnsi="宋体" w:eastAsia="宋体" w:cs="宋体"/>
                <w:kern w:val="2"/>
                <w:sz w:val="21"/>
                <w:szCs w:val="22"/>
                <w:lang w:val="zh-CN" w:eastAsia="zh-CN" w:bidi="ar-SA"/>
              </w:rPr>
              <w:t>注：阐述简略或不符合项目实际情况是指：提供的方案内容不切合行业实际、不符合行业政策；或方案内容生搬硬造，与实际情况不符，存在偏差；或方案内容过于简略；或存在与项目无关的文字内容；或内容不适用项目实际情况；或内容逻辑漏洞或原理错误。</w:t>
            </w:r>
          </w:p>
        </w:tc>
      </w:tr>
      <w:tr w14:paraId="638F3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0297A70F">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售后服务</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4AAB6A1F">
            <w:pPr>
              <w:spacing w:line="360" w:lineRule="auto"/>
              <w:ind w:firstLine="0" w:firstLineChars="0"/>
              <w:jc w:val="center"/>
              <w:rPr>
                <w:rFonts w:hint="eastAsia" w:ascii="宋体" w:hAnsi="宋体" w:cs="宋体"/>
                <w:b/>
                <w:bCs/>
                <w:color w:val="000000"/>
              </w:rPr>
            </w:pPr>
            <w:r>
              <w:rPr>
                <w:rFonts w:hint="eastAsia" w:ascii="宋体" w:hAnsi="宋体" w:cs="宋体"/>
                <w:b/>
                <w:bCs/>
                <w:color w:val="000000"/>
                <w:lang w:val="en-US" w:eastAsia="zh-CN"/>
              </w:rPr>
              <w:t>4</w:t>
            </w:r>
            <w:r>
              <w:rPr>
                <w:rFonts w:hint="eastAsia" w:ascii="宋体" w:hAnsi="宋体" w:cs="宋体"/>
                <w:b/>
                <w:bCs/>
                <w:color w:val="000000"/>
              </w:rPr>
              <w:t>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49100052">
            <w:pPr>
              <w:spacing w:line="360" w:lineRule="auto"/>
              <w:ind w:firstLine="480"/>
              <w:jc w:val="left"/>
              <w:rPr>
                <w:rFonts w:hint="eastAsia" w:ascii="宋体" w:hAnsi="宋体" w:cs="宋体"/>
                <w:lang w:val="zh-CN"/>
              </w:rPr>
            </w:pPr>
            <w:r>
              <w:rPr>
                <w:rFonts w:hint="eastAsia" w:ascii="宋体" w:hAnsi="宋体" w:cs="宋体"/>
                <w:lang w:val="zh-CN"/>
              </w:rPr>
              <w:t>供应商针对本项目提供售后服务：</w:t>
            </w:r>
          </w:p>
          <w:p w14:paraId="67857C27">
            <w:pPr>
              <w:numPr>
                <w:ilvl w:val="0"/>
                <w:numId w:val="3"/>
              </w:numPr>
              <w:spacing w:line="360" w:lineRule="auto"/>
              <w:ind w:firstLine="480"/>
              <w:jc w:val="left"/>
              <w:rPr>
                <w:rFonts w:hint="eastAsia" w:ascii="宋体" w:hAnsi="宋体" w:cs="宋体"/>
                <w:lang w:val="zh-CN"/>
              </w:rPr>
            </w:pPr>
            <w:r>
              <w:rPr>
                <w:rFonts w:hint="eastAsia" w:ascii="宋体" w:hAnsi="宋体" w:cs="宋体"/>
                <w:lang w:val="zh-CN"/>
              </w:rPr>
              <w:t>售后服务机构（提供机构框图、人员数量、职责分工；如委托进行售后服务，需提供供应商与售后服务机构的委托协议及售后服务机构的营业执照等证明材料）；</w:t>
            </w:r>
          </w:p>
          <w:p w14:paraId="4FE1CE27">
            <w:pPr>
              <w:numPr>
                <w:ilvl w:val="0"/>
                <w:numId w:val="3"/>
              </w:numPr>
              <w:spacing w:line="360" w:lineRule="auto"/>
              <w:ind w:firstLine="480"/>
              <w:jc w:val="left"/>
              <w:rPr>
                <w:rFonts w:hint="eastAsia" w:ascii="宋体" w:hAnsi="宋体" w:cs="宋体"/>
                <w:lang w:val="zh-CN"/>
              </w:rPr>
            </w:pPr>
            <w:r>
              <w:rPr>
                <w:rFonts w:hint="eastAsia" w:ascii="宋体" w:hAnsi="宋体" w:cs="宋体"/>
                <w:lang w:val="zh-CN"/>
              </w:rPr>
              <w:t>售后服务内容和流程；</w:t>
            </w:r>
          </w:p>
          <w:p w14:paraId="27D71311">
            <w:pPr>
              <w:numPr>
                <w:ilvl w:val="0"/>
                <w:numId w:val="3"/>
              </w:numPr>
              <w:spacing w:line="360" w:lineRule="auto"/>
              <w:ind w:firstLine="480"/>
              <w:jc w:val="left"/>
              <w:rPr>
                <w:rFonts w:hint="eastAsia" w:ascii="宋体" w:hAnsi="宋体" w:cs="宋体"/>
                <w:lang w:val="zh-CN"/>
              </w:rPr>
            </w:pPr>
            <w:r>
              <w:rPr>
                <w:rFonts w:hint="eastAsia" w:ascii="宋体" w:hAnsi="宋体" w:cs="宋体"/>
                <w:lang w:val="zh-CN"/>
              </w:rPr>
              <w:t>售后服务响应时间和质量（明确售后服务响应时间，包括响应时间、到达现场时间、完成服务时间及特殊情况下的时间安排）。</w:t>
            </w:r>
          </w:p>
          <w:p w14:paraId="7FD0B2A6">
            <w:pPr>
              <w:numPr>
                <w:ilvl w:val="0"/>
                <w:numId w:val="3"/>
              </w:numPr>
              <w:spacing w:line="360" w:lineRule="auto"/>
              <w:ind w:firstLine="480"/>
              <w:jc w:val="left"/>
              <w:rPr>
                <w:rFonts w:hint="eastAsia" w:ascii="宋体" w:hAnsi="宋体" w:cs="宋体"/>
                <w:lang w:val="zh-CN"/>
              </w:rPr>
            </w:pPr>
            <w:r>
              <w:rPr>
                <w:rFonts w:hint="eastAsia" w:ascii="宋体" w:hAnsi="宋体" w:cs="宋体"/>
                <w:lang w:val="zh-CN"/>
              </w:rPr>
              <w:t>保修期外服务：保修期外的服务方式和相关承诺。</w:t>
            </w:r>
          </w:p>
          <w:p w14:paraId="6014B91C">
            <w:pPr>
              <w:spacing w:line="360" w:lineRule="auto"/>
              <w:ind w:firstLine="480"/>
              <w:jc w:val="left"/>
              <w:rPr>
                <w:rFonts w:hint="eastAsia" w:ascii="宋体" w:hAnsi="宋体" w:cs="宋体"/>
                <w:lang w:val="zh-CN"/>
              </w:rPr>
            </w:pPr>
            <w:r>
              <w:rPr>
                <w:rFonts w:hint="eastAsia" w:ascii="宋体" w:hAnsi="宋体" w:cs="宋体"/>
                <w:lang w:val="zh-CN"/>
              </w:rPr>
              <w:t>上述内容提供完整的，与实际项目贴合的得</w:t>
            </w:r>
            <w:r>
              <w:rPr>
                <w:rFonts w:hint="eastAsia" w:ascii="宋体" w:hAnsi="宋体" w:cs="宋体"/>
                <w:lang w:val="en-US" w:eastAsia="zh-CN"/>
              </w:rPr>
              <w:t>4</w:t>
            </w:r>
            <w:r>
              <w:rPr>
                <w:rFonts w:hint="eastAsia" w:ascii="宋体" w:hAnsi="宋体" w:cs="宋体"/>
                <w:lang w:val="zh-CN"/>
              </w:rPr>
              <w:t>分； 每缺一处扣</w:t>
            </w:r>
            <w:r>
              <w:rPr>
                <w:rFonts w:hint="eastAsia" w:ascii="宋体" w:hAnsi="宋体" w:cs="宋体"/>
                <w:lang w:val="en-US" w:eastAsia="zh-CN"/>
              </w:rPr>
              <w:t>1</w:t>
            </w:r>
            <w:r>
              <w:rPr>
                <w:rFonts w:hint="eastAsia" w:ascii="宋体" w:hAnsi="宋体" w:cs="宋体"/>
                <w:lang w:val="zh-CN"/>
              </w:rPr>
              <w:t>分；每有一处阐述简略或不符合项目实际情况扣</w:t>
            </w:r>
            <w:r>
              <w:rPr>
                <w:rFonts w:hint="eastAsia" w:ascii="宋体" w:hAnsi="宋体" w:cs="宋体"/>
                <w:lang w:val="en-US" w:eastAsia="zh-CN"/>
              </w:rPr>
              <w:t>0.5</w:t>
            </w:r>
            <w:r>
              <w:rPr>
                <w:rFonts w:hint="eastAsia" w:ascii="宋体" w:hAnsi="宋体" w:cs="宋体"/>
                <w:lang w:val="zh-CN"/>
              </w:rPr>
              <w:t>分。</w:t>
            </w:r>
          </w:p>
          <w:p w14:paraId="5CD3DC09">
            <w:pPr>
              <w:spacing w:line="360" w:lineRule="auto"/>
              <w:ind w:firstLine="480"/>
              <w:jc w:val="left"/>
              <w:rPr>
                <w:rFonts w:hint="eastAsia" w:ascii="宋体" w:hAnsi="宋体" w:cs="宋体"/>
                <w:lang w:val="zh-CN"/>
              </w:rPr>
            </w:pPr>
            <w:r>
              <w:rPr>
                <w:rFonts w:hint="eastAsia" w:ascii="宋体" w:hAnsi="宋体" w:cs="宋体"/>
              </w:rPr>
              <w:t>注：</w:t>
            </w:r>
            <w:r>
              <w:rPr>
                <w:rFonts w:hint="eastAsia" w:ascii="宋体" w:hAnsi="宋体" w:cs="宋体"/>
                <w:lang w:val="zh-CN"/>
              </w:rPr>
              <w:t>阐述简略或不符合项目实际情况是指：提供的方案内容不切合行业实际、不符合行业政策；或方案内容生搬硬造，与实际情况不符，存在偏差；或方案内容过于简略；或存在与项目无关的文字内容；或内容不适用项目实际情况；或内容逻辑漏洞或原理错误。</w:t>
            </w:r>
          </w:p>
        </w:tc>
      </w:tr>
      <w:tr w14:paraId="15DE8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1353" w:type="dxa"/>
            <w:tcBorders>
              <w:top w:val="single" w:color="auto" w:sz="4" w:space="0"/>
              <w:left w:val="single" w:color="auto" w:sz="4" w:space="0"/>
              <w:bottom w:val="single" w:color="auto" w:sz="4" w:space="0"/>
              <w:right w:val="single" w:color="auto" w:sz="4" w:space="0"/>
            </w:tcBorders>
            <w:noWrap w:val="0"/>
            <w:vAlign w:val="center"/>
          </w:tcPr>
          <w:p w14:paraId="6AC9B43B">
            <w:pPr>
              <w:spacing w:line="360" w:lineRule="auto"/>
              <w:ind w:firstLine="0" w:firstLineChars="0"/>
              <w:jc w:val="center"/>
              <w:rPr>
                <w:rFonts w:hint="eastAsia" w:ascii="宋体" w:hAnsi="宋体" w:cs="宋体"/>
                <w:b/>
                <w:bCs/>
                <w:color w:val="000000"/>
                <w:lang w:val="zh-CN"/>
              </w:rPr>
            </w:pPr>
            <w:r>
              <w:rPr>
                <w:rFonts w:hint="eastAsia" w:ascii="宋体" w:hAnsi="宋体" w:cs="宋体"/>
                <w:b/>
                <w:bCs/>
                <w:color w:val="000000"/>
                <w:lang w:val="zh-CN"/>
              </w:rPr>
              <w:t>培训方案</w:t>
            </w:r>
          </w:p>
        </w:tc>
        <w:tc>
          <w:tcPr>
            <w:tcW w:w="1309" w:type="dxa"/>
            <w:tcBorders>
              <w:top w:val="single" w:color="auto" w:sz="4" w:space="0"/>
              <w:left w:val="single" w:color="auto" w:sz="4" w:space="0"/>
              <w:bottom w:val="single" w:color="auto" w:sz="4" w:space="0"/>
              <w:right w:val="single" w:color="auto" w:sz="4" w:space="0"/>
            </w:tcBorders>
            <w:noWrap w:val="0"/>
            <w:vAlign w:val="center"/>
          </w:tcPr>
          <w:p w14:paraId="7BA9A307">
            <w:pPr>
              <w:spacing w:line="360" w:lineRule="auto"/>
              <w:ind w:firstLine="0" w:firstLineChars="0"/>
              <w:jc w:val="center"/>
              <w:rPr>
                <w:rFonts w:hint="default" w:ascii="宋体" w:hAnsi="宋体" w:cs="宋体"/>
                <w:b/>
                <w:bCs/>
                <w:color w:val="000000"/>
                <w:lang w:val="en-US" w:eastAsia="zh-CN"/>
              </w:rPr>
            </w:pPr>
            <w:r>
              <w:rPr>
                <w:rFonts w:hint="eastAsia" w:ascii="宋体" w:hAnsi="宋体" w:cs="宋体"/>
                <w:b/>
                <w:bCs/>
                <w:color w:val="000000"/>
                <w:lang w:val="en-US" w:eastAsia="zh-CN"/>
              </w:rPr>
              <w:t>3分</w:t>
            </w:r>
          </w:p>
        </w:tc>
        <w:tc>
          <w:tcPr>
            <w:tcW w:w="5893" w:type="dxa"/>
            <w:tcBorders>
              <w:top w:val="single" w:color="auto" w:sz="4" w:space="0"/>
              <w:left w:val="single" w:color="auto" w:sz="4" w:space="0"/>
              <w:bottom w:val="single" w:color="auto" w:sz="4" w:space="0"/>
              <w:right w:val="single" w:color="auto" w:sz="4" w:space="0"/>
            </w:tcBorders>
            <w:noWrap w:val="0"/>
            <w:vAlign w:val="center"/>
          </w:tcPr>
          <w:p w14:paraId="4B3F38F7">
            <w:pPr>
              <w:spacing w:line="360" w:lineRule="auto"/>
              <w:jc w:val="left"/>
              <w:rPr>
                <w:rFonts w:hint="eastAsia" w:ascii="宋体" w:hAnsi="宋体" w:cs="宋体"/>
              </w:rPr>
            </w:pPr>
            <w:r>
              <w:rPr>
                <w:rFonts w:hint="eastAsia" w:ascii="宋体" w:hAnsi="宋体" w:cs="宋体"/>
              </w:rPr>
              <w:t>供应商针对本项目制定培训方案，包括但不限于：</w:t>
            </w:r>
          </w:p>
          <w:p w14:paraId="6A3A297E">
            <w:pPr>
              <w:spacing w:line="360" w:lineRule="auto"/>
              <w:ind w:firstLine="480"/>
              <w:jc w:val="left"/>
              <w:rPr>
                <w:rFonts w:hint="eastAsia" w:ascii="宋体" w:hAnsi="宋体" w:cs="宋体"/>
              </w:rPr>
            </w:pPr>
            <w:r>
              <w:rPr>
                <w:rFonts w:hint="eastAsia" w:ascii="宋体" w:hAnsi="宋体" w:cs="宋体"/>
              </w:rPr>
              <w:t>（1）培训目标</w:t>
            </w:r>
            <w:r>
              <w:rPr>
                <w:rFonts w:hint="eastAsia" w:ascii="宋体" w:hAnsi="宋体" w:cs="宋体"/>
                <w:lang w:eastAsia="zh-CN"/>
              </w:rPr>
              <w:t>、</w:t>
            </w:r>
            <w:r>
              <w:rPr>
                <w:rFonts w:hint="eastAsia" w:ascii="宋体" w:hAnsi="宋体" w:cs="宋体"/>
              </w:rPr>
              <w:t>计划</w:t>
            </w:r>
            <w:r>
              <w:rPr>
                <w:rFonts w:hint="eastAsia" w:ascii="宋体" w:hAnsi="宋体" w:cs="宋体"/>
                <w:lang w:eastAsia="zh-CN"/>
              </w:rPr>
              <w:t>、</w:t>
            </w:r>
            <w:r>
              <w:rPr>
                <w:rFonts w:hint="eastAsia" w:ascii="宋体" w:hAnsi="宋体" w:cs="宋体"/>
              </w:rPr>
              <w:t>内容；</w:t>
            </w:r>
          </w:p>
          <w:p w14:paraId="3E992576">
            <w:pPr>
              <w:spacing w:line="360" w:lineRule="auto"/>
              <w:ind w:firstLine="480"/>
              <w:jc w:val="left"/>
              <w:rPr>
                <w:rFonts w:hint="eastAsia" w:ascii="宋体" w:hAnsi="宋体" w:cs="宋体"/>
              </w:rPr>
            </w:pPr>
            <w:r>
              <w:rPr>
                <w:rFonts w:hint="eastAsia" w:ascii="宋体" w:hAnsi="宋体" w:cs="宋体"/>
              </w:rPr>
              <w:t>（2）培训人员配置；</w:t>
            </w:r>
          </w:p>
          <w:p w14:paraId="3F5CCA8C">
            <w:pPr>
              <w:spacing w:line="360" w:lineRule="auto"/>
              <w:ind w:firstLine="480"/>
              <w:jc w:val="left"/>
              <w:rPr>
                <w:rFonts w:hint="eastAsia" w:ascii="宋体" w:hAnsi="宋体" w:cs="宋体"/>
              </w:rPr>
            </w:pPr>
            <w:r>
              <w:rPr>
                <w:rFonts w:hint="eastAsia" w:ascii="宋体" w:hAnsi="宋体" w:cs="宋体"/>
              </w:rPr>
              <w:t>（3）培训质量保障措施；</w:t>
            </w:r>
          </w:p>
          <w:p w14:paraId="7F3D56BB">
            <w:pPr>
              <w:spacing w:line="360" w:lineRule="auto"/>
              <w:ind w:firstLine="480"/>
              <w:jc w:val="left"/>
              <w:rPr>
                <w:rFonts w:hint="eastAsia" w:ascii="宋体" w:hAnsi="宋体" w:cs="宋体"/>
                <w:lang w:val="zh-CN"/>
              </w:rPr>
            </w:pPr>
            <w:r>
              <w:rPr>
                <w:rFonts w:hint="eastAsia" w:ascii="宋体" w:hAnsi="宋体" w:cs="宋体"/>
                <w:lang w:val="zh-CN"/>
              </w:rPr>
              <w:t>上述内容提供完整</w:t>
            </w:r>
            <w:r>
              <w:rPr>
                <w:rFonts w:hint="eastAsia" w:ascii="宋体" w:hAnsi="宋体"/>
                <w:szCs w:val="28"/>
                <w:lang w:val="zh-CN"/>
              </w:rPr>
              <w:t>按要求提供材料及承诺函</w:t>
            </w:r>
            <w:r>
              <w:rPr>
                <w:rFonts w:hint="eastAsia" w:ascii="宋体" w:hAnsi="宋体" w:cs="宋体"/>
                <w:lang w:val="zh-CN"/>
              </w:rPr>
              <w:t>，与实际项目贴合的得</w:t>
            </w:r>
            <w:r>
              <w:rPr>
                <w:rFonts w:hint="eastAsia" w:ascii="宋体" w:hAnsi="宋体" w:cs="宋体"/>
                <w:lang w:val="en-US" w:eastAsia="zh-CN"/>
              </w:rPr>
              <w:t>3</w:t>
            </w:r>
            <w:r>
              <w:rPr>
                <w:rFonts w:hint="eastAsia" w:ascii="宋体" w:hAnsi="宋体" w:cs="宋体"/>
                <w:lang w:val="zh-CN"/>
              </w:rPr>
              <w:t>分； 每缺一处扣</w:t>
            </w:r>
            <w:r>
              <w:rPr>
                <w:rFonts w:hint="eastAsia" w:ascii="宋体" w:hAnsi="宋体" w:cs="宋体"/>
                <w:lang w:val="en-US" w:eastAsia="zh-CN"/>
              </w:rPr>
              <w:t>1</w:t>
            </w:r>
            <w:r>
              <w:rPr>
                <w:rFonts w:hint="eastAsia" w:ascii="宋体" w:hAnsi="宋体" w:cs="宋体"/>
                <w:lang w:val="zh-CN"/>
              </w:rPr>
              <w:t>分；每有一处阐述简略或不符合项目实际情况扣</w:t>
            </w:r>
            <w:r>
              <w:rPr>
                <w:rFonts w:hint="eastAsia" w:ascii="宋体" w:hAnsi="宋体" w:cs="宋体"/>
                <w:lang w:val="en-US" w:eastAsia="zh-CN"/>
              </w:rPr>
              <w:t>0.5</w:t>
            </w:r>
            <w:r>
              <w:rPr>
                <w:rFonts w:hint="eastAsia" w:ascii="宋体" w:hAnsi="宋体" w:cs="宋体"/>
                <w:lang w:val="zh-CN"/>
              </w:rPr>
              <w:t>分。</w:t>
            </w:r>
          </w:p>
          <w:p w14:paraId="7400B315">
            <w:pPr>
              <w:spacing w:line="360" w:lineRule="auto"/>
              <w:ind w:firstLine="480"/>
              <w:jc w:val="left"/>
              <w:rPr>
                <w:rFonts w:hint="eastAsia" w:ascii="宋体" w:hAnsi="宋体" w:cs="宋体"/>
              </w:rPr>
            </w:pPr>
            <w:r>
              <w:rPr>
                <w:rFonts w:hint="eastAsia" w:ascii="宋体" w:hAnsi="宋体" w:cs="宋体"/>
              </w:rPr>
              <w:t>注：</w:t>
            </w:r>
            <w:r>
              <w:rPr>
                <w:rFonts w:hint="eastAsia" w:ascii="宋体" w:hAnsi="宋体" w:cs="宋体"/>
                <w:lang w:val="zh-CN"/>
              </w:rPr>
              <w:t>阐述简略或不符合项目实际情况是指：提供的方案内容不切合行业实际、不符合行业政策；或方案内容生搬硬造，与实际情况不符，存在偏差；或方案内容过于简略；或存在与项目无关的文字内容；或内容不适用项目实际情况；或内容逻辑漏洞或原理错误。</w:t>
            </w:r>
          </w:p>
        </w:tc>
      </w:tr>
    </w:tbl>
    <w:p w14:paraId="237A30B0">
      <w:pPr>
        <w:pStyle w:val="6"/>
        <w:rPr>
          <w:rFonts w:hint="eastAsia"/>
          <w:lang w:val="zh-CN"/>
        </w:rPr>
      </w:pPr>
    </w:p>
    <w:p w14:paraId="6AD9D831">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sz w:val="24"/>
          <w:szCs w:val="24"/>
          <w:lang w:val="zh-CN"/>
        </w:rPr>
        <w:t>八、评审结果</w:t>
      </w:r>
      <w:bookmarkEnd w:id="70"/>
      <w:bookmarkEnd w:id="71"/>
      <w:bookmarkEnd w:id="72"/>
      <w:bookmarkEnd w:id="73"/>
      <w:bookmarkStart w:id="74" w:name="_Toc500493785"/>
      <w:bookmarkStart w:id="75" w:name="_Toc325726026"/>
      <w:bookmarkStart w:id="76" w:name="_Toc376936757"/>
    </w:p>
    <w:p w14:paraId="5BE61F80">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22.确定第一候选人</w:t>
      </w:r>
      <w:bookmarkEnd w:id="74"/>
      <w:bookmarkEnd w:id="75"/>
      <w:bookmarkEnd w:id="76"/>
    </w:p>
    <w:p w14:paraId="50009826">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22.1磋商小组按最后一次报价及根据评标总得分最高的原则确定第一候选人为成交供应商。</w:t>
      </w:r>
    </w:p>
    <w:p w14:paraId="62CB1276">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22.2磋商小组</w:t>
      </w:r>
      <w:bookmarkStart w:id="77" w:name="_Toc325726027"/>
      <w:r>
        <w:rPr>
          <w:rFonts w:hint="eastAsia" w:ascii="宋体" w:hAnsi="宋体" w:eastAsia="宋体" w:cs="宋体"/>
          <w:sz w:val="24"/>
          <w:szCs w:val="24"/>
          <w:lang w:val="zh-CN"/>
        </w:rPr>
        <w:t>完成评审后应当向采购人提交书面评审报告。</w:t>
      </w:r>
    </w:p>
    <w:p w14:paraId="77C4FEFB">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rPr>
      </w:pPr>
      <w:bookmarkStart w:id="78" w:name="_Toc500493786"/>
      <w:bookmarkStart w:id="79" w:name="_Toc325726028"/>
      <w:bookmarkStart w:id="80" w:name="_Toc376936759"/>
      <w:r>
        <w:rPr>
          <w:rFonts w:hint="eastAsia" w:ascii="宋体" w:hAnsi="宋体" w:eastAsia="宋体" w:cs="宋体"/>
          <w:b/>
          <w:bCs/>
          <w:kern w:val="0"/>
          <w:sz w:val="24"/>
          <w:szCs w:val="24"/>
        </w:rPr>
        <w:t>23.</w:t>
      </w:r>
      <w:r>
        <w:rPr>
          <w:rFonts w:hint="eastAsia" w:ascii="宋体" w:hAnsi="宋体" w:eastAsia="宋体" w:cs="宋体"/>
          <w:b/>
          <w:bCs/>
          <w:kern w:val="0"/>
          <w:sz w:val="24"/>
          <w:szCs w:val="24"/>
          <w:lang w:val="en-US" w:eastAsia="zh-CN"/>
        </w:rPr>
        <w:t>成交</w:t>
      </w:r>
      <w:r>
        <w:rPr>
          <w:rFonts w:hint="eastAsia" w:ascii="宋体" w:hAnsi="宋体" w:eastAsia="宋体" w:cs="宋体"/>
          <w:b/>
          <w:bCs/>
          <w:kern w:val="0"/>
          <w:sz w:val="24"/>
          <w:szCs w:val="24"/>
        </w:rPr>
        <w:t>通知</w:t>
      </w:r>
      <w:bookmarkEnd w:id="78"/>
      <w:bookmarkEnd w:id="79"/>
      <w:bookmarkEnd w:id="80"/>
    </w:p>
    <w:p w14:paraId="2ADA874F">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23.1采购代理机构自成交供应商确定之日起2个工作日内发出《成交通知书》，并在青海政府采购网上公告成交结果，公告期限为1个工作日。在公告成交结果的同时，采购代理机构应当向成交供应商发出成交通知书；对未通过资格审查的供应商，告知其未通过的原因；告知未成交供应本人的评审得分与排序。</w:t>
      </w:r>
    </w:p>
    <w:p w14:paraId="04EBF8A1">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b/>
          <w:sz w:val="24"/>
          <w:szCs w:val="24"/>
          <w:lang w:val="zh-CN"/>
        </w:rPr>
      </w:pPr>
      <w:r>
        <w:rPr>
          <w:rFonts w:hint="eastAsia" w:ascii="宋体" w:hAnsi="宋体" w:eastAsia="宋体" w:cs="宋体"/>
          <w:sz w:val="24"/>
          <w:szCs w:val="24"/>
          <w:lang w:val="zh-CN"/>
        </w:rPr>
        <w:t>23.2《成交通知书》发出后，采购人改变成交结果的，或者成交供应商无正当理由放弃</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项目的，依法承担法律责任。</w:t>
      </w:r>
      <w:bookmarkStart w:id="81" w:name="_Toc500493787"/>
      <w:bookmarkStart w:id="82" w:name="_Toc376936758"/>
    </w:p>
    <w:p w14:paraId="204A5FF2">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sz w:val="24"/>
          <w:szCs w:val="24"/>
          <w:lang w:val="zh-CN"/>
        </w:rPr>
        <w:t>九、授予合同</w:t>
      </w:r>
      <w:bookmarkEnd w:id="77"/>
      <w:bookmarkEnd w:id="81"/>
      <w:bookmarkEnd w:id="82"/>
      <w:bookmarkStart w:id="83" w:name="_Toc325726029"/>
      <w:bookmarkStart w:id="84" w:name="_Toc500493788"/>
      <w:bookmarkStart w:id="85" w:name="_Toc376936760"/>
    </w:p>
    <w:p w14:paraId="6BB23EE2">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24.签订合同</w:t>
      </w:r>
      <w:bookmarkEnd w:id="83"/>
      <w:bookmarkEnd w:id="84"/>
      <w:bookmarkEnd w:id="85"/>
    </w:p>
    <w:p w14:paraId="6424BC39">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24.1采购人与成交供应商双方应当自《成交通知书》发出之日起30日内，按照磋商文件确定的合同文本以及采购标的、规格型号、采购金额、采购数量、技术和服务要求等事项签订采购合同。</w:t>
      </w:r>
    </w:p>
    <w:p w14:paraId="5D4F19DC">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24.2签订合同时，成交供应商应按规定向采购人提交履约保证金（履约保证金的数额由采购人与成交供应商商定，但数额不得超出采购合同总金额的10%），履约保证金须缴纳到采购人指定的账户。</w:t>
      </w:r>
      <w:r>
        <w:rPr>
          <w:rFonts w:hint="eastAsia" w:ascii="宋体" w:hAnsi="宋体" w:eastAsia="宋体" w:cs="宋体"/>
          <w:b/>
          <w:bCs/>
          <w:sz w:val="24"/>
          <w:szCs w:val="24"/>
          <w:lang w:val="zh-CN"/>
        </w:rPr>
        <w:t>（本项目无）</w:t>
      </w:r>
    </w:p>
    <w:p w14:paraId="2AAF237B">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24.3成交供应商在法定期限内无正当理由拒签合同的，按违约处理。同时，采购代理机构可依评标排序重新确定成交供应商，并协调双方签订采购合同。</w:t>
      </w:r>
    </w:p>
    <w:p w14:paraId="7EB013EC">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24.4采购人不得向成交供应商提出任何不合理的要求作为订立合同的条件，采购人和成交供应商不得私下订立背离合同实质性内容的协议。</w:t>
      </w:r>
    </w:p>
    <w:p w14:paraId="49D93541">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24.5竞争性磋商文件、成交供应商的磋商响应文件、《成交通知书》及其澄清、说明文件等，均为签订采购合同的依据。</w:t>
      </w:r>
      <w:bookmarkStart w:id="86" w:name="_Toc325726030"/>
      <w:bookmarkStart w:id="87" w:name="_Toc376936761"/>
    </w:p>
    <w:p w14:paraId="1CD98C2D">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b/>
          <w:sz w:val="24"/>
          <w:szCs w:val="24"/>
          <w:lang w:val="zh-CN"/>
        </w:rPr>
      </w:pPr>
      <w:r>
        <w:rPr>
          <w:rFonts w:hint="eastAsia" w:ascii="宋体" w:hAnsi="宋体" w:eastAsia="宋体" w:cs="宋体"/>
          <w:sz w:val="24"/>
          <w:szCs w:val="24"/>
          <w:lang w:val="zh-CN"/>
        </w:rPr>
        <w:t>24.6采购代理机构应当自采购合同签订之日起2个工作日内，将采购合同在青海政府采购网上公告，但政府采购合同中涉及国家秘密、商业秘密的内容除外。</w:t>
      </w:r>
      <w:bookmarkStart w:id="88" w:name="_Toc500493789"/>
    </w:p>
    <w:p w14:paraId="0BC0B2CE">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sz w:val="24"/>
          <w:szCs w:val="24"/>
          <w:lang w:val="zh-CN"/>
        </w:rPr>
        <w:t>十、串通响应的认定及处理办法</w:t>
      </w:r>
      <w:bookmarkEnd w:id="88"/>
      <w:bookmarkStart w:id="89" w:name="_Toc500493790"/>
    </w:p>
    <w:p w14:paraId="333AB72C">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25.串通</w:t>
      </w:r>
      <w:r>
        <w:rPr>
          <w:rFonts w:hint="eastAsia" w:ascii="宋体" w:hAnsi="宋体" w:eastAsia="宋体" w:cs="宋体"/>
          <w:b/>
          <w:bCs/>
          <w:kern w:val="0"/>
          <w:sz w:val="24"/>
          <w:szCs w:val="24"/>
          <w:lang w:eastAsia="zh-CN"/>
        </w:rPr>
        <w:t>响应</w:t>
      </w:r>
      <w:r>
        <w:rPr>
          <w:rFonts w:hint="eastAsia" w:ascii="宋体" w:hAnsi="宋体" w:eastAsia="宋体" w:cs="宋体"/>
          <w:b/>
          <w:bCs/>
          <w:kern w:val="0"/>
          <w:sz w:val="24"/>
          <w:szCs w:val="24"/>
        </w:rPr>
        <w:t>的情形</w:t>
      </w:r>
      <w:bookmarkEnd w:id="89"/>
    </w:p>
    <w:p w14:paraId="5343AFD9">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25.1供应商应当遵循公平竞争的原则，不得恶意串通，不得妨碍其他供应商的竞争行为，不得损害采购人或者其他供应商的合法权益。</w:t>
      </w:r>
    </w:p>
    <w:p w14:paraId="1C576CBF">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25.2 有下列情形之一的，视为供应商串通响应，其响应无效：</w:t>
      </w:r>
    </w:p>
    <w:p w14:paraId="06F055D7">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（1）不同供应商的磋商响应文件由同一单位或者个人编制；</w:t>
      </w:r>
    </w:p>
    <w:p w14:paraId="1B829226">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（2）不同供应商委托同一单位或者个人办理响应事宜；</w:t>
      </w:r>
    </w:p>
    <w:p w14:paraId="4039525F">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（3）不同供应商的磋商响应文件载明的项目管理成员或者联系人员为同一人；</w:t>
      </w:r>
    </w:p>
    <w:p w14:paraId="21EF9B02">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（4）不同供应商的磋商响应文件异常一致或者磋商报价呈规律性差异；</w:t>
      </w:r>
    </w:p>
    <w:p w14:paraId="75E172CC">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b/>
          <w:sz w:val="24"/>
          <w:szCs w:val="24"/>
          <w:lang w:val="zh-CN"/>
        </w:rPr>
      </w:pPr>
      <w:r>
        <w:rPr>
          <w:rFonts w:hint="eastAsia" w:ascii="宋体" w:hAnsi="宋体" w:eastAsia="宋体" w:cs="宋体"/>
          <w:sz w:val="24"/>
          <w:szCs w:val="24"/>
          <w:lang w:val="zh-CN"/>
        </w:rPr>
        <w:t>（5）不同供应商的磋商响应文件相互混装。</w:t>
      </w:r>
      <w:bookmarkStart w:id="90" w:name="_Toc500493791"/>
    </w:p>
    <w:p w14:paraId="4D302B8C">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sz w:val="24"/>
          <w:szCs w:val="24"/>
          <w:lang w:val="zh-CN"/>
        </w:rPr>
        <w:t>十一、废标</w:t>
      </w:r>
      <w:bookmarkEnd w:id="86"/>
      <w:bookmarkEnd w:id="87"/>
      <w:bookmarkEnd w:id="90"/>
      <w:bookmarkStart w:id="91" w:name="_Toc500493792"/>
      <w:bookmarkStart w:id="92" w:name="_Toc376936762"/>
      <w:bookmarkStart w:id="93" w:name="_Toc325726031"/>
    </w:p>
    <w:p w14:paraId="1A9E2225">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26. 废标情形</w:t>
      </w:r>
      <w:bookmarkEnd w:id="91"/>
    </w:p>
    <w:p w14:paraId="3777B392">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26.1在招标采购中，出现下列情形之一的，应予废标：</w:t>
      </w:r>
      <w:bookmarkEnd w:id="92"/>
      <w:bookmarkEnd w:id="93"/>
    </w:p>
    <w:p w14:paraId="7654C691">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（1）符合响应条件的供应商或者对竞争性磋商文件作实质响应的供应商不足三家的；</w:t>
      </w:r>
    </w:p>
    <w:p w14:paraId="33C1C79D">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（2）出现影响采购活动正常推进的违法、违规行为的；</w:t>
      </w:r>
    </w:p>
    <w:p w14:paraId="67713D05">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（3）供应商的报价均超出采购预算额度，采购人不能支付的；</w:t>
      </w:r>
    </w:p>
    <w:p w14:paraId="1712B351">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（4）因重大变故，采购任务取消的。</w:t>
      </w:r>
    </w:p>
    <w:p w14:paraId="2634AB25">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b/>
          <w:sz w:val="24"/>
          <w:szCs w:val="24"/>
          <w:lang w:val="zh-CN"/>
        </w:rPr>
      </w:pPr>
      <w:r>
        <w:rPr>
          <w:rFonts w:hint="eastAsia" w:ascii="宋体" w:hAnsi="宋体" w:eastAsia="宋体" w:cs="宋体"/>
          <w:sz w:val="24"/>
          <w:szCs w:val="24"/>
          <w:lang w:val="zh-CN"/>
        </w:rPr>
        <w:t>26.2废标后，由采购代理机构发布废标公告。</w:t>
      </w:r>
      <w:bookmarkStart w:id="94" w:name="_Toc325726032"/>
      <w:bookmarkStart w:id="95" w:name="_Toc500493793"/>
      <w:bookmarkStart w:id="96" w:name="_Toc376936763"/>
    </w:p>
    <w:p w14:paraId="458F3DE2">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sz w:val="24"/>
          <w:szCs w:val="24"/>
          <w:lang w:val="zh-CN"/>
        </w:rPr>
        <w:t>十二、处罚</w:t>
      </w:r>
      <w:bookmarkEnd w:id="94"/>
      <w:bookmarkEnd w:id="95"/>
      <w:bookmarkEnd w:id="96"/>
      <w:bookmarkStart w:id="97" w:name="_Toc376936764"/>
      <w:bookmarkStart w:id="98" w:name="_Toc500493794"/>
      <w:bookmarkStart w:id="99" w:name="_Toc325726033"/>
    </w:p>
    <w:p w14:paraId="6E8C3837">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27.处罚情形</w:t>
      </w:r>
      <w:bookmarkEnd w:id="97"/>
      <w:bookmarkEnd w:id="98"/>
      <w:bookmarkEnd w:id="99"/>
    </w:p>
    <w:p w14:paraId="1EA782E2">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27.1有下列情形之一的，成交供应商的成交结果无效，履约保证金不予退还。</w:t>
      </w:r>
    </w:p>
    <w:p w14:paraId="0F29C21D">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（1）供应商在响应截止期后撤回其响应的；</w:t>
      </w:r>
    </w:p>
    <w:p w14:paraId="1EF8BB68">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（2）提供虚假材料谋取中标的；</w:t>
      </w:r>
    </w:p>
    <w:p w14:paraId="0A746A7C">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（3）采取不正当手段诋毁、排挤其他供应商的；</w:t>
      </w:r>
    </w:p>
    <w:p w14:paraId="025521E5">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（4）有恶意串通等不正当竞争行为的；</w:t>
      </w:r>
    </w:p>
    <w:p w14:paraId="1109CF07">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w:t>
      </w:r>
      <w:r>
        <w:rPr>
          <w:rFonts w:hint="eastAsia" w:ascii="宋体" w:hAnsi="宋体" w:eastAsia="宋体" w:cs="宋体"/>
          <w:sz w:val="24"/>
          <w:szCs w:val="24"/>
          <w:lang w:val="en-US" w:eastAsia="zh-CN"/>
        </w:rPr>
        <w:t>成交</w:t>
      </w:r>
      <w:r>
        <w:rPr>
          <w:rFonts w:hint="eastAsia" w:ascii="宋体" w:hAnsi="宋体" w:eastAsia="宋体" w:cs="宋体"/>
          <w:sz w:val="24"/>
          <w:szCs w:val="24"/>
          <w:lang w:val="zh-CN"/>
        </w:rPr>
        <w:t>后无正当理由拒不与采购人签订采购合同的；</w:t>
      </w:r>
    </w:p>
    <w:p w14:paraId="481BC96A">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（6）未按照竞争性磋商文件、磋商响应文件确定的事项签订采购合同的；</w:t>
      </w:r>
    </w:p>
    <w:p w14:paraId="730C98DF">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（7）将采购合同转包的；</w:t>
      </w:r>
    </w:p>
    <w:p w14:paraId="3A285A71">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（8）提供假冒伪劣产品的；</w:t>
      </w:r>
    </w:p>
    <w:p w14:paraId="2443897C">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（9）擅自变更、中止或者终止政府采购合同的；</w:t>
      </w:r>
    </w:p>
    <w:p w14:paraId="435CA9FC">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（10）成交供应商签订合同后，因种种原因不能履约或无故拖延履约期的；</w:t>
      </w:r>
    </w:p>
    <w:p w14:paraId="5D2E961B">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（11）法律、法规规定的其他情形的。</w:t>
      </w:r>
    </w:p>
    <w:p w14:paraId="690BF5FC">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rPr>
        <w:t>27.2出现上述情况，情节严重的，报省财政厅依法进行处理。</w:t>
      </w:r>
    </w:p>
    <w:p w14:paraId="269CCC19">
      <w:pPr>
        <w:keepNext w:val="0"/>
        <w:keepLines w:val="0"/>
        <w:pageBreakBefore w:val="0"/>
        <w:widowControl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eastAsia="宋体" w:cs="宋体"/>
          <w:b/>
          <w:bCs/>
          <w:sz w:val="24"/>
          <w:szCs w:val="24"/>
          <w:highlight w:val="none"/>
          <w:lang w:val="zh-CN"/>
        </w:rPr>
      </w:pPr>
      <w:bookmarkStart w:id="100" w:name="_Toc18507"/>
      <w:bookmarkStart w:id="101" w:name="_Toc18036"/>
      <w:bookmarkStart w:id="102" w:name="_Toc325726034"/>
      <w:bookmarkStart w:id="103" w:name="_Toc500493795"/>
      <w:bookmarkStart w:id="104" w:name="_Toc376936765"/>
      <w:r>
        <w:rPr>
          <w:rFonts w:hint="eastAsia" w:ascii="宋体" w:hAnsi="宋体" w:eastAsia="宋体" w:cs="宋体"/>
          <w:b/>
          <w:bCs/>
          <w:sz w:val="24"/>
          <w:szCs w:val="24"/>
          <w:highlight w:val="none"/>
          <w:lang w:val="en-US" w:eastAsia="zh-CN"/>
        </w:rPr>
        <w:t>十三、</w:t>
      </w:r>
      <w:r>
        <w:rPr>
          <w:rFonts w:hint="eastAsia" w:ascii="宋体" w:hAnsi="宋体" w:eastAsia="宋体" w:cs="宋体"/>
          <w:b/>
          <w:bCs/>
          <w:sz w:val="24"/>
          <w:szCs w:val="24"/>
          <w:highlight w:val="none"/>
          <w:lang w:val="zh-CN"/>
        </w:rPr>
        <w:t>代理服务费</w:t>
      </w:r>
      <w:bookmarkEnd w:id="100"/>
      <w:bookmarkEnd w:id="101"/>
    </w:p>
    <w:p w14:paraId="0BD38CFD">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收取对象：成交供应商支付。</w:t>
      </w:r>
    </w:p>
    <w:p w14:paraId="5755457C">
      <w:pPr>
        <w:keepNext w:val="0"/>
        <w:keepLines w:val="0"/>
        <w:pageBreakBefore w:val="0"/>
        <w:widowControl w:val="0"/>
        <w:kinsoku/>
        <w:wordWrap/>
        <w:overflowPunct/>
        <w:topLinePunct w:val="0"/>
        <w:autoSpaceDE w:val="0"/>
        <w:autoSpaceDN w:val="0"/>
        <w:bidi w:val="0"/>
        <w:adjustRightInd w:val="0"/>
        <w:snapToGrid/>
        <w:spacing w:after="240" w:line="360" w:lineRule="auto"/>
        <w:ind w:firstLine="720" w:firstLineChars="3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代理服务费金额：</w:t>
      </w:r>
      <w:bookmarkEnd w:id="102"/>
      <w:bookmarkEnd w:id="103"/>
      <w:bookmarkEnd w:id="104"/>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4,00</w:t>
      </w:r>
      <w:r>
        <w:rPr>
          <w:rFonts w:hint="eastAsia" w:ascii="宋体" w:hAnsi="宋体" w:eastAsia="宋体" w:cs="宋体"/>
          <w:color w:val="auto"/>
          <w:sz w:val="24"/>
          <w:szCs w:val="24"/>
          <w:highlight w:val="none"/>
        </w:rPr>
        <w:t>0.00 元 大写：</w:t>
      </w:r>
      <w:r>
        <w:rPr>
          <w:rFonts w:hint="eastAsia" w:ascii="宋体" w:hAnsi="宋体" w:cs="宋体"/>
          <w:color w:val="auto"/>
          <w:sz w:val="24"/>
          <w:szCs w:val="24"/>
          <w:highlight w:val="none"/>
          <w:lang w:val="en-US" w:eastAsia="zh-CN"/>
        </w:rPr>
        <w:t>肆仟元整</w:t>
      </w:r>
    </w:p>
    <w:p w14:paraId="17F2F908">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lang w:val="zh-CN"/>
        </w:rPr>
        <w:t>其他未尽事宜，按照《中华人民共和国民法典》、《中华人民共和国政府采购法》、《中华人民共和国政府采购法实施条例》等法律法规及中华人民共和国财政部《政府采购竞争性磋商采购方式管理暂行办法》的有关条款执行</w:t>
      </w:r>
      <w:r>
        <w:rPr>
          <w:rFonts w:hint="eastAsia" w:ascii="宋体" w:hAnsi="宋体" w:cs="宋体"/>
          <w:sz w:val="24"/>
          <w:szCs w:val="24"/>
          <w:lang w:val="zh-CN"/>
        </w:rPr>
        <w:t>。</w:t>
      </w:r>
    </w:p>
    <w:p w14:paraId="3E563BC1">
      <w:pPr>
        <w:jc w:val="center"/>
        <w:outlineLvl w:val="0"/>
        <w:rPr>
          <w:rFonts w:hint="eastAsia" w:ascii="宋体" w:hAnsi="宋体" w:eastAsia="宋体" w:cs="宋体"/>
          <w:b/>
          <w:sz w:val="32"/>
          <w:szCs w:val="32"/>
          <w:lang w:val="zh-CN"/>
        </w:rPr>
      </w:pPr>
      <w:bookmarkStart w:id="105" w:name="_Toc428180573"/>
      <w:bookmarkStart w:id="106" w:name="_Toc31145"/>
      <w:bookmarkStart w:id="107" w:name="_Toc21328"/>
      <w:bookmarkStart w:id="108" w:name="_Toc31991"/>
      <w:r>
        <w:rPr>
          <w:rFonts w:hint="eastAsia" w:ascii="宋体" w:hAnsi="宋体" w:eastAsia="宋体" w:cs="宋体"/>
          <w:b/>
          <w:sz w:val="32"/>
          <w:szCs w:val="32"/>
          <w:lang w:val="zh-CN"/>
        </w:rPr>
        <w:t>第</w:t>
      </w:r>
      <w:r>
        <w:rPr>
          <w:rFonts w:hint="eastAsia" w:ascii="宋体" w:hAnsi="宋体" w:cs="宋体"/>
          <w:b/>
          <w:sz w:val="32"/>
          <w:szCs w:val="32"/>
          <w:lang w:val="en-US" w:eastAsia="zh-CN"/>
        </w:rPr>
        <w:t>四</w:t>
      </w:r>
      <w:r>
        <w:rPr>
          <w:rFonts w:hint="eastAsia" w:ascii="宋体" w:hAnsi="宋体" w:eastAsia="宋体" w:cs="宋体"/>
          <w:b/>
          <w:sz w:val="32"/>
          <w:szCs w:val="32"/>
          <w:lang w:val="zh-CN"/>
        </w:rPr>
        <w:t>部分 青海省政府采购项目合同书范本</w:t>
      </w:r>
      <w:bookmarkEnd w:id="105"/>
      <w:bookmarkEnd w:id="106"/>
      <w:bookmarkEnd w:id="107"/>
      <w:bookmarkEnd w:id="108"/>
    </w:p>
    <w:p w14:paraId="640D15A1">
      <w:pPr>
        <w:spacing w:line="400" w:lineRule="exact"/>
        <w:ind w:firstLine="752" w:firstLineChars="235"/>
        <w:rPr>
          <w:rFonts w:hint="eastAsia" w:ascii="宋体" w:hAnsi="宋体" w:eastAsia="宋体" w:cs="宋体"/>
          <w:kern w:val="0"/>
          <w:sz w:val="32"/>
          <w:szCs w:val="32"/>
        </w:rPr>
      </w:pPr>
    </w:p>
    <w:p w14:paraId="40CADAFA">
      <w:pPr>
        <w:jc w:val="center"/>
        <w:rPr>
          <w:rFonts w:hint="eastAsia" w:ascii="宋体" w:hAnsi="宋体" w:eastAsia="宋体" w:cs="宋体"/>
          <w:b/>
          <w:kern w:val="28"/>
          <w:sz w:val="32"/>
          <w:szCs w:val="32"/>
        </w:rPr>
      </w:pPr>
    </w:p>
    <w:p w14:paraId="1F63D0C9">
      <w:pPr>
        <w:jc w:val="center"/>
        <w:rPr>
          <w:rFonts w:hint="eastAsia" w:ascii="宋体" w:hAnsi="宋体" w:eastAsia="宋体" w:cs="宋体"/>
          <w:b/>
          <w:kern w:val="28"/>
          <w:sz w:val="32"/>
          <w:szCs w:val="32"/>
        </w:rPr>
      </w:pPr>
      <w:r>
        <w:rPr>
          <w:rFonts w:hint="eastAsia" w:ascii="宋体" w:hAnsi="宋体" w:eastAsia="宋体" w:cs="宋体"/>
          <w:b/>
          <w:kern w:val="28"/>
          <w:sz w:val="32"/>
          <w:szCs w:val="32"/>
        </w:rPr>
        <w:t>青海省政府采购</w:t>
      </w:r>
    </w:p>
    <w:p w14:paraId="7878A339">
      <w:pPr>
        <w:jc w:val="center"/>
        <w:rPr>
          <w:rFonts w:hint="eastAsia" w:ascii="宋体" w:hAnsi="宋体" w:eastAsia="宋体" w:cs="宋体"/>
          <w:kern w:val="28"/>
          <w:sz w:val="32"/>
          <w:szCs w:val="32"/>
        </w:rPr>
      </w:pPr>
    </w:p>
    <w:p w14:paraId="27714A39">
      <w:pPr>
        <w:jc w:val="center"/>
        <w:rPr>
          <w:rFonts w:hint="eastAsia" w:ascii="宋体" w:hAnsi="宋体" w:eastAsia="宋体" w:cs="宋体"/>
          <w:b/>
          <w:kern w:val="28"/>
          <w:sz w:val="32"/>
          <w:szCs w:val="32"/>
        </w:rPr>
      </w:pPr>
      <w:r>
        <w:rPr>
          <w:rFonts w:hint="eastAsia" w:ascii="宋体" w:hAnsi="宋体" w:eastAsia="宋体" w:cs="宋体"/>
          <w:b/>
          <w:kern w:val="28"/>
          <w:sz w:val="32"/>
          <w:szCs w:val="32"/>
        </w:rPr>
        <w:t>合</w:t>
      </w:r>
    </w:p>
    <w:p w14:paraId="193CEC70">
      <w:pPr>
        <w:jc w:val="center"/>
        <w:rPr>
          <w:rFonts w:hint="eastAsia" w:ascii="宋体" w:hAnsi="宋体" w:eastAsia="宋体" w:cs="宋体"/>
          <w:b/>
          <w:kern w:val="28"/>
          <w:sz w:val="32"/>
          <w:szCs w:val="32"/>
        </w:rPr>
      </w:pPr>
    </w:p>
    <w:p w14:paraId="7004F8B9">
      <w:pPr>
        <w:jc w:val="center"/>
        <w:rPr>
          <w:rFonts w:hint="eastAsia" w:ascii="宋体" w:hAnsi="宋体" w:eastAsia="宋体" w:cs="宋体"/>
          <w:b/>
          <w:kern w:val="28"/>
          <w:sz w:val="32"/>
          <w:szCs w:val="32"/>
        </w:rPr>
      </w:pPr>
      <w:r>
        <w:rPr>
          <w:rFonts w:hint="eastAsia" w:ascii="宋体" w:hAnsi="宋体" w:eastAsia="宋体" w:cs="宋体"/>
          <w:b/>
          <w:kern w:val="28"/>
          <w:sz w:val="32"/>
          <w:szCs w:val="32"/>
        </w:rPr>
        <w:t>同</w:t>
      </w:r>
    </w:p>
    <w:p w14:paraId="033BACA7">
      <w:pPr>
        <w:jc w:val="center"/>
        <w:rPr>
          <w:rFonts w:hint="eastAsia" w:ascii="宋体" w:hAnsi="宋体" w:eastAsia="宋体" w:cs="宋体"/>
          <w:b/>
          <w:kern w:val="28"/>
          <w:sz w:val="32"/>
          <w:szCs w:val="32"/>
        </w:rPr>
      </w:pPr>
    </w:p>
    <w:p w14:paraId="0BF3782C">
      <w:pPr>
        <w:jc w:val="center"/>
        <w:rPr>
          <w:rFonts w:hint="eastAsia" w:ascii="宋体" w:hAnsi="宋体" w:eastAsia="宋体" w:cs="宋体"/>
          <w:kern w:val="28"/>
          <w:sz w:val="32"/>
          <w:szCs w:val="32"/>
        </w:rPr>
      </w:pPr>
      <w:r>
        <w:rPr>
          <w:rFonts w:hint="eastAsia" w:ascii="宋体" w:hAnsi="宋体" w:eastAsia="宋体" w:cs="宋体"/>
          <w:b/>
          <w:kern w:val="28"/>
          <w:sz w:val="32"/>
          <w:szCs w:val="32"/>
        </w:rPr>
        <w:t>书</w:t>
      </w:r>
    </w:p>
    <w:p w14:paraId="265AF3A1">
      <w:pPr>
        <w:spacing w:line="276" w:lineRule="auto"/>
        <w:ind w:firstLine="643" w:firstLineChars="200"/>
        <w:rPr>
          <w:rFonts w:hint="eastAsia" w:ascii="宋体" w:hAnsi="宋体" w:eastAsia="宋体" w:cs="宋体"/>
          <w:b/>
          <w:sz w:val="32"/>
          <w:szCs w:val="32"/>
        </w:rPr>
      </w:pPr>
    </w:p>
    <w:p w14:paraId="41093E04">
      <w:pPr>
        <w:spacing w:line="276" w:lineRule="auto"/>
        <w:ind w:firstLine="643" w:firstLineChars="200"/>
        <w:rPr>
          <w:rFonts w:hint="eastAsia" w:ascii="宋体" w:hAnsi="宋体" w:eastAsia="宋体" w:cs="宋体"/>
          <w:b/>
          <w:sz w:val="32"/>
          <w:szCs w:val="32"/>
        </w:rPr>
      </w:pPr>
    </w:p>
    <w:p w14:paraId="7EB4A1FA">
      <w:pPr>
        <w:spacing w:line="276" w:lineRule="auto"/>
        <w:ind w:left="3208" w:leftChars="304" w:hanging="2570" w:hangingChars="800"/>
        <w:rPr>
          <w:rFonts w:hint="eastAsia" w:ascii="宋体" w:hAnsi="宋体" w:eastAsia="宋体" w:cs="宋体"/>
          <w:b/>
          <w:sz w:val="32"/>
          <w:szCs w:val="32"/>
          <w:u w:val="single"/>
          <w:lang w:eastAsia="zh-CN"/>
        </w:rPr>
      </w:pPr>
      <w:r>
        <w:rPr>
          <w:rFonts w:hint="eastAsia" w:ascii="宋体" w:hAnsi="宋体" w:eastAsia="宋体" w:cs="宋体"/>
          <w:b/>
          <w:sz w:val="32"/>
          <w:szCs w:val="32"/>
        </w:rPr>
        <w:t xml:space="preserve">采购项目名称： </w:t>
      </w:r>
      <w:r>
        <w:rPr>
          <w:rFonts w:hint="eastAsia" w:ascii="宋体" w:hAnsi="宋体" w:cs="宋体"/>
          <w:b/>
          <w:sz w:val="32"/>
          <w:szCs w:val="32"/>
          <w:lang w:eastAsia="zh-CN"/>
        </w:rPr>
        <w:t>尖扎县一体化网络应急指挥中心建设项目</w:t>
      </w:r>
    </w:p>
    <w:p w14:paraId="290AA45C">
      <w:pPr>
        <w:spacing w:line="276" w:lineRule="auto"/>
        <w:ind w:firstLine="602"/>
        <w:rPr>
          <w:rFonts w:hint="eastAsia" w:ascii="宋体" w:hAnsi="宋体" w:eastAsia="宋体" w:cs="宋体"/>
          <w:b/>
          <w:sz w:val="32"/>
          <w:szCs w:val="32"/>
        </w:rPr>
      </w:pPr>
      <w:r>
        <w:rPr>
          <w:rFonts w:hint="eastAsia" w:ascii="宋体" w:hAnsi="宋体" w:eastAsia="宋体" w:cs="宋体"/>
          <w:b/>
          <w:sz w:val="32"/>
          <w:szCs w:val="32"/>
        </w:rPr>
        <w:t>采购项目编号：</w:t>
      </w:r>
      <w:r>
        <w:rPr>
          <w:rFonts w:hint="eastAsia" w:ascii="宋体" w:hAnsi="宋体" w:cs="宋体"/>
          <w:b/>
          <w:sz w:val="32"/>
          <w:szCs w:val="32"/>
          <w:lang w:eastAsia="zh-CN"/>
        </w:rPr>
        <w:t>青海聚帛竞磋（货物）2026-019</w:t>
      </w:r>
      <w:r>
        <w:rPr>
          <w:rFonts w:hint="eastAsia" w:ascii="宋体" w:hAnsi="宋体" w:eastAsia="宋体" w:cs="宋体"/>
          <w:b/>
          <w:sz w:val="32"/>
          <w:szCs w:val="32"/>
        </w:rPr>
        <w:t xml:space="preserve">   </w:t>
      </w:r>
    </w:p>
    <w:p w14:paraId="41BB1F4B">
      <w:pPr>
        <w:spacing w:line="276" w:lineRule="auto"/>
        <w:ind w:firstLine="602"/>
        <w:rPr>
          <w:rFonts w:hint="default" w:ascii="宋体" w:hAnsi="宋体" w:eastAsia="宋体" w:cs="宋体"/>
          <w:b/>
          <w:sz w:val="32"/>
          <w:szCs w:val="32"/>
          <w:lang w:val="en-US" w:eastAsia="zh-CN"/>
        </w:rPr>
      </w:pPr>
      <w:r>
        <w:rPr>
          <w:rFonts w:hint="eastAsia" w:ascii="宋体" w:hAnsi="宋体" w:eastAsia="宋体" w:cs="宋体"/>
          <w:b/>
          <w:sz w:val="32"/>
          <w:szCs w:val="32"/>
        </w:rPr>
        <w:t>采购合同编号：JBHT-</w:t>
      </w:r>
      <w:r>
        <w:rPr>
          <w:rFonts w:hint="eastAsia" w:ascii="宋体" w:hAnsi="宋体" w:cs="宋体"/>
          <w:b/>
          <w:sz w:val="32"/>
          <w:szCs w:val="32"/>
          <w:lang w:eastAsia="zh-CN"/>
        </w:rPr>
        <w:t>2026-0</w:t>
      </w:r>
      <w:r>
        <w:rPr>
          <w:rFonts w:hint="eastAsia" w:ascii="宋体" w:hAnsi="宋体" w:cs="宋体"/>
          <w:b/>
          <w:sz w:val="32"/>
          <w:szCs w:val="32"/>
          <w:lang w:val="en-US" w:eastAsia="zh-CN"/>
        </w:rPr>
        <w:t>19</w:t>
      </w:r>
    </w:p>
    <w:p w14:paraId="0F80A13C">
      <w:pPr>
        <w:spacing w:line="276" w:lineRule="auto"/>
        <w:ind w:firstLine="602"/>
        <w:rPr>
          <w:rFonts w:hint="eastAsia" w:ascii="宋体" w:hAnsi="宋体" w:eastAsia="宋体" w:cs="宋体"/>
          <w:b/>
          <w:sz w:val="32"/>
          <w:szCs w:val="32"/>
          <w:lang w:eastAsia="zh-CN"/>
        </w:rPr>
      </w:pPr>
      <w:r>
        <w:rPr>
          <w:rFonts w:hint="eastAsia" w:ascii="宋体" w:hAnsi="宋体" w:eastAsia="宋体" w:cs="宋体"/>
          <w:b/>
          <w:sz w:val="32"/>
          <w:szCs w:val="32"/>
        </w:rPr>
        <w:t>采购单位：</w:t>
      </w:r>
      <w:r>
        <w:rPr>
          <w:rFonts w:hint="eastAsia" w:ascii="宋体" w:hAnsi="宋体" w:cs="宋体"/>
          <w:b/>
          <w:sz w:val="32"/>
          <w:szCs w:val="32"/>
          <w:lang w:eastAsia="zh-CN"/>
        </w:rPr>
        <w:t>中共尖扎县委宣传部(本级)</w:t>
      </w:r>
    </w:p>
    <w:p w14:paraId="41AC5B95">
      <w:pPr>
        <w:pStyle w:val="12"/>
        <w:ind w:firstLine="643" w:firstLineChars="200"/>
        <w:rPr>
          <w:rFonts w:hint="default" w:ascii="宋体" w:hAnsi="宋体" w:eastAsia="宋体" w:cs="宋体"/>
          <w:b/>
          <w:sz w:val="32"/>
          <w:szCs w:val="32"/>
          <w:lang w:val="en-US" w:eastAsia="zh-CN"/>
        </w:rPr>
      </w:pPr>
      <w:r>
        <w:rPr>
          <w:rFonts w:hint="eastAsia" w:hAnsi="宋体" w:cs="宋体"/>
          <w:b/>
          <w:sz w:val="32"/>
          <w:szCs w:val="32"/>
          <w:lang w:val="en-US" w:eastAsia="zh-CN"/>
        </w:rPr>
        <w:t>采购时间：2026年</w:t>
      </w:r>
      <w:r>
        <w:rPr>
          <w:rFonts w:hint="eastAsia" w:hAnsi="宋体" w:cs="宋体"/>
          <w:b/>
          <w:sz w:val="32"/>
          <w:szCs w:val="32"/>
          <w:u w:val="single"/>
          <w:lang w:val="en-US" w:eastAsia="zh-CN"/>
        </w:rPr>
        <w:t xml:space="preserve">  </w:t>
      </w:r>
      <w:r>
        <w:rPr>
          <w:rFonts w:hint="eastAsia" w:hAnsi="宋体" w:cs="宋体"/>
          <w:b/>
          <w:sz w:val="32"/>
          <w:szCs w:val="32"/>
          <w:lang w:val="en-US" w:eastAsia="zh-CN"/>
        </w:rPr>
        <w:t>月</w:t>
      </w:r>
      <w:r>
        <w:rPr>
          <w:rFonts w:hint="eastAsia" w:hAnsi="宋体" w:cs="宋体"/>
          <w:b/>
          <w:sz w:val="32"/>
          <w:szCs w:val="32"/>
          <w:u w:val="single"/>
          <w:lang w:val="en-US" w:eastAsia="zh-CN"/>
        </w:rPr>
        <w:t xml:space="preserve">  </w:t>
      </w:r>
      <w:r>
        <w:rPr>
          <w:rFonts w:hint="eastAsia" w:hAnsi="宋体" w:cs="宋体"/>
          <w:b/>
          <w:sz w:val="32"/>
          <w:szCs w:val="32"/>
          <w:lang w:val="en-US" w:eastAsia="zh-CN"/>
        </w:rPr>
        <w:t xml:space="preserve"> 日</w:t>
      </w:r>
    </w:p>
    <w:p w14:paraId="14FC37F2">
      <w:pPr>
        <w:rPr>
          <w:rFonts w:hint="eastAsia" w:ascii="宋体" w:hAnsi="宋体" w:eastAsia="宋体" w:cs="宋体"/>
          <w:b/>
          <w:sz w:val="32"/>
          <w:szCs w:val="32"/>
        </w:rPr>
      </w:pPr>
    </w:p>
    <w:p w14:paraId="045C92EC">
      <w:pPr>
        <w:pStyle w:val="12"/>
        <w:rPr>
          <w:rFonts w:hint="eastAsia" w:ascii="宋体" w:hAnsi="宋体" w:eastAsia="宋体" w:cs="宋体"/>
          <w:sz w:val="32"/>
          <w:szCs w:val="32"/>
        </w:rPr>
      </w:pPr>
    </w:p>
    <w:p w14:paraId="2379262D">
      <w:pPr>
        <w:spacing w:line="276" w:lineRule="auto"/>
        <w:ind w:firstLine="636" w:firstLineChars="198"/>
        <w:jc w:val="center"/>
        <w:rPr>
          <w:rFonts w:hint="eastAsia" w:ascii="宋体" w:hAnsi="宋体" w:eastAsia="宋体" w:cs="宋体"/>
          <w:b/>
          <w:sz w:val="32"/>
          <w:szCs w:val="32"/>
        </w:rPr>
      </w:pPr>
      <w:r>
        <w:rPr>
          <w:rFonts w:hint="eastAsia" w:ascii="宋体" w:hAnsi="宋体" w:eastAsia="宋体" w:cs="宋体"/>
          <w:b/>
          <w:sz w:val="32"/>
          <w:szCs w:val="32"/>
        </w:rPr>
        <w:t>青海聚帛工程项目管理有限公司</w:t>
      </w:r>
    </w:p>
    <w:p w14:paraId="237858BC">
      <w:pPr>
        <w:spacing w:line="276" w:lineRule="auto"/>
        <w:ind w:firstLine="636" w:firstLineChars="198"/>
        <w:jc w:val="center"/>
        <w:rPr>
          <w:rFonts w:hint="default" w:ascii="宋体" w:hAnsi="宋体" w:eastAsia="宋体" w:cs="宋体"/>
          <w:b/>
          <w:sz w:val="32"/>
          <w:szCs w:val="32"/>
          <w:lang w:val="en-US"/>
        </w:rPr>
      </w:pPr>
      <w:r>
        <w:rPr>
          <w:rFonts w:hint="eastAsia" w:ascii="宋体" w:hAnsi="宋体" w:cs="宋体"/>
          <w:b/>
          <w:sz w:val="32"/>
          <w:szCs w:val="32"/>
          <w:lang w:val="en-US" w:eastAsia="zh-CN"/>
        </w:rPr>
        <w:t>2026年04月</w:t>
      </w:r>
    </w:p>
    <w:p w14:paraId="24896135">
      <w:pPr>
        <w:pStyle w:val="18"/>
        <w:sectPr>
          <w:pgSz w:w="11906" w:h="16838"/>
          <w:pgMar w:top="1440" w:right="1800" w:bottom="1440" w:left="1800" w:header="851" w:footer="992" w:gutter="0"/>
          <w:cols w:space="425" w:num="1"/>
          <w:docGrid w:type="lines" w:linePitch="312" w:charSpace="0"/>
        </w:sectPr>
      </w:pPr>
    </w:p>
    <w:p w14:paraId="00704D26">
      <w:pPr>
        <w:spacing w:line="276" w:lineRule="auto"/>
        <w:jc w:val="center"/>
        <w:rPr>
          <w:rFonts w:hint="eastAsia" w:ascii="宋体" w:hAnsi="宋体"/>
          <w:b/>
          <w:bCs/>
          <w:sz w:val="24"/>
        </w:rPr>
      </w:pPr>
      <w:r>
        <w:rPr>
          <w:rFonts w:hint="eastAsia" w:ascii="宋体" w:hAnsi="宋体"/>
          <w:b/>
          <w:sz w:val="28"/>
          <w:szCs w:val="28"/>
        </w:rPr>
        <w:t>青海省政府采购合同</w:t>
      </w:r>
    </w:p>
    <w:p w14:paraId="16DBBE7A">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b/>
          <w:bCs/>
          <w:sz w:val="24"/>
        </w:rPr>
      </w:pPr>
      <w:r>
        <w:rPr>
          <w:rFonts w:hint="eastAsia" w:ascii="宋体" w:hAnsi="宋体"/>
          <w:b/>
          <w:bCs/>
          <w:sz w:val="24"/>
        </w:rPr>
        <w:t>采购项目编号：</w:t>
      </w:r>
      <w:r>
        <w:rPr>
          <w:rFonts w:hint="eastAsia" w:ascii="宋体" w:hAnsi="宋体"/>
          <w:b/>
          <w:bCs/>
          <w:sz w:val="24"/>
          <w:lang w:eastAsia="zh-CN"/>
        </w:rPr>
        <w:t>青海聚帛竞磋（货物）2026-019</w:t>
      </w:r>
      <w:r>
        <w:rPr>
          <w:rFonts w:hint="eastAsia" w:ascii="宋体" w:hAnsi="宋体"/>
          <w:b/>
          <w:bCs/>
          <w:sz w:val="24"/>
        </w:rPr>
        <w:t xml:space="preserve">   </w:t>
      </w:r>
    </w:p>
    <w:p w14:paraId="62EAA37A">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eastAsia="宋体"/>
          <w:b/>
          <w:bCs/>
          <w:sz w:val="24"/>
          <w:lang w:eastAsia="zh-CN"/>
        </w:rPr>
      </w:pPr>
      <w:r>
        <w:rPr>
          <w:rFonts w:hint="eastAsia" w:ascii="宋体" w:hAnsi="宋体"/>
          <w:b/>
          <w:bCs/>
          <w:sz w:val="24"/>
        </w:rPr>
        <w:t>采购项目名称：</w:t>
      </w:r>
      <w:r>
        <w:rPr>
          <w:rFonts w:hint="eastAsia" w:ascii="宋体" w:hAnsi="宋体"/>
          <w:b/>
          <w:bCs/>
          <w:sz w:val="24"/>
          <w:lang w:eastAsia="zh-CN"/>
        </w:rPr>
        <w:t>尖扎县一体化网络应急指挥中心建设项目</w:t>
      </w:r>
    </w:p>
    <w:p w14:paraId="40838C64">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eastAsia="宋体"/>
          <w:b/>
          <w:bCs/>
          <w:sz w:val="24"/>
          <w:lang w:eastAsia="zh-CN"/>
        </w:rPr>
      </w:pPr>
      <w:r>
        <w:rPr>
          <w:rFonts w:hint="eastAsia" w:ascii="宋体" w:hAnsi="宋体"/>
          <w:b/>
          <w:bCs/>
          <w:sz w:val="24"/>
        </w:rPr>
        <w:t>采 购单位（以下简称甲方）：</w:t>
      </w:r>
      <w:r>
        <w:rPr>
          <w:rFonts w:hint="eastAsia" w:ascii="宋体" w:hAnsi="宋体"/>
          <w:b/>
          <w:bCs/>
          <w:sz w:val="24"/>
          <w:lang w:eastAsia="zh-CN"/>
        </w:rPr>
        <w:t>中共尖扎县委宣传部(本级)</w:t>
      </w:r>
    </w:p>
    <w:p w14:paraId="33B1EA40">
      <w:pPr>
        <w:keepNext w:val="0"/>
        <w:keepLines w:val="0"/>
        <w:pageBreakBefore w:val="0"/>
        <w:widowControl w:val="0"/>
        <w:kinsoku/>
        <w:wordWrap/>
        <w:overflowPunct/>
        <w:topLinePunct w:val="0"/>
        <w:bidi w:val="0"/>
        <w:snapToGrid/>
        <w:spacing w:after="240" w:line="360" w:lineRule="auto"/>
        <w:ind w:firstLine="482" w:firstLineChars="200"/>
        <w:textAlignment w:val="auto"/>
        <w:rPr>
          <w:rFonts w:hint="eastAsia" w:ascii="宋体" w:hAnsi="宋体"/>
          <w:bCs/>
          <w:sz w:val="24"/>
        </w:rPr>
      </w:pPr>
      <w:r>
        <w:rPr>
          <w:rFonts w:hint="eastAsia" w:ascii="宋体" w:hAnsi="宋体"/>
          <w:b/>
          <w:bCs/>
          <w:sz w:val="24"/>
        </w:rPr>
        <w:t>供 应 商（以下简称乙方）：</w:t>
      </w:r>
    </w:p>
    <w:p w14:paraId="347B9D5C">
      <w:pPr>
        <w:keepNext w:val="0"/>
        <w:keepLines w:val="0"/>
        <w:pageBreakBefore w:val="0"/>
        <w:widowControl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eastAsia="宋体" w:cs="宋体"/>
          <w:b/>
          <w:bCs/>
          <w:sz w:val="24"/>
          <w:szCs w:val="24"/>
          <w:lang w:val="zh-CN" w:eastAsia="zh-CN"/>
        </w:rPr>
      </w:pPr>
      <w:r>
        <w:rPr>
          <w:rFonts w:hint="eastAsia" w:ascii="宋体" w:hAnsi="宋体" w:cs="宋体"/>
          <w:b/>
          <w:bCs/>
          <w:sz w:val="24"/>
          <w:szCs w:val="24"/>
          <w:lang w:val="zh-CN"/>
        </w:rPr>
        <w:t>签订地点：</w:t>
      </w:r>
      <w:r>
        <w:rPr>
          <w:rFonts w:hint="eastAsia" w:ascii="宋体" w:hAnsi="宋体" w:cs="宋体"/>
          <w:b/>
          <w:bCs/>
          <w:sz w:val="24"/>
          <w:szCs w:val="24"/>
          <w:lang w:val="en-US" w:eastAsia="zh-CN"/>
        </w:rPr>
        <w:t>甲方指定地点</w:t>
      </w:r>
    </w:p>
    <w:p w14:paraId="3890A666">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甲、乙双方根据</w:t>
      </w:r>
      <w:r>
        <w:rPr>
          <w:rFonts w:hint="eastAsia" w:ascii="宋体" w:hAnsi="宋体" w:eastAsia="宋体" w:cs="宋体"/>
          <w:color w:val="auto"/>
          <w:spacing w:val="8"/>
          <w:sz w:val="24"/>
          <w:szCs w:val="24"/>
          <w:highlight w:val="none"/>
          <w:u w:val="single"/>
        </w:rPr>
        <w:t>202</w:t>
      </w:r>
      <w:r>
        <w:rPr>
          <w:rFonts w:hint="eastAsia" w:ascii="宋体" w:hAnsi="宋体" w:cs="宋体"/>
          <w:color w:val="auto"/>
          <w:spacing w:val="8"/>
          <w:sz w:val="24"/>
          <w:szCs w:val="24"/>
          <w:highlight w:val="none"/>
          <w:u w:val="single"/>
          <w:lang w:val="en-US" w:eastAsia="zh-CN"/>
        </w:rPr>
        <w:t>6</w:t>
      </w:r>
      <w:r>
        <w:rPr>
          <w:rFonts w:hint="eastAsia" w:ascii="宋体" w:hAnsi="宋体" w:eastAsia="宋体" w:cs="宋体"/>
          <w:color w:val="auto"/>
          <w:spacing w:val="8"/>
          <w:sz w:val="24"/>
          <w:szCs w:val="24"/>
          <w:highlight w:val="none"/>
        </w:rPr>
        <w:t>年</w:t>
      </w:r>
      <w:r>
        <w:rPr>
          <w:rFonts w:hint="eastAsia" w:ascii="宋体" w:hAnsi="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rPr>
        <w:t>月</w:t>
      </w:r>
      <w:r>
        <w:rPr>
          <w:rFonts w:hint="eastAsia" w:ascii="宋体" w:hAnsi="宋体" w:cs="宋体"/>
          <w:color w:val="auto"/>
          <w:spacing w:val="8"/>
          <w:sz w:val="24"/>
          <w:szCs w:val="24"/>
          <w:highlight w:val="none"/>
          <w:u w:val="single"/>
          <w:lang w:val="en-US" w:eastAsia="zh-CN"/>
        </w:rPr>
        <w:t xml:space="preserve">  </w:t>
      </w:r>
      <w:r>
        <w:rPr>
          <w:rFonts w:hint="eastAsia" w:ascii="宋体" w:hAnsi="宋体" w:eastAsia="宋体" w:cs="宋体"/>
          <w:color w:val="auto"/>
          <w:spacing w:val="8"/>
          <w:sz w:val="24"/>
          <w:szCs w:val="24"/>
          <w:highlight w:val="none"/>
        </w:rPr>
        <w:t>日</w:t>
      </w:r>
      <w:r>
        <w:rPr>
          <w:rFonts w:hint="eastAsia" w:ascii="宋体" w:hAnsi="宋体" w:cs="宋体"/>
          <w:sz w:val="24"/>
          <w:szCs w:val="24"/>
          <w:u w:val="single"/>
          <w:lang w:val="zh-CN"/>
        </w:rPr>
        <w:t>尖扎县一体化网络应急指挥中心建设项目</w:t>
      </w:r>
      <w:r>
        <w:rPr>
          <w:rFonts w:hint="eastAsia" w:ascii="宋体" w:hAnsi="宋体" w:cs="宋体"/>
          <w:sz w:val="24"/>
          <w:szCs w:val="24"/>
          <w:lang w:val="zh-CN"/>
        </w:rPr>
        <w:t>（</w:t>
      </w:r>
      <w:r>
        <w:rPr>
          <w:rFonts w:hint="eastAsia" w:ascii="宋体" w:hAnsi="宋体" w:cs="宋体"/>
          <w:sz w:val="24"/>
          <w:szCs w:val="24"/>
          <w:u w:val="single"/>
          <w:lang w:val="zh-CN"/>
        </w:rPr>
        <w:t>青海聚帛竞磋（货物）2026-019</w:t>
      </w:r>
      <w:r>
        <w:rPr>
          <w:rFonts w:hint="eastAsia" w:ascii="宋体" w:hAnsi="宋体" w:cs="宋体"/>
          <w:sz w:val="24"/>
          <w:szCs w:val="24"/>
          <w:lang w:val="zh-CN"/>
        </w:rPr>
        <w:t>）的磋商文件要求和采购机构出具的《成交通知书》，并经双方协商一致，达成合同总价款为</w:t>
      </w:r>
      <w:r>
        <w:rPr>
          <w:rFonts w:hint="eastAsia" w:ascii="宋体" w:hAnsi="宋体" w:cs="宋体"/>
          <w:sz w:val="24"/>
          <w:szCs w:val="24"/>
          <w:u w:val="single"/>
          <w:lang w:val="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val="zh-CN"/>
        </w:rPr>
        <w:t xml:space="preserve">    </w:t>
      </w:r>
      <w:r>
        <w:rPr>
          <w:rFonts w:hint="eastAsia" w:ascii="宋体" w:hAnsi="宋体" w:cs="宋体"/>
          <w:sz w:val="24"/>
          <w:szCs w:val="24"/>
          <w:lang w:val="zh-CN"/>
        </w:rPr>
        <w:t>的</w:t>
      </w:r>
      <w:r>
        <w:rPr>
          <w:rFonts w:hint="eastAsia" w:ascii="宋体" w:hAnsi="宋体" w:cs="宋体"/>
          <w:sz w:val="24"/>
          <w:szCs w:val="24"/>
          <w:u w:val="single"/>
          <w:lang w:val="zh-CN"/>
        </w:rPr>
        <w:t>尖扎县一体化网络应急指挥中心建设项目</w:t>
      </w:r>
      <w:r>
        <w:rPr>
          <w:rFonts w:hint="eastAsia" w:ascii="宋体" w:hAnsi="宋体" w:cs="宋体"/>
          <w:sz w:val="24"/>
          <w:szCs w:val="24"/>
          <w:lang w:val="zh-CN"/>
        </w:rPr>
        <w:t>采购合同：</w:t>
      </w:r>
    </w:p>
    <w:p w14:paraId="479EB5F4">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一、签订本政府采购合同的依据</w:t>
      </w:r>
    </w:p>
    <w:p w14:paraId="55029374">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本政府采购合同所附下列文件是构成本政府采购合同不可分割的部分：</w:t>
      </w:r>
    </w:p>
    <w:p w14:paraId="59ACDFA4">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1.磋商文件；</w:t>
      </w:r>
    </w:p>
    <w:p w14:paraId="15660F8C">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2.磋商文件的更正、变更公告；</w:t>
      </w:r>
    </w:p>
    <w:p w14:paraId="407EB015">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3.</w:t>
      </w:r>
      <w:r>
        <w:rPr>
          <w:rFonts w:hint="eastAsia" w:ascii="宋体" w:hAnsi="宋体" w:cs="宋体"/>
          <w:sz w:val="24"/>
          <w:szCs w:val="24"/>
          <w:lang w:val="en-US" w:eastAsia="zh-CN"/>
        </w:rPr>
        <w:t>成交</w:t>
      </w:r>
      <w:r>
        <w:rPr>
          <w:rFonts w:hint="eastAsia" w:ascii="宋体" w:hAnsi="宋体" w:cs="宋体"/>
          <w:sz w:val="24"/>
          <w:szCs w:val="24"/>
          <w:lang w:val="zh-CN"/>
        </w:rPr>
        <w:t>供应商提交的磋商报价文件；</w:t>
      </w:r>
    </w:p>
    <w:p w14:paraId="3D01BC18">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4.磋商文件中规定的政府采购合同通用条款；</w:t>
      </w:r>
    </w:p>
    <w:p w14:paraId="11E02AAD">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5.成交通知书；</w:t>
      </w:r>
    </w:p>
    <w:p w14:paraId="3D5B15EA">
      <w:pPr>
        <w:autoSpaceDE w:val="0"/>
        <w:autoSpaceDN w:val="0"/>
        <w:adjustRightInd w:val="0"/>
        <w:spacing w:line="360" w:lineRule="auto"/>
        <w:ind w:firstLine="482" w:firstLineChars="200"/>
        <w:rPr>
          <w:rFonts w:hint="eastAsia" w:ascii="宋体" w:hAnsi="宋体" w:cs="宋体"/>
          <w:b/>
          <w:bCs/>
          <w:sz w:val="24"/>
          <w:szCs w:val="24"/>
          <w:lang w:val="zh-CN"/>
        </w:rPr>
      </w:pPr>
      <w:r>
        <w:rPr>
          <w:rFonts w:hint="eastAsia" w:ascii="宋体" w:hAnsi="宋体" w:cs="宋体"/>
          <w:b/>
          <w:bCs/>
          <w:sz w:val="24"/>
          <w:szCs w:val="24"/>
          <w:lang w:val="zh-CN"/>
        </w:rPr>
        <w:t>二、合同标的及金额</w:t>
      </w:r>
    </w:p>
    <w:tbl>
      <w:tblPr>
        <w:tblStyle w:val="22"/>
        <w:tblW w:w="997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16"/>
        <w:gridCol w:w="1449"/>
        <w:gridCol w:w="1410"/>
        <w:gridCol w:w="1197"/>
        <w:gridCol w:w="1184"/>
        <w:gridCol w:w="1126"/>
        <w:gridCol w:w="1397"/>
        <w:gridCol w:w="1397"/>
      </w:tblGrid>
      <w:tr w14:paraId="37844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816" w:type="dxa"/>
            <w:noWrap w:val="0"/>
            <w:vAlign w:val="center"/>
          </w:tcPr>
          <w:p w14:paraId="1E82E234">
            <w:pPr>
              <w:keepNext w:val="0"/>
              <w:keepLines w:val="0"/>
              <w:pageBreakBefore w:val="0"/>
              <w:widowControl w:val="0"/>
              <w:kinsoku/>
              <w:wordWrap/>
              <w:overflowPunct/>
              <w:topLinePunct w:val="0"/>
              <w:autoSpaceDE w:val="0"/>
              <w:autoSpaceDN w:val="0"/>
              <w:bidi w:val="0"/>
              <w:adjustRightInd w:val="0"/>
              <w:snapToGrid/>
              <w:spacing w:after="240" w:line="36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1449" w:type="dxa"/>
            <w:noWrap w:val="0"/>
            <w:vAlign w:val="center"/>
          </w:tcPr>
          <w:p w14:paraId="36033D0A">
            <w:pPr>
              <w:keepNext w:val="0"/>
              <w:keepLines w:val="0"/>
              <w:pageBreakBefore w:val="0"/>
              <w:widowControl w:val="0"/>
              <w:kinsoku/>
              <w:wordWrap/>
              <w:overflowPunct/>
              <w:topLinePunct w:val="0"/>
              <w:autoSpaceDE w:val="0"/>
              <w:autoSpaceDN w:val="0"/>
              <w:bidi w:val="0"/>
              <w:adjustRightInd w:val="0"/>
              <w:snapToGrid/>
              <w:spacing w:after="240" w:line="360" w:lineRule="auto"/>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标的名称</w:t>
            </w:r>
          </w:p>
        </w:tc>
        <w:tc>
          <w:tcPr>
            <w:tcW w:w="1410" w:type="dxa"/>
            <w:noWrap w:val="0"/>
            <w:vAlign w:val="center"/>
          </w:tcPr>
          <w:p w14:paraId="1C8254F8">
            <w:pPr>
              <w:keepNext w:val="0"/>
              <w:keepLines w:val="0"/>
              <w:pageBreakBefore w:val="0"/>
              <w:widowControl w:val="0"/>
              <w:kinsoku/>
              <w:wordWrap/>
              <w:overflowPunct/>
              <w:topLinePunct w:val="0"/>
              <w:autoSpaceDE w:val="0"/>
              <w:autoSpaceDN w:val="0"/>
              <w:bidi w:val="0"/>
              <w:adjustRightInd w:val="0"/>
              <w:snapToGrid/>
              <w:spacing w:after="240"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型号</w:t>
            </w:r>
          </w:p>
        </w:tc>
        <w:tc>
          <w:tcPr>
            <w:tcW w:w="1197" w:type="dxa"/>
            <w:noWrap w:val="0"/>
            <w:vAlign w:val="center"/>
          </w:tcPr>
          <w:p w14:paraId="266CCF0F">
            <w:pPr>
              <w:keepNext w:val="0"/>
              <w:keepLines w:val="0"/>
              <w:pageBreakBefore w:val="0"/>
              <w:widowControl w:val="0"/>
              <w:kinsoku/>
              <w:wordWrap/>
              <w:overflowPunct/>
              <w:topLinePunct w:val="0"/>
              <w:autoSpaceDE w:val="0"/>
              <w:autoSpaceDN w:val="0"/>
              <w:bidi w:val="0"/>
              <w:adjustRightInd w:val="0"/>
              <w:snapToGrid/>
              <w:spacing w:after="240" w:line="36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规格</w:t>
            </w:r>
          </w:p>
        </w:tc>
        <w:tc>
          <w:tcPr>
            <w:tcW w:w="1184" w:type="dxa"/>
            <w:noWrap w:val="0"/>
            <w:vAlign w:val="center"/>
          </w:tcPr>
          <w:p w14:paraId="1D5B78CB">
            <w:pPr>
              <w:keepNext w:val="0"/>
              <w:keepLines w:val="0"/>
              <w:pageBreakBefore w:val="0"/>
              <w:widowControl w:val="0"/>
              <w:kinsoku/>
              <w:wordWrap/>
              <w:overflowPunct/>
              <w:topLinePunct w:val="0"/>
              <w:autoSpaceDE w:val="0"/>
              <w:autoSpaceDN w:val="0"/>
              <w:bidi w:val="0"/>
              <w:adjustRightInd w:val="0"/>
              <w:snapToGrid/>
              <w:spacing w:after="240" w:line="36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数量</w:t>
            </w:r>
          </w:p>
        </w:tc>
        <w:tc>
          <w:tcPr>
            <w:tcW w:w="1126" w:type="dxa"/>
            <w:noWrap w:val="0"/>
            <w:vAlign w:val="center"/>
          </w:tcPr>
          <w:p w14:paraId="6551D384">
            <w:pPr>
              <w:keepNext w:val="0"/>
              <w:keepLines w:val="0"/>
              <w:pageBreakBefore w:val="0"/>
              <w:widowControl w:val="0"/>
              <w:kinsoku/>
              <w:wordWrap/>
              <w:overflowPunct/>
              <w:topLinePunct w:val="0"/>
              <w:autoSpaceDE w:val="0"/>
              <w:autoSpaceDN w:val="0"/>
              <w:bidi w:val="0"/>
              <w:adjustRightInd w:val="0"/>
              <w:snapToGrid/>
              <w:spacing w:after="240" w:line="360" w:lineRule="auto"/>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rPr>
              <w:t>单</w:t>
            </w:r>
            <w:r>
              <w:rPr>
                <w:rFonts w:hint="eastAsia" w:ascii="宋体" w:hAnsi="宋体" w:eastAsia="宋体" w:cs="宋体"/>
                <w:sz w:val="24"/>
                <w:szCs w:val="24"/>
                <w:lang w:val="en-US" w:eastAsia="zh-CN"/>
              </w:rPr>
              <w:t>价</w:t>
            </w:r>
          </w:p>
        </w:tc>
        <w:tc>
          <w:tcPr>
            <w:tcW w:w="1397" w:type="dxa"/>
            <w:noWrap w:val="0"/>
            <w:vAlign w:val="center"/>
          </w:tcPr>
          <w:p w14:paraId="68C4974D">
            <w:pPr>
              <w:keepNext w:val="0"/>
              <w:keepLines w:val="0"/>
              <w:pageBreakBefore w:val="0"/>
              <w:widowControl w:val="0"/>
              <w:kinsoku/>
              <w:wordWrap/>
              <w:overflowPunct/>
              <w:topLinePunct w:val="0"/>
              <w:autoSpaceDE w:val="0"/>
              <w:autoSpaceDN w:val="0"/>
              <w:bidi w:val="0"/>
              <w:adjustRightInd w:val="0"/>
              <w:snapToGrid/>
              <w:spacing w:after="240" w:line="360" w:lineRule="auto"/>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rPr>
              <w:t>总价</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val="zh-CN" w:eastAsia="zh-CN"/>
              </w:rPr>
              <w:t>）</w:t>
            </w:r>
          </w:p>
        </w:tc>
        <w:tc>
          <w:tcPr>
            <w:tcW w:w="1397" w:type="dxa"/>
            <w:noWrap w:val="0"/>
            <w:vAlign w:val="center"/>
          </w:tcPr>
          <w:p w14:paraId="79111E32">
            <w:pPr>
              <w:keepNext w:val="0"/>
              <w:keepLines w:val="0"/>
              <w:pageBreakBefore w:val="0"/>
              <w:widowControl w:val="0"/>
              <w:kinsoku/>
              <w:wordWrap/>
              <w:overflowPunct/>
              <w:topLinePunct w:val="0"/>
              <w:autoSpaceDE w:val="0"/>
              <w:autoSpaceDN w:val="0"/>
              <w:bidi w:val="0"/>
              <w:adjustRightInd w:val="0"/>
              <w:snapToGrid/>
              <w:spacing w:after="240" w:line="36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备注</w:t>
            </w:r>
          </w:p>
        </w:tc>
      </w:tr>
      <w:tr w14:paraId="2CB35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816" w:type="dxa"/>
            <w:noWrap w:val="0"/>
            <w:vAlign w:val="center"/>
          </w:tcPr>
          <w:p w14:paraId="2D30C24C">
            <w:pPr>
              <w:keepNext w:val="0"/>
              <w:keepLines w:val="0"/>
              <w:pageBreakBefore w:val="0"/>
              <w:widowControl w:val="0"/>
              <w:kinsoku/>
              <w:wordWrap/>
              <w:overflowPunct/>
              <w:topLinePunct w:val="0"/>
              <w:autoSpaceDE w:val="0"/>
              <w:autoSpaceDN w:val="0"/>
              <w:bidi w:val="0"/>
              <w:adjustRightInd w:val="0"/>
              <w:snapToGrid/>
              <w:spacing w:after="240" w:line="36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1449" w:type="dxa"/>
            <w:noWrap w:val="0"/>
            <w:vAlign w:val="center"/>
          </w:tcPr>
          <w:p w14:paraId="34D5F563">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410" w:type="dxa"/>
            <w:noWrap w:val="0"/>
            <w:vAlign w:val="center"/>
          </w:tcPr>
          <w:p w14:paraId="5471B13C">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197" w:type="dxa"/>
            <w:noWrap w:val="0"/>
            <w:vAlign w:val="center"/>
          </w:tcPr>
          <w:p w14:paraId="27D97041">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184" w:type="dxa"/>
            <w:noWrap w:val="0"/>
            <w:vAlign w:val="center"/>
          </w:tcPr>
          <w:p w14:paraId="1DFB6EE9">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126" w:type="dxa"/>
            <w:noWrap w:val="0"/>
            <w:vAlign w:val="center"/>
          </w:tcPr>
          <w:p w14:paraId="0D59A5E9">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397" w:type="dxa"/>
            <w:noWrap w:val="0"/>
            <w:vAlign w:val="center"/>
          </w:tcPr>
          <w:p w14:paraId="1D3BD8F4">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397" w:type="dxa"/>
            <w:noWrap w:val="0"/>
            <w:vAlign w:val="center"/>
          </w:tcPr>
          <w:p w14:paraId="0397DECD">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r>
      <w:tr w14:paraId="55747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816" w:type="dxa"/>
            <w:noWrap w:val="0"/>
            <w:vAlign w:val="center"/>
          </w:tcPr>
          <w:p w14:paraId="26DCADF5">
            <w:pPr>
              <w:keepNext w:val="0"/>
              <w:keepLines w:val="0"/>
              <w:pageBreakBefore w:val="0"/>
              <w:widowControl w:val="0"/>
              <w:kinsoku/>
              <w:wordWrap/>
              <w:overflowPunct/>
              <w:topLinePunct w:val="0"/>
              <w:autoSpaceDE w:val="0"/>
              <w:autoSpaceDN w:val="0"/>
              <w:bidi w:val="0"/>
              <w:adjustRightInd w:val="0"/>
              <w:snapToGrid/>
              <w:spacing w:after="240" w:line="36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1449" w:type="dxa"/>
            <w:noWrap w:val="0"/>
            <w:vAlign w:val="center"/>
          </w:tcPr>
          <w:p w14:paraId="3023BD84">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410" w:type="dxa"/>
            <w:noWrap w:val="0"/>
            <w:vAlign w:val="center"/>
          </w:tcPr>
          <w:p w14:paraId="17042600">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197" w:type="dxa"/>
            <w:noWrap w:val="0"/>
            <w:vAlign w:val="center"/>
          </w:tcPr>
          <w:p w14:paraId="30346091">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184" w:type="dxa"/>
            <w:noWrap w:val="0"/>
            <w:vAlign w:val="center"/>
          </w:tcPr>
          <w:p w14:paraId="6AB56F4D">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126" w:type="dxa"/>
            <w:noWrap w:val="0"/>
            <w:vAlign w:val="center"/>
          </w:tcPr>
          <w:p w14:paraId="70D8741A">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397" w:type="dxa"/>
            <w:noWrap w:val="0"/>
            <w:vAlign w:val="center"/>
          </w:tcPr>
          <w:p w14:paraId="34C83E4B">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397" w:type="dxa"/>
            <w:noWrap w:val="0"/>
            <w:vAlign w:val="center"/>
          </w:tcPr>
          <w:p w14:paraId="6623946C">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r>
      <w:tr w14:paraId="00679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816" w:type="dxa"/>
            <w:noWrap w:val="0"/>
            <w:vAlign w:val="center"/>
          </w:tcPr>
          <w:p w14:paraId="15DB81BE">
            <w:pPr>
              <w:keepNext w:val="0"/>
              <w:keepLines w:val="0"/>
              <w:pageBreakBefore w:val="0"/>
              <w:widowControl w:val="0"/>
              <w:kinsoku/>
              <w:wordWrap/>
              <w:overflowPunct/>
              <w:topLinePunct w:val="0"/>
              <w:autoSpaceDE w:val="0"/>
              <w:autoSpaceDN w:val="0"/>
              <w:bidi w:val="0"/>
              <w:adjustRightInd w:val="0"/>
              <w:snapToGrid/>
              <w:spacing w:after="240" w:line="36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p>
        </w:tc>
        <w:tc>
          <w:tcPr>
            <w:tcW w:w="1449" w:type="dxa"/>
            <w:noWrap w:val="0"/>
            <w:vAlign w:val="center"/>
          </w:tcPr>
          <w:p w14:paraId="05BAEBCA">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410" w:type="dxa"/>
            <w:noWrap w:val="0"/>
            <w:vAlign w:val="center"/>
          </w:tcPr>
          <w:p w14:paraId="11E76BBB">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197" w:type="dxa"/>
            <w:noWrap w:val="0"/>
            <w:vAlign w:val="center"/>
          </w:tcPr>
          <w:p w14:paraId="75611BD1">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184" w:type="dxa"/>
            <w:noWrap w:val="0"/>
            <w:vAlign w:val="center"/>
          </w:tcPr>
          <w:p w14:paraId="4B76DA7B">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126" w:type="dxa"/>
            <w:noWrap w:val="0"/>
            <w:vAlign w:val="center"/>
          </w:tcPr>
          <w:p w14:paraId="02AAA4AC">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397" w:type="dxa"/>
            <w:noWrap w:val="0"/>
            <w:vAlign w:val="center"/>
          </w:tcPr>
          <w:p w14:paraId="2172C7A0">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c>
          <w:tcPr>
            <w:tcW w:w="1397" w:type="dxa"/>
            <w:noWrap w:val="0"/>
            <w:vAlign w:val="center"/>
          </w:tcPr>
          <w:p w14:paraId="7C3B1AC3">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center"/>
              <w:textAlignment w:val="auto"/>
              <w:rPr>
                <w:rFonts w:hint="eastAsia" w:ascii="宋体" w:hAnsi="宋体" w:eastAsia="宋体" w:cs="宋体"/>
                <w:sz w:val="24"/>
                <w:szCs w:val="24"/>
                <w:lang w:val="zh-CN"/>
              </w:rPr>
            </w:pPr>
          </w:p>
        </w:tc>
      </w:tr>
    </w:tbl>
    <w:p w14:paraId="7F680EBF">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1、按《成交通知书》表明的</w:t>
      </w:r>
      <w:r>
        <w:rPr>
          <w:rFonts w:hint="eastAsia" w:ascii="宋体" w:hAnsi="宋体" w:cs="宋体"/>
          <w:sz w:val="24"/>
          <w:szCs w:val="24"/>
          <w:lang w:val="en-US" w:eastAsia="zh-CN"/>
        </w:rPr>
        <w:t>成交</w:t>
      </w:r>
      <w:r>
        <w:rPr>
          <w:rFonts w:hint="eastAsia" w:ascii="宋体" w:hAnsi="宋体" w:cs="宋体"/>
          <w:sz w:val="24"/>
          <w:szCs w:val="24"/>
          <w:lang w:val="zh-CN"/>
        </w:rPr>
        <w:t xml:space="preserve">价格成交，根据上述政府采购合同文件要求，本政府采购合同的总金额为人民币 </w:t>
      </w:r>
      <w:r>
        <w:rPr>
          <w:rFonts w:hint="eastAsia" w:ascii="宋体" w:hAnsi="宋体" w:cs="宋体"/>
          <w:sz w:val="24"/>
          <w:szCs w:val="24"/>
          <w:u w:val="single"/>
          <w:lang w:val="zh-CN"/>
        </w:rPr>
        <w:t xml:space="preserve">             </w:t>
      </w:r>
      <w:r>
        <w:rPr>
          <w:rFonts w:hint="eastAsia" w:ascii="宋体" w:hAnsi="宋体" w:cs="宋体"/>
          <w:sz w:val="24"/>
          <w:szCs w:val="24"/>
          <w:lang w:val="zh-CN"/>
        </w:rPr>
        <w:t>（大写）</w:t>
      </w:r>
      <w:r>
        <w:rPr>
          <w:rFonts w:hint="eastAsia" w:ascii="宋体" w:hAnsi="宋体" w:cs="宋体"/>
          <w:sz w:val="24"/>
          <w:szCs w:val="24"/>
          <w:u w:val="single"/>
          <w:lang w:val="zh-CN"/>
        </w:rPr>
        <w:t xml:space="preserve">           </w:t>
      </w:r>
      <w:r>
        <w:rPr>
          <w:rFonts w:hint="eastAsia" w:ascii="宋体" w:hAnsi="宋体" w:cs="宋体"/>
          <w:sz w:val="24"/>
          <w:szCs w:val="24"/>
          <w:lang w:val="zh-CN"/>
        </w:rPr>
        <w:t xml:space="preserve"> 元。（响应分项报价表见附表）</w:t>
      </w:r>
    </w:p>
    <w:p w14:paraId="42F5D421">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2、本合同以人民币进行结算，合同总价包括成品费、人工费、验收费、手续费、包装费、运输费、差旅费、售前、售中、售后服务费、税金、招标代理服务费及不可预见费等全部费用。</w:t>
      </w:r>
    </w:p>
    <w:p w14:paraId="0E4F3678">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三、交付时间、地点和要求</w:t>
      </w:r>
    </w:p>
    <w:p w14:paraId="4399467A">
      <w:pPr>
        <w:keepNext w:val="0"/>
        <w:keepLines w:val="0"/>
        <w:pageBreakBefore w:val="0"/>
        <w:widowControl w:val="0"/>
        <w:kinsoku/>
        <w:wordWrap/>
        <w:overflowPunct/>
        <w:topLinePunct w:val="0"/>
        <w:autoSpaceDE w:val="0"/>
        <w:autoSpaceDN w:val="0"/>
        <w:bidi w:val="0"/>
        <w:adjustRightInd w:val="0"/>
        <w:snapToGrid/>
        <w:spacing w:after="240" w:line="360" w:lineRule="auto"/>
        <w:ind w:firstLine="720" w:firstLineChars="3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cs="宋体"/>
          <w:sz w:val="24"/>
          <w:szCs w:val="24"/>
          <w:lang w:val="zh-CN"/>
        </w:rPr>
        <w:t>建设</w:t>
      </w:r>
      <w:r>
        <w:rPr>
          <w:rFonts w:hint="eastAsia" w:ascii="宋体" w:hAnsi="宋体" w:eastAsia="宋体" w:cs="宋体"/>
          <w:sz w:val="24"/>
          <w:szCs w:val="24"/>
          <w:lang w:val="en-US" w:eastAsia="zh-CN"/>
        </w:rPr>
        <w:t>期</w:t>
      </w:r>
      <w:r>
        <w:rPr>
          <w:rFonts w:hint="eastAsia" w:ascii="宋体" w:hAnsi="宋体" w:cs="宋体"/>
          <w:sz w:val="24"/>
          <w:szCs w:val="24"/>
          <w:lang w:val="en-US" w:eastAsia="zh-CN"/>
        </w:rPr>
        <w:t>限</w:t>
      </w:r>
      <w:r>
        <w:rPr>
          <w:rFonts w:hint="eastAsia" w:ascii="宋体" w:hAnsi="宋体" w:eastAsia="宋体" w:cs="宋体"/>
          <w:sz w:val="24"/>
          <w:szCs w:val="24"/>
          <w:lang w:val="zh-CN"/>
        </w:rPr>
        <w:t>：2025年11月—2026年4月（共6个月）</w:t>
      </w:r>
    </w:p>
    <w:p w14:paraId="60A48D4B">
      <w:pPr>
        <w:keepNext w:val="0"/>
        <w:keepLines w:val="0"/>
        <w:pageBreakBefore w:val="0"/>
        <w:widowControl w:val="0"/>
        <w:kinsoku/>
        <w:wordWrap/>
        <w:overflowPunct/>
        <w:topLinePunct w:val="0"/>
        <w:autoSpaceDE w:val="0"/>
        <w:autoSpaceDN w:val="0"/>
        <w:bidi w:val="0"/>
        <w:adjustRightInd w:val="0"/>
        <w:snapToGrid/>
        <w:spacing w:after="240" w:line="360" w:lineRule="auto"/>
        <w:ind w:firstLine="720" w:firstLineChars="300"/>
        <w:textAlignment w:val="auto"/>
        <w:rPr>
          <w:rFonts w:hint="eastAsia" w:ascii="宋体" w:hAnsi="宋体" w:eastAsia="宋体" w:cs="宋体"/>
          <w:sz w:val="24"/>
          <w:szCs w:val="24"/>
          <w:lang w:val="zh-CN"/>
        </w:rPr>
      </w:pPr>
      <w:r>
        <w:rPr>
          <w:rFonts w:hint="eastAsia" w:ascii="宋体" w:hAnsi="宋体" w:cs="宋体"/>
          <w:sz w:val="24"/>
          <w:szCs w:val="24"/>
          <w:lang w:val="en-US" w:eastAsia="zh-CN"/>
        </w:rPr>
        <w:t>交货地点</w:t>
      </w:r>
      <w:r>
        <w:rPr>
          <w:rFonts w:hint="eastAsia" w:ascii="宋体" w:hAnsi="宋体" w:eastAsia="宋体" w:cs="宋体"/>
          <w:sz w:val="24"/>
          <w:szCs w:val="24"/>
          <w:lang w:val="zh-CN"/>
        </w:rPr>
        <w:t>：尖扎县</w:t>
      </w:r>
    </w:p>
    <w:p w14:paraId="4536E58A">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2.乙方提供不符合磋商、响应文件和本合同规定的服务或产品，甲方有权拒绝接受。</w:t>
      </w:r>
    </w:p>
    <w:p w14:paraId="33D1A33A">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3.甲方应提供该项目验收报告同级财政监管部门，由财政部门按规定程序抽验后办理资金拨付。</w:t>
      </w:r>
    </w:p>
    <w:p w14:paraId="36518725">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4.甲方在验收过程中发现乙方有违约问题，可按磋商、响应报价文件的规定要求乙方及时予以解决。</w:t>
      </w:r>
    </w:p>
    <w:p w14:paraId="683EDEE3">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5.乙方向甲方提供产品相关完税销售发票。</w:t>
      </w:r>
    </w:p>
    <w:p w14:paraId="2F5A7E32">
      <w:pPr>
        <w:keepNext w:val="0"/>
        <w:keepLines w:val="0"/>
        <w:pageBreakBefore w:val="0"/>
        <w:widowControl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eastAsia="宋体" w:cs="宋体"/>
          <w:sz w:val="24"/>
          <w:szCs w:val="24"/>
          <w:highlight w:val="none"/>
          <w:lang w:val="zh-CN"/>
        </w:rPr>
      </w:pPr>
      <w:r>
        <w:rPr>
          <w:rFonts w:hint="eastAsia" w:ascii="宋体" w:hAnsi="宋体" w:cs="宋体"/>
          <w:b/>
          <w:bCs/>
          <w:sz w:val="24"/>
          <w:szCs w:val="24"/>
          <w:highlight w:val="none"/>
          <w:lang w:val="zh-CN"/>
        </w:rPr>
        <w:t>四、付款方式</w:t>
      </w:r>
    </w:p>
    <w:p w14:paraId="30B4903E">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合同签订后，甲方向乙方支付合同价款的40%，设备全部到场后甲方向乙方支付合同价款的</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0%，乙方安装、调试完成后，经甲方最终验收合格后甲方向乙方支付合同价款的</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0%。</w:t>
      </w:r>
    </w:p>
    <w:p w14:paraId="15F1E7F2">
      <w:pPr>
        <w:keepNext w:val="0"/>
        <w:keepLines w:val="0"/>
        <w:pageBreakBefore w:val="0"/>
        <w:widowControl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cs="宋体"/>
          <w:b/>
          <w:bCs/>
          <w:sz w:val="24"/>
          <w:szCs w:val="24"/>
          <w:lang w:val="zh-CN"/>
        </w:rPr>
      </w:pPr>
      <w:r>
        <w:rPr>
          <w:rFonts w:hint="eastAsia" w:ascii="宋体" w:hAnsi="宋体" w:eastAsia="宋体" w:cs="宋体"/>
          <w:b/>
          <w:bCs/>
          <w:sz w:val="24"/>
          <w:szCs w:val="24"/>
          <w:lang w:val="zh-CN"/>
        </w:rPr>
        <w:t>五</w:t>
      </w:r>
      <w:r>
        <w:rPr>
          <w:rFonts w:hint="eastAsia" w:ascii="宋体" w:hAnsi="宋体" w:cs="宋体"/>
          <w:b/>
          <w:bCs/>
          <w:sz w:val="24"/>
          <w:szCs w:val="24"/>
          <w:lang w:val="zh-CN"/>
        </w:rPr>
        <w:t>、合同的变更、终止与转让</w:t>
      </w:r>
    </w:p>
    <w:p w14:paraId="3B7B5760">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1.除《中华人民共和国政府采购法》第50条规定的情形外，本合同一经签订，甲乙双方不得擅自变更、中止或终止。</w:t>
      </w:r>
    </w:p>
    <w:p w14:paraId="0B4F424C">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2.乙方不得擅自转让其应履行的合同义务。</w:t>
      </w:r>
    </w:p>
    <w:p w14:paraId="2B5BE2D6">
      <w:pPr>
        <w:keepNext w:val="0"/>
        <w:keepLines w:val="0"/>
        <w:pageBreakBefore w:val="0"/>
        <w:widowControl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cs="宋体"/>
          <w:b/>
          <w:bCs/>
          <w:sz w:val="24"/>
          <w:szCs w:val="24"/>
          <w:lang w:val="zh-CN"/>
        </w:rPr>
      </w:pPr>
      <w:r>
        <w:rPr>
          <w:rFonts w:hint="eastAsia" w:ascii="宋体" w:hAnsi="宋体" w:cs="宋体"/>
          <w:b/>
          <w:bCs/>
          <w:sz w:val="24"/>
          <w:szCs w:val="24"/>
          <w:lang w:val="zh-CN"/>
        </w:rPr>
        <w:t>六、违约责任</w:t>
      </w:r>
    </w:p>
    <w:p w14:paraId="7EC01535">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1.乙方所提供的服务或产品、技术标准、材料等质量不合格的，应及时更换；更换不及时的，按逾期服务处罚；因质量问题甲方不同意接收的，质保金全额扣除，并由乙方赔偿由此引起的甲方的一切经济损失。</w:t>
      </w:r>
    </w:p>
    <w:p w14:paraId="052FA6D4">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2.乙方提供的货物如侵犯了第三方权益而引发纠纷或诉讼的，均由乙方负责交涉并承担全部责任。</w:t>
      </w:r>
    </w:p>
    <w:p w14:paraId="032EAB50">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3.因包装、运输引起的货物损坏，按质量不合格处罚。</w:t>
      </w:r>
    </w:p>
    <w:p w14:paraId="1E832C6B">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4.甲方无故延期接受货物和乙方逾期服务的，每天应向对方偿付未服务物的货款3</w:t>
      </w:r>
      <w:r>
        <w:rPr>
          <w:rFonts w:hint="eastAsia" w:ascii="宋体" w:hAnsi="宋体" w:cs="宋体"/>
          <w:sz w:val="24"/>
          <w:szCs w:val="24"/>
        </w:rPr>
        <w:t>%</w:t>
      </w:r>
      <w:r>
        <w:rPr>
          <w:rFonts w:hint="eastAsia" w:ascii="宋体" w:hAnsi="宋体" w:cs="宋体"/>
          <w:sz w:val="24"/>
          <w:szCs w:val="24"/>
          <w:lang w:val="zh-CN"/>
        </w:rPr>
        <w:t>的违约金，但违约金累计不得超过违约货款的5%，超过</w:t>
      </w:r>
      <w:r>
        <w:rPr>
          <w:rFonts w:hint="eastAsia" w:ascii="宋体" w:hAnsi="宋体" w:cs="宋体"/>
          <w:sz w:val="24"/>
          <w:szCs w:val="24"/>
          <w:u w:val="single"/>
          <w:lang w:val="zh-CN"/>
        </w:rPr>
        <w:t xml:space="preserve">    </w:t>
      </w:r>
      <w:r>
        <w:rPr>
          <w:rFonts w:hint="eastAsia" w:ascii="宋体" w:hAnsi="宋体" w:cs="宋体"/>
          <w:sz w:val="24"/>
          <w:szCs w:val="24"/>
          <w:lang w:val="zh-CN"/>
        </w:rPr>
        <w:t>天对方有权解除合同，违约方承担因此给对方造成的经济损失 。</w:t>
      </w:r>
    </w:p>
    <w:p w14:paraId="5CEC7FCC">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5.乙方未按本合同和响应文件中规定的服务承诺提供售后服务的，乙方应按本合同合计金额的5%向甲方支付违约金。</w:t>
      </w:r>
    </w:p>
    <w:p w14:paraId="67D7CA11">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6.乙方提供的货物在质量保证期内，因设计、工艺或材料的缺陷和其它质量原因造成的问题，由乙方负责，费用从履约保证金中扣除，不足另补。</w:t>
      </w:r>
    </w:p>
    <w:p w14:paraId="32F34A95">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7.其它违约行为按违约货款额5%收取违约金并赔偿经济损失。</w:t>
      </w:r>
    </w:p>
    <w:p w14:paraId="1C5120E5">
      <w:pPr>
        <w:keepNext w:val="0"/>
        <w:keepLines w:val="0"/>
        <w:pageBreakBefore w:val="0"/>
        <w:widowControl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cs="宋体"/>
          <w:b/>
          <w:bCs/>
          <w:sz w:val="24"/>
          <w:szCs w:val="24"/>
          <w:lang w:val="zh-CN"/>
        </w:rPr>
      </w:pPr>
      <w:r>
        <w:rPr>
          <w:rFonts w:hint="eastAsia" w:ascii="宋体" w:hAnsi="宋体" w:cs="宋体"/>
          <w:b/>
          <w:bCs/>
          <w:sz w:val="24"/>
          <w:szCs w:val="24"/>
          <w:lang w:val="zh-CN"/>
        </w:rPr>
        <w:t>七、不可抗力</w:t>
      </w:r>
    </w:p>
    <w:p w14:paraId="65C63A35">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1.不可抗力使合同的某些内容有变更必要的，双方应通过协商在</w:t>
      </w:r>
      <w:r>
        <w:rPr>
          <w:rFonts w:hint="eastAsia" w:ascii="宋体" w:hAnsi="宋体" w:cs="宋体"/>
          <w:sz w:val="24"/>
          <w:szCs w:val="24"/>
          <w:u w:val="single"/>
          <w:lang w:val="zh-CN"/>
        </w:rPr>
        <w:t xml:space="preserve">   </w:t>
      </w:r>
      <w:r>
        <w:rPr>
          <w:rFonts w:hint="eastAsia" w:ascii="宋体" w:hAnsi="宋体" w:cs="宋体"/>
          <w:sz w:val="24"/>
          <w:szCs w:val="24"/>
          <w:lang w:val="zh-CN"/>
        </w:rPr>
        <w:t>天内达成进一步履行合同的协议，因不可抗力致使合同不能履行的，合同终止。</w:t>
      </w:r>
    </w:p>
    <w:p w14:paraId="279180F9">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2.除法律、法规规定的不可抗力情形外，双方约定出现</w:t>
      </w:r>
      <w:r>
        <w:rPr>
          <w:rFonts w:hint="eastAsia" w:ascii="宋体" w:hAnsi="宋体" w:cs="宋体"/>
          <w:sz w:val="24"/>
          <w:szCs w:val="24"/>
          <w:u w:val="single"/>
          <w:lang w:val="zh-CN"/>
        </w:rPr>
        <w:t xml:space="preserve">    </w:t>
      </w:r>
      <w:r>
        <w:rPr>
          <w:rFonts w:hint="eastAsia" w:ascii="宋体" w:hAnsi="宋体" w:cs="宋体"/>
          <w:sz w:val="24"/>
          <w:szCs w:val="24"/>
          <w:lang w:val="zh-CN"/>
        </w:rPr>
        <w:t>情况亦视为不可抗力。</w:t>
      </w:r>
    </w:p>
    <w:p w14:paraId="32CE2611">
      <w:pPr>
        <w:keepNext w:val="0"/>
        <w:keepLines w:val="0"/>
        <w:pageBreakBefore w:val="0"/>
        <w:widowControl w:val="0"/>
        <w:kinsoku/>
        <w:wordWrap/>
        <w:overflowPunct/>
        <w:topLinePunct w:val="0"/>
        <w:autoSpaceDE w:val="0"/>
        <w:autoSpaceDN w:val="0"/>
        <w:bidi w:val="0"/>
        <w:adjustRightInd w:val="0"/>
        <w:snapToGrid/>
        <w:spacing w:after="240" w:line="360" w:lineRule="auto"/>
        <w:ind w:firstLine="482" w:firstLineChars="200"/>
        <w:textAlignment w:val="auto"/>
        <w:rPr>
          <w:rFonts w:ascii="宋体" w:hAnsi="宋体" w:cs="宋体"/>
          <w:b/>
          <w:bCs/>
          <w:sz w:val="24"/>
          <w:szCs w:val="24"/>
        </w:rPr>
      </w:pPr>
      <w:r>
        <w:rPr>
          <w:rFonts w:hint="eastAsia" w:ascii="宋体" w:hAnsi="宋体" w:cs="宋体"/>
          <w:b/>
          <w:bCs/>
          <w:sz w:val="24"/>
          <w:szCs w:val="24"/>
          <w:lang w:val="zh-CN"/>
        </w:rPr>
        <w:t>八、知识产权：</w:t>
      </w:r>
      <w:r>
        <w:rPr>
          <w:rFonts w:hint="eastAsia" w:ascii="宋体" w:hAnsi="宋体" w:cs="宋体"/>
          <w:sz w:val="24"/>
          <w:szCs w:val="24"/>
        </w:rPr>
        <w:t>/</w:t>
      </w:r>
    </w:p>
    <w:p w14:paraId="4D3C2778">
      <w:pPr>
        <w:keepNext w:val="0"/>
        <w:keepLines w:val="0"/>
        <w:pageBreakBefore w:val="0"/>
        <w:widowControl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cs="宋体"/>
          <w:b/>
          <w:bCs/>
          <w:sz w:val="24"/>
          <w:szCs w:val="24"/>
        </w:rPr>
      </w:pPr>
      <w:r>
        <w:rPr>
          <w:rFonts w:hint="eastAsia" w:ascii="宋体" w:hAnsi="宋体" w:cs="宋体"/>
          <w:b/>
          <w:bCs/>
          <w:sz w:val="24"/>
          <w:szCs w:val="24"/>
          <w:lang w:val="zh-CN"/>
        </w:rPr>
        <w:t>九、其他约定：</w:t>
      </w:r>
      <w:r>
        <w:rPr>
          <w:rFonts w:hint="eastAsia" w:ascii="宋体" w:hAnsi="宋体" w:cs="宋体"/>
          <w:sz w:val="24"/>
          <w:szCs w:val="24"/>
        </w:rPr>
        <w:t>/</w:t>
      </w:r>
    </w:p>
    <w:p w14:paraId="1C26BC3F">
      <w:pPr>
        <w:keepNext w:val="0"/>
        <w:keepLines w:val="0"/>
        <w:pageBreakBefore w:val="0"/>
        <w:widowControl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cs="宋体"/>
          <w:b/>
          <w:bCs/>
          <w:sz w:val="24"/>
          <w:szCs w:val="24"/>
          <w:lang w:val="zh-CN"/>
        </w:rPr>
      </w:pPr>
      <w:r>
        <w:rPr>
          <w:rFonts w:hint="eastAsia" w:ascii="宋体" w:hAnsi="宋体" w:cs="宋体"/>
          <w:b/>
          <w:bCs/>
          <w:sz w:val="24"/>
          <w:szCs w:val="24"/>
          <w:lang w:val="zh-CN"/>
        </w:rPr>
        <w:t>十、合同争议解决</w:t>
      </w:r>
    </w:p>
    <w:p w14:paraId="700746DF">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1.因产品质量问题发生争议的，应邀请国家认可的质量检测机构进行鉴定。产品符合标准的，鉴定费由甲方承担；产品不符合标准的，鉴定费由乙方承担。</w:t>
      </w:r>
    </w:p>
    <w:p w14:paraId="26621949">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2.因履行本合同引起的或与本合同有关的争议，甲乙双方应首先通过友好协商解决，如果协商不能解决，可向甲方所在地仲裁委员会申请仲裁或向甲方所在地人民法院提起诉讼。</w:t>
      </w:r>
    </w:p>
    <w:p w14:paraId="7CC42E5F">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3.诉讼期间，本合同继续履行。</w:t>
      </w:r>
    </w:p>
    <w:p w14:paraId="45A7CF32">
      <w:pPr>
        <w:keepNext w:val="0"/>
        <w:keepLines w:val="0"/>
        <w:pageBreakBefore w:val="0"/>
        <w:widowControl w:val="0"/>
        <w:kinsoku/>
        <w:wordWrap/>
        <w:overflowPunct/>
        <w:topLinePunct w:val="0"/>
        <w:autoSpaceDE w:val="0"/>
        <w:autoSpaceDN w:val="0"/>
        <w:bidi w:val="0"/>
        <w:adjustRightInd w:val="0"/>
        <w:snapToGrid/>
        <w:spacing w:after="240" w:line="360" w:lineRule="auto"/>
        <w:ind w:firstLine="482" w:firstLineChars="200"/>
        <w:textAlignment w:val="auto"/>
        <w:rPr>
          <w:rFonts w:hint="eastAsia" w:ascii="宋体" w:hAnsi="宋体" w:cs="宋体"/>
          <w:sz w:val="24"/>
          <w:szCs w:val="24"/>
          <w:lang w:val="zh-CN"/>
        </w:rPr>
      </w:pPr>
      <w:r>
        <w:rPr>
          <w:rFonts w:hint="eastAsia" w:ascii="宋体" w:hAnsi="宋体" w:cs="宋体"/>
          <w:b/>
          <w:bCs/>
          <w:sz w:val="24"/>
          <w:szCs w:val="24"/>
          <w:lang w:val="zh-CN"/>
        </w:rPr>
        <w:t>十一、合同生效及其它：</w:t>
      </w:r>
    </w:p>
    <w:p w14:paraId="25C717B8">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1.本合同一式</w:t>
      </w:r>
      <w:r>
        <w:rPr>
          <w:rFonts w:hint="eastAsia" w:ascii="宋体" w:hAnsi="宋体" w:cs="宋体"/>
          <w:sz w:val="24"/>
          <w:szCs w:val="24"/>
          <w:lang w:val="en-US" w:eastAsia="zh-CN"/>
        </w:rPr>
        <w:t>八</w:t>
      </w:r>
      <w:r>
        <w:rPr>
          <w:rFonts w:hint="eastAsia" w:ascii="宋体" w:hAnsi="宋体" w:cs="宋体"/>
          <w:sz w:val="24"/>
          <w:szCs w:val="24"/>
          <w:lang w:val="zh-CN"/>
        </w:rPr>
        <w:t>份，经双方签字，并加盖公章即为生效，送采购中心留存一份。</w:t>
      </w:r>
    </w:p>
    <w:p w14:paraId="4604B6E7">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cs="宋体"/>
          <w:sz w:val="24"/>
          <w:szCs w:val="24"/>
          <w:lang w:val="zh-CN"/>
        </w:rPr>
      </w:pPr>
      <w:r>
        <w:rPr>
          <w:rFonts w:hint="eastAsia" w:ascii="宋体" w:hAnsi="宋体" w:cs="宋体"/>
          <w:sz w:val="24"/>
          <w:szCs w:val="24"/>
          <w:lang w:val="zh-CN"/>
        </w:rPr>
        <w:t>2.本合同未尽事宜，按《民法典》有关规定处理。</w:t>
      </w:r>
    </w:p>
    <w:p w14:paraId="3DB7BA2B">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left"/>
        <w:textAlignment w:val="auto"/>
        <w:rPr>
          <w:rFonts w:hint="eastAsia" w:ascii="宋体" w:hAnsi="宋体"/>
          <w:b/>
          <w:sz w:val="24"/>
        </w:rPr>
      </w:pPr>
    </w:p>
    <w:p w14:paraId="7A7B9FDB">
      <w:pPr>
        <w:pStyle w:val="12"/>
        <w:rPr>
          <w:rFonts w:hint="eastAsia" w:ascii="宋体" w:hAnsi="宋体"/>
          <w:b/>
          <w:sz w:val="24"/>
        </w:rPr>
      </w:pPr>
    </w:p>
    <w:p w14:paraId="1549B828">
      <w:pPr>
        <w:rPr>
          <w:rFonts w:hint="eastAsia" w:ascii="宋体" w:hAnsi="宋体"/>
          <w:b/>
          <w:sz w:val="24"/>
        </w:rPr>
      </w:pPr>
    </w:p>
    <w:p w14:paraId="1D944A43">
      <w:pPr>
        <w:pStyle w:val="12"/>
        <w:rPr>
          <w:rFonts w:hint="eastAsia" w:ascii="宋体" w:hAnsi="宋体"/>
          <w:b/>
          <w:sz w:val="24"/>
        </w:rPr>
      </w:pPr>
    </w:p>
    <w:p w14:paraId="7C1B7543">
      <w:pPr>
        <w:rPr>
          <w:rFonts w:hint="eastAsia" w:ascii="宋体" w:hAnsi="宋体"/>
          <w:b/>
          <w:sz w:val="24"/>
        </w:rPr>
      </w:pPr>
    </w:p>
    <w:p w14:paraId="7579EAAA">
      <w:pPr>
        <w:pStyle w:val="12"/>
        <w:rPr>
          <w:rFonts w:hint="eastAsia" w:ascii="宋体" w:hAnsi="宋体"/>
          <w:b/>
          <w:sz w:val="24"/>
        </w:rPr>
      </w:pPr>
    </w:p>
    <w:p w14:paraId="262C043B">
      <w:pPr>
        <w:rPr>
          <w:rFonts w:hint="eastAsia" w:ascii="宋体" w:hAnsi="宋体"/>
          <w:b/>
          <w:sz w:val="24"/>
        </w:rPr>
      </w:pPr>
    </w:p>
    <w:p w14:paraId="62CFB5DF">
      <w:pPr>
        <w:pStyle w:val="12"/>
        <w:rPr>
          <w:rFonts w:hint="eastAsia" w:ascii="宋体" w:hAnsi="宋体"/>
          <w:b/>
          <w:sz w:val="24"/>
        </w:rPr>
      </w:pPr>
    </w:p>
    <w:p w14:paraId="6DB0875B">
      <w:pPr>
        <w:rPr>
          <w:rFonts w:hint="eastAsia" w:ascii="宋体" w:hAnsi="宋体"/>
          <w:b/>
          <w:sz w:val="24"/>
        </w:rPr>
      </w:pPr>
    </w:p>
    <w:p w14:paraId="46B4ED6D">
      <w:pPr>
        <w:pStyle w:val="12"/>
        <w:rPr>
          <w:rFonts w:hint="eastAsia" w:ascii="宋体" w:hAnsi="宋体"/>
          <w:b/>
          <w:sz w:val="24"/>
        </w:rPr>
      </w:pPr>
    </w:p>
    <w:p w14:paraId="50D32489">
      <w:pPr>
        <w:rPr>
          <w:rFonts w:hint="eastAsia" w:ascii="宋体" w:hAnsi="宋体"/>
          <w:b/>
          <w:sz w:val="24"/>
        </w:rPr>
      </w:pPr>
    </w:p>
    <w:p w14:paraId="4A82E5A8">
      <w:pPr>
        <w:pStyle w:val="12"/>
        <w:rPr>
          <w:rFonts w:hint="eastAsia" w:ascii="宋体" w:hAnsi="宋体"/>
          <w:b/>
          <w:sz w:val="24"/>
        </w:rPr>
      </w:pPr>
    </w:p>
    <w:p w14:paraId="529F7D80">
      <w:pPr>
        <w:rPr>
          <w:rFonts w:hint="eastAsia" w:ascii="宋体" w:hAnsi="宋体"/>
          <w:b/>
          <w:sz w:val="24"/>
        </w:rPr>
      </w:pPr>
    </w:p>
    <w:p w14:paraId="4A438838">
      <w:pPr>
        <w:pStyle w:val="12"/>
        <w:rPr>
          <w:rFonts w:hint="eastAsia" w:ascii="宋体" w:hAnsi="宋体"/>
          <w:b/>
          <w:sz w:val="24"/>
        </w:rPr>
      </w:pPr>
    </w:p>
    <w:p w14:paraId="53E64E05">
      <w:pPr>
        <w:rPr>
          <w:rFonts w:hint="eastAsia" w:ascii="宋体" w:hAnsi="宋体"/>
          <w:b/>
          <w:sz w:val="24"/>
        </w:rPr>
      </w:pPr>
    </w:p>
    <w:p w14:paraId="5C205A6A">
      <w:pPr>
        <w:pStyle w:val="12"/>
        <w:rPr>
          <w:rFonts w:hint="eastAsia" w:ascii="宋体" w:hAnsi="宋体"/>
          <w:b/>
          <w:sz w:val="24"/>
        </w:rPr>
      </w:pPr>
    </w:p>
    <w:p w14:paraId="7E6C07E8">
      <w:pPr>
        <w:rPr>
          <w:rFonts w:hint="eastAsia" w:ascii="宋体" w:hAnsi="宋体"/>
          <w:b/>
          <w:sz w:val="24"/>
        </w:rPr>
      </w:pPr>
    </w:p>
    <w:p w14:paraId="11FCB535">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left"/>
        <w:textAlignment w:val="auto"/>
        <w:rPr>
          <w:rFonts w:hint="eastAsia" w:ascii="宋体" w:hAnsi="宋体"/>
          <w:b/>
          <w:sz w:val="24"/>
        </w:rPr>
      </w:pPr>
      <w:r>
        <w:rPr>
          <w:rFonts w:hint="eastAsia" w:ascii="宋体" w:hAnsi="宋体"/>
          <w:b/>
          <w:sz w:val="24"/>
        </w:rPr>
        <w:t>采购单位（盖章）：                            供应商（盖章）：</w:t>
      </w:r>
    </w:p>
    <w:p w14:paraId="1EFE7167">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b/>
          <w:sz w:val="24"/>
        </w:rPr>
      </w:pPr>
      <w:r>
        <w:rPr>
          <w:rFonts w:hint="eastAsia" w:ascii="宋体" w:hAnsi="宋体"/>
          <w:b/>
          <w:sz w:val="24"/>
        </w:rPr>
        <w:t>地址：                                        地址：</w:t>
      </w:r>
    </w:p>
    <w:p w14:paraId="4A210607">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b/>
          <w:sz w:val="24"/>
        </w:rPr>
      </w:pPr>
      <w:r>
        <w:rPr>
          <w:rFonts w:hint="eastAsia" w:ascii="宋体" w:hAnsi="宋体"/>
          <w:b/>
          <w:sz w:val="24"/>
        </w:rPr>
        <w:t>法定代表人或</w:t>
      </w:r>
      <w:r>
        <w:rPr>
          <w:rFonts w:hint="eastAsia"/>
          <w:b/>
          <w:sz w:val="24"/>
        </w:rPr>
        <w:t>委托代理人</w:t>
      </w:r>
      <w:r>
        <w:rPr>
          <w:rFonts w:hint="eastAsia" w:ascii="宋体" w:hAnsi="宋体"/>
          <w:b/>
          <w:sz w:val="24"/>
        </w:rPr>
        <w:t>：                      法定代表人或</w:t>
      </w:r>
      <w:r>
        <w:rPr>
          <w:rFonts w:hint="eastAsia"/>
          <w:b/>
          <w:sz w:val="24"/>
        </w:rPr>
        <w:t>委托代理人</w:t>
      </w:r>
      <w:r>
        <w:rPr>
          <w:rFonts w:hint="eastAsia" w:ascii="宋体" w:hAnsi="宋体"/>
          <w:b/>
          <w:sz w:val="24"/>
        </w:rPr>
        <w:t>：</w:t>
      </w:r>
    </w:p>
    <w:p w14:paraId="7481D94B">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b/>
          <w:sz w:val="24"/>
        </w:rPr>
      </w:pPr>
      <w:r>
        <w:rPr>
          <w:rFonts w:hint="eastAsia"/>
          <w:b/>
          <w:sz w:val="24"/>
        </w:rPr>
        <w:t xml:space="preserve">                                              开户银行：</w:t>
      </w:r>
    </w:p>
    <w:p w14:paraId="641B0DC0">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b/>
          <w:sz w:val="24"/>
        </w:rPr>
      </w:pPr>
      <w:r>
        <w:rPr>
          <w:rFonts w:hint="eastAsia"/>
          <w:b/>
          <w:sz w:val="24"/>
        </w:rPr>
        <w:t>联系电话：                                    账号：</w:t>
      </w:r>
    </w:p>
    <w:p w14:paraId="08C0ACBF">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b/>
          <w:sz w:val="24"/>
        </w:rPr>
      </w:pPr>
      <w:r>
        <w:rPr>
          <w:rFonts w:hint="eastAsia"/>
          <w:b/>
          <w:sz w:val="24"/>
        </w:rPr>
        <w:t xml:space="preserve">                                              联系电话：</w:t>
      </w:r>
    </w:p>
    <w:p w14:paraId="1E39ED16">
      <w:pPr>
        <w:keepNext w:val="0"/>
        <w:keepLines w:val="0"/>
        <w:pageBreakBefore w:val="0"/>
        <w:widowControl w:val="0"/>
        <w:kinsoku/>
        <w:wordWrap/>
        <w:overflowPunct/>
        <w:topLinePunct w:val="0"/>
        <w:autoSpaceDE/>
        <w:autoSpaceDN/>
        <w:bidi w:val="0"/>
        <w:adjustRightInd/>
        <w:snapToGrid/>
        <w:spacing w:after="240" w:line="360" w:lineRule="auto"/>
        <w:jc w:val="both"/>
        <w:textAlignment w:val="auto"/>
        <w:rPr>
          <w:rFonts w:hint="eastAsia"/>
          <w:b/>
          <w:sz w:val="24"/>
        </w:rPr>
      </w:pPr>
    </w:p>
    <w:p w14:paraId="0242D841">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rPr>
          <w:rFonts w:hint="eastAsia"/>
          <w:b/>
          <w:sz w:val="24"/>
        </w:rPr>
      </w:pPr>
    </w:p>
    <w:p w14:paraId="6E599DC9">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rPr>
          <w:rFonts w:hint="eastAsia"/>
          <w:b/>
          <w:sz w:val="24"/>
        </w:rPr>
      </w:pPr>
      <w:r>
        <w:rPr>
          <w:rFonts w:hint="eastAsia"/>
          <w:b/>
          <w:sz w:val="24"/>
        </w:rPr>
        <w:t xml:space="preserve">   签约时间：    年     月    日</w:t>
      </w:r>
    </w:p>
    <w:p w14:paraId="61977805">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b/>
          <w:sz w:val="24"/>
        </w:rPr>
      </w:pPr>
    </w:p>
    <w:p w14:paraId="78FF2055">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b/>
          <w:sz w:val="24"/>
        </w:rPr>
      </w:pPr>
    </w:p>
    <w:p w14:paraId="6E7080CC">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b/>
          <w:sz w:val="24"/>
        </w:rPr>
      </w:pPr>
      <w:r>
        <w:rPr>
          <w:rFonts w:hint="eastAsia"/>
          <w:b/>
          <w:sz w:val="24"/>
        </w:rPr>
        <w:t xml:space="preserve">采购代理机构：青海聚帛工程项目管理有限公司 </w:t>
      </w:r>
    </w:p>
    <w:p w14:paraId="4F41A230">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default" w:eastAsia="宋体"/>
          <w:b/>
          <w:sz w:val="24"/>
          <w:lang w:val="en-US" w:eastAsia="zh-CN"/>
        </w:rPr>
      </w:pPr>
      <w:r>
        <w:rPr>
          <w:rFonts w:hint="eastAsia"/>
          <w:b/>
          <w:sz w:val="24"/>
        </w:rPr>
        <w:t>联系电话：0971-</w:t>
      </w:r>
      <w:r>
        <w:rPr>
          <w:rFonts w:hint="eastAsia"/>
          <w:b/>
          <w:sz w:val="24"/>
          <w:lang w:val="en-US" w:eastAsia="zh-CN"/>
        </w:rPr>
        <w:t>8800244</w:t>
      </w:r>
    </w:p>
    <w:p w14:paraId="782EEBEB">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b/>
          <w:sz w:val="24"/>
        </w:rPr>
      </w:pPr>
      <w:r>
        <w:rPr>
          <w:rFonts w:hint="eastAsia"/>
          <w:b/>
          <w:sz w:val="24"/>
        </w:rPr>
        <w:t>负责人或经办人：</w:t>
      </w:r>
    </w:p>
    <w:p w14:paraId="49138467">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b/>
          <w:sz w:val="24"/>
        </w:rPr>
        <w:t>合同备案时间：    年   月   日</w:t>
      </w:r>
    </w:p>
    <w:p w14:paraId="478B6EF8">
      <w:pPr>
        <w:pStyle w:val="18"/>
        <w:sectPr>
          <w:pgSz w:w="11906" w:h="16838"/>
          <w:pgMar w:top="1440" w:right="1800" w:bottom="1440" w:left="1800" w:header="851" w:footer="992" w:gutter="0"/>
          <w:cols w:space="425" w:num="1"/>
          <w:docGrid w:type="lines" w:linePitch="312" w:charSpace="0"/>
        </w:sectPr>
      </w:pPr>
    </w:p>
    <w:p w14:paraId="22EBBD96">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jc w:val="center"/>
        <w:textAlignment w:val="auto"/>
        <w:rPr>
          <w:rFonts w:hint="eastAsia" w:ascii="宋体" w:hAnsi="宋体" w:eastAsia="宋体" w:cs="宋体"/>
          <w:b/>
          <w:sz w:val="24"/>
          <w:szCs w:val="24"/>
        </w:rPr>
      </w:pPr>
      <w:r>
        <w:rPr>
          <w:rFonts w:hint="eastAsia" w:ascii="宋体" w:hAnsi="宋体" w:eastAsia="宋体" w:cs="宋体"/>
          <w:b/>
          <w:sz w:val="24"/>
          <w:szCs w:val="24"/>
        </w:rPr>
        <w:t>合同通用条款</w:t>
      </w:r>
    </w:p>
    <w:p w14:paraId="4A921011">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根据《中华人民共和国民法典》、《中华人民共和国政府采购法》的规定，合同双方经协商达成一致，自愿订立本合同，遵循公平原则明确双方的权利、义务，确保双方诚实守信地履行合同。</w:t>
      </w:r>
    </w:p>
    <w:p w14:paraId="0685922C">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1.定义</w:t>
      </w:r>
    </w:p>
    <w:p w14:paraId="408BA1C8">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本合同中的下列术语应解释为：</w:t>
      </w:r>
    </w:p>
    <w:p w14:paraId="24CE3121">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“合同”指甲乙双方签署的、载明的甲乙双方权利义务的协议，包括所有的附件、附录和上述文件所提到的构成合同的所有文件。</w:t>
      </w:r>
    </w:p>
    <w:p w14:paraId="3A5CE3A1">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“合同金额”指根据合同规定，乙方在正确地完全履行合同义务后甲方应付给乙方的价款。</w:t>
      </w:r>
    </w:p>
    <w:p w14:paraId="04FF324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 “合同条款”指本合同条款。</w:t>
      </w:r>
    </w:p>
    <w:p w14:paraId="493F9DB7">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 “货物”指乙方根据合同约定须向甲方提供的一切产品、设备、机械、仪表、备件等，包括辅助工具、使用手册等相关资料。</w:t>
      </w:r>
    </w:p>
    <w:p w14:paraId="48D6666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 “服务”指根据本合同规定乙方承担与供货有关的辅助服务，如运输、保险及安装、调试、提供技术援助、培训和合同中规定乙方应承担的其它义务。</w:t>
      </w:r>
    </w:p>
    <w:p w14:paraId="14FDE67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 “甲方”指购买货物和服务的单位。</w:t>
      </w:r>
    </w:p>
    <w:p w14:paraId="6239D2ED">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 “乙方”指提供本合同条款下货物和服务的公司或其他实体。</w:t>
      </w:r>
    </w:p>
    <w:p w14:paraId="0494CBE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 “现场”指合同规定货物将要运至和安装的地点。</w:t>
      </w:r>
    </w:p>
    <w:p w14:paraId="197849BA">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 “验收”指合同双方依据强制性的国家技术质量规范和合同约定，确认合同条款下的货物符合合同规定的活动。</w:t>
      </w:r>
    </w:p>
    <w:p w14:paraId="6EE51848">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1.10原厂商：产品制造商或其在中国境内设立的办事或技术服务机构。除另有说明外，本合同文件所述的制造商、产品制造商、制造厂家、产品制造厂家均为原厂商。</w:t>
      </w:r>
    </w:p>
    <w:p w14:paraId="5A2C99D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 原产地：指产品的生产地，或提供服务的来源地。</w:t>
      </w:r>
    </w:p>
    <w:p w14:paraId="75A2707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“工作日”指国家法定工作日，“天”指日历天数。</w:t>
      </w:r>
    </w:p>
    <w:p w14:paraId="59A97DB6">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2.技术规格要求</w:t>
      </w:r>
    </w:p>
    <w:p w14:paraId="2D9F694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 本合同条款下提服务物的技术规格要求应等于或优于招投标文件技术规格要求。若技术规格要求中无相应规定，则应符合相应的国家有关部门最新颁布的相应正式标准。</w:t>
      </w:r>
    </w:p>
    <w:p w14:paraId="35EAD27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 乙方应向甲方提供货物及服务有关的标准的中文文本。</w:t>
      </w:r>
    </w:p>
    <w:p w14:paraId="62F8064D">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 除非技术规范中另有规定，计量单位均采用中华人民共和国法定计量单位。</w:t>
      </w:r>
    </w:p>
    <w:p w14:paraId="3FE72A7B">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3.合同范围</w:t>
      </w:r>
    </w:p>
    <w:p w14:paraId="417CD7E1">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62C7E836">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 乙方应负责培训甲方的技术人员。</w:t>
      </w:r>
    </w:p>
    <w:p w14:paraId="75E02F2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56164375">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4.合同文件和资料</w:t>
      </w:r>
    </w:p>
    <w:p w14:paraId="3DF8A51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4.1乙方在提供仪器设备时应同时提供中文版相关的技术资料，如目录索引、图纸、操作手册、使用指南、维修指南、服务手册等。</w:t>
      </w:r>
    </w:p>
    <w:p w14:paraId="59075313">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0CEEB506">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5.知识产权</w:t>
      </w:r>
    </w:p>
    <w:p w14:paraId="7DFCD59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5.1乙方应保证甲方在使用该货物或其任何一部分时不受第三方提出的侵犯专利权、 著作权、商标权和</w:t>
      </w:r>
      <w:bookmarkStart w:id="257" w:name="_GoBack"/>
      <w:r>
        <w:rPr>
          <w:rFonts w:hint="eastAsia" w:ascii="宋体" w:hAnsi="宋体" w:eastAsia="宋体" w:cs="宋体"/>
          <w:sz w:val="24"/>
          <w:szCs w:val="24"/>
        </w:rPr>
        <w:t>工业</w:t>
      </w:r>
      <w:bookmarkEnd w:id="257"/>
      <w:r>
        <w:rPr>
          <w:rFonts w:hint="eastAsia" w:ascii="宋体" w:hAnsi="宋体" w:eastAsia="宋体" w:cs="宋体"/>
          <w:sz w:val="24"/>
          <w:szCs w:val="24"/>
        </w:rPr>
        <w:t>设计权等的起诉。</w:t>
      </w:r>
    </w:p>
    <w:p w14:paraId="798BB818">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5.2任何第三方提出侵权指控，乙方须与第三方交涉并承担由此产生的一切责任、费用和经济赔偿。</w:t>
      </w:r>
    </w:p>
    <w:p w14:paraId="3C0600C5">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5.3双方应共同遵守国家有关版权、专利、商标等知识产权方面的法律规定，相互尊重对方的知识产权，对本合同内容、对方的技术秘密和商业秘密负有保密责任。如有违反，违约方负相关法律责任。</w:t>
      </w:r>
    </w:p>
    <w:p w14:paraId="798C6668">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5.4在本合同生效时已经存在并为各方合法拥有或使用的所有技术、资料和信息的知识产权，仍应属于其各自的原权利人所有或享有，另有约定的除外。</w:t>
      </w:r>
    </w:p>
    <w:p w14:paraId="3EA03BF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5FCB083C">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6.保密</w:t>
      </w:r>
    </w:p>
    <w:p w14:paraId="14D9668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11D67EA6">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6.2保密信息指任何一方因履行本合同所知悉的任何以口头、书面、图表或电子形式存在的对方信息，具体包括：</w:t>
      </w:r>
    </w:p>
    <w:p w14:paraId="37D364C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6.2.1任何涉及对方过去、现在或将来的商业计划、规章制度、操作规程、处理手段、财务信息；</w:t>
      </w:r>
    </w:p>
    <w:p w14:paraId="302CE4FD">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6.2.2任何对方的技术措施、技术方案、软件应用及开发，硬件设备的品种、质量、数量、品牌等；</w:t>
      </w:r>
    </w:p>
    <w:p w14:paraId="41A56A88">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6.2.3任何对方的技术秘密或专有知识、文件 、报告、数据、客户软件、流程图、数据库、发明、知识、贸易秘密。</w:t>
      </w:r>
    </w:p>
    <w:p w14:paraId="5DE689ED">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6.3乙方应根据甲方的要求签署相应的保密协议，保密协议与本条款存在不一致的，以保密协议为准。</w:t>
      </w:r>
    </w:p>
    <w:p w14:paraId="78244470">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7. 质量保证</w:t>
      </w:r>
    </w:p>
    <w:p w14:paraId="3AF8A547">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7.1货物质量保证</w:t>
      </w:r>
    </w:p>
    <w:p w14:paraId="16E2494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7.1.1乙方必须保证货物是全新、未使用过的，并完全符合强制性的国家技术质量规范和合同规定的质量、规格、性能和技术规范等的要求。</w:t>
      </w:r>
    </w:p>
    <w:p w14:paraId="57B31CE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15B7F491">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30EE85E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6C2D87FD">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7.1.5 合同条款下货物的质量保证期自货物通过最终验收起算，合同另行规定除外。</w:t>
      </w:r>
    </w:p>
    <w:p w14:paraId="1EF04D65">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7.2辅助服务质量保证</w:t>
      </w:r>
    </w:p>
    <w:p w14:paraId="5817A1E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35700BD7">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7.2.2乙方应保证合同条款下所提供的服务包括培训、安装指导、单机调试、系统联调和试验等，按合同规定方式进行，并保证不存在因乙方工作人员的过失、错误或疏忽而产生的缺陷。</w:t>
      </w:r>
    </w:p>
    <w:p w14:paraId="318A6E4F">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8.包装要求</w:t>
      </w:r>
    </w:p>
    <w:p w14:paraId="541D9CE3">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 除合同另有约定外，乙方提供的全部货物，均应采用本行业通用的方式进行包装，且该包装应符合国家有关包装的法律、法规的规定。</w:t>
      </w:r>
    </w:p>
    <w:p w14:paraId="344AC497">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 包装应适应于远距离运输，并有良好的防潮、防震、防锈和防粗暴装卸等保护措施，以确保货物安全运抵现场。由于包装不善所引起的货物锈蚀、损坏和损失均由乙方承担。</w:t>
      </w:r>
    </w:p>
    <w:p w14:paraId="30358FCD">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乙方应提供货物运至合同规定的最终目的地所需要的包装，以防止货物在转运中损坏或变质。</w:t>
      </w:r>
    </w:p>
    <w:p w14:paraId="5BBC4771">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8.3 乙方所提供的货物包装均为出厂时原包装。</w:t>
      </w:r>
    </w:p>
    <w:p w14:paraId="6CB9881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8.4 乙方所提供货物必须附有质量合格证，装箱清单，主机、附件、各种零部件和消耗品，有清楚的与装箱单相对应的名称和编号。</w:t>
      </w:r>
    </w:p>
    <w:p w14:paraId="74AB117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8.5 货物运输中的运输费用和保险费用均由乙方承担。运输过程中的一切损失、损坏均由乙方负责。</w:t>
      </w:r>
    </w:p>
    <w:p w14:paraId="146A2ECA">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9. 价格</w:t>
      </w:r>
    </w:p>
    <w:p w14:paraId="4BFBCA0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2D5A7FA5">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9.2 本合同价格为固定价格，包括了乙方履行合同全过程产生的所有成本和费用以及乙方应承担的一切税费。</w:t>
      </w:r>
    </w:p>
    <w:p w14:paraId="6FBBE79A">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9.3检验费用 </w:t>
      </w:r>
    </w:p>
    <w:p w14:paraId="2C795021">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9.3.1 乙方必须负担本条款下属于乙方负责的检验、测试、调试、试运行和验收的所有费用，并负责乙方派往买方组织的检验、测试和验收人员的所有费用。</w:t>
      </w:r>
    </w:p>
    <w:p w14:paraId="24103EB1">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9.3.2 甲方按合同计划参加在乙方工厂所在地检验、测试和验收的费用全部由乙方负责并已包含在合同总价中。</w:t>
      </w:r>
    </w:p>
    <w:p w14:paraId="6F6A466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9.3.3甲方检验人员已到卖方所在地，测试无法依照合同进行， 而引起甲方人员延长逗留时间，所有由此产生的包括甲方人员在内的直接费用及成本由乙方承担。 </w:t>
      </w:r>
    </w:p>
    <w:p w14:paraId="52A7C0DC">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10.</w:t>
      </w:r>
      <w:r>
        <w:rPr>
          <w:rFonts w:hint="eastAsia" w:ascii="宋体" w:hAnsi="宋体" w:cs="宋体"/>
          <w:b/>
          <w:sz w:val="24"/>
          <w:szCs w:val="24"/>
          <w:lang w:val="en-US" w:eastAsia="zh-CN"/>
        </w:rPr>
        <w:t>交货</w:t>
      </w:r>
      <w:r>
        <w:rPr>
          <w:rFonts w:hint="eastAsia" w:ascii="宋体" w:hAnsi="宋体" w:eastAsia="宋体" w:cs="宋体"/>
          <w:b/>
          <w:sz w:val="24"/>
          <w:szCs w:val="24"/>
        </w:rPr>
        <w:t>方式及</w:t>
      </w:r>
      <w:r>
        <w:rPr>
          <w:rFonts w:hint="eastAsia" w:ascii="宋体" w:hAnsi="宋体" w:cs="宋体"/>
          <w:b/>
          <w:sz w:val="24"/>
          <w:szCs w:val="24"/>
          <w:lang w:val="en-US" w:eastAsia="zh-CN"/>
        </w:rPr>
        <w:t>交货</w:t>
      </w:r>
      <w:r>
        <w:rPr>
          <w:rFonts w:hint="eastAsia" w:ascii="宋体" w:hAnsi="宋体" w:eastAsia="宋体" w:cs="宋体"/>
          <w:b/>
          <w:sz w:val="24"/>
          <w:szCs w:val="24"/>
        </w:rPr>
        <w:t>日期</w:t>
      </w:r>
    </w:p>
    <w:p w14:paraId="35FC890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交货方式：现场服务，乙方负责办理运输和保险，将货物运抵现场。</w:t>
      </w:r>
    </w:p>
    <w:p w14:paraId="4114C747">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交货</w:t>
      </w:r>
      <w:r>
        <w:rPr>
          <w:rFonts w:hint="eastAsia" w:ascii="宋体" w:hAnsi="宋体" w:eastAsia="宋体" w:cs="宋体"/>
          <w:sz w:val="24"/>
          <w:szCs w:val="24"/>
        </w:rPr>
        <w:t>日期：所有货物运抵现场并经双方开箱验收合格之日。</w:t>
      </w:r>
    </w:p>
    <w:p w14:paraId="462B4A9D">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11.检验和验收</w:t>
      </w:r>
    </w:p>
    <w:p w14:paraId="39AD3F5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11.1开箱验收</w:t>
      </w:r>
    </w:p>
    <w:p w14:paraId="3482548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11.1.1货物运抵现场后，双方应及时开箱验收，并制作验收记录，以确认与本合同约定的数量、型号等是否一致。</w:t>
      </w:r>
    </w:p>
    <w:p w14:paraId="51ED897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11.1.2 乙方应在服务前对货物的质量、规格、数量等进行详细而全面的检验，并出具证明货物符合合同规定的文件。该文件将作为申请付款单据的一部分，但有关质量、规格、数量的检验不应视为最终检验。</w:t>
      </w:r>
    </w:p>
    <w:p w14:paraId="2CCE015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11.1.3 开箱验收中如发现货物的数量、规格与合同约定不符，甲方有权拒收货物，乙方应及时按甲方要求免费对拒收货物采取更换或其他必要的补救措施，直至开箱验收合格，方视为乙方完成服务。</w:t>
      </w:r>
    </w:p>
    <w:p w14:paraId="17154528">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检验验收</w:t>
      </w:r>
    </w:p>
    <w:p w14:paraId="49D9322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11.2.1 服务完成后，乙方应及时组装、调试、试运行，按照合同专用条款规定的试运行完成后，双方及时组织对货物检验验收。合同双方均须派人参加合同要求双方参加的试验、检验。</w:t>
      </w:r>
    </w:p>
    <w:p w14:paraId="6836A5E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11.2.2 在具体实施合同规定的检验验收之前，乙方需提前提交相应的测试计划（包括测试程序、测试内容和检验标准、试验时间安排等）供甲方确认。</w:t>
      </w:r>
    </w:p>
    <w:p w14:paraId="5C1AEB0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11.2.3  除需甲方确认的试验验收外，乙方还应对所有检验验收测试的结果、步骤、原始数据等作妥善记录。如甲方要求，乙方应提供这些记录给买方。</w:t>
      </w:r>
    </w:p>
    <w:p w14:paraId="185E91F7">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11.2.4  检验测试出现全部或部分未达到本合同所约定的技术指标，甲方有权选择下列任一处理方式：</w:t>
      </w:r>
    </w:p>
    <w:p w14:paraId="72D67C45">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a.重新测试直至合格为止；</w:t>
      </w:r>
    </w:p>
    <w:p w14:paraId="1FCAB96A">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b.要求乙方对货物进行免费更换，然后重新测试直至合格为止；</w:t>
      </w:r>
    </w:p>
    <w:p w14:paraId="7A0F297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无论选择何种方式，甲方因此而发生的因卖方原因引起的所有费用均由乙方负担。</w:t>
      </w:r>
    </w:p>
    <w:p w14:paraId="61F0F5C8">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使用过程检验</w:t>
      </w:r>
    </w:p>
    <w:p w14:paraId="1030F4A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3FC4978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11.3.2如果合同双方对乙方提供的上述试验结果报告的解释有分歧，双方须于出现分歧后10天内给对方声明，以陈述己方的观点。声明须附有关证据。分歧应通过协商解决。</w:t>
      </w:r>
    </w:p>
    <w:p w14:paraId="1A540229">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12.付款条件</w:t>
      </w:r>
    </w:p>
    <w:p w14:paraId="56EDE0F7">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本合同条款下的付款方法和条件在“合同专用条款”中具体规定。</w:t>
      </w:r>
    </w:p>
    <w:p w14:paraId="09FA6D7F">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13.履约保证金</w:t>
      </w:r>
    </w:p>
    <w:p w14:paraId="315327B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13.1乙方应在合同签订后，按合同专用条款的约定提交履约保证金。</w:t>
      </w:r>
    </w:p>
    <w:p w14:paraId="444553ED">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13.2履约保证金用于补偿甲方因卖方不能履行其合同义务而蒙受的损失。</w:t>
      </w:r>
    </w:p>
    <w:p w14:paraId="15A6946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13.3履约保证金应使用本合同货币，按下述方式之一提交（</w:t>
      </w:r>
      <w:r>
        <w:rPr>
          <w:rFonts w:hint="eastAsia" w:ascii="宋体" w:hAnsi="宋体" w:eastAsia="宋体" w:cs="宋体"/>
          <w:sz w:val="24"/>
          <w:szCs w:val="24"/>
          <w:lang w:val="en-US" w:eastAsia="zh-CN"/>
        </w:rPr>
        <w:t>磋商</w:t>
      </w:r>
      <w:r>
        <w:rPr>
          <w:rFonts w:hint="eastAsia" w:ascii="宋体" w:hAnsi="宋体" w:eastAsia="宋体" w:cs="宋体"/>
          <w:sz w:val="24"/>
          <w:szCs w:val="24"/>
        </w:rPr>
        <w:t>文件中另有约定的除外）：</w:t>
      </w:r>
    </w:p>
    <w:p w14:paraId="2E53B816">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13.3.1甲方可接受的在中华人民共和国注册和营业的银行出具的履约保函； </w:t>
      </w:r>
    </w:p>
    <w:p w14:paraId="65C5528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13.3.2 支票、汇票或现金。</w:t>
      </w:r>
    </w:p>
    <w:p w14:paraId="2054597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13.4乙方未能按合同规定履行其义务，甲方有权从履约保证金中取得补偿。货物验收合格后，甲方将履约保证金退还乙方或转为质量保证金。</w:t>
      </w:r>
    </w:p>
    <w:p w14:paraId="722F1386">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14.索赔</w:t>
      </w:r>
    </w:p>
    <w:p w14:paraId="7D88360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35DD9CE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14.2在履约保证期和检验期内，乙方对甲方提出的索赔负有责任，乙方应按照甲方同意的下列一种或多种方式解决索赔事宜：</w:t>
      </w:r>
    </w:p>
    <w:p w14:paraId="63F60C86">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202AE5C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14.2.2根据货物低劣程度、损坏程度以及甲方所遭受损失的数额，经甲乙双方商定降低货物的价格，或由有资质的中介机构评估，以降低后的价格或评估价格为准。</w:t>
      </w:r>
    </w:p>
    <w:p w14:paraId="1C9FA60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22A39B5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14.3乙方收到甲方发出的索赔通知之日起5个工作日内未作答复的，甲方可从合同款或履约保证金中扣回索赔金额，如金额不足以补偿索赔金额，乙方应补足差额部分。</w:t>
      </w:r>
    </w:p>
    <w:p w14:paraId="5A6BF524">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15.迟延服务</w:t>
      </w:r>
    </w:p>
    <w:p w14:paraId="4BD025CD">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15.1 乙方应按照合同约定的时间服务和提供服务。</w:t>
      </w:r>
    </w:p>
    <w:p w14:paraId="5E626BAD">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15.2 除不可抗力因素外，乙方迟延服务，甲方有权提出违约损失赔偿或解除合同。</w:t>
      </w:r>
    </w:p>
    <w:p w14:paraId="4827769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15.3在履行合同过程中，乙方遇到不能按时服务和提供服务的情况，应及时以书面形式将不能按时服务的理由、预期延误时间通知甲方。甲方收到乙方通知后，认为其理由正当的，可酌情延长服务时间。</w:t>
      </w:r>
    </w:p>
    <w:p w14:paraId="7849966C">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16.违约赔偿</w:t>
      </w:r>
    </w:p>
    <w:p w14:paraId="25BBBE3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除不可抗力因素外，乙方没有按照合同规定的时间服务和提供服务，甲方可要求乙方支付违约金。违约金每日按合同总价款的千分之五计收。</w:t>
      </w:r>
    </w:p>
    <w:p w14:paraId="339C985D">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17.不可抗力</w:t>
      </w:r>
    </w:p>
    <w:p w14:paraId="113C0310">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17.1.双方中任何一方遭遇法律规定的不可抗力，致使合同履行受阻时，履行合同的期限应予延长，延长的期限应相当于不可抗力所影响的时间。</w:t>
      </w:r>
    </w:p>
    <w:p w14:paraId="56B624C4">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17.2受事故影响的一方应在不可抗力的事故发生后以书面形式通知另一方。</w:t>
      </w:r>
    </w:p>
    <w:p w14:paraId="78E0526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17.3不可抗力使合同的某些内容有变更必要的， 双方应通过协商达成进一步履行合同的协议，因不可抗力致使合同不能履行的，合同终止。</w:t>
      </w:r>
    </w:p>
    <w:p w14:paraId="669F188C">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18.税费</w:t>
      </w:r>
    </w:p>
    <w:p w14:paraId="5A5DF388">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与本合同有关的一切税费均由乙方承担。</w:t>
      </w:r>
    </w:p>
    <w:p w14:paraId="66E27805">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19.合同争议的解决</w:t>
      </w:r>
    </w:p>
    <w:p w14:paraId="3DEDAF58">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19.1甲方和乙方由于本合同的履行而发生任何争议时，双方可先通过协商解决。</w:t>
      </w:r>
    </w:p>
    <w:p w14:paraId="43906B8A">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19.2任何一方不愿通过协商或通过协商仍不能解决争议，则双方中任何一方均应向甲方所在地人民法院起诉。</w:t>
      </w:r>
    </w:p>
    <w:p w14:paraId="61C4D184">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20.违约解除合同</w:t>
      </w:r>
    </w:p>
    <w:p w14:paraId="12CB78D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20.1出现下列情形之一的，视为乙方违约。甲方可向乙方发出书面通知，部分或全部终止合同，同时保留向乙方索赔的权利。</w:t>
      </w:r>
    </w:p>
    <w:p w14:paraId="46571A0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20.1.1乙方未能在合同规定的限期或甲方同意延长的限期内，提供全部或部分货物的； </w:t>
      </w:r>
    </w:p>
    <w:p w14:paraId="68B7D17D">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20.1.2乙方未能履行合同规定的其它主要义务的；</w:t>
      </w:r>
    </w:p>
    <w:p w14:paraId="56D783F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20.1.3乙方在本合同履行过程中有欺诈行为的。</w:t>
      </w:r>
    </w:p>
    <w:p w14:paraId="3223FC4D">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5454A6A5">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21.破产终止合同</w:t>
      </w:r>
    </w:p>
    <w:p w14:paraId="7226E12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乙方破产而无法完全履行本合同义务时，甲方可以书面方式通知乙方终止合同而不给予乙方补偿。该合同的终止将不损害或不影响甲方已经采取或将要采取任何行动或补救措施的权利。</w:t>
      </w:r>
    </w:p>
    <w:p w14:paraId="1D8A0AD8">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22.转让和分包</w:t>
      </w:r>
    </w:p>
    <w:p w14:paraId="010BDFA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22.1政府采购合同不能转让。</w:t>
      </w:r>
    </w:p>
    <w:p w14:paraId="7DF209E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563E91FF">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23.</w:t>
      </w:r>
      <w:r>
        <w:rPr>
          <w:rFonts w:hint="eastAsia" w:ascii="宋体" w:hAnsi="宋体" w:eastAsia="宋体" w:cs="宋体"/>
          <w:b/>
          <w:sz w:val="24"/>
          <w:szCs w:val="24"/>
          <w:u w:val="none" w:color="FF0000"/>
        </w:rPr>
        <w:t>合同修改</w:t>
      </w:r>
    </w:p>
    <w:p w14:paraId="4848A75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甲方和乙方都不得擅自变更本合同，但合同继续履行将损害国家和社会公共利益的除外。如必须对合同条款进行改动时，当事人双方须共同签署书面文件，做为合同的补充。</w:t>
      </w:r>
    </w:p>
    <w:p w14:paraId="08B210EF">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24.通知</w:t>
      </w:r>
    </w:p>
    <w:p w14:paraId="37593BC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本合同任何一方给另一方的通知，都应以书面形式发送，而另一方也应以书面形式确认并发送到对方明确的地址。</w:t>
      </w:r>
    </w:p>
    <w:p w14:paraId="450C63EC">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25.计量单位</w:t>
      </w:r>
    </w:p>
    <w:p w14:paraId="1BEBE819">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除技术规范中另有规定外，计量单位均使用国家法定计量单位。</w:t>
      </w:r>
    </w:p>
    <w:p w14:paraId="526B99FA">
      <w:pPr>
        <w:keepNext w:val="0"/>
        <w:keepLines w:val="0"/>
        <w:pageBreakBefore w:val="0"/>
        <w:widowControl w:val="0"/>
        <w:kinsoku/>
        <w:wordWrap/>
        <w:overflowPunct/>
        <w:topLinePunct w:val="0"/>
        <w:autoSpaceDE/>
        <w:autoSpaceDN/>
        <w:bidi w:val="0"/>
        <w:adjustRightInd/>
        <w:snapToGrid/>
        <w:spacing w:after="24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26.适用法律</w:t>
      </w:r>
    </w:p>
    <w:p w14:paraId="00ECA2A5">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4"/>
          <w:szCs w:val="24"/>
        </w:rPr>
        <w:t>本合同按照中华人民共和国的相关法律进行解释</w:t>
      </w:r>
    </w:p>
    <w:p w14:paraId="72F03DB4">
      <w:pPr>
        <w:autoSpaceDE w:val="0"/>
        <w:autoSpaceDN w:val="0"/>
        <w:adjustRightInd w:val="0"/>
        <w:jc w:val="center"/>
        <w:rPr>
          <w:rFonts w:hint="eastAsia" w:ascii="仿宋" w:hAnsi="Cambria" w:eastAsia="仿宋" w:cs="仿宋"/>
          <w:b/>
          <w:bCs/>
          <w:kern w:val="0"/>
          <w:sz w:val="52"/>
          <w:szCs w:val="52"/>
          <w:lang w:val="zh-CN"/>
        </w:rPr>
      </w:pPr>
      <w:bookmarkStart w:id="109" w:name="_Toc6539"/>
      <w:r>
        <w:rPr>
          <w:rFonts w:hint="eastAsia" w:ascii="仿宋" w:hAnsi="Cambria" w:eastAsia="仿宋" w:cs="仿宋"/>
          <w:b/>
          <w:bCs/>
          <w:kern w:val="0"/>
          <w:sz w:val="52"/>
          <w:szCs w:val="52"/>
          <w:lang w:val="zh-CN"/>
        </w:rPr>
        <w:t>青海省政府采购项目</w:t>
      </w:r>
    </w:p>
    <w:p w14:paraId="57DF73A6">
      <w:pPr>
        <w:jc w:val="center"/>
        <w:outlineLvl w:val="0"/>
        <w:rPr>
          <w:rFonts w:hint="eastAsia" w:ascii="宋体" w:hAnsi="宋体" w:eastAsia="宋体" w:cs="宋体"/>
          <w:b/>
          <w:sz w:val="32"/>
          <w:szCs w:val="32"/>
          <w:lang w:val="zh-CN"/>
        </w:rPr>
      </w:pPr>
      <w:r>
        <w:rPr>
          <w:rFonts w:hint="eastAsia" w:ascii="宋体" w:hAnsi="宋体" w:eastAsia="宋体" w:cs="宋体"/>
          <w:b/>
          <w:sz w:val="32"/>
          <w:szCs w:val="32"/>
          <w:lang w:val="zh-CN"/>
        </w:rPr>
        <w:t xml:space="preserve"> </w:t>
      </w:r>
    </w:p>
    <w:p w14:paraId="1BF2BD4D">
      <w:pPr>
        <w:jc w:val="center"/>
        <w:outlineLvl w:val="0"/>
        <w:rPr>
          <w:rFonts w:hint="eastAsia" w:ascii="宋体" w:hAnsi="宋体" w:eastAsia="宋体" w:cs="宋体"/>
          <w:b/>
          <w:sz w:val="32"/>
          <w:szCs w:val="32"/>
          <w:lang w:val="zh-CN"/>
        </w:rPr>
      </w:pPr>
      <w:r>
        <w:rPr>
          <w:rFonts w:hint="eastAsia" w:ascii="宋体" w:hAnsi="宋体" w:eastAsia="宋体" w:cs="宋体"/>
          <w:b/>
          <w:sz w:val="32"/>
          <w:szCs w:val="32"/>
          <w:lang w:val="zh-CN"/>
        </w:rPr>
        <w:t xml:space="preserve"> </w:t>
      </w:r>
    </w:p>
    <w:p w14:paraId="5733A19D">
      <w:pPr>
        <w:autoSpaceDE w:val="0"/>
        <w:autoSpaceDN w:val="0"/>
        <w:adjustRightInd w:val="0"/>
        <w:jc w:val="center"/>
        <w:rPr>
          <w:rFonts w:hint="eastAsia" w:cs="Calibri"/>
          <w:b/>
          <w:bCs/>
          <w:kern w:val="0"/>
          <w:sz w:val="72"/>
          <w:szCs w:val="72"/>
          <w:lang w:val="zh-CN"/>
        </w:rPr>
      </w:pPr>
      <w:r>
        <w:rPr>
          <w:rFonts w:hint="eastAsia" w:cs="Calibri"/>
          <w:b/>
          <w:bCs/>
          <w:kern w:val="0"/>
          <w:sz w:val="72"/>
          <w:szCs w:val="72"/>
          <w:lang w:val="zh-CN"/>
        </w:rPr>
        <w:t>磋商响应文件</w:t>
      </w:r>
    </w:p>
    <w:p w14:paraId="45B1F368">
      <w:pPr>
        <w:autoSpaceDE w:val="0"/>
        <w:autoSpaceDN w:val="0"/>
        <w:adjustRightInd w:val="0"/>
        <w:jc w:val="center"/>
        <w:rPr>
          <w:rFonts w:hint="eastAsia" w:cs="Calibri"/>
          <w:b/>
          <w:bCs/>
          <w:kern w:val="0"/>
          <w:sz w:val="72"/>
          <w:szCs w:val="72"/>
          <w:lang w:val="zh-CN"/>
        </w:rPr>
      </w:pPr>
      <w:r>
        <w:rPr>
          <w:rFonts w:hint="eastAsia" w:cs="Calibri"/>
          <w:b/>
          <w:bCs/>
          <w:kern w:val="0"/>
          <w:sz w:val="72"/>
          <w:szCs w:val="72"/>
          <w:lang w:val="zh-CN"/>
        </w:rPr>
        <w:t>（资格审查文件）</w:t>
      </w:r>
    </w:p>
    <w:p w14:paraId="32C23E28">
      <w:pPr>
        <w:jc w:val="center"/>
        <w:outlineLvl w:val="0"/>
        <w:rPr>
          <w:rFonts w:hint="eastAsia" w:ascii="宋体" w:hAnsi="宋体" w:eastAsia="宋体" w:cs="宋体"/>
          <w:b/>
          <w:sz w:val="32"/>
          <w:szCs w:val="32"/>
          <w:lang w:val="zh-CN"/>
        </w:rPr>
      </w:pPr>
    </w:p>
    <w:p w14:paraId="40C4D1C4">
      <w:pPr>
        <w:jc w:val="center"/>
        <w:outlineLvl w:val="0"/>
        <w:rPr>
          <w:rFonts w:hint="eastAsia" w:ascii="宋体" w:hAnsi="宋体" w:eastAsia="宋体" w:cs="宋体"/>
          <w:b/>
          <w:sz w:val="32"/>
          <w:szCs w:val="32"/>
          <w:lang w:val="zh-CN"/>
        </w:rPr>
      </w:pPr>
    </w:p>
    <w:p w14:paraId="7591DCB5">
      <w:pPr>
        <w:jc w:val="center"/>
        <w:outlineLvl w:val="0"/>
        <w:rPr>
          <w:rFonts w:hint="eastAsia" w:ascii="宋体" w:hAnsi="宋体" w:eastAsia="宋体" w:cs="宋体"/>
          <w:b/>
          <w:sz w:val="32"/>
          <w:szCs w:val="32"/>
          <w:lang w:val="zh-CN"/>
        </w:rPr>
      </w:pPr>
    </w:p>
    <w:p w14:paraId="4AE70319">
      <w:pPr>
        <w:jc w:val="center"/>
        <w:outlineLvl w:val="0"/>
        <w:rPr>
          <w:rFonts w:hint="eastAsia" w:ascii="宋体" w:hAnsi="宋体" w:eastAsia="宋体" w:cs="宋体"/>
          <w:b/>
          <w:sz w:val="32"/>
          <w:szCs w:val="32"/>
          <w:lang w:val="zh-CN"/>
        </w:rPr>
      </w:pPr>
    </w:p>
    <w:p w14:paraId="6E175C53">
      <w:pPr>
        <w:jc w:val="center"/>
        <w:outlineLvl w:val="0"/>
        <w:rPr>
          <w:rFonts w:hint="eastAsia" w:ascii="宋体" w:hAnsi="宋体" w:eastAsia="宋体" w:cs="宋体"/>
          <w:b/>
          <w:sz w:val="32"/>
          <w:szCs w:val="32"/>
          <w:lang w:val="zh-CN"/>
        </w:rPr>
      </w:pPr>
    </w:p>
    <w:p w14:paraId="694A944B">
      <w:pPr>
        <w:jc w:val="both"/>
        <w:outlineLvl w:val="0"/>
        <w:rPr>
          <w:rFonts w:hint="eastAsia" w:ascii="宋体" w:hAnsi="宋体" w:eastAsia="宋体" w:cs="宋体"/>
          <w:b/>
          <w:sz w:val="32"/>
          <w:szCs w:val="32"/>
          <w:lang w:val="zh-CN"/>
        </w:rPr>
      </w:pPr>
      <w:r>
        <w:rPr>
          <w:rFonts w:hint="eastAsia" w:ascii="宋体" w:hAnsi="宋体" w:eastAsia="宋体" w:cs="宋体"/>
          <w:b/>
          <w:sz w:val="32"/>
          <w:szCs w:val="32"/>
          <w:lang w:val="zh-CN"/>
        </w:rPr>
        <w:t>采购项目编号：</w:t>
      </w:r>
    </w:p>
    <w:p w14:paraId="1F282773">
      <w:pPr>
        <w:jc w:val="both"/>
        <w:outlineLvl w:val="0"/>
        <w:rPr>
          <w:rFonts w:hint="eastAsia" w:ascii="宋体" w:hAnsi="宋体" w:eastAsia="宋体" w:cs="宋体"/>
          <w:b/>
          <w:sz w:val="32"/>
          <w:szCs w:val="32"/>
          <w:lang w:val="zh-CN"/>
        </w:rPr>
      </w:pPr>
      <w:r>
        <w:rPr>
          <w:rFonts w:hint="eastAsia" w:ascii="宋体" w:hAnsi="宋体" w:eastAsia="宋体" w:cs="宋体"/>
          <w:b/>
          <w:sz w:val="32"/>
          <w:szCs w:val="32"/>
          <w:lang w:val="zh-CN"/>
        </w:rPr>
        <w:t xml:space="preserve">采购项目名称: </w:t>
      </w:r>
    </w:p>
    <w:p w14:paraId="1F9B1A7F">
      <w:pPr>
        <w:jc w:val="center"/>
        <w:outlineLvl w:val="0"/>
        <w:rPr>
          <w:rFonts w:hint="eastAsia" w:ascii="宋体" w:hAnsi="宋体" w:eastAsia="宋体" w:cs="宋体"/>
          <w:b/>
          <w:sz w:val="32"/>
          <w:szCs w:val="32"/>
          <w:lang w:val="zh-CN"/>
        </w:rPr>
      </w:pPr>
      <w:r>
        <w:rPr>
          <w:rFonts w:hint="eastAsia" w:ascii="宋体" w:hAnsi="宋体" w:eastAsia="宋体" w:cs="宋体"/>
          <w:b/>
          <w:sz w:val="32"/>
          <w:szCs w:val="32"/>
          <w:lang w:val="zh-CN"/>
        </w:rPr>
        <w:t xml:space="preserve">                  </w:t>
      </w:r>
    </w:p>
    <w:p w14:paraId="48662B0F">
      <w:pPr>
        <w:jc w:val="center"/>
        <w:outlineLvl w:val="0"/>
        <w:rPr>
          <w:rFonts w:hint="eastAsia" w:ascii="宋体" w:hAnsi="宋体" w:eastAsia="宋体" w:cs="宋体"/>
          <w:b/>
          <w:sz w:val="32"/>
          <w:szCs w:val="32"/>
          <w:lang w:val="zh-CN"/>
        </w:rPr>
      </w:pPr>
    </w:p>
    <w:p w14:paraId="31E699E1">
      <w:pPr>
        <w:jc w:val="center"/>
        <w:outlineLvl w:val="0"/>
        <w:rPr>
          <w:rFonts w:hint="eastAsia" w:ascii="宋体" w:hAnsi="宋体" w:eastAsia="宋体" w:cs="宋体"/>
          <w:b/>
          <w:sz w:val="32"/>
          <w:szCs w:val="32"/>
          <w:lang w:val="zh-CN"/>
        </w:rPr>
      </w:pPr>
    </w:p>
    <w:p w14:paraId="12BF9112">
      <w:pPr>
        <w:jc w:val="center"/>
        <w:outlineLvl w:val="0"/>
        <w:rPr>
          <w:rFonts w:hint="eastAsia" w:ascii="宋体" w:hAnsi="宋体" w:eastAsia="宋体" w:cs="宋体"/>
          <w:b/>
          <w:sz w:val="32"/>
          <w:szCs w:val="32"/>
          <w:lang w:val="zh-CN"/>
        </w:rPr>
      </w:pPr>
    </w:p>
    <w:p w14:paraId="7820C68A">
      <w:pPr>
        <w:jc w:val="center"/>
        <w:outlineLvl w:val="0"/>
        <w:rPr>
          <w:rFonts w:hint="eastAsia" w:ascii="宋体" w:hAnsi="宋体" w:eastAsia="宋体" w:cs="宋体"/>
          <w:b/>
          <w:sz w:val="32"/>
          <w:szCs w:val="32"/>
          <w:lang w:val="zh-CN"/>
        </w:rPr>
      </w:pPr>
      <w:r>
        <w:rPr>
          <w:rFonts w:hint="eastAsia" w:ascii="宋体" w:hAnsi="宋体" w:eastAsia="宋体" w:cs="宋体"/>
          <w:b/>
          <w:sz w:val="32"/>
          <w:szCs w:val="32"/>
          <w:lang w:val="zh-CN"/>
        </w:rPr>
        <w:t>供应商单位：</w:t>
      </w:r>
    </w:p>
    <w:p w14:paraId="7910F58E">
      <w:pPr>
        <w:jc w:val="center"/>
        <w:outlineLvl w:val="0"/>
        <w:rPr>
          <w:rFonts w:hint="eastAsia" w:ascii="宋体" w:hAnsi="宋体" w:eastAsia="宋体" w:cs="宋体"/>
          <w:b/>
          <w:sz w:val="32"/>
          <w:szCs w:val="32"/>
          <w:lang w:val="zh-CN"/>
        </w:rPr>
      </w:pPr>
    </w:p>
    <w:p w14:paraId="52B2F24E">
      <w:pPr>
        <w:jc w:val="center"/>
        <w:outlineLvl w:val="0"/>
        <w:rPr>
          <w:rFonts w:hint="eastAsia" w:ascii="宋体" w:hAnsi="宋体" w:eastAsia="宋体" w:cs="宋体"/>
          <w:b/>
          <w:sz w:val="32"/>
          <w:szCs w:val="32"/>
          <w:lang w:val="zh-CN"/>
        </w:rPr>
      </w:pPr>
      <w:r>
        <w:rPr>
          <w:rFonts w:hint="eastAsia" w:ascii="宋体" w:hAnsi="宋体" w:eastAsia="宋体" w:cs="宋体"/>
          <w:b/>
          <w:sz w:val="32"/>
          <w:szCs w:val="32"/>
          <w:lang w:val="zh-CN"/>
        </w:rPr>
        <w:t>年   月  日</w:t>
      </w:r>
    </w:p>
    <w:p w14:paraId="478D0B07">
      <w:pPr>
        <w:jc w:val="center"/>
        <w:outlineLvl w:val="0"/>
        <w:rPr>
          <w:rFonts w:hint="eastAsia" w:ascii="宋体" w:hAnsi="宋体" w:eastAsia="宋体" w:cs="宋体"/>
          <w:b/>
          <w:sz w:val="32"/>
          <w:szCs w:val="32"/>
          <w:lang w:val="zh-CN"/>
        </w:rPr>
      </w:pPr>
    </w:p>
    <w:p w14:paraId="004D0B10">
      <w:pPr>
        <w:jc w:val="both"/>
        <w:outlineLvl w:val="0"/>
        <w:rPr>
          <w:rFonts w:hint="eastAsia" w:ascii="宋体" w:hAnsi="宋体" w:eastAsia="宋体" w:cs="宋体"/>
          <w:b/>
          <w:sz w:val="32"/>
          <w:szCs w:val="32"/>
          <w:lang w:val="zh-CN"/>
        </w:rPr>
      </w:pPr>
    </w:p>
    <w:p w14:paraId="5F2D2B9D">
      <w:pPr>
        <w:jc w:val="both"/>
        <w:outlineLvl w:val="0"/>
        <w:rPr>
          <w:rFonts w:hint="eastAsia" w:ascii="宋体" w:hAnsi="宋体" w:eastAsia="宋体" w:cs="宋体"/>
          <w:b/>
          <w:sz w:val="32"/>
          <w:szCs w:val="32"/>
          <w:lang w:val="zh-CN"/>
        </w:rPr>
        <w:sectPr>
          <w:pgSz w:w="11906" w:h="16838"/>
          <w:pgMar w:top="1440" w:right="1800" w:bottom="1440" w:left="1800" w:header="851" w:footer="992" w:gutter="0"/>
          <w:cols w:space="425" w:num="1"/>
          <w:docGrid w:type="lines" w:linePitch="312" w:charSpace="0"/>
        </w:sectPr>
      </w:pPr>
    </w:p>
    <w:p w14:paraId="02726A2C">
      <w:pPr>
        <w:jc w:val="center"/>
        <w:outlineLvl w:val="0"/>
        <w:rPr>
          <w:rFonts w:hint="eastAsia" w:ascii="宋体" w:hAnsi="宋体" w:eastAsia="宋体" w:cs="宋体"/>
          <w:b/>
          <w:sz w:val="32"/>
          <w:szCs w:val="32"/>
          <w:lang w:val="zh-CN"/>
        </w:rPr>
      </w:pPr>
      <w:r>
        <w:rPr>
          <w:rFonts w:hint="eastAsia" w:ascii="宋体" w:hAnsi="宋体" w:eastAsia="宋体" w:cs="宋体"/>
          <w:b/>
          <w:sz w:val="32"/>
          <w:szCs w:val="32"/>
          <w:lang w:val="zh-CN"/>
        </w:rPr>
        <w:t>第</w:t>
      </w:r>
      <w:r>
        <w:rPr>
          <w:rFonts w:hint="eastAsia" w:ascii="宋体" w:hAnsi="宋体" w:eastAsia="宋体" w:cs="宋体"/>
          <w:b/>
          <w:sz w:val="32"/>
          <w:szCs w:val="32"/>
          <w:lang w:val="en-US" w:eastAsia="zh-CN"/>
        </w:rPr>
        <w:t>五</w:t>
      </w:r>
      <w:r>
        <w:rPr>
          <w:rFonts w:hint="eastAsia" w:ascii="宋体" w:hAnsi="宋体" w:eastAsia="宋体" w:cs="宋体"/>
          <w:b/>
          <w:sz w:val="32"/>
          <w:szCs w:val="32"/>
          <w:lang w:val="zh-CN"/>
        </w:rPr>
        <w:t>部分  磋商响应文件格式</w:t>
      </w:r>
      <w:bookmarkEnd w:id="109"/>
    </w:p>
    <w:p w14:paraId="128B6FB8">
      <w:pPr>
        <w:pStyle w:val="18"/>
        <w:jc w:val="center"/>
        <w:rPr>
          <w:rFonts w:hint="eastAsia"/>
          <w:b/>
          <w:bCs/>
        </w:rPr>
      </w:pPr>
      <w:r>
        <w:rPr>
          <w:rFonts w:hint="eastAsia"/>
          <w:b/>
          <w:bCs/>
        </w:rPr>
        <w:t>文件的组成</w:t>
      </w:r>
    </w:p>
    <w:p w14:paraId="6BA4FA83">
      <w:pPr>
        <w:pStyle w:val="18"/>
        <w:rPr>
          <w:rFonts w:hint="eastAsia"/>
        </w:rPr>
      </w:pPr>
      <w:r>
        <w:rPr>
          <w:rFonts w:hint="eastAsia"/>
        </w:rPr>
        <w:t>（一）资格审查文件</w:t>
      </w:r>
    </w:p>
    <w:p w14:paraId="23076940">
      <w:pPr>
        <w:pStyle w:val="18"/>
        <w:rPr>
          <w:rFonts w:hint="eastAsia"/>
        </w:rPr>
      </w:pPr>
      <w:r>
        <w:rPr>
          <w:rFonts w:hint="eastAsia"/>
        </w:rPr>
        <w:t>1、响应函…………………………………………………………………………（1）</w:t>
      </w:r>
    </w:p>
    <w:p w14:paraId="7C7012EB">
      <w:pPr>
        <w:pStyle w:val="18"/>
        <w:rPr>
          <w:rFonts w:hint="eastAsia"/>
        </w:rPr>
      </w:pPr>
      <w:r>
        <w:rPr>
          <w:rFonts w:hint="eastAsia"/>
        </w:rPr>
        <w:t>2、法定代表人证明书……………………………………………………………（2）</w:t>
      </w:r>
    </w:p>
    <w:p w14:paraId="0BA6C684">
      <w:pPr>
        <w:pStyle w:val="18"/>
        <w:rPr>
          <w:rFonts w:hint="eastAsia"/>
        </w:rPr>
      </w:pPr>
      <w:r>
        <w:rPr>
          <w:rFonts w:hint="eastAsia"/>
        </w:rPr>
        <w:t>3、法定代表人授权书……………………………………………………………（3）</w:t>
      </w:r>
    </w:p>
    <w:p w14:paraId="15FDEF53">
      <w:pPr>
        <w:pStyle w:val="18"/>
        <w:rPr>
          <w:rFonts w:hint="eastAsia"/>
        </w:rPr>
      </w:pPr>
      <w:r>
        <w:rPr>
          <w:rFonts w:hint="eastAsia"/>
        </w:rPr>
        <w:t>4、供应商承诺函…………………………………………………………………（4）</w:t>
      </w:r>
    </w:p>
    <w:p w14:paraId="138194B7">
      <w:pPr>
        <w:pStyle w:val="18"/>
        <w:rPr>
          <w:rFonts w:hint="eastAsia"/>
        </w:rPr>
      </w:pPr>
      <w:r>
        <w:rPr>
          <w:rFonts w:hint="eastAsia"/>
        </w:rPr>
        <w:t>5、供应商诚信承诺书……………………………………………………………（5）</w:t>
      </w:r>
    </w:p>
    <w:p w14:paraId="3A778821">
      <w:pPr>
        <w:pStyle w:val="18"/>
        <w:rPr>
          <w:rFonts w:hint="eastAsia"/>
        </w:rPr>
      </w:pPr>
      <w:r>
        <w:rPr>
          <w:rFonts w:hint="eastAsia"/>
        </w:rPr>
        <w:t>6、供应商资格证明文件…………………………………………………………（6）</w:t>
      </w:r>
    </w:p>
    <w:p w14:paraId="44153CE0">
      <w:pPr>
        <w:pStyle w:val="18"/>
        <w:rPr>
          <w:rFonts w:hint="eastAsia"/>
        </w:rPr>
      </w:pPr>
      <w:r>
        <w:rPr>
          <w:rFonts w:hint="eastAsia"/>
        </w:rPr>
        <w:t>7、无重大违法记录声明…………………………………………………………（7）</w:t>
      </w:r>
    </w:p>
    <w:p w14:paraId="75AB2B49">
      <w:pPr>
        <w:pStyle w:val="18"/>
        <w:rPr>
          <w:rFonts w:hint="eastAsia"/>
        </w:rPr>
      </w:pPr>
      <w:r>
        <w:rPr>
          <w:rFonts w:hint="eastAsia"/>
        </w:rPr>
        <w:t>8、财务状况、缴纳税收和社会保障资金证明…………………………………（8）</w:t>
      </w:r>
    </w:p>
    <w:p w14:paraId="782BCA57">
      <w:pPr>
        <w:pStyle w:val="18"/>
        <w:rPr>
          <w:rFonts w:hint="eastAsia"/>
        </w:rPr>
      </w:pPr>
      <w:r>
        <w:rPr>
          <w:rFonts w:hint="eastAsia"/>
        </w:rPr>
        <w:t>9、投标保证金证明………………………………………………………………（9）</w:t>
      </w:r>
    </w:p>
    <w:p w14:paraId="4250F3E1">
      <w:pPr>
        <w:pStyle w:val="18"/>
        <w:rPr>
          <w:rFonts w:hint="eastAsia"/>
        </w:rPr>
      </w:pPr>
      <w:r>
        <w:rPr>
          <w:rFonts w:hint="eastAsia"/>
        </w:rPr>
        <w:t>10、中小企业声明函</w:t>
      </w:r>
      <w:r>
        <w:rPr>
          <w:rFonts w:hint="eastAsia"/>
          <w:lang w:eastAsia="zh-CN"/>
        </w:rPr>
        <w:t>（</w:t>
      </w:r>
      <w:r>
        <w:rPr>
          <w:rFonts w:hint="eastAsia"/>
          <w:lang w:val="en-US" w:eastAsia="zh-CN"/>
        </w:rPr>
        <w:t>货物</w:t>
      </w:r>
      <w:r>
        <w:rPr>
          <w:rFonts w:hint="eastAsia"/>
          <w:lang w:eastAsia="zh-CN"/>
        </w:rPr>
        <w:t>）</w:t>
      </w:r>
      <w:r>
        <w:rPr>
          <w:rFonts w:hint="eastAsia"/>
        </w:rPr>
        <w:t>……………………………………………………（10）</w:t>
      </w:r>
    </w:p>
    <w:p w14:paraId="1AA9FF67">
      <w:pPr>
        <w:pStyle w:val="18"/>
        <w:rPr>
          <w:rFonts w:hint="eastAsia"/>
        </w:rPr>
      </w:pPr>
      <w:r>
        <w:rPr>
          <w:rFonts w:hint="eastAsia"/>
          <w:lang w:val="en-US" w:eastAsia="zh-CN"/>
        </w:rPr>
        <w:t>11、残疾人福利性单位声明函</w:t>
      </w:r>
      <w:r>
        <w:rPr>
          <w:rFonts w:hint="eastAsia"/>
        </w:rPr>
        <w:t>…………………………………………………（</w:t>
      </w:r>
      <w:r>
        <w:rPr>
          <w:rFonts w:hint="eastAsia"/>
          <w:lang w:val="en-US" w:eastAsia="zh-CN"/>
        </w:rPr>
        <w:t>11</w:t>
      </w:r>
      <w:r>
        <w:rPr>
          <w:rFonts w:hint="eastAsia"/>
        </w:rPr>
        <w:t>）</w:t>
      </w:r>
    </w:p>
    <w:p w14:paraId="7922A35C">
      <w:pPr>
        <w:pStyle w:val="18"/>
        <w:rPr>
          <w:rFonts w:hint="eastAsia"/>
        </w:rPr>
      </w:pPr>
      <w:r>
        <w:rPr>
          <w:rFonts w:hint="eastAsia"/>
          <w:lang w:val="en-US" w:eastAsia="zh-CN"/>
        </w:rPr>
        <w:t>12、监狱企业证明资料</w:t>
      </w:r>
      <w:r>
        <w:rPr>
          <w:rFonts w:hint="eastAsia"/>
        </w:rPr>
        <w:t>…………………………………………………………（</w:t>
      </w:r>
      <w:r>
        <w:rPr>
          <w:rFonts w:hint="eastAsia"/>
          <w:lang w:val="en-US" w:eastAsia="zh-CN"/>
        </w:rPr>
        <w:t>12</w:t>
      </w:r>
      <w:r>
        <w:rPr>
          <w:rFonts w:hint="eastAsia"/>
        </w:rPr>
        <w:t>）</w:t>
      </w:r>
    </w:p>
    <w:p w14:paraId="6E8A914C">
      <w:pPr>
        <w:pStyle w:val="18"/>
        <w:rPr>
          <w:rFonts w:hint="eastAsia"/>
        </w:rPr>
      </w:pPr>
      <w:r>
        <w:rPr>
          <w:rFonts w:hint="eastAsia"/>
        </w:rPr>
        <w:t>（二）符合性审查文件</w:t>
      </w:r>
    </w:p>
    <w:p w14:paraId="1AD8E7E6">
      <w:pPr>
        <w:pStyle w:val="18"/>
        <w:rPr>
          <w:rFonts w:hint="eastAsia"/>
        </w:rPr>
      </w:pPr>
      <w:r>
        <w:rPr>
          <w:rFonts w:hint="eastAsia"/>
        </w:rPr>
        <w:t>1、磋商报价表……………………………………………………………………（</w:t>
      </w:r>
      <w:r>
        <w:rPr>
          <w:rFonts w:hint="eastAsia"/>
          <w:lang w:val="en-US" w:eastAsia="zh-CN"/>
        </w:rPr>
        <w:t>13</w:t>
      </w:r>
      <w:r>
        <w:rPr>
          <w:rFonts w:hint="eastAsia"/>
        </w:rPr>
        <w:t>）</w:t>
      </w:r>
    </w:p>
    <w:p w14:paraId="240CF3EB">
      <w:pPr>
        <w:pStyle w:val="18"/>
        <w:rPr>
          <w:rFonts w:hint="eastAsia"/>
        </w:rPr>
      </w:pPr>
      <w:r>
        <w:rPr>
          <w:rFonts w:hint="eastAsia"/>
        </w:rPr>
        <w:t>2、分项报价表……………………………………………………………………（1</w:t>
      </w:r>
      <w:r>
        <w:rPr>
          <w:rFonts w:hint="eastAsia"/>
          <w:lang w:val="en-US" w:eastAsia="zh-CN"/>
        </w:rPr>
        <w:t>4</w:t>
      </w:r>
      <w:r>
        <w:rPr>
          <w:rFonts w:hint="eastAsia"/>
        </w:rPr>
        <w:t>）</w:t>
      </w:r>
    </w:p>
    <w:p w14:paraId="43B09B61">
      <w:pPr>
        <w:pStyle w:val="18"/>
        <w:rPr>
          <w:rFonts w:hint="eastAsia"/>
        </w:rPr>
      </w:pPr>
      <w:r>
        <w:rPr>
          <w:rFonts w:hint="eastAsia"/>
        </w:rPr>
        <w:t>3、评</w:t>
      </w:r>
      <w:r>
        <w:rPr>
          <w:rFonts w:hint="eastAsia"/>
          <w:lang w:val="en-US" w:eastAsia="zh-CN"/>
        </w:rPr>
        <w:t>审</w:t>
      </w:r>
      <w:r>
        <w:rPr>
          <w:rFonts w:hint="eastAsia"/>
        </w:rPr>
        <w:t>对照表……………………………………………………………………（1</w:t>
      </w:r>
      <w:r>
        <w:rPr>
          <w:rFonts w:hint="eastAsia"/>
          <w:lang w:val="en-US" w:eastAsia="zh-CN"/>
        </w:rPr>
        <w:t>5</w:t>
      </w:r>
      <w:r>
        <w:rPr>
          <w:rFonts w:hint="eastAsia"/>
        </w:rPr>
        <w:t>）</w:t>
      </w:r>
      <w:r>
        <w:rPr>
          <w:rFonts w:hint="eastAsia"/>
          <w:lang w:val="en-US" w:eastAsia="zh-CN"/>
        </w:rPr>
        <w:t>4</w:t>
      </w:r>
      <w:r>
        <w:rPr>
          <w:rFonts w:hint="eastAsia"/>
        </w:rPr>
        <w:t>、</w:t>
      </w:r>
      <w:r>
        <w:rPr>
          <w:rFonts w:hint="eastAsia"/>
          <w:lang w:val="zh-CN"/>
        </w:rPr>
        <w:t>技术规格响应表</w:t>
      </w:r>
      <w:r>
        <w:rPr>
          <w:rFonts w:hint="eastAsia"/>
        </w:rPr>
        <w:t>………………………………………………………………（1</w:t>
      </w:r>
      <w:r>
        <w:rPr>
          <w:rFonts w:hint="eastAsia"/>
          <w:lang w:val="en-US" w:eastAsia="zh-CN"/>
        </w:rPr>
        <w:t>6</w:t>
      </w:r>
      <w:r>
        <w:rPr>
          <w:rFonts w:hint="eastAsia"/>
        </w:rPr>
        <w:t>）</w:t>
      </w:r>
    </w:p>
    <w:p w14:paraId="3E9BCCC9">
      <w:pPr>
        <w:pStyle w:val="18"/>
        <w:rPr>
          <w:rFonts w:hint="eastAsia"/>
        </w:rPr>
      </w:pPr>
      <w:r>
        <w:rPr>
          <w:rFonts w:hint="eastAsia"/>
          <w:color w:val="auto"/>
          <w:lang w:val="en-US" w:eastAsia="zh-CN"/>
        </w:rPr>
        <w:t>5</w:t>
      </w:r>
      <w:r>
        <w:rPr>
          <w:rFonts w:hint="eastAsia"/>
          <w:color w:val="auto"/>
        </w:rPr>
        <w:t>、其他资格证明材料</w:t>
      </w:r>
      <w:r>
        <w:rPr>
          <w:rFonts w:hint="eastAsia"/>
        </w:rPr>
        <w:t>……………………………………………………………（1</w:t>
      </w:r>
      <w:r>
        <w:rPr>
          <w:rFonts w:hint="eastAsia"/>
          <w:lang w:val="en-US" w:eastAsia="zh-CN"/>
        </w:rPr>
        <w:t>7</w:t>
      </w:r>
      <w:r>
        <w:rPr>
          <w:rFonts w:hint="eastAsia"/>
        </w:rPr>
        <w:t>）</w:t>
      </w:r>
    </w:p>
    <w:p w14:paraId="7D65B022">
      <w:pPr>
        <w:pStyle w:val="18"/>
        <w:rPr>
          <w:rFonts w:hint="eastAsia"/>
        </w:rPr>
      </w:pPr>
      <w:r>
        <w:rPr>
          <w:rFonts w:hint="eastAsia"/>
          <w:lang w:val="en-US" w:eastAsia="zh-CN"/>
        </w:rPr>
        <w:t>6</w:t>
      </w:r>
      <w:r>
        <w:rPr>
          <w:rFonts w:hint="eastAsia"/>
        </w:rPr>
        <w:t>、响应产品相关资料……………………………………………………………（1</w:t>
      </w:r>
      <w:r>
        <w:rPr>
          <w:rFonts w:hint="eastAsia"/>
          <w:lang w:val="en-US" w:eastAsia="zh-CN"/>
        </w:rPr>
        <w:t>8</w:t>
      </w:r>
      <w:r>
        <w:rPr>
          <w:rFonts w:hint="eastAsia"/>
        </w:rPr>
        <w:t>）</w:t>
      </w:r>
    </w:p>
    <w:p w14:paraId="23C432B9">
      <w:pPr>
        <w:pStyle w:val="18"/>
        <w:rPr>
          <w:rFonts w:hint="eastAsia"/>
        </w:rPr>
      </w:pPr>
      <w:r>
        <w:rPr>
          <w:rFonts w:hint="eastAsia"/>
          <w:lang w:val="en-US" w:eastAsia="zh-CN"/>
        </w:rPr>
        <w:t>7</w:t>
      </w:r>
      <w:r>
        <w:rPr>
          <w:rFonts w:hint="eastAsia"/>
        </w:rPr>
        <w:t>、供应商类似业绩证明材料……………………………………………………（1</w:t>
      </w:r>
      <w:r>
        <w:rPr>
          <w:rFonts w:hint="eastAsia"/>
          <w:lang w:val="en-US" w:eastAsia="zh-CN"/>
        </w:rPr>
        <w:t>9</w:t>
      </w:r>
      <w:r>
        <w:rPr>
          <w:rFonts w:hint="eastAsia"/>
        </w:rPr>
        <w:t>）</w:t>
      </w:r>
    </w:p>
    <w:p w14:paraId="260CCA87">
      <w:pPr>
        <w:pStyle w:val="18"/>
        <w:rPr>
          <w:rFonts w:hint="eastAsia"/>
        </w:rPr>
      </w:pPr>
      <w:r>
        <w:rPr>
          <w:rFonts w:hint="eastAsia"/>
          <w:lang w:val="en-US" w:eastAsia="zh-CN"/>
        </w:rPr>
        <w:t>8</w:t>
      </w:r>
      <w:r>
        <w:rPr>
          <w:rFonts w:hint="eastAsia"/>
        </w:rPr>
        <w:t>、销售及服务相关内容  ………………………………………………………（</w:t>
      </w:r>
      <w:r>
        <w:rPr>
          <w:rFonts w:hint="eastAsia"/>
          <w:lang w:val="en-US" w:eastAsia="zh-CN"/>
        </w:rPr>
        <w:t>20</w:t>
      </w:r>
      <w:r>
        <w:rPr>
          <w:rFonts w:hint="eastAsia"/>
        </w:rPr>
        <w:t>）</w:t>
      </w:r>
    </w:p>
    <w:p w14:paraId="71209AB8">
      <w:pPr>
        <w:pStyle w:val="18"/>
        <w:rPr>
          <w:rFonts w:hint="eastAsia"/>
          <w:lang w:eastAsia="zh-CN"/>
        </w:rPr>
      </w:pPr>
      <w:r>
        <w:rPr>
          <w:rFonts w:hint="eastAsia"/>
        </w:rPr>
        <w:t>9、供应商认为在其他方面有必要说明的事项 ………………………………</w:t>
      </w:r>
      <w:r>
        <w:rPr>
          <w:rFonts w:hint="eastAsia"/>
          <w:lang w:eastAsia="zh-CN"/>
        </w:rPr>
        <w:t>（</w:t>
      </w:r>
      <w:r>
        <w:rPr>
          <w:rFonts w:hint="eastAsia"/>
          <w:lang w:val="en-US" w:eastAsia="zh-CN"/>
        </w:rPr>
        <w:t>21</w:t>
      </w:r>
      <w:r>
        <w:rPr>
          <w:rFonts w:hint="eastAsia"/>
          <w:lang w:eastAsia="zh-CN"/>
        </w:rPr>
        <w:t>）</w:t>
      </w:r>
    </w:p>
    <w:p w14:paraId="58BC0CBF">
      <w:pPr>
        <w:pStyle w:val="18"/>
        <w:widowControl w:val="0"/>
        <w:numPr>
          <w:ilvl w:val="0"/>
          <w:numId w:val="0"/>
        </w:numPr>
        <w:spacing w:line="324" w:lineRule="auto"/>
        <w:jc w:val="both"/>
        <w:rPr>
          <w:rFonts w:hint="eastAsia"/>
          <w:lang w:eastAsia="zh-CN"/>
        </w:rPr>
      </w:pPr>
      <w:r>
        <w:rPr>
          <w:rFonts w:hint="eastAsia"/>
          <w:lang w:val="en-US" w:eastAsia="zh-CN"/>
        </w:rPr>
        <w:t>10</w:t>
      </w:r>
      <w:r>
        <w:rPr>
          <w:rFonts w:hint="eastAsia"/>
          <w:lang w:eastAsia="zh-CN"/>
        </w:rPr>
        <w:t>、关于符合本国产品标准的声明函 ………………………………（</w:t>
      </w:r>
      <w:r>
        <w:rPr>
          <w:rFonts w:hint="eastAsia"/>
          <w:lang w:val="en-US" w:eastAsia="zh-CN"/>
        </w:rPr>
        <w:t>22</w:t>
      </w:r>
      <w:r>
        <w:rPr>
          <w:rFonts w:hint="eastAsia"/>
          <w:lang w:eastAsia="zh-CN"/>
        </w:rPr>
        <w:t>）</w:t>
      </w:r>
    </w:p>
    <w:p w14:paraId="736FFE39">
      <w:pPr>
        <w:pStyle w:val="18"/>
        <w:widowControl w:val="0"/>
        <w:numPr>
          <w:ilvl w:val="0"/>
          <w:numId w:val="0"/>
        </w:numPr>
        <w:spacing w:line="324" w:lineRule="auto"/>
        <w:jc w:val="both"/>
        <w:rPr>
          <w:rFonts w:hint="eastAsia"/>
          <w:lang w:eastAsia="zh-CN"/>
        </w:rPr>
      </w:pPr>
    </w:p>
    <w:p w14:paraId="2803FE66">
      <w:pPr>
        <w:pStyle w:val="18"/>
        <w:widowControl w:val="0"/>
        <w:numPr>
          <w:ilvl w:val="0"/>
          <w:numId w:val="0"/>
        </w:numPr>
        <w:spacing w:line="324" w:lineRule="auto"/>
        <w:jc w:val="both"/>
        <w:rPr>
          <w:rFonts w:hint="eastAsia"/>
          <w:lang w:eastAsia="zh-CN"/>
        </w:rPr>
      </w:pPr>
    </w:p>
    <w:p w14:paraId="77BED55D">
      <w:pPr>
        <w:pStyle w:val="18"/>
        <w:widowControl w:val="0"/>
        <w:numPr>
          <w:ilvl w:val="0"/>
          <w:numId w:val="0"/>
        </w:numPr>
        <w:spacing w:line="324" w:lineRule="auto"/>
        <w:jc w:val="both"/>
        <w:rPr>
          <w:rFonts w:hint="eastAsia"/>
          <w:lang w:eastAsia="zh-CN"/>
        </w:rPr>
      </w:pPr>
    </w:p>
    <w:p w14:paraId="5E998477">
      <w:pPr>
        <w:pStyle w:val="18"/>
        <w:widowControl w:val="0"/>
        <w:numPr>
          <w:ilvl w:val="0"/>
          <w:numId w:val="0"/>
        </w:numPr>
        <w:spacing w:line="324" w:lineRule="auto"/>
        <w:jc w:val="both"/>
        <w:rPr>
          <w:rFonts w:hint="eastAsia"/>
          <w:lang w:eastAsia="zh-CN"/>
        </w:rPr>
      </w:pPr>
    </w:p>
    <w:p w14:paraId="6C07C8F1">
      <w:pPr>
        <w:pStyle w:val="18"/>
        <w:widowControl w:val="0"/>
        <w:numPr>
          <w:ilvl w:val="0"/>
          <w:numId w:val="0"/>
        </w:numPr>
        <w:spacing w:line="324" w:lineRule="auto"/>
        <w:jc w:val="both"/>
        <w:rPr>
          <w:rFonts w:hint="eastAsia"/>
          <w:lang w:eastAsia="zh-CN"/>
        </w:rPr>
      </w:pPr>
    </w:p>
    <w:p w14:paraId="4DC36B9F">
      <w:pPr>
        <w:pStyle w:val="18"/>
        <w:widowControl w:val="0"/>
        <w:numPr>
          <w:ilvl w:val="0"/>
          <w:numId w:val="0"/>
        </w:numPr>
        <w:spacing w:line="324" w:lineRule="auto"/>
        <w:jc w:val="both"/>
        <w:rPr>
          <w:rFonts w:hint="eastAsia"/>
          <w:lang w:eastAsia="zh-CN"/>
        </w:rPr>
      </w:pPr>
    </w:p>
    <w:p w14:paraId="7EBF4E62">
      <w:pPr>
        <w:pStyle w:val="18"/>
        <w:widowControl w:val="0"/>
        <w:numPr>
          <w:ilvl w:val="0"/>
          <w:numId w:val="0"/>
        </w:numPr>
        <w:spacing w:line="324" w:lineRule="auto"/>
        <w:jc w:val="both"/>
        <w:rPr>
          <w:rFonts w:hint="eastAsia"/>
          <w:lang w:eastAsia="zh-CN"/>
        </w:rPr>
      </w:pPr>
    </w:p>
    <w:p w14:paraId="40E1E38B">
      <w:pPr>
        <w:pStyle w:val="18"/>
        <w:widowControl w:val="0"/>
        <w:numPr>
          <w:ilvl w:val="0"/>
          <w:numId w:val="0"/>
        </w:numPr>
        <w:spacing w:line="324" w:lineRule="auto"/>
        <w:jc w:val="both"/>
        <w:rPr>
          <w:rFonts w:hint="eastAsia"/>
          <w:lang w:eastAsia="zh-CN"/>
        </w:rPr>
      </w:pPr>
    </w:p>
    <w:p w14:paraId="7F747D90">
      <w:pPr>
        <w:pStyle w:val="18"/>
        <w:widowControl w:val="0"/>
        <w:numPr>
          <w:ilvl w:val="0"/>
          <w:numId w:val="0"/>
        </w:numPr>
        <w:spacing w:line="324" w:lineRule="auto"/>
        <w:jc w:val="both"/>
        <w:rPr>
          <w:rFonts w:hint="eastAsia"/>
          <w:lang w:eastAsia="zh-CN"/>
        </w:rPr>
      </w:pPr>
    </w:p>
    <w:p w14:paraId="6F4E50C5">
      <w:pPr>
        <w:pStyle w:val="18"/>
        <w:widowControl w:val="0"/>
        <w:numPr>
          <w:ilvl w:val="0"/>
          <w:numId w:val="0"/>
        </w:numPr>
        <w:spacing w:line="324" w:lineRule="auto"/>
        <w:jc w:val="both"/>
        <w:rPr>
          <w:rFonts w:hint="eastAsia"/>
          <w:lang w:eastAsia="zh-CN"/>
        </w:rPr>
      </w:pPr>
    </w:p>
    <w:p w14:paraId="4DFA7B0F">
      <w:pPr>
        <w:pStyle w:val="18"/>
        <w:widowControl w:val="0"/>
        <w:numPr>
          <w:ilvl w:val="0"/>
          <w:numId w:val="0"/>
        </w:numPr>
        <w:spacing w:line="324" w:lineRule="auto"/>
        <w:jc w:val="both"/>
        <w:rPr>
          <w:rFonts w:hint="eastAsia"/>
          <w:lang w:eastAsia="zh-CN"/>
        </w:rPr>
      </w:pPr>
    </w:p>
    <w:p w14:paraId="30947271">
      <w:pPr>
        <w:pStyle w:val="18"/>
        <w:widowControl w:val="0"/>
        <w:numPr>
          <w:ilvl w:val="0"/>
          <w:numId w:val="0"/>
        </w:numPr>
        <w:spacing w:line="324" w:lineRule="auto"/>
        <w:jc w:val="both"/>
        <w:rPr>
          <w:rFonts w:hint="eastAsia"/>
          <w:lang w:eastAsia="zh-CN"/>
        </w:rPr>
      </w:pPr>
    </w:p>
    <w:p w14:paraId="3B92AA7F">
      <w:pPr>
        <w:pStyle w:val="18"/>
        <w:widowControl w:val="0"/>
        <w:numPr>
          <w:ilvl w:val="0"/>
          <w:numId w:val="0"/>
        </w:numPr>
        <w:spacing w:line="324" w:lineRule="auto"/>
        <w:jc w:val="both"/>
        <w:rPr>
          <w:rFonts w:hint="eastAsia"/>
          <w:lang w:eastAsia="zh-CN"/>
        </w:rPr>
      </w:pPr>
    </w:p>
    <w:p w14:paraId="66978C78">
      <w:pPr>
        <w:pStyle w:val="18"/>
        <w:widowControl w:val="0"/>
        <w:numPr>
          <w:ilvl w:val="0"/>
          <w:numId w:val="0"/>
        </w:numPr>
        <w:spacing w:line="324" w:lineRule="auto"/>
        <w:jc w:val="both"/>
        <w:rPr>
          <w:rFonts w:hint="eastAsia"/>
          <w:lang w:eastAsia="zh-CN"/>
        </w:rPr>
      </w:pPr>
    </w:p>
    <w:p w14:paraId="59727424">
      <w:pPr>
        <w:pStyle w:val="18"/>
        <w:widowControl w:val="0"/>
        <w:numPr>
          <w:ilvl w:val="0"/>
          <w:numId w:val="0"/>
        </w:numPr>
        <w:spacing w:line="324" w:lineRule="auto"/>
        <w:jc w:val="both"/>
        <w:rPr>
          <w:rFonts w:hint="eastAsia"/>
          <w:lang w:eastAsia="zh-CN"/>
        </w:rPr>
      </w:pPr>
    </w:p>
    <w:p w14:paraId="6231F0CF">
      <w:pPr>
        <w:pStyle w:val="18"/>
        <w:widowControl w:val="0"/>
        <w:numPr>
          <w:ilvl w:val="0"/>
          <w:numId w:val="0"/>
        </w:numPr>
        <w:spacing w:line="324" w:lineRule="auto"/>
        <w:jc w:val="both"/>
        <w:rPr>
          <w:rFonts w:hint="eastAsia"/>
          <w:lang w:eastAsia="zh-CN"/>
        </w:rPr>
      </w:pPr>
    </w:p>
    <w:p w14:paraId="56AAEE89">
      <w:pPr>
        <w:pStyle w:val="18"/>
        <w:widowControl w:val="0"/>
        <w:numPr>
          <w:ilvl w:val="0"/>
          <w:numId w:val="0"/>
        </w:numPr>
        <w:spacing w:line="324" w:lineRule="auto"/>
        <w:jc w:val="both"/>
        <w:rPr>
          <w:rFonts w:hint="eastAsia"/>
          <w:lang w:eastAsia="zh-CN"/>
        </w:rPr>
      </w:pPr>
    </w:p>
    <w:p w14:paraId="0AD693F3">
      <w:pPr>
        <w:pStyle w:val="18"/>
        <w:widowControl w:val="0"/>
        <w:numPr>
          <w:ilvl w:val="0"/>
          <w:numId w:val="0"/>
        </w:numPr>
        <w:spacing w:line="324" w:lineRule="auto"/>
        <w:jc w:val="both"/>
        <w:rPr>
          <w:rFonts w:hint="eastAsia"/>
          <w:lang w:eastAsia="zh-CN"/>
        </w:rPr>
      </w:pPr>
    </w:p>
    <w:p w14:paraId="0E45C781">
      <w:pPr>
        <w:pStyle w:val="18"/>
        <w:widowControl w:val="0"/>
        <w:numPr>
          <w:ilvl w:val="0"/>
          <w:numId w:val="0"/>
        </w:numPr>
        <w:spacing w:line="324" w:lineRule="auto"/>
        <w:jc w:val="both"/>
        <w:rPr>
          <w:rFonts w:hint="eastAsia"/>
          <w:lang w:eastAsia="zh-CN"/>
        </w:rPr>
      </w:pPr>
    </w:p>
    <w:p w14:paraId="3B4B61F5">
      <w:pPr>
        <w:pStyle w:val="18"/>
        <w:widowControl w:val="0"/>
        <w:numPr>
          <w:ilvl w:val="0"/>
          <w:numId w:val="0"/>
        </w:numPr>
        <w:spacing w:line="324" w:lineRule="auto"/>
        <w:jc w:val="both"/>
        <w:rPr>
          <w:rFonts w:hint="eastAsia"/>
          <w:lang w:eastAsia="zh-CN"/>
        </w:rPr>
      </w:pPr>
    </w:p>
    <w:p w14:paraId="5E5A7926">
      <w:pPr>
        <w:pStyle w:val="18"/>
        <w:widowControl w:val="0"/>
        <w:numPr>
          <w:ilvl w:val="0"/>
          <w:numId w:val="0"/>
        </w:numPr>
        <w:spacing w:line="324" w:lineRule="auto"/>
        <w:jc w:val="both"/>
        <w:rPr>
          <w:rFonts w:hint="eastAsia"/>
          <w:lang w:eastAsia="zh-CN"/>
        </w:rPr>
      </w:pPr>
    </w:p>
    <w:p w14:paraId="6C3219E7">
      <w:pPr>
        <w:pStyle w:val="18"/>
        <w:widowControl w:val="0"/>
        <w:numPr>
          <w:ilvl w:val="0"/>
          <w:numId w:val="0"/>
        </w:numPr>
        <w:spacing w:line="324" w:lineRule="auto"/>
        <w:jc w:val="both"/>
        <w:rPr>
          <w:rFonts w:hint="eastAsia"/>
          <w:lang w:eastAsia="zh-CN"/>
        </w:rPr>
      </w:pPr>
    </w:p>
    <w:p w14:paraId="70F08486">
      <w:pPr>
        <w:pStyle w:val="18"/>
        <w:widowControl w:val="0"/>
        <w:numPr>
          <w:ilvl w:val="0"/>
          <w:numId w:val="0"/>
        </w:numPr>
        <w:spacing w:line="324" w:lineRule="auto"/>
        <w:jc w:val="both"/>
        <w:rPr>
          <w:rFonts w:hint="eastAsia"/>
          <w:lang w:eastAsia="zh-CN"/>
        </w:rPr>
      </w:pPr>
    </w:p>
    <w:p w14:paraId="700B9EFA">
      <w:pPr>
        <w:pStyle w:val="18"/>
        <w:widowControl w:val="0"/>
        <w:numPr>
          <w:ilvl w:val="0"/>
          <w:numId w:val="0"/>
        </w:numPr>
        <w:spacing w:line="324" w:lineRule="auto"/>
        <w:jc w:val="both"/>
        <w:rPr>
          <w:rFonts w:hint="eastAsia"/>
          <w:lang w:eastAsia="zh-CN"/>
        </w:rPr>
      </w:pPr>
    </w:p>
    <w:p w14:paraId="01103527">
      <w:pPr>
        <w:pStyle w:val="18"/>
        <w:widowControl w:val="0"/>
        <w:numPr>
          <w:ilvl w:val="0"/>
          <w:numId w:val="0"/>
        </w:numPr>
        <w:spacing w:line="324" w:lineRule="auto"/>
        <w:jc w:val="both"/>
        <w:rPr>
          <w:rFonts w:hint="eastAsia"/>
          <w:lang w:eastAsia="zh-CN"/>
        </w:rPr>
      </w:pPr>
    </w:p>
    <w:p w14:paraId="298DFF1D">
      <w:pPr>
        <w:pStyle w:val="18"/>
        <w:widowControl w:val="0"/>
        <w:numPr>
          <w:ilvl w:val="0"/>
          <w:numId w:val="0"/>
        </w:numPr>
        <w:spacing w:line="324" w:lineRule="auto"/>
        <w:jc w:val="both"/>
        <w:rPr>
          <w:rFonts w:hint="eastAsia"/>
          <w:lang w:eastAsia="zh-CN"/>
        </w:rPr>
      </w:pPr>
    </w:p>
    <w:p w14:paraId="789A61D5">
      <w:pPr>
        <w:pStyle w:val="18"/>
        <w:widowControl w:val="0"/>
        <w:numPr>
          <w:ilvl w:val="0"/>
          <w:numId w:val="0"/>
        </w:numPr>
        <w:spacing w:line="324" w:lineRule="auto"/>
        <w:jc w:val="both"/>
        <w:rPr>
          <w:rFonts w:hint="eastAsia"/>
          <w:lang w:eastAsia="zh-CN"/>
        </w:rPr>
      </w:pPr>
    </w:p>
    <w:p w14:paraId="72465F7C">
      <w:pPr>
        <w:pStyle w:val="18"/>
        <w:widowControl w:val="0"/>
        <w:numPr>
          <w:ilvl w:val="0"/>
          <w:numId w:val="0"/>
        </w:numPr>
        <w:spacing w:line="324" w:lineRule="auto"/>
        <w:jc w:val="both"/>
        <w:rPr>
          <w:rFonts w:hint="eastAsia"/>
          <w:lang w:eastAsia="zh-CN"/>
        </w:rPr>
        <w:sectPr>
          <w:pgSz w:w="11906" w:h="16838"/>
          <w:pgMar w:top="1440" w:right="1800" w:bottom="1440" w:left="1800" w:header="851" w:footer="992" w:gutter="0"/>
          <w:cols w:space="425" w:num="1"/>
          <w:docGrid w:type="lines" w:linePitch="312" w:charSpace="0"/>
        </w:sectPr>
      </w:pPr>
    </w:p>
    <w:p w14:paraId="37BE66FA">
      <w:pPr>
        <w:pStyle w:val="20"/>
        <w:keepNext w:val="0"/>
        <w:keepLines w:val="0"/>
        <w:pageBreakBefore w:val="0"/>
        <w:widowControl w:val="0"/>
        <w:kinsoku/>
        <w:wordWrap/>
        <w:overflowPunct/>
        <w:topLinePunct w:val="0"/>
        <w:bidi w:val="0"/>
        <w:snapToGrid/>
        <w:spacing w:before="0" w:after="240" w:line="360" w:lineRule="auto"/>
        <w:jc w:val="both"/>
        <w:textAlignment w:val="auto"/>
        <w:outlineLvl w:val="1"/>
        <w:rPr>
          <w:rFonts w:hint="eastAsia" w:ascii="宋体" w:hAnsi="宋体" w:cs="宋体"/>
          <w:sz w:val="24"/>
          <w:szCs w:val="24"/>
          <w:lang w:val="zh-CN"/>
        </w:rPr>
      </w:pPr>
      <w:bookmarkStart w:id="110" w:name="_Toc13417"/>
      <w:bookmarkStart w:id="111" w:name="_Toc11148"/>
      <w:bookmarkStart w:id="112" w:name="_Toc18329"/>
      <w:r>
        <w:rPr>
          <w:rFonts w:hint="eastAsia" w:ascii="宋体" w:hAnsi="宋体" w:cs="宋体"/>
          <w:sz w:val="24"/>
          <w:szCs w:val="24"/>
        </w:rPr>
        <w:t>（1）</w:t>
      </w:r>
      <w:r>
        <w:rPr>
          <w:rFonts w:hint="eastAsia" w:ascii="宋体" w:hAnsi="宋体" w:cs="宋体"/>
          <w:sz w:val="24"/>
          <w:szCs w:val="24"/>
          <w:lang w:val="zh-CN"/>
        </w:rPr>
        <w:t>磋商函</w:t>
      </w:r>
      <w:bookmarkEnd w:id="110"/>
      <w:bookmarkEnd w:id="111"/>
      <w:bookmarkEnd w:id="112"/>
      <w:bookmarkStart w:id="113" w:name="_Toc32015"/>
    </w:p>
    <w:p w14:paraId="3D45EA4D">
      <w:pPr>
        <w:pStyle w:val="20"/>
        <w:keepNext w:val="0"/>
        <w:keepLines w:val="0"/>
        <w:pageBreakBefore w:val="0"/>
        <w:widowControl w:val="0"/>
        <w:kinsoku/>
        <w:wordWrap/>
        <w:overflowPunct/>
        <w:topLinePunct w:val="0"/>
        <w:bidi w:val="0"/>
        <w:snapToGrid/>
        <w:spacing w:before="0" w:after="240" w:line="360" w:lineRule="auto"/>
        <w:ind w:firstLine="482" w:firstLineChars="200"/>
        <w:textAlignment w:val="auto"/>
        <w:outlineLvl w:val="1"/>
        <w:rPr>
          <w:rFonts w:hint="eastAsia" w:ascii="宋体" w:hAnsi="宋体" w:cs="宋体"/>
          <w:b/>
          <w:bCs/>
          <w:kern w:val="0"/>
          <w:sz w:val="24"/>
          <w:szCs w:val="24"/>
          <w:lang w:val="zh-CN"/>
        </w:rPr>
      </w:pPr>
      <w:bookmarkStart w:id="114" w:name="_Toc9517"/>
      <w:bookmarkStart w:id="115" w:name="_Toc11771"/>
      <w:bookmarkStart w:id="116" w:name="_Toc18481"/>
      <w:r>
        <w:rPr>
          <w:rFonts w:hint="eastAsia" w:ascii="宋体" w:hAnsi="宋体" w:cs="宋体"/>
          <w:sz w:val="24"/>
          <w:szCs w:val="24"/>
        </w:rPr>
        <w:t>磋商</w:t>
      </w:r>
      <w:r>
        <w:rPr>
          <w:rFonts w:hint="eastAsia" w:ascii="宋体" w:hAnsi="宋体" w:cs="宋体"/>
          <w:sz w:val="24"/>
          <w:szCs w:val="24"/>
          <w:lang w:val="zh-CN"/>
        </w:rPr>
        <w:t>函</w:t>
      </w:r>
      <w:bookmarkEnd w:id="113"/>
      <w:bookmarkEnd w:id="114"/>
      <w:bookmarkEnd w:id="115"/>
      <w:bookmarkEnd w:id="116"/>
    </w:p>
    <w:p w14:paraId="7AFC6FE3">
      <w:pPr>
        <w:keepNext w:val="0"/>
        <w:keepLines w:val="0"/>
        <w:pageBreakBefore w:val="0"/>
        <w:widowControl w:val="0"/>
        <w:kinsoku/>
        <w:wordWrap/>
        <w:overflowPunct/>
        <w:topLinePunct w:val="0"/>
        <w:autoSpaceDE w:val="0"/>
        <w:autoSpaceDN w:val="0"/>
        <w:bidi w:val="0"/>
        <w:snapToGrid/>
        <w:spacing w:after="240" w:line="360" w:lineRule="auto"/>
        <w:ind w:firstLine="482" w:firstLineChars="200"/>
        <w:textAlignment w:val="auto"/>
        <w:rPr>
          <w:rFonts w:hint="eastAsia" w:ascii="宋体" w:hAnsi="宋体" w:cs="宋体"/>
          <w:kern w:val="0"/>
          <w:sz w:val="24"/>
          <w:szCs w:val="24"/>
          <w:lang w:val="zh-CN"/>
        </w:rPr>
      </w:pPr>
      <w:r>
        <w:rPr>
          <w:rFonts w:hint="eastAsia" w:ascii="宋体" w:hAnsi="宋体" w:cs="宋体"/>
          <w:b/>
          <w:bCs/>
          <w:kern w:val="0"/>
          <w:sz w:val="24"/>
          <w:szCs w:val="24"/>
          <w:lang w:val="zh-CN"/>
        </w:rPr>
        <w:t>致：青海聚帛工程项目管理有限公司</w:t>
      </w:r>
    </w:p>
    <w:p w14:paraId="5A08B0FD">
      <w:pPr>
        <w:keepNext w:val="0"/>
        <w:keepLines w:val="0"/>
        <w:pageBreakBefore w:val="0"/>
        <w:widowControl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cs="宋体"/>
          <w:kern w:val="0"/>
          <w:sz w:val="24"/>
          <w:szCs w:val="24"/>
          <w:lang w:val="zh-CN"/>
        </w:rPr>
      </w:pPr>
      <w:r>
        <w:rPr>
          <w:rFonts w:hint="eastAsia" w:ascii="宋体" w:hAnsi="宋体" w:cs="宋体"/>
          <w:kern w:val="0"/>
          <w:sz w:val="24"/>
          <w:szCs w:val="24"/>
          <w:lang w:val="zh-CN"/>
        </w:rPr>
        <w:t>我们收到</w:t>
      </w:r>
      <w:r>
        <w:rPr>
          <w:rFonts w:hint="eastAsia" w:ascii="宋体" w:hAnsi="宋体" w:cs="宋体"/>
          <w:kern w:val="0"/>
          <w:sz w:val="24"/>
          <w:szCs w:val="24"/>
          <w:u w:val="single"/>
          <w:lang w:val="zh-CN"/>
        </w:rPr>
        <w:t>尖扎县一体化网络应急指挥中心建设项目</w:t>
      </w:r>
      <w:r>
        <w:rPr>
          <w:rFonts w:hint="eastAsia" w:ascii="宋体" w:hAnsi="宋体" w:cs="宋体"/>
          <w:bCs/>
          <w:color w:val="auto"/>
          <w:sz w:val="24"/>
          <w:szCs w:val="24"/>
          <w:u w:val="single"/>
        </w:rPr>
        <w:t>（</w:t>
      </w:r>
      <w:r>
        <w:rPr>
          <w:rFonts w:hint="eastAsia" w:ascii="宋体" w:hAnsi="宋体" w:cs="宋体"/>
          <w:bCs/>
          <w:color w:val="auto"/>
          <w:sz w:val="24"/>
          <w:szCs w:val="24"/>
          <w:u w:val="single"/>
          <w:lang w:eastAsia="zh-CN"/>
        </w:rPr>
        <w:t>青海聚帛竞磋（货物）2026-019</w:t>
      </w:r>
      <w:r>
        <w:rPr>
          <w:rFonts w:hint="eastAsia" w:ascii="宋体" w:hAnsi="宋体" w:cs="宋体"/>
          <w:bCs/>
          <w:color w:val="auto"/>
          <w:sz w:val="24"/>
          <w:szCs w:val="24"/>
        </w:rPr>
        <w:t>）</w:t>
      </w:r>
      <w:r>
        <w:rPr>
          <w:rFonts w:hint="eastAsia" w:ascii="宋体" w:hAnsi="宋体" w:cs="宋体"/>
          <w:color w:val="auto"/>
          <w:kern w:val="0"/>
          <w:sz w:val="24"/>
          <w:szCs w:val="24"/>
        </w:rPr>
        <w:t>磋商</w:t>
      </w:r>
      <w:r>
        <w:rPr>
          <w:rFonts w:hint="eastAsia" w:ascii="宋体" w:hAnsi="宋体" w:cs="宋体"/>
          <w:color w:val="auto"/>
          <w:kern w:val="0"/>
          <w:sz w:val="24"/>
          <w:szCs w:val="24"/>
          <w:lang w:val="zh-CN"/>
        </w:rPr>
        <w:t>文件，经研究，</w:t>
      </w:r>
      <w:r>
        <w:rPr>
          <w:rFonts w:hint="eastAsia" w:ascii="宋体" w:hAnsi="宋体" w:cs="宋体"/>
          <w:color w:val="auto"/>
          <w:kern w:val="0"/>
          <w:sz w:val="24"/>
          <w:szCs w:val="24"/>
          <w:u w:val="single"/>
          <w:lang w:val="zh-CN"/>
        </w:rPr>
        <w:t>法定代表人（姓名、职务）</w:t>
      </w:r>
      <w:r>
        <w:rPr>
          <w:rFonts w:hint="eastAsia" w:ascii="宋体" w:hAnsi="宋体" w:cs="宋体"/>
          <w:color w:val="auto"/>
          <w:kern w:val="0"/>
          <w:sz w:val="24"/>
          <w:szCs w:val="24"/>
          <w:lang w:val="zh-CN"/>
        </w:rPr>
        <w:t>正式授权</w:t>
      </w:r>
      <w:r>
        <w:rPr>
          <w:rFonts w:hint="eastAsia" w:ascii="宋体" w:hAnsi="宋体" w:cs="宋体"/>
          <w:color w:val="auto"/>
          <w:kern w:val="0"/>
          <w:sz w:val="24"/>
          <w:szCs w:val="24"/>
          <w:u w:val="single"/>
          <w:lang w:val="zh-CN"/>
        </w:rPr>
        <w:t>（委托</w:t>
      </w:r>
      <w:r>
        <w:rPr>
          <w:rFonts w:hint="eastAsia" w:ascii="宋体" w:hAnsi="宋体" w:cs="宋体"/>
          <w:kern w:val="0"/>
          <w:sz w:val="24"/>
          <w:szCs w:val="24"/>
          <w:u w:val="single"/>
          <w:lang w:val="zh-CN"/>
        </w:rPr>
        <w:t>代理人姓名、职务）</w:t>
      </w:r>
      <w:r>
        <w:rPr>
          <w:rFonts w:hint="eastAsia" w:ascii="宋体" w:hAnsi="宋体" w:cs="宋体"/>
          <w:kern w:val="0"/>
          <w:sz w:val="24"/>
          <w:szCs w:val="24"/>
          <w:lang w:val="zh-CN"/>
        </w:rPr>
        <w:t>代表供应商</w:t>
      </w:r>
      <w:r>
        <w:rPr>
          <w:rFonts w:hint="eastAsia" w:ascii="宋体" w:hAnsi="宋体" w:cs="宋体"/>
          <w:kern w:val="0"/>
          <w:sz w:val="24"/>
          <w:szCs w:val="24"/>
          <w:u w:val="single"/>
          <w:lang w:val="zh-CN"/>
        </w:rPr>
        <w:t>（供应商名称、地址）</w:t>
      </w:r>
      <w:r>
        <w:rPr>
          <w:rFonts w:hint="eastAsia" w:ascii="宋体" w:hAnsi="宋体" w:cs="宋体"/>
          <w:kern w:val="0"/>
          <w:sz w:val="24"/>
          <w:szCs w:val="24"/>
          <w:lang w:val="zh-CN"/>
        </w:rPr>
        <w:t>提交</w:t>
      </w:r>
      <w:r>
        <w:rPr>
          <w:rFonts w:hint="eastAsia" w:ascii="宋体" w:hAnsi="宋体" w:cs="宋体"/>
          <w:kern w:val="0"/>
          <w:sz w:val="24"/>
          <w:szCs w:val="24"/>
        </w:rPr>
        <w:t>响应</w:t>
      </w:r>
      <w:r>
        <w:rPr>
          <w:rFonts w:hint="eastAsia" w:ascii="宋体" w:hAnsi="宋体" w:cs="宋体"/>
          <w:kern w:val="0"/>
          <w:sz w:val="24"/>
          <w:szCs w:val="24"/>
          <w:lang w:val="zh-CN"/>
        </w:rPr>
        <w:t>文件。</w:t>
      </w:r>
    </w:p>
    <w:p w14:paraId="3472D773">
      <w:pPr>
        <w:keepNext w:val="0"/>
        <w:keepLines w:val="0"/>
        <w:pageBreakBefore w:val="0"/>
        <w:widowControl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cs="宋体"/>
          <w:kern w:val="0"/>
          <w:sz w:val="24"/>
          <w:szCs w:val="24"/>
          <w:lang w:val="zh-CN"/>
        </w:rPr>
      </w:pPr>
      <w:r>
        <w:rPr>
          <w:rFonts w:hint="eastAsia" w:ascii="宋体" w:hAnsi="宋体" w:cs="宋体"/>
          <w:kern w:val="0"/>
          <w:sz w:val="24"/>
          <w:szCs w:val="24"/>
          <w:lang w:val="zh-CN"/>
        </w:rPr>
        <w:t>据此函，签字代表宣布同意如下：</w:t>
      </w:r>
    </w:p>
    <w:p w14:paraId="5C165474">
      <w:pPr>
        <w:keepNext w:val="0"/>
        <w:keepLines w:val="0"/>
        <w:pageBreakBefore w:val="0"/>
        <w:widowControl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cs="宋体"/>
          <w:kern w:val="0"/>
          <w:sz w:val="24"/>
          <w:szCs w:val="24"/>
          <w:lang w:val="zh-CN"/>
        </w:rPr>
      </w:pPr>
      <w:r>
        <w:rPr>
          <w:rFonts w:hint="eastAsia" w:ascii="宋体" w:hAnsi="宋体" w:cs="宋体"/>
          <w:kern w:val="0"/>
          <w:sz w:val="24"/>
          <w:szCs w:val="24"/>
          <w:lang w:val="zh-CN"/>
        </w:rPr>
        <w:t>1.我方已详阅磋商文件的全部内容，包括澄清、修改条款等有关附件，承诺对其完全理解并接受。</w:t>
      </w:r>
    </w:p>
    <w:p w14:paraId="7A36D5EB">
      <w:pPr>
        <w:keepNext w:val="0"/>
        <w:keepLines w:val="0"/>
        <w:pageBreakBefore w:val="0"/>
        <w:widowControl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磋商</w:t>
      </w:r>
      <w:r>
        <w:rPr>
          <w:rFonts w:hint="eastAsia" w:ascii="宋体" w:hAnsi="宋体" w:cs="宋体"/>
          <w:kern w:val="0"/>
          <w:sz w:val="24"/>
          <w:szCs w:val="24"/>
          <w:lang w:val="zh-CN"/>
        </w:rPr>
        <w:t>有效期：</w:t>
      </w:r>
      <w:r>
        <w:rPr>
          <w:rFonts w:hint="eastAsia" w:ascii="宋体" w:hAnsi="宋体" w:cs="宋体"/>
          <w:sz w:val="24"/>
          <w:szCs w:val="24"/>
          <w:shd w:val="clear" w:color="auto" w:fill="FFFFFF"/>
        </w:rPr>
        <w:t>从提交响应文件的截止之日起</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日历日内有效。如果我方在</w:t>
      </w:r>
      <w:r>
        <w:rPr>
          <w:rFonts w:hint="eastAsia" w:ascii="宋体" w:hAnsi="宋体" w:cs="宋体"/>
          <w:kern w:val="0"/>
          <w:sz w:val="24"/>
          <w:szCs w:val="24"/>
        </w:rPr>
        <w:t>磋商</w:t>
      </w:r>
      <w:r>
        <w:rPr>
          <w:rFonts w:hint="eastAsia" w:ascii="宋体" w:hAnsi="宋体" w:cs="宋体"/>
          <w:kern w:val="0"/>
          <w:sz w:val="24"/>
          <w:szCs w:val="24"/>
          <w:lang w:val="zh-CN"/>
        </w:rPr>
        <w:t>有效期内撤回</w:t>
      </w:r>
      <w:r>
        <w:rPr>
          <w:rFonts w:hint="eastAsia" w:ascii="宋体" w:hAnsi="宋体" w:cs="宋体"/>
          <w:kern w:val="0"/>
          <w:sz w:val="24"/>
          <w:szCs w:val="24"/>
        </w:rPr>
        <w:t>磋商</w:t>
      </w:r>
      <w:r>
        <w:rPr>
          <w:rFonts w:hint="eastAsia" w:ascii="宋体" w:hAnsi="宋体" w:cs="宋体"/>
          <w:kern w:val="0"/>
          <w:sz w:val="24"/>
          <w:szCs w:val="24"/>
          <w:lang w:val="zh-CN"/>
        </w:rPr>
        <w:t>或</w:t>
      </w:r>
      <w:r>
        <w:rPr>
          <w:rFonts w:hint="eastAsia" w:ascii="宋体" w:hAnsi="宋体" w:cs="宋体"/>
          <w:kern w:val="0"/>
          <w:sz w:val="24"/>
          <w:szCs w:val="24"/>
        </w:rPr>
        <w:t>成交</w:t>
      </w:r>
      <w:r>
        <w:rPr>
          <w:rFonts w:hint="eastAsia" w:ascii="宋体" w:hAnsi="宋体" w:cs="宋体"/>
          <w:kern w:val="0"/>
          <w:sz w:val="24"/>
          <w:szCs w:val="24"/>
          <w:lang w:val="zh-CN"/>
        </w:rPr>
        <w:t>后不签约的，</w:t>
      </w:r>
      <w:r>
        <w:rPr>
          <w:rFonts w:hint="eastAsia" w:ascii="宋体" w:hAnsi="宋体" w:cs="宋体"/>
          <w:kern w:val="0"/>
          <w:sz w:val="24"/>
          <w:szCs w:val="24"/>
        </w:rPr>
        <w:t>磋商</w:t>
      </w:r>
      <w:r>
        <w:rPr>
          <w:rFonts w:hint="eastAsia" w:ascii="宋体" w:hAnsi="宋体" w:cs="宋体"/>
          <w:kern w:val="0"/>
          <w:sz w:val="24"/>
          <w:szCs w:val="24"/>
          <w:lang w:val="zh-CN"/>
        </w:rPr>
        <w:t>保证金将被贵方没收。</w:t>
      </w:r>
    </w:p>
    <w:p w14:paraId="548F06F8">
      <w:pPr>
        <w:keepNext w:val="0"/>
        <w:keepLines w:val="0"/>
        <w:pageBreakBefore w:val="0"/>
        <w:widowControl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cs="宋体"/>
          <w:kern w:val="0"/>
          <w:sz w:val="24"/>
          <w:szCs w:val="24"/>
          <w:lang w:val="zh-CN"/>
        </w:rPr>
      </w:pPr>
      <w:r>
        <w:rPr>
          <w:rFonts w:hint="eastAsia" w:ascii="宋体" w:hAnsi="宋体" w:cs="宋体"/>
          <w:kern w:val="0"/>
          <w:sz w:val="24"/>
          <w:szCs w:val="24"/>
          <w:lang w:val="zh-CN"/>
        </w:rPr>
        <w:t>3.我方同意按照贵方要求提供与</w:t>
      </w:r>
      <w:r>
        <w:rPr>
          <w:rFonts w:hint="eastAsia" w:ascii="宋体" w:hAnsi="宋体" w:cs="宋体"/>
          <w:kern w:val="0"/>
          <w:sz w:val="24"/>
          <w:szCs w:val="24"/>
        </w:rPr>
        <w:t>磋商</w:t>
      </w:r>
      <w:r>
        <w:rPr>
          <w:rFonts w:hint="eastAsia" w:ascii="宋体" w:hAnsi="宋体" w:cs="宋体"/>
          <w:kern w:val="0"/>
          <w:sz w:val="24"/>
          <w:szCs w:val="24"/>
          <w:lang w:val="zh-CN"/>
        </w:rPr>
        <w:t>有关的一切数据或资料，理解并接受贵方制定的评标办法。</w:t>
      </w:r>
    </w:p>
    <w:p w14:paraId="2EC8455B">
      <w:pPr>
        <w:keepNext w:val="0"/>
        <w:keepLines w:val="0"/>
        <w:pageBreakBefore w:val="0"/>
        <w:widowControl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cs="宋体"/>
          <w:kern w:val="0"/>
          <w:sz w:val="24"/>
          <w:szCs w:val="24"/>
          <w:lang w:val="zh-CN"/>
        </w:rPr>
      </w:pPr>
      <w:r>
        <w:rPr>
          <w:rFonts w:hint="eastAsia" w:ascii="宋体" w:hAnsi="宋体" w:cs="宋体"/>
          <w:kern w:val="0"/>
          <w:sz w:val="24"/>
          <w:szCs w:val="24"/>
          <w:lang w:val="zh-CN"/>
        </w:rPr>
        <w:t>4.与本</w:t>
      </w:r>
      <w:r>
        <w:rPr>
          <w:rFonts w:hint="eastAsia" w:ascii="宋体" w:hAnsi="宋体" w:cs="宋体"/>
          <w:kern w:val="0"/>
          <w:sz w:val="24"/>
          <w:szCs w:val="24"/>
        </w:rPr>
        <w:t>磋商</w:t>
      </w:r>
      <w:r>
        <w:rPr>
          <w:rFonts w:hint="eastAsia" w:ascii="宋体" w:hAnsi="宋体" w:cs="宋体"/>
          <w:kern w:val="0"/>
          <w:sz w:val="24"/>
          <w:szCs w:val="24"/>
          <w:lang w:val="zh-CN"/>
        </w:rPr>
        <w:t>有关的一切正式往来通讯请寄：</w:t>
      </w:r>
    </w:p>
    <w:p w14:paraId="10D1D60E">
      <w:pPr>
        <w:keepNext w:val="0"/>
        <w:keepLines w:val="0"/>
        <w:pageBreakBefore w:val="0"/>
        <w:widowControl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cs="宋体"/>
          <w:kern w:val="0"/>
          <w:sz w:val="24"/>
          <w:szCs w:val="24"/>
          <w:u w:val="single"/>
          <w:lang w:val="zh-CN"/>
        </w:rPr>
      </w:pPr>
      <w:r>
        <w:rPr>
          <w:rFonts w:hint="eastAsia" w:ascii="宋体" w:hAnsi="宋体" w:cs="宋体"/>
          <w:kern w:val="0"/>
          <w:sz w:val="24"/>
          <w:szCs w:val="24"/>
          <w:lang w:val="zh-CN"/>
        </w:rPr>
        <w:t>地址：_______________          邮编：</w:t>
      </w:r>
      <w:r>
        <w:rPr>
          <w:rFonts w:hint="eastAsia" w:ascii="宋体" w:hAnsi="宋体" w:cs="宋体"/>
          <w:kern w:val="0"/>
          <w:sz w:val="24"/>
          <w:szCs w:val="24"/>
          <w:u w:val="single"/>
        </w:rPr>
        <w:t xml:space="preserve">              </w:t>
      </w:r>
    </w:p>
    <w:p w14:paraId="47604D38">
      <w:pPr>
        <w:keepNext w:val="0"/>
        <w:keepLines w:val="0"/>
        <w:pageBreakBefore w:val="0"/>
        <w:widowControl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lang w:val="zh-CN"/>
        </w:rPr>
        <w:t>电话：_______________          传真：______________</w:t>
      </w:r>
      <w:r>
        <w:rPr>
          <w:rFonts w:hint="eastAsia" w:ascii="宋体" w:hAnsi="宋体" w:cs="宋体"/>
          <w:kern w:val="0"/>
          <w:sz w:val="24"/>
          <w:szCs w:val="24"/>
        </w:rPr>
        <w:t xml:space="preserve">    </w:t>
      </w:r>
    </w:p>
    <w:p w14:paraId="5E8F8CB8">
      <w:pPr>
        <w:keepNext w:val="0"/>
        <w:keepLines w:val="0"/>
        <w:pageBreakBefore w:val="0"/>
        <w:widowControl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cs="宋体"/>
          <w:kern w:val="0"/>
          <w:sz w:val="24"/>
          <w:szCs w:val="24"/>
          <w:lang w:val="zh-CN"/>
        </w:rPr>
      </w:pPr>
      <w:r>
        <w:rPr>
          <w:rFonts w:hint="eastAsia" w:ascii="宋体" w:hAnsi="宋体" w:cs="宋体"/>
          <w:kern w:val="0"/>
          <w:sz w:val="24"/>
          <w:szCs w:val="24"/>
          <w:lang w:val="zh-CN"/>
        </w:rPr>
        <w:t>法定代表人姓名： ___________   职务：_________</w:t>
      </w:r>
      <w:r>
        <w:rPr>
          <w:rFonts w:hint="eastAsia" w:ascii="宋体" w:hAnsi="宋体" w:cs="宋体"/>
          <w:kern w:val="0"/>
          <w:sz w:val="24"/>
          <w:szCs w:val="24"/>
        </w:rPr>
        <w:t xml:space="preserve">  </w:t>
      </w:r>
      <w:r>
        <w:rPr>
          <w:rFonts w:hint="eastAsia" w:ascii="宋体" w:hAnsi="宋体" w:cs="宋体"/>
          <w:kern w:val="0"/>
          <w:sz w:val="24"/>
          <w:szCs w:val="24"/>
          <w:lang w:val="zh-CN"/>
        </w:rPr>
        <w:t>___</w:t>
      </w:r>
    </w:p>
    <w:p w14:paraId="2936429A">
      <w:pPr>
        <w:keepNext w:val="0"/>
        <w:keepLines w:val="0"/>
        <w:pageBreakBefore w:val="0"/>
        <w:widowControl w:val="0"/>
        <w:kinsoku/>
        <w:wordWrap/>
        <w:overflowPunct/>
        <w:topLinePunct w:val="0"/>
        <w:autoSpaceDE w:val="0"/>
        <w:autoSpaceDN w:val="0"/>
        <w:bidi w:val="0"/>
        <w:snapToGrid/>
        <w:spacing w:after="240" w:line="360" w:lineRule="auto"/>
        <w:textAlignment w:val="auto"/>
        <w:rPr>
          <w:rFonts w:hint="eastAsia" w:ascii="宋体" w:hAnsi="宋体" w:cs="宋体"/>
          <w:kern w:val="0"/>
          <w:sz w:val="24"/>
          <w:szCs w:val="24"/>
          <w:lang w:val="zh-CN"/>
        </w:rPr>
      </w:pPr>
    </w:p>
    <w:p w14:paraId="43BB1D06">
      <w:pPr>
        <w:keepNext w:val="0"/>
        <w:keepLines w:val="0"/>
        <w:pageBreakBefore w:val="0"/>
        <w:widowControl w:val="0"/>
        <w:kinsoku/>
        <w:wordWrap/>
        <w:overflowPunct/>
        <w:topLinePunct w:val="0"/>
        <w:autoSpaceDE w:val="0"/>
        <w:autoSpaceDN w:val="0"/>
        <w:bidi w:val="0"/>
        <w:snapToGrid/>
        <w:spacing w:after="240" w:line="360" w:lineRule="auto"/>
        <w:ind w:firstLine="482" w:firstLineChars="200"/>
        <w:jc w:val="right"/>
        <w:textAlignment w:val="auto"/>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供应商：  </w:t>
      </w:r>
      <w:r>
        <w:rPr>
          <w:rFonts w:hint="eastAsia" w:ascii="宋体" w:hAnsi="宋体" w:cs="宋体"/>
          <w:b/>
          <w:bCs/>
          <w:kern w:val="0"/>
          <w:sz w:val="24"/>
          <w:szCs w:val="24"/>
          <w:u w:val="single"/>
          <w:lang w:val="zh-CN"/>
        </w:rPr>
        <w:t xml:space="preserve">         </w:t>
      </w:r>
      <w:r>
        <w:rPr>
          <w:rFonts w:hint="eastAsia" w:ascii="宋体" w:hAnsi="宋体" w:cs="宋体"/>
          <w:b/>
          <w:bCs/>
          <w:kern w:val="0"/>
          <w:sz w:val="24"/>
          <w:szCs w:val="24"/>
          <w:u w:val="single"/>
        </w:rPr>
        <w:t xml:space="preserve">           </w:t>
      </w:r>
      <w:r>
        <w:rPr>
          <w:rFonts w:hint="eastAsia" w:ascii="宋体" w:hAnsi="宋体" w:cs="宋体"/>
          <w:b/>
          <w:bCs/>
          <w:kern w:val="0"/>
          <w:sz w:val="24"/>
          <w:szCs w:val="24"/>
          <w:lang w:val="zh-CN"/>
        </w:rPr>
        <w:t xml:space="preserve">  （公章）</w:t>
      </w:r>
    </w:p>
    <w:p w14:paraId="30D5AAAE">
      <w:pPr>
        <w:keepNext w:val="0"/>
        <w:keepLines w:val="0"/>
        <w:pageBreakBefore w:val="0"/>
        <w:widowControl w:val="0"/>
        <w:kinsoku/>
        <w:wordWrap/>
        <w:overflowPunct/>
        <w:topLinePunct w:val="0"/>
        <w:autoSpaceDE w:val="0"/>
        <w:autoSpaceDN w:val="0"/>
        <w:bidi w:val="0"/>
        <w:snapToGrid/>
        <w:spacing w:after="240" w:line="360" w:lineRule="auto"/>
        <w:ind w:firstLine="482" w:firstLineChars="200"/>
        <w:jc w:val="right"/>
        <w:textAlignment w:val="auto"/>
        <w:rPr>
          <w:rFonts w:hint="eastAsia" w:ascii="宋体" w:hAnsi="宋体" w:cs="宋体"/>
          <w:b/>
          <w:bCs/>
          <w:kern w:val="0"/>
          <w:sz w:val="24"/>
          <w:szCs w:val="24"/>
          <w:lang w:val="zh-CN"/>
        </w:rPr>
      </w:pPr>
      <w:r>
        <w:rPr>
          <w:rFonts w:hint="eastAsia" w:ascii="宋体" w:hAnsi="宋体" w:cs="宋体"/>
          <w:b/>
          <w:bCs/>
          <w:kern w:val="0"/>
          <w:sz w:val="24"/>
          <w:szCs w:val="24"/>
          <w:lang w:val="zh-CN"/>
        </w:rPr>
        <w:t>法定代表人或委托代理人：</w:t>
      </w:r>
      <w:r>
        <w:rPr>
          <w:rFonts w:hint="eastAsia" w:ascii="宋体" w:hAnsi="宋体" w:cs="宋体"/>
          <w:b/>
          <w:bCs/>
          <w:kern w:val="0"/>
          <w:sz w:val="24"/>
          <w:szCs w:val="24"/>
          <w:u w:val="single"/>
          <w:lang w:val="zh-CN"/>
        </w:rPr>
        <w:t xml:space="preserve">        </w:t>
      </w:r>
      <w:r>
        <w:rPr>
          <w:rFonts w:hint="eastAsia" w:ascii="宋体" w:hAnsi="宋体" w:cs="宋体"/>
          <w:b/>
          <w:bCs/>
          <w:kern w:val="0"/>
          <w:sz w:val="24"/>
          <w:szCs w:val="24"/>
          <w:lang w:val="zh-CN"/>
        </w:rPr>
        <w:t>（签字或盖章）</w:t>
      </w:r>
    </w:p>
    <w:p w14:paraId="25FC7D4F">
      <w:pPr>
        <w:keepNext w:val="0"/>
        <w:keepLines w:val="0"/>
        <w:pageBreakBefore w:val="0"/>
        <w:widowControl w:val="0"/>
        <w:kinsoku/>
        <w:wordWrap/>
        <w:overflowPunct/>
        <w:topLinePunct w:val="0"/>
        <w:autoSpaceDE w:val="0"/>
        <w:autoSpaceDN w:val="0"/>
        <w:bidi w:val="0"/>
        <w:snapToGrid/>
        <w:spacing w:after="240" w:line="360" w:lineRule="auto"/>
        <w:ind w:firstLine="482" w:firstLineChars="200"/>
        <w:jc w:val="right"/>
        <w:textAlignment w:val="auto"/>
        <w:rPr>
          <w:rFonts w:hint="eastAsia"/>
          <w:lang w:val="zh-CN" w:eastAsia="zh-CN"/>
        </w:rPr>
      </w:pPr>
      <w:r>
        <w:rPr>
          <w:rFonts w:hint="eastAsia" w:ascii="宋体" w:hAnsi="宋体" w:cs="宋体"/>
          <w:b/>
          <w:bCs/>
          <w:kern w:val="0"/>
          <w:sz w:val="24"/>
          <w:szCs w:val="24"/>
          <w:lang w:val="zh-CN"/>
        </w:rPr>
        <w:t xml:space="preserve">年 </w:t>
      </w:r>
      <w:r>
        <w:rPr>
          <w:rFonts w:hint="eastAsia" w:ascii="宋体" w:hAnsi="宋体" w:cs="宋体"/>
          <w:b/>
          <w:bCs/>
          <w:kern w:val="0"/>
          <w:sz w:val="24"/>
          <w:szCs w:val="24"/>
        </w:rPr>
        <w:t xml:space="preserve"> </w:t>
      </w:r>
      <w:r>
        <w:rPr>
          <w:rFonts w:hint="eastAsia" w:ascii="宋体" w:hAnsi="宋体" w:cs="宋体"/>
          <w:b/>
          <w:bCs/>
          <w:kern w:val="0"/>
          <w:sz w:val="24"/>
          <w:szCs w:val="24"/>
          <w:lang w:val="zh-CN"/>
        </w:rPr>
        <w:t xml:space="preserve">  月  </w:t>
      </w:r>
      <w:r>
        <w:rPr>
          <w:rFonts w:hint="eastAsia" w:ascii="宋体" w:hAnsi="宋体" w:cs="宋体"/>
          <w:b/>
          <w:bCs/>
          <w:kern w:val="0"/>
          <w:sz w:val="24"/>
          <w:szCs w:val="24"/>
        </w:rPr>
        <w:t xml:space="preserve"> </w:t>
      </w:r>
      <w:r>
        <w:rPr>
          <w:rFonts w:hint="eastAsia" w:ascii="宋体" w:hAnsi="宋体" w:cs="宋体"/>
          <w:b/>
          <w:bCs/>
          <w:kern w:val="0"/>
          <w:sz w:val="24"/>
          <w:szCs w:val="24"/>
          <w:lang w:val="zh-CN"/>
        </w:rPr>
        <w:t xml:space="preserve"> 日</w:t>
      </w:r>
    </w:p>
    <w:p w14:paraId="7C1B53AA">
      <w:pPr>
        <w:pStyle w:val="20"/>
        <w:keepNext w:val="0"/>
        <w:keepLines w:val="0"/>
        <w:pageBreakBefore w:val="0"/>
        <w:widowControl w:val="0"/>
        <w:kinsoku/>
        <w:wordWrap/>
        <w:overflowPunct/>
        <w:topLinePunct w:val="0"/>
        <w:bidi w:val="0"/>
        <w:adjustRightInd/>
        <w:snapToGrid/>
        <w:spacing w:before="0" w:after="240" w:line="360" w:lineRule="auto"/>
        <w:jc w:val="both"/>
        <w:textAlignment w:val="auto"/>
        <w:outlineLvl w:val="1"/>
        <w:rPr>
          <w:rFonts w:hint="eastAsia" w:ascii="宋体" w:hAnsi="宋体" w:cs="宋体"/>
          <w:sz w:val="24"/>
          <w:szCs w:val="24"/>
          <w:lang w:val="zh-CN"/>
        </w:rPr>
      </w:pPr>
      <w:bookmarkStart w:id="117" w:name="_Toc11289"/>
      <w:bookmarkStart w:id="118" w:name="_Toc9182"/>
      <w:r>
        <w:rPr>
          <w:rFonts w:hint="eastAsia" w:ascii="宋体" w:hAnsi="宋体" w:cs="宋体"/>
          <w:sz w:val="24"/>
          <w:szCs w:val="24"/>
          <w:lang w:val="zh-CN"/>
        </w:rPr>
        <w:t>（</w:t>
      </w:r>
      <w:r>
        <w:rPr>
          <w:rFonts w:hint="eastAsia" w:ascii="宋体" w:hAnsi="宋体" w:cs="宋体"/>
          <w:sz w:val="24"/>
          <w:szCs w:val="24"/>
        </w:rPr>
        <w:t>2</w:t>
      </w:r>
      <w:r>
        <w:rPr>
          <w:rFonts w:hint="eastAsia" w:ascii="宋体" w:hAnsi="宋体" w:cs="宋体"/>
          <w:sz w:val="24"/>
          <w:szCs w:val="24"/>
          <w:lang w:val="zh-CN"/>
        </w:rPr>
        <w:t>）</w:t>
      </w:r>
      <w:r>
        <w:rPr>
          <w:rFonts w:hint="eastAsia" w:ascii="宋体" w:hAnsi="宋体" w:cs="宋体"/>
          <w:sz w:val="24"/>
          <w:szCs w:val="24"/>
        </w:rPr>
        <w:t>法定代表人证明书</w:t>
      </w:r>
      <w:bookmarkEnd w:id="117"/>
      <w:bookmarkEnd w:id="118"/>
      <w:bookmarkStart w:id="119" w:name="_Toc31033"/>
    </w:p>
    <w:p w14:paraId="61C716BA">
      <w:pPr>
        <w:pStyle w:val="20"/>
        <w:keepNext w:val="0"/>
        <w:keepLines w:val="0"/>
        <w:pageBreakBefore w:val="0"/>
        <w:widowControl w:val="0"/>
        <w:kinsoku/>
        <w:wordWrap/>
        <w:overflowPunct/>
        <w:topLinePunct w:val="0"/>
        <w:bidi w:val="0"/>
        <w:adjustRightInd/>
        <w:snapToGrid/>
        <w:spacing w:before="0" w:after="240" w:line="360" w:lineRule="auto"/>
        <w:ind w:firstLine="482" w:firstLineChars="200"/>
        <w:textAlignment w:val="auto"/>
        <w:outlineLvl w:val="1"/>
        <w:rPr>
          <w:rFonts w:hint="eastAsia" w:ascii="宋体" w:hAnsi="宋体" w:cs="宋体"/>
          <w:b/>
          <w:bCs/>
          <w:kern w:val="0"/>
          <w:sz w:val="24"/>
          <w:szCs w:val="24"/>
          <w:lang w:val="zh-CN"/>
        </w:rPr>
      </w:pPr>
      <w:bookmarkStart w:id="120" w:name="_Toc16182"/>
      <w:bookmarkStart w:id="121" w:name="_Toc5597"/>
      <w:bookmarkStart w:id="122" w:name="_Toc1958"/>
      <w:r>
        <w:rPr>
          <w:rFonts w:hint="eastAsia" w:ascii="宋体" w:hAnsi="宋体" w:cs="宋体"/>
          <w:sz w:val="24"/>
          <w:szCs w:val="24"/>
          <w:lang w:val="zh-CN"/>
        </w:rPr>
        <w:t>法定代表人证明书</w:t>
      </w:r>
      <w:bookmarkEnd w:id="119"/>
      <w:bookmarkEnd w:id="120"/>
      <w:bookmarkEnd w:id="121"/>
      <w:bookmarkEnd w:id="122"/>
    </w:p>
    <w:p w14:paraId="0DD94517">
      <w:pPr>
        <w:keepNext w:val="0"/>
        <w:keepLines w:val="0"/>
        <w:pageBreakBefore w:val="0"/>
        <w:widowControl w:val="0"/>
        <w:kinsoku/>
        <w:wordWrap/>
        <w:overflowPunct/>
        <w:topLinePunct w:val="0"/>
        <w:autoSpaceDE w:val="0"/>
        <w:autoSpaceDN w:val="0"/>
        <w:bidi w:val="0"/>
        <w:adjustRightInd/>
        <w:snapToGrid/>
        <w:spacing w:after="240" w:line="360" w:lineRule="auto"/>
        <w:ind w:firstLine="482" w:firstLineChars="200"/>
        <w:textAlignment w:val="auto"/>
        <w:rPr>
          <w:rFonts w:hint="eastAsia" w:ascii="宋体" w:hAnsi="宋体" w:cs="宋体"/>
          <w:b/>
          <w:bCs/>
          <w:kern w:val="0"/>
          <w:sz w:val="24"/>
          <w:szCs w:val="24"/>
          <w:lang w:val="zh-CN"/>
        </w:rPr>
      </w:pPr>
      <w:r>
        <w:rPr>
          <w:rFonts w:hint="eastAsia" w:ascii="宋体" w:hAnsi="宋体" w:cs="宋体"/>
          <w:b/>
          <w:bCs/>
          <w:kern w:val="0"/>
          <w:sz w:val="24"/>
          <w:szCs w:val="24"/>
          <w:lang w:val="zh-CN"/>
        </w:rPr>
        <w:t>致：青海聚帛工程项目管理有限公司</w:t>
      </w:r>
    </w:p>
    <w:p w14:paraId="09DD8897">
      <w:pPr>
        <w:keepNext w:val="0"/>
        <w:keepLines w:val="0"/>
        <w:pageBreakBefore w:val="0"/>
        <w:widowControl w:val="0"/>
        <w:kinsoku/>
        <w:wordWrap/>
        <w:overflowPunct/>
        <w:topLinePunct w:val="0"/>
        <w:autoSpaceDE w:val="0"/>
        <w:autoSpaceDN w:val="0"/>
        <w:bidi w:val="0"/>
        <w:adjustRightInd/>
        <w:snapToGrid/>
        <w:spacing w:after="240" w:line="360" w:lineRule="auto"/>
        <w:ind w:firstLine="480" w:firstLineChars="200"/>
        <w:textAlignment w:val="auto"/>
        <w:rPr>
          <w:rFonts w:hint="eastAsia" w:ascii="宋体" w:hAnsi="宋体" w:cs="宋体"/>
          <w:kern w:val="0"/>
          <w:sz w:val="24"/>
          <w:szCs w:val="24"/>
          <w:lang w:val="zh-CN"/>
        </w:rPr>
      </w:pPr>
      <w:r>
        <w:rPr>
          <w:rFonts w:hint="eastAsia" w:ascii="宋体" w:hAnsi="宋体" w:cs="宋体"/>
          <w:kern w:val="0"/>
          <w:sz w:val="24"/>
          <w:szCs w:val="24"/>
          <w:lang w:val="zh-CN"/>
        </w:rPr>
        <w:t xml:space="preserve"> </w:t>
      </w:r>
      <w:r>
        <w:rPr>
          <w:rFonts w:hint="eastAsia" w:ascii="宋体" w:hAnsi="宋体" w:cs="宋体"/>
          <w:kern w:val="0"/>
          <w:sz w:val="24"/>
          <w:szCs w:val="24"/>
          <w:u w:val="single"/>
          <w:lang w:val="zh-CN"/>
        </w:rPr>
        <w:t>（法定代表人姓名）</w:t>
      </w:r>
      <w:r>
        <w:rPr>
          <w:rFonts w:hint="eastAsia" w:ascii="宋体" w:hAnsi="宋体" w:cs="宋体"/>
          <w:kern w:val="0"/>
          <w:sz w:val="24"/>
          <w:szCs w:val="24"/>
          <w:lang w:val="zh-CN"/>
        </w:rPr>
        <w:t>现任我单位</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职务，为法定代表人，特此证明。</w:t>
      </w:r>
    </w:p>
    <w:p w14:paraId="43344B23">
      <w:pPr>
        <w:keepNext w:val="0"/>
        <w:keepLines w:val="0"/>
        <w:pageBreakBefore w:val="0"/>
        <w:widowControl w:val="0"/>
        <w:kinsoku/>
        <w:wordWrap/>
        <w:overflowPunct/>
        <w:topLinePunct w:val="0"/>
        <w:autoSpaceDE w:val="0"/>
        <w:autoSpaceDN w:val="0"/>
        <w:bidi w:val="0"/>
        <w:adjustRightInd/>
        <w:snapToGrid/>
        <w:spacing w:after="240" w:line="360" w:lineRule="auto"/>
        <w:ind w:firstLine="480" w:firstLineChars="200"/>
        <w:textAlignment w:val="auto"/>
        <w:rPr>
          <w:rFonts w:hint="eastAsia" w:ascii="宋体" w:hAnsi="宋体" w:cs="宋体"/>
          <w:kern w:val="0"/>
          <w:sz w:val="24"/>
          <w:szCs w:val="24"/>
          <w:lang w:val="zh-CN"/>
        </w:rPr>
      </w:pPr>
    </w:p>
    <w:p w14:paraId="43E67AA5">
      <w:pPr>
        <w:keepNext w:val="0"/>
        <w:keepLines w:val="0"/>
        <w:pageBreakBefore w:val="0"/>
        <w:widowControl w:val="0"/>
        <w:kinsoku/>
        <w:wordWrap/>
        <w:overflowPunct/>
        <w:topLinePunct w:val="0"/>
        <w:autoSpaceDE w:val="0"/>
        <w:autoSpaceDN w:val="0"/>
        <w:bidi w:val="0"/>
        <w:adjustRightInd/>
        <w:snapToGrid/>
        <w:spacing w:after="240" w:line="360" w:lineRule="auto"/>
        <w:ind w:firstLine="480" w:firstLineChars="200"/>
        <w:textAlignment w:val="auto"/>
        <w:rPr>
          <w:rFonts w:hint="eastAsia" w:ascii="宋体" w:hAnsi="宋体" w:cs="宋体"/>
          <w:kern w:val="0"/>
          <w:sz w:val="24"/>
          <w:szCs w:val="24"/>
          <w:lang w:val="zh-CN"/>
        </w:rPr>
      </w:pPr>
      <w:r>
        <w:rPr>
          <w:rFonts w:hint="eastAsia" w:ascii="宋体" w:hAnsi="宋体" w:cs="宋体"/>
          <w:kern w:val="0"/>
          <w:sz w:val="24"/>
          <w:szCs w:val="24"/>
          <w:lang w:val="zh-CN"/>
        </w:rPr>
        <w:t>法定代表人基本情况：</w:t>
      </w:r>
    </w:p>
    <w:p w14:paraId="24B9754D">
      <w:pPr>
        <w:keepNext w:val="0"/>
        <w:keepLines w:val="0"/>
        <w:pageBreakBefore w:val="0"/>
        <w:widowControl w:val="0"/>
        <w:kinsoku/>
        <w:wordWrap/>
        <w:overflowPunct/>
        <w:topLinePunct w:val="0"/>
        <w:autoSpaceDE w:val="0"/>
        <w:autoSpaceDN w:val="0"/>
        <w:bidi w:val="0"/>
        <w:adjustRightInd/>
        <w:snapToGrid/>
        <w:spacing w:after="240" w:line="360" w:lineRule="auto"/>
        <w:ind w:firstLine="480" w:firstLineChars="200"/>
        <w:textAlignment w:val="auto"/>
        <w:rPr>
          <w:rFonts w:hint="eastAsia" w:ascii="宋体" w:hAnsi="宋体" w:cs="宋体"/>
          <w:kern w:val="0"/>
          <w:sz w:val="24"/>
          <w:szCs w:val="24"/>
          <w:u w:val="single"/>
          <w:lang w:val="zh-CN"/>
        </w:rPr>
      </w:pPr>
      <w:r>
        <w:rPr>
          <w:rFonts w:hint="eastAsia" w:ascii="宋体" w:hAnsi="宋体" w:cs="宋体"/>
          <w:kern w:val="0"/>
          <w:sz w:val="24"/>
          <w:szCs w:val="24"/>
          <w:lang w:val="zh-CN"/>
        </w:rPr>
        <w:t>性别：</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年龄：</w:t>
      </w:r>
      <w:r>
        <w:rPr>
          <w:rFonts w:hint="eastAsia" w:ascii="宋体" w:hAnsi="宋体" w:cs="宋体"/>
          <w:kern w:val="0"/>
          <w:sz w:val="24"/>
          <w:szCs w:val="24"/>
          <w:u w:val="single"/>
          <w:lang w:val="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zh-CN"/>
        </w:rPr>
        <w:t xml:space="preserve">    </w:t>
      </w:r>
      <w:r>
        <w:rPr>
          <w:rFonts w:hint="eastAsia" w:ascii="宋体" w:hAnsi="宋体" w:cs="宋体"/>
          <w:kern w:val="0"/>
          <w:sz w:val="24"/>
          <w:szCs w:val="24"/>
          <w:lang w:val="zh-CN"/>
        </w:rPr>
        <w:t xml:space="preserve"> 民族：</w:t>
      </w:r>
      <w:r>
        <w:rPr>
          <w:rFonts w:hint="eastAsia" w:ascii="宋体" w:hAnsi="宋体" w:cs="宋体"/>
          <w:kern w:val="0"/>
          <w:sz w:val="24"/>
          <w:szCs w:val="24"/>
          <w:u w:val="single"/>
          <w:lang w:val="zh-CN"/>
        </w:rPr>
        <w:t xml:space="preserve">             </w:t>
      </w:r>
    </w:p>
    <w:p w14:paraId="45D4B1AB">
      <w:pPr>
        <w:keepNext w:val="0"/>
        <w:keepLines w:val="0"/>
        <w:pageBreakBefore w:val="0"/>
        <w:widowControl w:val="0"/>
        <w:kinsoku/>
        <w:wordWrap/>
        <w:overflowPunct/>
        <w:topLinePunct w:val="0"/>
        <w:autoSpaceDE w:val="0"/>
        <w:autoSpaceDN w:val="0"/>
        <w:bidi w:val="0"/>
        <w:adjustRightInd/>
        <w:snapToGrid/>
        <w:spacing w:after="240" w:line="360" w:lineRule="auto"/>
        <w:ind w:firstLine="480" w:firstLineChars="200"/>
        <w:textAlignment w:val="auto"/>
        <w:rPr>
          <w:rFonts w:hint="eastAsia" w:ascii="宋体" w:hAnsi="宋体" w:cs="宋体"/>
          <w:kern w:val="0"/>
          <w:sz w:val="24"/>
          <w:szCs w:val="24"/>
          <w:u w:val="single"/>
          <w:lang w:val="zh-CN"/>
        </w:rPr>
      </w:pPr>
      <w:r>
        <w:rPr>
          <w:rFonts w:hint="eastAsia" w:ascii="宋体" w:hAnsi="宋体" w:cs="宋体"/>
          <w:kern w:val="0"/>
          <w:sz w:val="24"/>
          <w:szCs w:val="24"/>
          <w:lang w:val="zh-CN"/>
        </w:rPr>
        <w:t>地址：</w:t>
      </w:r>
      <w:r>
        <w:rPr>
          <w:rFonts w:hint="eastAsia" w:ascii="宋体" w:hAnsi="宋体" w:cs="宋体"/>
          <w:kern w:val="0"/>
          <w:sz w:val="24"/>
          <w:szCs w:val="24"/>
          <w:u w:val="single"/>
          <w:lang w:val="zh-CN"/>
        </w:rPr>
        <w:t xml:space="preserve">                                            </w:t>
      </w:r>
    </w:p>
    <w:p w14:paraId="17CF2F43">
      <w:pPr>
        <w:keepNext w:val="0"/>
        <w:keepLines w:val="0"/>
        <w:pageBreakBefore w:val="0"/>
        <w:widowControl w:val="0"/>
        <w:kinsoku/>
        <w:wordWrap/>
        <w:overflowPunct/>
        <w:topLinePunct w:val="0"/>
        <w:autoSpaceDE w:val="0"/>
        <w:autoSpaceDN w:val="0"/>
        <w:bidi w:val="0"/>
        <w:adjustRightInd/>
        <w:snapToGrid/>
        <w:spacing w:after="240" w:line="360" w:lineRule="auto"/>
        <w:ind w:firstLine="480" w:firstLineChars="200"/>
        <w:textAlignment w:val="auto"/>
        <w:rPr>
          <w:rFonts w:hint="eastAsia" w:ascii="宋体" w:hAnsi="宋体" w:cs="宋体"/>
          <w:kern w:val="0"/>
          <w:sz w:val="24"/>
          <w:szCs w:val="24"/>
          <w:lang w:val="zh-CN"/>
        </w:rPr>
      </w:pPr>
      <w:r>
        <w:rPr>
          <w:rFonts w:hint="eastAsia" w:ascii="宋体" w:hAnsi="宋体" w:cs="宋体"/>
          <w:kern w:val="0"/>
          <w:sz w:val="24"/>
          <w:szCs w:val="24"/>
          <w:lang w:val="zh-CN"/>
        </w:rPr>
        <w:t>身份证号码：</w:t>
      </w:r>
      <w:r>
        <w:rPr>
          <w:rFonts w:hint="eastAsia" w:ascii="宋体" w:hAnsi="宋体" w:cs="宋体"/>
          <w:kern w:val="0"/>
          <w:sz w:val="24"/>
          <w:szCs w:val="24"/>
          <w:u w:val="single"/>
          <w:lang w:val="zh-CN"/>
        </w:rPr>
        <w:t xml:space="preserve">                                      </w:t>
      </w:r>
    </w:p>
    <w:p w14:paraId="60E32D8D">
      <w:pPr>
        <w:keepNext w:val="0"/>
        <w:keepLines w:val="0"/>
        <w:pageBreakBefore w:val="0"/>
        <w:widowControl w:val="0"/>
        <w:kinsoku/>
        <w:wordWrap/>
        <w:overflowPunct/>
        <w:topLinePunct w:val="0"/>
        <w:autoSpaceDE w:val="0"/>
        <w:autoSpaceDN w:val="0"/>
        <w:bidi w:val="0"/>
        <w:adjustRightInd/>
        <w:snapToGrid/>
        <w:spacing w:after="240" w:line="360" w:lineRule="auto"/>
        <w:ind w:firstLine="480" w:firstLineChars="200"/>
        <w:textAlignment w:val="auto"/>
        <w:rPr>
          <w:rFonts w:hint="eastAsia" w:ascii="宋体" w:hAnsi="宋体" w:cs="宋体"/>
          <w:kern w:val="0"/>
          <w:sz w:val="24"/>
          <w:szCs w:val="24"/>
          <w:lang w:val="zh-CN"/>
        </w:rPr>
      </w:pPr>
    </w:p>
    <w:p w14:paraId="67F4DDE8">
      <w:pPr>
        <w:keepNext w:val="0"/>
        <w:keepLines w:val="0"/>
        <w:pageBreakBefore w:val="0"/>
        <w:widowControl w:val="0"/>
        <w:kinsoku/>
        <w:wordWrap/>
        <w:overflowPunct/>
        <w:topLinePunct w:val="0"/>
        <w:autoSpaceDE w:val="0"/>
        <w:autoSpaceDN w:val="0"/>
        <w:bidi w:val="0"/>
        <w:adjustRightInd/>
        <w:snapToGrid/>
        <w:spacing w:after="240" w:line="360" w:lineRule="auto"/>
        <w:ind w:firstLine="480" w:firstLineChars="200"/>
        <w:textAlignment w:val="auto"/>
        <w:rPr>
          <w:rFonts w:hint="eastAsia" w:ascii="宋体" w:hAnsi="宋体" w:cs="宋体"/>
          <w:kern w:val="0"/>
          <w:sz w:val="24"/>
          <w:szCs w:val="24"/>
          <w:lang w:val="zh-CN"/>
        </w:rPr>
      </w:pPr>
      <w:r>
        <w:rPr>
          <w:rFonts w:hint="eastAsia" w:ascii="宋体" w:hAnsi="宋体" w:cs="宋体"/>
          <w:kern w:val="0"/>
          <w:sz w:val="24"/>
          <w:szCs w:val="24"/>
          <w:lang w:val="zh-CN"/>
        </w:rPr>
        <w:t>附法定代表人第二代身份证双面扫描（或复印）件</w:t>
      </w:r>
    </w:p>
    <w:p w14:paraId="2F908327">
      <w:pPr>
        <w:keepNext w:val="0"/>
        <w:keepLines w:val="0"/>
        <w:pageBreakBefore w:val="0"/>
        <w:widowControl w:val="0"/>
        <w:kinsoku/>
        <w:wordWrap/>
        <w:overflowPunct/>
        <w:topLinePunct w:val="0"/>
        <w:autoSpaceDE w:val="0"/>
        <w:autoSpaceDN w:val="0"/>
        <w:bidi w:val="0"/>
        <w:adjustRightInd/>
        <w:snapToGrid/>
        <w:spacing w:after="240" w:line="360" w:lineRule="auto"/>
        <w:ind w:firstLine="480" w:firstLineChars="200"/>
        <w:textAlignment w:val="auto"/>
        <w:rPr>
          <w:rFonts w:hint="eastAsia" w:ascii="宋体" w:hAnsi="宋体" w:cs="宋体"/>
          <w:kern w:val="0"/>
          <w:sz w:val="24"/>
          <w:szCs w:val="24"/>
          <w:lang w:val="zh-CN"/>
        </w:rPr>
      </w:pPr>
    </w:p>
    <w:p w14:paraId="2F139DAB">
      <w:pPr>
        <w:keepNext w:val="0"/>
        <w:keepLines w:val="0"/>
        <w:pageBreakBefore w:val="0"/>
        <w:widowControl w:val="0"/>
        <w:kinsoku/>
        <w:wordWrap/>
        <w:overflowPunct/>
        <w:topLinePunct w:val="0"/>
        <w:autoSpaceDE w:val="0"/>
        <w:autoSpaceDN w:val="0"/>
        <w:bidi w:val="0"/>
        <w:adjustRightInd/>
        <w:snapToGrid/>
        <w:spacing w:after="240" w:line="360" w:lineRule="auto"/>
        <w:ind w:firstLine="480" w:firstLineChars="200"/>
        <w:textAlignment w:val="auto"/>
        <w:rPr>
          <w:rFonts w:hint="eastAsia" w:ascii="宋体" w:hAnsi="宋体" w:cs="宋体"/>
          <w:kern w:val="0"/>
          <w:sz w:val="24"/>
          <w:szCs w:val="24"/>
          <w:lang w:val="zh-CN"/>
        </w:rPr>
      </w:pPr>
    </w:p>
    <w:p w14:paraId="76D78B32">
      <w:pPr>
        <w:keepNext w:val="0"/>
        <w:keepLines w:val="0"/>
        <w:pageBreakBefore w:val="0"/>
        <w:widowControl w:val="0"/>
        <w:kinsoku/>
        <w:wordWrap/>
        <w:overflowPunct/>
        <w:topLinePunct w:val="0"/>
        <w:autoSpaceDE w:val="0"/>
        <w:autoSpaceDN w:val="0"/>
        <w:bidi w:val="0"/>
        <w:adjustRightInd/>
        <w:snapToGrid/>
        <w:spacing w:after="240" w:line="360" w:lineRule="auto"/>
        <w:ind w:firstLine="482" w:firstLineChars="200"/>
        <w:jc w:val="right"/>
        <w:textAlignment w:val="auto"/>
        <w:rPr>
          <w:rFonts w:hint="eastAsia" w:ascii="宋体" w:hAnsi="宋体" w:cs="宋体"/>
          <w:b/>
          <w:bCs/>
          <w:kern w:val="0"/>
          <w:sz w:val="24"/>
          <w:szCs w:val="24"/>
          <w:lang w:val="zh-CN"/>
        </w:rPr>
      </w:pPr>
      <w:r>
        <w:rPr>
          <w:rFonts w:hint="eastAsia" w:ascii="宋体" w:hAnsi="宋体" w:cs="宋体"/>
          <w:b/>
          <w:bCs/>
          <w:kern w:val="0"/>
          <w:sz w:val="24"/>
          <w:szCs w:val="24"/>
          <w:lang w:val="zh-CN"/>
        </w:rPr>
        <w:t xml:space="preserve">供应商： </w:t>
      </w:r>
      <w:r>
        <w:rPr>
          <w:rFonts w:hint="eastAsia" w:ascii="宋体" w:hAnsi="宋体" w:cs="宋体"/>
          <w:b/>
          <w:bCs/>
          <w:kern w:val="0"/>
          <w:sz w:val="24"/>
          <w:szCs w:val="24"/>
          <w:u w:val="single"/>
          <w:lang w:val="zh-CN"/>
        </w:rPr>
        <w:t xml:space="preserve">          </w:t>
      </w:r>
      <w:r>
        <w:rPr>
          <w:rFonts w:hint="eastAsia" w:ascii="宋体" w:hAnsi="宋体" w:cs="宋体"/>
          <w:b/>
          <w:bCs/>
          <w:kern w:val="0"/>
          <w:sz w:val="24"/>
          <w:szCs w:val="24"/>
          <w:u w:val="single"/>
        </w:rPr>
        <w:t xml:space="preserve">           </w:t>
      </w:r>
      <w:r>
        <w:rPr>
          <w:rFonts w:hint="eastAsia" w:ascii="宋体" w:hAnsi="宋体" w:cs="宋体"/>
          <w:b/>
          <w:bCs/>
          <w:kern w:val="0"/>
          <w:sz w:val="24"/>
          <w:szCs w:val="24"/>
          <w:u w:val="single"/>
          <w:lang w:val="zh-CN"/>
        </w:rPr>
        <w:t xml:space="preserve">  </w:t>
      </w:r>
      <w:r>
        <w:rPr>
          <w:rFonts w:hint="eastAsia" w:ascii="宋体" w:hAnsi="宋体" w:cs="宋体"/>
          <w:b/>
          <w:bCs/>
          <w:kern w:val="0"/>
          <w:sz w:val="24"/>
          <w:szCs w:val="24"/>
          <w:lang w:val="zh-CN"/>
        </w:rPr>
        <w:t>（公章）</w:t>
      </w:r>
    </w:p>
    <w:p w14:paraId="4CBD5528">
      <w:pPr>
        <w:keepNext w:val="0"/>
        <w:keepLines w:val="0"/>
        <w:pageBreakBefore w:val="0"/>
        <w:widowControl w:val="0"/>
        <w:kinsoku/>
        <w:wordWrap/>
        <w:overflowPunct/>
        <w:topLinePunct w:val="0"/>
        <w:autoSpaceDE w:val="0"/>
        <w:autoSpaceDN w:val="0"/>
        <w:bidi w:val="0"/>
        <w:adjustRightInd/>
        <w:snapToGrid/>
        <w:spacing w:after="240" w:line="360" w:lineRule="auto"/>
        <w:ind w:firstLine="482" w:firstLineChars="200"/>
        <w:jc w:val="right"/>
        <w:textAlignment w:val="auto"/>
        <w:rPr>
          <w:rFonts w:hint="eastAsia" w:ascii="宋体" w:hAnsi="宋体" w:cs="宋体"/>
          <w:kern w:val="0"/>
          <w:sz w:val="24"/>
          <w:szCs w:val="24"/>
          <w:lang w:val="zh-CN"/>
        </w:rPr>
      </w:pPr>
      <w:r>
        <w:rPr>
          <w:rFonts w:hint="eastAsia" w:ascii="宋体" w:hAnsi="宋体" w:cs="宋体"/>
          <w:b/>
          <w:bCs/>
          <w:kern w:val="0"/>
          <w:sz w:val="24"/>
          <w:szCs w:val="24"/>
          <w:lang w:val="zh-CN"/>
        </w:rPr>
        <w:t xml:space="preserve">年 </w:t>
      </w:r>
      <w:r>
        <w:rPr>
          <w:rFonts w:hint="eastAsia" w:ascii="宋体" w:hAnsi="宋体" w:cs="宋体"/>
          <w:b/>
          <w:bCs/>
          <w:kern w:val="0"/>
          <w:sz w:val="24"/>
          <w:szCs w:val="24"/>
        </w:rPr>
        <w:t xml:space="preserve"> </w:t>
      </w:r>
      <w:r>
        <w:rPr>
          <w:rFonts w:hint="eastAsia" w:ascii="宋体" w:hAnsi="宋体" w:cs="宋体"/>
          <w:b/>
          <w:bCs/>
          <w:kern w:val="0"/>
          <w:sz w:val="24"/>
          <w:szCs w:val="24"/>
          <w:lang w:val="zh-CN"/>
        </w:rPr>
        <w:t xml:space="preserve">  月  </w:t>
      </w:r>
      <w:r>
        <w:rPr>
          <w:rFonts w:hint="eastAsia" w:ascii="宋体" w:hAnsi="宋体" w:cs="宋体"/>
          <w:b/>
          <w:bCs/>
          <w:kern w:val="0"/>
          <w:sz w:val="24"/>
          <w:szCs w:val="24"/>
        </w:rPr>
        <w:t xml:space="preserve"> </w:t>
      </w:r>
      <w:r>
        <w:rPr>
          <w:rFonts w:hint="eastAsia" w:ascii="宋体" w:hAnsi="宋体" w:cs="宋体"/>
          <w:b/>
          <w:bCs/>
          <w:kern w:val="0"/>
          <w:sz w:val="24"/>
          <w:szCs w:val="24"/>
          <w:lang w:val="zh-CN"/>
        </w:rPr>
        <w:t xml:space="preserve"> 日</w:t>
      </w:r>
    </w:p>
    <w:p w14:paraId="4B06A15F">
      <w:pPr>
        <w:rPr>
          <w:rFonts w:hint="eastAsia" w:ascii="宋体"/>
          <w:b/>
          <w:sz w:val="36"/>
          <w:szCs w:val="36"/>
        </w:rPr>
      </w:pPr>
    </w:p>
    <w:p w14:paraId="0CE0394C">
      <w:pPr>
        <w:pStyle w:val="12"/>
        <w:rPr>
          <w:rFonts w:hint="eastAsia" w:ascii="宋体"/>
          <w:b/>
          <w:sz w:val="36"/>
          <w:szCs w:val="36"/>
        </w:rPr>
      </w:pPr>
    </w:p>
    <w:p w14:paraId="7C17A2CC">
      <w:pPr>
        <w:rPr>
          <w:rFonts w:hint="eastAsia" w:ascii="宋体"/>
          <w:b/>
          <w:sz w:val="36"/>
          <w:szCs w:val="36"/>
        </w:rPr>
      </w:pPr>
    </w:p>
    <w:p w14:paraId="669C2FE2">
      <w:pPr>
        <w:pStyle w:val="12"/>
        <w:rPr>
          <w:rFonts w:hint="eastAsia" w:ascii="宋体"/>
          <w:b/>
          <w:sz w:val="36"/>
          <w:szCs w:val="36"/>
        </w:rPr>
      </w:pPr>
    </w:p>
    <w:p w14:paraId="4674DBC5">
      <w:pPr>
        <w:rPr>
          <w:rFonts w:hint="eastAsia" w:ascii="宋体"/>
          <w:b/>
          <w:sz w:val="36"/>
          <w:szCs w:val="36"/>
        </w:rPr>
      </w:pPr>
    </w:p>
    <w:p w14:paraId="192A4161">
      <w:pPr>
        <w:pStyle w:val="20"/>
        <w:keepNext w:val="0"/>
        <w:keepLines w:val="0"/>
        <w:pageBreakBefore w:val="0"/>
        <w:kinsoku/>
        <w:wordWrap/>
        <w:overflowPunct/>
        <w:topLinePunct w:val="0"/>
        <w:bidi w:val="0"/>
        <w:snapToGrid/>
        <w:spacing w:before="0" w:after="240" w:line="360" w:lineRule="auto"/>
        <w:jc w:val="left"/>
        <w:textAlignment w:val="auto"/>
        <w:outlineLvl w:val="1"/>
        <w:rPr>
          <w:rFonts w:hint="eastAsia" w:ascii="宋体" w:hAnsi="宋体" w:eastAsia="宋体" w:cs="宋体"/>
          <w:sz w:val="24"/>
          <w:szCs w:val="24"/>
          <w:lang w:val="zh-CN"/>
        </w:rPr>
      </w:pPr>
      <w:bookmarkStart w:id="123" w:name="_Toc3884"/>
      <w:bookmarkStart w:id="124" w:name="_Toc18374"/>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）法定代表人授权书</w:t>
      </w:r>
      <w:bookmarkEnd w:id="123"/>
      <w:bookmarkEnd w:id="124"/>
      <w:bookmarkStart w:id="125" w:name="_Toc21065"/>
    </w:p>
    <w:p w14:paraId="6AC148AF">
      <w:pPr>
        <w:pStyle w:val="20"/>
        <w:keepNext w:val="0"/>
        <w:keepLines w:val="0"/>
        <w:pageBreakBefore w:val="0"/>
        <w:kinsoku/>
        <w:wordWrap/>
        <w:overflowPunct/>
        <w:topLinePunct w:val="0"/>
        <w:bidi w:val="0"/>
        <w:snapToGrid/>
        <w:spacing w:before="0" w:after="240" w:line="360" w:lineRule="auto"/>
        <w:ind w:firstLine="482" w:firstLineChars="200"/>
        <w:textAlignment w:val="auto"/>
        <w:outlineLvl w:val="1"/>
        <w:rPr>
          <w:rFonts w:hint="eastAsia" w:ascii="宋体" w:hAnsi="宋体" w:eastAsia="宋体" w:cs="宋体"/>
          <w:b/>
          <w:bCs/>
          <w:kern w:val="0"/>
          <w:sz w:val="24"/>
          <w:szCs w:val="24"/>
          <w:lang w:val="zh-CN"/>
        </w:rPr>
      </w:pPr>
      <w:bookmarkStart w:id="126" w:name="_Toc11583"/>
      <w:bookmarkStart w:id="127" w:name="_Toc7552"/>
      <w:bookmarkStart w:id="128" w:name="_Toc10461"/>
      <w:r>
        <w:rPr>
          <w:rFonts w:hint="eastAsia" w:ascii="宋体" w:hAnsi="宋体" w:eastAsia="宋体" w:cs="宋体"/>
          <w:sz w:val="24"/>
          <w:szCs w:val="24"/>
          <w:lang w:val="zh-CN"/>
        </w:rPr>
        <w:t>法定代表人授权书</w:t>
      </w:r>
      <w:bookmarkEnd w:id="125"/>
      <w:bookmarkEnd w:id="126"/>
      <w:bookmarkEnd w:id="127"/>
      <w:bookmarkEnd w:id="128"/>
    </w:p>
    <w:p w14:paraId="442A7944">
      <w:pPr>
        <w:keepNext w:val="0"/>
        <w:keepLines w:val="0"/>
        <w:pageBreakBefore w:val="0"/>
        <w:kinsoku/>
        <w:wordWrap/>
        <w:overflowPunct/>
        <w:topLinePunct w:val="0"/>
        <w:autoSpaceDE w:val="0"/>
        <w:autoSpaceDN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致：</w:t>
      </w:r>
      <w:r>
        <w:rPr>
          <w:rFonts w:hint="eastAsia" w:ascii="宋体" w:hAnsi="宋体" w:cs="宋体"/>
          <w:b/>
          <w:bCs/>
          <w:kern w:val="0"/>
          <w:sz w:val="24"/>
          <w:szCs w:val="24"/>
          <w:lang w:val="zh-CN"/>
        </w:rPr>
        <w:t>青海聚帛工程项目管理有限公司</w:t>
      </w:r>
    </w:p>
    <w:p w14:paraId="37205FCD">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u w:val="single"/>
          <w:lang w:val="zh-CN"/>
        </w:rPr>
        <w:t>（供应商名称）</w:t>
      </w:r>
      <w:r>
        <w:rPr>
          <w:rFonts w:hint="eastAsia" w:ascii="宋体" w:hAnsi="宋体" w:eastAsia="宋体" w:cs="宋体"/>
          <w:kern w:val="0"/>
          <w:sz w:val="24"/>
          <w:szCs w:val="24"/>
          <w:lang w:val="zh-CN"/>
        </w:rPr>
        <w:t>系中华人民共和国合法企业，法定地址</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w:t>
      </w:r>
      <w:r>
        <w:rPr>
          <w:rFonts w:hint="eastAsia" w:ascii="宋体" w:hAnsi="宋体" w:eastAsia="宋体" w:cs="宋体"/>
          <w:kern w:val="0"/>
          <w:sz w:val="24"/>
          <w:szCs w:val="24"/>
          <w:u w:val="single"/>
          <w:lang w:val="zh-CN"/>
        </w:rPr>
        <w:t>（法定代表人姓名）</w:t>
      </w:r>
      <w:r>
        <w:rPr>
          <w:rFonts w:hint="eastAsia" w:ascii="宋体" w:hAnsi="宋体" w:eastAsia="宋体" w:cs="宋体"/>
          <w:kern w:val="0"/>
          <w:sz w:val="24"/>
          <w:szCs w:val="24"/>
          <w:lang w:val="zh-CN"/>
        </w:rPr>
        <w:t>特授权</w:t>
      </w:r>
      <w:r>
        <w:rPr>
          <w:rFonts w:hint="eastAsia" w:ascii="宋体" w:hAnsi="宋体" w:eastAsia="宋体" w:cs="宋体"/>
          <w:kern w:val="0"/>
          <w:sz w:val="24"/>
          <w:szCs w:val="24"/>
          <w:u w:val="single"/>
          <w:lang w:val="zh-CN"/>
        </w:rPr>
        <w:t>（委托代理人姓名）</w:t>
      </w:r>
      <w:r>
        <w:rPr>
          <w:rFonts w:hint="eastAsia" w:ascii="宋体" w:hAnsi="宋体" w:eastAsia="宋体" w:cs="宋体"/>
          <w:kern w:val="0"/>
          <w:sz w:val="24"/>
          <w:szCs w:val="24"/>
          <w:lang w:val="zh-CN"/>
        </w:rPr>
        <w:t>代表我单位全权办理</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项目的投标、答疑等具体工作，并签署全部有关的文件、资料。</w:t>
      </w:r>
    </w:p>
    <w:p w14:paraId="6905EF2F">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我单位对被授权人的签名负全部责任。</w:t>
      </w:r>
    </w:p>
    <w:p w14:paraId="09ED22A1">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被授权人联系电话：</w:t>
      </w:r>
    </w:p>
    <w:p w14:paraId="3EC862E1">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u w:val="single"/>
        </w:rPr>
      </w:pPr>
      <w:r>
        <w:rPr>
          <w:rFonts w:hint="eastAsia" w:ascii="宋体" w:hAnsi="宋体" w:eastAsia="宋体" w:cs="宋体"/>
          <w:kern w:val="0"/>
          <w:sz w:val="24"/>
          <w:szCs w:val="24"/>
          <w:lang w:val="zh-CN"/>
        </w:rPr>
        <w:t>被授权人（委托代理人）签字：</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职务：</w:t>
      </w:r>
      <w:r>
        <w:rPr>
          <w:rFonts w:hint="eastAsia" w:ascii="宋体" w:hAnsi="宋体" w:eastAsia="宋体" w:cs="宋体"/>
          <w:kern w:val="0"/>
          <w:sz w:val="24"/>
          <w:szCs w:val="24"/>
          <w:u w:val="single"/>
        </w:rPr>
        <w:t xml:space="preserve">              </w:t>
      </w:r>
    </w:p>
    <w:p w14:paraId="05796972">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u w:val="single"/>
          <w:lang w:val="zh-CN"/>
        </w:rPr>
      </w:pPr>
      <w:r>
        <w:rPr>
          <w:rFonts w:hint="eastAsia" w:ascii="宋体" w:hAnsi="宋体" w:eastAsia="宋体" w:cs="宋体"/>
          <w:kern w:val="0"/>
          <w:sz w:val="24"/>
          <w:szCs w:val="24"/>
          <w:lang w:val="zh-CN"/>
        </w:rPr>
        <w:t>授权人（法定代表人）签字或盖章：</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职务：</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zh-CN"/>
        </w:rPr>
        <w:t xml:space="preserve">  </w:t>
      </w:r>
    </w:p>
    <w:p w14:paraId="5F7870D4">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lang w:val="zh-CN"/>
        </w:rPr>
      </w:pPr>
    </w:p>
    <w:p w14:paraId="25F110A9">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附被授权人第二代身份证双面扫描（或复印）件</w:t>
      </w:r>
    </w:p>
    <w:p w14:paraId="03153F3D">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lang w:val="zh-CN"/>
        </w:rPr>
      </w:pPr>
    </w:p>
    <w:p w14:paraId="3E615C5B">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lang w:val="zh-CN"/>
        </w:rPr>
      </w:pPr>
    </w:p>
    <w:p w14:paraId="6202C2FB">
      <w:pPr>
        <w:keepNext w:val="0"/>
        <w:keepLines w:val="0"/>
        <w:pageBreakBefore w:val="0"/>
        <w:kinsoku/>
        <w:wordWrap/>
        <w:overflowPunct/>
        <w:topLinePunct w:val="0"/>
        <w:autoSpaceDE w:val="0"/>
        <w:autoSpaceDN w:val="0"/>
        <w:bidi w:val="0"/>
        <w:snapToGrid/>
        <w:spacing w:after="240" w:line="360" w:lineRule="auto"/>
        <w:ind w:firstLine="482" w:firstLineChars="200"/>
        <w:jc w:val="right"/>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 xml:space="preserve">供应商：  </w:t>
      </w:r>
      <w:r>
        <w:rPr>
          <w:rFonts w:hint="eastAsia" w:ascii="宋体" w:hAnsi="宋体" w:eastAsia="宋体" w:cs="宋体"/>
          <w:b/>
          <w:bCs/>
          <w:kern w:val="0"/>
          <w:sz w:val="24"/>
          <w:szCs w:val="24"/>
          <w:u w:val="single"/>
          <w:lang w:val="zh-CN"/>
        </w:rPr>
        <w:t xml:space="preserve">         </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zh-CN"/>
        </w:rPr>
        <w:t xml:space="preserve">  </w:t>
      </w:r>
      <w:r>
        <w:rPr>
          <w:rFonts w:hint="eastAsia" w:ascii="宋体" w:hAnsi="宋体" w:eastAsia="宋体" w:cs="宋体"/>
          <w:b/>
          <w:bCs/>
          <w:kern w:val="0"/>
          <w:sz w:val="24"/>
          <w:szCs w:val="24"/>
          <w:lang w:val="zh-CN"/>
        </w:rPr>
        <w:t>（公章）</w:t>
      </w:r>
    </w:p>
    <w:p w14:paraId="19DA2421">
      <w:pPr>
        <w:keepNext w:val="0"/>
        <w:keepLines w:val="0"/>
        <w:pageBreakBefore w:val="0"/>
        <w:kinsoku/>
        <w:wordWrap/>
        <w:overflowPunct/>
        <w:topLinePunct w:val="0"/>
        <w:autoSpaceDE w:val="0"/>
        <w:autoSpaceDN w:val="0"/>
        <w:bidi w:val="0"/>
        <w:snapToGrid/>
        <w:spacing w:after="240" w:line="360" w:lineRule="auto"/>
        <w:ind w:firstLine="482" w:firstLineChars="200"/>
        <w:jc w:val="right"/>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 xml:space="preserve">年 </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zh-CN"/>
        </w:rPr>
        <w:t xml:space="preserve">  月  </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zh-CN"/>
        </w:rPr>
        <w:t xml:space="preserve"> 日</w:t>
      </w:r>
    </w:p>
    <w:p w14:paraId="47D67528">
      <w:pPr>
        <w:rPr>
          <w:lang w:val="zh-CN"/>
        </w:rPr>
      </w:pPr>
    </w:p>
    <w:p w14:paraId="4E93689E">
      <w:pPr>
        <w:pStyle w:val="12"/>
        <w:rPr>
          <w:lang w:val="zh-CN"/>
        </w:rPr>
      </w:pPr>
    </w:p>
    <w:p w14:paraId="24A7412E">
      <w:pPr>
        <w:rPr>
          <w:lang w:val="zh-CN"/>
        </w:rPr>
      </w:pPr>
    </w:p>
    <w:p w14:paraId="18538683">
      <w:pPr>
        <w:pStyle w:val="12"/>
        <w:rPr>
          <w:lang w:val="zh-CN"/>
        </w:rPr>
      </w:pPr>
    </w:p>
    <w:p w14:paraId="70C58862">
      <w:pPr>
        <w:rPr>
          <w:lang w:val="zh-CN"/>
        </w:rPr>
      </w:pPr>
    </w:p>
    <w:p w14:paraId="4D41B27E">
      <w:pPr>
        <w:pStyle w:val="12"/>
        <w:rPr>
          <w:lang w:val="zh-CN"/>
        </w:rPr>
      </w:pPr>
    </w:p>
    <w:p w14:paraId="3A1FE15B">
      <w:pPr>
        <w:rPr>
          <w:lang w:val="zh-CN"/>
        </w:rPr>
      </w:pPr>
    </w:p>
    <w:p w14:paraId="0E84FA15">
      <w:pPr>
        <w:pStyle w:val="12"/>
        <w:rPr>
          <w:lang w:val="zh-CN"/>
        </w:rPr>
      </w:pPr>
    </w:p>
    <w:p w14:paraId="697289DF">
      <w:pPr>
        <w:rPr>
          <w:lang w:val="zh-CN"/>
        </w:rPr>
      </w:pPr>
    </w:p>
    <w:p w14:paraId="714FAE69">
      <w:pPr>
        <w:pStyle w:val="12"/>
        <w:rPr>
          <w:lang w:val="zh-CN"/>
        </w:rPr>
      </w:pPr>
    </w:p>
    <w:p w14:paraId="2AE7AAFC">
      <w:pPr>
        <w:pStyle w:val="20"/>
        <w:keepNext w:val="0"/>
        <w:keepLines w:val="0"/>
        <w:pageBreakBefore w:val="0"/>
        <w:kinsoku/>
        <w:wordWrap/>
        <w:overflowPunct/>
        <w:topLinePunct w:val="0"/>
        <w:bidi w:val="0"/>
        <w:snapToGrid/>
        <w:spacing w:before="0" w:after="240" w:line="360" w:lineRule="auto"/>
        <w:jc w:val="both"/>
        <w:textAlignment w:val="auto"/>
        <w:outlineLvl w:val="1"/>
        <w:rPr>
          <w:rFonts w:hint="eastAsia" w:ascii="宋体" w:hAnsi="宋体" w:eastAsia="宋体" w:cs="宋体"/>
          <w:sz w:val="24"/>
          <w:szCs w:val="24"/>
          <w:lang w:val="zh-CN"/>
        </w:rPr>
      </w:pPr>
      <w:bookmarkStart w:id="129" w:name="_Toc24328"/>
      <w:bookmarkStart w:id="130" w:name="_Toc3745"/>
      <w:bookmarkStart w:id="131" w:name="_Toc22178"/>
      <w:bookmarkStart w:id="132" w:name="_Toc4740"/>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供应商承</w:t>
      </w:r>
      <w:r>
        <w:rPr>
          <w:rFonts w:hint="eastAsia" w:ascii="宋体" w:hAnsi="宋体" w:eastAsia="宋体" w:cs="宋体"/>
          <w:sz w:val="24"/>
          <w:szCs w:val="24"/>
          <w:lang w:val="zh-CN"/>
        </w:rPr>
        <w:t>诺函</w:t>
      </w:r>
      <w:bookmarkEnd w:id="129"/>
      <w:bookmarkEnd w:id="130"/>
      <w:bookmarkEnd w:id="131"/>
      <w:bookmarkEnd w:id="132"/>
      <w:bookmarkStart w:id="133" w:name="_Toc2764"/>
    </w:p>
    <w:p w14:paraId="46C9D282">
      <w:pPr>
        <w:pStyle w:val="20"/>
        <w:keepNext w:val="0"/>
        <w:keepLines w:val="0"/>
        <w:pageBreakBefore w:val="0"/>
        <w:kinsoku/>
        <w:wordWrap/>
        <w:overflowPunct/>
        <w:topLinePunct w:val="0"/>
        <w:bidi w:val="0"/>
        <w:snapToGrid/>
        <w:spacing w:before="0" w:after="240" w:line="360" w:lineRule="auto"/>
        <w:ind w:firstLine="482" w:firstLineChars="200"/>
        <w:textAlignment w:val="auto"/>
        <w:outlineLvl w:val="1"/>
        <w:rPr>
          <w:rFonts w:hint="eastAsia" w:ascii="宋体" w:hAnsi="宋体" w:eastAsia="宋体" w:cs="宋体"/>
          <w:b/>
          <w:bCs/>
          <w:kern w:val="0"/>
          <w:sz w:val="24"/>
          <w:szCs w:val="24"/>
          <w:lang w:val="zh-CN"/>
        </w:rPr>
      </w:pPr>
      <w:bookmarkStart w:id="134" w:name="_Toc14780"/>
      <w:bookmarkStart w:id="135" w:name="_Toc3192"/>
      <w:bookmarkStart w:id="136" w:name="_Toc10264"/>
      <w:r>
        <w:rPr>
          <w:rFonts w:hint="eastAsia" w:ascii="宋体" w:hAnsi="宋体" w:eastAsia="宋体" w:cs="宋体"/>
          <w:sz w:val="24"/>
          <w:szCs w:val="24"/>
        </w:rPr>
        <w:t>供应商</w:t>
      </w:r>
      <w:r>
        <w:rPr>
          <w:rFonts w:hint="eastAsia" w:ascii="宋体" w:hAnsi="宋体" w:eastAsia="宋体" w:cs="宋体"/>
          <w:sz w:val="24"/>
          <w:szCs w:val="24"/>
          <w:lang w:val="zh-CN"/>
        </w:rPr>
        <w:t>承诺函</w:t>
      </w:r>
      <w:bookmarkEnd w:id="133"/>
      <w:bookmarkEnd w:id="134"/>
      <w:bookmarkEnd w:id="135"/>
      <w:bookmarkEnd w:id="136"/>
    </w:p>
    <w:p w14:paraId="32C93EF1">
      <w:pPr>
        <w:keepNext w:val="0"/>
        <w:keepLines w:val="0"/>
        <w:pageBreakBefore w:val="0"/>
        <w:kinsoku/>
        <w:wordWrap/>
        <w:overflowPunct/>
        <w:topLinePunct w:val="0"/>
        <w:autoSpaceDE w:val="0"/>
        <w:autoSpaceDN w:val="0"/>
        <w:bidi w:val="0"/>
        <w:snapToGrid/>
        <w:spacing w:after="240" w:line="360" w:lineRule="auto"/>
        <w:ind w:firstLine="482" w:firstLineChars="200"/>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致：</w:t>
      </w:r>
      <w:r>
        <w:rPr>
          <w:rFonts w:hint="eastAsia" w:ascii="宋体" w:hAnsi="宋体" w:cs="宋体"/>
          <w:b/>
          <w:bCs/>
          <w:kern w:val="0"/>
          <w:sz w:val="24"/>
          <w:szCs w:val="24"/>
          <w:lang w:val="zh-CN"/>
        </w:rPr>
        <w:t>青海聚帛工程项目管理有限公司</w:t>
      </w:r>
    </w:p>
    <w:p w14:paraId="4E2B5A2D">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关于贵方202</w:t>
      </w:r>
      <w:r>
        <w:rPr>
          <w:rFonts w:hint="eastAsia" w:ascii="宋体" w:hAnsi="宋体" w:cs="宋体"/>
          <w:kern w:val="0"/>
          <w:sz w:val="24"/>
          <w:szCs w:val="24"/>
          <w:lang w:val="en-US" w:eastAsia="zh-CN"/>
        </w:rPr>
        <w:t>6</w:t>
      </w:r>
      <w:r>
        <w:rPr>
          <w:rFonts w:hint="eastAsia" w:ascii="宋体" w:hAnsi="宋体" w:eastAsia="宋体" w:cs="宋体"/>
          <w:kern w:val="0"/>
          <w:sz w:val="24"/>
          <w:szCs w:val="24"/>
          <w:lang w:val="zh-CN"/>
        </w:rPr>
        <w:t>年</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月</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日</w:t>
      </w:r>
      <w:r>
        <w:rPr>
          <w:rFonts w:hint="eastAsia" w:ascii="宋体" w:hAnsi="宋体" w:cs="宋体"/>
          <w:kern w:val="0"/>
          <w:sz w:val="24"/>
          <w:szCs w:val="24"/>
          <w:u w:val="single"/>
          <w:lang w:val="zh-CN"/>
        </w:rPr>
        <w:t>尖扎县一体化网络应急指挥中心建设项目</w:t>
      </w:r>
      <w:r>
        <w:rPr>
          <w:rFonts w:hint="eastAsia" w:ascii="宋体" w:hAnsi="宋体" w:eastAsia="宋体" w:cs="宋体"/>
          <w:kern w:val="0"/>
          <w:sz w:val="24"/>
          <w:szCs w:val="24"/>
          <w:u w:val="single"/>
          <w:lang w:val="zh-CN"/>
        </w:rPr>
        <w:t>（</w:t>
      </w:r>
      <w:r>
        <w:rPr>
          <w:rFonts w:hint="eastAsia" w:ascii="宋体" w:hAnsi="宋体" w:cs="宋体"/>
          <w:kern w:val="0"/>
          <w:sz w:val="24"/>
          <w:szCs w:val="24"/>
          <w:u w:val="single"/>
          <w:lang w:val="zh-CN" w:eastAsia="zh-CN"/>
        </w:rPr>
        <w:t>青海聚帛竞磋（货物）2026-019</w:t>
      </w:r>
      <w:r>
        <w:rPr>
          <w:rFonts w:hint="eastAsia" w:ascii="宋体" w:hAnsi="宋体" w:eastAsia="宋体" w:cs="宋体"/>
          <w:kern w:val="0"/>
          <w:sz w:val="24"/>
          <w:szCs w:val="24"/>
          <w:u w:val="single"/>
          <w:lang w:val="zh-CN"/>
        </w:rPr>
        <w:t>）</w:t>
      </w:r>
      <w:r>
        <w:rPr>
          <w:rFonts w:hint="eastAsia" w:ascii="宋体" w:hAnsi="宋体" w:eastAsia="宋体" w:cs="宋体"/>
          <w:kern w:val="0"/>
          <w:sz w:val="24"/>
          <w:szCs w:val="24"/>
          <w:lang w:val="zh-CN"/>
        </w:rPr>
        <w:t>，本签字人愿意参加</w:t>
      </w:r>
      <w:r>
        <w:rPr>
          <w:rFonts w:hint="eastAsia" w:ascii="宋体" w:hAnsi="宋体" w:eastAsia="宋体" w:cs="宋体"/>
          <w:kern w:val="0"/>
          <w:sz w:val="24"/>
          <w:szCs w:val="24"/>
        </w:rPr>
        <w:t>磋商</w:t>
      </w:r>
      <w:r>
        <w:rPr>
          <w:rFonts w:hint="eastAsia" w:ascii="宋体" w:hAnsi="宋体" w:eastAsia="宋体" w:cs="宋体"/>
          <w:kern w:val="0"/>
          <w:sz w:val="24"/>
          <w:szCs w:val="24"/>
          <w:lang w:val="zh-CN"/>
        </w:rPr>
        <w:t>，提供采购一览表中要求的所有产品，并证实提交的所有资料是准确的和真实的。同时，我代表</w:t>
      </w:r>
      <w:r>
        <w:rPr>
          <w:rFonts w:hint="eastAsia" w:ascii="宋体" w:hAnsi="宋体" w:eastAsia="宋体" w:cs="宋体"/>
          <w:kern w:val="0"/>
          <w:sz w:val="24"/>
          <w:szCs w:val="24"/>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lang w:val="zh-CN"/>
        </w:rPr>
        <w:t>（</w:t>
      </w:r>
      <w:r>
        <w:rPr>
          <w:rFonts w:hint="eastAsia" w:ascii="宋体" w:hAnsi="宋体" w:eastAsia="宋体" w:cs="宋体"/>
          <w:kern w:val="0"/>
          <w:sz w:val="24"/>
          <w:szCs w:val="24"/>
        </w:rPr>
        <w:t>供应商</w:t>
      </w:r>
      <w:r>
        <w:rPr>
          <w:rFonts w:hint="eastAsia" w:ascii="宋体" w:hAnsi="宋体" w:eastAsia="宋体" w:cs="宋体"/>
          <w:kern w:val="0"/>
          <w:sz w:val="24"/>
          <w:szCs w:val="24"/>
          <w:lang w:val="zh-CN"/>
        </w:rPr>
        <w:t>人名称），在此作如下承诺：</w:t>
      </w:r>
    </w:p>
    <w:p w14:paraId="45B741E4">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1.完全理解和接受</w:t>
      </w:r>
      <w:r>
        <w:rPr>
          <w:rFonts w:hint="eastAsia" w:ascii="宋体" w:hAnsi="宋体" w:eastAsia="宋体" w:cs="宋体"/>
          <w:kern w:val="0"/>
          <w:sz w:val="24"/>
          <w:szCs w:val="24"/>
        </w:rPr>
        <w:t>磋商</w:t>
      </w:r>
      <w:r>
        <w:rPr>
          <w:rFonts w:hint="eastAsia" w:ascii="宋体" w:hAnsi="宋体" w:eastAsia="宋体" w:cs="宋体"/>
          <w:kern w:val="0"/>
          <w:sz w:val="24"/>
          <w:szCs w:val="24"/>
          <w:lang w:val="zh-CN"/>
        </w:rPr>
        <w:t>文件的一切规定和要求；</w:t>
      </w:r>
    </w:p>
    <w:p w14:paraId="16350BF0">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2.若</w:t>
      </w:r>
      <w:r>
        <w:rPr>
          <w:rFonts w:hint="eastAsia" w:ascii="宋体" w:hAnsi="宋体" w:eastAsia="宋体" w:cs="宋体"/>
          <w:kern w:val="0"/>
          <w:sz w:val="24"/>
          <w:szCs w:val="24"/>
        </w:rPr>
        <w:t>成交</w:t>
      </w:r>
      <w:r>
        <w:rPr>
          <w:rFonts w:hint="eastAsia" w:ascii="宋体" w:hAnsi="宋体" w:eastAsia="宋体" w:cs="宋体"/>
          <w:kern w:val="0"/>
          <w:sz w:val="24"/>
          <w:szCs w:val="24"/>
          <w:lang w:val="zh-CN"/>
        </w:rPr>
        <w:t>，我方将按照</w:t>
      </w:r>
      <w:r>
        <w:rPr>
          <w:rFonts w:hint="eastAsia" w:ascii="宋体" w:hAnsi="宋体" w:eastAsia="宋体" w:cs="宋体"/>
          <w:kern w:val="0"/>
          <w:sz w:val="24"/>
          <w:szCs w:val="24"/>
        </w:rPr>
        <w:t>磋商</w:t>
      </w:r>
      <w:r>
        <w:rPr>
          <w:rFonts w:hint="eastAsia" w:ascii="宋体" w:hAnsi="宋体" w:eastAsia="宋体" w:cs="宋体"/>
          <w:kern w:val="0"/>
          <w:sz w:val="24"/>
          <w:szCs w:val="24"/>
          <w:lang w:val="zh-CN"/>
        </w:rPr>
        <w:t>文件的具体规定与采购人签订采购合同，并且严格履行合同义务，按时交货，提供优质的产品和服务。如果在合同执行过程中，发现质量、数量出现问题，我方一定尽快更换或补退货，并承担相应的经济责任；</w:t>
      </w:r>
    </w:p>
    <w:p w14:paraId="30B03A11">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3、我方保证甲方在使用该产品或其任何一部分时，不受第三方提出的侵犯专利权、著作权、商标权和工业设计权等知识产权的起诉，若有违犯，愿承担相应的一切责任。</w:t>
      </w:r>
    </w:p>
    <w:p w14:paraId="3315FDD1">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4、我方承诺，除</w:t>
      </w:r>
      <w:r>
        <w:rPr>
          <w:rFonts w:hint="eastAsia" w:ascii="宋体" w:hAnsi="宋体" w:eastAsia="宋体" w:cs="宋体"/>
          <w:kern w:val="0"/>
          <w:sz w:val="24"/>
          <w:szCs w:val="24"/>
        </w:rPr>
        <w:t>磋商</w:t>
      </w:r>
      <w:r>
        <w:rPr>
          <w:rFonts w:hint="eastAsia" w:ascii="宋体" w:hAnsi="宋体" w:eastAsia="宋体" w:cs="宋体"/>
          <w:kern w:val="0"/>
          <w:sz w:val="24"/>
          <w:szCs w:val="24"/>
          <w:lang w:val="zh-CN"/>
        </w:rPr>
        <w:t>文件中规定的进口产品外，所投的产品均为国产产品，且均符合国家强制性标准。若有不实，愿承担相应的责任。</w:t>
      </w:r>
    </w:p>
    <w:p w14:paraId="17040773">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5、在整个</w:t>
      </w:r>
      <w:r>
        <w:rPr>
          <w:rFonts w:hint="eastAsia" w:ascii="宋体" w:hAnsi="宋体" w:eastAsia="宋体" w:cs="宋体"/>
          <w:kern w:val="0"/>
          <w:sz w:val="24"/>
          <w:szCs w:val="24"/>
        </w:rPr>
        <w:t>磋商</w:t>
      </w:r>
      <w:r>
        <w:rPr>
          <w:rFonts w:hint="eastAsia" w:ascii="宋体" w:hAnsi="宋体" w:eastAsia="宋体" w:cs="宋体"/>
          <w:kern w:val="0"/>
          <w:sz w:val="24"/>
          <w:szCs w:val="24"/>
          <w:lang w:val="zh-CN"/>
        </w:rPr>
        <w:t>过程中我方若有违规行为，贵方可按</w:t>
      </w:r>
      <w:r>
        <w:rPr>
          <w:rFonts w:hint="eastAsia" w:ascii="宋体" w:hAnsi="宋体" w:eastAsia="宋体" w:cs="宋体"/>
          <w:kern w:val="0"/>
          <w:sz w:val="24"/>
          <w:szCs w:val="24"/>
        </w:rPr>
        <w:t>磋商</w:t>
      </w:r>
      <w:r>
        <w:rPr>
          <w:rFonts w:hint="eastAsia" w:ascii="宋体" w:hAnsi="宋体" w:eastAsia="宋体" w:cs="宋体"/>
          <w:kern w:val="0"/>
          <w:sz w:val="24"/>
          <w:szCs w:val="24"/>
          <w:lang w:val="zh-CN"/>
        </w:rPr>
        <w:t>文件之规定给予处罚，我方完全接受。</w:t>
      </w:r>
    </w:p>
    <w:p w14:paraId="56DC8A59">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6、若</w:t>
      </w:r>
      <w:r>
        <w:rPr>
          <w:rFonts w:hint="eastAsia" w:ascii="宋体" w:hAnsi="宋体" w:eastAsia="宋体" w:cs="宋体"/>
          <w:kern w:val="0"/>
          <w:sz w:val="24"/>
          <w:szCs w:val="24"/>
        </w:rPr>
        <w:t>成交</w:t>
      </w:r>
      <w:r>
        <w:rPr>
          <w:rFonts w:hint="eastAsia" w:ascii="宋体" w:hAnsi="宋体" w:eastAsia="宋体" w:cs="宋体"/>
          <w:kern w:val="0"/>
          <w:sz w:val="24"/>
          <w:szCs w:val="24"/>
          <w:lang w:val="zh-CN"/>
        </w:rPr>
        <w:t>，本承诺将成为合同不可分割的一部分，与合同具有同等的法律效力。</w:t>
      </w:r>
    </w:p>
    <w:p w14:paraId="00D795E0">
      <w:pPr>
        <w:keepNext w:val="0"/>
        <w:keepLines w:val="0"/>
        <w:pageBreakBefore w:val="0"/>
        <w:kinsoku/>
        <w:wordWrap/>
        <w:overflowPunct/>
        <w:topLinePunct w:val="0"/>
        <w:autoSpaceDE w:val="0"/>
        <w:autoSpaceDN w:val="0"/>
        <w:bidi w:val="0"/>
        <w:snapToGrid/>
        <w:spacing w:after="240" w:line="360" w:lineRule="auto"/>
        <w:ind w:firstLine="482" w:firstLineChars="200"/>
        <w:jc w:val="right"/>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 xml:space="preserve">供应商：  </w:t>
      </w:r>
      <w:r>
        <w:rPr>
          <w:rFonts w:hint="eastAsia" w:ascii="宋体" w:hAnsi="宋体" w:eastAsia="宋体" w:cs="宋体"/>
          <w:b/>
          <w:bCs/>
          <w:kern w:val="0"/>
          <w:sz w:val="24"/>
          <w:szCs w:val="24"/>
          <w:u w:val="single"/>
          <w:lang w:val="zh-CN"/>
        </w:rPr>
        <w:t xml:space="preserve">         </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zh-CN"/>
        </w:rPr>
        <w:t xml:space="preserve"> </w:t>
      </w:r>
      <w:r>
        <w:rPr>
          <w:rFonts w:hint="eastAsia" w:ascii="宋体" w:hAnsi="宋体" w:eastAsia="宋体" w:cs="宋体"/>
          <w:b/>
          <w:bCs/>
          <w:kern w:val="0"/>
          <w:sz w:val="24"/>
          <w:szCs w:val="24"/>
          <w:lang w:val="zh-CN"/>
        </w:rPr>
        <w:t xml:space="preserve"> （公章）</w:t>
      </w:r>
    </w:p>
    <w:p w14:paraId="045F7702">
      <w:pPr>
        <w:keepNext w:val="0"/>
        <w:keepLines w:val="0"/>
        <w:pageBreakBefore w:val="0"/>
        <w:kinsoku/>
        <w:wordWrap/>
        <w:overflowPunct/>
        <w:topLinePunct w:val="0"/>
        <w:autoSpaceDE w:val="0"/>
        <w:autoSpaceDN w:val="0"/>
        <w:bidi w:val="0"/>
        <w:snapToGrid/>
        <w:spacing w:after="240" w:line="360" w:lineRule="auto"/>
        <w:ind w:firstLine="482" w:firstLineChars="200"/>
        <w:jc w:val="right"/>
        <w:textAlignment w:val="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法定代表人或委托代理人：</w:t>
      </w:r>
      <w:r>
        <w:rPr>
          <w:rFonts w:hint="eastAsia" w:ascii="宋体" w:hAnsi="宋体" w:eastAsia="宋体" w:cs="宋体"/>
          <w:b/>
          <w:bCs/>
          <w:kern w:val="0"/>
          <w:sz w:val="24"/>
          <w:szCs w:val="24"/>
          <w:u w:val="single"/>
          <w:lang w:val="zh-CN"/>
        </w:rPr>
        <w:t xml:space="preserve">        </w:t>
      </w:r>
      <w:r>
        <w:rPr>
          <w:rFonts w:hint="eastAsia" w:ascii="宋体" w:hAnsi="宋体" w:eastAsia="宋体" w:cs="宋体"/>
          <w:b/>
          <w:bCs/>
          <w:kern w:val="0"/>
          <w:sz w:val="24"/>
          <w:szCs w:val="24"/>
          <w:lang w:val="zh-CN"/>
        </w:rPr>
        <w:t>（签字或盖章）</w:t>
      </w:r>
    </w:p>
    <w:p w14:paraId="482E908A">
      <w:pPr>
        <w:keepNext w:val="0"/>
        <w:keepLines w:val="0"/>
        <w:pageBreakBefore w:val="0"/>
        <w:kinsoku/>
        <w:wordWrap/>
        <w:overflowPunct/>
        <w:topLinePunct w:val="0"/>
        <w:autoSpaceDE w:val="0"/>
        <w:autoSpaceDN w:val="0"/>
        <w:bidi w:val="0"/>
        <w:snapToGrid/>
        <w:spacing w:after="240" w:line="360" w:lineRule="auto"/>
        <w:ind w:firstLine="482" w:firstLineChars="200"/>
        <w:jc w:val="right"/>
        <w:textAlignment w:val="auto"/>
        <w:rPr>
          <w:rFonts w:hint="eastAsia" w:ascii="宋体" w:hAnsi="宋体" w:eastAsia="宋体" w:cs="宋体"/>
          <w:kern w:val="0"/>
          <w:sz w:val="24"/>
          <w:szCs w:val="24"/>
          <w:lang w:val="zh-CN"/>
        </w:rPr>
      </w:pPr>
      <w:r>
        <w:rPr>
          <w:rFonts w:hint="eastAsia" w:ascii="宋体" w:hAnsi="宋体" w:eastAsia="宋体" w:cs="宋体"/>
          <w:b/>
          <w:bCs/>
          <w:kern w:val="0"/>
          <w:sz w:val="24"/>
          <w:szCs w:val="24"/>
          <w:lang w:val="zh-CN"/>
        </w:rPr>
        <w:t xml:space="preserve">年 </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zh-CN"/>
        </w:rPr>
        <w:t xml:space="preserve">  月  </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zh-CN"/>
        </w:rPr>
        <w:t xml:space="preserve"> 日</w:t>
      </w:r>
    </w:p>
    <w:p w14:paraId="01AD543D">
      <w:pPr>
        <w:pStyle w:val="20"/>
        <w:keepNext w:val="0"/>
        <w:keepLines w:val="0"/>
        <w:pageBreakBefore w:val="0"/>
        <w:kinsoku/>
        <w:wordWrap/>
        <w:overflowPunct/>
        <w:topLinePunct w:val="0"/>
        <w:bidi w:val="0"/>
        <w:snapToGrid/>
        <w:spacing w:before="0" w:after="240" w:line="360" w:lineRule="auto"/>
        <w:jc w:val="both"/>
        <w:textAlignment w:val="auto"/>
        <w:outlineLvl w:val="1"/>
        <w:rPr>
          <w:rFonts w:hint="eastAsia" w:ascii="宋体" w:hAnsi="宋体" w:eastAsia="宋体" w:cs="宋体"/>
          <w:sz w:val="24"/>
          <w:szCs w:val="24"/>
          <w:lang w:val="zh-CN"/>
        </w:rPr>
      </w:pPr>
      <w:bookmarkStart w:id="137" w:name="_Toc1128"/>
      <w:bookmarkStart w:id="138" w:name="_Toc13403"/>
      <w:bookmarkStart w:id="139" w:name="_Toc2504"/>
      <w:bookmarkStart w:id="140" w:name="_Toc17379"/>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供应商</w:t>
      </w:r>
      <w:r>
        <w:rPr>
          <w:rFonts w:hint="eastAsia" w:ascii="宋体" w:hAnsi="宋体" w:eastAsia="宋体" w:cs="宋体"/>
          <w:sz w:val="24"/>
          <w:szCs w:val="24"/>
          <w:lang w:val="zh-CN"/>
        </w:rPr>
        <w:t>诚信承诺书</w:t>
      </w:r>
      <w:bookmarkEnd w:id="137"/>
      <w:bookmarkEnd w:id="138"/>
      <w:bookmarkEnd w:id="139"/>
      <w:bookmarkEnd w:id="140"/>
      <w:bookmarkStart w:id="141" w:name="_Toc2170"/>
    </w:p>
    <w:bookmarkEnd w:id="141"/>
    <w:p w14:paraId="2B0F7C52">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center"/>
        <w:textAlignment w:val="auto"/>
        <w:rPr>
          <w:rFonts w:hint="eastAsia" w:ascii="宋体" w:hAnsi="宋体" w:eastAsia="宋体" w:cs="宋体"/>
          <w:b/>
          <w:bCs/>
          <w:kern w:val="0"/>
          <w:sz w:val="24"/>
          <w:szCs w:val="24"/>
          <w:highlight w:val="none"/>
          <w:lang w:val="zh-CN"/>
        </w:rPr>
      </w:pPr>
      <w:bookmarkStart w:id="142" w:name="_Toc15759"/>
      <w:bookmarkStart w:id="143" w:name="_Toc28903"/>
      <w:bookmarkStart w:id="144" w:name="_Toc5306"/>
      <w:r>
        <w:rPr>
          <w:rFonts w:hint="eastAsia" w:ascii="宋体" w:hAnsi="宋体" w:eastAsia="宋体" w:cs="宋体"/>
          <w:b/>
          <w:bCs/>
          <w:kern w:val="0"/>
          <w:sz w:val="24"/>
          <w:szCs w:val="24"/>
          <w:highlight w:val="none"/>
          <w:lang w:val="zh-CN"/>
        </w:rPr>
        <w:t>供应商诚信承诺书</w:t>
      </w:r>
    </w:p>
    <w:p w14:paraId="6A791AF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 xml:space="preserve"> </w:t>
      </w:r>
    </w:p>
    <w:p w14:paraId="6B76DC13">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zh-CN"/>
        </w:rPr>
        <w:t>致：青海聚帛工程项目管理有限公司</w:t>
      </w:r>
    </w:p>
    <w:p w14:paraId="2F41805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highlight w:val="none"/>
          <w:lang w:val="zh-CN"/>
        </w:rPr>
      </w:pPr>
    </w:p>
    <w:p w14:paraId="0EB4ABB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为了诚实、客观、有序地参与政府采购活动，愿就以下内容作出承诺：</w:t>
      </w:r>
    </w:p>
    <w:p w14:paraId="5A98439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一、自觉遵守各项法律、法规、规章、制度以及社会公德，维护廉洁环境，与同场竞争的供应商平等参加政府采购活动。</w:t>
      </w:r>
    </w:p>
    <w:p w14:paraId="69D0D4F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二、参加采购代理机构组织的政府采购活动时，严格按照磋商文件的规定和要求提供所需的相关材料，并对所提供的各类资料的真实性负责，不虚假应标，不虚列业绩。</w:t>
      </w:r>
    </w:p>
    <w:p w14:paraId="37FB6B5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三、尊重参与政府采购活动各相关方的合法行为，接受政府采购活动依法形成的意见、结果。</w:t>
      </w:r>
    </w:p>
    <w:p w14:paraId="0C2ACE8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四、依法参加政府采购活动，不围标、串标，维护市场秩序，不提供“三无”产品、以次充好。</w:t>
      </w:r>
    </w:p>
    <w:p w14:paraId="7757945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五、积极推动政府采购活动健康开展，对采购活动有疑问、异议时，按法律规定的程序实名（加盖单位章和法定代表人签名）反映情况，不恶意中伤、无事生非，以和谐、平等的心态参加政府采购活动。</w:t>
      </w:r>
    </w:p>
    <w:p w14:paraId="13B8414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六、认真履行</w:t>
      </w:r>
      <w:r>
        <w:rPr>
          <w:rFonts w:hint="eastAsia" w:ascii="宋体" w:hAnsi="宋体" w:eastAsia="宋体" w:cs="宋体"/>
          <w:kern w:val="0"/>
          <w:sz w:val="24"/>
          <w:szCs w:val="24"/>
          <w:highlight w:val="none"/>
          <w:lang w:val="en-US" w:eastAsia="zh-CN"/>
        </w:rPr>
        <w:t>成交供应商</w:t>
      </w:r>
      <w:r>
        <w:rPr>
          <w:rFonts w:hint="eastAsia" w:ascii="宋体" w:hAnsi="宋体" w:eastAsia="宋体" w:cs="宋体"/>
          <w:kern w:val="0"/>
          <w:sz w:val="24"/>
          <w:szCs w:val="24"/>
          <w:highlight w:val="none"/>
          <w:lang w:val="zh-CN"/>
        </w:rPr>
        <w:t>应承担的责任和义务，全面执行采购合同规定的各项内容，保质保量地按时提供采购物品。</w:t>
      </w:r>
    </w:p>
    <w:p w14:paraId="4F32549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若本企业（单位）发生有悖于上述承诺的行为，愿意接受《中华人民共和国政府采购法》和《政府采购法实施条例》中对供应商的相关处理。</w:t>
      </w:r>
    </w:p>
    <w:p w14:paraId="05BB88F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本承诺是采购项目</w:t>
      </w:r>
      <w:r>
        <w:rPr>
          <w:rFonts w:hint="eastAsia" w:ascii="宋体" w:hAnsi="宋体" w:cs="宋体"/>
          <w:kern w:val="0"/>
          <w:sz w:val="24"/>
          <w:szCs w:val="24"/>
          <w:highlight w:val="none"/>
          <w:lang w:val="zh-CN"/>
        </w:rPr>
        <w:t>响应</w:t>
      </w:r>
      <w:r>
        <w:rPr>
          <w:rFonts w:hint="eastAsia" w:ascii="宋体" w:hAnsi="宋体" w:eastAsia="宋体" w:cs="宋体"/>
          <w:kern w:val="0"/>
          <w:sz w:val="24"/>
          <w:szCs w:val="24"/>
          <w:highlight w:val="none"/>
          <w:lang w:val="zh-CN"/>
        </w:rPr>
        <w:t>文件的组成部分。</w:t>
      </w:r>
    </w:p>
    <w:p w14:paraId="55B044C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kern w:val="0"/>
          <w:sz w:val="24"/>
          <w:szCs w:val="24"/>
          <w:highlight w:val="none"/>
          <w:lang w:val="zh-CN"/>
        </w:rPr>
      </w:pPr>
    </w:p>
    <w:p w14:paraId="2266F4C0">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en-US" w:eastAsia="zh-CN"/>
        </w:rPr>
        <w:t>供应商</w:t>
      </w:r>
      <w:r>
        <w:rPr>
          <w:rFonts w:hint="eastAsia" w:ascii="宋体" w:hAnsi="宋体" w:eastAsia="宋体" w:cs="宋体"/>
          <w:b/>
          <w:bCs/>
          <w:kern w:val="0"/>
          <w:sz w:val="24"/>
          <w:szCs w:val="24"/>
          <w:highlight w:val="none"/>
          <w:lang w:val="zh-CN"/>
        </w:rPr>
        <w:t>：             （公章）</w:t>
      </w:r>
    </w:p>
    <w:p w14:paraId="799E4F55">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b/>
          <w:bCs/>
          <w:kern w:val="0"/>
          <w:sz w:val="24"/>
          <w:szCs w:val="24"/>
          <w:highlight w:val="none"/>
          <w:lang w:val="zh-CN"/>
        </w:rPr>
        <w:t xml:space="preserve">                      </w:t>
      </w:r>
      <w:r>
        <w:rPr>
          <w:rFonts w:hint="eastAsia" w:ascii="宋体" w:hAnsi="宋体" w:eastAsia="宋体" w:cs="宋体"/>
          <w:b/>
          <w:sz w:val="24"/>
          <w:szCs w:val="24"/>
          <w:highlight w:val="none"/>
        </w:rPr>
        <w:t>法定代表人或委托代理人：</w:t>
      </w:r>
      <w:r>
        <w:rPr>
          <w:rFonts w:hint="eastAsia" w:ascii="宋体" w:hAnsi="宋体" w:eastAsia="宋体" w:cs="宋体"/>
          <w:kern w:val="0"/>
          <w:sz w:val="24"/>
          <w:szCs w:val="24"/>
          <w:highlight w:val="none"/>
          <w:u w:val="single"/>
        </w:rPr>
        <w:t xml:space="preserve">       </w:t>
      </w:r>
      <w:r>
        <w:rPr>
          <w:rFonts w:hint="eastAsia" w:ascii="宋体" w:hAnsi="宋体" w:eastAsia="宋体" w:cs="宋体"/>
          <w:b/>
          <w:sz w:val="24"/>
          <w:szCs w:val="24"/>
          <w:highlight w:val="none"/>
        </w:rPr>
        <w:t>（签字或盖章）</w:t>
      </w:r>
    </w:p>
    <w:p w14:paraId="65AD281D">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right"/>
        <w:textAlignment w:val="auto"/>
        <w:rPr>
          <w:rFonts w:hint="eastAsia"/>
          <w:highlight w:val="none"/>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b/>
          <w:bCs/>
          <w:kern w:val="0"/>
          <w:sz w:val="24"/>
          <w:szCs w:val="24"/>
          <w:highlight w:val="none"/>
          <w:lang w:val="zh-CN"/>
        </w:rPr>
        <w:t xml:space="preserve">                                         年   月   日</w:t>
      </w:r>
    </w:p>
    <w:p w14:paraId="0EAE057B">
      <w:pPr>
        <w:pStyle w:val="20"/>
        <w:keepNext w:val="0"/>
        <w:keepLines w:val="0"/>
        <w:pageBreakBefore w:val="0"/>
        <w:kinsoku/>
        <w:wordWrap/>
        <w:overflowPunct/>
        <w:topLinePunct w:val="0"/>
        <w:bidi w:val="0"/>
        <w:snapToGrid/>
        <w:spacing w:before="0" w:after="240" w:line="360" w:lineRule="auto"/>
        <w:jc w:val="left"/>
        <w:textAlignment w:val="auto"/>
        <w:outlineLvl w:val="1"/>
        <w:rPr>
          <w:rFonts w:hint="eastAsia" w:ascii="宋体" w:hAnsi="宋体" w:eastAsia="宋体" w:cs="宋体"/>
          <w:sz w:val="24"/>
          <w:szCs w:val="24"/>
          <w:lang w:val="zh-CN"/>
        </w:rPr>
      </w:pPr>
      <w:bookmarkStart w:id="145" w:name="_Toc18171"/>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）资格证明材料</w:t>
      </w:r>
      <w:bookmarkEnd w:id="142"/>
      <w:bookmarkEnd w:id="143"/>
      <w:bookmarkEnd w:id="144"/>
      <w:bookmarkEnd w:id="145"/>
      <w:bookmarkStart w:id="146" w:name="_Toc17325"/>
    </w:p>
    <w:p w14:paraId="18B319BB">
      <w:pPr>
        <w:pStyle w:val="20"/>
        <w:keepNext w:val="0"/>
        <w:keepLines w:val="0"/>
        <w:pageBreakBefore w:val="0"/>
        <w:kinsoku/>
        <w:wordWrap/>
        <w:overflowPunct/>
        <w:topLinePunct w:val="0"/>
        <w:bidi w:val="0"/>
        <w:snapToGrid/>
        <w:spacing w:before="0" w:after="240" w:line="360" w:lineRule="auto"/>
        <w:ind w:firstLine="482" w:firstLineChars="200"/>
        <w:textAlignment w:val="auto"/>
        <w:outlineLvl w:val="1"/>
        <w:rPr>
          <w:rFonts w:hint="eastAsia" w:ascii="宋体" w:hAnsi="宋体" w:eastAsia="宋体" w:cs="宋体"/>
          <w:sz w:val="24"/>
          <w:szCs w:val="24"/>
        </w:rPr>
      </w:pPr>
      <w:bookmarkStart w:id="147" w:name="_Toc1121"/>
      <w:bookmarkStart w:id="148" w:name="_Toc19168"/>
      <w:bookmarkStart w:id="149" w:name="_Toc10585"/>
      <w:r>
        <w:rPr>
          <w:rFonts w:hint="eastAsia" w:ascii="宋体" w:hAnsi="宋体" w:eastAsia="宋体" w:cs="宋体"/>
          <w:sz w:val="24"/>
          <w:szCs w:val="24"/>
          <w:lang w:val="zh-CN"/>
        </w:rPr>
        <w:t>资格证明材料</w:t>
      </w:r>
      <w:bookmarkEnd w:id="146"/>
      <w:bookmarkEnd w:id="147"/>
      <w:bookmarkEnd w:id="148"/>
      <w:bookmarkEnd w:id="149"/>
    </w:p>
    <w:p w14:paraId="7C18864A">
      <w:pPr>
        <w:keepNext w:val="0"/>
        <w:keepLines w:val="0"/>
        <w:pageBreakBefore w:val="0"/>
        <w:kinsoku/>
        <w:wordWrap/>
        <w:overflowPunct/>
        <w:topLinePunct w:val="0"/>
        <w:bidi w:val="0"/>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资格证明材料包括：</w:t>
      </w:r>
    </w:p>
    <w:p w14:paraId="270F4ADA">
      <w:pPr>
        <w:keepNext w:val="0"/>
        <w:keepLines w:val="0"/>
        <w:pageBreakBefore w:val="0"/>
        <w:kinsoku/>
        <w:wordWrap/>
        <w:overflowPunct/>
        <w:topLinePunct w:val="0"/>
        <w:bidi w:val="0"/>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（1）提供有效的营业执照、税务登记证、机构代码证或三证（五证）合一统一社会代码证及其他资格证明文件（扫描或复印件）；</w:t>
      </w:r>
    </w:p>
    <w:p w14:paraId="4543332A">
      <w:pPr>
        <w:keepNext w:val="0"/>
        <w:keepLines w:val="0"/>
        <w:pageBreakBefore w:val="0"/>
        <w:kinsoku/>
        <w:wordWrap/>
        <w:overflowPunct/>
        <w:topLinePunct w:val="0"/>
        <w:bidi w:val="0"/>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412C38E7">
      <w:pPr>
        <w:keepNext w:val="0"/>
        <w:keepLines w:val="0"/>
        <w:pageBreakBefore w:val="0"/>
        <w:kinsoku/>
        <w:wordWrap/>
        <w:overflowPunct/>
        <w:topLinePunct w:val="0"/>
        <w:bidi w:val="0"/>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（2）招标文件规定的有关资格证书、许可证书、认证等。</w:t>
      </w:r>
    </w:p>
    <w:p w14:paraId="6B167289">
      <w:pPr>
        <w:keepNext w:val="0"/>
        <w:keepLines w:val="0"/>
        <w:pageBreakBefore w:val="0"/>
        <w:kinsoku/>
        <w:wordWrap/>
        <w:overflowPunct/>
        <w:topLinePunct w:val="0"/>
        <w:bidi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（3）供应商认为有必要提供的其他资格证明文件。</w:t>
      </w:r>
    </w:p>
    <w:p w14:paraId="1DBE24F2">
      <w:pPr>
        <w:rPr>
          <w:rFonts w:hint="eastAsia"/>
          <w:lang w:val="zh-CN"/>
        </w:rPr>
      </w:pPr>
    </w:p>
    <w:p w14:paraId="3166366B">
      <w:pPr>
        <w:rPr>
          <w:rFonts w:hint="eastAsia"/>
          <w:lang w:val="zh-CN"/>
        </w:rPr>
      </w:pPr>
    </w:p>
    <w:p w14:paraId="158BEEB7">
      <w:pPr>
        <w:rPr>
          <w:rFonts w:hint="eastAsia"/>
          <w:lang w:val="zh-CN"/>
        </w:rPr>
      </w:pPr>
    </w:p>
    <w:p w14:paraId="2140D999">
      <w:pPr>
        <w:rPr>
          <w:rFonts w:hint="eastAsia"/>
          <w:lang w:val="zh-CN"/>
        </w:rPr>
      </w:pPr>
    </w:p>
    <w:p w14:paraId="7855E4D9">
      <w:pPr>
        <w:rPr>
          <w:rFonts w:hint="eastAsia"/>
          <w:lang w:val="zh-CN"/>
        </w:rPr>
      </w:pPr>
    </w:p>
    <w:p w14:paraId="37DCD117">
      <w:pPr>
        <w:rPr>
          <w:rFonts w:hint="eastAsia"/>
          <w:lang w:val="zh-CN"/>
        </w:rPr>
      </w:pPr>
    </w:p>
    <w:p w14:paraId="23A2F99E">
      <w:pPr>
        <w:rPr>
          <w:rFonts w:hint="eastAsia"/>
          <w:lang w:val="zh-CN"/>
        </w:rPr>
      </w:pPr>
    </w:p>
    <w:p w14:paraId="5599ED35">
      <w:pPr>
        <w:rPr>
          <w:rFonts w:hint="eastAsia"/>
          <w:lang w:val="zh-CN"/>
        </w:rPr>
      </w:pPr>
    </w:p>
    <w:p w14:paraId="2D649A8F">
      <w:pPr>
        <w:rPr>
          <w:rFonts w:hint="eastAsia"/>
          <w:lang w:val="zh-CN"/>
        </w:rPr>
      </w:pPr>
    </w:p>
    <w:p w14:paraId="198FE4BE">
      <w:pPr>
        <w:rPr>
          <w:rFonts w:hint="eastAsia"/>
          <w:lang w:val="zh-CN"/>
        </w:rPr>
      </w:pPr>
    </w:p>
    <w:p w14:paraId="2071DA2F">
      <w:pPr>
        <w:rPr>
          <w:rFonts w:hint="eastAsia"/>
          <w:lang w:val="zh-CN"/>
        </w:rPr>
      </w:pPr>
    </w:p>
    <w:p w14:paraId="3B18A7C0">
      <w:pPr>
        <w:rPr>
          <w:rFonts w:hint="eastAsia"/>
          <w:lang w:val="zh-CN"/>
        </w:rPr>
      </w:pPr>
    </w:p>
    <w:p w14:paraId="7C4C6F8C">
      <w:pPr>
        <w:rPr>
          <w:rFonts w:hint="eastAsia"/>
          <w:lang w:val="zh-CN"/>
        </w:rPr>
      </w:pPr>
    </w:p>
    <w:p w14:paraId="7E406772">
      <w:pPr>
        <w:rPr>
          <w:rFonts w:hint="eastAsia"/>
          <w:lang w:val="zh-CN"/>
        </w:rPr>
      </w:pPr>
    </w:p>
    <w:p w14:paraId="0A138E06">
      <w:pPr>
        <w:rPr>
          <w:rFonts w:hint="eastAsia"/>
          <w:lang w:val="zh-CN"/>
        </w:rPr>
      </w:pPr>
    </w:p>
    <w:p w14:paraId="46A8BEF4">
      <w:pPr>
        <w:rPr>
          <w:rFonts w:hint="eastAsia"/>
          <w:lang w:val="zh-CN"/>
        </w:rPr>
      </w:pPr>
    </w:p>
    <w:p w14:paraId="5FDE51FE">
      <w:pPr>
        <w:pStyle w:val="20"/>
        <w:keepNext w:val="0"/>
        <w:keepLines w:val="0"/>
        <w:pageBreakBefore w:val="0"/>
        <w:kinsoku/>
        <w:wordWrap/>
        <w:overflowPunct/>
        <w:topLinePunct w:val="0"/>
        <w:bidi w:val="0"/>
        <w:snapToGrid/>
        <w:spacing w:before="0" w:after="240" w:line="360" w:lineRule="auto"/>
        <w:jc w:val="left"/>
        <w:textAlignment w:val="auto"/>
        <w:outlineLvl w:val="1"/>
        <w:rPr>
          <w:rFonts w:hint="eastAsia" w:ascii="宋体" w:hAnsi="宋体" w:eastAsia="宋体" w:cs="宋体"/>
          <w:b/>
          <w:bCs/>
          <w:sz w:val="24"/>
          <w:szCs w:val="24"/>
          <w:lang w:val="zh-CN"/>
        </w:rPr>
      </w:pPr>
      <w:bookmarkStart w:id="150" w:name="_Toc29828"/>
      <w:bookmarkStart w:id="151" w:name="_Toc500493807"/>
      <w:bookmarkStart w:id="152" w:name="_Toc5186"/>
      <w:r>
        <w:rPr>
          <w:rFonts w:hint="eastAsia" w:ascii="宋体" w:hAnsi="宋体" w:eastAsia="宋体" w:cs="宋体"/>
          <w:b/>
          <w:bCs/>
          <w:sz w:val="24"/>
          <w:szCs w:val="24"/>
          <w:lang w:val="zh-CN"/>
        </w:rPr>
        <w:t>（</w:t>
      </w:r>
      <w:r>
        <w:rPr>
          <w:rFonts w:hint="eastAsia" w:ascii="宋体" w:hAnsi="宋体" w:eastAsia="宋体" w:cs="宋体"/>
          <w:b/>
          <w:bCs/>
          <w:sz w:val="24"/>
          <w:szCs w:val="24"/>
          <w:lang w:val="en-US" w:eastAsia="zh-CN"/>
        </w:rPr>
        <w:t>7</w:t>
      </w:r>
      <w:r>
        <w:rPr>
          <w:rFonts w:hint="eastAsia" w:ascii="宋体" w:hAnsi="宋体" w:eastAsia="宋体" w:cs="宋体"/>
          <w:b/>
          <w:bCs/>
          <w:sz w:val="24"/>
          <w:szCs w:val="24"/>
          <w:lang w:val="zh-CN"/>
        </w:rPr>
        <w:t>）无重大违法记录声明</w:t>
      </w:r>
      <w:bookmarkEnd w:id="150"/>
      <w:bookmarkEnd w:id="151"/>
      <w:bookmarkEnd w:id="152"/>
    </w:p>
    <w:p w14:paraId="10149B20">
      <w:pPr>
        <w:pStyle w:val="20"/>
        <w:keepNext w:val="0"/>
        <w:keepLines w:val="0"/>
        <w:pageBreakBefore w:val="0"/>
        <w:kinsoku/>
        <w:wordWrap/>
        <w:overflowPunct/>
        <w:topLinePunct w:val="0"/>
        <w:bidi w:val="0"/>
        <w:snapToGrid/>
        <w:spacing w:before="0" w:after="240" w:line="360" w:lineRule="auto"/>
        <w:jc w:val="center"/>
        <w:textAlignment w:val="auto"/>
        <w:outlineLvl w:val="1"/>
        <w:rPr>
          <w:rFonts w:hint="eastAsia" w:ascii="宋体"/>
          <w:b w:val="0"/>
          <w:sz w:val="36"/>
          <w:szCs w:val="36"/>
        </w:rPr>
      </w:pPr>
      <w:bookmarkStart w:id="153" w:name="_Toc3546"/>
      <w:r>
        <w:rPr>
          <w:rFonts w:hint="eastAsia" w:ascii="宋体" w:hAnsi="宋体" w:eastAsia="宋体" w:cs="宋体"/>
          <w:b/>
          <w:bCs/>
          <w:sz w:val="24"/>
          <w:szCs w:val="24"/>
          <w:lang w:val="zh-CN" w:eastAsia="zh-CN"/>
        </w:rPr>
        <w:t>无重大违法记录声明</w:t>
      </w:r>
      <w:bookmarkEnd w:id="153"/>
    </w:p>
    <w:p w14:paraId="781E5FB6">
      <w:pPr>
        <w:keepNext w:val="0"/>
        <w:keepLines w:val="0"/>
        <w:pageBreakBefore w:val="0"/>
        <w:kinsoku/>
        <w:wordWrap/>
        <w:overflowPunct/>
        <w:topLinePunct w:val="0"/>
        <w:bidi w:val="0"/>
        <w:snapToGrid/>
        <w:spacing w:after="240"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提供参加政府采购活动前3年内在经营活动中没有重大违法记录的书面声明，并附“信用中国”、“政府采购网”网站无任何不良记录的查询截图，时间为</w:t>
      </w:r>
      <w:r>
        <w:rPr>
          <w:rFonts w:hint="eastAsia" w:ascii="宋体" w:hAnsi="宋体" w:eastAsia="宋体" w:cs="宋体"/>
          <w:sz w:val="24"/>
          <w:szCs w:val="24"/>
          <w:lang w:eastAsia="zh-CN"/>
        </w:rPr>
        <w:t>响应</w:t>
      </w:r>
      <w:r>
        <w:rPr>
          <w:rFonts w:hint="eastAsia" w:ascii="宋体" w:hAnsi="宋体" w:eastAsia="宋体" w:cs="宋体"/>
          <w:sz w:val="24"/>
          <w:szCs w:val="24"/>
        </w:rPr>
        <w:t>截止时间前10天内。</w:t>
      </w:r>
    </w:p>
    <w:p w14:paraId="386E735B">
      <w:pPr>
        <w:keepNext w:val="0"/>
        <w:keepLines w:val="0"/>
        <w:pageBreakBefore w:val="0"/>
        <w:kinsoku/>
        <w:wordWrap/>
        <w:overflowPunct/>
        <w:topLinePunct w:val="0"/>
        <w:bidi w:val="0"/>
        <w:snapToGrid/>
        <w:spacing w:after="240"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（格式可自定）</w:t>
      </w:r>
    </w:p>
    <w:p w14:paraId="4215761E">
      <w:pPr>
        <w:spacing w:line="400" w:lineRule="exact"/>
        <w:ind w:firstLine="482"/>
        <w:rPr>
          <w:rFonts w:hint="eastAsia" w:ascii="宋体" w:hAnsi="宋体"/>
          <w:sz w:val="24"/>
          <w:lang w:val="zh-CN"/>
        </w:rPr>
      </w:pPr>
    </w:p>
    <w:p w14:paraId="7452928B">
      <w:pPr>
        <w:rPr>
          <w:rFonts w:hint="eastAsia"/>
          <w:lang w:val="zh-CN"/>
        </w:rPr>
      </w:pPr>
    </w:p>
    <w:p w14:paraId="63AE8332">
      <w:pPr>
        <w:rPr>
          <w:rFonts w:hint="eastAsia"/>
          <w:lang w:val="zh-CN"/>
        </w:rPr>
      </w:pPr>
    </w:p>
    <w:p w14:paraId="6EBFC6CE">
      <w:pPr>
        <w:rPr>
          <w:rFonts w:hint="eastAsia"/>
          <w:lang w:val="zh-CN"/>
        </w:rPr>
      </w:pPr>
    </w:p>
    <w:p w14:paraId="41968423">
      <w:pPr>
        <w:rPr>
          <w:rFonts w:hint="eastAsia"/>
          <w:lang w:val="zh-CN"/>
        </w:rPr>
      </w:pPr>
    </w:p>
    <w:p w14:paraId="5F349072">
      <w:pPr>
        <w:rPr>
          <w:rFonts w:hint="eastAsia"/>
          <w:lang w:val="zh-CN"/>
        </w:rPr>
      </w:pPr>
    </w:p>
    <w:p w14:paraId="50F96544">
      <w:pPr>
        <w:rPr>
          <w:rFonts w:hint="eastAsia"/>
          <w:lang w:val="zh-CN"/>
        </w:rPr>
      </w:pPr>
    </w:p>
    <w:p w14:paraId="26778549">
      <w:pPr>
        <w:rPr>
          <w:rFonts w:hint="eastAsia"/>
          <w:lang w:val="zh-CN"/>
        </w:rPr>
      </w:pPr>
    </w:p>
    <w:p w14:paraId="29581A4B">
      <w:pPr>
        <w:rPr>
          <w:rFonts w:hint="eastAsia"/>
          <w:lang w:val="zh-CN"/>
        </w:rPr>
      </w:pPr>
    </w:p>
    <w:p w14:paraId="74537117">
      <w:pPr>
        <w:rPr>
          <w:rFonts w:hint="eastAsia"/>
          <w:lang w:val="zh-CN"/>
        </w:rPr>
      </w:pPr>
    </w:p>
    <w:p w14:paraId="5EF8C797">
      <w:pPr>
        <w:rPr>
          <w:rFonts w:hint="eastAsia"/>
          <w:lang w:val="zh-CN"/>
        </w:rPr>
      </w:pPr>
    </w:p>
    <w:p w14:paraId="7C23BBAC">
      <w:pPr>
        <w:rPr>
          <w:rFonts w:hint="eastAsia"/>
          <w:lang w:val="zh-CN"/>
        </w:rPr>
      </w:pPr>
    </w:p>
    <w:p w14:paraId="680A3DA8">
      <w:pPr>
        <w:rPr>
          <w:rFonts w:hint="eastAsia"/>
          <w:lang w:val="zh-CN"/>
        </w:rPr>
      </w:pPr>
    </w:p>
    <w:p w14:paraId="74383279">
      <w:pPr>
        <w:rPr>
          <w:rFonts w:hint="eastAsia"/>
          <w:lang w:val="zh-CN"/>
        </w:rPr>
      </w:pPr>
    </w:p>
    <w:p w14:paraId="775B3623">
      <w:pPr>
        <w:rPr>
          <w:rFonts w:hint="eastAsia"/>
          <w:lang w:val="zh-CN"/>
        </w:rPr>
      </w:pPr>
    </w:p>
    <w:p w14:paraId="714FD1A5">
      <w:pPr>
        <w:rPr>
          <w:rFonts w:hint="eastAsia"/>
          <w:lang w:val="zh-CN"/>
        </w:rPr>
      </w:pPr>
    </w:p>
    <w:p w14:paraId="6FE61CA1">
      <w:pPr>
        <w:rPr>
          <w:rFonts w:hint="eastAsia"/>
          <w:lang w:val="zh-CN"/>
        </w:rPr>
      </w:pPr>
    </w:p>
    <w:p w14:paraId="233FF522">
      <w:pPr>
        <w:rPr>
          <w:rFonts w:hint="eastAsia"/>
          <w:lang w:val="zh-CN"/>
        </w:rPr>
      </w:pPr>
    </w:p>
    <w:p w14:paraId="6E15B52F">
      <w:pPr>
        <w:autoSpaceDE w:val="0"/>
        <w:autoSpaceDN w:val="0"/>
        <w:adjustRightInd w:val="0"/>
        <w:spacing w:line="400" w:lineRule="exact"/>
        <w:ind w:firstLine="4453" w:firstLineChars="1848"/>
        <w:rPr>
          <w:rFonts w:hint="eastAsia" w:ascii="宋体" w:hAnsi="Cambria" w:cs="宋体"/>
          <w:b/>
          <w:bCs/>
          <w:kern w:val="0"/>
          <w:sz w:val="24"/>
          <w:lang w:val="zh-CN"/>
        </w:rPr>
      </w:pPr>
    </w:p>
    <w:p w14:paraId="3E9BC1D1">
      <w:pPr>
        <w:autoSpaceDE w:val="0"/>
        <w:autoSpaceDN w:val="0"/>
        <w:adjustRightInd w:val="0"/>
        <w:spacing w:line="400" w:lineRule="exact"/>
        <w:ind w:firstLine="4453" w:firstLineChars="1848"/>
        <w:rPr>
          <w:rFonts w:hint="eastAsia" w:ascii="宋体" w:hAnsi="Cambria" w:cs="宋体"/>
          <w:b/>
          <w:bCs/>
          <w:kern w:val="0"/>
          <w:sz w:val="24"/>
          <w:lang w:val="zh-CN"/>
        </w:rPr>
      </w:pPr>
    </w:p>
    <w:p w14:paraId="7F889C8D">
      <w:pPr>
        <w:autoSpaceDE w:val="0"/>
        <w:autoSpaceDN w:val="0"/>
        <w:adjustRightInd w:val="0"/>
        <w:spacing w:line="400" w:lineRule="exact"/>
        <w:ind w:firstLine="4453" w:firstLineChars="1848"/>
        <w:jc w:val="center"/>
        <w:rPr>
          <w:rFonts w:hint="eastAsia" w:ascii="宋体" w:hAnsi="Cambria" w:cs="宋体"/>
          <w:b/>
          <w:bCs/>
          <w:kern w:val="0"/>
          <w:sz w:val="24"/>
          <w:lang w:val="zh-CN"/>
        </w:rPr>
      </w:pPr>
      <w:r>
        <w:rPr>
          <w:rFonts w:hint="eastAsia" w:ascii="宋体" w:hAnsi="Cambria" w:cs="宋体"/>
          <w:b/>
          <w:bCs/>
          <w:kern w:val="0"/>
          <w:sz w:val="24"/>
          <w:lang w:val="zh-CN"/>
        </w:rPr>
        <w:t>供应商：</w:t>
      </w:r>
      <w:r>
        <w:rPr>
          <w:rFonts w:ascii="宋体" w:hAnsi="Cambria" w:cs="宋体"/>
          <w:b/>
          <w:bCs/>
          <w:kern w:val="0"/>
          <w:sz w:val="24"/>
          <w:lang w:val="zh-CN"/>
        </w:rPr>
        <w:t xml:space="preserve">             </w:t>
      </w:r>
      <w:r>
        <w:rPr>
          <w:rFonts w:hint="eastAsia" w:ascii="宋体" w:hAnsi="Cambria" w:cs="宋体"/>
          <w:b/>
          <w:bCs/>
          <w:kern w:val="0"/>
          <w:sz w:val="24"/>
          <w:lang w:val="zh-CN"/>
        </w:rPr>
        <w:t>（公章）</w:t>
      </w:r>
    </w:p>
    <w:p w14:paraId="44589266">
      <w:pPr>
        <w:autoSpaceDE w:val="0"/>
        <w:autoSpaceDN w:val="0"/>
        <w:adjustRightInd w:val="0"/>
        <w:spacing w:line="400" w:lineRule="exact"/>
        <w:ind w:firstLine="5060" w:firstLineChars="2100"/>
        <w:jc w:val="center"/>
        <w:rPr>
          <w:rFonts w:ascii="宋体" w:hAnsi="Cambria" w:cs="宋体"/>
          <w:kern w:val="0"/>
          <w:sz w:val="24"/>
          <w:lang w:val="zh-CN"/>
        </w:rPr>
      </w:pP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07C58B72">
      <w:pPr>
        <w:autoSpaceDE w:val="0"/>
        <w:autoSpaceDN w:val="0"/>
        <w:adjustRightInd w:val="0"/>
        <w:spacing w:line="400" w:lineRule="exact"/>
        <w:ind w:firstLine="4453" w:firstLineChars="1848"/>
        <w:rPr>
          <w:rFonts w:ascii="宋体" w:hAnsi="Cambria" w:cs="宋体"/>
          <w:b/>
          <w:bCs/>
          <w:kern w:val="0"/>
          <w:sz w:val="24"/>
          <w:lang w:val="zh-CN"/>
        </w:rPr>
      </w:pPr>
    </w:p>
    <w:p w14:paraId="3A8E80DA">
      <w:pPr>
        <w:pStyle w:val="20"/>
        <w:jc w:val="left"/>
        <w:outlineLvl w:val="9"/>
        <w:rPr>
          <w:rFonts w:hint="eastAsia" w:ascii="宋体" w:hAnsi="宋体"/>
          <w:sz w:val="28"/>
          <w:lang w:val="zh-CN" w:eastAsia="zh-CN"/>
        </w:rPr>
      </w:pPr>
      <w:bookmarkStart w:id="154" w:name="_Toc432230210"/>
    </w:p>
    <w:p w14:paraId="0138E375">
      <w:pPr>
        <w:pStyle w:val="20"/>
        <w:jc w:val="left"/>
        <w:outlineLvl w:val="9"/>
        <w:rPr>
          <w:rFonts w:hint="eastAsia" w:ascii="宋体" w:hAnsi="宋体"/>
          <w:sz w:val="28"/>
          <w:lang w:val="zh-CN" w:eastAsia="zh-CN"/>
        </w:rPr>
      </w:pPr>
    </w:p>
    <w:p w14:paraId="3DA64BEF">
      <w:pPr>
        <w:rPr>
          <w:rFonts w:hint="eastAsia"/>
          <w:lang w:val="zh-CN"/>
        </w:rPr>
      </w:pPr>
    </w:p>
    <w:bookmarkEnd w:id="154"/>
    <w:p w14:paraId="71A8D57A">
      <w:pPr>
        <w:pStyle w:val="20"/>
        <w:keepNext w:val="0"/>
        <w:keepLines w:val="0"/>
        <w:pageBreakBefore w:val="0"/>
        <w:kinsoku/>
        <w:wordWrap/>
        <w:overflowPunct/>
        <w:topLinePunct w:val="0"/>
        <w:bidi w:val="0"/>
        <w:snapToGrid/>
        <w:spacing w:before="0" w:after="240" w:line="360" w:lineRule="auto"/>
        <w:jc w:val="left"/>
        <w:textAlignment w:val="auto"/>
        <w:outlineLvl w:val="1"/>
        <w:rPr>
          <w:rFonts w:hint="eastAsia" w:ascii="宋体" w:hAnsi="宋体" w:eastAsia="宋体" w:cs="宋体"/>
          <w:b/>
          <w:bCs/>
          <w:sz w:val="24"/>
          <w:szCs w:val="24"/>
          <w:lang w:val="zh-CN"/>
        </w:rPr>
      </w:pPr>
      <w:bookmarkStart w:id="155" w:name="_Toc24840"/>
      <w:bookmarkStart w:id="156" w:name="_Toc14861"/>
      <w:r>
        <w:rPr>
          <w:rFonts w:hint="eastAsia" w:ascii="宋体" w:hAnsi="宋体" w:eastAsia="宋体" w:cs="宋体"/>
          <w:b/>
          <w:bCs/>
          <w:sz w:val="24"/>
          <w:szCs w:val="24"/>
          <w:lang w:val="zh-CN"/>
        </w:rPr>
        <w:t>（</w:t>
      </w:r>
      <w:r>
        <w:rPr>
          <w:rFonts w:hint="eastAsia" w:ascii="宋体" w:hAnsi="宋体" w:eastAsia="宋体" w:cs="宋体"/>
          <w:b/>
          <w:bCs/>
          <w:sz w:val="24"/>
          <w:szCs w:val="24"/>
          <w:lang w:val="en-US" w:eastAsia="zh-CN"/>
        </w:rPr>
        <w:t>8</w:t>
      </w:r>
      <w:r>
        <w:rPr>
          <w:rFonts w:hint="eastAsia" w:ascii="宋体" w:hAnsi="宋体" w:eastAsia="宋体" w:cs="宋体"/>
          <w:b/>
          <w:bCs/>
          <w:sz w:val="24"/>
          <w:szCs w:val="24"/>
          <w:lang w:val="zh-CN"/>
        </w:rPr>
        <w:t>）财务状况、缴纳税收和社会保障资金证明</w:t>
      </w:r>
      <w:bookmarkEnd w:id="155"/>
      <w:bookmarkEnd w:id="156"/>
    </w:p>
    <w:p w14:paraId="6A4352F2">
      <w:pPr>
        <w:keepNext w:val="0"/>
        <w:keepLines w:val="0"/>
        <w:pageBreakBefore w:val="0"/>
        <w:kinsoku/>
        <w:wordWrap/>
        <w:overflowPunct/>
        <w:topLinePunct w:val="0"/>
        <w:bidi w:val="0"/>
        <w:snapToGrid/>
        <w:spacing w:after="240" w:line="360" w:lineRule="auto"/>
        <w:ind w:firstLine="482" w:firstLineChars="200"/>
        <w:jc w:val="center"/>
        <w:textAlignment w:val="auto"/>
        <w:rPr>
          <w:rFonts w:hint="eastAsia" w:ascii="宋体" w:hAnsi="宋体" w:eastAsia="宋体" w:cs="宋体"/>
          <w:sz w:val="24"/>
          <w:szCs w:val="24"/>
          <w:lang w:val="zh-CN"/>
        </w:rPr>
      </w:pPr>
      <w:bookmarkStart w:id="157" w:name="_Toc1131"/>
      <w:bookmarkStart w:id="158" w:name="_Toc10175"/>
      <w:bookmarkStart w:id="159" w:name="_Toc16778"/>
      <w:r>
        <w:rPr>
          <w:rFonts w:hint="eastAsia" w:ascii="宋体" w:hAnsi="宋体" w:eastAsia="宋体" w:cs="宋体"/>
          <w:b/>
          <w:bCs/>
          <w:sz w:val="24"/>
          <w:szCs w:val="24"/>
          <w:lang w:val="zh-CN"/>
        </w:rPr>
        <w:t>财务状况、缴纳税收和社会保障资金证明</w:t>
      </w:r>
      <w:bookmarkEnd w:id="157"/>
      <w:bookmarkEnd w:id="158"/>
      <w:bookmarkEnd w:id="159"/>
    </w:p>
    <w:p w14:paraId="1D9D0430">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Times New Roman"/>
          <w:sz w:val="24"/>
          <w:szCs w:val="24"/>
          <w:highlight w:val="none"/>
          <w:lang w:val="zh-CN"/>
        </w:rPr>
      </w:pPr>
      <w:bookmarkStart w:id="160" w:name="_Toc28655"/>
      <w:bookmarkStart w:id="161" w:name="_Toc18494"/>
      <w:bookmarkStart w:id="162" w:name="_Toc16174"/>
      <w:bookmarkStart w:id="163" w:name="_Toc42866372"/>
      <w:bookmarkStart w:id="164" w:name="_Toc29838"/>
      <w:r>
        <w:rPr>
          <w:rFonts w:hint="eastAsia" w:ascii="宋体" w:hAnsi="宋体" w:cs="Times New Roman"/>
          <w:sz w:val="24"/>
          <w:szCs w:val="24"/>
          <w:highlight w:val="none"/>
          <w:lang w:val="zh-CN"/>
        </w:rPr>
        <w:t>提供以下相关材料。</w:t>
      </w:r>
    </w:p>
    <w:p w14:paraId="5A0DB1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FF"/>
          <w:sz w:val="24"/>
          <w:szCs w:val="24"/>
          <w:highlight w:val="none"/>
          <w:lang w:val="en-US" w:eastAsia="zh-CN"/>
        </w:rPr>
      </w:pPr>
      <w:r>
        <w:rPr>
          <w:rFonts w:hint="eastAsia" w:ascii="Times New Roman" w:hAnsi="Times New Roman" w:eastAsia="宋体" w:cs="Times New Roman"/>
          <w:color w:val="auto"/>
          <w:kern w:val="2"/>
          <w:sz w:val="21"/>
          <w:szCs w:val="22"/>
          <w:highlight w:val="none"/>
          <w:lang w:val="zh-CN" w:eastAsia="zh-CN" w:bidi="ar-SA"/>
        </w:rPr>
        <w:t>1、</w:t>
      </w:r>
      <w:r>
        <w:rPr>
          <w:rFonts w:hint="eastAsia" w:ascii="宋体" w:hAnsi="宋体" w:eastAsia="宋体" w:cs="宋体"/>
          <w:color w:val="auto"/>
          <w:sz w:val="24"/>
          <w:szCs w:val="24"/>
          <w:highlight w:val="none"/>
          <w:lang w:val="zh-CN" w:eastAsia="zh-CN"/>
        </w:rPr>
        <w:t xml:space="preserve">供应商需提供经第三方机构出具的 </w:t>
      </w:r>
      <w:r>
        <w:rPr>
          <w:rFonts w:hint="eastAsia" w:ascii="宋体" w:hAnsi="宋体" w:cs="宋体"/>
          <w:color w:val="auto"/>
          <w:sz w:val="24"/>
          <w:szCs w:val="24"/>
          <w:highlight w:val="none"/>
          <w:lang w:val="zh-CN" w:eastAsia="zh-CN"/>
        </w:rPr>
        <w:t>2024年或2025年</w:t>
      </w:r>
      <w:r>
        <w:rPr>
          <w:rFonts w:hint="eastAsia" w:ascii="宋体" w:hAnsi="宋体" w:eastAsia="宋体" w:cs="宋体"/>
          <w:color w:val="auto"/>
          <w:sz w:val="24"/>
          <w:szCs w:val="24"/>
          <w:highlight w:val="none"/>
          <w:lang w:val="zh-CN" w:eastAsia="zh-CN"/>
        </w:rPr>
        <w:t>财务</w:t>
      </w:r>
      <w:r>
        <w:rPr>
          <w:rFonts w:hint="eastAsia" w:ascii="宋体" w:hAnsi="宋体" w:cs="宋体"/>
          <w:color w:val="auto"/>
          <w:sz w:val="24"/>
          <w:szCs w:val="24"/>
          <w:highlight w:val="none"/>
          <w:lang w:val="zh-CN" w:eastAsia="zh-CN"/>
        </w:rPr>
        <w:t>审计</w:t>
      </w:r>
      <w:r>
        <w:rPr>
          <w:rFonts w:hint="eastAsia" w:ascii="宋体" w:hAnsi="宋体" w:eastAsia="宋体" w:cs="宋体"/>
          <w:color w:val="auto"/>
          <w:sz w:val="24"/>
          <w:szCs w:val="24"/>
          <w:highlight w:val="none"/>
          <w:lang w:val="zh-CN" w:eastAsia="zh-CN"/>
        </w:rPr>
        <w:t>报告包括资产负债表、利润表、现金流量表及其附注包括</w:t>
      </w:r>
      <w:r>
        <w:rPr>
          <w:rFonts w:hint="eastAsia" w:ascii="宋体" w:hAnsi="宋体" w:eastAsia="宋体" w:cs="宋体"/>
          <w:color w:val="auto"/>
          <w:sz w:val="24"/>
          <w:szCs w:val="24"/>
          <w:highlight w:val="none"/>
          <w:lang w:val="en-US" w:eastAsia="zh-CN"/>
        </w:rPr>
        <w:t>第三方机构</w:t>
      </w:r>
      <w:r>
        <w:rPr>
          <w:rFonts w:hint="eastAsia" w:ascii="宋体" w:hAnsi="宋体" w:eastAsia="宋体" w:cs="宋体"/>
          <w:color w:val="auto"/>
          <w:sz w:val="24"/>
          <w:szCs w:val="24"/>
          <w:highlight w:val="none"/>
          <w:lang w:val="zh-CN" w:eastAsia="zh-CN"/>
        </w:rPr>
        <w:t>的营业执照、执业证书及审计人员的执业证书复印件</w:t>
      </w: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zh-CN"/>
        </w:rPr>
        <w:t>提供银行</w:t>
      </w:r>
      <w:r>
        <w:rPr>
          <w:rFonts w:hint="eastAsia" w:ascii="宋体" w:hAnsi="宋体" w:cs="宋体"/>
          <w:color w:val="auto"/>
          <w:sz w:val="24"/>
          <w:szCs w:val="24"/>
          <w:highlight w:val="none"/>
          <w:lang w:val="en-US" w:eastAsia="zh-CN"/>
        </w:rPr>
        <w:t>出具</w:t>
      </w:r>
      <w:r>
        <w:rPr>
          <w:rFonts w:hint="eastAsia" w:ascii="宋体" w:hAnsi="宋体" w:eastAsia="宋体" w:cs="宋体"/>
          <w:color w:val="auto"/>
          <w:sz w:val="24"/>
          <w:szCs w:val="24"/>
          <w:highlight w:val="none"/>
          <w:lang w:val="zh-CN"/>
        </w:rPr>
        <w:t>的资信证明</w:t>
      </w:r>
      <w:r>
        <w:rPr>
          <w:rFonts w:hint="eastAsia" w:ascii="宋体" w:hAnsi="宋体" w:eastAsia="宋体" w:cs="宋体"/>
          <w:color w:val="auto"/>
          <w:sz w:val="24"/>
          <w:szCs w:val="24"/>
          <w:highlight w:val="none"/>
          <w:lang w:val="zh-CN" w:eastAsia="zh-CN"/>
        </w:rPr>
        <w:t>。扫描（或复印）件应全面、完整、清晰。</w:t>
      </w:r>
    </w:p>
    <w:p w14:paraId="43460BFE">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cs="Times New Roman"/>
          <w:sz w:val="24"/>
          <w:szCs w:val="24"/>
          <w:highlight w:val="none"/>
          <w:lang w:val="zh-CN"/>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cs="Times New Roman"/>
          <w:sz w:val="24"/>
          <w:szCs w:val="24"/>
          <w:highlight w:val="none"/>
          <w:lang w:val="zh-CN"/>
        </w:rPr>
        <w:t>2、提供近半年内任意</w:t>
      </w:r>
      <w:r>
        <w:rPr>
          <w:rFonts w:hint="eastAsia" w:ascii="宋体" w:hAnsi="宋体" w:cs="Times New Roman"/>
          <w:sz w:val="24"/>
          <w:szCs w:val="24"/>
          <w:highlight w:val="none"/>
          <w:lang w:val="en-US" w:eastAsia="zh-CN"/>
        </w:rPr>
        <w:t>1</w:t>
      </w:r>
      <w:r>
        <w:rPr>
          <w:rFonts w:hint="eastAsia" w:ascii="宋体" w:hAnsi="宋体" w:cs="Times New Roman"/>
          <w:sz w:val="24"/>
          <w:szCs w:val="24"/>
          <w:highlight w:val="none"/>
          <w:lang w:val="zh-CN"/>
        </w:rPr>
        <w:t>个月企业依法缴纳税收和企业社会保障资金记录的证明材料。依法免税或不需要缴纳社会保障资金的供应商，应提供相应文件证明其依法免税或不需要缴纳社会保障资金。（</w:t>
      </w:r>
      <w:r>
        <w:rPr>
          <w:rFonts w:hint="eastAsia" w:ascii="宋体" w:hAnsi="宋体" w:cs="Times New Roman"/>
          <w:sz w:val="24"/>
          <w:szCs w:val="24"/>
          <w:highlight w:val="none"/>
          <w:lang w:val="en-US" w:eastAsia="zh-CN"/>
        </w:rPr>
        <w:t>如有特殊情况供应商须提供相关情况说明及无欠税证明）</w:t>
      </w:r>
    </w:p>
    <w:p w14:paraId="796308E6">
      <w:pPr>
        <w:pStyle w:val="20"/>
        <w:keepNext w:val="0"/>
        <w:keepLines w:val="0"/>
        <w:pageBreakBefore w:val="0"/>
        <w:kinsoku/>
        <w:wordWrap/>
        <w:overflowPunct/>
        <w:topLinePunct w:val="0"/>
        <w:bidi w:val="0"/>
        <w:snapToGrid/>
        <w:spacing w:before="0" w:after="240" w:line="360" w:lineRule="auto"/>
        <w:jc w:val="left"/>
        <w:textAlignment w:val="auto"/>
        <w:outlineLvl w:val="1"/>
        <w:rPr>
          <w:rFonts w:hint="eastAsia" w:ascii="宋体" w:hAnsi="宋体" w:eastAsia="宋体" w:cs="宋体"/>
          <w:b/>
          <w:bCs/>
          <w:kern w:val="0"/>
          <w:sz w:val="24"/>
          <w:szCs w:val="24"/>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w:t>
      </w:r>
      <w:r>
        <w:rPr>
          <w:rFonts w:hint="eastAsia" w:ascii="宋体" w:hAnsi="宋体" w:eastAsia="宋体" w:cs="宋体"/>
          <w:sz w:val="24"/>
          <w:szCs w:val="24"/>
        </w:rPr>
        <w:t>磋商</w:t>
      </w:r>
      <w:r>
        <w:rPr>
          <w:rFonts w:hint="eastAsia" w:ascii="宋体" w:hAnsi="宋体" w:eastAsia="宋体" w:cs="宋体"/>
          <w:sz w:val="24"/>
          <w:szCs w:val="24"/>
          <w:lang w:val="zh-CN"/>
        </w:rPr>
        <w:t>保证金证明</w:t>
      </w:r>
      <w:bookmarkEnd w:id="160"/>
      <w:bookmarkEnd w:id="161"/>
      <w:bookmarkEnd w:id="162"/>
      <w:bookmarkEnd w:id="163"/>
      <w:bookmarkEnd w:id="164"/>
    </w:p>
    <w:p w14:paraId="14EC5AA3">
      <w:pPr>
        <w:keepNext w:val="0"/>
        <w:keepLines w:val="0"/>
        <w:pageBreakBefore w:val="0"/>
        <w:kinsoku/>
        <w:wordWrap/>
        <w:overflowPunct/>
        <w:topLinePunct w:val="0"/>
        <w:autoSpaceDE w:val="0"/>
        <w:autoSpaceDN w:val="0"/>
        <w:bidi w:val="0"/>
        <w:adjustRightInd w:val="0"/>
        <w:snapToGrid/>
        <w:spacing w:after="240" w:line="360" w:lineRule="auto"/>
        <w:ind w:firstLine="482" w:firstLineChars="200"/>
        <w:jc w:val="center"/>
        <w:textAlignment w:val="auto"/>
        <w:rPr>
          <w:rFonts w:hint="eastAsia" w:ascii="宋体" w:hAnsi="宋体" w:eastAsia="宋体" w:cs="宋体"/>
          <w:b/>
          <w:bCs/>
          <w:color w:val="000000"/>
          <w:sz w:val="24"/>
          <w:szCs w:val="24"/>
          <w:lang w:val="zh-CN"/>
        </w:rPr>
      </w:pPr>
      <w:r>
        <w:rPr>
          <w:rFonts w:hint="eastAsia" w:ascii="宋体" w:hAnsi="宋体" w:eastAsia="宋体" w:cs="宋体"/>
          <w:b/>
          <w:bCs/>
          <w:kern w:val="0"/>
          <w:sz w:val="24"/>
          <w:szCs w:val="24"/>
        </w:rPr>
        <w:t>磋商</w:t>
      </w:r>
      <w:r>
        <w:rPr>
          <w:rFonts w:hint="eastAsia" w:ascii="宋体" w:hAnsi="宋体" w:eastAsia="宋体" w:cs="宋体"/>
          <w:b/>
          <w:bCs/>
          <w:kern w:val="0"/>
          <w:sz w:val="24"/>
          <w:szCs w:val="24"/>
          <w:lang w:val="zh-CN"/>
        </w:rPr>
        <w:t>保证金证明</w:t>
      </w:r>
    </w:p>
    <w:p w14:paraId="4CEB3260">
      <w:pPr>
        <w:keepNext w:val="0"/>
        <w:keepLines w:val="0"/>
        <w:pageBreakBefore w:val="0"/>
        <w:kinsoku/>
        <w:wordWrap/>
        <w:overflowPunct/>
        <w:topLinePunct w:val="0"/>
        <w:autoSpaceDE w:val="0"/>
        <w:autoSpaceDN w:val="0"/>
        <w:bidi w:val="0"/>
        <w:snapToGrid/>
        <w:spacing w:after="240" w:line="360" w:lineRule="auto"/>
        <w:ind w:firstLine="482" w:firstLineChars="200"/>
        <w:textAlignment w:val="auto"/>
        <w:rPr>
          <w:rFonts w:hint="eastAsia" w:ascii="宋体" w:hAnsi="宋体" w:eastAsia="宋体" w:cs="宋体"/>
          <w:b/>
          <w:bCs/>
          <w:color w:val="000000"/>
          <w:sz w:val="24"/>
          <w:szCs w:val="24"/>
          <w:lang w:val="zh-CN" w:eastAsia="zh-CN"/>
        </w:rPr>
      </w:pPr>
      <w:r>
        <w:rPr>
          <w:rFonts w:hint="eastAsia" w:ascii="宋体" w:hAnsi="宋体" w:eastAsia="宋体" w:cs="宋体"/>
          <w:b/>
          <w:bCs/>
          <w:color w:val="000000"/>
          <w:sz w:val="24"/>
          <w:szCs w:val="24"/>
          <w:lang w:val="zh-CN"/>
        </w:rPr>
        <w:t>致：</w:t>
      </w:r>
      <w:r>
        <w:rPr>
          <w:rFonts w:hint="eastAsia" w:ascii="宋体" w:hAnsi="宋体" w:cs="宋体"/>
          <w:b/>
          <w:bCs/>
          <w:kern w:val="0"/>
          <w:sz w:val="24"/>
          <w:szCs w:val="24"/>
          <w:lang w:eastAsia="zh-CN"/>
        </w:rPr>
        <w:t>青海聚帛工程项目管理有限公司</w:t>
      </w:r>
    </w:p>
    <w:p w14:paraId="0C194446">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我方为</w:t>
      </w:r>
      <w:r>
        <w:rPr>
          <w:rFonts w:hint="eastAsia" w:ascii="宋体" w:hAnsi="宋体" w:cs="宋体"/>
          <w:kern w:val="0"/>
          <w:sz w:val="24"/>
          <w:szCs w:val="24"/>
          <w:u w:val="single"/>
          <w:lang w:val="zh-CN"/>
        </w:rPr>
        <w:t>尖扎县一体化网络应急指挥中心建设项目</w:t>
      </w:r>
      <w:r>
        <w:rPr>
          <w:rFonts w:hint="eastAsia" w:ascii="宋体" w:hAnsi="宋体" w:eastAsia="宋体" w:cs="宋体"/>
          <w:color w:val="000000"/>
          <w:sz w:val="24"/>
          <w:szCs w:val="24"/>
          <w:u w:val="single"/>
          <w:lang w:val="zh-CN"/>
        </w:rPr>
        <w:t>（采购项目编号为：</w:t>
      </w:r>
      <w:r>
        <w:rPr>
          <w:rFonts w:hint="eastAsia" w:ascii="宋体" w:hAnsi="宋体" w:cs="宋体"/>
          <w:color w:val="000000"/>
          <w:sz w:val="24"/>
          <w:szCs w:val="24"/>
          <w:u w:val="single"/>
          <w:lang w:val="zh-CN" w:eastAsia="zh-CN"/>
        </w:rPr>
        <w:t>青海聚帛竞磋（货物）2026-019</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lang w:val="zh-CN"/>
        </w:rPr>
        <w:t>递交保证金人民币</w:t>
      </w:r>
      <w:r>
        <w:rPr>
          <w:rFonts w:hint="eastAsia" w:ascii="宋体" w:hAnsi="宋体" w:eastAsia="宋体" w:cs="宋体"/>
          <w:color w:val="000000"/>
          <w:sz w:val="24"/>
          <w:szCs w:val="24"/>
          <w:u w:val="single"/>
          <w:lang w:val="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（大写：人民币</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元）已于</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年</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月</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日以</w:t>
      </w:r>
      <w:r>
        <w:rPr>
          <w:rFonts w:hint="eastAsia" w:ascii="宋体" w:hAnsi="宋体" w:eastAsia="宋体" w:cs="宋体"/>
          <w:color w:val="000000"/>
          <w:sz w:val="24"/>
          <w:szCs w:val="24"/>
        </w:rPr>
        <w:t>企业账户</w:t>
      </w:r>
      <w:r>
        <w:rPr>
          <w:rFonts w:hint="eastAsia" w:ascii="宋体" w:hAnsi="宋体" w:eastAsia="宋体" w:cs="宋体"/>
          <w:color w:val="000000"/>
          <w:sz w:val="24"/>
          <w:szCs w:val="24"/>
          <w:lang w:val="zh-CN"/>
        </w:rPr>
        <w:t>转账方式汇入你方账户。</w:t>
      </w:r>
    </w:p>
    <w:p w14:paraId="35A2A0A4">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附件：保证金交款证明、开户许可证复印件（加盖公章）</w:t>
      </w:r>
    </w:p>
    <w:p w14:paraId="3226747C">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退还保证金时请按以下内容汇入至我方账户（同递交保证金账户）。若因提供内容不全、错误等原因导致该项目保证金未能及时退还或退还过程中发生错误，我方将承担全部责任和损失。</w:t>
      </w:r>
    </w:p>
    <w:p w14:paraId="7E529ED5">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户    名：</w:t>
      </w:r>
    </w:p>
    <w:p w14:paraId="2645078A">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开户银行：</w:t>
      </w:r>
    </w:p>
    <w:p w14:paraId="57C6E017">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开户帐号：</w:t>
      </w:r>
    </w:p>
    <w:p w14:paraId="4214E7AF">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sz w:val="24"/>
          <w:szCs w:val="24"/>
          <w:lang w:val="zh-CN"/>
        </w:rPr>
      </w:pPr>
    </w:p>
    <w:p w14:paraId="7574B21B">
      <w:pPr>
        <w:keepNext w:val="0"/>
        <w:keepLines w:val="0"/>
        <w:pageBreakBefore w:val="0"/>
        <w:kinsoku/>
        <w:wordWrap/>
        <w:overflowPunct/>
        <w:topLinePunct w:val="0"/>
        <w:autoSpaceDE w:val="0"/>
        <w:autoSpaceDN w:val="0"/>
        <w:bidi w:val="0"/>
        <w:snapToGrid/>
        <w:spacing w:after="240" w:line="360" w:lineRule="auto"/>
        <w:ind w:firstLine="482" w:firstLineChars="200"/>
        <w:textAlignment w:val="auto"/>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若采用银行保函，则格式自拟</w:t>
      </w:r>
    </w:p>
    <w:p w14:paraId="6893CC56">
      <w:pPr>
        <w:pStyle w:val="21"/>
        <w:keepNext w:val="0"/>
        <w:keepLines w:val="0"/>
        <w:pageBreakBefore w:val="0"/>
        <w:kinsoku/>
        <w:wordWrap/>
        <w:overflowPunct/>
        <w:topLinePunct w:val="0"/>
        <w:bidi w:val="0"/>
        <w:snapToGrid/>
        <w:spacing w:after="240" w:line="360" w:lineRule="auto"/>
        <w:ind w:firstLine="480" w:firstLineChars="200"/>
        <w:textAlignment w:val="auto"/>
        <w:rPr>
          <w:rFonts w:hint="eastAsia" w:ascii="宋体" w:hAnsi="宋体" w:eastAsia="宋体" w:cs="宋体"/>
          <w:sz w:val="24"/>
          <w:szCs w:val="24"/>
          <w:lang w:val="zh-CN"/>
        </w:rPr>
      </w:pPr>
    </w:p>
    <w:p w14:paraId="3CCE3B48">
      <w:pPr>
        <w:keepNext w:val="0"/>
        <w:keepLines w:val="0"/>
        <w:pageBreakBefore w:val="0"/>
        <w:kinsoku/>
        <w:wordWrap/>
        <w:overflowPunct/>
        <w:topLinePunct w:val="0"/>
        <w:autoSpaceDE w:val="0"/>
        <w:autoSpaceDN w:val="0"/>
        <w:bidi w:val="0"/>
        <w:snapToGrid/>
        <w:spacing w:after="240" w:line="360" w:lineRule="auto"/>
        <w:ind w:firstLine="482" w:firstLineChars="200"/>
        <w:jc w:val="righ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val="zh-CN"/>
        </w:rPr>
        <w:t>供应商：</w:t>
      </w:r>
      <w:r>
        <w:rPr>
          <w:rFonts w:hint="eastAsia" w:ascii="宋体" w:hAnsi="宋体" w:eastAsia="宋体" w:cs="宋体"/>
          <w:b/>
          <w:bCs/>
          <w:sz w:val="24"/>
          <w:szCs w:val="24"/>
          <w:u w:val="single"/>
          <w:lang w:val="zh-CN"/>
        </w:rPr>
        <w:t xml:space="preserve">           </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zh-CN"/>
        </w:rPr>
        <w:t xml:space="preserve"> </w:t>
      </w:r>
      <w:r>
        <w:rPr>
          <w:rFonts w:hint="eastAsia" w:ascii="宋体" w:hAnsi="宋体" w:eastAsia="宋体" w:cs="宋体"/>
          <w:b/>
          <w:bCs/>
          <w:sz w:val="24"/>
          <w:szCs w:val="24"/>
          <w:lang w:val="zh-CN"/>
        </w:rPr>
        <w:t>（公章）</w:t>
      </w:r>
    </w:p>
    <w:p w14:paraId="3D326191">
      <w:pPr>
        <w:keepNext w:val="0"/>
        <w:keepLines w:val="0"/>
        <w:pageBreakBefore w:val="0"/>
        <w:kinsoku/>
        <w:wordWrap/>
        <w:overflowPunct/>
        <w:topLinePunct w:val="0"/>
        <w:autoSpaceDE w:val="0"/>
        <w:autoSpaceDN w:val="0"/>
        <w:bidi w:val="0"/>
        <w:snapToGrid/>
        <w:spacing w:after="240" w:line="360" w:lineRule="auto"/>
        <w:ind w:firstLine="482" w:firstLineChars="200"/>
        <w:jc w:val="righ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法定代表人或委托代理人：</w:t>
      </w:r>
      <w:r>
        <w:rPr>
          <w:rFonts w:hint="eastAsia" w:ascii="宋体" w:hAnsi="宋体" w:eastAsia="宋体" w:cs="宋体"/>
          <w:b/>
          <w:bCs/>
          <w:sz w:val="24"/>
          <w:szCs w:val="24"/>
          <w:u w:val="single"/>
          <w:lang w:val="zh-CN"/>
        </w:rPr>
        <w:t xml:space="preserve">        </w:t>
      </w:r>
      <w:r>
        <w:rPr>
          <w:rFonts w:hint="eastAsia" w:ascii="宋体" w:hAnsi="宋体" w:eastAsia="宋体" w:cs="宋体"/>
          <w:b/>
          <w:bCs/>
          <w:sz w:val="24"/>
          <w:szCs w:val="24"/>
          <w:lang w:val="zh-CN"/>
        </w:rPr>
        <w:t>（签字</w:t>
      </w:r>
      <w:r>
        <w:rPr>
          <w:rFonts w:hint="eastAsia" w:ascii="宋体" w:hAnsi="宋体" w:eastAsia="宋体" w:cs="宋体"/>
          <w:b/>
          <w:bCs/>
          <w:sz w:val="24"/>
          <w:szCs w:val="24"/>
        </w:rPr>
        <w:t>或盖章</w:t>
      </w:r>
      <w:r>
        <w:rPr>
          <w:rFonts w:hint="eastAsia" w:ascii="宋体" w:hAnsi="宋体" w:eastAsia="宋体" w:cs="宋体"/>
          <w:b/>
          <w:bCs/>
          <w:sz w:val="24"/>
          <w:szCs w:val="24"/>
          <w:lang w:val="zh-CN"/>
        </w:rPr>
        <w:t>）</w:t>
      </w:r>
    </w:p>
    <w:p w14:paraId="52E644F2">
      <w:pPr>
        <w:pStyle w:val="12"/>
        <w:jc w:val="right"/>
        <w:rPr>
          <w:rFonts w:hint="eastAsia"/>
          <w:lang w:val="zh-CN"/>
        </w:rPr>
        <w:sectPr>
          <w:footerReference r:id="rId4" w:type="default"/>
          <w:pgSz w:w="11906" w:h="16838"/>
          <w:pgMar w:top="1021" w:right="1134" w:bottom="1021" w:left="1021" w:header="851" w:footer="851" w:gutter="0"/>
          <w:pgNumType w:fmt="decimal"/>
          <w:cols w:space="720" w:num="1"/>
          <w:docGrid w:linePitch="312" w:charSpace="0"/>
        </w:sectPr>
      </w:pPr>
      <w:r>
        <w:rPr>
          <w:rFonts w:hint="eastAsia" w:ascii="宋体" w:hAnsi="宋体" w:eastAsia="宋体" w:cs="宋体"/>
          <w:b/>
          <w:bCs/>
          <w:sz w:val="24"/>
          <w:szCs w:val="24"/>
          <w:lang w:val="zh-CN"/>
        </w:rPr>
        <w:t>年   月</w:t>
      </w:r>
    </w:p>
    <w:p w14:paraId="1739C5AD">
      <w:pPr>
        <w:pStyle w:val="20"/>
        <w:keepNext w:val="0"/>
        <w:keepLines w:val="0"/>
        <w:pageBreakBefore w:val="0"/>
        <w:kinsoku/>
        <w:wordWrap/>
        <w:overflowPunct/>
        <w:topLinePunct w:val="0"/>
        <w:bidi w:val="0"/>
        <w:snapToGrid/>
        <w:spacing w:before="0" w:after="240" w:line="360" w:lineRule="auto"/>
        <w:jc w:val="left"/>
        <w:textAlignment w:val="auto"/>
        <w:outlineLvl w:val="1"/>
        <w:rPr>
          <w:rFonts w:hint="eastAsia" w:ascii="宋体" w:hAnsi="宋体" w:eastAsia="宋体" w:cs="宋体"/>
          <w:b/>
          <w:sz w:val="24"/>
          <w:szCs w:val="24"/>
        </w:rPr>
      </w:pPr>
      <w:bookmarkStart w:id="165" w:name="_Toc29764"/>
      <w:bookmarkStart w:id="166" w:name="_Toc27292"/>
      <w:bookmarkStart w:id="167" w:name="_Toc7640"/>
      <w:bookmarkStart w:id="168" w:name="_Toc11612"/>
      <w:bookmarkStart w:id="169" w:name="_Toc6195"/>
      <w:r>
        <w:rPr>
          <w:rFonts w:hint="eastAsia" w:ascii="宋体" w:hAnsi="宋体" w:eastAsia="宋体" w:cs="宋体"/>
          <w:sz w:val="24"/>
          <w:szCs w:val="24"/>
          <w:lang w:val="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w:t>
      </w:r>
      <w:bookmarkEnd w:id="165"/>
      <w:r>
        <w:rPr>
          <w:rFonts w:hint="eastAsia" w:ascii="宋体" w:hAnsi="宋体" w:eastAsia="宋体" w:cs="宋体"/>
          <w:sz w:val="24"/>
          <w:szCs w:val="24"/>
          <w:lang w:val="zh-CN"/>
        </w:rPr>
        <w:t>中小企业声明函</w:t>
      </w:r>
      <w:bookmarkEnd w:id="166"/>
      <w:r>
        <w:rPr>
          <w:rFonts w:hint="eastAsia" w:ascii="宋体" w:hAnsi="宋体" w:eastAsia="宋体" w:cs="宋体"/>
          <w:sz w:val="24"/>
          <w:szCs w:val="24"/>
          <w:lang w:val="zh-CN"/>
        </w:rPr>
        <w:t>（</w:t>
      </w:r>
      <w:r>
        <w:rPr>
          <w:rFonts w:hint="eastAsia" w:ascii="宋体" w:hAnsi="宋体" w:eastAsia="宋体" w:cs="宋体"/>
          <w:sz w:val="24"/>
          <w:szCs w:val="24"/>
          <w:lang w:val="en-US" w:eastAsia="zh-CN"/>
        </w:rPr>
        <w:t>货物</w:t>
      </w:r>
      <w:r>
        <w:rPr>
          <w:rFonts w:hint="eastAsia" w:ascii="宋体" w:hAnsi="宋体" w:eastAsia="宋体" w:cs="宋体"/>
          <w:sz w:val="24"/>
          <w:szCs w:val="24"/>
          <w:lang w:val="zh-CN"/>
        </w:rPr>
        <w:t>）</w:t>
      </w:r>
      <w:bookmarkEnd w:id="167"/>
      <w:bookmarkEnd w:id="168"/>
      <w:bookmarkEnd w:id="169"/>
    </w:p>
    <w:p w14:paraId="5C2D7DE5">
      <w:pPr>
        <w:keepNext w:val="0"/>
        <w:keepLines w:val="0"/>
        <w:pageBreakBefore w:val="0"/>
        <w:kinsoku/>
        <w:wordWrap/>
        <w:overflowPunct/>
        <w:topLinePunct w:val="0"/>
        <w:bidi w:val="0"/>
        <w:snapToGrid/>
        <w:spacing w:after="240" w:line="360" w:lineRule="auto"/>
        <w:ind w:firstLine="482" w:firstLineChars="200"/>
        <w:jc w:val="center"/>
        <w:textAlignment w:val="auto"/>
        <w:rPr>
          <w:rFonts w:hint="eastAsia"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zh-CN" w:eastAsia="zh-CN" w:bidi="ar-SA"/>
        </w:rPr>
        <w:t>中小企业声明函</w:t>
      </w:r>
    </w:p>
    <w:p w14:paraId="4591A9C3">
      <w:pPr>
        <w:spacing w:after="120" w:afterLines="50" w:line="360" w:lineRule="auto"/>
        <w:rPr>
          <w:rFonts w:hint="eastAsia" w:ascii="宋体" w:hAnsi="宋体" w:cs="宋体"/>
        </w:rPr>
      </w:pPr>
      <w:r>
        <w:rPr>
          <w:rFonts w:hint="eastAsia" w:ascii="宋体" w:hAnsi="宋体" w:cs="宋体"/>
          <w:b/>
          <w:bCs/>
        </w:rPr>
        <w:t>致：青海聚帛工程项目管理有限公司</w:t>
      </w:r>
    </w:p>
    <w:p w14:paraId="59478ACE">
      <w:pPr>
        <w:spacing w:line="360" w:lineRule="auto"/>
        <w:ind w:firstLine="420" w:firstLineChars="200"/>
        <w:rPr>
          <w:rFonts w:hint="eastAsia" w:ascii="宋体" w:hAnsi="宋体" w:cs="宋体"/>
        </w:rPr>
      </w:pPr>
      <w:r>
        <w:rPr>
          <w:rFonts w:hint="eastAsia" w:ascii="宋体" w:hAnsi="宋体" w:cs="宋体"/>
        </w:rPr>
        <w:t>本公司（公司名称） 郑重声明，根据《政府采购促进中小企业发展管理办法》（财库﹝2020﹞46 号）的规定，本公司（公司名称）参加</w:t>
      </w:r>
      <w:r>
        <w:rPr>
          <w:rFonts w:hint="eastAsia" w:ascii="宋体" w:hAnsi="宋体" w:cs="宋体"/>
          <w:u w:val="single"/>
          <w:lang w:eastAsia="zh-CN"/>
        </w:rPr>
        <w:t>中共尖扎县委宣传部(本级)</w:t>
      </w:r>
      <w:r>
        <w:rPr>
          <w:rFonts w:hint="eastAsia" w:ascii="宋体" w:hAnsi="宋体" w:cs="宋体"/>
        </w:rPr>
        <w:t>的</w:t>
      </w:r>
      <w:r>
        <w:rPr>
          <w:rFonts w:hint="eastAsia" w:ascii="宋体" w:hAnsi="宋体" w:cs="宋体"/>
          <w:kern w:val="0"/>
          <w:u w:val="single"/>
          <w:lang w:val="zh-CN"/>
        </w:rPr>
        <w:t xml:space="preserve"> 尖扎县一体化网络应急指挥中心建设项目</w:t>
      </w:r>
      <w:r>
        <w:rPr>
          <w:rFonts w:hint="eastAsia" w:ascii="宋体" w:hAnsi="宋体" w:cs="宋体"/>
          <w:bCs/>
          <w:u w:val="single"/>
        </w:rPr>
        <w:t>（</w:t>
      </w:r>
      <w:r>
        <w:rPr>
          <w:rFonts w:hint="eastAsia" w:ascii="宋体" w:hAnsi="宋体" w:cs="宋体"/>
          <w:bCs/>
          <w:u w:val="single"/>
          <w:lang w:eastAsia="zh-CN"/>
        </w:rPr>
        <w:t>青海聚帛竞磋（货物）2026-019</w:t>
      </w:r>
      <w:r>
        <w:rPr>
          <w:rFonts w:hint="eastAsia" w:ascii="宋体" w:hAnsi="宋体" w:cs="宋体"/>
          <w:bCs/>
        </w:rPr>
        <w:t>）</w:t>
      </w:r>
      <w:r>
        <w:rPr>
          <w:rFonts w:hint="eastAsia" w:ascii="宋体" w:hAnsi="宋体" w:cs="宋体"/>
        </w:rPr>
        <w:t>采购活动，服务全部由符合政策要求的中小企业承接。 相关企业（含联合体中的中小企业、 签订分包意向协议的中小企业）的具体情况如下：</w:t>
      </w:r>
    </w:p>
    <w:p w14:paraId="60131CE1">
      <w:pPr>
        <w:numPr>
          <w:ilvl w:val="0"/>
          <w:numId w:val="4"/>
        </w:numPr>
        <w:spacing w:line="360" w:lineRule="auto"/>
        <w:ind w:firstLine="420" w:firstLineChars="200"/>
        <w:rPr>
          <w:rFonts w:hint="eastAsia" w:ascii="宋体" w:hAnsi="宋体" w:cs="宋体"/>
          <w:color w:val="auto"/>
        </w:rPr>
      </w:pPr>
      <w:r>
        <w:rPr>
          <w:rFonts w:hint="eastAsia" w:ascii="宋体" w:hAnsi="宋体" w:cs="宋体"/>
          <w:color w:val="auto"/>
          <w:u w:val="single"/>
        </w:rPr>
        <w:t>（</w:t>
      </w:r>
      <w:r>
        <w:rPr>
          <w:rFonts w:hint="eastAsia" w:ascii="宋体" w:hAnsi="宋体" w:cs="宋体"/>
          <w:color w:val="auto"/>
          <w:kern w:val="0"/>
          <w:u w:val="single"/>
          <w:lang w:val="en-US" w:eastAsia="zh-CN"/>
        </w:rPr>
        <w:t xml:space="preserve"> </w:t>
      </w:r>
      <w:r>
        <w:rPr>
          <w:rFonts w:hint="eastAsia" w:ascii="宋体" w:hAnsi="宋体" w:eastAsia="宋体" w:cs="宋体"/>
          <w:color w:val="000000"/>
          <w:kern w:val="0"/>
          <w:sz w:val="20"/>
          <w:szCs w:val="20"/>
          <w:u w:val="single"/>
          <w14:ligatures w14:val="none"/>
        </w:rPr>
        <w:t>55寸LED拼接屏</w:t>
      </w:r>
      <w:r>
        <w:rPr>
          <w:rFonts w:hint="eastAsia" w:ascii="宋体" w:hAnsi="宋体" w:cs="宋体"/>
          <w:color w:val="auto"/>
          <w:kern w:val="0"/>
          <w:u w:val="single"/>
          <w:lang w:val="en-US" w:eastAsia="zh-CN"/>
        </w:rPr>
        <w:t xml:space="preserve">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69D8163C">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2</w:t>
      </w:r>
      <w:r>
        <w:rPr>
          <w:rFonts w:hint="eastAsia" w:ascii="宋体" w:hAnsi="宋体" w:cs="宋体"/>
          <w:color w:val="auto"/>
        </w:rPr>
        <w:t xml:space="preserve">. </w:t>
      </w:r>
      <w:r>
        <w:rPr>
          <w:rFonts w:hint="eastAsia" w:ascii="宋体" w:hAnsi="宋体" w:cs="宋体"/>
          <w:color w:val="auto"/>
          <w:u w:val="single"/>
        </w:rPr>
        <w:t>（图像处理器</w:t>
      </w:r>
      <w:r>
        <w:rPr>
          <w:rFonts w:hint="eastAsia" w:ascii="宋体" w:hAnsi="宋体" w:cs="宋体"/>
          <w:color w:val="auto"/>
          <w:u w:val="single"/>
          <w:lang w:val="en-US" w:eastAsia="zh-CN"/>
        </w:rPr>
        <w:t xml:space="preserve">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0EA2548A">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3</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辅材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086D9516">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4</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视频会议终端（核心产品）</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7FF17B49">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5</w:t>
      </w:r>
      <w:r>
        <w:rPr>
          <w:rFonts w:hint="eastAsia" w:ascii="宋体" w:hAnsi="宋体" w:cs="宋体"/>
          <w:color w:val="auto"/>
        </w:rPr>
        <w:t xml:space="preserve">. </w:t>
      </w:r>
      <w:r>
        <w:rPr>
          <w:rFonts w:hint="eastAsia" w:ascii="宋体" w:hAnsi="宋体" w:cs="宋体"/>
          <w:color w:val="auto"/>
          <w:u w:val="single"/>
        </w:rPr>
        <w:t>（视频会议摄像机）</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7F0FBDA3">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6</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会议音柱扬声器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39D808B6">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7</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双通道专业数字功放</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02ACB23C">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8</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调音台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0B8A584B">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9</w:t>
      </w:r>
      <w:r>
        <w:rPr>
          <w:rFonts w:hint="eastAsia" w:ascii="宋体" w:hAnsi="宋体" w:cs="宋体"/>
          <w:color w:val="auto"/>
        </w:rPr>
        <w:t xml:space="preserve">. </w:t>
      </w:r>
      <w:r>
        <w:rPr>
          <w:rFonts w:hint="eastAsia" w:ascii="宋体" w:hAnsi="宋体" w:cs="宋体"/>
          <w:color w:val="auto"/>
          <w:u w:val="single"/>
        </w:rPr>
        <w:t>（专业自动反馈抑制器</w:t>
      </w:r>
      <w:r>
        <w:rPr>
          <w:rFonts w:hint="eastAsia" w:ascii="宋体" w:hAnsi="宋体" w:cs="宋体"/>
          <w:color w:val="auto"/>
          <w:kern w:val="0"/>
          <w:u w:val="single"/>
          <w:lang w:val="en-US" w:eastAsia="zh-CN"/>
        </w:rPr>
        <w:t xml:space="preserve">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119CE232">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10</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真分集无线话筒套装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1E2FE8D9">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11</w:t>
      </w:r>
      <w:r>
        <w:rPr>
          <w:rFonts w:hint="eastAsia" w:ascii="宋体" w:hAnsi="宋体" w:cs="宋体"/>
          <w:color w:val="auto"/>
        </w:rPr>
        <w:t xml:space="preserve">. </w:t>
      </w:r>
      <w:r>
        <w:rPr>
          <w:rFonts w:hint="eastAsia" w:ascii="宋体" w:hAnsi="宋体" w:cs="宋体"/>
          <w:color w:val="auto"/>
          <w:u w:val="single"/>
        </w:rPr>
        <w:t>（专业电容式会议麦克风</w:t>
      </w:r>
      <w:r>
        <w:rPr>
          <w:rFonts w:hint="eastAsia" w:ascii="宋体" w:hAnsi="宋体" w:cs="宋体"/>
          <w:color w:val="auto"/>
          <w:kern w:val="0"/>
          <w:u w:val="single"/>
          <w:lang w:val="en-US" w:eastAsia="zh-CN"/>
        </w:rPr>
        <w:t xml:space="preserve">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58B99551">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12</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电源时序器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78D1622E">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13</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辅材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64E401E5">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14</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防火墙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264F23EB">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15</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6KVA UPS应急电源主机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32AB8C09">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16</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6KVA UPS应急电源电池</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6B406E7E">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17</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配套配电箱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2D45B430">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18</w:t>
      </w:r>
      <w:r>
        <w:rPr>
          <w:rFonts w:hint="eastAsia" w:ascii="宋体" w:hAnsi="宋体" w:cs="宋体"/>
          <w:color w:val="auto"/>
        </w:rPr>
        <w:t xml:space="preserve">. </w:t>
      </w:r>
      <w:r>
        <w:rPr>
          <w:rFonts w:hint="eastAsia" w:ascii="宋体" w:hAnsi="宋体" w:cs="宋体"/>
          <w:color w:val="auto"/>
          <w:u w:val="single"/>
        </w:rPr>
        <w:t>（应急操作席</w:t>
      </w:r>
      <w:r>
        <w:rPr>
          <w:rFonts w:hint="eastAsia" w:ascii="宋体" w:hAnsi="宋体" w:cs="宋体"/>
          <w:color w:val="auto"/>
          <w:u w:val="single"/>
          <w:lang w:eastAsia="zh-CN"/>
        </w:rPr>
        <w:t>（</w:t>
      </w:r>
      <w:r>
        <w:rPr>
          <w:rFonts w:hint="eastAsia" w:ascii="宋体" w:hAnsi="宋体" w:cs="宋体"/>
          <w:color w:val="auto"/>
          <w:u w:val="single"/>
          <w:lang w:val="en-US" w:eastAsia="zh-CN"/>
        </w:rPr>
        <w:t>1</w:t>
      </w:r>
      <w:r>
        <w:rPr>
          <w:rFonts w:hint="eastAsia" w:ascii="宋体" w:hAnsi="宋体" w:cs="宋体"/>
          <w:color w:val="auto"/>
          <w:u w:val="single"/>
          <w:lang w:eastAsia="zh-CN"/>
        </w:rPr>
        <w:t>）</w:t>
      </w:r>
      <w:r>
        <w:rPr>
          <w:rFonts w:hint="eastAsia" w:ascii="宋体" w:hAnsi="宋体" w:cs="宋体"/>
          <w:color w:val="auto"/>
          <w:kern w:val="0"/>
          <w:u w:val="single"/>
          <w:lang w:val="en-US" w:eastAsia="zh-CN"/>
        </w:rPr>
        <w:t xml:space="preserve">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26FE842F">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19</w:t>
      </w:r>
      <w:r>
        <w:rPr>
          <w:rFonts w:hint="eastAsia" w:ascii="宋体" w:hAnsi="宋体" w:cs="宋体"/>
          <w:color w:val="auto"/>
        </w:rPr>
        <w:t xml:space="preserve">. </w:t>
      </w:r>
      <w:r>
        <w:rPr>
          <w:rFonts w:hint="eastAsia" w:ascii="宋体" w:hAnsi="宋体" w:cs="宋体"/>
          <w:color w:val="auto"/>
          <w:u w:val="single"/>
        </w:rPr>
        <w:t>（应急操作椅（1）</w:t>
      </w:r>
      <w:r>
        <w:rPr>
          <w:rFonts w:hint="eastAsia" w:ascii="宋体" w:hAnsi="宋体" w:cs="宋体"/>
          <w:color w:val="auto"/>
          <w:kern w:val="0"/>
          <w:u w:val="single"/>
          <w:lang w:val="en-US" w:eastAsia="zh-CN"/>
        </w:rPr>
        <w:t xml:space="preserve">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3E719A73">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20</w:t>
      </w:r>
      <w:r>
        <w:rPr>
          <w:rFonts w:hint="eastAsia" w:ascii="宋体" w:hAnsi="宋体" w:cs="宋体"/>
          <w:color w:val="auto"/>
        </w:rPr>
        <w:t xml:space="preserve">. </w:t>
      </w:r>
      <w:r>
        <w:rPr>
          <w:rFonts w:hint="eastAsia" w:ascii="宋体" w:hAnsi="宋体" w:cs="宋体"/>
          <w:color w:val="auto"/>
          <w:u w:val="single"/>
        </w:rPr>
        <w:t>（应急指挥席（2）</w:t>
      </w:r>
      <w:r>
        <w:rPr>
          <w:rFonts w:hint="eastAsia" w:ascii="宋体" w:hAnsi="宋体" w:cs="宋体"/>
          <w:color w:val="auto"/>
          <w:kern w:val="0"/>
          <w:u w:val="single"/>
          <w:lang w:val="en-US" w:eastAsia="zh-CN"/>
        </w:rPr>
        <w:t xml:space="preserve">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0E7D944C">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21</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w:t>
      </w:r>
      <w:r>
        <w:rPr>
          <w:rFonts w:hint="eastAsia" w:ascii="宋体" w:hAnsi="宋体" w:eastAsia="宋体" w:cs="宋体"/>
          <w:color w:val="000000"/>
          <w:kern w:val="0"/>
          <w:sz w:val="20"/>
          <w:szCs w:val="20"/>
          <w:u w:val="single"/>
          <w14:ligatures w14:val="none"/>
        </w:rPr>
        <w:t>应急指挥椅</w:t>
      </w:r>
      <w:r>
        <w:rPr>
          <w:rFonts w:hint="eastAsia" w:ascii="宋体" w:hAnsi="宋体" w:cs="宋体"/>
          <w:color w:val="000000"/>
          <w:kern w:val="0"/>
          <w:sz w:val="20"/>
          <w:szCs w:val="20"/>
          <w:u w:val="single"/>
          <w:lang w:eastAsia="zh-CN"/>
          <w14:ligatures w14:val="none"/>
        </w:rPr>
        <w:t>（</w:t>
      </w:r>
      <w:r>
        <w:rPr>
          <w:rFonts w:hint="eastAsia" w:ascii="宋体" w:hAnsi="宋体" w:cs="宋体"/>
          <w:color w:val="000000"/>
          <w:kern w:val="0"/>
          <w:sz w:val="20"/>
          <w:szCs w:val="20"/>
          <w:u w:val="single"/>
          <w:lang w:val="en-US" w:eastAsia="zh-CN"/>
          <w14:ligatures w14:val="none"/>
        </w:rPr>
        <w:t>2</w:t>
      </w:r>
      <w:r>
        <w:rPr>
          <w:rFonts w:hint="eastAsia" w:ascii="宋体" w:hAnsi="宋体" w:cs="宋体"/>
          <w:color w:val="000000"/>
          <w:kern w:val="0"/>
          <w:sz w:val="20"/>
          <w:szCs w:val="20"/>
          <w:u w:val="single"/>
          <w:lang w:eastAsia="zh-CN"/>
          <w14:ligatures w14:val="none"/>
        </w:rPr>
        <w:t>）</w:t>
      </w:r>
      <w:r>
        <w:rPr>
          <w:rFonts w:hint="eastAsia" w:ascii="宋体" w:hAnsi="宋体" w:cs="宋体"/>
          <w:color w:val="auto"/>
          <w:kern w:val="0"/>
          <w:u w:val="single"/>
          <w:lang w:val="en-US" w:eastAsia="zh-CN"/>
        </w:rPr>
        <w:t xml:space="preserve">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34697C06">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22</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国产电脑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62C389E5">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23</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涉密打印机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2E440B97">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24</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403配套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63ECDA9A">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25</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监控显示屏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0741A110">
      <w:pPr>
        <w:spacing w:line="360" w:lineRule="auto"/>
        <w:ind w:firstLine="420" w:firstLineChars="200"/>
        <w:rPr>
          <w:rFonts w:hint="eastAsia" w:ascii="宋体" w:hAnsi="宋体" w:cs="宋体"/>
          <w:color w:val="auto"/>
        </w:rPr>
      </w:pPr>
      <w:r>
        <w:rPr>
          <w:rFonts w:hint="eastAsia" w:ascii="宋体" w:hAnsi="宋体" w:cs="宋体"/>
          <w:color w:val="auto"/>
          <w:lang w:val="en-US" w:eastAsia="zh-CN"/>
        </w:rPr>
        <w:t>26</w:t>
      </w:r>
      <w:r>
        <w:rPr>
          <w:rFonts w:hint="eastAsia" w:ascii="宋体" w:hAnsi="宋体" w:cs="宋体"/>
          <w:color w:val="auto"/>
        </w:rPr>
        <w:t xml:space="preserve">. </w:t>
      </w:r>
      <w:r>
        <w:rPr>
          <w:rFonts w:hint="eastAsia" w:ascii="宋体" w:hAnsi="宋体" w:cs="宋体"/>
          <w:color w:val="auto"/>
          <w:u w:val="single"/>
        </w:rPr>
        <w:t>（</w:t>
      </w:r>
      <w:r>
        <w:rPr>
          <w:rFonts w:hint="eastAsia" w:ascii="宋体" w:hAnsi="宋体" w:cs="宋体"/>
          <w:color w:val="auto"/>
          <w:kern w:val="0"/>
          <w:u w:val="single"/>
          <w:lang w:val="en-US" w:eastAsia="zh-CN"/>
        </w:rPr>
        <w:t xml:space="preserve"> 视频监控设备 </w:t>
      </w:r>
      <w:r>
        <w:rPr>
          <w:rFonts w:hint="eastAsia" w:ascii="宋体" w:hAnsi="宋体" w:cs="宋体"/>
          <w:color w:val="auto"/>
          <w:u w:val="single"/>
        </w:rPr>
        <w:t>）</w:t>
      </w:r>
      <w:r>
        <w:rPr>
          <w:rFonts w:hint="eastAsia" w:ascii="宋体" w:hAnsi="宋体" w:cs="宋体"/>
          <w:color w:val="auto"/>
        </w:rPr>
        <w:t xml:space="preserve"> ，属于</w:t>
      </w:r>
      <w:r>
        <w:rPr>
          <w:rFonts w:hint="eastAsia" w:ascii="宋体" w:hAnsi="宋体" w:cs="宋体"/>
          <w:color w:val="auto"/>
          <w:u w:val="single"/>
        </w:rPr>
        <w:t>（</w:t>
      </w:r>
      <w:r>
        <w:rPr>
          <w:rFonts w:hint="eastAsia" w:ascii="宋体" w:hAnsi="宋体" w:cs="宋体"/>
          <w:color w:val="auto"/>
          <w:u w:val="single"/>
          <w:lang w:val="en-US" w:eastAsia="zh-CN"/>
        </w:rPr>
        <w:t xml:space="preserve"> 软件和信息技术服务业 </w:t>
      </w:r>
      <w:r>
        <w:rPr>
          <w:rFonts w:hint="eastAsia" w:ascii="宋体" w:hAnsi="宋体" w:cs="宋体"/>
          <w:color w:val="auto"/>
          <w:u w:val="single"/>
        </w:rPr>
        <w:t>）</w:t>
      </w:r>
      <w:r>
        <w:rPr>
          <w:rFonts w:hint="eastAsia" w:ascii="宋体" w:hAnsi="宋体" w:cs="宋体"/>
          <w:color w:val="auto"/>
        </w:rPr>
        <w:t>行业；</w:t>
      </w:r>
      <w:r>
        <w:rPr>
          <w:rFonts w:hint="eastAsia" w:ascii="宋体" w:hAnsi="宋体" w:eastAsia="宋体" w:cs="宋体"/>
          <w:color w:val="auto"/>
          <w:sz w:val="24"/>
          <w:szCs w:val="24"/>
          <w:highlight w:val="none"/>
        </w:rPr>
        <w:t>制造商</w:t>
      </w:r>
      <w:r>
        <w:rPr>
          <w:rFonts w:hint="eastAsia" w:ascii="宋体" w:hAnsi="宋体" w:cs="宋体"/>
          <w:color w:val="auto"/>
        </w:rPr>
        <w:t>为</w:t>
      </w:r>
      <w:r>
        <w:rPr>
          <w:rFonts w:hint="eastAsia" w:ascii="宋体" w:hAnsi="宋体" w:cs="宋体"/>
          <w:color w:val="auto"/>
          <w:u w:val="single"/>
        </w:rPr>
        <w:t>（企业名称）</w:t>
      </w:r>
      <w:r>
        <w:rPr>
          <w:rFonts w:hint="eastAsia" w:ascii="宋体" w:hAnsi="宋体" w:cs="宋体"/>
          <w:color w:val="auto"/>
        </w:rPr>
        <w:t>，从业人员</w:t>
      </w:r>
      <w:r>
        <w:rPr>
          <w:rFonts w:hint="eastAsia" w:ascii="宋体" w:hAnsi="宋体" w:cs="宋体"/>
          <w:color w:val="auto"/>
          <w:u w:val="single"/>
        </w:rPr>
        <w:t xml:space="preserve">    </w:t>
      </w:r>
      <w:r>
        <w:rPr>
          <w:rFonts w:hint="eastAsia" w:ascii="宋体" w:hAnsi="宋体" w:cs="宋体"/>
          <w:color w:val="auto"/>
        </w:rPr>
        <w:t>人，营业收入为</w:t>
      </w:r>
      <w:r>
        <w:rPr>
          <w:rFonts w:hint="eastAsia" w:ascii="宋体" w:hAnsi="宋体" w:cs="宋体"/>
          <w:color w:val="auto"/>
          <w:u w:val="single"/>
        </w:rPr>
        <w:t xml:space="preserve">     </w:t>
      </w:r>
      <w:r>
        <w:rPr>
          <w:rFonts w:hint="eastAsia" w:ascii="宋体" w:hAnsi="宋体" w:cs="宋体"/>
          <w:color w:val="auto"/>
        </w:rPr>
        <w:t>万元，资产总额为</w:t>
      </w: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r>
        <w:rPr>
          <w:rFonts w:hint="eastAsia" w:ascii="宋体" w:hAnsi="宋体" w:cs="宋体"/>
          <w:color w:val="auto"/>
        </w:rPr>
        <w:t>万元，属于</w:t>
      </w:r>
      <w:r>
        <w:rPr>
          <w:rFonts w:hint="eastAsia" w:ascii="宋体" w:hAnsi="宋体" w:cs="宋体"/>
          <w:color w:val="auto"/>
          <w:u w:val="single"/>
        </w:rPr>
        <w:t>（中型企业、 小型企业、 微型企业）</w:t>
      </w:r>
      <w:r>
        <w:rPr>
          <w:rFonts w:hint="eastAsia" w:ascii="宋体" w:hAnsi="宋体" w:cs="宋体"/>
          <w:color w:val="auto"/>
        </w:rPr>
        <w:t>；</w:t>
      </w:r>
    </w:p>
    <w:p w14:paraId="6036237D">
      <w:pPr>
        <w:spacing w:line="360" w:lineRule="auto"/>
        <w:ind w:firstLine="420" w:firstLineChars="200"/>
        <w:rPr>
          <w:rFonts w:hint="eastAsia" w:ascii="宋体" w:hAnsi="宋体" w:cs="宋体"/>
          <w:color w:val="auto"/>
        </w:rPr>
      </w:pPr>
      <w:r>
        <w:rPr>
          <w:rFonts w:hint="eastAsia" w:ascii="宋体" w:hAnsi="宋体" w:cs="宋体"/>
          <w:color w:val="auto"/>
        </w:rPr>
        <w:t>……</w:t>
      </w:r>
    </w:p>
    <w:p w14:paraId="75A78B3D">
      <w:pPr>
        <w:spacing w:line="360" w:lineRule="auto"/>
        <w:ind w:firstLine="420" w:firstLineChars="200"/>
        <w:rPr>
          <w:rFonts w:hint="eastAsia" w:ascii="宋体" w:hAnsi="宋体" w:cs="宋体"/>
        </w:rPr>
      </w:pPr>
      <w:r>
        <w:rPr>
          <w:rFonts w:hint="eastAsia" w:ascii="宋体" w:hAnsi="宋体" w:cs="宋体"/>
          <w:color w:val="auto"/>
        </w:rPr>
        <w:t>以上企业，不属于大企业</w:t>
      </w:r>
      <w:r>
        <w:rPr>
          <w:rFonts w:hint="eastAsia" w:ascii="宋体" w:hAnsi="宋体" w:cs="宋体"/>
        </w:rPr>
        <w:t>的分支机构， 不存在控股股东为大企业的情形， 也不存在与大企业的负责人为同一人的情形。</w:t>
      </w:r>
    </w:p>
    <w:p w14:paraId="05F98458">
      <w:pPr>
        <w:spacing w:line="360" w:lineRule="auto"/>
        <w:ind w:firstLine="420" w:firstLineChars="200"/>
        <w:rPr>
          <w:rFonts w:hint="eastAsia" w:ascii="宋体" w:hAnsi="宋体" w:cs="宋体"/>
        </w:rPr>
      </w:pPr>
      <w:r>
        <w:rPr>
          <w:rFonts w:hint="eastAsia" w:ascii="宋体" w:hAnsi="宋体" w:cs="宋体"/>
        </w:rPr>
        <w:t>本企业对上述声明内容的真实性负责。 如有虚假， 将依法承担相应责任。</w:t>
      </w:r>
    </w:p>
    <w:p w14:paraId="7FB3BF94">
      <w:pPr>
        <w:spacing w:line="360" w:lineRule="auto"/>
        <w:ind w:firstLine="420" w:firstLineChars="200"/>
        <w:rPr>
          <w:rFonts w:hint="eastAsia" w:ascii="宋体" w:hAnsi="宋体" w:cs="宋体"/>
        </w:rPr>
      </w:pPr>
      <w:r>
        <w:rPr>
          <w:rFonts w:hint="eastAsia" w:ascii="宋体" w:hAnsi="宋体" w:cs="宋体"/>
        </w:rPr>
        <w:t>注：1、从业人员、营业收入、资产总额填报上一年度数据，无上一年度数据的新成立企业可不填报。</w:t>
      </w:r>
    </w:p>
    <w:p w14:paraId="6EDB6DD8">
      <w:pPr>
        <w:spacing w:line="360" w:lineRule="auto"/>
        <w:ind w:firstLine="420" w:firstLineChars="200"/>
        <w:rPr>
          <w:rFonts w:hint="eastAsia" w:ascii="宋体" w:hAnsi="宋体" w:cs="宋体"/>
        </w:rPr>
      </w:pPr>
      <w:r>
        <w:rPr>
          <w:rFonts w:hint="eastAsia" w:ascii="宋体" w:hAnsi="宋体" w:cs="宋体"/>
        </w:rPr>
        <w:t>2、若无此项内容，可不提供此函。</w:t>
      </w:r>
    </w:p>
    <w:p w14:paraId="54BCD3B2">
      <w:pPr>
        <w:spacing w:line="360" w:lineRule="auto"/>
        <w:ind w:right="480"/>
        <w:jc w:val="right"/>
        <w:rPr>
          <w:rFonts w:hint="eastAsia" w:ascii="宋体" w:hAnsi="宋体" w:cs="宋体"/>
          <w:b/>
        </w:rPr>
      </w:pPr>
      <w:r>
        <w:rPr>
          <w:rFonts w:hint="eastAsia" w:ascii="宋体" w:hAnsi="宋体"/>
          <w:b/>
          <w:szCs w:val="32"/>
        </w:rPr>
        <w:t>供应商</w:t>
      </w:r>
      <w:r>
        <w:rPr>
          <w:rFonts w:hint="eastAsia" w:ascii="宋体" w:hAnsi="宋体" w:cs="宋体"/>
          <w:b/>
        </w:rPr>
        <w:t>：</w:t>
      </w:r>
      <w:r>
        <w:rPr>
          <w:rFonts w:hint="eastAsia" w:ascii="宋体" w:hAnsi="宋体" w:cs="宋体"/>
          <w:kern w:val="0"/>
          <w:sz w:val="28"/>
          <w:szCs w:val="28"/>
          <w:u w:val="single"/>
        </w:rPr>
        <w:t xml:space="preserve">       </w:t>
      </w:r>
      <w:r>
        <w:rPr>
          <w:rFonts w:hint="eastAsia" w:ascii="宋体" w:hAnsi="宋体" w:cs="宋体"/>
          <w:b/>
        </w:rPr>
        <w:t>（公章）</w:t>
      </w:r>
    </w:p>
    <w:p w14:paraId="65A5E71C">
      <w:pPr>
        <w:spacing w:line="360" w:lineRule="auto"/>
        <w:ind w:firstLine="482"/>
        <w:jc w:val="right"/>
        <w:rPr>
          <w:rFonts w:hint="eastAsia" w:ascii="宋体" w:hAnsi="宋体" w:cs="宋体"/>
          <w:b/>
        </w:rPr>
      </w:pPr>
      <w:r>
        <w:rPr>
          <w:rFonts w:hint="eastAsia" w:ascii="宋体" w:hAnsi="宋体" w:cs="宋体"/>
          <w:b/>
        </w:rPr>
        <w:t>企业法定代表人：</w:t>
      </w:r>
      <w:r>
        <w:rPr>
          <w:rFonts w:hint="eastAsia" w:ascii="宋体" w:hAnsi="宋体" w:cs="宋体"/>
          <w:kern w:val="0"/>
          <w:sz w:val="28"/>
          <w:szCs w:val="28"/>
          <w:u w:val="single"/>
        </w:rPr>
        <w:t xml:space="preserve">       </w:t>
      </w:r>
      <w:r>
        <w:rPr>
          <w:rFonts w:hint="eastAsia" w:ascii="宋体" w:hAnsi="宋体" w:cs="宋体"/>
          <w:b/>
        </w:rPr>
        <w:t>（签字或盖章）</w:t>
      </w:r>
    </w:p>
    <w:p w14:paraId="08DE4787">
      <w:pPr>
        <w:ind w:right="480" w:firstLine="5271" w:firstLineChars="2500"/>
        <w:rPr>
          <w:rFonts w:hint="eastAsia" w:ascii="宋体" w:hAnsi="宋体" w:cs="宋体"/>
          <w:b/>
          <w:bCs/>
          <w:kern w:val="0"/>
          <w:lang w:val="zh-CN"/>
        </w:rPr>
      </w:pPr>
      <w:r>
        <w:rPr>
          <w:rFonts w:hint="eastAsia" w:ascii="宋体" w:hAnsi="宋体" w:cs="宋体"/>
          <w:b/>
        </w:rPr>
        <w:t>年  月  日</w:t>
      </w:r>
    </w:p>
    <w:p w14:paraId="1F57DBF9">
      <w:pPr>
        <w:keepNext w:val="0"/>
        <w:keepLines w:val="0"/>
        <w:pageBreakBefore w:val="0"/>
        <w:kinsoku/>
        <w:wordWrap/>
        <w:overflowPunct/>
        <w:topLinePunct w:val="0"/>
        <w:bidi w:val="0"/>
        <w:snapToGrid/>
        <w:spacing w:after="240" w:line="240" w:lineRule="auto"/>
        <w:ind w:right="480" w:firstLine="482" w:firstLineChars="200"/>
        <w:jc w:val="right"/>
        <w:textAlignment w:val="auto"/>
        <w:rPr>
          <w:rFonts w:hint="eastAsia" w:ascii="宋体" w:hAnsi="宋体" w:eastAsia="宋体" w:cs="宋体"/>
          <w:b/>
          <w:bCs/>
          <w:kern w:val="0"/>
          <w:sz w:val="24"/>
          <w:szCs w:val="24"/>
          <w:lang w:val="zh-CN"/>
        </w:rPr>
      </w:pPr>
    </w:p>
    <w:p w14:paraId="7C9D1198">
      <w:pPr>
        <w:pStyle w:val="18"/>
        <w:spacing w:line="240" w:lineRule="auto"/>
        <w:rPr>
          <w:rFonts w:hint="eastAsia"/>
        </w:rPr>
        <w:sectPr>
          <w:pgSz w:w="11906" w:h="16838"/>
          <w:pgMar w:top="1440" w:right="1800" w:bottom="1440" w:left="1800" w:header="851" w:footer="992" w:gutter="0"/>
          <w:cols w:space="425" w:num="1"/>
          <w:docGrid w:type="lines" w:linePitch="312" w:charSpace="0"/>
        </w:sectPr>
      </w:pPr>
    </w:p>
    <w:p w14:paraId="6B518A43">
      <w:pPr>
        <w:widowControl/>
        <w:snapToGrid w:val="0"/>
        <w:spacing w:line="360" w:lineRule="auto"/>
        <w:ind w:firstLine="0" w:firstLineChars="0"/>
        <w:outlineLvl w:val="1"/>
        <w:rPr>
          <w:rFonts w:hint="eastAsia" w:ascii="宋体" w:hAnsi="宋体" w:eastAsia="宋体" w:cs="宋体"/>
          <w:b/>
          <w:color w:val="000000"/>
          <w:sz w:val="24"/>
          <w:szCs w:val="24"/>
        </w:rPr>
      </w:pP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lang w:val="en-US" w:eastAsia="zh-CN"/>
        </w:rPr>
        <w:t>1</w:t>
      </w:r>
      <w:r>
        <w:rPr>
          <w:rFonts w:hint="eastAsia" w:ascii="宋体" w:hAnsi="宋体" w:cs="宋体"/>
          <w:b/>
          <w:color w:val="000000"/>
          <w:sz w:val="24"/>
          <w:szCs w:val="24"/>
          <w:lang w:val="en-US" w:eastAsia="zh-CN"/>
        </w:rPr>
        <w:t>1</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残疾人福利性单位声明函</w:t>
      </w:r>
    </w:p>
    <w:p w14:paraId="788F44D1">
      <w:pPr>
        <w:ind w:firstLine="0" w:firstLineChars="0"/>
        <w:jc w:val="center"/>
        <w:rPr>
          <w:rFonts w:hint="eastAsia" w:ascii="宋体" w:hAnsi="宋体" w:eastAsia="宋体" w:cs="宋体"/>
          <w:b/>
          <w:sz w:val="24"/>
          <w:szCs w:val="24"/>
        </w:rPr>
      </w:pPr>
    </w:p>
    <w:p w14:paraId="2B96BB7E">
      <w:pPr>
        <w:widowControl/>
        <w:snapToGrid w:val="0"/>
        <w:spacing w:line="360" w:lineRule="auto"/>
        <w:ind w:firstLine="0" w:firstLineChars="0"/>
        <w:jc w:val="center"/>
        <w:outlineLvl w:val="1"/>
        <w:rPr>
          <w:rFonts w:hint="eastAsia" w:ascii="宋体" w:hAnsi="宋体" w:eastAsia="宋体" w:cs="宋体"/>
          <w:b/>
          <w:color w:val="000000"/>
          <w:sz w:val="24"/>
          <w:szCs w:val="24"/>
          <w:lang w:val="zh-CN" w:eastAsia="zh-CN"/>
        </w:rPr>
      </w:pPr>
      <w:bookmarkStart w:id="170" w:name="_Toc27032"/>
      <w:r>
        <w:rPr>
          <w:rFonts w:hint="eastAsia" w:ascii="宋体" w:hAnsi="宋体" w:eastAsia="宋体" w:cs="宋体"/>
          <w:b/>
          <w:color w:val="000000"/>
          <w:sz w:val="24"/>
          <w:szCs w:val="24"/>
          <w:lang w:val="zh-CN" w:eastAsia="zh-CN"/>
        </w:rPr>
        <w:t>残疾人福利性单位声明函</w:t>
      </w:r>
      <w:bookmarkEnd w:id="170"/>
    </w:p>
    <w:p w14:paraId="6C89AAF1">
      <w:pPr>
        <w:spacing w:after="156" w:afterLines="50"/>
        <w:ind w:firstLine="0" w:firstLineChars="0"/>
        <w:rPr>
          <w:rFonts w:hint="eastAsia" w:ascii="宋体" w:hAnsi="宋体" w:eastAsia="宋体" w:cs="宋体"/>
          <w:b/>
          <w:bCs/>
          <w:sz w:val="24"/>
          <w:szCs w:val="24"/>
          <w:lang w:val="zh-CN"/>
        </w:rPr>
      </w:pPr>
    </w:p>
    <w:p w14:paraId="5CB95365">
      <w:pPr>
        <w:spacing w:after="156" w:afterLines="50"/>
        <w:ind w:firstLine="0" w:firstLineChars="0"/>
        <w:rPr>
          <w:rFonts w:hint="eastAsia" w:ascii="宋体" w:hAnsi="宋体" w:eastAsia="宋体" w:cs="宋体"/>
          <w:b/>
          <w:bCs/>
          <w:sz w:val="24"/>
          <w:szCs w:val="24"/>
          <w:lang w:val="zh-CN"/>
        </w:rPr>
      </w:pPr>
      <w:r>
        <w:rPr>
          <w:rFonts w:hint="eastAsia" w:ascii="宋体" w:hAnsi="宋体" w:eastAsia="宋体" w:cs="宋体"/>
          <w:b/>
          <w:bCs/>
          <w:sz w:val="24"/>
          <w:szCs w:val="24"/>
          <w:lang w:val="zh-CN"/>
        </w:rPr>
        <w:t>致：青海聚帛工程项目管理有限公司</w:t>
      </w:r>
    </w:p>
    <w:p w14:paraId="2B63A473">
      <w:pPr>
        <w:spacing w:line="360" w:lineRule="auto"/>
        <w:ind w:firstLine="480"/>
        <w:rPr>
          <w:rFonts w:hint="eastAsia" w:ascii="宋体" w:hAnsi="宋体" w:eastAsia="宋体" w:cs="宋体"/>
          <w:sz w:val="24"/>
          <w:szCs w:val="24"/>
        </w:rPr>
      </w:pPr>
    </w:p>
    <w:p w14:paraId="1D846FB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本单位郑重声明，根据《财政部、民政部、中国残疾人联合会关于促进残疾人就业政府采购政策的通知》（财库〔2017〕141号）的规定，本公司为符合条件的残疾人福利性单位，本公司在职职工人数为</w:t>
      </w:r>
      <w:r>
        <w:rPr>
          <w:rFonts w:hint="eastAsia" w:ascii="宋体" w:hAnsi="宋体" w:eastAsia="宋体" w:cs="宋体"/>
          <w:sz w:val="24"/>
          <w:szCs w:val="24"/>
          <w:u w:val="single"/>
        </w:rPr>
        <w:t xml:space="preserve">       </w:t>
      </w:r>
      <w:r>
        <w:rPr>
          <w:rFonts w:hint="eastAsia" w:ascii="宋体" w:hAnsi="宋体" w:eastAsia="宋体" w:cs="宋体"/>
          <w:sz w:val="24"/>
          <w:szCs w:val="24"/>
        </w:rPr>
        <w:t>人，安置的残疾人人数</w:t>
      </w:r>
      <w:r>
        <w:rPr>
          <w:rFonts w:hint="eastAsia" w:ascii="宋体" w:hAnsi="宋体" w:eastAsia="宋体" w:cs="宋体"/>
          <w:sz w:val="24"/>
          <w:szCs w:val="24"/>
          <w:u w:val="single"/>
        </w:rPr>
        <w:t xml:space="preserve">      </w:t>
      </w:r>
      <w:r>
        <w:rPr>
          <w:rFonts w:hint="eastAsia" w:ascii="宋体" w:hAnsi="宋体" w:eastAsia="宋体" w:cs="宋体"/>
          <w:sz w:val="24"/>
          <w:szCs w:val="24"/>
        </w:rPr>
        <w:t>人。且本单位参加</w:t>
      </w:r>
      <w:r>
        <w:rPr>
          <w:rFonts w:hint="eastAsia" w:ascii="宋体" w:hAnsi="宋体" w:cs="宋体"/>
          <w:sz w:val="24"/>
          <w:szCs w:val="24"/>
          <w:lang w:val="zh-CN"/>
        </w:rPr>
        <w:t>尖扎县一体化网络应急指挥中心建设项目</w:t>
      </w:r>
      <w:r>
        <w:rPr>
          <w:rFonts w:hint="eastAsia" w:ascii="宋体" w:hAnsi="宋体" w:eastAsia="宋体" w:cs="宋体"/>
          <w:sz w:val="24"/>
          <w:szCs w:val="24"/>
        </w:rPr>
        <w:t>采购活动提供本单位制造的货物（由本单位承担工程/提供服务），或者提供其他残疾人福利性公司制造的货物（不包括使用非残疾人福利性公司注册商标的货物）。</w:t>
      </w:r>
    </w:p>
    <w:p w14:paraId="37612558">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本公司对上述声明的真实性负责。如有虚假，将依法承担相应责任。</w:t>
      </w:r>
    </w:p>
    <w:p w14:paraId="0AE42FA6">
      <w:pPr>
        <w:spacing w:line="360" w:lineRule="auto"/>
        <w:ind w:firstLine="480"/>
        <w:rPr>
          <w:rFonts w:hint="eastAsia" w:ascii="宋体" w:hAnsi="宋体" w:eastAsia="宋体" w:cs="宋体"/>
          <w:sz w:val="24"/>
          <w:szCs w:val="24"/>
        </w:rPr>
      </w:pPr>
    </w:p>
    <w:p w14:paraId="019BE969">
      <w:pPr>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rPr>
        <w:t>注：若无此项内容，可不提供此函。</w:t>
      </w:r>
    </w:p>
    <w:p w14:paraId="3F6E73E4">
      <w:pPr>
        <w:spacing w:line="360" w:lineRule="auto"/>
        <w:ind w:firstLine="480"/>
        <w:rPr>
          <w:rFonts w:hint="eastAsia" w:ascii="宋体" w:hAnsi="宋体" w:eastAsia="宋体" w:cs="宋体"/>
          <w:sz w:val="24"/>
          <w:szCs w:val="24"/>
        </w:rPr>
      </w:pPr>
    </w:p>
    <w:p w14:paraId="41BD00E1">
      <w:pPr>
        <w:spacing w:line="360" w:lineRule="auto"/>
        <w:ind w:firstLine="480"/>
        <w:rPr>
          <w:rFonts w:hint="eastAsia" w:ascii="宋体" w:hAnsi="宋体" w:eastAsia="宋体" w:cs="宋体"/>
          <w:sz w:val="24"/>
          <w:szCs w:val="24"/>
        </w:rPr>
      </w:pPr>
    </w:p>
    <w:p w14:paraId="120A5BB1">
      <w:pPr>
        <w:spacing w:line="360" w:lineRule="auto"/>
        <w:ind w:firstLine="480"/>
        <w:rPr>
          <w:rFonts w:hint="eastAsia" w:ascii="宋体" w:hAnsi="宋体" w:eastAsia="宋体" w:cs="宋体"/>
          <w:sz w:val="24"/>
          <w:szCs w:val="24"/>
        </w:rPr>
      </w:pPr>
    </w:p>
    <w:p w14:paraId="37C64738">
      <w:pPr>
        <w:spacing w:line="360" w:lineRule="auto"/>
        <w:ind w:firstLine="480"/>
        <w:rPr>
          <w:rFonts w:hint="eastAsia" w:ascii="宋体" w:hAnsi="宋体" w:eastAsia="宋体" w:cs="宋体"/>
          <w:sz w:val="24"/>
          <w:szCs w:val="24"/>
        </w:rPr>
      </w:pPr>
    </w:p>
    <w:p w14:paraId="6364308C">
      <w:pPr>
        <w:spacing w:line="360" w:lineRule="auto"/>
        <w:ind w:firstLine="480"/>
        <w:rPr>
          <w:rFonts w:hint="eastAsia" w:ascii="宋体" w:hAnsi="宋体" w:eastAsia="宋体" w:cs="宋体"/>
          <w:sz w:val="24"/>
          <w:szCs w:val="24"/>
        </w:rPr>
      </w:pPr>
    </w:p>
    <w:p w14:paraId="33D73086">
      <w:pPr>
        <w:spacing w:line="360" w:lineRule="auto"/>
        <w:ind w:firstLine="0" w:firstLineChars="0"/>
        <w:rPr>
          <w:rFonts w:hint="eastAsia" w:ascii="宋体" w:hAnsi="宋体" w:eastAsia="宋体" w:cs="宋体"/>
          <w:sz w:val="24"/>
          <w:szCs w:val="24"/>
        </w:rPr>
      </w:pPr>
    </w:p>
    <w:p w14:paraId="51F573DC">
      <w:pPr>
        <w:spacing w:line="360" w:lineRule="auto"/>
        <w:ind w:firstLine="0" w:firstLineChars="0"/>
        <w:jc w:val="right"/>
        <w:rPr>
          <w:rFonts w:hint="eastAsia" w:ascii="宋体" w:hAnsi="宋体" w:eastAsia="宋体" w:cs="宋体"/>
          <w:b/>
          <w:sz w:val="24"/>
          <w:szCs w:val="24"/>
        </w:rPr>
      </w:pPr>
      <w:r>
        <w:rPr>
          <w:rFonts w:hint="eastAsia" w:ascii="宋体" w:hAnsi="宋体" w:eastAsia="宋体" w:cs="宋体"/>
          <w:b/>
          <w:sz w:val="24"/>
          <w:szCs w:val="24"/>
        </w:rPr>
        <w:t>企业名称：</w:t>
      </w:r>
      <w:r>
        <w:rPr>
          <w:rFonts w:hint="eastAsia" w:ascii="宋体" w:hAnsi="宋体" w:eastAsia="宋体" w:cs="宋体"/>
          <w:kern w:val="0"/>
          <w:sz w:val="24"/>
          <w:szCs w:val="24"/>
          <w:u w:val="single"/>
        </w:rPr>
        <w:t xml:space="preserve">       </w:t>
      </w:r>
      <w:r>
        <w:rPr>
          <w:rFonts w:hint="eastAsia" w:ascii="宋体" w:hAnsi="宋体" w:eastAsia="宋体" w:cs="宋体"/>
          <w:b/>
          <w:sz w:val="24"/>
          <w:szCs w:val="24"/>
        </w:rPr>
        <w:t>（公章）</w:t>
      </w:r>
    </w:p>
    <w:p w14:paraId="6057536E">
      <w:pPr>
        <w:spacing w:line="360" w:lineRule="auto"/>
        <w:ind w:firstLine="482"/>
        <w:jc w:val="right"/>
        <w:rPr>
          <w:rFonts w:hint="eastAsia" w:ascii="宋体" w:hAnsi="宋体" w:eastAsia="宋体" w:cs="宋体"/>
          <w:b/>
          <w:sz w:val="24"/>
          <w:szCs w:val="24"/>
        </w:rPr>
      </w:pPr>
      <w:r>
        <w:rPr>
          <w:rFonts w:hint="eastAsia" w:ascii="宋体" w:hAnsi="宋体" w:eastAsia="宋体" w:cs="宋体"/>
          <w:b/>
          <w:sz w:val="24"/>
          <w:szCs w:val="24"/>
        </w:rPr>
        <w:t>企业法定代表人：</w:t>
      </w:r>
      <w:r>
        <w:rPr>
          <w:rFonts w:hint="eastAsia" w:ascii="宋体" w:hAnsi="宋体" w:eastAsia="宋体" w:cs="宋体"/>
          <w:kern w:val="0"/>
          <w:sz w:val="24"/>
          <w:szCs w:val="24"/>
          <w:u w:val="single"/>
        </w:rPr>
        <w:t xml:space="preserve">       </w:t>
      </w:r>
      <w:r>
        <w:rPr>
          <w:rFonts w:hint="eastAsia" w:ascii="宋体" w:hAnsi="宋体" w:eastAsia="宋体" w:cs="宋体"/>
          <w:b/>
          <w:sz w:val="24"/>
          <w:szCs w:val="24"/>
        </w:rPr>
        <w:t>（签字或盖章）</w:t>
      </w:r>
    </w:p>
    <w:p w14:paraId="69D626E9">
      <w:pPr>
        <w:ind w:right="1080" w:firstLine="482"/>
        <w:jc w:val="right"/>
        <w:rPr>
          <w:rFonts w:hint="eastAsia" w:ascii="宋体" w:hAnsi="宋体" w:eastAsia="宋体" w:cs="宋体"/>
          <w:b/>
          <w:sz w:val="24"/>
          <w:szCs w:val="24"/>
        </w:rPr>
      </w:pPr>
      <w:r>
        <w:rPr>
          <w:rFonts w:hint="eastAsia" w:ascii="宋体" w:hAnsi="宋体" w:eastAsia="宋体" w:cs="宋体"/>
          <w:b/>
          <w:sz w:val="24"/>
          <w:szCs w:val="24"/>
        </w:rPr>
        <w:t>年  月  日</w:t>
      </w:r>
    </w:p>
    <w:p w14:paraId="43EDB1F9">
      <w:pPr>
        <w:snapToGrid w:val="0"/>
        <w:ind w:firstLine="0" w:firstLineChars="0"/>
        <w:outlineLvl w:val="9"/>
        <w:rPr>
          <w:rFonts w:hint="eastAsia" w:ascii="宋体" w:hAnsi="宋体" w:eastAsia="宋体" w:cs="宋体"/>
          <w:b/>
          <w:color w:val="000000"/>
          <w:sz w:val="24"/>
          <w:szCs w:val="24"/>
          <w:lang w:val="zh-CN"/>
        </w:rPr>
      </w:pPr>
    </w:p>
    <w:p w14:paraId="3083A5A6">
      <w:pPr>
        <w:snapToGrid w:val="0"/>
        <w:ind w:firstLine="0" w:firstLineChars="0"/>
        <w:outlineLvl w:val="9"/>
        <w:rPr>
          <w:rFonts w:hint="eastAsia" w:ascii="宋体" w:hAnsi="宋体" w:eastAsia="宋体" w:cs="宋体"/>
          <w:b/>
          <w:color w:val="000000"/>
          <w:sz w:val="24"/>
          <w:szCs w:val="24"/>
          <w:lang w:val="zh-CN"/>
        </w:rPr>
      </w:pPr>
    </w:p>
    <w:p w14:paraId="39A55661">
      <w:pPr>
        <w:snapToGrid w:val="0"/>
        <w:ind w:firstLine="0" w:firstLineChars="0"/>
        <w:outlineLvl w:val="9"/>
        <w:rPr>
          <w:rFonts w:hint="eastAsia" w:ascii="宋体" w:hAnsi="宋体" w:eastAsia="宋体" w:cs="宋体"/>
          <w:b/>
          <w:color w:val="000000"/>
          <w:sz w:val="24"/>
          <w:szCs w:val="24"/>
          <w:lang w:val="zh-CN"/>
        </w:rPr>
      </w:pPr>
    </w:p>
    <w:p w14:paraId="2795AD55">
      <w:pPr>
        <w:pStyle w:val="21"/>
        <w:rPr>
          <w:rFonts w:hint="eastAsia" w:ascii="宋体" w:hAnsi="宋体" w:eastAsia="宋体" w:cs="宋体"/>
          <w:sz w:val="24"/>
          <w:szCs w:val="24"/>
          <w:lang w:val="zh-CN"/>
        </w:rPr>
      </w:pPr>
    </w:p>
    <w:p w14:paraId="3AF147BC">
      <w:pPr>
        <w:rPr>
          <w:rFonts w:hint="eastAsia" w:ascii="宋体" w:hAnsi="宋体" w:eastAsia="宋体" w:cs="宋体"/>
          <w:sz w:val="24"/>
          <w:szCs w:val="24"/>
          <w:lang w:val="zh-CN"/>
        </w:rPr>
      </w:pPr>
    </w:p>
    <w:p w14:paraId="43904889">
      <w:pPr>
        <w:pStyle w:val="21"/>
        <w:rPr>
          <w:rFonts w:hint="eastAsia" w:ascii="宋体" w:hAnsi="宋体" w:eastAsia="宋体" w:cs="宋体"/>
          <w:sz w:val="24"/>
          <w:szCs w:val="24"/>
          <w:lang w:val="zh-CN"/>
        </w:rPr>
      </w:pPr>
    </w:p>
    <w:p w14:paraId="49C257E4">
      <w:pPr>
        <w:rPr>
          <w:rFonts w:hint="eastAsia"/>
          <w:lang w:val="zh-CN"/>
        </w:rPr>
      </w:pPr>
    </w:p>
    <w:p w14:paraId="1BEAD12D">
      <w:pPr>
        <w:snapToGrid w:val="0"/>
        <w:ind w:firstLine="0" w:firstLineChars="0"/>
        <w:outlineLvl w:val="1"/>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w:t>
      </w:r>
      <w:r>
        <w:rPr>
          <w:rFonts w:hint="eastAsia" w:ascii="宋体" w:hAnsi="宋体" w:eastAsia="宋体" w:cs="宋体"/>
          <w:b/>
          <w:color w:val="000000"/>
          <w:sz w:val="24"/>
          <w:szCs w:val="24"/>
          <w:lang w:val="en-US" w:eastAsia="zh-CN"/>
        </w:rPr>
        <w:t>1</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lang w:val="zh-CN"/>
        </w:rPr>
        <w:t>）监狱企业证明资料（不属于监狱企业的无需提供）</w:t>
      </w:r>
    </w:p>
    <w:p w14:paraId="599433C0">
      <w:pPr>
        <w:spacing w:line="480" w:lineRule="auto"/>
        <w:ind w:firstLine="480"/>
        <w:rPr>
          <w:rFonts w:hint="eastAsia" w:ascii="宋体" w:hAnsi="宋体" w:eastAsia="宋体" w:cs="宋体"/>
          <w:sz w:val="24"/>
          <w:szCs w:val="24"/>
        </w:rPr>
      </w:pPr>
    </w:p>
    <w:p w14:paraId="4119329F">
      <w:pPr>
        <w:spacing w:line="480" w:lineRule="auto"/>
        <w:ind w:firstLine="480"/>
        <w:rPr>
          <w:rFonts w:hint="eastAsia" w:ascii="宋体" w:hAnsi="宋体" w:eastAsia="宋体" w:cs="宋体"/>
          <w:sz w:val="24"/>
          <w:szCs w:val="24"/>
        </w:rPr>
      </w:pPr>
      <w:r>
        <w:rPr>
          <w:rFonts w:hint="eastAsia" w:ascii="宋体" w:hAnsi="宋体" w:eastAsia="宋体" w:cs="宋体"/>
          <w:sz w:val="24"/>
          <w:szCs w:val="24"/>
        </w:rPr>
        <w:t>备注：按《财政部司法部关于政府采购支持监狱企业发展有关问题的通知》(财库〔2014〕68号)文件规定提供证明文件（复印件）。</w:t>
      </w:r>
    </w:p>
    <w:p w14:paraId="0ABC9F5C">
      <w:pPr>
        <w:spacing w:line="480" w:lineRule="auto"/>
        <w:ind w:firstLine="480"/>
        <w:rPr>
          <w:rFonts w:hint="eastAsia" w:ascii="宋体" w:hAnsi="宋体" w:eastAsia="宋体" w:cs="宋体"/>
          <w:sz w:val="24"/>
          <w:szCs w:val="24"/>
        </w:rPr>
      </w:pPr>
      <w:r>
        <w:rPr>
          <w:rFonts w:hint="eastAsia" w:ascii="宋体" w:hAnsi="宋体" w:eastAsia="宋体" w:cs="宋体"/>
          <w:sz w:val="24"/>
          <w:szCs w:val="24"/>
        </w:rPr>
        <w:t xml:space="preserve">                 </w:t>
      </w:r>
      <w:bookmarkStart w:id="171" w:name="_Toc22071_WPSOffice_Level3"/>
    </w:p>
    <w:p w14:paraId="007B8849">
      <w:pPr>
        <w:spacing w:line="480" w:lineRule="auto"/>
        <w:ind w:firstLine="480"/>
        <w:rPr>
          <w:rFonts w:hint="eastAsia" w:ascii="宋体" w:hAnsi="宋体" w:eastAsia="宋体" w:cs="宋体"/>
          <w:sz w:val="24"/>
          <w:szCs w:val="24"/>
        </w:rPr>
      </w:pPr>
    </w:p>
    <w:p w14:paraId="09A0FC1D">
      <w:pPr>
        <w:spacing w:line="48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单位名称：       （公章）</w:t>
      </w:r>
      <w:bookmarkEnd w:id="171"/>
    </w:p>
    <w:p w14:paraId="0726755C">
      <w:pPr>
        <w:spacing w:line="480" w:lineRule="auto"/>
        <w:ind w:firstLine="480"/>
        <w:rPr>
          <w:rFonts w:hint="eastAsia" w:ascii="宋体" w:hAnsi="宋体" w:eastAsia="宋体" w:cs="宋体"/>
          <w:sz w:val="24"/>
          <w:szCs w:val="24"/>
        </w:rPr>
      </w:pPr>
      <w:r>
        <w:rPr>
          <w:rFonts w:hint="eastAsia" w:ascii="宋体" w:hAnsi="宋体" w:eastAsia="宋体" w:cs="宋体"/>
          <w:sz w:val="24"/>
          <w:szCs w:val="24"/>
        </w:rPr>
        <w:t xml:space="preserve">        </w:t>
      </w:r>
      <w:bookmarkStart w:id="172" w:name="_Toc11539_WPSOffice_Level3"/>
      <w:r>
        <w:rPr>
          <w:rFonts w:hint="eastAsia" w:ascii="宋体" w:hAnsi="宋体" w:eastAsia="宋体" w:cs="宋体"/>
          <w:sz w:val="24"/>
          <w:szCs w:val="24"/>
        </w:rPr>
        <w:t>法定代表人或委托代理人：       （签字或盖章）</w:t>
      </w:r>
      <w:bookmarkEnd w:id="172"/>
    </w:p>
    <w:p w14:paraId="731D6918">
      <w:pPr>
        <w:spacing w:before="156" w:beforeLines="50" w:line="480" w:lineRule="auto"/>
        <w:ind w:firstLine="480"/>
        <w:jc w:val="center"/>
        <w:rPr>
          <w:rFonts w:hint="eastAsia" w:ascii="宋体" w:hAnsi="宋体" w:eastAsia="宋体" w:cs="宋体"/>
          <w:spacing w:val="6"/>
          <w:sz w:val="24"/>
          <w:szCs w:val="24"/>
        </w:rPr>
      </w:pPr>
      <w:r>
        <w:rPr>
          <w:rFonts w:hint="eastAsia" w:ascii="宋体" w:hAnsi="宋体" w:eastAsia="宋体" w:cs="宋体"/>
          <w:bCs/>
          <w:color w:val="000000"/>
          <w:sz w:val="24"/>
          <w:szCs w:val="24"/>
        </w:rPr>
        <w:t xml:space="preserve">                                    </w:t>
      </w:r>
      <w:bookmarkStart w:id="173" w:name="_Toc3285_WPSOffice_Level3"/>
      <w:r>
        <w:rPr>
          <w:rFonts w:hint="eastAsia" w:ascii="宋体" w:hAnsi="宋体" w:eastAsia="宋体" w:cs="宋体"/>
          <w:sz w:val="24"/>
          <w:szCs w:val="24"/>
        </w:rPr>
        <w:t>年   月  日</w:t>
      </w:r>
      <w:bookmarkEnd w:id="173"/>
    </w:p>
    <w:p w14:paraId="0BB023C0">
      <w:pPr>
        <w:ind w:firstLine="480"/>
        <w:rPr>
          <w:rFonts w:hint="eastAsia" w:ascii="宋体" w:hAnsi="宋体" w:eastAsia="宋体" w:cs="宋体"/>
          <w:sz w:val="24"/>
          <w:szCs w:val="24"/>
        </w:rPr>
      </w:pPr>
    </w:p>
    <w:p w14:paraId="40018412">
      <w:pPr>
        <w:ind w:firstLine="482"/>
        <w:rPr>
          <w:rFonts w:hint="eastAsia" w:ascii="宋体" w:hAnsi="宋体" w:eastAsia="宋体" w:cs="宋体"/>
          <w:b/>
          <w:bCs/>
          <w:sz w:val="24"/>
          <w:szCs w:val="24"/>
        </w:rPr>
      </w:pPr>
      <w:r>
        <w:rPr>
          <w:rFonts w:hint="eastAsia" w:ascii="宋体" w:hAnsi="宋体" w:eastAsia="宋体" w:cs="宋体"/>
          <w:b/>
          <w:bCs/>
          <w:sz w:val="24"/>
          <w:szCs w:val="24"/>
        </w:rPr>
        <w:t>说明：投标人参加本次采购活动时，提供虚假监狱企业证明资料的，以提供虚假材料谋取成交处理。</w:t>
      </w:r>
    </w:p>
    <w:p w14:paraId="7FB88346">
      <w:pPr>
        <w:rPr>
          <w:rFonts w:hint="eastAsia"/>
        </w:rPr>
        <w:sectPr>
          <w:pgSz w:w="11906" w:h="16838"/>
          <w:pgMar w:top="1440" w:right="1800" w:bottom="1440" w:left="1800" w:header="851" w:footer="992" w:gutter="0"/>
          <w:cols w:space="720" w:num="1"/>
          <w:docGrid w:type="lines" w:linePitch="312" w:charSpace="0"/>
        </w:sectPr>
      </w:pPr>
    </w:p>
    <w:p w14:paraId="5D8EF1E1">
      <w:pPr>
        <w:pStyle w:val="20"/>
        <w:jc w:val="left"/>
        <w:rPr>
          <w:rFonts w:hint="eastAsia" w:ascii="宋体" w:hAnsi="宋体" w:eastAsia="宋体" w:cs="宋体"/>
          <w:b/>
          <w:bCs/>
          <w:kern w:val="0"/>
          <w:sz w:val="32"/>
          <w:szCs w:val="32"/>
          <w:lang w:val="zh-CN"/>
        </w:rPr>
      </w:pPr>
      <w:bookmarkStart w:id="174" w:name="_Toc12839"/>
      <w:r>
        <w:rPr>
          <w:rFonts w:hint="eastAsia" w:ascii="宋体" w:hAnsi="宋体" w:eastAsia="宋体" w:cs="宋体"/>
          <w:sz w:val="32"/>
          <w:szCs w:val="32"/>
          <w:lang w:val="zh-CN"/>
        </w:rPr>
        <w:t>（</w:t>
      </w:r>
      <w:r>
        <w:rPr>
          <w:rFonts w:hint="eastAsia" w:ascii="宋体" w:hAnsi="宋体" w:eastAsia="宋体" w:cs="宋体"/>
          <w:sz w:val="32"/>
          <w:szCs w:val="32"/>
          <w:lang w:val="zh-CN" w:eastAsia="zh-CN"/>
        </w:rPr>
        <w:t>磋商</w:t>
      </w:r>
      <w:r>
        <w:rPr>
          <w:rFonts w:hint="eastAsia" w:ascii="宋体" w:hAnsi="宋体" w:eastAsia="宋体" w:cs="宋体"/>
          <w:sz w:val="32"/>
          <w:szCs w:val="32"/>
          <w:lang w:val="zh-CN"/>
        </w:rPr>
        <w:t>响应文件封面）</w:t>
      </w:r>
      <w:bookmarkEnd w:id="174"/>
    </w:p>
    <w:p w14:paraId="70AADC42">
      <w:pPr>
        <w:widowControl/>
        <w:spacing w:line="480" w:lineRule="exact"/>
        <w:ind w:firstLine="720" w:firstLineChars="224"/>
        <w:rPr>
          <w:rFonts w:hint="eastAsia" w:ascii="宋体" w:hAnsi="宋体" w:eastAsia="宋体" w:cs="宋体"/>
          <w:sz w:val="32"/>
          <w:szCs w:val="32"/>
          <w:lang w:val="zh-CN"/>
        </w:rPr>
      </w:pPr>
      <w:r>
        <w:rPr>
          <w:rFonts w:hint="eastAsia" w:ascii="宋体" w:hAnsi="宋体" w:eastAsia="宋体" w:cs="宋体"/>
          <w:b/>
          <w:bCs/>
          <w:kern w:val="0"/>
          <w:sz w:val="32"/>
          <w:szCs w:val="32"/>
          <w:lang w:val="zh-CN"/>
        </w:rPr>
        <w:t>注：资格审查文件（符合性审查文件）未按磋商文件要求上传至电子评标系统的视为无效响应。</w:t>
      </w:r>
    </w:p>
    <w:p w14:paraId="2EAB6F64">
      <w:pPr>
        <w:autoSpaceDE w:val="0"/>
        <w:autoSpaceDN w:val="0"/>
        <w:adjustRightInd w:val="0"/>
        <w:jc w:val="center"/>
        <w:rPr>
          <w:rFonts w:hint="eastAsia" w:ascii="宋体" w:hAnsi="宋体" w:eastAsia="宋体" w:cs="宋体"/>
          <w:b/>
          <w:bCs/>
          <w:kern w:val="0"/>
          <w:sz w:val="32"/>
          <w:szCs w:val="32"/>
          <w:lang w:val="zh-CN"/>
        </w:rPr>
      </w:pPr>
    </w:p>
    <w:p w14:paraId="209D8A8C">
      <w:pPr>
        <w:autoSpaceDE w:val="0"/>
        <w:autoSpaceDN w:val="0"/>
        <w:adjustRightInd w:val="0"/>
        <w:jc w:val="center"/>
        <w:rPr>
          <w:rFonts w:hint="eastAsia" w:ascii="宋体" w:hAnsi="宋体" w:eastAsia="宋体" w:cs="宋体"/>
          <w:b/>
          <w:bCs/>
          <w:kern w:val="0"/>
          <w:sz w:val="32"/>
          <w:szCs w:val="32"/>
          <w:lang w:val="zh-CN"/>
        </w:rPr>
      </w:pPr>
    </w:p>
    <w:p w14:paraId="296F1145">
      <w:pPr>
        <w:autoSpaceDE w:val="0"/>
        <w:autoSpaceDN w:val="0"/>
        <w:adjustRightInd w:val="0"/>
        <w:jc w:val="center"/>
        <w:rPr>
          <w:rFonts w:hint="eastAsia" w:ascii="宋体" w:hAnsi="宋体" w:eastAsia="宋体" w:cs="宋体"/>
          <w:b/>
          <w:bCs/>
          <w:kern w:val="0"/>
          <w:sz w:val="32"/>
          <w:szCs w:val="32"/>
          <w:lang w:val="zh-CN"/>
        </w:rPr>
      </w:pPr>
      <w:r>
        <w:rPr>
          <w:rFonts w:hint="eastAsia" w:ascii="宋体" w:hAnsi="宋体" w:eastAsia="宋体" w:cs="宋体"/>
          <w:b/>
          <w:bCs/>
          <w:kern w:val="0"/>
          <w:sz w:val="32"/>
          <w:szCs w:val="32"/>
          <w:lang w:val="zh-CN"/>
        </w:rPr>
        <w:t>青海省政府采购项目</w:t>
      </w:r>
    </w:p>
    <w:p w14:paraId="7218FAF6">
      <w:pPr>
        <w:autoSpaceDE w:val="0"/>
        <w:autoSpaceDN w:val="0"/>
        <w:adjustRightInd w:val="0"/>
        <w:rPr>
          <w:rFonts w:hint="eastAsia" w:ascii="宋体" w:hAnsi="宋体" w:eastAsia="宋体" w:cs="宋体"/>
          <w:kern w:val="0"/>
          <w:sz w:val="32"/>
          <w:szCs w:val="32"/>
        </w:rPr>
      </w:pPr>
      <w:r>
        <w:rPr>
          <w:rFonts w:hint="eastAsia" w:ascii="宋体" w:hAnsi="宋体" w:eastAsia="宋体" w:cs="宋体"/>
          <w:kern w:val="0"/>
          <w:sz w:val="32"/>
          <w:szCs w:val="32"/>
        </w:rPr>
        <w:t xml:space="preserve"> </w:t>
      </w:r>
    </w:p>
    <w:p w14:paraId="448A6250">
      <w:pPr>
        <w:pStyle w:val="12"/>
        <w:rPr>
          <w:rFonts w:hint="eastAsia" w:ascii="宋体" w:hAnsi="宋体" w:eastAsia="宋体" w:cs="宋体"/>
          <w:sz w:val="32"/>
          <w:szCs w:val="32"/>
        </w:rPr>
      </w:pPr>
    </w:p>
    <w:p w14:paraId="1FCE7DD9">
      <w:pPr>
        <w:rPr>
          <w:rFonts w:hint="eastAsia" w:ascii="宋体" w:hAnsi="宋体" w:eastAsia="宋体" w:cs="宋体"/>
          <w:sz w:val="32"/>
          <w:szCs w:val="32"/>
        </w:rPr>
      </w:pPr>
    </w:p>
    <w:p w14:paraId="389E95B9">
      <w:pPr>
        <w:autoSpaceDE w:val="0"/>
        <w:autoSpaceDN w:val="0"/>
        <w:adjustRightInd w:val="0"/>
        <w:rPr>
          <w:rFonts w:hint="eastAsia" w:ascii="宋体" w:hAnsi="宋体" w:eastAsia="宋体" w:cs="宋体"/>
          <w:kern w:val="0"/>
          <w:sz w:val="32"/>
          <w:szCs w:val="32"/>
        </w:rPr>
      </w:pPr>
      <w:r>
        <w:rPr>
          <w:rFonts w:hint="eastAsia" w:ascii="宋体" w:hAnsi="宋体" w:eastAsia="宋体" w:cs="宋体"/>
          <w:kern w:val="0"/>
          <w:sz w:val="32"/>
          <w:szCs w:val="32"/>
        </w:rPr>
        <w:t xml:space="preserve"> </w:t>
      </w:r>
    </w:p>
    <w:p w14:paraId="1D53A9A0">
      <w:pPr>
        <w:autoSpaceDE w:val="0"/>
        <w:autoSpaceDN w:val="0"/>
        <w:adjustRightInd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磋商响应文件</w:t>
      </w:r>
    </w:p>
    <w:p w14:paraId="246B70C6">
      <w:pPr>
        <w:autoSpaceDE w:val="0"/>
        <w:autoSpaceDN w:val="0"/>
        <w:adjustRightInd w:val="0"/>
        <w:jc w:val="center"/>
        <w:rPr>
          <w:rFonts w:hint="eastAsia" w:ascii="宋体" w:hAnsi="宋体" w:eastAsia="宋体" w:cs="宋体"/>
          <w:kern w:val="0"/>
          <w:sz w:val="32"/>
          <w:szCs w:val="32"/>
        </w:rPr>
      </w:pPr>
      <w:r>
        <w:rPr>
          <w:rFonts w:hint="eastAsia" w:ascii="宋体" w:hAnsi="宋体" w:eastAsia="宋体" w:cs="宋体"/>
          <w:b/>
          <w:bCs/>
          <w:sz w:val="32"/>
          <w:szCs w:val="32"/>
        </w:rPr>
        <w:t>（符合性审查文件）</w:t>
      </w:r>
    </w:p>
    <w:p w14:paraId="44C3A7D1">
      <w:pPr>
        <w:autoSpaceDE w:val="0"/>
        <w:autoSpaceDN w:val="0"/>
        <w:adjustRightInd w:val="0"/>
        <w:rPr>
          <w:rFonts w:hint="eastAsia" w:ascii="宋体" w:hAnsi="宋体" w:eastAsia="宋体" w:cs="宋体"/>
          <w:kern w:val="0"/>
          <w:sz w:val="32"/>
          <w:szCs w:val="32"/>
        </w:rPr>
      </w:pPr>
    </w:p>
    <w:p w14:paraId="34E4E3DF">
      <w:pPr>
        <w:autoSpaceDE w:val="0"/>
        <w:autoSpaceDN w:val="0"/>
        <w:adjustRightInd w:val="0"/>
        <w:rPr>
          <w:rFonts w:hint="eastAsia" w:ascii="宋体" w:hAnsi="宋体" w:eastAsia="宋体" w:cs="宋体"/>
          <w:kern w:val="0"/>
          <w:sz w:val="32"/>
          <w:szCs w:val="32"/>
        </w:rPr>
      </w:pPr>
    </w:p>
    <w:p w14:paraId="6AE57BD2">
      <w:pPr>
        <w:autoSpaceDE w:val="0"/>
        <w:autoSpaceDN w:val="0"/>
        <w:adjustRightInd w:val="0"/>
        <w:spacing w:line="360" w:lineRule="auto"/>
        <w:ind w:firstLine="810" w:firstLineChars="252"/>
        <w:rPr>
          <w:rFonts w:hint="eastAsia" w:ascii="宋体" w:hAnsi="宋体" w:eastAsia="宋体" w:cs="宋体"/>
          <w:b/>
          <w:bCs/>
          <w:kern w:val="0"/>
          <w:sz w:val="32"/>
          <w:szCs w:val="32"/>
        </w:rPr>
      </w:pPr>
      <w:r>
        <w:rPr>
          <w:rFonts w:hint="eastAsia" w:ascii="宋体" w:hAnsi="宋体" w:eastAsia="宋体" w:cs="宋体"/>
          <w:b/>
          <w:bCs/>
          <w:kern w:val="0"/>
          <w:sz w:val="32"/>
          <w:szCs w:val="32"/>
          <w:lang w:val="zh-CN"/>
        </w:rPr>
        <w:t>采购项目编号：</w:t>
      </w:r>
    </w:p>
    <w:p w14:paraId="40AFB4A7">
      <w:pPr>
        <w:autoSpaceDE w:val="0"/>
        <w:autoSpaceDN w:val="0"/>
        <w:adjustRightInd w:val="0"/>
        <w:spacing w:line="360" w:lineRule="auto"/>
        <w:ind w:firstLine="810" w:firstLineChars="252"/>
        <w:rPr>
          <w:rFonts w:hint="eastAsia" w:ascii="宋体" w:hAnsi="宋体" w:eastAsia="宋体" w:cs="宋体"/>
          <w:b/>
          <w:bCs/>
          <w:kern w:val="0"/>
          <w:sz w:val="32"/>
          <w:szCs w:val="32"/>
        </w:rPr>
      </w:pPr>
      <w:r>
        <w:rPr>
          <w:rFonts w:hint="eastAsia" w:ascii="宋体" w:hAnsi="宋体" w:eastAsia="宋体" w:cs="宋体"/>
          <w:b/>
          <w:bCs/>
          <w:kern w:val="0"/>
          <w:sz w:val="32"/>
          <w:szCs w:val="32"/>
          <w:lang w:val="zh-CN"/>
        </w:rPr>
        <w:t>采购项目名称</w:t>
      </w:r>
      <w:r>
        <w:rPr>
          <w:rFonts w:hint="eastAsia" w:ascii="宋体" w:hAnsi="宋体" w:eastAsia="宋体" w:cs="宋体"/>
          <w:b/>
          <w:bCs/>
          <w:kern w:val="0"/>
          <w:sz w:val="32"/>
          <w:szCs w:val="32"/>
        </w:rPr>
        <w:t xml:space="preserve">: </w:t>
      </w:r>
    </w:p>
    <w:p w14:paraId="4A5BFE07">
      <w:pPr>
        <w:autoSpaceDE w:val="0"/>
        <w:autoSpaceDN w:val="0"/>
        <w:adjustRightInd w:val="0"/>
        <w:spacing w:line="360" w:lineRule="auto"/>
        <w:ind w:firstLine="810" w:firstLineChars="252"/>
        <w:rPr>
          <w:rFonts w:hint="eastAsia" w:ascii="宋体" w:hAnsi="宋体" w:eastAsia="宋体" w:cs="宋体"/>
          <w:b/>
          <w:bCs/>
          <w:kern w:val="0"/>
          <w:sz w:val="32"/>
          <w:szCs w:val="32"/>
        </w:rPr>
      </w:pPr>
      <w:r>
        <w:rPr>
          <w:rFonts w:hint="eastAsia" w:ascii="宋体" w:hAnsi="宋体" w:eastAsia="宋体" w:cs="宋体"/>
          <w:b/>
          <w:bCs/>
          <w:kern w:val="0"/>
          <w:sz w:val="32"/>
          <w:szCs w:val="32"/>
          <w:lang w:val="zh-CN"/>
        </w:rPr>
        <w:t>投</w:t>
      </w:r>
      <w:r>
        <w:rPr>
          <w:rFonts w:hint="eastAsia" w:ascii="宋体" w:hAnsi="宋体" w:eastAsia="宋体" w:cs="宋体"/>
          <w:b/>
          <w:bCs/>
          <w:kern w:val="0"/>
          <w:sz w:val="32"/>
          <w:szCs w:val="32"/>
        </w:rPr>
        <w:t xml:space="preserve"> </w:t>
      </w:r>
      <w:r>
        <w:rPr>
          <w:rFonts w:hint="eastAsia" w:ascii="宋体" w:hAnsi="宋体" w:eastAsia="宋体" w:cs="宋体"/>
          <w:b/>
          <w:bCs/>
          <w:kern w:val="0"/>
          <w:sz w:val="32"/>
          <w:szCs w:val="32"/>
          <w:lang w:val="zh-CN"/>
        </w:rPr>
        <w:t>标</w:t>
      </w:r>
      <w:r>
        <w:rPr>
          <w:rFonts w:hint="eastAsia" w:ascii="宋体" w:hAnsi="宋体" w:eastAsia="宋体" w:cs="宋体"/>
          <w:b/>
          <w:bCs/>
          <w:kern w:val="0"/>
          <w:sz w:val="32"/>
          <w:szCs w:val="32"/>
        </w:rPr>
        <w:t xml:space="preserve"> </w:t>
      </w:r>
      <w:r>
        <w:rPr>
          <w:rFonts w:hint="eastAsia" w:ascii="宋体" w:hAnsi="宋体" w:eastAsia="宋体" w:cs="宋体"/>
          <w:b/>
          <w:bCs/>
          <w:kern w:val="0"/>
          <w:sz w:val="32"/>
          <w:szCs w:val="32"/>
          <w:lang w:val="zh-CN"/>
        </w:rPr>
        <w:t>包</w:t>
      </w:r>
      <w:r>
        <w:rPr>
          <w:rFonts w:hint="eastAsia" w:ascii="宋体" w:hAnsi="宋体" w:eastAsia="宋体" w:cs="宋体"/>
          <w:b/>
          <w:bCs/>
          <w:kern w:val="0"/>
          <w:sz w:val="32"/>
          <w:szCs w:val="32"/>
        </w:rPr>
        <w:t xml:space="preserve"> </w:t>
      </w:r>
      <w:r>
        <w:rPr>
          <w:rFonts w:hint="eastAsia" w:ascii="宋体" w:hAnsi="宋体" w:eastAsia="宋体" w:cs="宋体"/>
          <w:b/>
          <w:bCs/>
          <w:kern w:val="0"/>
          <w:sz w:val="32"/>
          <w:szCs w:val="32"/>
          <w:lang w:val="zh-CN"/>
        </w:rPr>
        <w:t>号：</w:t>
      </w:r>
    </w:p>
    <w:p w14:paraId="67874B09">
      <w:pPr>
        <w:autoSpaceDE w:val="0"/>
        <w:autoSpaceDN w:val="0"/>
        <w:adjustRightInd w:val="0"/>
        <w:spacing w:line="360" w:lineRule="auto"/>
        <w:ind w:firstLine="810" w:firstLineChars="252"/>
        <w:rPr>
          <w:rFonts w:hint="eastAsia" w:ascii="宋体" w:hAnsi="宋体" w:eastAsia="宋体" w:cs="宋体"/>
          <w:b/>
          <w:bCs/>
          <w:kern w:val="0"/>
          <w:sz w:val="32"/>
          <w:szCs w:val="32"/>
        </w:rPr>
      </w:pPr>
      <w:r>
        <w:rPr>
          <w:rFonts w:hint="eastAsia" w:ascii="宋体" w:hAnsi="宋体" w:eastAsia="宋体" w:cs="宋体"/>
          <w:b/>
          <w:bCs/>
          <w:kern w:val="0"/>
          <w:sz w:val="32"/>
          <w:szCs w:val="32"/>
        </w:rPr>
        <w:t xml:space="preserve">                  </w:t>
      </w:r>
    </w:p>
    <w:p w14:paraId="72D02073">
      <w:pPr>
        <w:autoSpaceDE w:val="0"/>
        <w:autoSpaceDN w:val="0"/>
        <w:adjustRightInd w:val="0"/>
        <w:spacing w:line="360" w:lineRule="auto"/>
        <w:jc w:val="center"/>
        <w:rPr>
          <w:rFonts w:hint="eastAsia" w:ascii="宋体" w:hAnsi="宋体" w:eastAsia="宋体" w:cs="宋体"/>
          <w:b/>
          <w:bCs/>
          <w:kern w:val="0"/>
          <w:sz w:val="32"/>
          <w:szCs w:val="32"/>
          <w:lang w:val="zh-CN"/>
        </w:rPr>
      </w:pPr>
      <w:r>
        <w:rPr>
          <w:rFonts w:hint="eastAsia" w:ascii="宋体" w:hAnsi="宋体" w:eastAsia="宋体" w:cs="宋体"/>
          <w:b/>
          <w:bCs/>
          <w:kern w:val="0"/>
          <w:sz w:val="32"/>
          <w:szCs w:val="32"/>
          <w:lang w:val="zh-CN"/>
        </w:rPr>
        <w:t>响应单位：</w:t>
      </w:r>
    </w:p>
    <w:p w14:paraId="2C73A4ED">
      <w:pPr>
        <w:autoSpaceDE w:val="0"/>
        <w:autoSpaceDN w:val="0"/>
        <w:adjustRightInd w:val="0"/>
        <w:spacing w:line="360" w:lineRule="auto"/>
        <w:jc w:val="center"/>
        <w:rPr>
          <w:rFonts w:hint="eastAsia" w:ascii="宋体" w:hAnsi="宋体" w:eastAsia="宋体" w:cs="宋体"/>
          <w:b/>
          <w:bCs/>
          <w:kern w:val="0"/>
          <w:sz w:val="32"/>
          <w:szCs w:val="32"/>
          <w:lang w:val="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kern w:val="0"/>
          <w:sz w:val="32"/>
          <w:szCs w:val="32"/>
          <w:lang w:val="zh-CN"/>
        </w:rPr>
        <w:t>年</w:t>
      </w:r>
      <w:r>
        <w:rPr>
          <w:rFonts w:hint="eastAsia" w:ascii="宋体" w:hAnsi="宋体" w:eastAsia="宋体" w:cs="宋体"/>
          <w:b/>
          <w:bCs/>
          <w:kern w:val="0"/>
          <w:sz w:val="32"/>
          <w:szCs w:val="32"/>
        </w:rPr>
        <w:t xml:space="preserve">   </w:t>
      </w:r>
      <w:r>
        <w:rPr>
          <w:rFonts w:hint="eastAsia" w:ascii="宋体" w:hAnsi="宋体" w:eastAsia="宋体" w:cs="宋体"/>
          <w:b/>
          <w:bCs/>
          <w:kern w:val="0"/>
          <w:sz w:val="32"/>
          <w:szCs w:val="32"/>
          <w:lang w:val="zh-CN"/>
        </w:rPr>
        <w:t>月</w:t>
      </w:r>
      <w:r>
        <w:rPr>
          <w:rFonts w:hint="eastAsia" w:ascii="宋体" w:hAnsi="宋体" w:eastAsia="宋体" w:cs="宋体"/>
          <w:b/>
          <w:bCs/>
          <w:kern w:val="0"/>
          <w:sz w:val="32"/>
          <w:szCs w:val="32"/>
        </w:rPr>
        <w:t xml:space="preserve">  </w:t>
      </w:r>
    </w:p>
    <w:p w14:paraId="52444719">
      <w:pPr>
        <w:pStyle w:val="4"/>
        <w:keepNext w:val="0"/>
        <w:keepLines w:val="0"/>
        <w:pageBreakBefore w:val="0"/>
        <w:numPr>
          <w:ilvl w:val="0"/>
          <w:numId w:val="0"/>
        </w:numPr>
        <w:tabs>
          <w:tab w:val="left" w:pos="425"/>
        </w:tabs>
        <w:kinsoku/>
        <w:overflowPunct/>
        <w:topLinePunct w:val="0"/>
        <w:bidi w:val="0"/>
        <w:spacing w:after="240" w:line="360" w:lineRule="auto"/>
        <w:rPr>
          <w:rFonts w:hint="eastAsia" w:ascii="宋体" w:hAnsi="宋体" w:eastAsia="宋体" w:cs="宋体"/>
          <w:b/>
          <w:bCs/>
          <w:kern w:val="0"/>
          <w:sz w:val="24"/>
          <w:szCs w:val="24"/>
          <w:lang w:val="zh-CN" w:eastAsia="zh-CN" w:bidi="ar-SA"/>
        </w:rPr>
      </w:pPr>
      <w:bookmarkStart w:id="175" w:name="_Toc15724"/>
      <w:bookmarkStart w:id="176" w:name="_Toc3991"/>
      <w:bookmarkStart w:id="177" w:name="_Toc1343"/>
      <w:bookmarkStart w:id="178" w:name="_Toc239"/>
      <w:r>
        <w:rPr>
          <w:rFonts w:hint="eastAsia" w:ascii="宋体" w:hAnsi="宋体" w:eastAsia="宋体" w:cs="宋体"/>
          <w:b/>
          <w:bCs/>
          <w:kern w:val="0"/>
          <w:sz w:val="24"/>
          <w:szCs w:val="24"/>
          <w:lang w:val="zh-CN" w:eastAsia="zh-CN" w:bidi="ar-SA"/>
        </w:rPr>
        <w:t>（</w:t>
      </w:r>
      <w:r>
        <w:rPr>
          <w:rFonts w:hint="eastAsia" w:ascii="宋体" w:hAnsi="宋体" w:cs="宋体"/>
          <w:b/>
          <w:bCs/>
          <w:kern w:val="0"/>
          <w:sz w:val="24"/>
          <w:szCs w:val="24"/>
          <w:lang w:val="en-US" w:eastAsia="zh-CN" w:bidi="ar-SA"/>
        </w:rPr>
        <w:t>13.1</w:t>
      </w:r>
      <w:r>
        <w:rPr>
          <w:rFonts w:hint="eastAsia" w:ascii="宋体" w:hAnsi="宋体" w:eastAsia="宋体" w:cs="宋体"/>
          <w:b/>
          <w:bCs/>
          <w:kern w:val="0"/>
          <w:sz w:val="24"/>
          <w:szCs w:val="24"/>
          <w:lang w:val="zh-CN" w:eastAsia="zh-CN" w:bidi="ar-SA"/>
        </w:rPr>
        <w:t>）竞争性磋商首次报价表</w:t>
      </w:r>
      <w:bookmarkEnd w:id="175"/>
      <w:bookmarkEnd w:id="176"/>
      <w:bookmarkEnd w:id="177"/>
      <w:bookmarkEnd w:id="178"/>
    </w:p>
    <w:p w14:paraId="494C9B98">
      <w:pPr>
        <w:keepNext w:val="0"/>
        <w:keepLines w:val="0"/>
        <w:pageBreakBefore w:val="0"/>
        <w:kinsoku/>
        <w:overflowPunct/>
        <w:topLinePunct w:val="0"/>
        <w:bidi w:val="0"/>
        <w:spacing w:after="240" w:line="360" w:lineRule="auto"/>
        <w:ind w:firstLine="482" w:firstLineChars="200"/>
        <w:jc w:val="center"/>
        <w:rPr>
          <w:rFonts w:hint="eastAsia" w:ascii="宋体" w:hAnsi="宋体" w:eastAsia="宋体" w:cs="宋体"/>
          <w:sz w:val="24"/>
          <w:szCs w:val="24"/>
        </w:rPr>
      </w:pPr>
      <w:r>
        <w:rPr>
          <w:rFonts w:hint="eastAsia" w:ascii="宋体" w:hAnsi="宋体" w:eastAsia="宋体" w:cs="宋体"/>
          <w:b/>
          <w:sz w:val="24"/>
          <w:szCs w:val="24"/>
        </w:rPr>
        <w:t>竞争性磋商首次报价表</w:t>
      </w:r>
    </w:p>
    <w:p w14:paraId="45B4DE3F">
      <w:pPr>
        <w:pStyle w:val="12"/>
        <w:keepNext w:val="0"/>
        <w:keepLines w:val="0"/>
        <w:pageBreakBefore w:val="0"/>
        <w:kinsoku/>
        <w:overflowPunct/>
        <w:topLinePunct w:val="0"/>
        <w:bidi w:val="0"/>
        <w:spacing w:after="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供应商名称：     </w:t>
      </w:r>
      <w:r>
        <w:rPr>
          <w:rFonts w:hint="eastAsia" w:hAnsi="宋体" w:cs="宋体"/>
          <w:sz w:val="24"/>
          <w:szCs w:val="24"/>
          <w:lang w:val="en-US" w:eastAsia="zh-CN"/>
        </w:rPr>
        <w:t xml:space="preserve">     包号：              </w:t>
      </w:r>
      <w:r>
        <w:rPr>
          <w:rFonts w:hint="eastAsia" w:ascii="宋体" w:hAnsi="宋体" w:eastAsia="宋体" w:cs="宋体"/>
          <w:sz w:val="24"/>
          <w:szCs w:val="24"/>
        </w:rPr>
        <w:t>单位：</w:t>
      </w:r>
      <w:r>
        <w:rPr>
          <w:rFonts w:hint="eastAsia" w:hAnsi="宋体" w:cs="宋体"/>
          <w:sz w:val="24"/>
          <w:szCs w:val="24"/>
          <w:lang w:val="en-US" w:eastAsia="zh-CN"/>
        </w:rPr>
        <w:t xml:space="preserve">     </w:t>
      </w:r>
      <w:r>
        <w:rPr>
          <w:rFonts w:hint="eastAsia" w:ascii="宋体" w:hAnsi="宋体" w:eastAsia="宋体" w:cs="宋体"/>
          <w:sz w:val="24"/>
          <w:szCs w:val="24"/>
        </w:rPr>
        <w:t>人民币（元）</w:t>
      </w:r>
    </w:p>
    <w:tbl>
      <w:tblPr>
        <w:tblStyle w:val="22"/>
        <w:tblW w:w="9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2616"/>
        <w:gridCol w:w="1588"/>
        <w:gridCol w:w="1836"/>
        <w:gridCol w:w="1836"/>
      </w:tblGrid>
      <w:tr w14:paraId="1153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01" w:type="dxa"/>
            <w:noWrap w:val="0"/>
            <w:vAlign w:val="center"/>
          </w:tcPr>
          <w:p w14:paraId="738D569C">
            <w:pPr>
              <w:keepNext w:val="0"/>
              <w:keepLines w:val="0"/>
              <w:pageBreakBefore w:val="0"/>
              <w:kinsoku/>
              <w:overflowPunct/>
              <w:topLinePunct w:val="0"/>
              <w:bidi w:val="0"/>
              <w:spacing w:after="240"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616" w:type="dxa"/>
            <w:noWrap w:val="0"/>
            <w:vAlign w:val="center"/>
          </w:tcPr>
          <w:p w14:paraId="42B602FB">
            <w:pPr>
              <w:keepNext w:val="0"/>
              <w:keepLines w:val="0"/>
              <w:pageBreakBefore w:val="0"/>
              <w:kinsoku/>
              <w:overflowPunct/>
              <w:topLinePunct w:val="0"/>
              <w:bidi w:val="0"/>
              <w:spacing w:after="240" w:line="360" w:lineRule="auto"/>
              <w:jc w:val="center"/>
              <w:rPr>
                <w:rFonts w:hint="eastAsia" w:ascii="宋体" w:hAnsi="宋体" w:eastAsia="宋体" w:cs="宋体"/>
                <w:sz w:val="24"/>
                <w:szCs w:val="24"/>
              </w:rPr>
            </w:pPr>
            <w:r>
              <w:rPr>
                <w:rFonts w:hint="eastAsia" w:ascii="宋体" w:hAnsi="宋体" w:eastAsia="宋体" w:cs="宋体"/>
                <w:bCs/>
                <w:sz w:val="24"/>
                <w:szCs w:val="24"/>
              </w:rPr>
              <w:t>竞争性磋商首次报价</w:t>
            </w:r>
          </w:p>
        </w:tc>
        <w:tc>
          <w:tcPr>
            <w:tcW w:w="1588" w:type="dxa"/>
            <w:noWrap w:val="0"/>
            <w:vAlign w:val="center"/>
          </w:tcPr>
          <w:p w14:paraId="519BA971">
            <w:pPr>
              <w:keepNext w:val="0"/>
              <w:keepLines w:val="0"/>
              <w:pageBreakBefore w:val="0"/>
              <w:kinsoku/>
              <w:overflowPunct/>
              <w:topLinePunct w:val="0"/>
              <w:bidi w:val="0"/>
              <w:spacing w:after="240"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1836" w:type="dxa"/>
            <w:noWrap w:val="0"/>
            <w:vAlign w:val="center"/>
          </w:tcPr>
          <w:p w14:paraId="627459C2">
            <w:pPr>
              <w:keepNext w:val="0"/>
              <w:keepLines w:val="0"/>
              <w:pageBreakBefore w:val="0"/>
              <w:kinsoku/>
              <w:overflowPunct/>
              <w:topLinePunct w:val="0"/>
              <w:bidi w:val="0"/>
              <w:spacing w:after="240" w:line="360" w:lineRule="auto"/>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1836" w:type="dxa"/>
            <w:noWrap w:val="0"/>
            <w:vAlign w:val="center"/>
          </w:tcPr>
          <w:p w14:paraId="09452AC2">
            <w:pPr>
              <w:keepNext w:val="0"/>
              <w:keepLines w:val="0"/>
              <w:pageBreakBefore w:val="0"/>
              <w:kinsoku/>
              <w:overflowPunct/>
              <w:topLinePunct w:val="0"/>
              <w:bidi w:val="0"/>
              <w:spacing w:after="240"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0E36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01" w:type="dxa"/>
            <w:vMerge w:val="restart"/>
            <w:noWrap w:val="0"/>
            <w:vAlign w:val="center"/>
          </w:tcPr>
          <w:p w14:paraId="2ADD8EC5">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c>
          <w:tcPr>
            <w:tcW w:w="2616" w:type="dxa"/>
            <w:noWrap w:val="0"/>
            <w:vAlign w:val="center"/>
          </w:tcPr>
          <w:p w14:paraId="64FA6C43">
            <w:pPr>
              <w:keepNext w:val="0"/>
              <w:keepLines w:val="0"/>
              <w:pageBreakBefore w:val="0"/>
              <w:kinsoku/>
              <w:overflowPunct/>
              <w:topLinePunct w:val="0"/>
              <w:bidi w:val="0"/>
              <w:spacing w:after="240" w:line="360" w:lineRule="auto"/>
              <w:jc w:val="both"/>
              <w:rPr>
                <w:rFonts w:hint="eastAsia" w:ascii="宋体" w:hAnsi="宋体" w:eastAsia="宋体" w:cs="宋体"/>
                <w:sz w:val="24"/>
                <w:szCs w:val="24"/>
              </w:rPr>
            </w:pPr>
            <w:r>
              <w:rPr>
                <w:rFonts w:hint="eastAsia" w:ascii="宋体" w:hAnsi="宋体" w:eastAsia="宋体" w:cs="宋体"/>
                <w:sz w:val="24"/>
                <w:szCs w:val="24"/>
              </w:rPr>
              <w:t>小写：</w:t>
            </w:r>
          </w:p>
        </w:tc>
        <w:tc>
          <w:tcPr>
            <w:tcW w:w="1588" w:type="dxa"/>
            <w:noWrap w:val="0"/>
            <w:vAlign w:val="center"/>
          </w:tcPr>
          <w:p w14:paraId="6F73FF2A">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c>
          <w:tcPr>
            <w:tcW w:w="1836" w:type="dxa"/>
            <w:noWrap w:val="0"/>
            <w:vAlign w:val="center"/>
          </w:tcPr>
          <w:p w14:paraId="2BFEA69C">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c>
          <w:tcPr>
            <w:tcW w:w="1836" w:type="dxa"/>
            <w:noWrap w:val="0"/>
            <w:vAlign w:val="center"/>
          </w:tcPr>
          <w:p w14:paraId="4EA84CBD">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r>
      <w:tr w14:paraId="2A81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01" w:type="dxa"/>
            <w:vMerge w:val="continue"/>
            <w:noWrap w:val="0"/>
            <w:vAlign w:val="center"/>
          </w:tcPr>
          <w:p w14:paraId="5451EE76">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c>
          <w:tcPr>
            <w:tcW w:w="2616" w:type="dxa"/>
            <w:noWrap w:val="0"/>
            <w:vAlign w:val="center"/>
          </w:tcPr>
          <w:p w14:paraId="2A478FD1">
            <w:pPr>
              <w:keepNext w:val="0"/>
              <w:keepLines w:val="0"/>
              <w:pageBreakBefore w:val="0"/>
              <w:kinsoku/>
              <w:overflowPunct/>
              <w:topLinePunct w:val="0"/>
              <w:bidi w:val="0"/>
              <w:spacing w:after="240" w:line="360" w:lineRule="auto"/>
              <w:jc w:val="both"/>
              <w:rPr>
                <w:rFonts w:hint="eastAsia" w:ascii="宋体" w:hAnsi="宋体" w:eastAsia="宋体" w:cs="宋体"/>
                <w:sz w:val="24"/>
                <w:szCs w:val="24"/>
              </w:rPr>
            </w:pPr>
            <w:r>
              <w:rPr>
                <w:rFonts w:hint="eastAsia" w:ascii="宋体" w:hAnsi="宋体" w:eastAsia="宋体" w:cs="宋体"/>
                <w:sz w:val="24"/>
                <w:szCs w:val="24"/>
              </w:rPr>
              <w:t>大写：</w:t>
            </w:r>
          </w:p>
        </w:tc>
        <w:tc>
          <w:tcPr>
            <w:tcW w:w="1588" w:type="dxa"/>
            <w:noWrap w:val="0"/>
            <w:vAlign w:val="center"/>
          </w:tcPr>
          <w:p w14:paraId="65E997E5">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c>
          <w:tcPr>
            <w:tcW w:w="1836" w:type="dxa"/>
            <w:noWrap w:val="0"/>
            <w:vAlign w:val="center"/>
          </w:tcPr>
          <w:p w14:paraId="4BB37340">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c>
          <w:tcPr>
            <w:tcW w:w="1836" w:type="dxa"/>
            <w:noWrap w:val="0"/>
            <w:vAlign w:val="center"/>
          </w:tcPr>
          <w:p w14:paraId="33DE0D31">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r>
      <w:tr w14:paraId="3B04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3917" w:type="dxa"/>
            <w:gridSpan w:val="2"/>
            <w:noWrap w:val="0"/>
            <w:vAlign w:val="center"/>
          </w:tcPr>
          <w:p w14:paraId="54B3DA8D">
            <w:pPr>
              <w:keepNext w:val="0"/>
              <w:keepLines w:val="0"/>
              <w:pageBreakBefore w:val="0"/>
              <w:kinsoku/>
              <w:overflowPunct/>
              <w:topLinePunct w:val="0"/>
              <w:bidi w:val="0"/>
              <w:spacing w:after="240" w:line="360" w:lineRule="auto"/>
              <w:jc w:val="center"/>
              <w:rPr>
                <w:rFonts w:hint="eastAsia" w:ascii="宋体" w:hAnsi="宋体" w:eastAsia="宋体" w:cs="宋体"/>
                <w:sz w:val="24"/>
                <w:szCs w:val="24"/>
              </w:rPr>
            </w:pPr>
            <w:r>
              <w:rPr>
                <w:rFonts w:hint="eastAsia" w:ascii="宋体" w:hAnsi="宋体" w:eastAsia="宋体" w:cs="宋体"/>
                <w:sz w:val="24"/>
                <w:szCs w:val="24"/>
              </w:rPr>
              <w:t>优惠承诺及其他：</w:t>
            </w:r>
          </w:p>
        </w:tc>
        <w:tc>
          <w:tcPr>
            <w:tcW w:w="5260" w:type="dxa"/>
            <w:gridSpan w:val="3"/>
            <w:noWrap w:val="0"/>
            <w:vAlign w:val="center"/>
          </w:tcPr>
          <w:p w14:paraId="20658DE5">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r>
    </w:tbl>
    <w:p w14:paraId="1C2C97FB">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注：1.填写此表时不得改变表格形式。</w:t>
      </w:r>
    </w:p>
    <w:p w14:paraId="54C3F52F">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2.“磋商总价”为</w:t>
      </w:r>
      <w:r>
        <w:rPr>
          <w:rFonts w:hint="eastAsia" w:ascii="宋体" w:hAnsi="宋体" w:eastAsia="宋体" w:cs="宋体"/>
          <w:bCs/>
          <w:sz w:val="24"/>
          <w:szCs w:val="24"/>
          <w:lang w:val="en-US" w:eastAsia="zh-CN"/>
        </w:rPr>
        <w:t>响应</w:t>
      </w:r>
      <w:r>
        <w:rPr>
          <w:rFonts w:hint="eastAsia" w:ascii="宋体" w:hAnsi="宋体" w:eastAsia="宋体" w:cs="宋体"/>
          <w:bCs/>
          <w:sz w:val="24"/>
          <w:szCs w:val="24"/>
          <w:lang w:val="zh-CN"/>
        </w:rPr>
        <w:t>总价。包括</w:t>
      </w:r>
      <w:r>
        <w:rPr>
          <w:rFonts w:hint="eastAsia" w:ascii="宋体" w:hAnsi="宋体" w:eastAsia="宋体" w:cs="宋体"/>
          <w:bCs/>
          <w:sz w:val="24"/>
          <w:szCs w:val="24"/>
          <w:lang w:val="zh-CN" w:eastAsia="zh-CN"/>
        </w:rPr>
        <w:t>成品</w:t>
      </w:r>
      <w:r>
        <w:rPr>
          <w:rFonts w:hint="eastAsia" w:ascii="宋体" w:hAnsi="宋体" w:eastAsia="宋体" w:cs="宋体"/>
          <w:bCs/>
          <w:sz w:val="24"/>
          <w:szCs w:val="24"/>
          <w:lang w:val="zh-CN"/>
        </w:rPr>
        <w:t>费、</w:t>
      </w:r>
      <w:r>
        <w:rPr>
          <w:rFonts w:hint="eastAsia" w:ascii="宋体" w:hAnsi="宋体" w:eastAsia="宋体" w:cs="宋体"/>
          <w:bCs/>
          <w:sz w:val="24"/>
          <w:szCs w:val="24"/>
          <w:lang w:val="zh-CN" w:eastAsia="zh-CN"/>
        </w:rPr>
        <w:t>人工</w:t>
      </w:r>
      <w:r>
        <w:rPr>
          <w:rFonts w:hint="eastAsia" w:ascii="宋体" w:hAnsi="宋体" w:eastAsia="宋体" w:cs="宋体"/>
          <w:bCs/>
          <w:sz w:val="24"/>
          <w:szCs w:val="24"/>
          <w:lang w:val="zh-CN"/>
        </w:rPr>
        <w:t>费、验收费、手续费、包装费、运输费、差旅费、售前、售中、售后服务费、税金、招标代理服务费及不可预见费等全部费用。</w:t>
      </w:r>
    </w:p>
    <w:p w14:paraId="1D072577">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3.“交货期”是指完成</w:t>
      </w:r>
      <w:r>
        <w:rPr>
          <w:rFonts w:hint="eastAsia" w:ascii="宋体" w:hAnsi="宋体" w:cs="宋体"/>
          <w:bCs/>
          <w:sz w:val="24"/>
          <w:szCs w:val="24"/>
          <w:lang w:val="en-US" w:eastAsia="zh-CN"/>
        </w:rPr>
        <w:t>交货</w:t>
      </w:r>
      <w:r>
        <w:rPr>
          <w:rFonts w:hint="eastAsia" w:ascii="宋体" w:hAnsi="宋体" w:eastAsia="宋体" w:cs="宋体"/>
          <w:bCs/>
          <w:sz w:val="24"/>
          <w:szCs w:val="24"/>
          <w:lang w:val="zh-CN"/>
        </w:rPr>
        <w:t>所需的具体时间。</w:t>
      </w:r>
    </w:p>
    <w:p w14:paraId="02B25B92">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lang w:val="zh-CN"/>
        </w:rPr>
        <w:t xml:space="preserve">4. </w:t>
      </w:r>
      <w:r>
        <w:rPr>
          <w:rFonts w:hint="eastAsia" w:ascii="宋体" w:hAnsi="宋体" w:eastAsia="宋体" w:cs="宋体"/>
          <w:bCs/>
          <w:sz w:val="24"/>
          <w:szCs w:val="24"/>
          <w:lang w:val="en-US" w:eastAsia="zh-CN"/>
        </w:rPr>
        <w:t>响应</w:t>
      </w:r>
      <w:r>
        <w:rPr>
          <w:rFonts w:hint="eastAsia" w:ascii="宋体" w:hAnsi="宋体" w:eastAsia="宋体" w:cs="宋体"/>
          <w:bCs/>
          <w:sz w:val="24"/>
          <w:szCs w:val="24"/>
          <w:lang w:val="zh-CN"/>
        </w:rPr>
        <w:t>报价不能有两个或两个以上的报价方案。</w:t>
      </w:r>
    </w:p>
    <w:p w14:paraId="5EEA1CE4">
      <w:pPr>
        <w:keepNext w:val="0"/>
        <w:keepLines w:val="0"/>
        <w:pageBreakBefore w:val="0"/>
        <w:kinsoku/>
        <w:overflowPunct/>
        <w:topLinePunct w:val="0"/>
        <w:bidi w:val="0"/>
        <w:adjustRightInd w:val="0"/>
        <w:spacing w:after="240" w:line="360" w:lineRule="auto"/>
        <w:jc w:val="both"/>
        <w:textAlignment w:val="baseline"/>
        <w:rPr>
          <w:rFonts w:hint="eastAsia" w:ascii="宋体" w:hAnsi="宋体" w:eastAsia="宋体" w:cs="宋体"/>
          <w:b/>
          <w:sz w:val="24"/>
          <w:szCs w:val="24"/>
        </w:rPr>
      </w:pPr>
    </w:p>
    <w:p w14:paraId="7D645FCD">
      <w:pPr>
        <w:keepNext w:val="0"/>
        <w:keepLines w:val="0"/>
        <w:pageBreakBefore w:val="0"/>
        <w:kinsoku/>
        <w:overflowPunct/>
        <w:topLinePunct w:val="0"/>
        <w:bidi w:val="0"/>
        <w:adjustRightInd w:val="0"/>
        <w:spacing w:after="240" w:line="360" w:lineRule="auto"/>
        <w:ind w:firstLine="482" w:firstLineChars="200"/>
        <w:jc w:val="right"/>
        <w:textAlignment w:val="baseline"/>
        <w:rPr>
          <w:rFonts w:hint="eastAsia" w:ascii="宋体" w:hAnsi="宋体" w:eastAsia="宋体" w:cs="宋体"/>
          <w:b/>
          <w:sz w:val="24"/>
          <w:szCs w:val="24"/>
        </w:rPr>
      </w:pPr>
    </w:p>
    <w:p w14:paraId="4710D2A7">
      <w:pPr>
        <w:keepNext w:val="0"/>
        <w:keepLines w:val="0"/>
        <w:pageBreakBefore w:val="0"/>
        <w:kinsoku/>
        <w:overflowPunct/>
        <w:topLinePunct w:val="0"/>
        <w:bidi w:val="0"/>
        <w:adjustRightInd w:val="0"/>
        <w:spacing w:after="240" w:line="360" w:lineRule="auto"/>
        <w:ind w:firstLine="482" w:firstLineChars="200"/>
        <w:jc w:val="right"/>
        <w:textAlignment w:val="baseline"/>
        <w:rPr>
          <w:rFonts w:hint="eastAsia" w:ascii="宋体" w:hAnsi="宋体" w:eastAsia="宋体" w:cs="宋体"/>
          <w:b/>
          <w:sz w:val="24"/>
          <w:szCs w:val="24"/>
        </w:rPr>
      </w:pPr>
      <w:r>
        <w:rPr>
          <w:rFonts w:hint="eastAsia" w:ascii="宋体" w:hAnsi="宋体" w:eastAsia="宋体" w:cs="宋体"/>
          <w:b/>
          <w:sz w:val="24"/>
          <w:szCs w:val="24"/>
        </w:rPr>
        <w:t>供应商：</w:t>
      </w:r>
      <w:r>
        <w:rPr>
          <w:rFonts w:hint="eastAsia" w:ascii="宋体" w:hAnsi="宋体" w:eastAsia="宋体" w:cs="宋体"/>
          <w:b/>
          <w:sz w:val="24"/>
          <w:szCs w:val="24"/>
          <w:u w:val="single"/>
        </w:rPr>
        <w:t xml:space="preserve">                             </w:t>
      </w:r>
      <w:r>
        <w:rPr>
          <w:rFonts w:hint="eastAsia" w:ascii="宋体" w:hAnsi="宋体" w:eastAsia="宋体" w:cs="宋体"/>
          <w:b/>
          <w:sz w:val="24"/>
          <w:szCs w:val="24"/>
        </w:rPr>
        <w:t>（公章）</w:t>
      </w:r>
    </w:p>
    <w:p w14:paraId="2F175C0C">
      <w:pPr>
        <w:keepNext w:val="0"/>
        <w:keepLines w:val="0"/>
        <w:pageBreakBefore w:val="0"/>
        <w:kinsoku/>
        <w:overflowPunct/>
        <w:topLinePunct w:val="0"/>
        <w:bidi w:val="0"/>
        <w:adjustRightInd w:val="0"/>
        <w:spacing w:after="240" w:line="360" w:lineRule="auto"/>
        <w:ind w:firstLine="482" w:firstLineChars="200"/>
        <w:jc w:val="right"/>
        <w:textAlignment w:val="baseline"/>
        <w:rPr>
          <w:rFonts w:hint="eastAsia" w:ascii="宋体" w:hAnsi="宋体" w:eastAsia="宋体" w:cs="宋体"/>
          <w:b/>
          <w:sz w:val="24"/>
          <w:szCs w:val="24"/>
        </w:rPr>
      </w:pPr>
      <w:r>
        <w:rPr>
          <w:rFonts w:hint="eastAsia" w:ascii="宋体" w:hAnsi="宋体" w:eastAsia="宋体" w:cs="宋体"/>
          <w:b/>
          <w:sz w:val="24"/>
          <w:szCs w:val="24"/>
        </w:rPr>
        <w:t>法定代表人或委托代理人：</w:t>
      </w:r>
      <w:r>
        <w:rPr>
          <w:rFonts w:hint="eastAsia" w:ascii="宋体" w:hAnsi="宋体" w:eastAsia="宋体" w:cs="宋体"/>
          <w:b/>
          <w:sz w:val="24"/>
          <w:szCs w:val="24"/>
          <w:u w:val="single"/>
        </w:rPr>
        <w:t xml:space="preserve">       </w:t>
      </w:r>
      <w:r>
        <w:rPr>
          <w:rFonts w:hint="eastAsia" w:ascii="宋体" w:hAnsi="宋体" w:eastAsia="宋体" w:cs="宋体"/>
          <w:b/>
          <w:sz w:val="24"/>
          <w:szCs w:val="24"/>
        </w:rPr>
        <w:t>（签字或盖章）</w:t>
      </w:r>
    </w:p>
    <w:p w14:paraId="55BAF14C">
      <w:pPr>
        <w:keepNext w:val="0"/>
        <w:keepLines w:val="0"/>
        <w:pageBreakBefore w:val="0"/>
        <w:kinsoku/>
        <w:wordWrap w:val="0"/>
        <w:overflowPunct/>
        <w:topLinePunct w:val="0"/>
        <w:bidi w:val="0"/>
        <w:adjustRightInd w:val="0"/>
        <w:spacing w:after="240" w:line="360" w:lineRule="auto"/>
        <w:ind w:firstLine="482" w:firstLineChars="200"/>
        <w:jc w:val="right"/>
        <w:textAlignment w:val="baseline"/>
        <w:rPr>
          <w:rFonts w:hint="eastAsia" w:ascii="宋体" w:hAnsi="宋体" w:eastAsia="宋体" w:cs="宋体"/>
          <w:b/>
          <w:sz w:val="24"/>
          <w:szCs w:val="24"/>
        </w:rPr>
      </w:pPr>
      <w:r>
        <w:rPr>
          <w:rFonts w:hint="eastAsia" w:ascii="宋体" w:hAnsi="宋体" w:eastAsia="宋体" w:cs="宋体"/>
          <w:b/>
          <w:sz w:val="24"/>
          <w:szCs w:val="24"/>
        </w:rPr>
        <w:t xml:space="preserve">年  月  日 </w:t>
      </w:r>
    </w:p>
    <w:p w14:paraId="321CFF90">
      <w:pPr>
        <w:autoSpaceDE w:val="0"/>
        <w:autoSpaceDN w:val="0"/>
        <w:adjustRightInd w:val="0"/>
        <w:spacing w:line="400" w:lineRule="exact"/>
        <w:jc w:val="left"/>
        <w:rPr>
          <w:rFonts w:ascii="宋体" w:hAnsi="Cambria" w:cs="宋体"/>
          <w:kern w:val="0"/>
          <w:sz w:val="24"/>
          <w:lang w:val="zh-CN"/>
        </w:rPr>
      </w:pPr>
    </w:p>
    <w:p w14:paraId="17227E5E">
      <w:pPr>
        <w:keepNext w:val="0"/>
        <w:keepLines w:val="0"/>
        <w:pageBreakBefore w:val="0"/>
        <w:kinsoku/>
        <w:overflowPunct/>
        <w:topLinePunct w:val="0"/>
        <w:autoSpaceDE w:val="0"/>
        <w:autoSpaceDN w:val="0"/>
        <w:bidi w:val="0"/>
        <w:adjustRightInd w:val="0"/>
        <w:spacing w:after="240" w:line="360" w:lineRule="auto"/>
        <w:rPr>
          <w:rStyle w:val="29"/>
          <w:rFonts w:hint="eastAsia" w:ascii="宋体" w:hAnsi="宋体" w:eastAsia="宋体" w:cs="宋体"/>
          <w:color w:val="000000"/>
          <w:sz w:val="24"/>
          <w:szCs w:val="24"/>
          <w:lang w:val="zh-CN"/>
        </w:rPr>
      </w:pPr>
      <w:bookmarkStart w:id="179" w:name="_Toc2698"/>
      <w:bookmarkStart w:id="180" w:name="_Toc170"/>
      <w:bookmarkStart w:id="181" w:name="_Toc14329"/>
      <w:bookmarkStart w:id="182" w:name="_Toc5560"/>
      <w:bookmarkStart w:id="183" w:name="_Toc21496"/>
      <w:bookmarkStart w:id="184" w:name="_Toc27644"/>
      <w:bookmarkStart w:id="185" w:name="_Toc12829"/>
      <w:bookmarkStart w:id="186" w:name="_Toc31099"/>
      <w:bookmarkStart w:id="187" w:name="_Toc428180579"/>
    </w:p>
    <w:p w14:paraId="6688253E">
      <w:pPr>
        <w:keepNext w:val="0"/>
        <w:keepLines w:val="0"/>
        <w:pageBreakBefore w:val="0"/>
        <w:kinsoku/>
        <w:overflowPunct/>
        <w:topLinePunct w:val="0"/>
        <w:autoSpaceDE w:val="0"/>
        <w:autoSpaceDN w:val="0"/>
        <w:bidi w:val="0"/>
        <w:adjustRightInd w:val="0"/>
        <w:spacing w:after="240" w:line="360" w:lineRule="auto"/>
        <w:rPr>
          <w:rFonts w:hint="eastAsia" w:ascii="宋体" w:hAnsi="宋体" w:eastAsia="宋体" w:cs="宋体"/>
          <w:b/>
          <w:bCs/>
          <w:kern w:val="0"/>
          <w:sz w:val="24"/>
          <w:szCs w:val="24"/>
          <w:lang w:val="zh-CN"/>
        </w:rPr>
      </w:pPr>
      <w:r>
        <w:rPr>
          <w:rStyle w:val="29"/>
          <w:rFonts w:hint="eastAsia" w:ascii="宋体" w:hAnsi="宋体" w:eastAsia="宋体" w:cs="宋体"/>
          <w:color w:val="000000"/>
          <w:sz w:val="24"/>
          <w:szCs w:val="24"/>
          <w:lang w:val="zh-CN"/>
        </w:rPr>
        <w:t>（</w:t>
      </w:r>
      <w:r>
        <w:rPr>
          <w:rStyle w:val="29"/>
          <w:rFonts w:hint="eastAsia" w:ascii="宋体" w:hAnsi="宋体" w:cs="宋体"/>
          <w:color w:val="000000"/>
          <w:sz w:val="24"/>
          <w:szCs w:val="24"/>
          <w:lang w:val="en-US" w:eastAsia="zh-CN"/>
        </w:rPr>
        <w:t>13.2</w:t>
      </w:r>
      <w:r>
        <w:rPr>
          <w:rStyle w:val="29"/>
          <w:rFonts w:hint="eastAsia" w:ascii="宋体" w:hAnsi="宋体" w:eastAsia="宋体" w:cs="宋体"/>
          <w:color w:val="000000"/>
          <w:sz w:val="24"/>
          <w:szCs w:val="24"/>
          <w:lang w:val="zh-CN"/>
        </w:rPr>
        <w:t>）分项报价表（第一轮）</w:t>
      </w:r>
    </w:p>
    <w:p w14:paraId="18DBB87B">
      <w:pPr>
        <w:keepNext w:val="0"/>
        <w:keepLines w:val="0"/>
        <w:pageBreakBefore w:val="0"/>
        <w:kinsoku/>
        <w:overflowPunct/>
        <w:topLinePunct w:val="0"/>
        <w:autoSpaceDE w:val="0"/>
        <w:autoSpaceDN w:val="0"/>
        <w:bidi w:val="0"/>
        <w:adjustRightInd w:val="0"/>
        <w:spacing w:after="240" w:line="360" w:lineRule="auto"/>
        <w:ind w:firstLine="482" w:firstLineChars="200"/>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分项报价表</w:t>
      </w:r>
    </w:p>
    <w:p w14:paraId="1431F61F">
      <w:pPr>
        <w:keepNext w:val="0"/>
        <w:keepLines w:val="0"/>
        <w:pageBreakBefore w:val="0"/>
        <w:kinsoku/>
        <w:overflowPunct/>
        <w:topLinePunct w:val="0"/>
        <w:autoSpaceDE w:val="0"/>
        <w:autoSpaceDN w:val="0"/>
        <w:bidi w:val="0"/>
        <w:adjustRightInd w:val="0"/>
        <w:spacing w:after="240" w:line="360" w:lineRule="auto"/>
        <w:rPr>
          <w:rFonts w:hint="eastAsia" w:ascii="宋体" w:hAnsi="宋体" w:eastAsia="宋体" w:cs="宋体"/>
          <w:kern w:val="0"/>
          <w:sz w:val="24"/>
          <w:szCs w:val="24"/>
          <w:lang w:val="zh-CN"/>
        </w:rPr>
      </w:pPr>
      <w:r>
        <w:rPr>
          <w:rFonts w:hint="eastAsia" w:ascii="宋体" w:hAnsi="宋体" w:eastAsia="宋体" w:cs="宋体"/>
          <w:sz w:val="24"/>
          <w:szCs w:val="24"/>
        </w:rPr>
        <w:t xml:space="preserve">供应商名称：     </w:t>
      </w:r>
      <w:r>
        <w:rPr>
          <w:rFonts w:hint="eastAsia" w:hAnsi="宋体" w:cs="宋体"/>
          <w:sz w:val="24"/>
          <w:szCs w:val="24"/>
          <w:lang w:val="en-US" w:eastAsia="zh-CN"/>
        </w:rPr>
        <w:t xml:space="preserve">     包号：              </w:t>
      </w:r>
      <w:r>
        <w:rPr>
          <w:rFonts w:hint="eastAsia" w:ascii="宋体" w:hAnsi="宋体" w:eastAsia="宋体" w:cs="宋体"/>
          <w:sz w:val="24"/>
          <w:szCs w:val="24"/>
        </w:rPr>
        <w:t>单位：</w:t>
      </w:r>
      <w:r>
        <w:rPr>
          <w:rFonts w:hint="eastAsia" w:hAnsi="宋体" w:cs="宋体"/>
          <w:sz w:val="24"/>
          <w:szCs w:val="24"/>
          <w:lang w:val="en-US" w:eastAsia="zh-CN"/>
        </w:rPr>
        <w:t xml:space="preserve">     </w:t>
      </w:r>
      <w:r>
        <w:rPr>
          <w:rFonts w:hint="eastAsia" w:ascii="宋体" w:hAnsi="宋体" w:eastAsia="宋体" w:cs="宋体"/>
          <w:sz w:val="24"/>
          <w:szCs w:val="24"/>
        </w:rPr>
        <w:t>人民币（元）</w:t>
      </w:r>
    </w:p>
    <w:tbl>
      <w:tblPr>
        <w:tblStyle w:val="22"/>
        <w:tblW w:w="10096" w:type="dxa"/>
        <w:jc w:val="center"/>
        <w:tblLayout w:type="fixed"/>
        <w:tblCellMar>
          <w:top w:w="0" w:type="dxa"/>
          <w:left w:w="28" w:type="dxa"/>
          <w:bottom w:w="0" w:type="dxa"/>
          <w:right w:w="28" w:type="dxa"/>
        </w:tblCellMar>
      </w:tblPr>
      <w:tblGrid>
        <w:gridCol w:w="894"/>
        <w:gridCol w:w="1309"/>
        <w:gridCol w:w="2139"/>
        <w:gridCol w:w="1271"/>
        <w:gridCol w:w="901"/>
        <w:gridCol w:w="858"/>
        <w:gridCol w:w="813"/>
        <w:gridCol w:w="957"/>
        <w:gridCol w:w="954"/>
      </w:tblGrid>
      <w:tr w14:paraId="08DD31EE">
        <w:tblPrEx>
          <w:tblCellMar>
            <w:top w:w="0" w:type="dxa"/>
            <w:left w:w="28" w:type="dxa"/>
            <w:bottom w:w="0" w:type="dxa"/>
            <w:right w:w="28" w:type="dxa"/>
          </w:tblCellMar>
        </w:tblPrEx>
        <w:trPr>
          <w:trHeight w:val="762" w:hRule="atLeast"/>
          <w:jc w:val="center"/>
        </w:trPr>
        <w:tc>
          <w:tcPr>
            <w:tcW w:w="894" w:type="dxa"/>
            <w:tcBorders>
              <w:top w:val="single" w:color="000000" w:sz="8" w:space="0"/>
              <w:left w:val="single" w:color="000000" w:sz="8" w:space="0"/>
              <w:bottom w:val="single" w:color="000000" w:sz="6" w:space="0"/>
              <w:right w:val="single" w:color="000000" w:sz="6" w:space="0"/>
            </w:tcBorders>
            <w:shd w:val="clear" w:color="000000" w:fill="FFFFFF"/>
            <w:noWrap w:val="0"/>
            <w:vAlign w:val="center"/>
          </w:tcPr>
          <w:p w14:paraId="4387F470">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序号</w:t>
            </w:r>
          </w:p>
        </w:tc>
        <w:tc>
          <w:tcPr>
            <w:tcW w:w="1309"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CBF7322">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名称</w:t>
            </w:r>
          </w:p>
        </w:tc>
        <w:tc>
          <w:tcPr>
            <w:tcW w:w="2139"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2E5292C0">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品牌或生产厂家</w:t>
            </w:r>
          </w:p>
        </w:tc>
        <w:tc>
          <w:tcPr>
            <w:tcW w:w="1271"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75FB704E">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规格型号</w:t>
            </w:r>
          </w:p>
        </w:tc>
        <w:tc>
          <w:tcPr>
            <w:tcW w:w="901"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0A86E42E">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数量</w:t>
            </w:r>
          </w:p>
        </w:tc>
        <w:tc>
          <w:tcPr>
            <w:tcW w:w="858"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24F150A5">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单位</w:t>
            </w:r>
          </w:p>
        </w:tc>
        <w:tc>
          <w:tcPr>
            <w:tcW w:w="813"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487B1730">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单价</w:t>
            </w:r>
          </w:p>
        </w:tc>
        <w:tc>
          <w:tcPr>
            <w:tcW w:w="95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1FC20D76">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总价</w:t>
            </w:r>
          </w:p>
        </w:tc>
        <w:tc>
          <w:tcPr>
            <w:tcW w:w="954" w:type="dxa"/>
            <w:tcBorders>
              <w:top w:val="single" w:color="000000" w:sz="8" w:space="0"/>
              <w:left w:val="single" w:color="000000" w:sz="6" w:space="0"/>
              <w:bottom w:val="single" w:color="000000" w:sz="6" w:space="0"/>
              <w:right w:val="single" w:color="000000" w:sz="8" w:space="0"/>
            </w:tcBorders>
            <w:shd w:val="clear" w:color="000000" w:fill="FFFFFF"/>
            <w:noWrap w:val="0"/>
            <w:vAlign w:val="center"/>
          </w:tcPr>
          <w:p w14:paraId="1496E03D">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备注</w:t>
            </w:r>
          </w:p>
        </w:tc>
      </w:tr>
      <w:tr w14:paraId="6E0762C9">
        <w:tblPrEx>
          <w:tblCellMar>
            <w:top w:w="0" w:type="dxa"/>
            <w:left w:w="28" w:type="dxa"/>
            <w:bottom w:w="0" w:type="dxa"/>
            <w:right w:w="28" w:type="dxa"/>
          </w:tblCellMar>
        </w:tblPrEx>
        <w:trPr>
          <w:trHeight w:val="757" w:hRule="atLeast"/>
          <w:jc w:val="center"/>
        </w:trPr>
        <w:tc>
          <w:tcPr>
            <w:tcW w:w="894"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2D150C02">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30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604CF0">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21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91947FD">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12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6628BF6">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F404773">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85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491BC0B">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81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95654D2">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5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F848D98">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5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71E448B7">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r>
      <w:tr w14:paraId="17FE3993">
        <w:tblPrEx>
          <w:tblCellMar>
            <w:top w:w="0" w:type="dxa"/>
            <w:left w:w="28" w:type="dxa"/>
            <w:bottom w:w="0" w:type="dxa"/>
            <w:right w:w="28" w:type="dxa"/>
          </w:tblCellMar>
        </w:tblPrEx>
        <w:trPr>
          <w:trHeight w:val="757" w:hRule="atLeast"/>
          <w:jc w:val="center"/>
        </w:trPr>
        <w:tc>
          <w:tcPr>
            <w:tcW w:w="894"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6D9124EC">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30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E1B89F1">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21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89FB9F2">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12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2EF6B18">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D03727">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85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87974BE">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81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6F43164">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5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9B5E92B">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5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3B6E0AE1">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r>
      <w:tr w14:paraId="66EF64CF">
        <w:tblPrEx>
          <w:tblCellMar>
            <w:top w:w="0" w:type="dxa"/>
            <w:left w:w="28" w:type="dxa"/>
            <w:bottom w:w="0" w:type="dxa"/>
            <w:right w:w="28" w:type="dxa"/>
          </w:tblCellMar>
        </w:tblPrEx>
        <w:trPr>
          <w:trHeight w:val="757" w:hRule="atLeast"/>
          <w:jc w:val="center"/>
        </w:trPr>
        <w:tc>
          <w:tcPr>
            <w:tcW w:w="894"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5CEDBABA">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30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AED0942">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21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B13641C">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12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084CEBB">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B2B2D44">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85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2A902FB">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81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90330B9">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5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8845F46">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5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4EB59BB7">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r>
      <w:tr w14:paraId="413290D1">
        <w:tblPrEx>
          <w:tblCellMar>
            <w:top w:w="0" w:type="dxa"/>
            <w:left w:w="28" w:type="dxa"/>
            <w:bottom w:w="0" w:type="dxa"/>
            <w:right w:w="28" w:type="dxa"/>
          </w:tblCellMar>
        </w:tblPrEx>
        <w:trPr>
          <w:trHeight w:val="757" w:hRule="atLeast"/>
          <w:jc w:val="center"/>
        </w:trPr>
        <w:tc>
          <w:tcPr>
            <w:tcW w:w="894"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3A407100">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30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92846D6">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21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87D4CFC">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12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CEA5A2">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40C730">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85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A238D48">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81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94CD96F">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5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324E80B">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5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2481DFA0">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r>
      <w:tr w14:paraId="261CFAB6">
        <w:tblPrEx>
          <w:tblCellMar>
            <w:top w:w="0" w:type="dxa"/>
            <w:left w:w="28" w:type="dxa"/>
            <w:bottom w:w="0" w:type="dxa"/>
            <w:right w:w="28" w:type="dxa"/>
          </w:tblCellMar>
        </w:tblPrEx>
        <w:trPr>
          <w:trHeight w:val="757" w:hRule="atLeast"/>
          <w:jc w:val="center"/>
        </w:trPr>
        <w:tc>
          <w:tcPr>
            <w:tcW w:w="894"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0B488495">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30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598504A">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2139"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0F96E3F">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127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B71A5DE">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0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C316102">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858"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2ED0E7C">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813"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60755BF">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5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7AEF655">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954"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6939E676">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r>
      <w:tr w14:paraId="0B9F2557">
        <w:tblPrEx>
          <w:tblCellMar>
            <w:top w:w="0" w:type="dxa"/>
            <w:left w:w="28" w:type="dxa"/>
            <w:bottom w:w="0" w:type="dxa"/>
            <w:right w:w="28" w:type="dxa"/>
          </w:tblCellMar>
        </w:tblPrEx>
        <w:trPr>
          <w:trHeight w:val="757" w:hRule="atLeast"/>
          <w:jc w:val="center"/>
        </w:trPr>
        <w:tc>
          <w:tcPr>
            <w:tcW w:w="10096" w:type="dxa"/>
            <w:gridSpan w:val="9"/>
            <w:tcBorders>
              <w:top w:val="single" w:color="000000" w:sz="6" w:space="0"/>
              <w:left w:val="single" w:color="000000" w:sz="8" w:space="0"/>
              <w:bottom w:val="single" w:color="000000" w:sz="6" w:space="0"/>
              <w:right w:val="single" w:color="000000" w:sz="8" w:space="0"/>
            </w:tcBorders>
            <w:shd w:val="clear" w:color="000000" w:fill="FFFFFF"/>
            <w:noWrap w:val="0"/>
            <w:vAlign w:val="center"/>
          </w:tcPr>
          <w:p w14:paraId="2EAE497A">
            <w:pPr>
              <w:keepNext w:val="0"/>
              <w:keepLines w:val="0"/>
              <w:pageBreakBefore w:val="0"/>
              <w:kinsoku/>
              <w:overflowPunct/>
              <w:topLinePunct w:val="0"/>
              <w:autoSpaceDE w:val="0"/>
              <w:autoSpaceDN w:val="0"/>
              <w:bidi w:val="0"/>
              <w:adjustRightInd w:val="0"/>
              <w:spacing w:before="100" w:after="240" w:line="360" w:lineRule="auto"/>
              <w:jc w:val="both"/>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其他承诺及需要说明的事项：</w:t>
            </w:r>
          </w:p>
        </w:tc>
      </w:tr>
      <w:tr w14:paraId="64EFC457">
        <w:tblPrEx>
          <w:tblCellMar>
            <w:top w:w="0" w:type="dxa"/>
            <w:left w:w="28" w:type="dxa"/>
            <w:bottom w:w="0" w:type="dxa"/>
            <w:right w:w="28" w:type="dxa"/>
          </w:tblCellMar>
        </w:tblPrEx>
        <w:trPr>
          <w:trHeight w:val="1334" w:hRule="atLeast"/>
          <w:jc w:val="center"/>
        </w:trPr>
        <w:tc>
          <w:tcPr>
            <w:tcW w:w="2203" w:type="dxa"/>
            <w:gridSpan w:val="2"/>
            <w:tcBorders>
              <w:top w:val="single" w:color="000000" w:sz="6" w:space="0"/>
              <w:left w:val="single" w:color="000000" w:sz="8" w:space="0"/>
              <w:bottom w:val="single" w:color="000000" w:sz="8" w:space="0"/>
              <w:right w:val="single" w:color="000000" w:sz="6" w:space="0"/>
            </w:tcBorders>
            <w:shd w:val="clear" w:color="000000" w:fill="FFFFFF"/>
            <w:noWrap w:val="0"/>
            <w:vAlign w:val="center"/>
          </w:tcPr>
          <w:p w14:paraId="08A21D6F">
            <w:pPr>
              <w:keepNext w:val="0"/>
              <w:keepLines w:val="0"/>
              <w:pageBreakBefore w:val="0"/>
              <w:kinsoku/>
              <w:overflowPunct/>
              <w:topLinePunct w:val="0"/>
              <w:autoSpaceDE w:val="0"/>
              <w:autoSpaceDN w:val="0"/>
              <w:bidi w:val="0"/>
              <w:adjustRightInd w:val="0"/>
              <w:spacing w:before="100" w:after="240" w:line="360" w:lineRule="auto"/>
              <w:ind w:firstLine="480" w:firstLineChars="200"/>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lang w:val="zh-CN"/>
              </w:rPr>
              <w:t>总价</w:t>
            </w:r>
          </w:p>
        </w:tc>
        <w:tc>
          <w:tcPr>
            <w:tcW w:w="7893" w:type="dxa"/>
            <w:gridSpan w:val="7"/>
            <w:tcBorders>
              <w:top w:val="single" w:color="000000" w:sz="6" w:space="0"/>
              <w:left w:val="single" w:color="000000" w:sz="6" w:space="0"/>
              <w:bottom w:val="single" w:color="000000" w:sz="8" w:space="0"/>
              <w:right w:val="single" w:color="000000" w:sz="8" w:space="0"/>
            </w:tcBorders>
            <w:shd w:val="clear" w:color="000000" w:fill="FFFFFF"/>
            <w:noWrap w:val="0"/>
            <w:vAlign w:val="center"/>
          </w:tcPr>
          <w:p w14:paraId="6FF1002E">
            <w:pPr>
              <w:keepNext w:val="0"/>
              <w:keepLines w:val="0"/>
              <w:pageBreakBefore w:val="0"/>
              <w:kinsoku/>
              <w:overflowPunct/>
              <w:topLinePunct w:val="0"/>
              <w:autoSpaceDE w:val="0"/>
              <w:autoSpaceDN w:val="0"/>
              <w:bidi w:val="0"/>
              <w:adjustRightInd w:val="0"/>
              <w:spacing w:after="240"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大写：               </w:t>
            </w:r>
          </w:p>
          <w:p w14:paraId="7C7E0538">
            <w:pPr>
              <w:keepNext w:val="0"/>
              <w:keepLines w:val="0"/>
              <w:pageBreakBefore w:val="0"/>
              <w:kinsoku/>
              <w:overflowPunct/>
              <w:topLinePunct w:val="0"/>
              <w:autoSpaceDE w:val="0"/>
              <w:autoSpaceDN w:val="0"/>
              <w:bidi w:val="0"/>
              <w:adjustRightInd w:val="0"/>
              <w:spacing w:after="240"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小写：</w:t>
            </w:r>
          </w:p>
        </w:tc>
      </w:tr>
    </w:tbl>
    <w:p w14:paraId="452B78D0">
      <w:pPr>
        <w:keepNext w:val="0"/>
        <w:keepLines w:val="0"/>
        <w:pageBreakBefore w:val="0"/>
        <w:widowControl w:val="0"/>
        <w:kinsoku/>
        <w:wordWrap/>
        <w:overflowPunct/>
        <w:topLinePunct w:val="0"/>
        <w:autoSpaceDE w:val="0"/>
        <w:autoSpaceDN w:val="0"/>
        <w:bidi w:val="0"/>
        <w:adjustRightInd/>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注：</w:t>
      </w:r>
      <w:r>
        <w:rPr>
          <w:rFonts w:hint="eastAsia" w:ascii="宋体" w:hAnsi="宋体" w:eastAsia="宋体" w:cs="宋体"/>
          <w:sz w:val="24"/>
          <w:szCs w:val="24"/>
        </w:rPr>
        <w:t>1.</w:t>
      </w:r>
      <w:r>
        <w:rPr>
          <w:rFonts w:hint="eastAsia" w:ascii="宋体" w:hAnsi="宋体" w:eastAsia="宋体" w:cs="宋体"/>
          <w:kern w:val="0"/>
          <w:sz w:val="24"/>
          <w:szCs w:val="24"/>
          <w:lang w:val="zh-CN"/>
        </w:rPr>
        <w:t>本表应依照每包采购一览表中的产品序号按顺序逐项填写，不得遗漏</w:t>
      </w:r>
      <w:r>
        <w:rPr>
          <w:rFonts w:hint="eastAsia" w:ascii="宋体" w:hAnsi="宋体" w:eastAsia="宋体" w:cs="宋体"/>
          <w:sz w:val="24"/>
          <w:szCs w:val="24"/>
          <w:lang w:val="zh-CN"/>
        </w:rPr>
        <w:t>。</w:t>
      </w:r>
    </w:p>
    <w:p w14:paraId="460FD352">
      <w:pPr>
        <w:keepNext w:val="0"/>
        <w:keepLines w:val="0"/>
        <w:pageBreakBefore w:val="0"/>
        <w:widowControl w:val="0"/>
        <w:kinsoku/>
        <w:wordWrap/>
        <w:overflowPunct/>
        <w:topLinePunct w:val="0"/>
        <w:autoSpaceDE w:val="0"/>
        <w:autoSpaceDN w:val="0"/>
        <w:bidi w:val="0"/>
        <w:adjustRightInd/>
        <w:snapToGrid/>
        <w:spacing w:after="24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磋商报价不能有两个或两个以上的报价方案。</w:t>
      </w:r>
    </w:p>
    <w:p w14:paraId="4F5F13C3">
      <w:pPr>
        <w:keepNext w:val="0"/>
        <w:keepLines w:val="0"/>
        <w:pageBreakBefore w:val="0"/>
        <w:kinsoku/>
        <w:overflowPunct/>
        <w:topLinePunct w:val="0"/>
        <w:bidi w:val="0"/>
        <w:spacing w:after="240" w:line="360" w:lineRule="auto"/>
        <w:ind w:firstLine="482" w:firstLineChars="200"/>
        <w:jc w:val="right"/>
        <w:rPr>
          <w:rFonts w:hint="eastAsia" w:ascii="宋体" w:hAnsi="宋体" w:eastAsia="宋体" w:cs="宋体"/>
          <w:b/>
          <w:sz w:val="24"/>
          <w:szCs w:val="24"/>
        </w:rPr>
      </w:pPr>
    </w:p>
    <w:p w14:paraId="00A196E1">
      <w:pPr>
        <w:keepNext w:val="0"/>
        <w:keepLines w:val="0"/>
        <w:pageBreakBefore w:val="0"/>
        <w:kinsoku/>
        <w:overflowPunct/>
        <w:topLinePunct w:val="0"/>
        <w:bidi w:val="0"/>
        <w:adjustRightInd w:val="0"/>
        <w:spacing w:after="240" w:line="360" w:lineRule="auto"/>
        <w:ind w:firstLine="482" w:firstLineChars="200"/>
        <w:jc w:val="right"/>
        <w:textAlignment w:val="baseline"/>
        <w:rPr>
          <w:rFonts w:hint="eastAsia" w:ascii="宋体" w:hAnsi="宋体" w:eastAsia="宋体" w:cs="宋体"/>
          <w:b/>
          <w:sz w:val="24"/>
          <w:szCs w:val="24"/>
        </w:rPr>
      </w:pPr>
      <w:r>
        <w:rPr>
          <w:rFonts w:hint="eastAsia" w:ascii="宋体" w:hAnsi="宋体" w:eastAsia="宋体" w:cs="宋体"/>
          <w:b/>
          <w:sz w:val="24"/>
          <w:szCs w:val="24"/>
        </w:rPr>
        <w:t xml:space="preserve"> 供应商：</w:t>
      </w:r>
      <w:r>
        <w:rPr>
          <w:rFonts w:hint="eastAsia" w:ascii="宋体" w:hAnsi="宋体" w:eastAsia="宋体" w:cs="宋体"/>
          <w:b/>
          <w:sz w:val="24"/>
          <w:szCs w:val="24"/>
          <w:u w:val="single"/>
        </w:rPr>
        <w:t xml:space="preserve">                           </w:t>
      </w:r>
      <w:r>
        <w:rPr>
          <w:rFonts w:hint="eastAsia" w:ascii="宋体" w:hAnsi="宋体" w:eastAsia="宋体" w:cs="宋体"/>
          <w:b/>
          <w:sz w:val="24"/>
          <w:szCs w:val="24"/>
        </w:rPr>
        <w:t>（公章）</w:t>
      </w:r>
    </w:p>
    <w:p w14:paraId="352A6B1F">
      <w:pPr>
        <w:keepNext w:val="0"/>
        <w:keepLines w:val="0"/>
        <w:pageBreakBefore w:val="0"/>
        <w:kinsoku/>
        <w:overflowPunct/>
        <w:topLinePunct w:val="0"/>
        <w:bidi w:val="0"/>
        <w:adjustRightInd w:val="0"/>
        <w:spacing w:after="240" w:line="360" w:lineRule="auto"/>
        <w:ind w:firstLine="482" w:firstLineChars="200"/>
        <w:jc w:val="right"/>
        <w:textAlignment w:val="baseline"/>
        <w:rPr>
          <w:rFonts w:hint="eastAsia" w:ascii="宋体" w:hAnsi="宋体" w:eastAsia="宋体" w:cs="宋体"/>
          <w:b/>
          <w:sz w:val="24"/>
          <w:szCs w:val="24"/>
        </w:rPr>
      </w:pPr>
      <w:r>
        <w:rPr>
          <w:rFonts w:hint="eastAsia" w:ascii="宋体" w:hAnsi="宋体" w:eastAsia="宋体" w:cs="宋体"/>
          <w:b/>
          <w:sz w:val="24"/>
          <w:szCs w:val="24"/>
        </w:rPr>
        <w:t>法定代表人或委托代理人：</w:t>
      </w:r>
      <w:r>
        <w:rPr>
          <w:rFonts w:hint="eastAsia" w:ascii="宋体" w:hAnsi="宋体" w:eastAsia="宋体" w:cs="宋体"/>
          <w:b/>
          <w:sz w:val="24"/>
          <w:szCs w:val="24"/>
          <w:u w:val="single"/>
        </w:rPr>
        <w:t xml:space="preserve">     </w:t>
      </w:r>
      <w:r>
        <w:rPr>
          <w:rFonts w:hint="eastAsia" w:ascii="宋体" w:hAnsi="宋体" w:eastAsia="宋体" w:cs="宋体"/>
          <w:b/>
          <w:sz w:val="24"/>
          <w:szCs w:val="24"/>
        </w:rPr>
        <w:t>（签字或盖章）</w:t>
      </w:r>
    </w:p>
    <w:p w14:paraId="08F77424">
      <w:pPr>
        <w:pStyle w:val="4"/>
        <w:keepNext w:val="0"/>
        <w:keepLines w:val="0"/>
        <w:pageBreakBefore w:val="0"/>
        <w:numPr>
          <w:ilvl w:val="0"/>
          <w:numId w:val="0"/>
        </w:numPr>
        <w:tabs>
          <w:tab w:val="left" w:pos="425"/>
        </w:tabs>
        <w:kinsoku/>
        <w:overflowPunct/>
        <w:topLinePunct w:val="0"/>
        <w:bidi w:val="0"/>
        <w:spacing w:after="240" w:line="360" w:lineRule="auto"/>
        <w:ind w:firstLine="6987" w:firstLineChars="2900"/>
        <w:rPr>
          <w:rFonts w:hint="eastAsia" w:ascii="宋体" w:hAnsi="宋体" w:eastAsia="宋体" w:cs="宋体"/>
          <w:b/>
          <w:sz w:val="24"/>
          <w:szCs w:val="24"/>
        </w:rPr>
      </w:pPr>
      <w:r>
        <w:rPr>
          <w:rFonts w:hint="eastAsia" w:ascii="宋体" w:hAnsi="宋体" w:eastAsia="宋体" w:cs="宋体"/>
          <w:b/>
          <w:sz w:val="24"/>
          <w:szCs w:val="24"/>
        </w:rPr>
        <w:t>年  月  日</w:t>
      </w:r>
    </w:p>
    <w:p w14:paraId="417B830E">
      <w:pPr>
        <w:pStyle w:val="4"/>
        <w:keepNext w:val="0"/>
        <w:keepLines w:val="0"/>
        <w:pageBreakBefore w:val="0"/>
        <w:numPr>
          <w:ilvl w:val="0"/>
          <w:numId w:val="0"/>
        </w:numPr>
        <w:tabs>
          <w:tab w:val="left" w:pos="425"/>
        </w:tabs>
        <w:kinsoku/>
        <w:overflowPunct/>
        <w:topLinePunct w:val="0"/>
        <w:bidi w:val="0"/>
        <w:spacing w:after="240" w:line="360" w:lineRule="auto"/>
        <w:rPr>
          <w:rFonts w:hint="eastAsia" w:ascii="宋体" w:hAnsi="宋体" w:eastAsia="宋体" w:cs="宋体"/>
          <w:b/>
          <w:bCs/>
          <w:kern w:val="0"/>
          <w:sz w:val="24"/>
          <w:szCs w:val="24"/>
          <w:lang w:val="zh-CN" w:eastAsia="zh-CN" w:bidi="ar-SA"/>
        </w:rPr>
      </w:pPr>
      <w:r>
        <w:rPr>
          <w:rFonts w:hint="eastAsia" w:ascii="宋体" w:hAnsi="宋体" w:eastAsia="宋体" w:cs="宋体"/>
          <w:b/>
          <w:bCs/>
          <w:kern w:val="0"/>
          <w:sz w:val="24"/>
          <w:szCs w:val="24"/>
          <w:lang w:val="zh-CN" w:eastAsia="zh-CN" w:bidi="ar-SA"/>
        </w:rPr>
        <w:t>（</w:t>
      </w:r>
      <w:r>
        <w:rPr>
          <w:rFonts w:hint="eastAsia" w:ascii="宋体" w:hAnsi="宋体" w:cs="宋体"/>
          <w:b/>
          <w:bCs/>
          <w:kern w:val="0"/>
          <w:sz w:val="24"/>
          <w:szCs w:val="24"/>
          <w:lang w:val="en-US" w:eastAsia="zh-CN" w:bidi="ar-SA"/>
        </w:rPr>
        <w:t>14.1</w:t>
      </w:r>
      <w:r>
        <w:rPr>
          <w:rFonts w:hint="eastAsia" w:ascii="宋体" w:hAnsi="宋体" w:eastAsia="宋体" w:cs="宋体"/>
          <w:b/>
          <w:bCs/>
          <w:kern w:val="0"/>
          <w:sz w:val="24"/>
          <w:szCs w:val="24"/>
          <w:lang w:val="zh-CN" w:eastAsia="zh-CN" w:bidi="ar-SA"/>
        </w:rPr>
        <w:t>）竞争性磋商最终报价表</w:t>
      </w:r>
      <w:bookmarkEnd w:id="179"/>
      <w:bookmarkEnd w:id="180"/>
      <w:bookmarkEnd w:id="181"/>
      <w:bookmarkEnd w:id="182"/>
      <w:bookmarkEnd w:id="183"/>
      <w:bookmarkEnd w:id="184"/>
      <w:bookmarkEnd w:id="185"/>
    </w:p>
    <w:p w14:paraId="78A0CC0B">
      <w:pPr>
        <w:keepNext w:val="0"/>
        <w:keepLines w:val="0"/>
        <w:pageBreakBefore w:val="0"/>
        <w:kinsoku/>
        <w:overflowPunct/>
        <w:topLinePunct w:val="0"/>
        <w:autoSpaceDE w:val="0"/>
        <w:autoSpaceDN w:val="0"/>
        <w:bidi w:val="0"/>
        <w:adjustRightInd w:val="0"/>
        <w:spacing w:after="240" w:line="360" w:lineRule="auto"/>
        <w:ind w:firstLine="482" w:firstLineChars="200"/>
        <w:jc w:val="center"/>
        <w:rPr>
          <w:rFonts w:hint="eastAsia" w:ascii="宋体" w:hAnsi="宋体" w:eastAsia="宋体" w:cs="宋体"/>
          <w:sz w:val="24"/>
          <w:szCs w:val="24"/>
        </w:rPr>
      </w:pPr>
      <w:r>
        <w:rPr>
          <w:rFonts w:hint="eastAsia" w:ascii="宋体" w:hAnsi="宋体" w:eastAsia="宋体" w:cs="宋体"/>
          <w:b/>
          <w:bCs/>
          <w:kern w:val="0"/>
          <w:sz w:val="24"/>
          <w:szCs w:val="24"/>
          <w:lang w:val="zh-CN"/>
        </w:rPr>
        <w:t xml:space="preserve">竞争性磋商最终报价表  </w:t>
      </w:r>
    </w:p>
    <w:p w14:paraId="71355407">
      <w:pPr>
        <w:keepNext w:val="0"/>
        <w:keepLines w:val="0"/>
        <w:pageBreakBefore w:val="0"/>
        <w:kinsoku/>
        <w:overflowPunct/>
        <w:topLinePunct w:val="0"/>
        <w:bidi w:val="0"/>
        <w:spacing w:after="24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供应商名称：     </w:t>
      </w:r>
      <w:r>
        <w:rPr>
          <w:rFonts w:hint="eastAsia" w:hAnsi="宋体" w:cs="宋体"/>
          <w:sz w:val="24"/>
          <w:szCs w:val="24"/>
          <w:lang w:val="en-US" w:eastAsia="zh-CN"/>
        </w:rPr>
        <w:t xml:space="preserve">     包号：              </w:t>
      </w:r>
      <w:r>
        <w:rPr>
          <w:rFonts w:hint="eastAsia" w:ascii="宋体" w:hAnsi="宋体" w:eastAsia="宋体" w:cs="宋体"/>
          <w:sz w:val="24"/>
          <w:szCs w:val="24"/>
        </w:rPr>
        <w:t>单位：</w:t>
      </w:r>
      <w:r>
        <w:rPr>
          <w:rFonts w:hint="eastAsia" w:hAnsi="宋体" w:cs="宋体"/>
          <w:sz w:val="24"/>
          <w:szCs w:val="24"/>
          <w:lang w:val="en-US" w:eastAsia="zh-CN"/>
        </w:rPr>
        <w:t xml:space="preserve">     </w:t>
      </w:r>
      <w:r>
        <w:rPr>
          <w:rFonts w:hint="eastAsia" w:ascii="宋体" w:hAnsi="宋体" w:eastAsia="宋体" w:cs="宋体"/>
          <w:sz w:val="24"/>
          <w:szCs w:val="24"/>
        </w:rPr>
        <w:t>人民币（元）</w:t>
      </w:r>
    </w:p>
    <w:tbl>
      <w:tblPr>
        <w:tblStyle w:val="22"/>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2343"/>
        <w:gridCol w:w="1529"/>
        <w:gridCol w:w="1768"/>
        <w:gridCol w:w="1768"/>
      </w:tblGrid>
      <w:tr w14:paraId="023C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429" w:type="dxa"/>
            <w:noWrap w:val="0"/>
            <w:vAlign w:val="center"/>
          </w:tcPr>
          <w:p w14:paraId="737F8A72">
            <w:pPr>
              <w:keepNext w:val="0"/>
              <w:keepLines w:val="0"/>
              <w:pageBreakBefore w:val="0"/>
              <w:kinsoku/>
              <w:overflowPunct/>
              <w:topLinePunct w:val="0"/>
              <w:bidi w:val="0"/>
              <w:spacing w:after="240"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343" w:type="dxa"/>
            <w:noWrap w:val="0"/>
            <w:vAlign w:val="center"/>
          </w:tcPr>
          <w:p w14:paraId="51090301">
            <w:pPr>
              <w:keepNext w:val="0"/>
              <w:keepLines w:val="0"/>
              <w:pageBreakBefore w:val="0"/>
              <w:kinsoku/>
              <w:overflowPunct/>
              <w:topLinePunct w:val="0"/>
              <w:bidi w:val="0"/>
              <w:spacing w:after="240" w:line="360" w:lineRule="auto"/>
              <w:jc w:val="center"/>
              <w:rPr>
                <w:rFonts w:hint="eastAsia" w:ascii="宋体" w:hAnsi="宋体" w:eastAsia="宋体" w:cs="宋体"/>
                <w:sz w:val="24"/>
                <w:szCs w:val="24"/>
              </w:rPr>
            </w:pPr>
            <w:r>
              <w:rPr>
                <w:rFonts w:hint="eastAsia" w:ascii="宋体" w:hAnsi="宋体" w:eastAsia="宋体" w:cs="宋体"/>
                <w:bCs/>
                <w:sz w:val="24"/>
                <w:szCs w:val="24"/>
              </w:rPr>
              <w:t>竞争性磋商最终报价</w:t>
            </w:r>
          </w:p>
        </w:tc>
        <w:tc>
          <w:tcPr>
            <w:tcW w:w="1529" w:type="dxa"/>
            <w:noWrap w:val="0"/>
            <w:vAlign w:val="center"/>
          </w:tcPr>
          <w:p w14:paraId="03E11723">
            <w:pPr>
              <w:keepNext w:val="0"/>
              <w:keepLines w:val="0"/>
              <w:pageBreakBefore w:val="0"/>
              <w:kinsoku/>
              <w:overflowPunct/>
              <w:topLinePunct w:val="0"/>
              <w:bidi w:val="0"/>
              <w:spacing w:after="240" w:line="360" w:lineRule="auto"/>
              <w:jc w:val="center"/>
              <w:rPr>
                <w:rFonts w:hint="eastAsia" w:ascii="宋体" w:hAnsi="宋体" w:eastAsia="宋体" w:cs="宋体"/>
                <w:sz w:val="24"/>
                <w:szCs w:val="24"/>
              </w:rPr>
            </w:pPr>
            <w:r>
              <w:rPr>
                <w:rFonts w:hint="eastAsia" w:ascii="宋体" w:hAnsi="宋体" w:eastAsia="宋体" w:cs="宋体"/>
                <w:sz w:val="24"/>
                <w:szCs w:val="24"/>
              </w:rPr>
              <w:t>交货期</w:t>
            </w:r>
          </w:p>
        </w:tc>
        <w:tc>
          <w:tcPr>
            <w:tcW w:w="1768" w:type="dxa"/>
            <w:noWrap w:val="0"/>
            <w:vAlign w:val="center"/>
          </w:tcPr>
          <w:p w14:paraId="7C60F46E">
            <w:pPr>
              <w:keepNext w:val="0"/>
              <w:keepLines w:val="0"/>
              <w:pageBreakBefore w:val="0"/>
              <w:kinsoku/>
              <w:overflowPunct/>
              <w:topLinePunct w:val="0"/>
              <w:bidi w:val="0"/>
              <w:spacing w:after="240" w:line="360" w:lineRule="auto"/>
              <w:jc w:val="center"/>
              <w:rPr>
                <w:rFonts w:hint="eastAsia" w:ascii="宋体" w:hAnsi="宋体" w:eastAsia="宋体" w:cs="宋体"/>
                <w:sz w:val="24"/>
                <w:szCs w:val="24"/>
              </w:rPr>
            </w:pPr>
            <w:r>
              <w:rPr>
                <w:rFonts w:hint="eastAsia" w:ascii="宋体" w:hAnsi="宋体" w:eastAsia="宋体" w:cs="宋体"/>
                <w:sz w:val="24"/>
                <w:szCs w:val="24"/>
              </w:rPr>
              <w:t>交货地点</w:t>
            </w:r>
          </w:p>
        </w:tc>
        <w:tc>
          <w:tcPr>
            <w:tcW w:w="1768" w:type="dxa"/>
            <w:noWrap w:val="0"/>
            <w:vAlign w:val="center"/>
          </w:tcPr>
          <w:p w14:paraId="05E23DD6">
            <w:pPr>
              <w:keepNext w:val="0"/>
              <w:keepLines w:val="0"/>
              <w:pageBreakBefore w:val="0"/>
              <w:kinsoku/>
              <w:overflowPunct/>
              <w:topLinePunct w:val="0"/>
              <w:bidi w:val="0"/>
              <w:spacing w:after="240"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14:paraId="5DFD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29" w:type="dxa"/>
            <w:vMerge w:val="restart"/>
            <w:noWrap w:val="0"/>
            <w:vAlign w:val="center"/>
          </w:tcPr>
          <w:p w14:paraId="09956AFA">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c>
          <w:tcPr>
            <w:tcW w:w="2343" w:type="dxa"/>
            <w:noWrap w:val="0"/>
            <w:vAlign w:val="center"/>
          </w:tcPr>
          <w:p w14:paraId="224EB92A">
            <w:pPr>
              <w:keepNext w:val="0"/>
              <w:keepLines w:val="0"/>
              <w:pageBreakBefore w:val="0"/>
              <w:kinsoku/>
              <w:overflowPunct/>
              <w:topLinePunct w:val="0"/>
              <w:bidi w:val="0"/>
              <w:spacing w:after="240" w:line="360" w:lineRule="auto"/>
              <w:jc w:val="both"/>
              <w:rPr>
                <w:rFonts w:hint="eastAsia" w:ascii="宋体" w:hAnsi="宋体" w:eastAsia="宋体" w:cs="宋体"/>
                <w:sz w:val="24"/>
                <w:szCs w:val="24"/>
              </w:rPr>
            </w:pPr>
            <w:r>
              <w:rPr>
                <w:rFonts w:hint="eastAsia" w:ascii="宋体" w:hAnsi="宋体" w:eastAsia="宋体" w:cs="宋体"/>
                <w:sz w:val="24"/>
                <w:szCs w:val="24"/>
              </w:rPr>
              <w:t>小写：</w:t>
            </w:r>
          </w:p>
        </w:tc>
        <w:tc>
          <w:tcPr>
            <w:tcW w:w="1529" w:type="dxa"/>
            <w:noWrap w:val="0"/>
            <w:vAlign w:val="center"/>
          </w:tcPr>
          <w:p w14:paraId="1A35683A">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c>
          <w:tcPr>
            <w:tcW w:w="1768" w:type="dxa"/>
            <w:noWrap w:val="0"/>
            <w:vAlign w:val="center"/>
          </w:tcPr>
          <w:p w14:paraId="1DA7ED81">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c>
          <w:tcPr>
            <w:tcW w:w="1768" w:type="dxa"/>
            <w:noWrap w:val="0"/>
            <w:vAlign w:val="center"/>
          </w:tcPr>
          <w:p w14:paraId="585DEE5C">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r>
      <w:tr w14:paraId="4A19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29" w:type="dxa"/>
            <w:vMerge w:val="continue"/>
            <w:noWrap w:val="0"/>
            <w:vAlign w:val="center"/>
          </w:tcPr>
          <w:p w14:paraId="3FA2B475">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c>
          <w:tcPr>
            <w:tcW w:w="2343" w:type="dxa"/>
            <w:noWrap w:val="0"/>
            <w:vAlign w:val="center"/>
          </w:tcPr>
          <w:p w14:paraId="16126A60">
            <w:pPr>
              <w:keepNext w:val="0"/>
              <w:keepLines w:val="0"/>
              <w:pageBreakBefore w:val="0"/>
              <w:kinsoku/>
              <w:overflowPunct/>
              <w:topLinePunct w:val="0"/>
              <w:bidi w:val="0"/>
              <w:spacing w:after="240" w:line="360" w:lineRule="auto"/>
              <w:jc w:val="both"/>
              <w:rPr>
                <w:rFonts w:hint="eastAsia" w:ascii="宋体" w:hAnsi="宋体" w:eastAsia="宋体" w:cs="宋体"/>
                <w:sz w:val="24"/>
                <w:szCs w:val="24"/>
              </w:rPr>
            </w:pPr>
            <w:r>
              <w:rPr>
                <w:rFonts w:hint="eastAsia" w:ascii="宋体" w:hAnsi="宋体" w:eastAsia="宋体" w:cs="宋体"/>
                <w:sz w:val="24"/>
                <w:szCs w:val="24"/>
              </w:rPr>
              <w:t>大写：</w:t>
            </w:r>
          </w:p>
        </w:tc>
        <w:tc>
          <w:tcPr>
            <w:tcW w:w="1529" w:type="dxa"/>
            <w:noWrap w:val="0"/>
            <w:vAlign w:val="center"/>
          </w:tcPr>
          <w:p w14:paraId="415FD3CC">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c>
          <w:tcPr>
            <w:tcW w:w="1768" w:type="dxa"/>
            <w:noWrap w:val="0"/>
            <w:vAlign w:val="center"/>
          </w:tcPr>
          <w:p w14:paraId="3455BCB1">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c>
          <w:tcPr>
            <w:tcW w:w="1768" w:type="dxa"/>
            <w:noWrap w:val="0"/>
            <w:vAlign w:val="center"/>
          </w:tcPr>
          <w:p w14:paraId="56F50C60">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r>
      <w:tr w14:paraId="23D9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772" w:type="dxa"/>
            <w:gridSpan w:val="2"/>
            <w:noWrap w:val="0"/>
            <w:vAlign w:val="center"/>
          </w:tcPr>
          <w:p w14:paraId="237D0EE4">
            <w:pPr>
              <w:keepNext w:val="0"/>
              <w:keepLines w:val="0"/>
              <w:pageBreakBefore w:val="0"/>
              <w:kinsoku/>
              <w:overflowPunct/>
              <w:topLinePunct w:val="0"/>
              <w:bidi w:val="0"/>
              <w:spacing w:after="240" w:line="360" w:lineRule="auto"/>
              <w:jc w:val="center"/>
              <w:rPr>
                <w:rFonts w:hint="eastAsia" w:ascii="宋体" w:hAnsi="宋体" w:eastAsia="宋体" w:cs="宋体"/>
                <w:sz w:val="24"/>
                <w:szCs w:val="24"/>
              </w:rPr>
            </w:pPr>
            <w:r>
              <w:rPr>
                <w:rFonts w:hint="eastAsia" w:ascii="宋体" w:hAnsi="宋体" w:eastAsia="宋体" w:cs="宋体"/>
                <w:sz w:val="24"/>
                <w:szCs w:val="24"/>
              </w:rPr>
              <w:t>优惠承诺及其他：</w:t>
            </w:r>
          </w:p>
        </w:tc>
        <w:tc>
          <w:tcPr>
            <w:tcW w:w="5065" w:type="dxa"/>
            <w:gridSpan w:val="3"/>
            <w:noWrap w:val="0"/>
            <w:vAlign w:val="center"/>
          </w:tcPr>
          <w:p w14:paraId="2A4A44E1">
            <w:pPr>
              <w:keepNext w:val="0"/>
              <w:keepLines w:val="0"/>
              <w:pageBreakBefore w:val="0"/>
              <w:kinsoku/>
              <w:overflowPunct/>
              <w:topLinePunct w:val="0"/>
              <w:bidi w:val="0"/>
              <w:spacing w:after="240" w:line="360" w:lineRule="auto"/>
              <w:ind w:firstLine="480" w:firstLineChars="200"/>
              <w:jc w:val="center"/>
              <w:rPr>
                <w:rFonts w:hint="eastAsia" w:ascii="宋体" w:hAnsi="宋体" w:eastAsia="宋体" w:cs="宋体"/>
                <w:sz w:val="24"/>
                <w:szCs w:val="24"/>
              </w:rPr>
            </w:pPr>
          </w:p>
        </w:tc>
      </w:tr>
    </w:tbl>
    <w:p w14:paraId="3B02AA5E">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注：1.填写此表时不得改变表格形式。</w:t>
      </w:r>
    </w:p>
    <w:p w14:paraId="20119366">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Chars="200"/>
        <w:textAlignment w:val="auto"/>
        <w:rPr>
          <w:rFonts w:hint="eastAsia" w:ascii="宋体" w:hAnsi="宋体" w:eastAsia="宋体" w:cs="宋体"/>
          <w:bCs/>
          <w:sz w:val="24"/>
          <w:szCs w:val="24"/>
          <w:lang w:val="zh-CN"/>
        </w:rPr>
      </w:pPr>
      <w:r>
        <w:rPr>
          <w:rFonts w:hint="eastAsia" w:ascii="宋体" w:hAnsi="宋体" w:cs="宋体"/>
          <w:bCs/>
          <w:sz w:val="24"/>
          <w:szCs w:val="24"/>
          <w:lang w:val="en-US" w:eastAsia="zh-CN"/>
        </w:rPr>
        <w:t>2.</w:t>
      </w:r>
      <w:r>
        <w:rPr>
          <w:rFonts w:hint="eastAsia" w:ascii="宋体" w:hAnsi="宋体" w:eastAsia="宋体" w:cs="宋体"/>
          <w:bCs/>
          <w:sz w:val="24"/>
          <w:szCs w:val="24"/>
          <w:lang w:val="zh-CN"/>
        </w:rPr>
        <w:t>“磋商总价”为</w:t>
      </w:r>
      <w:r>
        <w:rPr>
          <w:rFonts w:hint="eastAsia" w:ascii="宋体" w:hAnsi="宋体" w:eastAsia="宋体" w:cs="宋体"/>
          <w:bCs/>
          <w:sz w:val="24"/>
          <w:szCs w:val="24"/>
          <w:lang w:val="en-US" w:eastAsia="zh-CN"/>
        </w:rPr>
        <w:t>响应</w:t>
      </w:r>
      <w:r>
        <w:rPr>
          <w:rFonts w:hint="eastAsia" w:ascii="宋体" w:hAnsi="宋体" w:eastAsia="宋体" w:cs="宋体"/>
          <w:bCs/>
          <w:sz w:val="24"/>
          <w:szCs w:val="24"/>
          <w:lang w:val="zh-CN"/>
        </w:rPr>
        <w:t>总价。包括</w:t>
      </w:r>
      <w:r>
        <w:rPr>
          <w:rFonts w:hint="eastAsia" w:ascii="宋体" w:hAnsi="宋体" w:eastAsia="宋体" w:cs="宋体"/>
          <w:bCs/>
          <w:sz w:val="24"/>
          <w:szCs w:val="24"/>
          <w:lang w:val="zh-CN" w:eastAsia="zh-CN"/>
        </w:rPr>
        <w:t>成品</w:t>
      </w:r>
      <w:r>
        <w:rPr>
          <w:rFonts w:hint="eastAsia" w:ascii="宋体" w:hAnsi="宋体" w:eastAsia="宋体" w:cs="宋体"/>
          <w:bCs/>
          <w:sz w:val="24"/>
          <w:szCs w:val="24"/>
          <w:lang w:val="zh-CN"/>
        </w:rPr>
        <w:t>费、</w:t>
      </w:r>
      <w:r>
        <w:rPr>
          <w:rFonts w:hint="eastAsia" w:ascii="宋体" w:hAnsi="宋体" w:eastAsia="宋体" w:cs="宋体"/>
          <w:bCs/>
          <w:sz w:val="24"/>
          <w:szCs w:val="24"/>
          <w:lang w:val="zh-CN" w:eastAsia="zh-CN"/>
        </w:rPr>
        <w:t>人工</w:t>
      </w:r>
      <w:r>
        <w:rPr>
          <w:rFonts w:hint="eastAsia" w:ascii="宋体" w:hAnsi="宋体" w:eastAsia="宋体" w:cs="宋体"/>
          <w:bCs/>
          <w:sz w:val="24"/>
          <w:szCs w:val="24"/>
          <w:lang w:val="zh-CN"/>
        </w:rPr>
        <w:t>费、验收费、手续费、包装费、运输费、差旅费、售前、售中、售后服务费、税金、招标代理服务费及不可预见费等全部费用。</w:t>
      </w:r>
    </w:p>
    <w:p w14:paraId="4211D53F">
      <w:pPr>
        <w:keepNext w:val="0"/>
        <w:keepLines w:val="0"/>
        <w:pageBreakBefore w:val="0"/>
        <w:widowControl w:val="0"/>
        <w:numPr>
          <w:ilvl w:val="0"/>
          <w:numId w:val="0"/>
        </w:numPr>
        <w:kinsoku/>
        <w:wordWrap/>
        <w:overflowPunct/>
        <w:topLinePunct w:val="0"/>
        <w:autoSpaceDE/>
        <w:autoSpaceDN/>
        <w:bidi w:val="0"/>
        <w:adjustRightInd/>
        <w:snapToGrid/>
        <w:spacing w:after="240" w:line="360" w:lineRule="auto"/>
        <w:ind w:left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3.“交货期”是指完成</w:t>
      </w:r>
      <w:r>
        <w:rPr>
          <w:rFonts w:hint="eastAsia" w:ascii="宋体" w:hAnsi="宋体" w:cs="宋体"/>
          <w:bCs/>
          <w:sz w:val="24"/>
          <w:szCs w:val="24"/>
          <w:lang w:val="en-US" w:eastAsia="zh-CN"/>
        </w:rPr>
        <w:t>交货</w:t>
      </w:r>
      <w:r>
        <w:rPr>
          <w:rFonts w:hint="eastAsia" w:ascii="宋体" w:hAnsi="宋体" w:eastAsia="宋体" w:cs="宋体"/>
          <w:bCs/>
          <w:sz w:val="24"/>
          <w:szCs w:val="24"/>
          <w:lang w:val="zh-CN"/>
        </w:rPr>
        <w:t>所需的具体时间。</w:t>
      </w:r>
    </w:p>
    <w:p w14:paraId="0194EA18">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eastAsia" w:ascii="宋体" w:hAnsi="宋体" w:eastAsia="宋体" w:cs="宋体"/>
          <w:bCs/>
          <w:sz w:val="24"/>
          <w:szCs w:val="24"/>
          <w:lang w:val="zh-CN"/>
        </w:rPr>
      </w:pPr>
      <w:r>
        <w:rPr>
          <w:rFonts w:hint="eastAsia" w:ascii="宋体" w:hAnsi="宋体" w:eastAsia="宋体" w:cs="宋体"/>
          <w:bCs/>
          <w:sz w:val="24"/>
          <w:szCs w:val="24"/>
          <w:lang w:val="zh-CN"/>
        </w:rPr>
        <w:t xml:space="preserve">4. </w:t>
      </w:r>
      <w:r>
        <w:rPr>
          <w:rFonts w:hint="eastAsia" w:ascii="宋体" w:hAnsi="宋体" w:eastAsia="宋体" w:cs="宋体"/>
          <w:bCs/>
          <w:sz w:val="24"/>
          <w:szCs w:val="24"/>
          <w:lang w:val="en-US" w:eastAsia="zh-CN"/>
        </w:rPr>
        <w:t>响应</w:t>
      </w:r>
      <w:r>
        <w:rPr>
          <w:rFonts w:hint="eastAsia" w:ascii="宋体" w:hAnsi="宋体" w:eastAsia="宋体" w:cs="宋体"/>
          <w:bCs/>
          <w:sz w:val="24"/>
          <w:szCs w:val="24"/>
          <w:lang w:val="zh-CN"/>
        </w:rPr>
        <w:t>报价不能有两个或两个以上的报价方案。</w:t>
      </w:r>
    </w:p>
    <w:p w14:paraId="44F3842C">
      <w:pPr>
        <w:keepNext w:val="0"/>
        <w:keepLines w:val="0"/>
        <w:pageBreakBefore w:val="0"/>
        <w:widowControl w:val="0"/>
        <w:kinsoku/>
        <w:wordWrap/>
        <w:overflowPunct/>
        <w:topLinePunct w:val="0"/>
        <w:autoSpaceDE/>
        <w:autoSpaceDN/>
        <w:bidi w:val="0"/>
        <w:adjustRightInd/>
        <w:snapToGrid/>
        <w:spacing w:after="240" w:line="360" w:lineRule="auto"/>
        <w:ind w:firstLine="480" w:firstLineChars="200"/>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注：资审通过后单独提交。</w:t>
      </w:r>
    </w:p>
    <w:p w14:paraId="28CCE829">
      <w:pPr>
        <w:keepNext w:val="0"/>
        <w:keepLines w:val="0"/>
        <w:pageBreakBefore w:val="0"/>
        <w:kinsoku/>
        <w:overflowPunct/>
        <w:topLinePunct w:val="0"/>
        <w:bidi w:val="0"/>
        <w:adjustRightInd w:val="0"/>
        <w:spacing w:after="240" w:line="360" w:lineRule="auto"/>
        <w:ind w:firstLine="482" w:firstLineChars="200"/>
        <w:jc w:val="right"/>
        <w:textAlignment w:val="baseline"/>
        <w:rPr>
          <w:rFonts w:hint="eastAsia" w:ascii="宋体" w:hAnsi="宋体" w:eastAsia="宋体" w:cs="宋体"/>
          <w:b/>
          <w:sz w:val="24"/>
          <w:szCs w:val="24"/>
        </w:rPr>
      </w:pPr>
    </w:p>
    <w:p w14:paraId="24CA0704">
      <w:pPr>
        <w:keepNext w:val="0"/>
        <w:keepLines w:val="0"/>
        <w:pageBreakBefore w:val="0"/>
        <w:kinsoku/>
        <w:overflowPunct/>
        <w:topLinePunct w:val="0"/>
        <w:bidi w:val="0"/>
        <w:adjustRightInd w:val="0"/>
        <w:spacing w:after="240" w:line="360" w:lineRule="auto"/>
        <w:ind w:firstLine="482" w:firstLineChars="200"/>
        <w:jc w:val="right"/>
        <w:textAlignment w:val="baseline"/>
        <w:rPr>
          <w:rFonts w:hint="eastAsia" w:ascii="宋体" w:hAnsi="宋体" w:eastAsia="宋体" w:cs="宋体"/>
          <w:b/>
          <w:sz w:val="24"/>
          <w:szCs w:val="24"/>
        </w:rPr>
      </w:pPr>
      <w:r>
        <w:rPr>
          <w:rFonts w:hint="eastAsia" w:ascii="宋体" w:hAnsi="宋体" w:eastAsia="宋体" w:cs="宋体"/>
          <w:b/>
          <w:sz w:val="24"/>
          <w:szCs w:val="24"/>
        </w:rPr>
        <w:t>供应商：</w:t>
      </w:r>
      <w:r>
        <w:rPr>
          <w:rFonts w:hint="eastAsia" w:ascii="宋体" w:hAnsi="宋体" w:eastAsia="宋体" w:cs="宋体"/>
          <w:b/>
          <w:sz w:val="24"/>
          <w:szCs w:val="24"/>
          <w:u w:val="single"/>
        </w:rPr>
        <w:t xml:space="preserve">                         </w:t>
      </w:r>
      <w:r>
        <w:rPr>
          <w:rFonts w:hint="eastAsia" w:ascii="宋体" w:hAnsi="宋体" w:eastAsia="宋体" w:cs="宋体"/>
          <w:b/>
          <w:sz w:val="24"/>
          <w:szCs w:val="24"/>
        </w:rPr>
        <w:t>（公章）</w:t>
      </w:r>
    </w:p>
    <w:p w14:paraId="2FFF7A70">
      <w:pPr>
        <w:keepNext w:val="0"/>
        <w:keepLines w:val="0"/>
        <w:pageBreakBefore w:val="0"/>
        <w:kinsoku/>
        <w:overflowPunct/>
        <w:topLinePunct w:val="0"/>
        <w:bidi w:val="0"/>
        <w:adjustRightInd w:val="0"/>
        <w:spacing w:after="240" w:line="360" w:lineRule="auto"/>
        <w:ind w:firstLine="482" w:firstLineChars="200"/>
        <w:jc w:val="right"/>
        <w:textAlignment w:val="baseline"/>
        <w:rPr>
          <w:rFonts w:hint="eastAsia" w:ascii="宋体" w:hAnsi="宋体" w:eastAsia="宋体" w:cs="宋体"/>
          <w:b/>
          <w:sz w:val="24"/>
          <w:szCs w:val="24"/>
        </w:rPr>
      </w:pPr>
      <w:r>
        <w:rPr>
          <w:rFonts w:hint="eastAsia" w:ascii="宋体" w:hAnsi="宋体" w:eastAsia="宋体" w:cs="宋体"/>
          <w:b/>
          <w:sz w:val="24"/>
          <w:szCs w:val="24"/>
        </w:rPr>
        <w:t>法定代表人或委托代理人：</w:t>
      </w:r>
      <w:r>
        <w:rPr>
          <w:rFonts w:hint="eastAsia" w:ascii="宋体" w:hAnsi="宋体" w:eastAsia="宋体" w:cs="宋体"/>
          <w:b/>
          <w:sz w:val="24"/>
          <w:szCs w:val="24"/>
          <w:u w:val="single"/>
        </w:rPr>
        <w:t xml:space="preserve">    </w:t>
      </w:r>
      <w:r>
        <w:rPr>
          <w:rFonts w:hint="eastAsia" w:ascii="宋体" w:hAnsi="宋体" w:eastAsia="宋体" w:cs="宋体"/>
          <w:b/>
          <w:sz w:val="24"/>
          <w:szCs w:val="24"/>
        </w:rPr>
        <w:t>（签字或盖章)</w:t>
      </w:r>
    </w:p>
    <w:p w14:paraId="36DE8691">
      <w:pPr>
        <w:keepNext w:val="0"/>
        <w:keepLines w:val="0"/>
        <w:pageBreakBefore w:val="0"/>
        <w:kinsoku/>
        <w:overflowPunct/>
        <w:topLinePunct w:val="0"/>
        <w:bidi w:val="0"/>
        <w:adjustRightInd w:val="0"/>
        <w:spacing w:after="240" w:line="360" w:lineRule="auto"/>
        <w:ind w:firstLine="482" w:firstLineChars="200"/>
        <w:jc w:val="right"/>
        <w:textAlignment w:val="baseline"/>
        <w:rPr>
          <w:rFonts w:hint="eastAsia" w:ascii="宋体" w:hAnsi="宋体" w:eastAsia="宋体" w:cs="宋体"/>
          <w:b/>
          <w:sz w:val="24"/>
          <w:szCs w:val="24"/>
        </w:rPr>
      </w:pPr>
      <w:r>
        <w:rPr>
          <w:rFonts w:hint="eastAsia" w:ascii="宋体" w:hAnsi="宋体" w:eastAsia="宋体" w:cs="宋体"/>
          <w:b/>
          <w:sz w:val="24"/>
          <w:szCs w:val="24"/>
        </w:rPr>
        <w:t>年  月  日</w:t>
      </w:r>
    </w:p>
    <w:p w14:paraId="760ED292">
      <w:pPr>
        <w:rPr>
          <w:rFonts w:hint="eastAsia"/>
          <w:lang w:val="zh-CN" w:eastAsia="zh-CN"/>
        </w:rPr>
      </w:pPr>
    </w:p>
    <w:p w14:paraId="193E3018">
      <w:pPr>
        <w:pStyle w:val="18"/>
        <w:rPr>
          <w:rFonts w:hint="eastAsia"/>
          <w:lang w:val="zh-CN" w:eastAsia="zh-CN"/>
        </w:rPr>
      </w:pPr>
    </w:p>
    <w:bookmarkEnd w:id="186"/>
    <w:bookmarkEnd w:id="187"/>
    <w:p w14:paraId="4E75A746">
      <w:pPr>
        <w:autoSpaceDE w:val="0"/>
        <w:autoSpaceDN w:val="0"/>
        <w:adjustRightInd w:val="0"/>
        <w:spacing w:line="400" w:lineRule="exact"/>
        <w:rPr>
          <w:rFonts w:hint="eastAsia" w:ascii="宋体" w:hAnsi="宋体" w:eastAsia="宋体" w:cs="宋体"/>
          <w:b/>
          <w:sz w:val="24"/>
          <w:szCs w:val="24"/>
        </w:rPr>
      </w:pPr>
      <w:bookmarkStart w:id="188" w:name="_Toc22483"/>
      <w:bookmarkStart w:id="189" w:name="_Toc428180580"/>
      <w:bookmarkStart w:id="190" w:name="_Toc7495"/>
    </w:p>
    <w:bookmarkEnd w:id="188"/>
    <w:p w14:paraId="7D29426D">
      <w:pPr>
        <w:keepNext w:val="0"/>
        <w:keepLines w:val="0"/>
        <w:pageBreakBefore w:val="0"/>
        <w:widowControl/>
        <w:kinsoku/>
        <w:overflowPunct/>
        <w:topLinePunct w:val="0"/>
        <w:bidi w:val="0"/>
        <w:snapToGrid w:val="0"/>
        <w:spacing w:after="240" w:line="360" w:lineRule="auto"/>
        <w:outlineLvl w:val="1"/>
        <w:rPr>
          <w:rStyle w:val="29"/>
          <w:rFonts w:hint="eastAsia" w:ascii="宋体" w:hAnsi="宋体" w:eastAsia="宋体" w:cs="宋体"/>
          <w:color w:val="000000"/>
          <w:sz w:val="24"/>
          <w:szCs w:val="24"/>
          <w:lang w:eastAsia="zh-CN"/>
        </w:rPr>
      </w:pPr>
    </w:p>
    <w:p w14:paraId="24670A53">
      <w:pPr>
        <w:keepNext w:val="0"/>
        <w:keepLines w:val="0"/>
        <w:pageBreakBefore w:val="0"/>
        <w:widowControl/>
        <w:kinsoku/>
        <w:overflowPunct/>
        <w:topLinePunct w:val="0"/>
        <w:bidi w:val="0"/>
        <w:snapToGrid w:val="0"/>
        <w:spacing w:after="240" w:line="360" w:lineRule="auto"/>
        <w:outlineLvl w:val="1"/>
        <w:rPr>
          <w:rFonts w:hint="eastAsia" w:ascii="宋体" w:hAnsi="宋体" w:eastAsia="宋体" w:cs="宋体"/>
          <w:b/>
          <w:bCs/>
          <w:kern w:val="0"/>
          <w:sz w:val="24"/>
          <w:szCs w:val="24"/>
          <w:lang w:val="zh-CN"/>
        </w:rPr>
      </w:pPr>
      <w:r>
        <w:rPr>
          <w:rStyle w:val="29"/>
          <w:rFonts w:hint="eastAsia" w:ascii="宋体" w:hAnsi="宋体" w:eastAsia="宋体" w:cs="宋体"/>
          <w:color w:val="000000"/>
          <w:sz w:val="24"/>
          <w:szCs w:val="24"/>
          <w:lang w:eastAsia="zh-CN"/>
        </w:rPr>
        <w:t>（</w:t>
      </w:r>
      <w:r>
        <w:rPr>
          <w:rStyle w:val="29"/>
          <w:rFonts w:hint="eastAsia" w:ascii="宋体" w:hAnsi="宋体" w:cs="宋体"/>
          <w:color w:val="000000"/>
          <w:sz w:val="24"/>
          <w:szCs w:val="24"/>
          <w:lang w:val="en-US" w:eastAsia="zh-CN"/>
        </w:rPr>
        <w:t>14.2</w:t>
      </w:r>
      <w:r>
        <w:rPr>
          <w:rStyle w:val="29"/>
          <w:rFonts w:hint="eastAsia" w:ascii="宋体" w:hAnsi="宋体" w:eastAsia="宋体" w:cs="宋体"/>
          <w:color w:val="000000"/>
          <w:sz w:val="24"/>
          <w:szCs w:val="24"/>
          <w:lang w:val="zh-CN"/>
        </w:rPr>
        <w:t xml:space="preserve">）分项报价表（最终轮） </w:t>
      </w:r>
      <w:r>
        <w:rPr>
          <w:rFonts w:hint="eastAsia" w:ascii="宋体" w:hAnsi="宋体" w:eastAsia="宋体" w:cs="宋体"/>
          <w:b/>
          <w:sz w:val="24"/>
          <w:szCs w:val="24"/>
        </w:rPr>
        <w:t xml:space="preserve">   </w:t>
      </w:r>
    </w:p>
    <w:p w14:paraId="0B2E84E7">
      <w:pPr>
        <w:keepNext w:val="0"/>
        <w:keepLines w:val="0"/>
        <w:pageBreakBefore w:val="0"/>
        <w:kinsoku/>
        <w:overflowPunct/>
        <w:topLinePunct w:val="0"/>
        <w:autoSpaceDE w:val="0"/>
        <w:autoSpaceDN w:val="0"/>
        <w:bidi w:val="0"/>
        <w:adjustRightInd w:val="0"/>
        <w:spacing w:after="240" w:line="360" w:lineRule="auto"/>
        <w:ind w:firstLine="482" w:firstLineChars="200"/>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分项报价表</w:t>
      </w:r>
    </w:p>
    <w:p w14:paraId="4CBD2276">
      <w:pPr>
        <w:keepNext w:val="0"/>
        <w:keepLines w:val="0"/>
        <w:pageBreakBefore w:val="0"/>
        <w:kinsoku/>
        <w:overflowPunct/>
        <w:topLinePunct w:val="0"/>
        <w:autoSpaceDE w:val="0"/>
        <w:autoSpaceDN w:val="0"/>
        <w:bidi w:val="0"/>
        <w:adjustRightInd w:val="0"/>
        <w:spacing w:after="240" w:line="360" w:lineRule="auto"/>
        <w:rPr>
          <w:rFonts w:hint="eastAsia" w:ascii="宋体" w:hAnsi="宋体" w:eastAsia="宋体" w:cs="宋体"/>
          <w:kern w:val="0"/>
          <w:sz w:val="24"/>
          <w:szCs w:val="24"/>
          <w:lang w:val="zh-CN"/>
        </w:rPr>
      </w:pPr>
      <w:r>
        <w:rPr>
          <w:rFonts w:hint="eastAsia" w:ascii="宋体" w:hAnsi="宋体" w:eastAsia="宋体" w:cs="宋体"/>
          <w:sz w:val="24"/>
          <w:szCs w:val="24"/>
        </w:rPr>
        <w:t xml:space="preserve">供应商名称：     </w:t>
      </w:r>
      <w:r>
        <w:rPr>
          <w:rFonts w:hint="eastAsia" w:hAnsi="宋体" w:cs="宋体"/>
          <w:sz w:val="24"/>
          <w:szCs w:val="24"/>
          <w:lang w:val="en-US" w:eastAsia="zh-CN"/>
        </w:rPr>
        <w:t xml:space="preserve">     包号：              </w:t>
      </w:r>
      <w:r>
        <w:rPr>
          <w:rFonts w:hint="eastAsia" w:ascii="宋体" w:hAnsi="宋体" w:eastAsia="宋体" w:cs="宋体"/>
          <w:sz w:val="24"/>
          <w:szCs w:val="24"/>
        </w:rPr>
        <w:t>单位：</w:t>
      </w:r>
      <w:r>
        <w:rPr>
          <w:rFonts w:hint="eastAsia" w:hAnsi="宋体" w:cs="宋体"/>
          <w:sz w:val="24"/>
          <w:szCs w:val="24"/>
          <w:lang w:val="en-US" w:eastAsia="zh-CN"/>
        </w:rPr>
        <w:t xml:space="preserve">     </w:t>
      </w:r>
      <w:r>
        <w:rPr>
          <w:rFonts w:hint="eastAsia" w:ascii="宋体" w:hAnsi="宋体" w:eastAsia="宋体" w:cs="宋体"/>
          <w:sz w:val="24"/>
          <w:szCs w:val="24"/>
        </w:rPr>
        <w:t>人民币（元）</w:t>
      </w:r>
    </w:p>
    <w:tbl>
      <w:tblPr>
        <w:tblStyle w:val="22"/>
        <w:tblW w:w="9494" w:type="dxa"/>
        <w:jc w:val="center"/>
        <w:tblLayout w:type="fixed"/>
        <w:tblCellMar>
          <w:top w:w="0" w:type="dxa"/>
          <w:left w:w="28" w:type="dxa"/>
          <w:bottom w:w="0" w:type="dxa"/>
          <w:right w:w="28" w:type="dxa"/>
        </w:tblCellMar>
      </w:tblPr>
      <w:tblGrid>
        <w:gridCol w:w="841"/>
        <w:gridCol w:w="1231"/>
        <w:gridCol w:w="2012"/>
        <w:gridCol w:w="1195"/>
        <w:gridCol w:w="847"/>
        <w:gridCol w:w="807"/>
        <w:gridCol w:w="764"/>
        <w:gridCol w:w="900"/>
        <w:gridCol w:w="897"/>
      </w:tblGrid>
      <w:tr w14:paraId="0B348E26">
        <w:trPr>
          <w:trHeight w:val="742" w:hRule="atLeast"/>
          <w:jc w:val="center"/>
        </w:trPr>
        <w:tc>
          <w:tcPr>
            <w:tcW w:w="841" w:type="dxa"/>
            <w:tcBorders>
              <w:top w:val="single" w:color="000000" w:sz="8" w:space="0"/>
              <w:left w:val="single" w:color="000000" w:sz="8" w:space="0"/>
              <w:bottom w:val="single" w:color="000000" w:sz="6" w:space="0"/>
              <w:right w:val="single" w:color="000000" w:sz="6" w:space="0"/>
            </w:tcBorders>
            <w:shd w:val="clear" w:color="000000" w:fill="FFFFFF"/>
            <w:noWrap w:val="0"/>
            <w:vAlign w:val="center"/>
          </w:tcPr>
          <w:p w14:paraId="043C8236">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序号</w:t>
            </w:r>
          </w:p>
        </w:tc>
        <w:tc>
          <w:tcPr>
            <w:tcW w:w="1231"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4B4AEDFF">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名称</w:t>
            </w:r>
          </w:p>
        </w:tc>
        <w:tc>
          <w:tcPr>
            <w:tcW w:w="2012"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519C9BA5">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品牌或生产厂家</w:t>
            </w:r>
          </w:p>
        </w:tc>
        <w:tc>
          <w:tcPr>
            <w:tcW w:w="1195"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45C252C0">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规格型号</w:t>
            </w:r>
          </w:p>
        </w:tc>
        <w:tc>
          <w:tcPr>
            <w:tcW w:w="84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27283216">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数量</w:t>
            </w:r>
          </w:p>
        </w:tc>
        <w:tc>
          <w:tcPr>
            <w:tcW w:w="807"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5B47D013">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单位</w:t>
            </w:r>
          </w:p>
        </w:tc>
        <w:tc>
          <w:tcPr>
            <w:tcW w:w="764"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3ED5D3F8">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单价</w:t>
            </w:r>
          </w:p>
        </w:tc>
        <w:tc>
          <w:tcPr>
            <w:tcW w:w="900" w:type="dxa"/>
            <w:tcBorders>
              <w:top w:val="single" w:color="000000" w:sz="8" w:space="0"/>
              <w:left w:val="single" w:color="000000" w:sz="6" w:space="0"/>
              <w:bottom w:val="single" w:color="000000" w:sz="6" w:space="0"/>
              <w:right w:val="single" w:color="000000" w:sz="6" w:space="0"/>
            </w:tcBorders>
            <w:shd w:val="clear" w:color="000000" w:fill="FFFFFF"/>
            <w:noWrap w:val="0"/>
            <w:vAlign w:val="center"/>
          </w:tcPr>
          <w:p w14:paraId="604E4620">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总价</w:t>
            </w:r>
          </w:p>
        </w:tc>
        <w:tc>
          <w:tcPr>
            <w:tcW w:w="897" w:type="dxa"/>
            <w:tcBorders>
              <w:top w:val="single" w:color="000000" w:sz="8" w:space="0"/>
              <w:left w:val="single" w:color="000000" w:sz="6" w:space="0"/>
              <w:bottom w:val="single" w:color="000000" w:sz="6" w:space="0"/>
              <w:right w:val="single" w:color="000000" w:sz="8" w:space="0"/>
            </w:tcBorders>
            <w:shd w:val="clear" w:color="000000" w:fill="FFFFFF"/>
            <w:noWrap w:val="0"/>
            <w:vAlign w:val="center"/>
          </w:tcPr>
          <w:p w14:paraId="2C6AB8B7">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备注</w:t>
            </w:r>
          </w:p>
        </w:tc>
      </w:tr>
      <w:tr w14:paraId="2766A62E">
        <w:tblPrEx>
          <w:tblCellMar>
            <w:top w:w="0" w:type="dxa"/>
            <w:left w:w="28" w:type="dxa"/>
            <w:bottom w:w="0" w:type="dxa"/>
            <w:right w:w="28" w:type="dxa"/>
          </w:tblCellMar>
        </w:tblPrEx>
        <w:trPr>
          <w:trHeight w:val="737" w:hRule="atLeast"/>
          <w:jc w:val="center"/>
        </w:trPr>
        <w:tc>
          <w:tcPr>
            <w:tcW w:w="841"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6947A6E8">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23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7BBEC52">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201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D0FCA1">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11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D8FA25A">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84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2AFDC4D">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2563D21">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76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A399499">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90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1FAFA75">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p>
        </w:tc>
        <w:tc>
          <w:tcPr>
            <w:tcW w:w="897"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4DE94A2B">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r>
      <w:tr w14:paraId="092E6883">
        <w:tblPrEx>
          <w:tblCellMar>
            <w:top w:w="0" w:type="dxa"/>
            <w:left w:w="28" w:type="dxa"/>
            <w:bottom w:w="0" w:type="dxa"/>
            <w:right w:w="28" w:type="dxa"/>
          </w:tblCellMar>
        </w:tblPrEx>
        <w:trPr>
          <w:trHeight w:val="737" w:hRule="atLeast"/>
          <w:jc w:val="center"/>
        </w:trPr>
        <w:tc>
          <w:tcPr>
            <w:tcW w:w="841"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388587D0">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23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2C6591E">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201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25BCE65">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11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7DD3F02">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84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0FBC683">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C74C31C">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76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D38A11E">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90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81A6E62">
            <w:pPr>
              <w:keepNext w:val="0"/>
              <w:keepLines w:val="0"/>
              <w:pageBreakBefore w:val="0"/>
              <w:kinsoku/>
              <w:overflowPunct/>
              <w:topLinePunct w:val="0"/>
              <w:autoSpaceDE w:val="0"/>
              <w:autoSpaceDN w:val="0"/>
              <w:bidi w:val="0"/>
              <w:adjustRightInd w:val="0"/>
              <w:spacing w:before="100" w:after="240"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w:t>
            </w:r>
          </w:p>
        </w:tc>
        <w:tc>
          <w:tcPr>
            <w:tcW w:w="897"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3D9E6944">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r>
      <w:tr w14:paraId="5C6A12D2">
        <w:tblPrEx>
          <w:tblCellMar>
            <w:top w:w="0" w:type="dxa"/>
            <w:left w:w="28" w:type="dxa"/>
            <w:bottom w:w="0" w:type="dxa"/>
            <w:right w:w="28" w:type="dxa"/>
          </w:tblCellMar>
        </w:tblPrEx>
        <w:trPr>
          <w:trHeight w:val="737" w:hRule="atLeast"/>
          <w:jc w:val="center"/>
        </w:trPr>
        <w:tc>
          <w:tcPr>
            <w:tcW w:w="841"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510162A3">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23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4FC2A36">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201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B1D490D">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11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CAAD5CB">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84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BB4CC9C">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44442C9">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76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D63EACD">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90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5B2EE1C">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897"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6ADB8F9D">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r>
      <w:tr w14:paraId="3D410A77">
        <w:tblPrEx>
          <w:tblCellMar>
            <w:top w:w="0" w:type="dxa"/>
            <w:left w:w="28" w:type="dxa"/>
            <w:bottom w:w="0" w:type="dxa"/>
            <w:right w:w="28" w:type="dxa"/>
          </w:tblCellMar>
        </w:tblPrEx>
        <w:trPr>
          <w:trHeight w:val="737" w:hRule="atLeast"/>
          <w:jc w:val="center"/>
        </w:trPr>
        <w:tc>
          <w:tcPr>
            <w:tcW w:w="841"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70D0A76D">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23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2F5CC8D">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201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2A2ECB7">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11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ABE91C3">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84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6014D822">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4921A70">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76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4F0EAA2">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90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264271F4">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897"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333E3D7D">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r>
      <w:tr w14:paraId="2857AF6E">
        <w:tblPrEx>
          <w:tblCellMar>
            <w:top w:w="0" w:type="dxa"/>
            <w:left w:w="28" w:type="dxa"/>
            <w:bottom w:w="0" w:type="dxa"/>
            <w:right w:w="28" w:type="dxa"/>
          </w:tblCellMar>
        </w:tblPrEx>
        <w:trPr>
          <w:trHeight w:val="737" w:hRule="atLeast"/>
          <w:jc w:val="center"/>
        </w:trPr>
        <w:tc>
          <w:tcPr>
            <w:tcW w:w="841" w:type="dxa"/>
            <w:tcBorders>
              <w:top w:val="single" w:color="000000" w:sz="6" w:space="0"/>
              <w:left w:val="single" w:color="000000" w:sz="8" w:space="0"/>
              <w:bottom w:val="single" w:color="000000" w:sz="6" w:space="0"/>
              <w:right w:val="single" w:color="000000" w:sz="6" w:space="0"/>
            </w:tcBorders>
            <w:shd w:val="clear" w:color="000000" w:fill="FFFFFF"/>
            <w:noWrap w:val="0"/>
            <w:vAlign w:val="center"/>
          </w:tcPr>
          <w:p w14:paraId="0AF6191E">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231"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0CB5B52F">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201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555719E8">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119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8D4BE17">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84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4B0BAFA2">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3A08873B">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764"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7A1D1D49">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900"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14:paraId="1447CE53">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c>
          <w:tcPr>
            <w:tcW w:w="897" w:type="dxa"/>
            <w:tcBorders>
              <w:top w:val="single" w:color="000000" w:sz="6" w:space="0"/>
              <w:left w:val="single" w:color="000000" w:sz="6" w:space="0"/>
              <w:bottom w:val="single" w:color="000000" w:sz="6" w:space="0"/>
              <w:right w:val="single" w:color="000000" w:sz="8" w:space="0"/>
            </w:tcBorders>
            <w:shd w:val="clear" w:color="000000" w:fill="FFFFFF"/>
            <w:noWrap w:val="0"/>
            <w:vAlign w:val="center"/>
          </w:tcPr>
          <w:p w14:paraId="2C5A1450">
            <w:pPr>
              <w:keepNext w:val="0"/>
              <w:keepLines w:val="0"/>
              <w:pageBreakBefore w:val="0"/>
              <w:kinsoku/>
              <w:overflowPunct/>
              <w:topLinePunct w:val="0"/>
              <w:autoSpaceDE w:val="0"/>
              <w:autoSpaceDN w:val="0"/>
              <w:bidi w:val="0"/>
              <w:adjustRightInd w:val="0"/>
              <w:spacing w:before="100" w:after="240" w:line="360" w:lineRule="auto"/>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w:t>
            </w:r>
          </w:p>
        </w:tc>
      </w:tr>
      <w:tr w14:paraId="36D3C393">
        <w:tblPrEx>
          <w:tblCellMar>
            <w:top w:w="0" w:type="dxa"/>
            <w:left w:w="28" w:type="dxa"/>
            <w:bottom w:w="0" w:type="dxa"/>
            <w:right w:w="28" w:type="dxa"/>
          </w:tblCellMar>
        </w:tblPrEx>
        <w:trPr>
          <w:trHeight w:val="994" w:hRule="atLeast"/>
          <w:jc w:val="center"/>
        </w:trPr>
        <w:tc>
          <w:tcPr>
            <w:tcW w:w="9494" w:type="dxa"/>
            <w:gridSpan w:val="9"/>
            <w:tcBorders>
              <w:top w:val="single" w:color="000000" w:sz="6" w:space="0"/>
              <w:left w:val="single" w:color="000000" w:sz="8" w:space="0"/>
              <w:bottom w:val="single" w:color="000000" w:sz="6" w:space="0"/>
              <w:right w:val="single" w:color="000000" w:sz="8" w:space="0"/>
            </w:tcBorders>
            <w:shd w:val="clear" w:color="000000" w:fill="FFFFFF"/>
            <w:noWrap w:val="0"/>
            <w:vAlign w:val="center"/>
          </w:tcPr>
          <w:p w14:paraId="0620374E">
            <w:pPr>
              <w:keepNext w:val="0"/>
              <w:keepLines w:val="0"/>
              <w:pageBreakBefore w:val="0"/>
              <w:kinsoku/>
              <w:overflowPunct/>
              <w:topLinePunct w:val="0"/>
              <w:autoSpaceDE w:val="0"/>
              <w:autoSpaceDN w:val="0"/>
              <w:bidi w:val="0"/>
              <w:adjustRightInd w:val="0"/>
              <w:spacing w:before="100" w:after="240"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其他承诺及需要说明的事项：</w:t>
            </w:r>
          </w:p>
        </w:tc>
      </w:tr>
      <w:tr w14:paraId="38B7A59A">
        <w:tblPrEx>
          <w:tblCellMar>
            <w:top w:w="0" w:type="dxa"/>
            <w:left w:w="28" w:type="dxa"/>
            <w:bottom w:w="0" w:type="dxa"/>
            <w:right w:w="28" w:type="dxa"/>
          </w:tblCellMar>
        </w:tblPrEx>
        <w:trPr>
          <w:trHeight w:val="755" w:hRule="atLeast"/>
          <w:jc w:val="center"/>
        </w:trPr>
        <w:tc>
          <w:tcPr>
            <w:tcW w:w="2072" w:type="dxa"/>
            <w:gridSpan w:val="2"/>
            <w:tcBorders>
              <w:top w:val="single" w:color="000000" w:sz="6" w:space="0"/>
              <w:left w:val="single" w:color="000000" w:sz="8" w:space="0"/>
              <w:bottom w:val="single" w:color="000000" w:sz="8" w:space="0"/>
              <w:right w:val="single" w:color="000000" w:sz="6" w:space="0"/>
            </w:tcBorders>
            <w:shd w:val="clear" w:color="000000" w:fill="FFFFFF"/>
            <w:noWrap w:val="0"/>
            <w:vAlign w:val="center"/>
          </w:tcPr>
          <w:p w14:paraId="759100F6">
            <w:pPr>
              <w:keepNext w:val="0"/>
              <w:keepLines w:val="0"/>
              <w:pageBreakBefore w:val="0"/>
              <w:kinsoku/>
              <w:overflowPunct/>
              <w:topLinePunct w:val="0"/>
              <w:autoSpaceDE w:val="0"/>
              <w:autoSpaceDN w:val="0"/>
              <w:bidi w:val="0"/>
              <w:adjustRightInd w:val="0"/>
              <w:spacing w:before="100" w:after="240"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lang w:val="zh-CN"/>
              </w:rPr>
              <w:t>总价</w:t>
            </w:r>
          </w:p>
        </w:tc>
        <w:tc>
          <w:tcPr>
            <w:tcW w:w="7422" w:type="dxa"/>
            <w:gridSpan w:val="7"/>
            <w:tcBorders>
              <w:top w:val="single" w:color="000000" w:sz="6" w:space="0"/>
              <w:left w:val="single" w:color="000000" w:sz="6" w:space="0"/>
              <w:bottom w:val="single" w:color="000000" w:sz="8" w:space="0"/>
              <w:right w:val="single" w:color="000000" w:sz="8" w:space="0"/>
            </w:tcBorders>
            <w:shd w:val="clear" w:color="000000" w:fill="FFFFFF"/>
            <w:noWrap w:val="0"/>
            <w:vAlign w:val="center"/>
          </w:tcPr>
          <w:p w14:paraId="39C441DA">
            <w:pPr>
              <w:keepNext w:val="0"/>
              <w:keepLines w:val="0"/>
              <w:pageBreakBefore w:val="0"/>
              <w:kinsoku/>
              <w:overflowPunct/>
              <w:topLinePunct w:val="0"/>
              <w:autoSpaceDE w:val="0"/>
              <w:autoSpaceDN w:val="0"/>
              <w:bidi w:val="0"/>
              <w:adjustRightInd w:val="0"/>
              <w:spacing w:after="240" w:line="360" w:lineRule="auto"/>
              <w:jc w:val="lef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大写：               小写：</w:t>
            </w:r>
          </w:p>
        </w:tc>
      </w:tr>
    </w:tbl>
    <w:p w14:paraId="0525376B">
      <w:pPr>
        <w:keepNext w:val="0"/>
        <w:keepLines w:val="0"/>
        <w:pageBreakBefore w:val="0"/>
        <w:widowControl w:val="0"/>
        <w:kinsoku/>
        <w:wordWrap/>
        <w:overflowPunct/>
        <w:topLinePunct w:val="0"/>
        <w:autoSpaceDE w:val="0"/>
        <w:autoSpaceDN w:val="0"/>
        <w:bidi w:val="0"/>
        <w:adjustRightInd/>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注：</w:t>
      </w:r>
      <w:r>
        <w:rPr>
          <w:rFonts w:hint="eastAsia" w:ascii="宋体" w:hAnsi="宋体" w:eastAsia="宋体" w:cs="宋体"/>
          <w:sz w:val="24"/>
          <w:szCs w:val="24"/>
        </w:rPr>
        <w:t>1.</w:t>
      </w:r>
      <w:r>
        <w:rPr>
          <w:rFonts w:hint="eastAsia" w:ascii="宋体" w:hAnsi="宋体" w:eastAsia="宋体" w:cs="宋体"/>
          <w:kern w:val="0"/>
          <w:sz w:val="24"/>
          <w:szCs w:val="24"/>
          <w:lang w:val="zh-CN"/>
        </w:rPr>
        <w:t>本表应依照每包采购一览表中的产品序号按顺序逐项填写，不得遗漏</w:t>
      </w:r>
      <w:r>
        <w:rPr>
          <w:rFonts w:hint="eastAsia" w:ascii="宋体" w:hAnsi="宋体" w:eastAsia="宋体" w:cs="宋体"/>
          <w:sz w:val="24"/>
          <w:szCs w:val="24"/>
          <w:lang w:val="zh-CN"/>
        </w:rPr>
        <w:t>。</w:t>
      </w:r>
    </w:p>
    <w:p w14:paraId="4EB9E73C">
      <w:pPr>
        <w:keepNext w:val="0"/>
        <w:keepLines w:val="0"/>
        <w:pageBreakBefore w:val="0"/>
        <w:widowControl w:val="0"/>
        <w:numPr>
          <w:ilvl w:val="0"/>
          <w:numId w:val="0"/>
        </w:numPr>
        <w:kinsoku/>
        <w:wordWrap/>
        <w:overflowPunct/>
        <w:topLinePunct w:val="0"/>
        <w:autoSpaceDE w:val="0"/>
        <w:autoSpaceDN w:val="0"/>
        <w:bidi w:val="0"/>
        <w:adjustRightInd/>
        <w:snapToGrid/>
        <w:spacing w:after="240" w:line="360" w:lineRule="auto"/>
        <w:ind w:left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磋商报价不能有两个或两个以上的报价方案。</w:t>
      </w:r>
    </w:p>
    <w:p w14:paraId="0D7AF232">
      <w:pPr>
        <w:keepNext w:val="0"/>
        <w:keepLines w:val="0"/>
        <w:pageBreakBefore w:val="0"/>
        <w:kinsoku/>
        <w:overflowPunct/>
        <w:topLinePunct w:val="0"/>
        <w:bidi w:val="0"/>
        <w:adjustRightInd w:val="0"/>
        <w:spacing w:after="240" w:line="360" w:lineRule="auto"/>
        <w:jc w:val="both"/>
        <w:textAlignment w:val="baseline"/>
        <w:rPr>
          <w:rFonts w:hint="eastAsia" w:ascii="宋体" w:hAnsi="宋体" w:eastAsia="宋体" w:cs="宋体"/>
          <w:b/>
          <w:sz w:val="24"/>
          <w:szCs w:val="24"/>
        </w:rPr>
      </w:pPr>
    </w:p>
    <w:p w14:paraId="0A4AA470">
      <w:pPr>
        <w:keepNext w:val="0"/>
        <w:keepLines w:val="0"/>
        <w:pageBreakBefore w:val="0"/>
        <w:kinsoku/>
        <w:overflowPunct/>
        <w:topLinePunct w:val="0"/>
        <w:bidi w:val="0"/>
        <w:adjustRightInd w:val="0"/>
        <w:spacing w:after="240" w:line="360" w:lineRule="auto"/>
        <w:ind w:firstLine="482" w:firstLineChars="200"/>
        <w:jc w:val="right"/>
        <w:textAlignment w:val="baseline"/>
        <w:rPr>
          <w:rFonts w:hint="eastAsia" w:ascii="宋体" w:hAnsi="宋体" w:eastAsia="宋体" w:cs="宋体"/>
          <w:b/>
          <w:sz w:val="24"/>
          <w:szCs w:val="24"/>
        </w:rPr>
      </w:pPr>
      <w:r>
        <w:rPr>
          <w:rFonts w:hint="eastAsia" w:ascii="宋体" w:hAnsi="宋体" w:eastAsia="宋体" w:cs="宋体"/>
          <w:b/>
          <w:sz w:val="24"/>
          <w:szCs w:val="24"/>
        </w:rPr>
        <w:t xml:space="preserve"> 供应商：</w:t>
      </w:r>
      <w:r>
        <w:rPr>
          <w:rFonts w:hint="eastAsia" w:ascii="宋体" w:hAnsi="宋体" w:eastAsia="宋体" w:cs="宋体"/>
          <w:b/>
          <w:sz w:val="24"/>
          <w:szCs w:val="24"/>
          <w:u w:val="single"/>
        </w:rPr>
        <w:t xml:space="preserve">                            </w:t>
      </w:r>
      <w:r>
        <w:rPr>
          <w:rFonts w:hint="eastAsia" w:ascii="宋体" w:hAnsi="宋体" w:eastAsia="宋体" w:cs="宋体"/>
          <w:b/>
          <w:sz w:val="24"/>
          <w:szCs w:val="24"/>
        </w:rPr>
        <w:t>（公章）</w:t>
      </w:r>
    </w:p>
    <w:p w14:paraId="6C649229">
      <w:pPr>
        <w:keepNext w:val="0"/>
        <w:keepLines w:val="0"/>
        <w:pageBreakBefore w:val="0"/>
        <w:kinsoku/>
        <w:overflowPunct/>
        <w:topLinePunct w:val="0"/>
        <w:bidi w:val="0"/>
        <w:adjustRightInd w:val="0"/>
        <w:spacing w:after="240" w:line="360" w:lineRule="auto"/>
        <w:ind w:firstLine="482" w:firstLineChars="200"/>
        <w:jc w:val="right"/>
        <w:textAlignment w:val="baseline"/>
        <w:outlineLvl w:val="1"/>
        <w:rPr>
          <w:rFonts w:hint="eastAsia" w:ascii="宋体" w:hAnsi="宋体" w:eastAsia="宋体" w:cs="宋体"/>
          <w:b/>
          <w:sz w:val="24"/>
          <w:szCs w:val="24"/>
        </w:rPr>
      </w:pPr>
      <w:bookmarkStart w:id="191" w:name="_Toc1637"/>
      <w:bookmarkStart w:id="192" w:name="_Toc5542"/>
      <w:bookmarkStart w:id="193" w:name="_Toc19308"/>
      <w:r>
        <w:rPr>
          <w:rFonts w:hint="eastAsia" w:ascii="宋体" w:hAnsi="宋体" w:eastAsia="宋体" w:cs="宋体"/>
          <w:b/>
          <w:sz w:val="24"/>
          <w:szCs w:val="24"/>
        </w:rPr>
        <w:t>法定代表人或委托代理人：</w:t>
      </w:r>
      <w:r>
        <w:rPr>
          <w:rFonts w:hint="eastAsia" w:ascii="宋体" w:hAnsi="宋体" w:eastAsia="宋体" w:cs="宋体"/>
          <w:b/>
          <w:sz w:val="24"/>
          <w:szCs w:val="24"/>
          <w:u w:val="single"/>
        </w:rPr>
        <w:t xml:space="preserve">      </w:t>
      </w:r>
      <w:r>
        <w:rPr>
          <w:rFonts w:hint="eastAsia" w:ascii="宋体" w:hAnsi="宋体" w:eastAsia="宋体" w:cs="宋体"/>
          <w:b/>
          <w:sz w:val="24"/>
          <w:szCs w:val="24"/>
        </w:rPr>
        <w:t>（签字或盖章）</w:t>
      </w:r>
      <w:bookmarkEnd w:id="191"/>
      <w:bookmarkEnd w:id="192"/>
      <w:bookmarkEnd w:id="193"/>
    </w:p>
    <w:p w14:paraId="22BD5B47">
      <w:pPr>
        <w:keepNext w:val="0"/>
        <w:keepLines w:val="0"/>
        <w:pageBreakBefore w:val="0"/>
        <w:kinsoku/>
        <w:overflowPunct/>
        <w:topLinePunct w:val="0"/>
        <w:bidi w:val="0"/>
        <w:adjustRightInd w:val="0"/>
        <w:spacing w:after="240" w:line="360" w:lineRule="auto"/>
        <w:ind w:firstLine="482" w:firstLineChars="200"/>
        <w:jc w:val="right"/>
        <w:textAlignment w:val="baseline"/>
        <w:outlineLvl w:val="1"/>
        <w:rPr>
          <w:rFonts w:hint="eastAsia" w:ascii="宋体" w:hAnsi="宋体" w:eastAsia="宋体" w:cs="宋体"/>
          <w:b/>
          <w:sz w:val="24"/>
          <w:szCs w:val="24"/>
        </w:rPr>
      </w:pPr>
      <w:r>
        <w:rPr>
          <w:rFonts w:hint="eastAsia" w:ascii="宋体" w:hAnsi="宋体" w:eastAsia="宋体" w:cs="宋体"/>
          <w:b/>
          <w:sz w:val="24"/>
          <w:szCs w:val="24"/>
        </w:rPr>
        <w:t xml:space="preserve">年  月  日 </w:t>
      </w:r>
    </w:p>
    <w:bookmarkEnd w:id="189"/>
    <w:bookmarkEnd w:id="190"/>
    <w:p w14:paraId="678D4787">
      <w:pPr>
        <w:pStyle w:val="20"/>
        <w:keepNext w:val="0"/>
        <w:keepLines w:val="0"/>
        <w:pageBreakBefore w:val="0"/>
        <w:kinsoku/>
        <w:overflowPunct/>
        <w:topLinePunct w:val="0"/>
        <w:bidi w:val="0"/>
        <w:spacing w:after="240" w:line="360" w:lineRule="auto"/>
        <w:jc w:val="left"/>
        <w:rPr>
          <w:rFonts w:hint="eastAsia" w:ascii="宋体" w:hAnsi="宋体" w:eastAsia="宋体" w:cs="宋体"/>
          <w:sz w:val="24"/>
          <w:szCs w:val="24"/>
          <w:lang w:val="zh-CN"/>
        </w:rPr>
        <w:sectPr>
          <w:pgSz w:w="11906" w:h="16838"/>
          <w:pgMar w:top="1440" w:right="1800" w:bottom="1440" w:left="1800" w:header="851" w:footer="992" w:gutter="0"/>
          <w:cols w:space="425" w:num="1"/>
          <w:docGrid w:type="lines" w:linePitch="312" w:charSpace="0"/>
        </w:sectPr>
      </w:pPr>
      <w:bookmarkStart w:id="194" w:name="_Toc19457"/>
      <w:bookmarkStart w:id="195" w:name="_Toc3372"/>
    </w:p>
    <w:p w14:paraId="59F1C6A6">
      <w:pPr>
        <w:outlineLvl w:val="2"/>
        <w:rPr>
          <w:rFonts w:hint="eastAsia" w:ascii="宋体" w:hAnsi="宋体" w:eastAsia="宋体" w:cs="宋体"/>
          <w:b/>
          <w:bCs/>
          <w:sz w:val="24"/>
          <w:szCs w:val="24"/>
          <w:highlight w:val="none"/>
          <w:lang w:val="zh-CN" w:eastAsia="zh-CN"/>
        </w:rPr>
      </w:pPr>
      <w:bookmarkStart w:id="196" w:name="_Toc20489"/>
      <w:r>
        <w:rPr>
          <w:rFonts w:hint="eastAsia" w:ascii="宋体" w:hAnsi="宋体" w:eastAsia="宋体" w:cs="宋体"/>
          <w:b/>
          <w:bCs/>
          <w:sz w:val="24"/>
          <w:szCs w:val="24"/>
          <w:highlight w:val="none"/>
          <w:lang w:val="en-US" w:eastAsia="zh-CN"/>
        </w:rPr>
        <w:t>（15）</w:t>
      </w:r>
      <w:r>
        <w:rPr>
          <w:rFonts w:hint="eastAsia" w:ascii="宋体" w:hAnsi="宋体" w:eastAsia="宋体" w:cs="宋体"/>
          <w:b/>
          <w:bCs/>
          <w:sz w:val="24"/>
          <w:szCs w:val="24"/>
          <w:highlight w:val="none"/>
          <w:lang w:val="zh-CN" w:eastAsia="zh-CN"/>
        </w:rPr>
        <w:t>评审对照表</w:t>
      </w:r>
      <w:bookmarkEnd w:id="196"/>
    </w:p>
    <w:p w14:paraId="76C1CB3A">
      <w:pPr>
        <w:pStyle w:val="4"/>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after="240" w:line="360" w:lineRule="auto"/>
        <w:ind w:firstLine="482" w:firstLineChars="200"/>
        <w:jc w:val="center"/>
        <w:textAlignment w:val="auto"/>
        <w:rPr>
          <w:rFonts w:hint="eastAsia" w:ascii="宋体" w:hAnsi="宋体" w:eastAsia="宋体" w:cs="宋体"/>
          <w:b/>
          <w:bCs/>
          <w:kern w:val="0"/>
          <w:sz w:val="24"/>
          <w:szCs w:val="24"/>
          <w:highlight w:val="none"/>
          <w:lang w:val="zh-CN" w:eastAsia="zh-CN" w:bidi="ar-SA"/>
        </w:rPr>
      </w:pPr>
      <w:bookmarkStart w:id="197" w:name="_Toc25316"/>
      <w:r>
        <w:rPr>
          <w:rFonts w:hint="eastAsia" w:ascii="宋体" w:hAnsi="宋体" w:eastAsia="宋体" w:cs="宋体"/>
          <w:b/>
          <w:bCs/>
          <w:kern w:val="0"/>
          <w:sz w:val="24"/>
          <w:szCs w:val="24"/>
          <w:highlight w:val="none"/>
          <w:lang w:val="zh-CN" w:eastAsia="zh-CN" w:bidi="ar-SA"/>
        </w:rPr>
        <w:t>评审对照表</w:t>
      </w:r>
      <w:bookmarkEnd w:id="197"/>
    </w:p>
    <w:p w14:paraId="39BE3D44">
      <w:pPr>
        <w:pStyle w:val="12"/>
        <w:rPr>
          <w:rFonts w:hint="eastAsia"/>
          <w:b/>
          <w:bCs/>
          <w:sz w:val="24"/>
          <w:szCs w:val="24"/>
          <w:highlight w:val="none"/>
          <w:lang w:val="zh-CN"/>
        </w:rPr>
      </w:pPr>
      <w:r>
        <w:rPr>
          <w:rFonts w:hint="eastAsia"/>
          <w:b/>
          <w:bCs/>
          <w:sz w:val="24"/>
          <w:szCs w:val="24"/>
          <w:highlight w:val="none"/>
          <w:lang w:val="en-US" w:eastAsia="zh-CN"/>
        </w:rPr>
        <w:t>供应商</w:t>
      </w:r>
      <w:r>
        <w:rPr>
          <w:rFonts w:hint="eastAsia"/>
          <w:b/>
          <w:bCs/>
          <w:sz w:val="24"/>
          <w:szCs w:val="24"/>
          <w:highlight w:val="none"/>
          <w:lang w:val="zh-CN"/>
        </w:rPr>
        <w:t>名称:</w:t>
      </w:r>
    </w:p>
    <w:tbl>
      <w:tblPr>
        <w:tblStyle w:val="22"/>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3"/>
        <w:gridCol w:w="2497"/>
        <w:gridCol w:w="2250"/>
        <w:gridCol w:w="2948"/>
      </w:tblGrid>
      <w:tr w14:paraId="4C31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863" w:type="dxa"/>
            <w:noWrap w:val="0"/>
            <w:vAlign w:val="center"/>
          </w:tcPr>
          <w:p w14:paraId="1C195429">
            <w:pPr>
              <w:pStyle w:val="7"/>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2497" w:type="dxa"/>
            <w:noWrap w:val="0"/>
            <w:vAlign w:val="center"/>
          </w:tcPr>
          <w:p w14:paraId="0C5529B2">
            <w:pPr>
              <w:pStyle w:val="7"/>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磋商文件评分标准</w:t>
            </w:r>
          </w:p>
        </w:tc>
        <w:tc>
          <w:tcPr>
            <w:tcW w:w="2250" w:type="dxa"/>
            <w:noWrap w:val="0"/>
            <w:vAlign w:val="center"/>
          </w:tcPr>
          <w:p w14:paraId="5C4B6223">
            <w:pPr>
              <w:pStyle w:val="7"/>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磋商响应部分</w:t>
            </w:r>
          </w:p>
        </w:tc>
        <w:tc>
          <w:tcPr>
            <w:tcW w:w="2948" w:type="dxa"/>
            <w:noWrap w:val="0"/>
            <w:vAlign w:val="center"/>
          </w:tcPr>
          <w:p w14:paraId="60160B8F">
            <w:pPr>
              <w:pStyle w:val="7"/>
              <w:spacing w:line="360" w:lineRule="auto"/>
              <w:ind w:firstLine="0" w:firstLineChars="0"/>
              <w:jc w:val="center"/>
              <w:rPr>
                <w:rFonts w:hint="eastAsia" w:ascii="宋体" w:hAnsi="宋体" w:cs="宋体"/>
                <w:sz w:val="24"/>
                <w:szCs w:val="24"/>
                <w:highlight w:val="none"/>
              </w:rPr>
            </w:pPr>
            <w:r>
              <w:rPr>
                <w:rFonts w:hint="eastAsia" w:ascii="宋体" w:hAnsi="宋体" w:cs="宋体"/>
                <w:sz w:val="24"/>
                <w:szCs w:val="24"/>
                <w:highlight w:val="none"/>
              </w:rPr>
              <w:t>磋商响应文件中对应页码</w:t>
            </w:r>
          </w:p>
        </w:tc>
      </w:tr>
      <w:tr w14:paraId="7060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863" w:type="dxa"/>
            <w:noWrap w:val="0"/>
            <w:vAlign w:val="center"/>
          </w:tcPr>
          <w:p w14:paraId="082C90EF">
            <w:pPr>
              <w:pStyle w:val="7"/>
              <w:spacing w:line="360" w:lineRule="auto"/>
              <w:ind w:firstLine="480"/>
              <w:jc w:val="center"/>
              <w:rPr>
                <w:rFonts w:hint="eastAsia" w:ascii="宋体" w:hAnsi="宋体" w:cs="宋体"/>
                <w:highlight w:val="none"/>
              </w:rPr>
            </w:pPr>
          </w:p>
        </w:tc>
        <w:tc>
          <w:tcPr>
            <w:tcW w:w="2497" w:type="dxa"/>
            <w:noWrap w:val="0"/>
            <w:vAlign w:val="center"/>
          </w:tcPr>
          <w:p w14:paraId="65132098">
            <w:pPr>
              <w:pStyle w:val="7"/>
              <w:spacing w:line="360" w:lineRule="auto"/>
              <w:ind w:firstLine="480"/>
              <w:jc w:val="center"/>
              <w:rPr>
                <w:rFonts w:hint="eastAsia" w:ascii="宋体" w:hAnsi="宋体" w:cs="宋体"/>
                <w:highlight w:val="none"/>
              </w:rPr>
            </w:pPr>
          </w:p>
        </w:tc>
        <w:tc>
          <w:tcPr>
            <w:tcW w:w="2250" w:type="dxa"/>
            <w:noWrap w:val="0"/>
            <w:vAlign w:val="center"/>
          </w:tcPr>
          <w:p w14:paraId="4D1C70DB">
            <w:pPr>
              <w:pStyle w:val="7"/>
              <w:spacing w:line="360" w:lineRule="auto"/>
              <w:ind w:firstLine="480"/>
              <w:jc w:val="center"/>
              <w:rPr>
                <w:rFonts w:hint="eastAsia" w:ascii="宋体" w:hAnsi="宋体" w:cs="宋体"/>
                <w:highlight w:val="none"/>
              </w:rPr>
            </w:pPr>
          </w:p>
        </w:tc>
        <w:tc>
          <w:tcPr>
            <w:tcW w:w="2948" w:type="dxa"/>
            <w:noWrap w:val="0"/>
            <w:vAlign w:val="center"/>
          </w:tcPr>
          <w:p w14:paraId="133237AA">
            <w:pPr>
              <w:pStyle w:val="7"/>
              <w:spacing w:line="360" w:lineRule="auto"/>
              <w:ind w:firstLine="480"/>
              <w:jc w:val="center"/>
              <w:rPr>
                <w:rFonts w:hint="eastAsia" w:ascii="宋体" w:hAnsi="宋体" w:cs="宋体"/>
                <w:highlight w:val="none"/>
              </w:rPr>
            </w:pPr>
          </w:p>
        </w:tc>
      </w:tr>
      <w:tr w14:paraId="465A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863" w:type="dxa"/>
            <w:noWrap w:val="0"/>
            <w:vAlign w:val="center"/>
          </w:tcPr>
          <w:p w14:paraId="4987A9CB">
            <w:pPr>
              <w:pStyle w:val="7"/>
              <w:spacing w:line="360" w:lineRule="auto"/>
              <w:ind w:firstLine="480"/>
              <w:jc w:val="center"/>
              <w:rPr>
                <w:rFonts w:hint="eastAsia" w:ascii="宋体" w:hAnsi="宋体" w:cs="宋体"/>
                <w:highlight w:val="none"/>
              </w:rPr>
            </w:pPr>
          </w:p>
        </w:tc>
        <w:tc>
          <w:tcPr>
            <w:tcW w:w="2497" w:type="dxa"/>
            <w:noWrap w:val="0"/>
            <w:vAlign w:val="center"/>
          </w:tcPr>
          <w:p w14:paraId="4D947005">
            <w:pPr>
              <w:pStyle w:val="7"/>
              <w:spacing w:line="360" w:lineRule="auto"/>
              <w:ind w:firstLine="480"/>
              <w:jc w:val="center"/>
              <w:rPr>
                <w:rFonts w:hint="eastAsia" w:ascii="宋体" w:hAnsi="宋体" w:cs="宋体"/>
                <w:highlight w:val="none"/>
              </w:rPr>
            </w:pPr>
          </w:p>
        </w:tc>
        <w:tc>
          <w:tcPr>
            <w:tcW w:w="2250" w:type="dxa"/>
            <w:noWrap w:val="0"/>
            <w:vAlign w:val="center"/>
          </w:tcPr>
          <w:p w14:paraId="22CA5821">
            <w:pPr>
              <w:pStyle w:val="7"/>
              <w:spacing w:line="360" w:lineRule="auto"/>
              <w:ind w:firstLine="480"/>
              <w:jc w:val="center"/>
              <w:rPr>
                <w:rFonts w:hint="eastAsia" w:ascii="宋体" w:hAnsi="宋体" w:cs="宋体"/>
                <w:highlight w:val="none"/>
              </w:rPr>
            </w:pPr>
          </w:p>
        </w:tc>
        <w:tc>
          <w:tcPr>
            <w:tcW w:w="2948" w:type="dxa"/>
            <w:noWrap w:val="0"/>
            <w:vAlign w:val="center"/>
          </w:tcPr>
          <w:p w14:paraId="4EEF6FDA">
            <w:pPr>
              <w:pStyle w:val="7"/>
              <w:spacing w:line="360" w:lineRule="auto"/>
              <w:ind w:firstLine="480"/>
              <w:jc w:val="center"/>
              <w:rPr>
                <w:rFonts w:hint="eastAsia" w:ascii="宋体" w:hAnsi="宋体" w:cs="宋体"/>
                <w:highlight w:val="none"/>
              </w:rPr>
            </w:pPr>
          </w:p>
        </w:tc>
      </w:tr>
      <w:tr w14:paraId="4812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863" w:type="dxa"/>
            <w:noWrap w:val="0"/>
            <w:vAlign w:val="center"/>
          </w:tcPr>
          <w:p w14:paraId="69D0924A">
            <w:pPr>
              <w:pStyle w:val="7"/>
              <w:spacing w:line="360" w:lineRule="auto"/>
              <w:ind w:firstLine="480"/>
              <w:jc w:val="center"/>
              <w:rPr>
                <w:rFonts w:hint="eastAsia" w:ascii="宋体" w:hAnsi="宋体" w:cs="宋体"/>
                <w:highlight w:val="none"/>
              </w:rPr>
            </w:pPr>
          </w:p>
        </w:tc>
        <w:tc>
          <w:tcPr>
            <w:tcW w:w="2497" w:type="dxa"/>
            <w:noWrap w:val="0"/>
            <w:vAlign w:val="center"/>
          </w:tcPr>
          <w:p w14:paraId="135ED42A">
            <w:pPr>
              <w:pStyle w:val="7"/>
              <w:spacing w:line="360" w:lineRule="auto"/>
              <w:ind w:firstLine="480"/>
              <w:jc w:val="center"/>
              <w:rPr>
                <w:rFonts w:hint="eastAsia" w:ascii="宋体" w:hAnsi="宋体" w:cs="宋体"/>
                <w:highlight w:val="none"/>
              </w:rPr>
            </w:pPr>
          </w:p>
        </w:tc>
        <w:tc>
          <w:tcPr>
            <w:tcW w:w="2250" w:type="dxa"/>
            <w:noWrap w:val="0"/>
            <w:vAlign w:val="center"/>
          </w:tcPr>
          <w:p w14:paraId="1A1ECA65">
            <w:pPr>
              <w:pStyle w:val="7"/>
              <w:spacing w:line="360" w:lineRule="auto"/>
              <w:ind w:firstLine="480"/>
              <w:jc w:val="center"/>
              <w:rPr>
                <w:rFonts w:hint="eastAsia" w:ascii="宋体" w:hAnsi="宋体" w:cs="宋体"/>
                <w:highlight w:val="none"/>
              </w:rPr>
            </w:pPr>
          </w:p>
        </w:tc>
        <w:tc>
          <w:tcPr>
            <w:tcW w:w="2948" w:type="dxa"/>
            <w:noWrap w:val="0"/>
            <w:vAlign w:val="center"/>
          </w:tcPr>
          <w:p w14:paraId="3FED7331">
            <w:pPr>
              <w:pStyle w:val="7"/>
              <w:spacing w:line="360" w:lineRule="auto"/>
              <w:ind w:firstLine="480"/>
              <w:jc w:val="center"/>
              <w:rPr>
                <w:rFonts w:hint="eastAsia" w:ascii="宋体" w:hAnsi="宋体" w:cs="宋体"/>
                <w:highlight w:val="none"/>
              </w:rPr>
            </w:pPr>
          </w:p>
        </w:tc>
      </w:tr>
      <w:tr w14:paraId="42AB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863" w:type="dxa"/>
            <w:noWrap w:val="0"/>
            <w:vAlign w:val="center"/>
          </w:tcPr>
          <w:p w14:paraId="58130F34">
            <w:pPr>
              <w:pStyle w:val="7"/>
              <w:spacing w:line="360" w:lineRule="auto"/>
              <w:ind w:firstLine="480"/>
              <w:jc w:val="center"/>
              <w:rPr>
                <w:rFonts w:hint="eastAsia" w:ascii="宋体" w:hAnsi="宋体" w:cs="宋体"/>
                <w:highlight w:val="none"/>
              </w:rPr>
            </w:pPr>
          </w:p>
        </w:tc>
        <w:tc>
          <w:tcPr>
            <w:tcW w:w="2497" w:type="dxa"/>
            <w:noWrap w:val="0"/>
            <w:vAlign w:val="center"/>
          </w:tcPr>
          <w:p w14:paraId="3E69FC1C">
            <w:pPr>
              <w:pStyle w:val="7"/>
              <w:spacing w:line="360" w:lineRule="auto"/>
              <w:ind w:firstLine="480"/>
              <w:jc w:val="center"/>
              <w:rPr>
                <w:rFonts w:hint="eastAsia" w:ascii="宋体" w:hAnsi="宋体" w:cs="宋体"/>
                <w:highlight w:val="none"/>
              </w:rPr>
            </w:pPr>
          </w:p>
        </w:tc>
        <w:tc>
          <w:tcPr>
            <w:tcW w:w="2250" w:type="dxa"/>
            <w:noWrap w:val="0"/>
            <w:vAlign w:val="center"/>
          </w:tcPr>
          <w:p w14:paraId="1C1E3683">
            <w:pPr>
              <w:pStyle w:val="7"/>
              <w:spacing w:line="360" w:lineRule="auto"/>
              <w:ind w:firstLine="480"/>
              <w:jc w:val="center"/>
              <w:rPr>
                <w:rFonts w:hint="eastAsia" w:ascii="宋体" w:hAnsi="宋体" w:cs="宋体"/>
                <w:highlight w:val="none"/>
              </w:rPr>
            </w:pPr>
          </w:p>
        </w:tc>
        <w:tc>
          <w:tcPr>
            <w:tcW w:w="2948" w:type="dxa"/>
            <w:noWrap w:val="0"/>
            <w:vAlign w:val="center"/>
          </w:tcPr>
          <w:p w14:paraId="7C789AFA">
            <w:pPr>
              <w:pStyle w:val="7"/>
              <w:spacing w:line="360" w:lineRule="auto"/>
              <w:ind w:firstLine="480"/>
              <w:jc w:val="center"/>
              <w:rPr>
                <w:rFonts w:hint="eastAsia" w:ascii="宋体" w:hAnsi="宋体" w:cs="宋体"/>
                <w:highlight w:val="none"/>
              </w:rPr>
            </w:pPr>
          </w:p>
        </w:tc>
      </w:tr>
      <w:tr w14:paraId="24B8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863" w:type="dxa"/>
            <w:noWrap w:val="0"/>
            <w:vAlign w:val="center"/>
          </w:tcPr>
          <w:p w14:paraId="37D79F3A">
            <w:pPr>
              <w:pStyle w:val="7"/>
              <w:spacing w:line="360" w:lineRule="auto"/>
              <w:ind w:firstLine="480"/>
              <w:jc w:val="center"/>
              <w:rPr>
                <w:rFonts w:hint="eastAsia" w:ascii="宋体" w:hAnsi="宋体" w:cs="宋体"/>
                <w:highlight w:val="none"/>
              </w:rPr>
            </w:pPr>
          </w:p>
        </w:tc>
        <w:tc>
          <w:tcPr>
            <w:tcW w:w="2497" w:type="dxa"/>
            <w:noWrap w:val="0"/>
            <w:vAlign w:val="center"/>
          </w:tcPr>
          <w:p w14:paraId="39D54169">
            <w:pPr>
              <w:pStyle w:val="7"/>
              <w:spacing w:line="360" w:lineRule="auto"/>
              <w:ind w:firstLine="480"/>
              <w:jc w:val="center"/>
              <w:rPr>
                <w:rFonts w:hint="eastAsia" w:ascii="宋体" w:hAnsi="宋体" w:cs="宋体"/>
                <w:highlight w:val="none"/>
              </w:rPr>
            </w:pPr>
          </w:p>
        </w:tc>
        <w:tc>
          <w:tcPr>
            <w:tcW w:w="2250" w:type="dxa"/>
            <w:noWrap w:val="0"/>
            <w:vAlign w:val="center"/>
          </w:tcPr>
          <w:p w14:paraId="7553CB2C">
            <w:pPr>
              <w:pStyle w:val="7"/>
              <w:spacing w:line="360" w:lineRule="auto"/>
              <w:ind w:firstLine="480"/>
              <w:jc w:val="center"/>
              <w:rPr>
                <w:rFonts w:hint="eastAsia" w:ascii="宋体" w:hAnsi="宋体" w:cs="宋体"/>
                <w:highlight w:val="none"/>
              </w:rPr>
            </w:pPr>
          </w:p>
        </w:tc>
        <w:tc>
          <w:tcPr>
            <w:tcW w:w="2948" w:type="dxa"/>
            <w:noWrap w:val="0"/>
            <w:vAlign w:val="center"/>
          </w:tcPr>
          <w:p w14:paraId="368070CF">
            <w:pPr>
              <w:pStyle w:val="7"/>
              <w:spacing w:line="360" w:lineRule="auto"/>
              <w:ind w:firstLine="480"/>
              <w:jc w:val="center"/>
              <w:rPr>
                <w:rFonts w:hint="eastAsia" w:ascii="宋体" w:hAnsi="宋体" w:cs="宋体"/>
                <w:highlight w:val="none"/>
              </w:rPr>
            </w:pPr>
          </w:p>
        </w:tc>
      </w:tr>
      <w:tr w14:paraId="2BD9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863" w:type="dxa"/>
            <w:noWrap w:val="0"/>
            <w:vAlign w:val="center"/>
          </w:tcPr>
          <w:p w14:paraId="1EFAEA05">
            <w:pPr>
              <w:pStyle w:val="7"/>
              <w:spacing w:line="360" w:lineRule="auto"/>
              <w:ind w:firstLine="480"/>
              <w:jc w:val="center"/>
              <w:rPr>
                <w:rFonts w:hint="eastAsia" w:ascii="宋体" w:hAnsi="宋体" w:cs="宋体"/>
                <w:highlight w:val="none"/>
              </w:rPr>
            </w:pPr>
          </w:p>
        </w:tc>
        <w:tc>
          <w:tcPr>
            <w:tcW w:w="2497" w:type="dxa"/>
            <w:noWrap w:val="0"/>
            <w:vAlign w:val="center"/>
          </w:tcPr>
          <w:p w14:paraId="1C7AF3CC">
            <w:pPr>
              <w:pStyle w:val="7"/>
              <w:spacing w:line="360" w:lineRule="auto"/>
              <w:ind w:firstLine="480"/>
              <w:jc w:val="center"/>
              <w:rPr>
                <w:rFonts w:hint="eastAsia" w:ascii="宋体" w:hAnsi="宋体" w:cs="宋体"/>
                <w:highlight w:val="none"/>
              </w:rPr>
            </w:pPr>
          </w:p>
        </w:tc>
        <w:tc>
          <w:tcPr>
            <w:tcW w:w="2250" w:type="dxa"/>
            <w:noWrap w:val="0"/>
            <w:vAlign w:val="center"/>
          </w:tcPr>
          <w:p w14:paraId="65147BBC">
            <w:pPr>
              <w:pStyle w:val="7"/>
              <w:spacing w:line="360" w:lineRule="auto"/>
              <w:ind w:firstLine="480"/>
              <w:jc w:val="center"/>
              <w:rPr>
                <w:rFonts w:hint="eastAsia" w:ascii="宋体" w:hAnsi="宋体" w:cs="宋体"/>
                <w:highlight w:val="none"/>
              </w:rPr>
            </w:pPr>
          </w:p>
        </w:tc>
        <w:tc>
          <w:tcPr>
            <w:tcW w:w="2948" w:type="dxa"/>
            <w:noWrap w:val="0"/>
            <w:vAlign w:val="center"/>
          </w:tcPr>
          <w:p w14:paraId="348B74D5">
            <w:pPr>
              <w:pStyle w:val="7"/>
              <w:spacing w:line="360" w:lineRule="auto"/>
              <w:ind w:firstLine="480"/>
              <w:jc w:val="center"/>
              <w:rPr>
                <w:rFonts w:hint="eastAsia" w:ascii="宋体" w:hAnsi="宋体" w:cs="宋体"/>
                <w:highlight w:val="none"/>
              </w:rPr>
            </w:pPr>
          </w:p>
        </w:tc>
      </w:tr>
    </w:tbl>
    <w:p w14:paraId="3D836C6B">
      <w:pPr>
        <w:pStyle w:val="20"/>
        <w:keepNext w:val="0"/>
        <w:keepLines w:val="0"/>
        <w:pageBreakBefore w:val="0"/>
        <w:kinsoku/>
        <w:overflowPunct/>
        <w:topLinePunct w:val="0"/>
        <w:bidi w:val="0"/>
        <w:spacing w:after="240" w:line="360" w:lineRule="auto"/>
        <w:jc w:val="left"/>
        <w:rPr>
          <w:rFonts w:hint="eastAsia" w:ascii="宋体" w:hAnsi="宋体" w:eastAsia="宋体" w:cs="宋体"/>
          <w:sz w:val="24"/>
          <w:szCs w:val="24"/>
          <w:lang w:val="zh-CN"/>
        </w:rPr>
        <w:sectPr>
          <w:pgSz w:w="11906" w:h="16838"/>
          <w:pgMar w:top="1440" w:right="1800" w:bottom="1440" w:left="1800" w:header="851" w:footer="992" w:gutter="0"/>
          <w:cols w:space="425" w:num="1"/>
          <w:docGrid w:type="lines" w:linePitch="312" w:charSpace="0"/>
        </w:sectPr>
      </w:pPr>
    </w:p>
    <w:p w14:paraId="5A05548D">
      <w:pPr>
        <w:pStyle w:val="20"/>
        <w:keepNext w:val="0"/>
        <w:keepLines w:val="0"/>
        <w:pageBreakBefore w:val="0"/>
        <w:kinsoku/>
        <w:overflowPunct/>
        <w:topLinePunct w:val="0"/>
        <w:bidi w:val="0"/>
        <w:spacing w:after="240" w:line="360" w:lineRule="auto"/>
        <w:jc w:val="left"/>
        <w:rPr>
          <w:rFonts w:hint="eastAsia" w:ascii="宋体" w:hAnsi="宋体" w:eastAsia="宋体" w:cs="宋体"/>
          <w:kern w:val="0"/>
          <w:sz w:val="24"/>
          <w:szCs w:val="24"/>
          <w:lang w:val="zh-CN"/>
        </w:rPr>
      </w:pPr>
      <w:r>
        <w:rPr>
          <w:rFonts w:hint="eastAsia" w:ascii="宋体" w:hAnsi="宋体" w:eastAsia="宋体" w:cs="宋体"/>
          <w:sz w:val="24"/>
          <w:szCs w:val="24"/>
          <w:lang w:val="zh-CN"/>
        </w:rPr>
        <w:t>（</w:t>
      </w:r>
      <w:r>
        <w:rPr>
          <w:rFonts w:hint="eastAsia" w:ascii="宋体" w:hAnsi="宋体" w:cs="宋体"/>
          <w:sz w:val="24"/>
          <w:szCs w:val="24"/>
          <w:lang w:val="en-US" w:eastAsia="zh-CN"/>
        </w:rPr>
        <w:t>16</w:t>
      </w:r>
      <w:r>
        <w:rPr>
          <w:rFonts w:hint="eastAsia" w:ascii="宋体" w:hAnsi="宋体" w:eastAsia="宋体" w:cs="宋体"/>
          <w:sz w:val="24"/>
          <w:szCs w:val="24"/>
          <w:lang w:val="zh-CN"/>
        </w:rPr>
        <w:t>）技术规格响应表</w:t>
      </w:r>
      <w:bookmarkEnd w:id="194"/>
      <w:bookmarkEnd w:id="195"/>
    </w:p>
    <w:p w14:paraId="2DF47D6E">
      <w:pPr>
        <w:autoSpaceDE w:val="0"/>
        <w:autoSpaceDN w:val="0"/>
        <w:adjustRightInd w:val="0"/>
        <w:spacing w:line="40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技术规格响应表</w:t>
      </w:r>
    </w:p>
    <w:p w14:paraId="3D36AE83">
      <w:pPr>
        <w:autoSpaceDE w:val="0"/>
        <w:autoSpaceDN w:val="0"/>
        <w:adjustRightInd w:val="0"/>
        <w:spacing w:line="400" w:lineRule="exact"/>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供应商名称:</w:t>
      </w:r>
    </w:p>
    <w:tbl>
      <w:tblPr>
        <w:tblStyle w:val="22"/>
        <w:tblW w:w="10138" w:type="dxa"/>
        <w:jc w:val="center"/>
        <w:tblLayout w:type="fixed"/>
        <w:tblCellMar>
          <w:top w:w="0" w:type="dxa"/>
          <w:left w:w="28" w:type="dxa"/>
          <w:bottom w:w="0" w:type="dxa"/>
          <w:right w:w="28" w:type="dxa"/>
        </w:tblCellMar>
      </w:tblPr>
      <w:tblGrid>
        <w:gridCol w:w="572"/>
        <w:gridCol w:w="859"/>
        <w:gridCol w:w="2320"/>
        <w:gridCol w:w="934"/>
        <w:gridCol w:w="1087"/>
        <w:gridCol w:w="2200"/>
        <w:gridCol w:w="1322"/>
        <w:gridCol w:w="844"/>
      </w:tblGrid>
      <w:tr w14:paraId="47657E3E">
        <w:tblPrEx>
          <w:tblCellMar>
            <w:top w:w="0" w:type="dxa"/>
            <w:left w:w="28" w:type="dxa"/>
            <w:bottom w:w="0" w:type="dxa"/>
            <w:right w:w="28" w:type="dxa"/>
          </w:tblCellMar>
        </w:tblPrEx>
        <w:trPr>
          <w:trHeight w:val="451" w:hRule="atLeast"/>
          <w:jc w:val="center"/>
        </w:trPr>
        <w:tc>
          <w:tcPr>
            <w:tcW w:w="572" w:type="dxa"/>
            <w:tcBorders>
              <w:top w:val="single" w:color="000000" w:sz="6" w:space="0"/>
              <w:left w:val="single" w:color="000000" w:sz="6" w:space="0"/>
              <w:bottom w:val="single" w:color="000000" w:sz="6" w:space="0"/>
              <w:right w:val="single" w:color="000000" w:sz="6" w:space="0"/>
            </w:tcBorders>
            <w:noWrap w:val="0"/>
            <w:vAlign w:val="center"/>
          </w:tcPr>
          <w:p w14:paraId="5CE729D0">
            <w:pPr>
              <w:autoSpaceDE w:val="0"/>
              <w:autoSpaceDN w:val="0"/>
              <w:spacing w:line="360" w:lineRule="auto"/>
              <w:ind w:firstLine="0" w:firstLineChars="0"/>
              <w:jc w:val="center"/>
              <w:rPr>
                <w:rFonts w:ascii="宋体" w:hAnsi="宋体" w:cs="宋体"/>
                <w:sz w:val="24"/>
                <w:szCs w:val="24"/>
                <w:lang w:val="zh-CN"/>
              </w:rPr>
            </w:pPr>
          </w:p>
        </w:tc>
        <w:tc>
          <w:tcPr>
            <w:tcW w:w="4113" w:type="dxa"/>
            <w:gridSpan w:val="3"/>
            <w:tcBorders>
              <w:top w:val="single" w:color="000000" w:sz="6" w:space="0"/>
              <w:left w:val="single" w:color="000000" w:sz="6" w:space="0"/>
              <w:bottom w:val="single" w:color="000000" w:sz="6" w:space="0"/>
              <w:right w:val="single" w:color="000000" w:sz="6" w:space="0"/>
            </w:tcBorders>
            <w:noWrap w:val="0"/>
            <w:vAlign w:val="center"/>
          </w:tcPr>
          <w:p w14:paraId="18EF86CF">
            <w:pPr>
              <w:autoSpaceDE w:val="0"/>
              <w:autoSpaceDN w:val="0"/>
              <w:spacing w:line="360" w:lineRule="auto"/>
              <w:ind w:firstLine="0" w:firstLineChars="0"/>
              <w:jc w:val="center"/>
              <w:rPr>
                <w:rFonts w:ascii="宋体" w:hAnsi="宋体" w:cs="宋体"/>
                <w:sz w:val="24"/>
                <w:szCs w:val="24"/>
                <w:lang w:val="zh-CN"/>
              </w:rPr>
            </w:pPr>
            <w:r>
              <w:rPr>
                <w:rFonts w:hint="eastAsia" w:ascii="宋体" w:hAnsi="宋体" w:cs="宋体"/>
                <w:sz w:val="24"/>
                <w:szCs w:val="24"/>
                <w:lang w:val="zh-CN"/>
              </w:rPr>
              <w:t>采购需求技术参数、指标</w:t>
            </w:r>
          </w:p>
        </w:tc>
        <w:tc>
          <w:tcPr>
            <w:tcW w:w="4609" w:type="dxa"/>
            <w:gridSpan w:val="3"/>
            <w:tcBorders>
              <w:top w:val="single" w:color="000000" w:sz="6" w:space="0"/>
              <w:left w:val="single" w:color="000000" w:sz="6" w:space="0"/>
              <w:bottom w:val="single" w:color="000000" w:sz="6" w:space="0"/>
              <w:right w:val="single" w:color="000000" w:sz="6" w:space="0"/>
            </w:tcBorders>
            <w:noWrap w:val="0"/>
            <w:vAlign w:val="center"/>
          </w:tcPr>
          <w:p w14:paraId="753D9FED">
            <w:pPr>
              <w:autoSpaceDE w:val="0"/>
              <w:autoSpaceDN w:val="0"/>
              <w:spacing w:line="360" w:lineRule="auto"/>
              <w:ind w:firstLine="0" w:firstLineChars="0"/>
              <w:jc w:val="center"/>
              <w:rPr>
                <w:rFonts w:ascii="宋体" w:hAnsi="宋体" w:cs="宋体"/>
                <w:sz w:val="24"/>
                <w:szCs w:val="24"/>
                <w:lang w:val="zh-CN"/>
              </w:rPr>
            </w:pPr>
            <w:r>
              <w:rPr>
                <w:rFonts w:hint="eastAsia" w:ascii="宋体" w:hAnsi="宋体" w:cs="宋体"/>
                <w:sz w:val="24"/>
                <w:szCs w:val="24"/>
                <w:lang w:val="zh-CN"/>
              </w:rPr>
              <w:t>投标产品技术参数、指标</w:t>
            </w:r>
          </w:p>
        </w:tc>
        <w:tc>
          <w:tcPr>
            <w:tcW w:w="844" w:type="dxa"/>
            <w:tcBorders>
              <w:top w:val="single" w:color="000000" w:sz="6" w:space="0"/>
              <w:left w:val="single" w:color="000000" w:sz="6" w:space="0"/>
              <w:bottom w:val="single" w:color="000000" w:sz="6" w:space="0"/>
              <w:right w:val="single" w:color="000000" w:sz="6" w:space="0"/>
            </w:tcBorders>
            <w:noWrap w:val="0"/>
            <w:vAlign w:val="center"/>
          </w:tcPr>
          <w:p w14:paraId="35A87DDE">
            <w:pPr>
              <w:autoSpaceDE w:val="0"/>
              <w:autoSpaceDN w:val="0"/>
              <w:spacing w:line="360" w:lineRule="auto"/>
              <w:ind w:firstLine="0" w:firstLineChars="0"/>
              <w:jc w:val="center"/>
              <w:rPr>
                <w:rFonts w:ascii="宋体" w:hAnsi="宋体" w:cs="宋体"/>
                <w:sz w:val="24"/>
                <w:szCs w:val="24"/>
                <w:lang w:val="zh-CN"/>
              </w:rPr>
            </w:pPr>
            <w:r>
              <w:rPr>
                <w:rFonts w:hint="eastAsia" w:ascii="宋体" w:hAnsi="宋体" w:cs="宋体"/>
                <w:sz w:val="24"/>
                <w:szCs w:val="24"/>
                <w:lang w:val="zh-CN"/>
              </w:rPr>
              <w:t>偏离</w:t>
            </w:r>
          </w:p>
        </w:tc>
      </w:tr>
      <w:tr w14:paraId="012593CD">
        <w:tblPrEx>
          <w:tblCellMar>
            <w:top w:w="0" w:type="dxa"/>
            <w:left w:w="28" w:type="dxa"/>
            <w:bottom w:w="0" w:type="dxa"/>
            <w:right w:w="28" w:type="dxa"/>
          </w:tblCellMar>
        </w:tblPrEx>
        <w:trPr>
          <w:trHeight w:val="451" w:hRule="atLeast"/>
          <w:jc w:val="center"/>
        </w:trPr>
        <w:tc>
          <w:tcPr>
            <w:tcW w:w="572" w:type="dxa"/>
            <w:tcBorders>
              <w:top w:val="single" w:color="000000" w:sz="6" w:space="0"/>
              <w:left w:val="single" w:color="000000" w:sz="6" w:space="0"/>
              <w:bottom w:val="single" w:color="000000" w:sz="6" w:space="0"/>
              <w:right w:val="single" w:color="000000" w:sz="6" w:space="0"/>
            </w:tcBorders>
            <w:noWrap w:val="0"/>
            <w:vAlign w:val="center"/>
          </w:tcPr>
          <w:p w14:paraId="4B90C0B3">
            <w:pPr>
              <w:autoSpaceDE w:val="0"/>
              <w:autoSpaceDN w:val="0"/>
              <w:spacing w:line="360" w:lineRule="auto"/>
              <w:ind w:firstLine="0" w:firstLineChars="0"/>
              <w:jc w:val="center"/>
              <w:rPr>
                <w:rFonts w:ascii="宋体" w:hAnsi="宋体" w:cs="宋体"/>
                <w:sz w:val="24"/>
                <w:szCs w:val="24"/>
                <w:lang w:val="zh-CN"/>
              </w:rPr>
            </w:pPr>
            <w:r>
              <w:rPr>
                <w:rFonts w:hint="eastAsia" w:ascii="宋体" w:hAnsi="宋体" w:cs="宋体"/>
                <w:sz w:val="24"/>
                <w:szCs w:val="24"/>
                <w:lang w:val="zh-CN"/>
              </w:rPr>
              <w:t>序号</w:t>
            </w:r>
          </w:p>
        </w:tc>
        <w:tc>
          <w:tcPr>
            <w:tcW w:w="859" w:type="dxa"/>
            <w:tcBorders>
              <w:top w:val="single" w:color="000000" w:sz="6" w:space="0"/>
              <w:left w:val="single" w:color="000000" w:sz="6" w:space="0"/>
              <w:bottom w:val="single" w:color="000000" w:sz="6" w:space="0"/>
              <w:right w:val="single" w:color="000000" w:sz="6" w:space="0"/>
            </w:tcBorders>
            <w:noWrap w:val="0"/>
            <w:vAlign w:val="center"/>
          </w:tcPr>
          <w:p w14:paraId="57D5034F">
            <w:pPr>
              <w:autoSpaceDE w:val="0"/>
              <w:autoSpaceDN w:val="0"/>
              <w:spacing w:line="360" w:lineRule="auto"/>
              <w:ind w:firstLine="0" w:firstLineChars="0"/>
              <w:jc w:val="center"/>
              <w:rPr>
                <w:rFonts w:ascii="宋体" w:hAnsi="宋体" w:cs="宋体"/>
                <w:sz w:val="24"/>
                <w:szCs w:val="24"/>
                <w:lang w:val="zh-CN"/>
              </w:rPr>
            </w:pPr>
            <w:r>
              <w:rPr>
                <w:rFonts w:hint="eastAsia" w:ascii="宋体" w:hAnsi="宋体" w:cs="宋体"/>
                <w:sz w:val="24"/>
                <w:szCs w:val="24"/>
                <w:lang w:val="zh-CN"/>
              </w:rPr>
              <w:t>名称</w:t>
            </w:r>
          </w:p>
        </w:tc>
        <w:tc>
          <w:tcPr>
            <w:tcW w:w="2320" w:type="dxa"/>
            <w:tcBorders>
              <w:top w:val="single" w:color="000000" w:sz="6" w:space="0"/>
              <w:left w:val="single" w:color="000000" w:sz="6" w:space="0"/>
              <w:bottom w:val="single" w:color="000000" w:sz="6" w:space="0"/>
              <w:right w:val="single" w:color="000000" w:sz="6" w:space="0"/>
            </w:tcBorders>
            <w:noWrap w:val="0"/>
            <w:vAlign w:val="center"/>
          </w:tcPr>
          <w:p w14:paraId="710C4F89">
            <w:pPr>
              <w:autoSpaceDE w:val="0"/>
              <w:autoSpaceDN w:val="0"/>
              <w:spacing w:line="360" w:lineRule="auto"/>
              <w:ind w:firstLine="0" w:firstLineChars="0"/>
              <w:jc w:val="center"/>
              <w:rPr>
                <w:rFonts w:ascii="宋体" w:hAnsi="宋体" w:cs="宋体"/>
                <w:sz w:val="24"/>
                <w:szCs w:val="24"/>
                <w:lang w:val="zh-CN"/>
              </w:rPr>
            </w:pPr>
            <w:r>
              <w:rPr>
                <w:rFonts w:hint="eastAsia" w:ascii="宋体" w:hAnsi="宋体" w:cs="宋体"/>
                <w:sz w:val="24"/>
                <w:szCs w:val="24"/>
                <w:lang w:val="zh-CN"/>
              </w:rPr>
              <w:t>技术参数及配置</w:t>
            </w:r>
          </w:p>
        </w:tc>
        <w:tc>
          <w:tcPr>
            <w:tcW w:w="934" w:type="dxa"/>
            <w:tcBorders>
              <w:top w:val="single" w:color="000000" w:sz="6" w:space="0"/>
              <w:left w:val="single" w:color="000000" w:sz="6" w:space="0"/>
              <w:bottom w:val="single" w:color="000000" w:sz="6" w:space="0"/>
              <w:right w:val="single" w:color="000000" w:sz="6" w:space="0"/>
            </w:tcBorders>
            <w:noWrap w:val="0"/>
            <w:vAlign w:val="center"/>
          </w:tcPr>
          <w:p w14:paraId="30671D7F">
            <w:pPr>
              <w:autoSpaceDE w:val="0"/>
              <w:autoSpaceDN w:val="0"/>
              <w:spacing w:line="360" w:lineRule="auto"/>
              <w:ind w:firstLine="0" w:firstLineChars="0"/>
              <w:jc w:val="center"/>
              <w:rPr>
                <w:rFonts w:ascii="宋体" w:hAnsi="宋体" w:cs="宋体"/>
                <w:sz w:val="24"/>
                <w:szCs w:val="24"/>
                <w:lang w:val="zh-CN"/>
              </w:rPr>
            </w:pPr>
            <w:r>
              <w:rPr>
                <w:rFonts w:hint="eastAsia" w:ascii="宋体" w:hAnsi="宋体" w:cs="宋体"/>
                <w:sz w:val="24"/>
                <w:szCs w:val="24"/>
                <w:lang w:val="zh-CN"/>
              </w:rPr>
              <w:t>数量</w:t>
            </w:r>
          </w:p>
        </w:tc>
        <w:tc>
          <w:tcPr>
            <w:tcW w:w="1087" w:type="dxa"/>
            <w:tcBorders>
              <w:top w:val="single" w:color="000000" w:sz="6" w:space="0"/>
              <w:left w:val="single" w:color="000000" w:sz="6" w:space="0"/>
              <w:bottom w:val="single" w:color="000000" w:sz="6" w:space="0"/>
              <w:right w:val="single" w:color="000000" w:sz="6" w:space="0"/>
            </w:tcBorders>
            <w:noWrap w:val="0"/>
            <w:vAlign w:val="center"/>
          </w:tcPr>
          <w:p w14:paraId="3BB35A54">
            <w:pPr>
              <w:autoSpaceDE w:val="0"/>
              <w:autoSpaceDN w:val="0"/>
              <w:spacing w:line="360" w:lineRule="auto"/>
              <w:ind w:firstLine="0" w:firstLineChars="0"/>
              <w:jc w:val="center"/>
              <w:rPr>
                <w:rFonts w:ascii="宋体" w:hAnsi="宋体" w:cs="宋体"/>
                <w:sz w:val="24"/>
                <w:szCs w:val="24"/>
                <w:lang w:val="zh-CN"/>
              </w:rPr>
            </w:pPr>
            <w:r>
              <w:rPr>
                <w:rFonts w:hint="eastAsia" w:ascii="宋体" w:hAnsi="宋体" w:cs="宋体"/>
                <w:sz w:val="24"/>
                <w:szCs w:val="24"/>
                <w:lang w:val="zh-CN"/>
              </w:rPr>
              <w:t>名称</w:t>
            </w:r>
          </w:p>
        </w:tc>
        <w:tc>
          <w:tcPr>
            <w:tcW w:w="2200" w:type="dxa"/>
            <w:tcBorders>
              <w:top w:val="single" w:color="000000" w:sz="6" w:space="0"/>
              <w:left w:val="single" w:color="000000" w:sz="6" w:space="0"/>
              <w:bottom w:val="single" w:color="000000" w:sz="6" w:space="0"/>
              <w:right w:val="single" w:color="000000" w:sz="6" w:space="0"/>
            </w:tcBorders>
            <w:noWrap w:val="0"/>
            <w:vAlign w:val="center"/>
          </w:tcPr>
          <w:p w14:paraId="3BEE1DEE">
            <w:pPr>
              <w:autoSpaceDE w:val="0"/>
              <w:autoSpaceDN w:val="0"/>
              <w:spacing w:line="360" w:lineRule="auto"/>
              <w:ind w:firstLine="0" w:firstLineChars="0"/>
              <w:jc w:val="center"/>
              <w:rPr>
                <w:rFonts w:ascii="宋体" w:hAnsi="宋体" w:cs="宋体"/>
                <w:sz w:val="24"/>
                <w:szCs w:val="24"/>
                <w:lang w:val="zh-CN"/>
              </w:rPr>
            </w:pPr>
            <w:r>
              <w:rPr>
                <w:rFonts w:hint="eastAsia" w:ascii="宋体" w:hAnsi="宋体" w:cs="宋体"/>
                <w:sz w:val="24"/>
                <w:szCs w:val="24"/>
                <w:lang w:val="zh-CN"/>
              </w:rPr>
              <w:t>技术参数及配置</w:t>
            </w: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5FCDE1F2">
            <w:pPr>
              <w:autoSpaceDE w:val="0"/>
              <w:autoSpaceDN w:val="0"/>
              <w:spacing w:line="360" w:lineRule="auto"/>
              <w:ind w:firstLine="0" w:firstLineChars="0"/>
              <w:jc w:val="center"/>
              <w:rPr>
                <w:rFonts w:ascii="宋体" w:hAnsi="宋体" w:cs="宋体"/>
                <w:sz w:val="24"/>
                <w:szCs w:val="24"/>
                <w:lang w:val="zh-CN"/>
              </w:rPr>
            </w:pPr>
            <w:r>
              <w:rPr>
                <w:rFonts w:hint="eastAsia" w:ascii="宋体" w:hAnsi="宋体" w:cs="宋体"/>
                <w:sz w:val="24"/>
                <w:szCs w:val="24"/>
                <w:lang w:val="zh-CN"/>
              </w:rPr>
              <w:t>数量</w:t>
            </w:r>
          </w:p>
        </w:tc>
        <w:tc>
          <w:tcPr>
            <w:tcW w:w="844" w:type="dxa"/>
            <w:tcBorders>
              <w:top w:val="single" w:color="000000" w:sz="6" w:space="0"/>
              <w:left w:val="single" w:color="000000" w:sz="6" w:space="0"/>
              <w:bottom w:val="single" w:color="000000" w:sz="6" w:space="0"/>
              <w:right w:val="single" w:color="000000" w:sz="6" w:space="0"/>
            </w:tcBorders>
            <w:noWrap w:val="0"/>
            <w:vAlign w:val="center"/>
          </w:tcPr>
          <w:p w14:paraId="08CACB8A">
            <w:pPr>
              <w:autoSpaceDE w:val="0"/>
              <w:autoSpaceDN w:val="0"/>
              <w:spacing w:line="360" w:lineRule="auto"/>
              <w:ind w:firstLine="0" w:firstLineChars="0"/>
              <w:jc w:val="center"/>
              <w:rPr>
                <w:rFonts w:ascii="宋体" w:hAnsi="宋体" w:cs="宋体"/>
                <w:sz w:val="24"/>
                <w:szCs w:val="24"/>
                <w:lang w:val="zh-CN"/>
              </w:rPr>
            </w:pPr>
          </w:p>
        </w:tc>
      </w:tr>
      <w:tr w14:paraId="18712FFB">
        <w:tblPrEx>
          <w:tblCellMar>
            <w:top w:w="0" w:type="dxa"/>
            <w:left w:w="28" w:type="dxa"/>
            <w:bottom w:w="0" w:type="dxa"/>
            <w:right w:w="28" w:type="dxa"/>
          </w:tblCellMar>
        </w:tblPrEx>
        <w:trPr>
          <w:trHeight w:val="451" w:hRule="atLeast"/>
          <w:jc w:val="center"/>
        </w:trPr>
        <w:tc>
          <w:tcPr>
            <w:tcW w:w="572" w:type="dxa"/>
            <w:tcBorders>
              <w:top w:val="single" w:color="000000" w:sz="6" w:space="0"/>
              <w:left w:val="single" w:color="000000" w:sz="6" w:space="0"/>
              <w:bottom w:val="single" w:color="000000" w:sz="6" w:space="0"/>
              <w:right w:val="single" w:color="000000" w:sz="6" w:space="0"/>
            </w:tcBorders>
            <w:noWrap w:val="0"/>
            <w:vAlign w:val="center"/>
          </w:tcPr>
          <w:p w14:paraId="32A37250">
            <w:pPr>
              <w:autoSpaceDE w:val="0"/>
              <w:autoSpaceDN w:val="0"/>
              <w:spacing w:line="360" w:lineRule="auto"/>
              <w:ind w:firstLine="0" w:firstLineChars="0"/>
              <w:jc w:val="center"/>
              <w:rPr>
                <w:rFonts w:ascii="宋体" w:hAnsi="宋体" w:cs="宋体"/>
                <w:sz w:val="24"/>
                <w:szCs w:val="24"/>
                <w:lang w:val="zh-CN"/>
              </w:rPr>
            </w:pPr>
            <w:r>
              <w:rPr>
                <w:rFonts w:hint="eastAsia" w:ascii="宋体" w:hAnsi="宋体" w:cs="宋体"/>
                <w:sz w:val="24"/>
                <w:szCs w:val="24"/>
                <w:lang w:val="zh-CN"/>
              </w:rPr>
              <w:t>1</w:t>
            </w:r>
          </w:p>
        </w:tc>
        <w:tc>
          <w:tcPr>
            <w:tcW w:w="859" w:type="dxa"/>
            <w:tcBorders>
              <w:top w:val="single" w:color="000000" w:sz="6" w:space="0"/>
              <w:left w:val="single" w:color="000000" w:sz="6" w:space="0"/>
              <w:bottom w:val="single" w:color="000000" w:sz="6" w:space="0"/>
              <w:right w:val="single" w:color="000000" w:sz="6" w:space="0"/>
            </w:tcBorders>
            <w:noWrap w:val="0"/>
            <w:vAlign w:val="center"/>
          </w:tcPr>
          <w:p w14:paraId="27754D4B">
            <w:pPr>
              <w:autoSpaceDE w:val="0"/>
              <w:autoSpaceDN w:val="0"/>
              <w:spacing w:line="360" w:lineRule="auto"/>
              <w:ind w:firstLine="0" w:firstLineChars="0"/>
              <w:jc w:val="center"/>
              <w:rPr>
                <w:rFonts w:ascii="宋体" w:hAnsi="宋体" w:cs="宋体"/>
                <w:sz w:val="24"/>
                <w:szCs w:val="24"/>
                <w:lang w:val="zh-CN"/>
              </w:rPr>
            </w:pPr>
          </w:p>
        </w:tc>
        <w:tc>
          <w:tcPr>
            <w:tcW w:w="2320" w:type="dxa"/>
            <w:tcBorders>
              <w:top w:val="single" w:color="000000" w:sz="6" w:space="0"/>
              <w:left w:val="single" w:color="000000" w:sz="6" w:space="0"/>
              <w:bottom w:val="single" w:color="000000" w:sz="6" w:space="0"/>
              <w:right w:val="single" w:color="000000" w:sz="6" w:space="0"/>
            </w:tcBorders>
            <w:noWrap w:val="0"/>
            <w:vAlign w:val="center"/>
          </w:tcPr>
          <w:p w14:paraId="5FB10F89">
            <w:pPr>
              <w:autoSpaceDE w:val="0"/>
              <w:autoSpaceDN w:val="0"/>
              <w:spacing w:line="360" w:lineRule="auto"/>
              <w:ind w:firstLine="0" w:firstLineChars="0"/>
              <w:jc w:val="center"/>
              <w:rPr>
                <w:rFonts w:ascii="宋体" w:hAnsi="宋体" w:cs="宋体"/>
                <w:sz w:val="24"/>
                <w:szCs w:val="24"/>
                <w:lang w:val="zh-CN"/>
              </w:rPr>
            </w:pPr>
          </w:p>
        </w:tc>
        <w:tc>
          <w:tcPr>
            <w:tcW w:w="934" w:type="dxa"/>
            <w:tcBorders>
              <w:top w:val="single" w:color="000000" w:sz="6" w:space="0"/>
              <w:left w:val="single" w:color="000000" w:sz="6" w:space="0"/>
              <w:bottom w:val="single" w:color="000000" w:sz="6" w:space="0"/>
              <w:right w:val="single" w:color="000000" w:sz="6" w:space="0"/>
            </w:tcBorders>
            <w:noWrap w:val="0"/>
            <w:vAlign w:val="center"/>
          </w:tcPr>
          <w:p w14:paraId="73F66D50">
            <w:pPr>
              <w:autoSpaceDE w:val="0"/>
              <w:autoSpaceDN w:val="0"/>
              <w:spacing w:line="360" w:lineRule="auto"/>
              <w:ind w:firstLine="0" w:firstLineChars="0"/>
              <w:jc w:val="center"/>
              <w:rPr>
                <w:rFonts w:ascii="宋体" w:hAnsi="宋体" w:cs="宋体"/>
                <w:sz w:val="24"/>
                <w:szCs w:val="24"/>
                <w:lang w:val="zh-CN"/>
              </w:rPr>
            </w:pPr>
          </w:p>
        </w:tc>
        <w:tc>
          <w:tcPr>
            <w:tcW w:w="1087" w:type="dxa"/>
            <w:tcBorders>
              <w:top w:val="single" w:color="000000" w:sz="6" w:space="0"/>
              <w:left w:val="single" w:color="000000" w:sz="6" w:space="0"/>
              <w:bottom w:val="single" w:color="000000" w:sz="6" w:space="0"/>
              <w:right w:val="single" w:color="000000" w:sz="6" w:space="0"/>
            </w:tcBorders>
            <w:noWrap w:val="0"/>
            <w:vAlign w:val="center"/>
          </w:tcPr>
          <w:p w14:paraId="505C69A5">
            <w:pPr>
              <w:autoSpaceDE w:val="0"/>
              <w:autoSpaceDN w:val="0"/>
              <w:spacing w:line="360" w:lineRule="auto"/>
              <w:ind w:firstLine="0" w:firstLineChars="0"/>
              <w:jc w:val="center"/>
              <w:rPr>
                <w:rFonts w:ascii="宋体" w:hAnsi="宋体" w:cs="宋体"/>
                <w:sz w:val="24"/>
                <w:szCs w:val="24"/>
                <w:lang w:val="zh-CN"/>
              </w:rPr>
            </w:pPr>
          </w:p>
        </w:tc>
        <w:tc>
          <w:tcPr>
            <w:tcW w:w="2200" w:type="dxa"/>
            <w:tcBorders>
              <w:top w:val="single" w:color="000000" w:sz="6" w:space="0"/>
              <w:left w:val="single" w:color="000000" w:sz="6" w:space="0"/>
              <w:bottom w:val="single" w:color="000000" w:sz="6" w:space="0"/>
              <w:right w:val="single" w:color="000000" w:sz="6" w:space="0"/>
            </w:tcBorders>
            <w:noWrap w:val="0"/>
            <w:vAlign w:val="center"/>
          </w:tcPr>
          <w:p w14:paraId="45A2E8AF">
            <w:pPr>
              <w:autoSpaceDE w:val="0"/>
              <w:autoSpaceDN w:val="0"/>
              <w:spacing w:line="360" w:lineRule="auto"/>
              <w:ind w:firstLine="0" w:firstLineChars="0"/>
              <w:jc w:val="center"/>
              <w:rPr>
                <w:rFonts w:ascii="宋体" w:hAnsi="宋体" w:cs="宋体"/>
                <w:sz w:val="24"/>
                <w:szCs w:val="24"/>
                <w:lang w:val="zh-CN"/>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4B6DA881">
            <w:pPr>
              <w:autoSpaceDE w:val="0"/>
              <w:autoSpaceDN w:val="0"/>
              <w:spacing w:line="360" w:lineRule="auto"/>
              <w:ind w:firstLine="0" w:firstLineChars="0"/>
              <w:jc w:val="center"/>
              <w:rPr>
                <w:rFonts w:ascii="宋体" w:hAnsi="宋体" w:cs="宋体"/>
                <w:sz w:val="24"/>
                <w:szCs w:val="24"/>
                <w:lang w:val="zh-CN"/>
              </w:rPr>
            </w:pPr>
          </w:p>
        </w:tc>
        <w:tc>
          <w:tcPr>
            <w:tcW w:w="844" w:type="dxa"/>
            <w:tcBorders>
              <w:top w:val="single" w:color="000000" w:sz="6" w:space="0"/>
              <w:left w:val="single" w:color="000000" w:sz="6" w:space="0"/>
              <w:bottom w:val="single" w:color="000000" w:sz="6" w:space="0"/>
              <w:right w:val="single" w:color="000000" w:sz="6" w:space="0"/>
            </w:tcBorders>
            <w:noWrap w:val="0"/>
            <w:vAlign w:val="center"/>
          </w:tcPr>
          <w:p w14:paraId="3026F534">
            <w:pPr>
              <w:autoSpaceDE w:val="0"/>
              <w:autoSpaceDN w:val="0"/>
              <w:spacing w:line="360" w:lineRule="auto"/>
              <w:ind w:firstLine="0" w:firstLineChars="0"/>
              <w:jc w:val="center"/>
              <w:rPr>
                <w:rFonts w:ascii="宋体" w:hAnsi="宋体" w:cs="宋体"/>
                <w:sz w:val="24"/>
                <w:szCs w:val="24"/>
                <w:lang w:val="zh-CN"/>
              </w:rPr>
            </w:pPr>
          </w:p>
        </w:tc>
      </w:tr>
      <w:tr w14:paraId="474E36BC">
        <w:tblPrEx>
          <w:tblCellMar>
            <w:top w:w="0" w:type="dxa"/>
            <w:left w:w="28" w:type="dxa"/>
            <w:bottom w:w="0" w:type="dxa"/>
            <w:right w:w="28" w:type="dxa"/>
          </w:tblCellMar>
        </w:tblPrEx>
        <w:trPr>
          <w:trHeight w:val="451" w:hRule="atLeast"/>
          <w:jc w:val="center"/>
        </w:trPr>
        <w:tc>
          <w:tcPr>
            <w:tcW w:w="572" w:type="dxa"/>
            <w:tcBorders>
              <w:top w:val="single" w:color="000000" w:sz="6" w:space="0"/>
              <w:left w:val="single" w:color="000000" w:sz="6" w:space="0"/>
              <w:bottom w:val="single" w:color="000000" w:sz="6" w:space="0"/>
              <w:right w:val="single" w:color="000000" w:sz="6" w:space="0"/>
            </w:tcBorders>
            <w:noWrap w:val="0"/>
            <w:vAlign w:val="center"/>
          </w:tcPr>
          <w:p w14:paraId="47E5B6FA">
            <w:pPr>
              <w:autoSpaceDE w:val="0"/>
              <w:autoSpaceDN w:val="0"/>
              <w:spacing w:line="360" w:lineRule="auto"/>
              <w:ind w:firstLine="0" w:firstLineChars="0"/>
              <w:jc w:val="center"/>
              <w:rPr>
                <w:rFonts w:ascii="宋体" w:hAnsi="宋体" w:cs="宋体"/>
                <w:sz w:val="24"/>
                <w:szCs w:val="24"/>
                <w:lang w:val="zh-CN"/>
              </w:rPr>
            </w:pPr>
            <w:r>
              <w:rPr>
                <w:rFonts w:hint="eastAsia" w:ascii="宋体" w:hAnsi="宋体" w:cs="宋体"/>
                <w:sz w:val="24"/>
                <w:szCs w:val="24"/>
                <w:lang w:val="zh-CN"/>
              </w:rPr>
              <w:t>2</w:t>
            </w:r>
          </w:p>
        </w:tc>
        <w:tc>
          <w:tcPr>
            <w:tcW w:w="859" w:type="dxa"/>
            <w:tcBorders>
              <w:top w:val="single" w:color="000000" w:sz="6" w:space="0"/>
              <w:left w:val="single" w:color="000000" w:sz="6" w:space="0"/>
              <w:bottom w:val="single" w:color="000000" w:sz="6" w:space="0"/>
              <w:right w:val="single" w:color="000000" w:sz="6" w:space="0"/>
            </w:tcBorders>
            <w:noWrap w:val="0"/>
            <w:vAlign w:val="center"/>
          </w:tcPr>
          <w:p w14:paraId="72E5A5BA">
            <w:pPr>
              <w:autoSpaceDE w:val="0"/>
              <w:autoSpaceDN w:val="0"/>
              <w:spacing w:line="360" w:lineRule="auto"/>
              <w:ind w:firstLine="0" w:firstLineChars="0"/>
              <w:jc w:val="center"/>
              <w:rPr>
                <w:rFonts w:ascii="宋体" w:hAnsi="宋体" w:cs="宋体"/>
                <w:sz w:val="24"/>
                <w:szCs w:val="24"/>
                <w:lang w:val="zh-CN"/>
              </w:rPr>
            </w:pPr>
          </w:p>
        </w:tc>
        <w:tc>
          <w:tcPr>
            <w:tcW w:w="2320" w:type="dxa"/>
            <w:tcBorders>
              <w:top w:val="single" w:color="000000" w:sz="6" w:space="0"/>
              <w:left w:val="single" w:color="000000" w:sz="6" w:space="0"/>
              <w:bottom w:val="single" w:color="000000" w:sz="6" w:space="0"/>
              <w:right w:val="single" w:color="000000" w:sz="6" w:space="0"/>
            </w:tcBorders>
            <w:noWrap w:val="0"/>
            <w:vAlign w:val="center"/>
          </w:tcPr>
          <w:p w14:paraId="71635333">
            <w:pPr>
              <w:autoSpaceDE w:val="0"/>
              <w:autoSpaceDN w:val="0"/>
              <w:spacing w:line="360" w:lineRule="auto"/>
              <w:ind w:firstLine="0" w:firstLineChars="0"/>
              <w:jc w:val="center"/>
              <w:rPr>
                <w:rFonts w:ascii="宋体" w:hAnsi="宋体" w:cs="宋体"/>
                <w:sz w:val="24"/>
                <w:szCs w:val="24"/>
                <w:lang w:val="zh-CN"/>
              </w:rPr>
            </w:pPr>
          </w:p>
        </w:tc>
        <w:tc>
          <w:tcPr>
            <w:tcW w:w="934" w:type="dxa"/>
            <w:tcBorders>
              <w:top w:val="single" w:color="000000" w:sz="6" w:space="0"/>
              <w:left w:val="single" w:color="000000" w:sz="6" w:space="0"/>
              <w:bottom w:val="single" w:color="000000" w:sz="6" w:space="0"/>
              <w:right w:val="single" w:color="000000" w:sz="6" w:space="0"/>
            </w:tcBorders>
            <w:noWrap w:val="0"/>
            <w:vAlign w:val="center"/>
          </w:tcPr>
          <w:p w14:paraId="64129851">
            <w:pPr>
              <w:autoSpaceDE w:val="0"/>
              <w:autoSpaceDN w:val="0"/>
              <w:spacing w:line="360" w:lineRule="auto"/>
              <w:ind w:firstLine="0" w:firstLineChars="0"/>
              <w:jc w:val="center"/>
              <w:rPr>
                <w:rFonts w:ascii="宋体" w:hAnsi="宋体" w:cs="宋体"/>
                <w:sz w:val="24"/>
                <w:szCs w:val="24"/>
                <w:lang w:val="zh-CN"/>
              </w:rPr>
            </w:pPr>
          </w:p>
        </w:tc>
        <w:tc>
          <w:tcPr>
            <w:tcW w:w="1087" w:type="dxa"/>
            <w:tcBorders>
              <w:top w:val="single" w:color="000000" w:sz="6" w:space="0"/>
              <w:left w:val="single" w:color="000000" w:sz="6" w:space="0"/>
              <w:bottom w:val="single" w:color="000000" w:sz="6" w:space="0"/>
              <w:right w:val="single" w:color="000000" w:sz="6" w:space="0"/>
            </w:tcBorders>
            <w:noWrap w:val="0"/>
            <w:vAlign w:val="center"/>
          </w:tcPr>
          <w:p w14:paraId="0AED660E">
            <w:pPr>
              <w:autoSpaceDE w:val="0"/>
              <w:autoSpaceDN w:val="0"/>
              <w:spacing w:line="360" w:lineRule="auto"/>
              <w:ind w:firstLine="0" w:firstLineChars="0"/>
              <w:jc w:val="center"/>
              <w:rPr>
                <w:rFonts w:ascii="宋体" w:hAnsi="宋体" w:cs="宋体"/>
                <w:sz w:val="24"/>
                <w:szCs w:val="24"/>
                <w:lang w:val="zh-CN"/>
              </w:rPr>
            </w:pPr>
          </w:p>
        </w:tc>
        <w:tc>
          <w:tcPr>
            <w:tcW w:w="2200" w:type="dxa"/>
            <w:tcBorders>
              <w:top w:val="single" w:color="000000" w:sz="6" w:space="0"/>
              <w:left w:val="single" w:color="000000" w:sz="6" w:space="0"/>
              <w:bottom w:val="single" w:color="000000" w:sz="6" w:space="0"/>
              <w:right w:val="single" w:color="000000" w:sz="6" w:space="0"/>
            </w:tcBorders>
            <w:noWrap w:val="0"/>
            <w:vAlign w:val="center"/>
          </w:tcPr>
          <w:p w14:paraId="56815388">
            <w:pPr>
              <w:autoSpaceDE w:val="0"/>
              <w:autoSpaceDN w:val="0"/>
              <w:spacing w:line="360" w:lineRule="auto"/>
              <w:ind w:firstLine="0" w:firstLineChars="0"/>
              <w:jc w:val="center"/>
              <w:rPr>
                <w:rFonts w:ascii="宋体" w:hAnsi="宋体" w:cs="宋体"/>
                <w:sz w:val="24"/>
                <w:szCs w:val="24"/>
                <w:lang w:val="zh-CN"/>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03832FA3">
            <w:pPr>
              <w:autoSpaceDE w:val="0"/>
              <w:autoSpaceDN w:val="0"/>
              <w:spacing w:line="360" w:lineRule="auto"/>
              <w:ind w:firstLine="0" w:firstLineChars="0"/>
              <w:jc w:val="center"/>
              <w:rPr>
                <w:rFonts w:ascii="宋体" w:hAnsi="宋体" w:cs="宋体"/>
                <w:sz w:val="24"/>
                <w:szCs w:val="24"/>
                <w:lang w:val="zh-CN"/>
              </w:rPr>
            </w:pPr>
          </w:p>
        </w:tc>
        <w:tc>
          <w:tcPr>
            <w:tcW w:w="844" w:type="dxa"/>
            <w:tcBorders>
              <w:top w:val="single" w:color="000000" w:sz="6" w:space="0"/>
              <w:left w:val="single" w:color="000000" w:sz="6" w:space="0"/>
              <w:bottom w:val="single" w:color="000000" w:sz="6" w:space="0"/>
              <w:right w:val="single" w:color="000000" w:sz="6" w:space="0"/>
            </w:tcBorders>
            <w:noWrap w:val="0"/>
            <w:vAlign w:val="center"/>
          </w:tcPr>
          <w:p w14:paraId="30A043B6">
            <w:pPr>
              <w:autoSpaceDE w:val="0"/>
              <w:autoSpaceDN w:val="0"/>
              <w:spacing w:line="360" w:lineRule="auto"/>
              <w:ind w:firstLine="0" w:firstLineChars="0"/>
              <w:jc w:val="center"/>
              <w:rPr>
                <w:rFonts w:ascii="宋体" w:hAnsi="宋体" w:cs="宋体"/>
                <w:sz w:val="24"/>
                <w:szCs w:val="24"/>
                <w:lang w:val="zh-CN"/>
              </w:rPr>
            </w:pPr>
          </w:p>
        </w:tc>
      </w:tr>
      <w:tr w14:paraId="2BA54BF8">
        <w:tblPrEx>
          <w:tblCellMar>
            <w:top w:w="0" w:type="dxa"/>
            <w:left w:w="28" w:type="dxa"/>
            <w:bottom w:w="0" w:type="dxa"/>
            <w:right w:w="28" w:type="dxa"/>
          </w:tblCellMar>
        </w:tblPrEx>
        <w:trPr>
          <w:trHeight w:val="464" w:hRule="atLeast"/>
          <w:jc w:val="center"/>
        </w:trPr>
        <w:tc>
          <w:tcPr>
            <w:tcW w:w="572" w:type="dxa"/>
            <w:tcBorders>
              <w:top w:val="single" w:color="000000" w:sz="6" w:space="0"/>
              <w:left w:val="single" w:color="000000" w:sz="6" w:space="0"/>
              <w:bottom w:val="single" w:color="000000" w:sz="6" w:space="0"/>
              <w:right w:val="single" w:color="000000" w:sz="6" w:space="0"/>
            </w:tcBorders>
            <w:noWrap w:val="0"/>
            <w:vAlign w:val="center"/>
          </w:tcPr>
          <w:p w14:paraId="1F65A3B9">
            <w:pPr>
              <w:autoSpaceDE w:val="0"/>
              <w:autoSpaceDN w:val="0"/>
              <w:spacing w:line="360" w:lineRule="auto"/>
              <w:ind w:firstLine="0" w:firstLineChars="0"/>
              <w:jc w:val="center"/>
              <w:rPr>
                <w:rFonts w:ascii="宋体" w:hAnsi="宋体" w:cs="宋体"/>
                <w:sz w:val="24"/>
                <w:szCs w:val="24"/>
                <w:lang w:val="zh-CN"/>
              </w:rPr>
            </w:pPr>
            <w:r>
              <w:rPr>
                <w:rFonts w:hint="eastAsia" w:ascii="宋体" w:hAnsi="宋体" w:cs="宋体"/>
                <w:sz w:val="24"/>
                <w:szCs w:val="24"/>
                <w:lang w:val="zh-CN"/>
              </w:rPr>
              <w:t>…</w:t>
            </w:r>
          </w:p>
        </w:tc>
        <w:tc>
          <w:tcPr>
            <w:tcW w:w="859" w:type="dxa"/>
            <w:tcBorders>
              <w:top w:val="single" w:color="000000" w:sz="6" w:space="0"/>
              <w:left w:val="single" w:color="000000" w:sz="6" w:space="0"/>
              <w:bottom w:val="single" w:color="000000" w:sz="6" w:space="0"/>
              <w:right w:val="single" w:color="000000" w:sz="6" w:space="0"/>
            </w:tcBorders>
            <w:noWrap w:val="0"/>
            <w:vAlign w:val="center"/>
          </w:tcPr>
          <w:p w14:paraId="3677ADDF">
            <w:pPr>
              <w:autoSpaceDE w:val="0"/>
              <w:autoSpaceDN w:val="0"/>
              <w:spacing w:line="360" w:lineRule="auto"/>
              <w:ind w:firstLine="0" w:firstLineChars="0"/>
              <w:jc w:val="center"/>
              <w:rPr>
                <w:rFonts w:ascii="宋体" w:hAnsi="宋体" w:cs="宋体"/>
                <w:sz w:val="24"/>
                <w:szCs w:val="24"/>
                <w:lang w:val="zh-CN"/>
              </w:rPr>
            </w:pPr>
          </w:p>
        </w:tc>
        <w:tc>
          <w:tcPr>
            <w:tcW w:w="2320" w:type="dxa"/>
            <w:tcBorders>
              <w:top w:val="single" w:color="000000" w:sz="6" w:space="0"/>
              <w:left w:val="single" w:color="000000" w:sz="6" w:space="0"/>
              <w:bottom w:val="single" w:color="000000" w:sz="6" w:space="0"/>
              <w:right w:val="single" w:color="000000" w:sz="6" w:space="0"/>
            </w:tcBorders>
            <w:noWrap w:val="0"/>
            <w:vAlign w:val="center"/>
          </w:tcPr>
          <w:p w14:paraId="3F581C85">
            <w:pPr>
              <w:autoSpaceDE w:val="0"/>
              <w:autoSpaceDN w:val="0"/>
              <w:spacing w:line="360" w:lineRule="auto"/>
              <w:ind w:firstLine="0" w:firstLineChars="0"/>
              <w:jc w:val="center"/>
              <w:rPr>
                <w:rFonts w:ascii="宋体" w:hAnsi="宋体" w:cs="宋体"/>
                <w:sz w:val="24"/>
                <w:szCs w:val="24"/>
                <w:lang w:val="zh-CN"/>
              </w:rPr>
            </w:pPr>
          </w:p>
        </w:tc>
        <w:tc>
          <w:tcPr>
            <w:tcW w:w="934" w:type="dxa"/>
            <w:tcBorders>
              <w:top w:val="single" w:color="000000" w:sz="6" w:space="0"/>
              <w:left w:val="single" w:color="000000" w:sz="6" w:space="0"/>
              <w:bottom w:val="single" w:color="000000" w:sz="6" w:space="0"/>
              <w:right w:val="single" w:color="000000" w:sz="6" w:space="0"/>
            </w:tcBorders>
            <w:noWrap w:val="0"/>
            <w:vAlign w:val="center"/>
          </w:tcPr>
          <w:p w14:paraId="46CA8FDA">
            <w:pPr>
              <w:autoSpaceDE w:val="0"/>
              <w:autoSpaceDN w:val="0"/>
              <w:spacing w:line="360" w:lineRule="auto"/>
              <w:ind w:firstLine="0" w:firstLineChars="0"/>
              <w:jc w:val="center"/>
              <w:rPr>
                <w:rFonts w:ascii="宋体" w:hAnsi="宋体" w:cs="宋体"/>
                <w:sz w:val="24"/>
                <w:szCs w:val="24"/>
                <w:lang w:val="zh-CN"/>
              </w:rPr>
            </w:pPr>
          </w:p>
        </w:tc>
        <w:tc>
          <w:tcPr>
            <w:tcW w:w="1087" w:type="dxa"/>
            <w:tcBorders>
              <w:top w:val="single" w:color="000000" w:sz="6" w:space="0"/>
              <w:left w:val="single" w:color="000000" w:sz="6" w:space="0"/>
              <w:bottom w:val="single" w:color="000000" w:sz="6" w:space="0"/>
              <w:right w:val="single" w:color="000000" w:sz="6" w:space="0"/>
            </w:tcBorders>
            <w:noWrap w:val="0"/>
            <w:vAlign w:val="center"/>
          </w:tcPr>
          <w:p w14:paraId="16BB7D1E">
            <w:pPr>
              <w:autoSpaceDE w:val="0"/>
              <w:autoSpaceDN w:val="0"/>
              <w:spacing w:line="360" w:lineRule="auto"/>
              <w:ind w:firstLine="0" w:firstLineChars="0"/>
              <w:jc w:val="center"/>
              <w:rPr>
                <w:rFonts w:ascii="宋体" w:hAnsi="宋体" w:cs="宋体"/>
                <w:sz w:val="24"/>
                <w:szCs w:val="24"/>
                <w:lang w:val="zh-CN"/>
              </w:rPr>
            </w:pPr>
          </w:p>
        </w:tc>
        <w:tc>
          <w:tcPr>
            <w:tcW w:w="2200" w:type="dxa"/>
            <w:tcBorders>
              <w:top w:val="single" w:color="000000" w:sz="6" w:space="0"/>
              <w:left w:val="single" w:color="000000" w:sz="6" w:space="0"/>
              <w:bottom w:val="single" w:color="000000" w:sz="6" w:space="0"/>
              <w:right w:val="single" w:color="000000" w:sz="6" w:space="0"/>
            </w:tcBorders>
            <w:noWrap w:val="0"/>
            <w:vAlign w:val="center"/>
          </w:tcPr>
          <w:p w14:paraId="5FC25AA5">
            <w:pPr>
              <w:autoSpaceDE w:val="0"/>
              <w:autoSpaceDN w:val="0"/>
              <w:spacing w:line="360" w:lineRule="auto"/>
              <w:ind w:firstLine="0" w:firstLineChars="0"/>
              <w:jc w:val="center"/>
              <w:rPr>
                <w:rFonts w:ascii="宋体" w:hAnsi="宋体" w:cs="宋体"/>
                <w:sz w:val="24"/>
                <w:szCs w:val="24"/>
                <w:lang w:val="zh-CN"/>
              </w:rPr>
            </w:pPr>
          </w:p>
        </w:tc>
        <w:tc>
          <w:tcPr>
            <w:tcW w:w="1322" w:type="dxa"/>
            <w:tcBorders>
              <w:top w:val="single" w:color="000000" w:sz="6" w:space="0"/>
              <w:left w:val="single" w:color="000000" w:sz="6" w:space="0"/>
              <w:bottom w:val="single" w:color="000000" w:sz="6" w:space="0"/>
              <w:right w:val="single" w:color="000000" w:sz="6" w:space="0"/>
            </w:tcBorders>
            <w:noWrap w:val="0"/>
            <w:vAlign w:val="center"/>
          </w:tcPr>
          <w:p w14:paraId="689335FE">
            <w:pPr>
              <w:autoSpaceDE w:val="0"/>
              <w:autoSpaceDN w:val="0"/>
              <w:spacing w:line="360" w:lineRule="auto"/>
              <w:ind w:firstLine="0" w:firstLineChars="0"/>
              <w:jc w:val="center"/>
              <w:rPr>
                <w:rFonts w:ascii="宋体" w:hAnsi="宋体" w:cs="宋体"/>
                <w:sz w:val="24"/>
                <w:szCs w:val="24"/>
                <w:lang w:val="zh-CN"/>
              </w:rPr>
            </w:pPr>
          </w:p>
        </w:tc>
        <w:tc>
          <w:tcPr>
            <w:tcW w:w="844" w:type="dxa"/>
            <w:tcBorders>
              <w:top w:val="single" w:color="000000" w:sz="6" w:space="0"/>
              <w:left w:val="single" w:color="000000" w:sz="6" w:space="0"/>
              <w:bottom w:val="single" w:color="000000" w:sz="6" w:space="0"/>
              <w:right w:val="single" w:color="000000" w:sz="6" w:space="0"/>
            </w:tcBorders>
            <w:noWrap w:val="0"/>
            <w:vAlign w:val="center"/>
          </w:tcPr>
          <w:p w14:paraId="4292BB20">
            <w:pPr>
              <w:autoSpaceDE w:val="0"/>
              <w:autoSpaceDN w:val="0"/>
              <w:spacing w:line="360" w:lineRule="auto"/>
              <w:ind w:firstLine="0" w:firstLineChars="0"/>
              <w:jc w:val="center"/>
              <w:rPr>
                <w:rFonts w:ascii="宋体" w:hAnsi="宋体" w:cs="宋体"/>
                <w:sz w:val="24"/>
                <w:szCs w:val="24"/>
                <w:lang w:val="zh-CN"/>
              </w:rPr>
            </w:pPr>
          </w:p>
        </w:tc>
      </w:tr>
    </w:tbl>
    <w:p w14:paraId="4390DC42">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注：1.本表应按照采购分项报价表中“产品名称”及采购一览表中产品序号的指标逐项填写，不得遗漏，否则，按无效投标处理。</w:t>
      </w:r>
    </w:p>
    <w:p w14:paraId="738D3A69">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投标产品技术参数、指标”必须与投标文件中提供的产品检测报告（测试报告）、生产厂家出具的产品彩页等证明材料的实质性响应情况相一致。若在评标环节发现该项与投标文件中提供的产品检测报告（测试报告）、生产厂家出具的产品彩页（生产厂家公开发布的资料参数）等证明材料的实质性响应情况不一致或直接复制招标文件“采购需求技术参数、指标”内容的，按无效投标处理。</w:t>
      </w:r>
    </w:p>
    <w:p w14:paraId="666738ED">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3.填写此表时以招标项目参数要求为基本投标要求，满足招标项目参数要求的指标需在“偏离”中列出“0”；超出、不满足招标项目参数要求的指标需在“偏离”中列出“+”、“-”偏差，并做出详细说明；如果只注明“+”、“-”或未填写，将视为该项指标不响应。</w:t>
      </w:r>
    </w:p>
    <w:p w14:paraId="1B0B5747">
      <w:pPr>
        <w:keepNext w:val="0"/>
        <w:keepLines w:val="0"/>
        <w:pageBreakBefore w:val="0"/>
        <w:widowControl w:val="0"/>
        <w:kinsoku/>
        <w:wordWrap/>
        <w:overflowPunct/>
        <w:topLinePunct w:val="0"/>
        <w:bidi w:val="0"/>
        <w:adjustRightInd w:val="0"/>
        <w:snapToGrid/>
        <w:spacing w:after="240" w:line="360" w:lineRule="auto"/>
        <w:ind w:firstLine="482" w:firstLineChars="200"/>
        <w:textAlignment w:val="auto"/>
        <w:rPr>
          <w:rStyle w:val="29"/>
          <w:rFonts w:hint="eastAsia" w:ascii="宋体" w:hAnsi="宋体" w:eastAsia="宋体" w:cs="宋体"/>
          <w:color w:val="000000"/>
          <w:sz w:val="24"/>
          <w:szCs w:val="24"/>
          <w:lang w:val="zh-CN"/>
        </w:rPr>
      </w:pPr>
    </w:p>
    <w:p w14:paraId="27D38DE3">
      <w:pPr>
        <w:rPr>
          <w:rStyle w:val="29"/>
          <w:rFonts w:hint="eastAsia" w:ascii="宋体" w:hAnsi="宋体" w:cs="宋体"/>
          <w:color w:val="000000"/>
          <w:sz w:val="30"/>
          <w:szCs w:val="30"/>
          <w:lang w:val="zh-CN"/>
        </w:rPr>
      </w:pPr>
    </w:p>
    <w:p w14:paraId="17525A0B">
      <w:pPr>
        <w:autoSpaceDE w:val="0"/>
        <w:autoSpaceDN w:val="0"/>
        <w:adjustRightInd w:val="0"/>
        <w:spacing w:line="400" w:lineRule="exact"/>
        <w:ind w:firstLine="4453" w:firstLineChars="1848"/>
        <w:jc w:val="right"/>
        <w:rPr>
          <w:rFonts w:ascii="宋体" w:hAnsi="Cambria" w:cs="宋体"/>
          <w:b/>
          <w:bCs/>
          <w:kern w:val="0"/>
          <w:sz w:val="24"/>
          <w:lang w:val="zh-CN"/>
        </w:rPr>
      </w:pPr>
      <w:r>
        <w:rPr>
          <w:rFonts w:hint="eastAsia" w:ascii="宋体" w:hAnsi="Cambria" w:cs="宋体"/>
          <w:b/>
          <w:bCs/>
          <w:kern w:val="0"/>
          <w:sz w:val="24"/>
          <w:lang w:val="zh-CN"/>
        </w:rPr>
        <w:t>供应商：</w:t>
      </w:r>
      <w:r>
        <w:rPr>
          <w:rFonts w:ascii="宋体" w:hAnsi="Cambria" w:cs="宋体"/>
          <w:b/>
          <w:bCs/>
          <w:kern w:val="0"/>
          <w:sz w:val="24"/>
          <w:u w:val="single"/>
          <w:lang w:val="zh-CN"/>
        </w:rPr>
        <w:t xml:space="preserve">             </w:t>
      </w:r>
      <w:r>
        <w:rPr>
          <w:rFonts w:hint="eastAsia" w:ascii="宋体" w:hAnsi="Cambria" w:cs="宋体"/>
          <w:b/>
          <w:bCs/>
          <w:kern w:val="0"/>
          <w:sz w:val="24"/>
          <w:lang w:val="zh-CN"/>
        </w:rPr>
        <w:t>（公章）</w:t>
      </w:r>
    </w:p>
    <w:p w14:paraId="73565D1F">
      <w:pPr>
        <w:autoSpaceDE w:val="0"/>
        <w:autoSpaceDN w:val="0"/>
        <w:adjustRightInd w:val="0"/>
        <w:spacing w:line="400" w:lineRule="exact"/>
        <w:jc w:val="right"/>
        <w:rPr>
          <w:rFonts w:ascii="宋体" w:hAnsi="Cambria" w:cs="宋体"/>
          <w:b/>
          <w:bCs/>
          <w:kern w:val="0"/>
          <w:sz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法定代表人或委托代理人：</w:t>
      </w:r>
      <w:r>
        <w:rPr>
          <w:rFonts w:ascii="宋体" w:hAnsi="Cambria" w:cs="宋体"/>
          <w:b/>
          <w:bCs/>
          <w:kern w:val="0"/>
          <w:sz w:val="24"/>
          <w:u w:val="single"/>
          <w:lang w:val="zh-CN"/>
        </w:rPr>
        <w:t xml:space="preserve">       </w:t>
      </w:r>
      <w:r>
        <w:rPr>
          <w:rFonts w:hint="eastAsia" w:ascii="宋体" w:hAnsi="Cambria" w:cs="宋体"/>
          <w:b/>
          <w:bCs/>
          <w:kern w:val="0"/>
          <w:sz w:val="24"/>
          <w:u w:val="single"/>
          <w:lang w:val="zh-CN"/>
        </w:rPr>
        <w:t xml:space="preserve">      </w:t>
      </w:r>
      <w:r>
        <w:rPr>
          <w:rFonts w:hint="eastAsia" w:ascii="宋体" w:hAnsi="Cambria" w:cs="宋体"/>
          <w:b/>
          <w:bCs/>
          <w:kern w:val="0"/>
          <w:sz w:val="24"/>
          <w:lang w:val="zh-CN"/>
        </w:rPr>
        <w:t>（签字或盖章）</w:t>
      </w:r>
    </w:p>
    <w:p w14:paraId="5227D6DB">
      <w:pPr>
        <w:keepNext w:val="0"/>
        <w:keepLines w:val="0"/>
        <w:pageBreakBefore w:val="0"/>
        <w:kinsoku/>
        <w:overflowPunct/>
        <w:topLinePunct w:val="0"/>
        <w:bidi w:val="0"/>
        <w:spacing w:after="240" w:line="360" w:lineRule="auto"/>
        <w:ind w:firstLine="482" w:firstLineChars="200"/>
        <w:rPr>
          <w:rStyle w:val="29"/>
          <w:rFonts w:hint="eastAsia" w:ascii="宋体" w:hAnsi="宋体" w:eastAsia="宋体" w:cs="宋体"/>
          <w:color w:val="000000"/>
          <w:sz w:val="24"/>
          <w:szCs w:val="24"/>
          <w:lang w:val="zh-CN"/>
        </w:rPr>
      </w:pPr>
      <w:r>
        <w:rPr>
          <w:rFonts w:ascii="宋体" w:hAnsi="Cambria" w:cs="宋体"/>
          <w:b/>
          <w:bCs/>
          <w:kern w:val="0"/>
          <w:sz w:val="24"/>
          <w:lang w:val="zh-CN"/>
        </w:rPr>
        <w:t xml:space="preserve">                                         </w:t>
      </w:r>
      <w:r>
        <w:rPr>
          <w:rFonts w:hint="eastAsia" w:ascii="宋体" w:hAnsi="Cambria" w:cs="宋体"/>
          <w:b/>
          <w:bCs/>
          <w:kern w:val="0"/>
          <w:sz w:val="24"/>
          <w:lang w:val="zh-CN"/>
        </w:rPr>
        <w:t>年</w:t>
      </w:r>
      <w:r>
        <w:rPr>
          <w:rFonts w:ascii="宋体" w:hAnsi="Cambria" w:cs="宋体"/>
          <w:b/>
          <w:bCs/>
          <w:kern w:val="0"/>
          <w:sz w:val="24"/>
          <w:lang w:val="zh-CN"/>
        </w:rPr>
        <w:t xml:space="preserve">   </w:t>
      </w:r>
      <w:r>
        <w:rPr>
          <w:rFonts w:hint="eastAsia" w:ascii="宋体" w:hAnsi="Cambria" w:cs="宋体"/>
          <w:b/>
          <w:bCs/>
          <w:kern w:val="0"/>
          <w:sz w:val="24"/>
          <w:lang w:val="zh-CN"/>
        </w:rPr>
        <w:t>月</w:t>
      </w:r>
      <w:r>
        <w:rPr>
          <w:rFonts w:ascii="宋体" w:hAnsi="Cambria" w:cs="宋体"/>
          <w:b/>
          <w:bCs/>
          <w:kern w:val="0"/>
          <w:sz w:val="24"/>
          <w:lang w:val="zh-CN"/>
        </w:rPr>
        <w:t xml:space="preserve">   </w:t>
      </w:r>
      <w:r>
        <w:rPr>
          <w:rFonts w:hint="eastAsia" w:ascii="宋体" w:hAnsi="Cambria" w:cs="宋体"/>
          <w:b/>
          <w:bCs/>
          <w:kern w:val="0"/>
          <w:sz w:val="24"/>
          <w:lang w:val="zh-CN"/>
        </w:rPr>
        <w:t>日</w:t>
      </w:r>
    </w:p>
    <w:p w14:paraId="7AABE32B">
      <w:pPr>
        <w:keepNext w:val="0"/>
        <w:keepLines w:val="0"/>
        <w:pageBreakBefore w:val="0"/>
        <w:kinsoku/>
        <w:overflowPunct/>
        <w:topLinePunct w:val="0"/>
        <w:bidi w:val="0"/>
        <w:spacing w:after="240" w:line="360" w:lineRule="auto"/>
        <w:ind w:firstLine="482" w:firstLineChars="200"/>
        <w:rPr>
          <w:rStyle w:val="29"/>
          <w:rFonts w:hint="eastAsia" w:ascii="宋体" w:hAnsi="宋体" w:eastAsia="宋体" w:cs="宋体"/>
          <w:color w:val="000000"/>
          <w:sz w:val="24"/>
          <w:szCs w:val="24"/>
          <w:lang w:val="zh-CN"/>
        </w:rPr>
      </w:pPr>
    </w:p>
    <w:p w14:paraId="3D74EB2B">
      <w:pPr>
        <w:pStyle w:val="20"/>
        <w:keepNext w:val="0"/>
        <w:keepLines w:val="0"/>
        <w:pageBreakBefore w:val="0"/>
        <w:kinsoku/>
        <w:overflowPunct/>
        <w:topLinePunct w:val="0"/>
        <w:bidi w:val="0"/>
        <w:spacing w:after="240" w:line="360" w:lineRule="auto"/>
        <w:jc w:val="left"/>
        <w:rPr>
          <w:rFonts w:hint="eastAsia" w:ascii="宋体" w:hAnsi="宋体" w:eastAsia="宋体" w:cs="宋体"/>
          <w:sz w:val="24"/>
          <w:szCs w:val="24"/>
          <w:lang w:val="zh-CN" w:eastAsia="zh-CN"/>
        </w:rPr>
      </w:pPr>
      <w:bookmarkStart w:id="198" w:name="_Toc29240"/>
      <w:bookmarkStart w:id="199" w:name="_Toc4937"/>
      <w:bookmarkStart w:id="200" w:name="_Toc10094"/>
      <w:bookmarkStart w:id="201" w:name="_Toc428180585"/>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17</w:t>
      </w:r>
      <w:r>
        <w:rPr>
          <w:rFonts w:hint="eastAsia" w:ascii="宋体" w:hAnsi="宋体" w:eastAsia="宋体" w:cs="宋体"/>
          <w:sz w:val="24"/>
          <w:szCs w:val="24"/>
          <w:lang w:val="zh-CN" w:eastAsia="zh-CN"/>
        </w:rPr>
        <w:t>）其他资格证明材料</w:t>
      </w:r>
      <w:bookmarkEnd w:id="198"/>
      <w:bookmarkEnd w:id="199"/>
      <w:bookmarkEnd w:id="200"/>
      <w:bookmarkEnd w:id="201"/>
    </w:p>
    <w:p w14:paraId="3C917902">
      <w:pPr>
        <w:rPr>
          <w:lang w:val="zh-CN"/>
        </w:rPr>
      </w:pPr>
    </w:p>
    <w:p w14:paraId="600A8FC2">
      <w:pPr>
        <w:autoSpaceDE w:val="0"/>
        <w:autoSpaceDN w:val="0"/>
        <w:adjustRightInd w:val="0"/>
        <w:spacing w:line="40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其他资格证明材料</w:t>
      </w:r>
    </w:p>
    <w:p w14:paraId="3C8BD1CC">
      <w:pPr>
        <w:autoSpaceDE w:val="0"/>
        <w:autoSpaceDN w:val="0"/>
        <w:adjustRightInd w:val="0"/>
        <w:spacing w:line="40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 xml:space="preserve"> </w:t>
      </w:r>
    </w:p>
    <w:p w14:paraId="4B58A324">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zh-CN"/>
        </w:rPr>
        <w:t>根据采购项目内容，响应时按磋商文件要求提供响应产品的相关认证、合格证等材料，生产厂家的相关资质、相关认证和供应商认为有必要提供的其他资格证明文件等材料。</w:t>
      </w:r>
    </w:p>
    <w:p w14:paraId="413F6CCC">
      <w:pPr>
        <w:autoSpaceDE w:val="0"/>
        <w:autoSpaceDN w:val="0"/>
        <w:adjustRightInd w:val="0"/>
        <w:spacing w:line="360" w:lineRule="auto"/>
        <w:ind w:firstLine="1134"/>
        <w:rPr>
          <w:rFonts w:hint="eastAsia" w:ascii="宋体" w:hAnsi="Cambria" w:cs="宋体"/>
          <w:kern w:val="0"/>
          <w:sz w:val="24"/>
          <w:lang w:val="zh-CN"/>
        </w:rPr>
      </w:pPr>
    </w:p>
    <w:p w14:paraId="2997352F">
      <w:pPr>
        <w:autoSpaceDE w:val="0"/>
        <w:autoSpaceDN w:val="0"/>
        <w:adjustRightInd w:val="0"/>
        <w:spacing w:line="400" w:lineRule="exact"/>
        <w:jc w:val="left"/>
        <w:rPr>
          <w:rFonts w:ascii="宋体" w:hAnsi="Cambria" w:cs="宋体"/>
          <w:kern w:val="0"/>
          <w:sz w:val="24"/>
          <w:lang w:val="zh-CN"/>
        </w:rPr>
      </w:pPr>
    </w:p>
    <w:p w14:paraId="1CE2A493">
      <w:pPr>
        <w:autoSpaceDE w:val="0"/>
        <w:autoSpaceDN w:val="0"/>
        <w:adjustRightInd w:val="0"/>
        <w:spacing w:line="400" w:lineRule="exact"/>
        <w:jc w:val="left"/>
        <w:rPr>
          <w:rFonts w:ascii="宋体" w:hAnsi="Cambria" w:cs="宋体"/>
          <w:kern w:val="0"/>
          <w:sz w:val="24"/>
          <w:lang w:val="zh-CN"/>
        </w:rPr>
      </w:pPr>
    </w:p>
    <w:p w14:paraId="75400631">
      <w:pPr>
        <w:autoSpaceDE w:val="0"/>
        <w:autoSpaceDN w:val="0"/>
        <w:adjustRightInd w:val="0"/>
        <w:spacing w:line="400" w:lineRule="exact"/>
        <w:jc w:val="left"/>
        <w:rPr>
          <w:rFonts w:ascii="宋体" w:hAnsi="Cambria" w:cs="宋体"/>
          <w:kern w:val="0"/>
          <w:sz w:val="24"/>
          <w:lang w:val="zh-CN"/>
        </w:rPr>
      </w:pPr>
    </w:p>
    <w:p w14:paraId="1C9E14AE">
      <w:pPr>
        <w:autoSpaceDE w:val="0"/>
        <w:autoSpaceDN w:val="0"/>
        <w:adjustRightInd w:val="0"/>
        <w:spacing w:line="400" w:lineRule="exact"/>
        <w:jc w:val="left"/>
        <w:rPr>
          <w:rFonts w:ascii="宋体" w:hAnsi="Cambria" w:cs="宋体"/>
          <w:kern w:val="0"/>
          <w:sz w:val="24"/>
          <w:lang w:val="zh-CN"/>
        </w:rPr>
      </w:pPr>
    </w:p>
    <w:p w14:paraId="36DED9A1">
      <w:pPr>
        <w:autoSpaceDE w:val="0"/>
        <w:autoSpaceDN w:val="0"/>
        <w:adjustRightInd w:val="0"/>
        <w:spacing w:line="400" w:lineRule="exact"/>
        <w:jc w:val="left"/>
        <w:rPr>
          <w:rFonts w:ascii="宋体" w:hAnsi="Cambria" w:cs="宋体"/>
          <w:kern w:val="0"/>
          <w:sz w:val="24"/>
          <w:lang w:val="zh-CN"/>
        </w:rPr>
      </w:pPr>
    </w:p>
    <w:p w14:paraId="15563869">
      <w:pPr>
        <w:autoSpaceDE w:val="0"/>
        <w:autoSpaceDN w:val="0"/>
        <w:adjustRightInd w:val="0"/>
        <w:spacing w:line="400" w:lineRule="exact"/>
        <w:jc w:val="left"/>
        <w:rPr>
          <w:rFonts w:hint="eastAsia" w:ascii="宋体" w:hAnsi="Cambria" w:eastAsia="宋体" w:cs="宋体"/>
          <w:kern w:val="0"/>
          <w:sz w:val="24"/>
          <w:lang w:val="en-US" w:eastAsia="zh-CN"/>
        </w:rPr>
      </w:pPr>
    </w:p>
    <w:p w14:paraId="5A6502CE">
      <w:pPr>
        <w:autoSpaceDE w:val="0"/>
        <w:autoSpaceDN w:val="0"/>
        <w:adjustRightInd w:val="0"/>
        <w:spacing w:line="400" w:lineRule="exact"/>
        <w:jc w:val="left"/>
        <w:rPr>
          <w:rFonts w:ascii="宋体" w:hAnsi="Cambria" w:cs="宋体"/>
          <w:kern w:val="0"/>
          <w:sz w:val="24"/>
          <w:lang w:val="zh-CN"/>
        </w:rPr>
      </w:pPr>
    </w:p>
    <w:p w14:paraId="0C0048A3">
      <w:pPr>
        <w:autoSpaceDE w:val="0"/>
        <w:autoSpaceDN w:val="0"/>
        <w:adjustRightInd w:val="0"/>
        <w:spacing w:line="400" w:lineRule="exact"/>
        <w:jc w:val="left"/>
        <w:rPr>
          <w:rFonts w:ascii="宋体" w:hAnsi="Cambria" w:cs="宋体"/>
          <w:kern w:val="0"/>
          <w:sz w:val="24"/>
          <w:lang w:val="zh-CN"/>
        </w:rPr>
      </w:pPr>
    </w:p>
    <w:p w14:paraId="7200D809">
      <w:pPr>
        <w:autoSpaceDE w:val="0"/>
        <w:autoSpaceDN w:val="0"/>
        <w:adjustRightInd w:val="0"/>
        <w:spacing w:line="400" w:lineRule="exact"/>
        <w:jc w:val="left"/>
        <w:rPr>
          <w:rFonts w:ascii="宋体" w:hAnsi="Cambria" w:cs="宋体"/>
          <w:kern w:val="0"/>
          <w:sz w:val="24"/>
          <w:lang w:val="zh-CN"/>
        </w:rPr>
      </w:pPr>
    </w:p>
    <w:p w14:paraId="484A4A91">
      <w:pPr>
        <w:autoSpaceDE w:val="0"/>
        <w:autoSpaceDN w:val="0"/>
        <w:adjustRightInd w:val="0"/>
        <w:spacing w:line="400" w:lineRule="exact"/>
        <w:jc w:val="left"/>
        <w:rPr>
          <w:rFonts w:ascii="宋体" w:hAnsi="Cambria" w:cs="宋体"/>
          <w:kern w:val="0"/>
          <w:sz w:val="24"/>
          <w:lang w:val="zh-CN"/>
        </w:rPr>
      </w:pPr>
    </w:p>
    <w:p w14:paraId="07423A92">
      <w:pPr>
        <w:autoSpaceDE w:val="0"/>
        <w:autoSpaceDN w:val="0"/>
        <w:adjustRightInd w:val="0"/>
        <w:spacing w:line="400" w:lineRule="exact"/>
        <w:jc w:val="left"/>
        <w:rPr>
          <w:rFonts w:ascii="宋体" w:hAnsi="Cambria" w:cs="宋体"/>
          <w:kern w:val="0"/>
          <w:sz w:val="24"/>
          <w:lang w:val="zh-CN"/>
        </w:rPr>
      </w:pPr>
    </w:p>
    <w:p w14:paraId="50072031">
      <w:pPr>
        <w:autoSpaceDE w:val="0"/>
        <w:autoSpaceDN w:val="0"/>
        <w:adjustRightInd w:val="0"/>
        <w:spacing w:line="400" w:lineRule="exact"/>
        <w:jc w:val="left"/>
        <w:rPr>
          <w:rFonts w:ascii="宋体" w:hAnsi="Cambria" w:cs="宋体"/>
          <w:kern w:val="0"/>
          <w:sz w:val="24"/>
          <w:lang w:val="zh-CN"/>
        </w:rPr>
      </w:pPr>
    </w:p>
    <w:p w14:paraId="7DEFC140">
      <w:pPr>
        <w:autoSpaceDE w:val="0"/>
        <w:autoSpaceDN w:val="0"/>
        <w:adjustRightInd w:val="0"/>
        <w:spacing w:line="400" w:lineRule="exact"/>
        <w:jc w:val="left"/>
        <w:rPr>
          <w:rFonts w:ascii="宋体" w:hAnsi="Cambria" w:cs="宋体"/>
          <w:kern w:val="0"/>
          <w:sz w:val="24"/>
          <w:lang w:val="zh-CN"/>
        </w:rPr>
      </w:pPr>
    </w:p>
    <w:p w14:paraId="4DBF3F86">
      <w:pPr>
        <w:autoSpaceDE w:val="0"/>
        <w:autoSpaceDN w:val="0"/>
        <w:adjustRightInd w:val="0"/>
        <w:spacing w:line="400" w:lineRule="exact"/>
        <w:jc w:val="left"/>
        <w:rPr>
          <w:rFonts w:ascii="宋体" w:hAnsi="Cambria" w:cs="宋体"/>
          <w:kern w:val="0"/>
          <w:sz w:val="24"/>
          <w:lang w:val="zh-CN"/>
        </w:rPr>
      </w:pPr>
    </w:p>
    <w:p w14:paraId="62B5F230">
      <w:pPr>
        <w:autoSpaceDE w:val="0"/>
        <w:autoSpaceDN w:val="0"/>
        <w:adjustRightInd w:val="0"/>
        <w:spacing w:line="400" w:lineRule="exact"/>
        <w:jc w:val="left"/>
        <w:rPr>
          <w:rFonts w:ascii="宋体" w:hAnsi="Cambria" w:cs="宋体"/>
          <w:kern w:val="0"/>
          <w:sz w:val="24"/>
          <w:lang w:val="zh-CN"/>
        </w:rPr>
      </w:pPr>
    </w:p>
    <w:p w14:paraId="44141E22">
      <w:pPr>
        <w:autoSpaceDE w:val="0"/>
        <w:autoSpaceDN w:val="0"/>
        <w:adjustRightInd w:val="0"/>
        <w:spacing w:line="400" w:lineRule="exact"/>
        <w:jc w:val="left"/>
        <w:rPr>
          <w:rFonts w:ascii="宋体" w:hAnsi="Cambria" w:cs="宋体"/>
          <w:kern w:val="0"/>
          <w:sz w:val="24"/>
          <w:lang w:val="zh-CN"/>
        </w:rPr>
      </w:pPr>
    </w:p>
    <w:p w14:paraId="4B335762">
      <w:pPr>
        <w:autoSpaceDE w:val="0"/>
        <w:autoSpaceDN w:val="0"/>
        <w:adjustRightInd w:val="0"/>
        <w:spacing w:line="400" w:lineRule="exact"/>
        <w:jc w:val="left"/>
        <w:rPr>
          <w:rFonts w:ascii="宋体" w:hAnsi="Cambria" w:cs="宋体"/>
          <w:kern w:val="0"/>
          <w:sz w:val="24"/>
          <w:lang w:val="zh-CN"/>
        </w:rPr>
      </w:pPr>
    </w:p>
    <w:p w14:paraId="3ECDD1FD">
      <w:pPr>
        <w:autoSpaceDE w:val="0"/>
        <w:autoSpaceDN w:val="0"/>
        <w:adjustRightInd w:val="0"/>
        <w:spacing w:line="400" w:lineRule="exact"/>
        <w:jc w:val="left"/>
        <w:rPr>
          <w:rFonts w:ascii="宋体" w:hAnsi="Cambria" w:cs="宋体"/>
          <w:kern w:val="0"/>
          <w:sz w:val="24"/>
          <w:lang w:val="zh-CN"/>
        </w:rPr>
      </w:pPr>
    </w:p>
    <w:p w14:paraId="2A407DC2">
      <w:pPr>
        <w:autoSpaceDE w:val="0"/>
        <w:autoSpaceDN w:val="0"/>
        <w:adjustRightInd w:val="0"/>
        <w:spacing w:line="400" w:lineRule="exact"/>
        <w:jc w:val="left"/>
        <w:rPr>
          <w:rFonts w:ascii="宋体" w:hAnsi="Cambria" w:cs="宋体"/>
          <w:kern w:val="0"/>
          <w:sz w:val="24"/>
          <w:lang w:val="zh-CN"/>
        </w:rPr>
      </w:pPr>
    </w:p>
    <w:p w14:paraId="07E57EE7">
      <w:pPr>
        <w:autoSpaceDE w:val="0"/>
        <w:autoSpaceDN w:val="0"/>
        <w:adjustRightInd w:val="0"/>
        <w:spacing w:line="400" w:lineRule="exact"/>
        <w:jc w:val="left"/>
        <w:rPr>
          <w:rFonts w:ascii="宋体" w:hAnsi="Cambria" w:cs="宋体"/>
          <w:kern w:val="0"/>
          <w:sz w:val="24"/>
          <w:lang w:val="zh-CN"/>
        </w:rPr>
      </w:pPr>
    </w:p>
    <w:p w14:paraId="211C2C10">
      <w:pPr>
        <w:autoSpaceDE w:val="0"/>
        <w:autoSpaceDN w:val="0"/>
        <w:adjustRightInd w:val="0"/>
        <w:spacing w:line="400" w:lineRule="exact"/>
        <w:ind w:firstLine="480"/>
        <w:jc w:val="left"/>
        <w:rPr>
          <w:rFonts w:ascii="宋体" w:hAnsi="Cambria" w:cs="宋体"/>
          <w:kern w:val="0"/>
          <w:sz w:val="24"/>
          <w:lang w:val="zh-CN"/>
        </w:rPr>
      </w:pPr>
    </w:p>
    <w:p w14:paraId="275B3527">
      <w:pPr>
        <w:autoSpaceDE w:val="0"/>
        <w:autoSpaceDN w:val="0"/>
        <w:adjustRightInd w:val="0"/>
        <w:spacing w:line="400" w:lineRule="exact"/>
        <w:ind w:firstLine="480"/>
        <w:jc w:val="left"/>
        <w:rPr>
          <w:rFonts w:ascii="宋体" w:hAnsi="Cambria" w:cs="宋体"/>
          <w:kern w:val="0"/>
          <w:sz w:val="24"/>
          <w:lang w:val="zh-CN"/>
        </w:rPr>
      </w:pPr>
    </w:p>
    <w:p w14:paraId="11D2D546">
      <w:pPr>
        <w:autoSpaceDE w:val="0"/>
        <w:autoSpaceDN w:val="0"/>
        <w:adjustRightInd w:val="0"/>
        <w:spacing w:line="400" w:lineRule="exact"/>
        <w:ind w:firstLine="480"/>
        <w:jc w:val="left"/>
        <w:rPr>
          <w:rFonts w:ascii="宋体" w:hAnsi="Cambria" w:cs="宋体"/>
          <w:kern w:val="0"/>
          <w:sz w:val="24"/>
          <w:lang w:val="zh-CN"/>
        </w:rPr>
      </w:pPr>
    </w:p>
    <w:p w14:paraId="53D416D3">
      <w:pPr>
        <w:autoSpaceDE w:val="0"/>
        <w:autoSpaceDN w:val="0"/>
        <w:adjustRightInd w:val="0"/>
        <w:spacing w:line="400" w:lineRule="exact"/>
        <w:ind w:firstLine="480"/>
        <w:jc w:val="left"/>
        <w:rPr>
          <w:rFonts w:ascii="宋体" w:hAnsi="Cambria" w:cs="宋体"/>
          <w:kern w:val="0"/>
          <w:sz w:val="24"/>
          <w:lang w:val="zh-CN"/>
        </w:rPr>
      </w:pPr>
    </w:p>
    <w:p w14:paraId="48B25FD3">
      <w:pPr>
        <w:pStyle w:val="20"/>
        <w:jc w:val="left"/>
        <w:rPr>
          <w:rFonts w:hint="eastAsia" w:ascii="宋体" w:hAnsi="宋体" w:eastAsia="宋体" w:cs="宋体"/>
          <w:sz w:val="24"/>
          <w:szCs w:val="24"/>
          <w:lang w:val="zh-CN" w:eastAsia="zh-CN"/>
        </w:rPr>
      </w:pPr>
      <w:bookmarkStart w:id="202" w:name="_Toc23255"/>
      <w:bookmarkStart w:id="203" w:name="_Toc428180587"/>
      <w:bookmarkStart w:id="204" w:name="_Toc29993"/>
      <w:bookmarkStart w:id="205" w:name="_Toc15321"/>
    </w:p>
    <w:p w14:paraId="2DE6FD56">
      <w:pPr>
        <w:pStyle w:val="20"/>
        <w:jc w:val="left"/>
        <w:rPr>
          <w:rFonts w:ascii="宋体" w:hAnsi="宋体" w:cs="Cambria"/>
          <w:sz w:val="32"/>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18</w:t>
      </w:r>
      <w:r>
        <w:rPr>
          <w:rFonts w:hint="eastAsia" w:ascii="宋体" w:hAnsi="宋体" w:eastAsia="宋体" w:cs="宋体"/>
          <w:sz w:val="24"/>
          <w:szCs w:val="24"/>
          <w:lang w:val="zh-CN" w:eastAsia="zh-CN"/>
        </w:rPr>
        <w:t>）响应产品相关资料</w:t>
      </w:r>
      <w:bookmarkEnd w:id="202"/>
      <w:bookmarkEnd w:id="203"/>
      <w:bookmarkEnd w:id="204"/>
      <w:bookmarkEnd w:id="205"/>
    </w:p>
    <w:p w14:paraId="6ED9C283">
      <w:pPr>
        <w:autoSpaceDE w:val="0"/>
        <w:autoSpaceDN w:val="0"/>
        <w:adjustRightInd w:val="0"/>
        <w:spacing w:line="400" w:lineRule="exact"/>
        <w:jc w:val="center"/>
        <w:rPr>
          <w:rFonts w:hint="eastAsia" w:ascii="宋体" w:hAnsi="宋体" w:eastAsia="宋体" w:cs="宋体"/>
          <w:b/>
          <w:bCs/>
          <w:kern w:val="0"/>
          <w:sz w:val="24"/>
          <w:szCs w:val="24"/>
          <w:lang w:val="zh-CN"/>
        </w:rPr>
      </w:pPr>
      <w:r>
        <w:rPr>
          <w:rFonts w:ascii="宋体" w:hAnsi="Cambria" w:cs="宋体"/>
          <w:kern w:val="0"/>
          <w:sz w:val="24"/>
          <w:lang w:val="zh-CN"/>
        </w:rPr>
        <w:t xml:space="preserve"> </w:t>
      </w:r>
    </w:p>
    <w:p w14:paraId="64E4E0FB">
      <w:pPr>
        <w:autoSpaceDE w:val="0"/>
        <w:autoSpaceDN w:val="0"/>
        <w:adjustRightInd w:val="0"/>
        <w:spacing w:line="40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响应产品相关资料</w:t>
      </w:r>
    </w:p>
    <w:p w14:paraId="6964B578">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C043B07">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zh-CN"/>
        </w:rPr>
        <w:t>根据采购项目内容，响应时提供国家认可的质监机构出具的响应产品的产品检验报告、生产厂家出具的产品彩页（或网页原始截图）等能够证明技术参数响应的相关资料。</w:t>
      </w:r>
    </w:p>
    <w:p w14:paraId="55D3CB14">
      <w:pPr>
        <w:autoSpaceDE w:val="0"/>
        <w:autoSpaceDN w:val="0"/>
        <w:adjustRightInd w:val="0"/>
        <w:spacing w:line="400" w:lineRule="exact"/>
        <w:jc w:val="left"/>
        <w:rPr>
          <w:rFonts w:ascii="宋体" w:hAnsi="Cambria" w:cs="宋体"/>
          <w:kern w:val="0"/>
          <w:sz w:val="36"/>
          <w:lang w:val="zh-CN"/>
        </w:rPr>
      </w:pPr>
    </w:p>
    <w:p w14:paraId="53224A56">
      <w:pPr>
        <w:autoSpaceDE w:val="0"/>
        <w:autoSpaceDN w:val="0"/>
        <w:adjustRightInd w:val="0"/>
        <w:spacing w:line="400" w:lineRule="exact"/>
        <w:jc w:val="left"/>
        <w:rPr>
          <w:rFonts w:ascii="宋体" w:hAnsi="Cambria" w:cs="宋体"/>
          <w:kern w:val="0"/>
          <w:sz w:val="24"/>
          <w:lang w:val="zh-CN"/>
        </w:rPr>
      </w:pPr>
    </w:p>
    <w:p w14:paraId="5B30076D">
      <w:pPr>
        <w:autoSpaceDE w:val="0"/>
        <w:autoSpaceDN w:val="0"/>
        <w:adjustRightInd w:val="0"/>
        <w:spacing w:line="400" w:lineRule="exact"/>
        <w:jc w:val="left"/>
        <w:rPr>
          <w:rFonts w:ascii="宋体" w:hAnsi="Cambria" w:cs="宋体"/>
          <w:kern w:val="0"/>
          <w:sz w:val="24"/>
          <w:lang w:val="zh-CN"/>
        </w:rPr>
      </w:pPr>
    </w:p>
    <w:p w14:paraId="398D6FF5">
      <w:pPr>
        <w:autoSpaceDE w:val="0"/>
        <w:autoSpaceDN w:val="0"/>
        <w:adjustRightInd w:val="0"/>
        <w:spacing w:line="400" w:lineRule="exact"/>
        <w:jc w:val="left"/>
        <w:rPr>
          <w:rFonts w:ascii="宋体" w:hAnsi="Cambria" w:cs="宋体"/>
          <w:kern w:val="0"/>
          <w:sz w:val="24"/>
          <w:lang w:val="zh-CN"/>
        </w:rPr>
      </w:pPr>
    </w:p>
    <w:p w14:paraId="0F9BCBC9">
      <w:pPr>
        <w:autoSpaceDE w:val="0"/>
        <w:autoSpaceDN w:val="0"/>
        <w:adjustRightInd w:val="0"/>
        <w:spacing w:line="400" w:lineRule="exact"/>
        <w:jc w:val="left"/>
        <w:rPr>
          <w:rFonts w:ascii="宋体" w:hAnsi="Cambria" w:cs="宋体"/>
          <w:kern w:val="0"/>
          <w:sz w:val="24"/>
          <w:lang w:val="zh-CN"/>
        </w:rPr>
      </w:pPr>
    </w:p>
    <w:p w14:paraId="7734874D">
      <w:pPr>
        <w:autoSpaceDE w:val="0"/>
        <w:autoSpaceDN w:val="0"/>
        <w:adjustRightInd w:val="0"/>
        <w:spacing w:line="400" w:lineRule="exact"/>
        <w:jc w:val="left"/>
        <w:rPr>
          <w:rFonts w:ascii="宋体" w:hAnsi="Cambria" w:cs="宋体"/>
          <w:kern w:val="0"/>
          <w:sz w:val="24"/>
          <w:lang w:val="zh-CN"/>
        </w:rPr>
      </w:pPr>
    </w:p>
    <w:p w14:paraId="1BF0A7E8">
      <w:pPr>
        <w:autoSpaceDE w:val="0"/>
        <w:autoSpaceDN w:val="0"/>
        <w:adjustRightInd w:val="0"/>
        <w:spacing w:line="400" w:lineRule="exact"/>
        <w:jc w:val="left"/>
        <w:rPr>
          <w:rFonts w:ascii="宋体" w:hAnsi="Cambria" w:cs="宋体"/>
          <w:kern w:val="0"/>
          <w:sz w:val="24"/>
          <w:lang w:val="zh-CN"/>
        </w:rPr>
      </w:pPr>
    </w:p>
    <w:p w14:paraId="79E44CB3">
      <w:pPr>
        <w:autoSpaceDE w:val="0"/>
        <w:autoSpaceDN w:val="0"/>
        <w:adjustRightInd w:val="0"/>
        <w:spacing w:line="400" w:lineRule="exact"/>
        <w:jc w:val="left"/>
        <w:rPr>
          <w:rFonts w:ascii="宋体" w:hAnsi="Cambria" w:cs="宋体"/>
          <w:kern w:val="0"/>
          <w:sz w:val="24"/>
          <w:lang w:val="zh-CN"/>
        </w:rPr>
      </w:pPr>
    </w:p>
    <w:p w14:paraId="4861F0B4">
      <w:pPr>
        <w:autoSpaceDE w:val="0"/>
        <w:autoSpaceDN w:val="0"/>
        <w:adjustRightInd w:val="0"/>
        <w:spacing w:line="400" w:lineRule="exact"/>
        <w:jc w:val="left"/>
        <w:rPr>
          <w:rFonts w:ascii="宋体" w:hAnsi="Cambria" w:cs="宋体"/>
          <w:kern w:val="0"/>
          <w:sz w:val="24"/>
          <w:lang w:val="zh-CN"/>
        </w:rPr>
      </w:pPr>
    </w:p>
    <w:p w14:paraId="1A832647">
      <w:pPr>
        <w:autoSpaceDE w:val="0"/>
        <w:autoSpaceDN w:val="0"/>
        <w:adjustRightInd w:val="0"/>
        <w:spacing w:line="400" w:lineRule="exact"/>
        <w:jc w:val="left"/>
        <w:rPr>
          <w:rFonts w:ascii="宋体" w:hAnsi="Cambria" w:cs="宋体"/>
          <w:kern w:val="0"/>
          <w:sz w:val="24"/>
          <w:lang w:val="zh-CN"/>
        </w:rPr>
      </w:pPr>
    </w:p>
    <w:p w14:paraId="3EDBEA41">
      <w:pPr>
        <w:autoSpaceDE w:val="0"/>
        <w:autoSpaceDN w:val="0"/>
        <w:adjustRightInd w:val="0"/>
        <w:spacing w:line="400" w:lineRule="exact"/>
        <w:jc w:val="left"/>
        <w:rPr>
          <w:rFonts w:ascii="宋体" w:hAnsi="Cambria" w:cs="宋体"/>
          <w:kern w:val="0"/>
          <w:sz w:val="24"/>
          <w:lang w:val="zh-CN"/>
        </w:rPr>
      </w:pPr>
    </w:p>
    <w:p w14:paraId="655527D9">
      <w:pPr>
        <w:autoSpaceDE w:val="0"/>
        <w:autoSpaceDN w:val="0"/>
        <w:adjustRightInd w:val="0"/>
        <w:spacing w:line="400" w:lineRule="exact"/>
        <w:jc w:val="left"/>
        <w:rPr>
          <w:rFonts w:ascii="宋体" w:hAnsi="Cambria" w:cs="宋体"/>
          <w:kern w:val="0"/>
          <w:sz w:val="24"/>
          <w:lang w:val="zh-CN"/>
        </w:rPr>
      </w:pPr>
    </w:p>
    <w:p w14:paraId="058E3F98">
      <w:pPr>
        <w:autoSpaceDE w:val="0"/>
        <w:autoSpaceDN w:val="0"/>
        <w:adjustRightInd w:val="0"/>
        <w:spacing w:line="400" w:lineRule="exact"/>
        <w:jc w:val="left"/>
        <w:rPr>
          <w:rFonts w:ascii="宋体" w:hAnsi="Cambria" w:cs="宋体"/>
          <w:kern w:val="0"/>
          <w:sz w:val="24"/>
          <w:lang w:val="zh-CN"/>
        </w:rPr>
      </w:pPr>
    </w:p>
    <w:p w14:paraId="5297A712">
      <w:pPr>
        <w:autoSpaceDE w:val="0"/>
        <w:autoSpaceDN w:val="0"/>
        <w:adjustRightInd w:val="0"/>
        <w:spacing w:line="400" w:lineRule="exact"/>
        <w:jc w:val="left"/>
        <w:rPr>
          <w:rFonts w:ascii="宋体" w:hAnsi="Cambria" w:cs="宋体"/>
          <w:kern w:val="0"/>
          <w:sz w:val="24"/>
          <w:lang w:val="zh-CN"/>
        </w:rPr>
      </w:pPr>
    </w:p>
    <w:p w14:paraId="59D0E106">
      <w:pPr>
        <w:autoSpaceDE w:val="0"/>
        <w:autoSpaceDN w:val="0"/>
        <w:adjustRightInd w:val="0"/>
        <w:spacing w:line="400" w:lineRule="exact"/>
        <w:jc w:val="left"/>
        <w:rPr>
          <w:rFonts w:ascii="宋体" w:hAnsi="Cambria" w:cs="宋体"/>
          <w:kern w:val="0"/>
          <w:sz w:val="24"/>
          <w:lang w:val="zh-CN"/>
        </w:rPr>
      </w:pPr>
    </w:p>
    <w:p w14:paraId="4B0F72A9">
      <w:pPr>
        <w:autoSpaceDE w:val="0"/>
        <w:autoSpaceDN w:val="0"/>
        <w:adjustRightInd w:val="0"/>
        <w:spacing w:line="400" w:lineRule="exact"/>
        <w:jc w:val="left"/>
        <w:rPr>
          <w:rFonts w:ascii="宋体" w:hAnsi="Cambria" w:cs="宋体"/>
          <w:kern w:val="0"/>
          <w:sz w:val="24"/>
          <w:lang w:val="zh-CN"/>
        </w:rPr>
      </w:pPr>
    </w:p>
    <w:p w14:paraId="347377B8">
      <w:pPr>
        <w:autoSpaceDE w:val="0"/>
        <w:autoSpaceDN w:val="0"/>
        <w:adjustRightInd w:val="0"/>
        <w:spacing w:line="400" w:lineRule="exact"/>
        <w:jc w:val="left"/>
        <w:rPr>
          <w:rFonts w:ascii="宋体" w:hAnsi="Cambria" w:cs="宋体"/>
          <w:kern w:val="0"/>
          <w:sz w:val="24"/>
          <w:lang w:val="zh-CN"/>
        </w:rPr>
      </w:pPr>
    </w:p>
    <w:p w14:paraId="770623CB">
      <w:pPr>
        <w:autoSpaceDE w:val="0"/>
        <w:autoSpaceDN w:val="0"/>
        <w:adjustRightInd w:val="0"/>
        <w:spacing w:line="400" w:lineRule="exact"/>
        <w:jc w:val="left"/>
        <w:rPr>
          <w:rFonts w:ascii="宋体" w:hAnsi="Cambria" w:cs="宋体"/>
          <w:kern w:val="0"/>
          <w:sz w:val="24"/>
          <w:lang w:val="zh-CN"/>
        </w:rPr>
      </w:pPr>
    </w:p>
    <w:p w14:paraId="668FEEE6">
      <w:pPr>
        <w:autoSpaceDE w:val="0"/>
        <w:autoSpaceDN w:val="0"/>
        <w:adjustRightInd w:val="0"/>
        <w:spacing w:line="400" w:lineRule="exact"/>
        <w:jc w:val="left"/>
        <w:rPr>
          <w:rFonts w:ascii="宋体" w:hAnsi="Cambria" w:cs="宋体"/>
          <w:kern w:val="0"/>
          <w:sz w:val="24"/>
          <w:lang w:val="zh-CN"/>
        </w:rPr>
      </w:pPr>
    </w:p>
    <w:p w14:paraId="46EEDA58">
      <w:pPr>
        <w:autoSpaceDE w:val="0"/>
        <w:autoSpaceDN w:val="0"/>
        <w:adjustRightInd w:val="0"/>
        <w:spacing w:line="400" w:lineRule="exact"/>
        <w:jc w:val="left"/>
        <w:rPr>
          <w:rFonts w:ascii="宋体" w:hAnsi="Cambria" w:cs="宋体"/>
          <w:kern w:val="0"/>
          <w:sz w:val="24"/>
          <w:lang w:val="zh-CN"/>
        </w:rPr>
      </w:pPr>
    </w:p>
    <w:p w14:paraId="3CB51CC8">
      <w:pPr>
        <w:autoSpaceDE w:val="0"/>
        <w:autoSpaceDN w:val="0"/>
        <w:adjustRightInd w:val="0"/>
        <w:spacing w:line="400" w:lineRule="exact"/>
        <w:jc w:val="left"/>
        <w:rPr>
          <w:rFonts w:ascii="宋体" w:hAnsi="Cambria" w:cs="宋体"/>
          <w:kern w:val="0"/>
          <w:sz w:val="24"/>
          <w:lang w:val="zh-CN"/>
        </w:rPr>
      </w:pPr>
    </w:p>
    <w:p w14:paraId="024AB75C">
      <w:pPr>
        <w:autoSpaceDE w:val="0"/>
        <w:autoSpaceDN w:val="0"/>
        <w:adjustRightInd w:val="0"/>
        <w:spacing w:line="400" w:lineRule="exact"/>
        <w:jc w:val="left"/>
        <w:rPr>
          <w:rFonts w:ascii="宋体" w:hAnsi="Cambria" w:cs="宋体"/>
          <w:kern w:val="0"/>
          <w:sz w:val="24"/>
          <w:lang w:val="zh-CN"/>
        </w:rPr>
      </w:pPr>
    </w:p>
    <w:p w14:paraId="77574B6B">
      <w:pPr>
        <w:autoSpaceDE w:val="0"/>
        <w:autoSpaceDN w:val="0"/>
        <w:adjustRightInd w:val="0"/>
        <w:spacing w:line="400" w:lineRule="exact"/>
        <w:jc w:val="left"/>
        <w:rPr>
          <w:rFonts w:ascii="宋体" w:hAnsi="Cambria" w:cs="宋体"/>
          <w:kern w:val="0"/>
          <w:sz w:val="24"/>
          <w:lang w:val="zh-CN"/>
        </w:rPr>
      </w:pPr>
    </w:p>
    <w:p w14:paraId="482D376B">
      <w:pPr>
        <w:autoSpaceDE w:val="0"/>
        <w:autoSpaceDN w:val="0"/>
        <w:adjustRightInd w:val="0"/>
        <w:spacing w:line="400" w:lineRule="exact"/>
        <w:jc w:val="left"/>
        <w:rPr>
          <w:rFonts w:ascii="宋体" w:hAnsi="Cambria" w:cs="宋体"/>
          <w:kern w:val="0"/>
          <w:sz w:val="24"/>
          <w:lang w:val="zh-CN"/>
        </w:rPr>
      </w:pPr>
    </w:p>
    <w:p w14:paraId="44E88D4D">
      <w:pPr>
        <w:autoSpaceDE w:val="0"/>
        <w:autoSpaceDN w:val="0"/>
        <w:adjustRightInd w:val="0"/>
        <w:spacing w:line="400" w:lineRule="exact"/>
        <w:jc w:val="left"/>
        <w:rPr>
          <w:rFonts w:ascii="宋体" w:hAnsi="Cambria" w:cs="宋体"/>
          <w:kern w:val="0"/>
          <w:sz w:val="24"/>
          <w:lang w:val="zh-CN"/>
        </w:rPr>
      </w:pPr>
    </w:p>
    <w:p w14:paraId="0B69C499">
      <w:pPr>
        <w:autoSpaceDE w:val="0"/>
        <w:autoSpaceDN w:val="0"/>
        <w:adjustRightInd w:val="0"/>
        <w:spacing w:line="400" w:lineRule="exact"/>
        <w:jc w:val="left"/>
        <w:rPr>
          <w:rFonts w:hint="eastAsia" w:ascii="宋体" w:hAnsi="Cambria" w:cs="宋体"/>
          <w:kern w:val="0"/>
          <w:sz w:val="24"/>
          <w:lang w:val="zh-CN"/>
        </w:rPr>
      </w:pPr>
    </w:p>
    <w:p w14:paraId="678B9C81">
      <w:pPr>
        <w:pStyle w:val="20"/>
        <w:jc w:val="left"/>
        <w:rPr>
          <w:rFonts w:hint="eastAsia" w:ascii="宋体" w:hAnsi="宋体" w:eastAsia="宋体" w:cs="宋体"/>
          <w:sz w:val="24"/>
          <w:szCs w:val="24"/>
          <w:lang w:val="zh-CN" w:eastAsia="zh-CN"/>
        </w:rPr>
      </w:pPr>
      <w:bookmarkStart w:id="206" w:name="_Toc20848"/>
      <w:bookmarkStart w:id="207" w:name="_Toc428180591"/>
      <w:bookmarkStart w:id="208" w:name="_Toc6947"/>
      <w:bookmarkStart w:id="209" w:name="_Toc10567"/>
    </w:p>
    <w:p w14:paraId="1FEF7061">
      <w:pPr>
        <w:pStyle w:val="20"/>
        <w:jc w:val="left"/>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19</w:t>
      </w:r>
      <w:r>
        <w:rPr>
          <w:rFonts w:hint="eastAsia" w:ascii="宋体" w:hAnsi="宋体" w:eastAsia="宋体" w:cs="宋体"/>
          <w:sz w:val="24"/>
          <w:szCs w:val="24"/>
          <w:lang w:val="zh-CN" w:eastAsia="zh-CN"/>
        </w:rPr>
        <w:t>）供应商的类似业绩证明材料</w:t>
      </w:r>
      <w:bookmarkEnd w:id="206"/>
      <w:bookmarkEnd w:id="207"/>
      <w:bookmarkEnd w:id="208"/>
      <w:bookmarkEnd w:id="209"/>
    </w:p>
    <w:p w14:paraId="12238933">
      <w:pPr>
        <w:autoSpaceDE w:val="0"/>
        <w:autoSpaceDN w:val="0"/>
        <w:adjustRightInd w:val="0"/>
        <w:spacing w:line="400" w:lineRule="exact"/>
        <w:jc w:val="center"/>
        <w:rPr>
          <w:rFonts w:hint="eastAsia" w:ascii="宋体" w:hAnsi="宋体" w:eastAsia="宋体" w:cs="宋体"/>
          <w:b/>
          <w:bCs/>
          <w:kern w:val="0"/>
          <w:sz w:val="24"/>
          <w:szCs w:val="24"/>
          <w:lang w:val="zh-CN"/>
        </w:rPr>
      </w:pPr>
      <w:r>
        <w:rPr>
          <w:rFonts w:ascii="宋体" w:hAnsi="Cambria" w:cs="宋体"/>
          <w:kern w:val="0"/>
          <w:sz w:val="24"/>
          <w:lang w:val="zh-CN"/>
        </w:rPr>
        <w:t xml:space="preserve"> </w:t>
      </w:r>
    </w:p>
    <w:p w14:paraId="142F0A09">
      <w:pPr>
        <w:autoSpaceDE w:val="0"/>
        <w:autoSpaceDN w:val="0"/>
        <w:adjustRightInd w:val="0"/>
        <w:spacing w:line="40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供应商的类似业绩证明材料</w:t>
      </w:r>
    </w:p>
    <w:p w14:paraId="0FCB9D51">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C800F7D">
      <w:pPr>
        <w:autoSpaceDE w:val="0"/>
        <w:autoSpaceDN w:val="0"/>
        <w:adjustRightInd w:val="0"/>
        <w:spacing w:line="360" w:lineRule="auto"/>
        <w:ind w:firstLine="480" w:firstLineChars="200"/>
        <w:rPr>
          <w:rFonts w:ascii="宋体" w:hAnsi="Cambria" w:cs="宋体"/>
          <w:kern w:val="0"/>
          <w:sz w:val="24"/>
          <w:lang w:val="zh-CN"/>
        </w:rPr>
      </w:pPr>
      <w:r>
        <w:rPr>
          <w:rFonts w:hint="eastAsia" w:ascii="宋体" w:hAnsi="Cambria" w:cs="宋体"/>
          <w:kern w:val="0"/>
          <w:sz w:val="24"/>
          <w:lang w:val="zh-CN"/>
        </w:rPr>
        <w:t>提供自202</w:t>
      </w:r>
      <w:r>
        <w:rPr>
          <w:rFonts w:hint="eastAsia" w:ascii="宋体" w:hAnsi="Cambria" w:cs="宋体"/>
          <w:kern w:val="0"/>
          <w:sz w:val="24"/>
          <w:lang w:val="en-US" w:eastAsia="zh-CN"/>
        </w:rPr>
        <w:t>3</w:t>
      </w:r>
      <w:r>
        <w:rPr>
          <w:rFonts w:hint="eastAsia" w:ascii="宋体" w:hAnsi="Cambria" w:cs="宋体"/>
          <w:kern w:val="0"/>
          <w:sz w:val="24"/>
          <w:lang w:val="zh-CN"/>
        </w:rPr>
        <w:t>年01月01日至今供应商有类似项目业绩的，需提供有效的中标/成交通知书或者包含合同首页、标的及金额所在页、采购合同签字盖章页的合同复印（或扫描）件）。</w:t>
      </w:r>
    </w:p>
    <w:p w14:paraId="15038F09">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162B462A">
      <w:pPr>
        <w:autoSpaceDE w:val="0"/>
        <w:autoSpaceDN w:val="0"/>
        <w:adjustRightInd w:val="0"/>
        <w:spacing w:line="400" w:lineRule="exact"/>
        <w:rPr>
          <w:rFonts w:ascii="宋体" w:hAnsi="Cambria" w:cs="宋体"/>
          <w:kern w:val="0"/>
          <w:sz w:val="24"/>
          <w:lang w:val="zh-CN"/>
        </w:rPr>
      </w:pPr>
      <w:r>
        <w:rPr>
          <w:rFonts w:ascii="宋体" w:hAnsi="Cambria" w:cs="宋体"/>
          <w:kern w:val="0"/>
          <w:sz w:val="24"/>
          <w:lang w:val="zh-CN"/>
        </w:rPr>
        <w:t xml:space="preserve"> </w:t>
      </w:r>
    </w:p>
    <w:p w14:paraId="27E721E4">
      <w:pPr>
        <w:autoSpaceDE w:val="0"/>
        <w:autoSpaceDN w:val="0"/>
        <w:adjustRightInd w:val="0"/>
        <w:spacing w:line="400" w:lineRule="exact"/>
        <w:jc w:val="left"/>
        <w:rPr>
          <w:rFonts w:ascii="宋体" w:hAnsi="Cambria" w:cs="宋体"/>
          <w:kern w:val="0"/>
          <w:sz w:val="24"/>
          <w:lang w:val="zh-CN"/>
        </w:rPr>
      </w:pPr>
    </w:p>
    <w:p w14:paraId="01199A61">
      <w:pPr>
        <w:autoSpaceDE w:val="0"/>
        <w:autoSpaceDN w:val="0"/>
        <w:adjustRightInd w:val="0"/>
        <w:spacing w:line="400" w:lineRule="exact"/>
        <w:jc w:val="left"/>
        <w:rPr>
          <w:rFonts w:ascii="宋体" w:hAnsi="Cambria" w:cs="宋体"/>
          <w:kern w:val="0"/>
          <w:sz w:val="24"/>
          <w:lang w:val="zh-CN"/>
        </w:rPr>
      </w:pPr>
    </w:p>
    <w:p w14:paraId="717F577F">
      <w:pPr>
        <w:autoSpaceDE w:val="0"/>
        <w:autoSpaceDN w:val="0"/>
        <w:adjustRightInd w:val="0"/>
        <w:spacing w:line="400" w:lineRule="exact"/>
        <w:jc w:val="left"/>
        <w:rPr>
          <w:rFonts w:ascii="宋体" w:hAnsi="Cambria" w:cs="宋体"/>
          <w:kern w:val="0"/>
          <w:sz w:val="24"/>
          <w:lang w:val="zh-CN"/>
        </w:rPr>
      </w:pPr>
    </w:p>
    <w:p w14:paraId="2DBE7FCC">
      <w:pPr>
        <w:autoSpaceDE w:val="0"/>
        <w:autoSpaceDN w:val="0"/>
        <w:adjustRightInd w:val="0"/>
        <w:spacing w:line="400" w:lineRule="exact"/>
        <w:jc w:val="left"/>
        <w:rPr>
          <w:rFonts w:ascii="宋体" w:hAnsi="Cambria" w:cs="宋体"/>
          <w:kern w:val="0"/>
          <w:sz w:val="24"/>
          <w:lang w:val="zh-CN"/>
        </w:rPr>
      </w:pPr>
    </w:p>
    <w:p w14:paraId="45589E11">
      <w:pPr>
        <w:autoSpaceDE w:val="0"/>
        <w:autoSpaceDN w:val="0"/>
        <w:adjustRightInd w:val="0"/>
        <w:spacing w:line="400" w:lineRule="exact"/>
        <w:jc w:val="left"/>
        <w:rPr>
          <w:rFonts w:ascii="宋体" w:hAnsi="Cambria" w:cs="宋体"/>
          <w:kern w:val="0"/>
          <w:sz w:val="24"/>
          <w:lang w:val="zh-CN"/>
        </w:rPr>
      </w:pPr>
    </w:p>
    <w:p w14:paraId="0D0C8426">
      <w:pPr>
        <w:autoSpaceDE w:val="0"/>
        <w:autoSpaceDN w:val="0"/>
        <w:adjustRightInd w:val="0"/>
        <w:spacing w:line="400" w:lineRule="exact"/>
        <w:jc w:val="left"/>
        <w:rPr>
          <w:rFonts w:ascii="宋体" w:hAnsi="Cambria" w:cs="宋体"/>
          <w:kern w:val="0"/>
          <w:sz w:val="24"/>
          <w:lang w:val="zh-CN"/>
        </w:rPr>
      </w:pPr>
    </w:p>
    <w:p w14:paraId="2AAAF0E6">
      <w:pPr>
        <w:autoSpaceDE w:val="0"/>
        <w:autoSpaceDN w:val="0"/>
        <w:adjustRightInd w:val="0"/>
        <w:spacing w:line="400" w:lineRule="exact"/>
        <w:jc w:val="left"/>
        <w:rPr>
          <w:rFonts w:ascii="宋体" w:hAnsi="Cambria" w:cs="宋体"/>
          <w:kern w:val="0"/>
          <w:sz w:val="24"/>
          <w:lang w:val="zh-CN"/>
        </w:rPr>
      </w:pPr>
    </w:p>
    <w:p w14:paraId="6FAA3D73">
      <w:pPr>
        <w:autoSpaceDE w:val="0"/>
        <w:autoSpaceDN w:val="0"/>
        <w:adjustRightInd w:val="0"/>
        <w:spacing w:line="400" w:lineRule="exact"/>
        <w:jc w:val="left"/>
        <w:rPr>
          <w:rFonts w:ascii="宋体" w:hAnsi="Cambria" w:cs="宋体"/>
          <w:kern w:val="0"/>
          <w:sz w:val="24"/>
          <w:lang w:val="zh-CN"/>
        </w:rPr>
      </w:pPr>
    </w:p>
    <w:p w14:paraId="2041FC76">
      <w:pPr>
        <w:autoSpaceDE w:val="0"/>
        <w:autoSpaceDN w:val="0"/>
        <w:adjustRightInd w:val="0"/>
        <w:spacing w:line="400" w:lineRule="exact"/>
        <w:jc w:val="left"/>
        <w:rPr>
          <w:rFonts w:ascii="宋体" w:hAnsi="Cambria" w:cs="宋体"/>
          <w:kern w:val="0"/>
          <w:sz w:val="24"/>
          <w:lang w:val="zh-CN"/>
        </w:rPr>
      </w:pPr>
    </w:p>
    <w:p w14:paraId="649A341A">
      <w:pPr>
        <w:autoSpaceDE w:val="0"/>
        <w:autoSpaceDN w:val="0"/>
        <w:adjustRightInd w:val="0"/>
        <w:spacing w:line="400" w:lineRule="exact"/>
        <w:jc w:val="left"/>
        <w:rPr>
          <w:rFonts w:ascii="宋体" w:hAnsi="Cambria" w:cs="宋体"/>
          <w:kern w:val="0"/>
          <w:sz w:val="24"/>
          <w:lang w:val="zh-CN"/>
        </w:rPr>
      </w:pPr>
    </w:p>
    <w:p w14:paraId="54542D9C">
      <w:pPr>
        <w:autoSpaceDE w:val="0"/>
        <w:autoSpaceDN w:val="0"/>
        <w:adjustRightInd w:val="0"/>
        <w:spacing w:line="400" w:lineRule="exact"/>
        <w:jc w:val="left"/>
        <w:rPr>
          <w:rFonts w:ascii="宋体" w:hAnsi="Cambria" w:cs="宋体"/>
          <w:kern w:val="0"/>
          <w:sz w:val="24"/>
          <w:lang w:val="zh-CN"/>
        </w:rPr>
      </w:pPr>
    </w:p>
    <w:p w14:paraId="0CF69770">
      <w:pPr>
        <w:autoSpaceDE w:val="0"/>
        <w:autoSpaceDN w:val="0"/>
        <w:adjustRightInd w:val="0"/>
        <w:spacing w:line="400" w:lineRule="exact"/>
        <w:jc w:val="left"/>
        <w:rPr>
          <w:rFonts w:ascii="宋体" w:hAnsi="Cambria" w:cs="宋体"/>
          <w:kern w:val="0"/>
          <w:sz w:val="24"/>
          <w:lang w:val="zh-CN"/>
        </w:rPr>
      </w:pPr>
    </w:p>
    <w:p w14:paraId="04964354">
      <w:pPr>
        <w:autoSpaceDE w:val="0"/>
        <w:autoSpaceDN w:val="0"/>
        <w:adjustRightInd w:val="0"/>
        <w:spacing w:line="400" w:lineRule="exact"/>
        <w:jc w:val="left"/>
        <w:rPr>
          <w:rFonts w:ascii="宋体" w:hAnsi="Cambria" w:cs="宋体"/>
          <w:kern w:val="0"/>
          <w:sz w:val="24"/>
          <w:lang w:val="zh-CN"/>
        </w:rPr>
      </w:pPr>
    </w:p>
    <w:p w14:paraId="7AACA9F3">
      <w:pPr>
        <w:autoSpaceDE w:val="0"/>
        <w:autoSpaceDN w:val="0"/>
        <w:adjustRightInd w:val="0"/>
        <w:spacing w:line="400" w:lineRule="exact"/>
        <w:jc w:val="left"/>
        <w:rPr>
          <w:rFonts w:ascii="宋体" w:hAnsi="Cambria" w:cs="宋体"/>
          <w:kern w:val="0"/>
          <w:sz w:val="24"/>
          <w:lang w:val="zh-CN"/>
        </w:rPr>
      </w:pPr>
    </w:p>
    <w:p w14:paraId="0159BC19">
      <w:pPr>
        <w:autoSpaceDE w:val="0"/>
        <w:autoSpaceDN w:val="0"/>
        <w:adjustRightInd w:val="0"/>
        <w:spacing w:line="400" w:lineRule="exact"/>
        <w:jc w:val="left"/>
        <w:rPr>
          <w:rFonts w:ascii="宋体" w:hAnsi="Cambria" w:cs="宋体"/>
          <w:kern w:val="0"/>
          <w:sz w:val="24"/>
          <w:lang w:val="zh-CN"/>
        </w:rPr>
      </w:pPr>
    </w:p>
    <w:p w14:paraId="2C02D574">
      <w:pPr>
        <w:autoSpaceDE w:val="0"/>
        <w:autoSpaceDN w:val="0"/>
        <w:adjustRightInd w:val="0"/>
        <w:spacing w:line="400" w:lineRule="exact"/>
        <w:jc w:val="left"/>
        <w:rPr>
          <w:rFonts w:ascii="宋体" w:hAnsi="Cambria" w:cs="宋体"/>
          <w:kern w:val="0"/>
          <w:sz w:val="24"/>
          <w:lang w:val="zh-CN"/>
        </w:rPr>
      </w:pPr>
    </w:p>
    <w:p w14:paraId="6A8D15B9">
      <w:pPr>
        <w:autoSpaceDE w:val="0"/>
        <w:autoSpaceDN w:val="0"/>
        <w:adjustRightInd w:val="0"/>
        <w:spacing w:line="400" w:lineRule="exact"/>
        <w:jc w:val="left"/>
        <w:rPr>
          <w:rFonts w:ascii="宋体" w:hAnsi="Cambria" w:cs="宋体"/>
          <w:kern w:val="0"/>
          <w:sz w:val="24"/>
          <w:lang w:val="zh-CN"/>
        </w:rPr>
      </w:pPr>
    </w:p>
    <w:p w14:paraId="75828757">
      <w:pPr>
        <w:autoSpaceDE w:val="0"/>
        <w:autoSpaceDN w:val="0"/>
        <w:adjustRightInd w:val="0"/>
        <w:spacing w:line="400" w:lineRule="exact"/>
        <w:jc w:val="left"/>
        <w:rPr>
          <w:rFonts w:ascii="宋体" w:hAnsi="Cambria" w:cs="宋体"/>
          <w:kern w:val="0"/>
          <w:sz w:val="24"/>
          <w:lang w:val="zh-CN"/>
        </w:rPr>
      </w:pPr>
    </w:p>
    <w:p w14:paraId="29D7C4C5">
      <w:pPr>
        <w:autoSpaceDE w:val="0"/>
        <w:autoSpaceDN w:val="0"/>
        <w:adjustRightInd w:val="0"/>
        <w:spacing w:line="400" w:lineRule="exact"/>
        <w:jc w:val="left"/>
        <w:rPr>
          <w:rFonts w:ascii="宋体" w:hAnsi="Cambria" w:cs="宋体"/>
          <w:kern w:val="0"/>
          <w:sz w:val="24"/>
          <w:lang w:val="zh-CN"/>
        </w:rPr>
      </w:pPr>
    </w:p>
    <w:p w14:paraId="36EFF74C">
      <w:pPr>
        <w:autoSpaceDE w:val="0"/>
        <w:autoSpaceDN w:val="0"/>
        <w:adjustRightInd w:val="0"/>
        <w:spacing w:line="400" w:lineRule="exact"/>
        <w:jc w:val="left"/>
        <w:rPr>
          <w:rFonts w:ascii="宋体" w:hAnsi="Cambria" w:cs="宋体"/>
          <w:kern w:val="0"/>
          <w:sz w:val="24"/>
          <w:lang w:val="zh-CN"/>
        </w:rPr>
      </w:pPr>
    </w:p>
    <w:p w14:paraId="1ABBDCA5">
      <w:pPr>
        <w:autoSpaceDE w:val="0"/>
        <w:autoSpaceDN w:val="0"/>
        <w:adjustRightInd w:val="0"/>
        <w:spacing w:line="400" w:lineRule="exact"/>
        <w:jc w:val="left"/>
        <w:rPr>
          <w:rFonts w:ascii="宋体" w:hAnsi="Cambria" w:cs="宋体"/>
          <w:kern w:val="0"/>
          <w:sz w:val="24"/>
          <w:lang w:val="zh-CN"/>
        </w:rPr>
      </w:pPr>
    </w:p>
    <w:p w14:paraId="4BFADC79">
      <w:pPr>
        <w:autoSpaceDE w:val="0"/>
        <w:autoSpaceDN w:val="0"/>
        <w:adjustRightInd w:val="0"/>
        <w:spacing w:line="400" w:lineRule="exact"/>
        <w:jc w:val="left"/>
        <w:rPr>
          <w:rFonts w:ascii="宋体" w:hAnsi="Cambria" w:cs="宋体"/>
          <w:kern w:val="0"/>
          <w:sz w:val="24"/>
          <w:lang w:val="zh-CN"/>
        </w:rPr>
      </w:pPr>
    </w:p>
    <w:p w14:paraId="6B105CF8">
      <w:pPr>
        <w:autoSpaceDE w:val="0"/>
        <w:autoSpaceDN w:val="0"/>
        <w:adjustRightInd w:val="0"/>
        <w:spacing w:line="400" w:lineRule="exact"/>
        <w:jc w:val="left"/>
        <w:rPr>
          <w:rFonts w:ascii="宋体" w:hAnsi="Cambria" w:cs="宋体"/>
          <w:kern w:val="0"/>
          <w:sz w:val="24"/>
          <w:lang w:val="zh-CN"/>
        </w:rPr>
      </w:pPr>
    </w:p>
    <w:p w14:paraId="7C70F6CD">
      <w:pPr>
        <w:autoSpaceDE w:val="0"/>
        <w:autoSpaceDN w:val="0"/>
        <w:adjustRightInd w:val="0"/>
        <w:spacing w:line="400" w:lineRule="exact"/>
        <w:jc w:val="left"/>
        <w:rPr>
          <w:rFonts w:hint="eastAsia" w:ascii="宋体" w:hAnsi="Cambria" w:cs="宋体"/>
          <w:kern w:val="0"/>
          <w:sz w:val="24"/>
          <w:lang w:val="zh-CN"/>
        </w:rPr>
      </w:pPr>
    </w:p>
    <w:p w14:paraId="4B8C9A06">
      <w:pPr>
        <w:pStyle w:val="20"/>
        <w:jc w:val="left"/>
        <w:rPr>
          <w:rFonts w:hint="eastAsia" w:ascii="宋体" w:hAnsi="Times New Roman" w:eastAsia="宋体" w:cs="Times New Roman"/>
          <w:b/>
          <w:bCs/>
          <w:color w:val="000000"/>
          <w:kern w:val="2"/>
          <w:sz w:val="28"/>
          <w:szCs w:val="28"/>
          <w:lang w:val="zh-CN" w:eastAsia="zh-CN"/>
        </w:rPr>
      </w:pPr>
      <w:bookmarkStart w:id="210" w:name="_Toc11815"/>
      <w:bookmarkStart w:id="211" w:name="_Toc500493816"/>
      <w:r>
        <w:rPr>
          <w:rFonts w:hint="eastAsia" w:ascii="宋体" w:hAnsi="Times New Roman" w:eastAsia="宋体" w:cs="Times New Roman"/>
          <w:b/>
          <w:bCs/>
          <w:color w:val="000000"/>
          <w:kern w:val="2"/>
          <w:sz w:val="28"/>
          <w:szCs w:val="28"/>
          <w:lang w:val="zh-CN" w:eastAsia="zh-CN"/>
        </w:rPr>
        <w:t>（</w:t>
      </w:r>
      <w:r>
        <w:rPr>
          <w:rFonts w:hint="eastAsia" w:ascii="宋体" w:hAnsi="Times New Roman" w:cs="Times New Roman"/>
          <w:b/>
          <w:bCs/>
          <w:color w:val="000000"/>
          <w:kern w:val="2"/>
          <w:sz w:val="28"/>
          <w:szCs w:val="28"/>
          <w:lang w:val="en-US" w:eastAsia="zh-CN"/>
        </w:rPr>
        <w:t>20</w:t>
      </w:r>
      <w:r>
        <w:rPr>
          <w:rFonts w:hint="eastAsia" w:ascii="宋体" w:hAnsi="Times New Roman" w:eastAsia="宋体" w:cs="Times New Roman"/>
          <w:b/>
          <w:bCs/>
          <w:color w:val="000000"/>
          <w:kern w:val="2"/>
          <w:sz w:val="28"/>
          <w:szCs w:val="28"/>
          <w:lang w:val="zh-CN" w:eastAsia="zh-CN"/>
        </w:rPr>
        <w:t>）销售及</w:t>
      </w:r>
      <w:r>
        <w:rPr>
          <w:rFonts w:hint="eastAsia" w:ascii="宋体" w:hAnsi="Times New Roman" w:cs="Times New Roman"/>
          <w:b/>
          <w:bCs/>
          <w:color w:val="000000"/>
          <w:kern w:val="2"/>
          <w:sz w:val="28"/>
          <w:szCs w:val="28"/>
          <w:lang w:val="zh-CN" w:eastAsia="zh-CN"/>
        </w:rPr>
        <w:t>采购</w:t>
      </w:r>
      <w:r>
        <w:rPr>
          <w:rFonts w:hint="eastAsia" w:ascii="宋体" w:hAnsi="Times New Roman" w:eastAsia="宋体" w:cs="Times New Roman"/>
          <w:b/>
          <w:bCs/>
          <w:color w:val="000000"/>
          <w:kern w:val="2"/>
          <w:sz w:val="28"/>
          <w:szCs w:val="28"/>
          <w:lang w:val="zh-CN" w:eastAsia="zh-CN"/>
        </w:rPr>
        <w:t>相关内容</w:t>
      </w:r>
      <w:bookmarkEnd w:id="210"/>
      <w:bookmarkEnd w:id="211"/>
    </w:p>
    <w:p w14:paraId="64D3ABF7">
      <w:pPr>
        <w:ind w:firstLine="723"/>
        <w:jc w:val="center"/>
        <w:rPr>
          <w:rFonts w:hint="eastAsia" w:ascii="宋体" w:hAnsi="宋体"/>
          <w:b/>
          <w:color w:val="000000"/>
          <w:sz w:val="36"/>
          <w:szCs w:val="36"/>
        </w:rPr>
      </w:pPr>
      <w:r>
        <w:rPr>
          <w:rFonts w:hint="eastAsia" w:ascii="宋体" w:hAnsi="宋体"/>
          <w:b/>
          <w:color w:val="000000"/>
          <w:sz w:val="36"/>
          <w:szCs w:val="36"/>
        </w:rPr>
        <w:t xml:space="preserve">  </w:t>
      </w:r>
    </w:p>
    <w:p w14:paraId="69BD2ABA">
      <w:pPr>
        <w:autoSpaceDE w:val="0"/>
        <w:autoSpaceDN w:val="0"/>
        <w:adjustRightInd w:val="0"/>
        <w:spacing w:line="40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销售及</w:t>
      </w:r>
      <w:r>
        <w:rPr>
          <w:rFonts w:hint="eastAsia" w:ascii="宋体" w:hAnsi="宋体" w:cs="宋体"/>
          <w:b/>
          <w:bCs/>
          <w:kern w:val="0"/>
          <w:sz w:val="24"/>
          <w:szCs w:val="24"/>
          <w:lang w:val="zh-CN"/>
        </w:rPr>
        <w:t>采购</w:t>
      </w:r>
      <w:r>
        <w:rPr>
          <w:rFonts w:hint="eastAsia" w:ascii="宋体" w:hAnsi="宋体" w:eastAsia="宋体" w:cs="宋体"/>
          <w:b/>
          <w:bCs/>
          <w:kern w:val="0"/>
          <w:sz w:val="24"/>
          <w:szCs w:val="24"/>
          <w:lang w:val="zh-CN"/>
        </w:rPr>
        <w:t>相关内容</w:t>
      </w:r>
    </w:p>
    <w:p w14:paraId="4C59BABD">
      <w:pPr>
        <w:ind w:firstLine="480"/>
        <w:rPr>
          <w:rFonts w:hint="eastAsia"/>
          <w:color w:val="000000"/>
        </w:rPr>
      </w:pPr>
    </w:p>
    <w:p w14:paraId="3061C2EF">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zh-CN"/>
        </w:rPr>
        <w:t>按照磋商文件评标标准中的相关要求，提供：</w:t>
      </w:r>
    </w:p>
    <w:p w14:paraId="7CFD7827">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zh-CN"/>
        </w:rPr>
        <w:t>1、详细的项目管理及实施方案。</w:t>
      </w:r>
    </w:p>
    <w:p w14:paraId="21E8D5C2">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zh-CN"/>
        </w:rPr>
        <w:t>2、响应产品</w:t>
      </w:r>
      <w:r>
        <w:rPr>
          <w:rFonts w:hint="eastAsia" w:ascii="宋体" w:hAnsi="Cambria" w:cs="宋体"/>
          <w:kern w:val="0"/>
          <w:sz w:val="24"/>
          <w:lang w:val="en-US" w:eastAsia="zh-CN"/>
        </w:rPr>
        <w:t>交货</w:t>
      </w:r>
      <w:r>
        <w:rPr>
          <w:rFonts w:hint="eastAsia" w:ascii="宋体" w:hAnsi="Cambria" w:cs="宋体"/>
          <w:kern w:val="0"/>
          <w:sz w:val="24"/>
          <w:lang w:val="zh-CN"/>
        </w:rPr>
        <w:t>地点、交货时间、交货方式、售后服务等方面的承诺。</w:t>
      </w:r>
    </w:p>
    <w:p w14:paraId="1CC501F2">
      <w:pPr>
        <w:autoSpaceDE w:val="0"/>
        <w:autoSpaceDN w:val="0"/>
        <w:adjustRightInd w:val="0"/>
        <w:spacing w:line="400" w:lineRule="exact"/>
        <w:rPr>
          <w:rFonts w:ascii="宋体" w:hAnsi="Cambria" w:cs="宋体"/>
          <w:kern w:val="0"/>
          <w:sz w:val="24"/>
          <w:lang w:val="zh-CN"/>
        </w:rPr>
      </w:pPr>
    </w:p>
    <w:p w14:paraId="12C64C28">
      <w:pPr>
        <w:pStyle w:val="12"/>
        <w:rPr>
          <w:rFonts w:hAnsi="Cambria" w:cs="宋体"/>
          <w:sz w:val="24"/>
          <w:lang w:val="zh-CN"/>
        </w:rPr>
      </w:pPr>
    </w:p>
    <w:p w14:paraId="50EFDD69">
      <w:pPr>
        <w:rPr>
          <w:rFonts w:ascii="宋体" w:hAnsi="Cambria" w:cs="宋体"/>
          <w:kern w:val="0"/>
          <w:sz w:val="24"/>
          <w:lang w:val="zh-CN"/>
        </w:rPr>
      </w:pPr>
    </w:p>
    <w:p w14:paraId="68673D37">
      <w:pPr>
        <w:pStyle w:val="12"/>
        <w:rPr>
          <w:rFonts w:hAnsi="Cambria" w:cs="宋体"/>
          <w:sz w:val="24"/>
          <w:lang w:val="zh-CN"/>
        </w:rPr>
      </w:pPr>
    </w:p>
    <w:p w14:paraId="113199EF">
      <w:pPr>
        <w:rPr>
          <w:rFonts w:ascii="宋体" w:hAnsi="Cambria" w:cs="宋体"/>
          <w:kern w:val="0"/>
          <w:sz w:val="24"/>
          <w:lang w:val="zh-CN"/>
        </w:rPr>
      </w:pPr>
    </w:p>
    <w:p w14:paraId="64EF582D">
      <w:pPr>
        <w:pStyle w:val="12"/>
        <w:rPr>
          <w:rFonts w:hAnsi="Cambria" w:cs="宋体"/>
          <w:sz w:val="24"/>
          <w:lang w:val="zh-CN"/>
        </w:rPr>
      </w:pPr>
    </w:p>
    <w:p w14:paraId="54F02616">
      <w:pPr>
        <w:rPr>
          <w:rFonts w:ascii="宋体" w:hAnsi="Cambria" w:cs="宋体"/>
          <w:kern w:val="0"/>
          <w:sz w:val="24"/>
          <w:lang w:val="zh-CN"/>
        </w:rPr>
      </w:pPr>
    </w:p>
    <w:p w14:paraId="570594BA">
      <w:pPr>
        <w:pStyle w:val="12"/>
        <w:rPr>
          <w:rFonts w:hAnsi="Cambria" w:cs="宋体"/>
          <w:sz w:val="24"/>
          <w:lang w:val="zh-CN"/>
        </w:rPr>
      </w:pPr>
    </w:p>
    <w:p w14:paraId="4EB24017">
      <w:pPr>
        <w:rPr>
          <w:rFonts w:ascii="宋体" w:hAnsi="Cambria" w:cs="宋体"/>
          <w:kern w:val="0"/>
          <w:sz w:val="24"/>
          <w:lang w:val="zh-CN"/>
        </w:rPr>
      </w:pPr>
    </w:p>
    <w:p w14:paraId="518E403E">
      <w:pPr>
        <w:pStyle w:val="12"/>
        <w:rPr>
          <w:rFonts w:hAnsi="Cambria" w:cs="宋体"/>
          <w:sz w:val="24"/>
          <w:lang w:val="zh-CN"/>
        </w:rPr>
      </w:pPr>
    </w:p>
    <w:p w14:paraId="267B1388">
      <w:pPr>
        <w:rPr>
          <w:rFonts w:ascii="宋体" w:hAnsi="Cambria" w:cs="宋体"/>
          <w:kern w:val="0"/>
          <w:sz w:val="24"/>
          <w:lang w:val="zh-CN"/>
        </w:rPr>
      </w:pPr>
    </w:p>
    <w:p w14:paraId="4A6DFBD5">
      <w:pPr>
        <w:pStyle w:val="12"/>
        <w:rPr>
          <w:rFonts w:hAnsi="Cambria" w:cs="宋体"/>
          <w:sz w:val="24"/>
          <w:lang w:val="zh-CN"/>
        </w:rPr>
      </w:pPr>
    </w:p>
    <w:p w14:paraId="483BDF9F">
      <w:pPr>
        <w:rPr>
          <w:rFonts w:ascii="宋体" w:hAnsi="Cambria" w:cs="宋体"/>
          <w:kern w:val="0"/>
          <w:sz w:val="24"/>
          <w:lang w:val="zh-CN"/>
        </w:rPr>
      </w:pPr>
    </w:p>
    <w:p w14:paraId="7732E0B4">
      <w:pPr>
        <w:pStyle w:val="12"/>
        <w:rPr>
          <w:rFonts w:hAnsi="Cambria" w:cs="宋体"/>
          <w:sz w:val="24"/>
          <w:lang w:val="zh-CN"/>
        </w:rPr>
      </w:pPr>
    </w:p>
    <w:p w14:paraId="0B79271E">
      <w:pPr>
        <w:rPr>
          <w:rFonts w:ascii="宋体" w:hAnsi="Cambria" w:cs="宋体"/>
          <w:kern w:val="0"/>
          <w:sz w:val="24"/>
          <w:lang w:val="zh-CN"/>
        </w:rPr>
      </w:pPr>
    </w:p>
    <w:p w14:paraId="78B338AA">
      <w:pPr>
        <w:pStyle w:val="12"/>
        <w:rPr>
          <w:rFonts w:hAnsi="Cambria" w:cs="宋体"/>
          <w:sz w:val="24"/>
          <w:lang w:val="zh-CN"/>
        </w:rPr>
      </w:pPr>
    </w:p>
    <w:p w14:paraId="2B1750CB">
      <w:pPr>
        <w:rPr>
          <w:rFonts w:ascii="宋体" w:hAnsi="Cambria" w:cs="宋体"/>
          <w:kern w:val="0"/>
          <w:sz w:val="24"/>
          <w:lang w:val="zh-CN"/>
        </w:rPr>
      </w:pPr>
    </w:p>
    <w:p w14:paraId="10BE5357">
      <w:pPr>
        <w:pStyle w:val="12"/>
        <w:rPr>
          <w:rFonts w:hAnsi="Cambria" w:cs="宋体"/>
          <w:sz w:val="24"/>
          <w:lang w:val="zh-CN"/>
        </w:rPr>
      </w:pPr>
    </w:p>
    <w:p w14:paraId="4DF0B60E">
      <w:pPr>
        <w:rPr>
          <w:rFonts w:ascii="宋体" w:hAnsi="Cambria" w:cs="宋体"/>
          <w:kern w:val="0"/>
          <w:sz w:val="24"/>
          <w:lang w:val="zh-CN"/>
        </w:rPr>
      </w:pPr>
    </w:p>
    <w:p w14:paraId="71B0649B">
      <w:pPr>
        <w:pStyle w:val="12"/>
        <w:rPr>
          <w:rFonts w:hAnsi="Cambria" w:cs="宋体"/>
          <w:sz w:val="24"/>
          <w:lang w:val="zh-CN"/>
        </w:rPr>
      </w:pPr>
    </w:p>
    <w:p w14:paraId="4A426A9D">
      <w:pPr>
        <w:rPr>
          <w:rFonts w:ascii="宋体" w:hAnsi="Cambria" w:cs="宋体"/>
          <w:kern w:val="0"/>
          <w:sz w:val="24"/>
          <w:lang w:val="zh-CN"/>
        </w:rPr>
      </w:pPr>
    </w:p>
    <w:p w14:paraId="2DFAA631">
      <w:pPr>
        <w:pStyle w:val="12"/>
        <w:rPr>
          <w:rFonts w:hAnsi="Cambria" w:cs="宋体"/>
          <w:sz w:val="24"/>
          <w:lang w:val="zh-CN"/>
        </w:rPr>
      </w:pPr>
    </w:p>
    <w:p w14:paraId="105F8838">
      <w:pPr>
        <w:rPr>
          <w:rFonts w:ascii="宋体" w:hAnsi="Cambria" w:cs="宋体"/>
          <w:kern w:val="0"/>
          <w:sz w:val="24"/>
          <w:lang w:val="zh-CN"/>
        </w:rPr>
      </w:pPr>
    </w:p>
    <w:p w14:paraId="20D98229">
      <w:pPr>
        <w:pStyle w:val="12"/>
        <w:rPr>
          <w:rFonts w:hAnsi="Cambria" w:cs="宋体"/>
          <w:sz w:val="24"/>
          <w:lang w:val="zh-CN"/>
        </w:rPr>
      </w:pPr>
    </w:p>
    <w:p w14:paraId="481C1F59">
      <w:pPr>
        <w:rPr>
          <w:rFonts w:ascii="宋体" w:hAnsi="Cambria" w:cs="宋体"/>
          <w:kern w:val="0"/>
          <w:sz w:val="24"/>
          <w:lang w:val="zh-CN"/>
        </w:rPr>
      </w:pPr>
    </w:p>
    <w:p w14:paraId="5CBD9C1D">
      <w:pPr>
        <w:pStyle w:val="12"/>
        <w:rPr>
          <w:rFonts w:hAnsi="Cambria" w:cs="宋体"/>
          <w:sz w:val="24"/>
          <w:lang w:val="zh-CN"/>
        </w:rPr>
      </w:pPr>
    </w:p>
    <w:p w14:paraId="32F0A0F8">
      <w:pPr>
        <w:rPr>
          <w:rFonts w:ascii="宋体" w:hAnsi="Cambria" w:cs="宋体"/>
          <w:kern w:val="0"/>
          <w:sz w:val="24"/>
          <w:lang w:val="zh-CN"/>
        </w:rPr>
      </w:pPr>
    </w:p>
    <w:p w14:paraId="766AE54A">
      <w:pPr>
        <w:pStyle w:val="12"/>
        <w:rPr>
          <w:rFonts w:hAnsi="Cambria" w:cs="宋体"/>
          <w:sz w:val="24"/>
          <w:lang w:val="zh-CN"/>
        </w:rPr>
      </w:pPr>
    </w:p>
    <w:p w14:paraId="010AEE60">
      <w:pPr>
        <w:rPr>
          <w:rFonts w:ascii="宋体" w:hAnsi="Cambria" w:cs="宋体"/>
          <w:kern w:val="0"/>
          <w:sz w:val="24"/>
          <w:lang w:val="zh-CN"/>
        </w:rPr>
      </w:pPr>
    </w:p>
    <w:p w14:paraId="25E0C0A7">
      <w:pPr>
        <w:pStyle w:val="12"/>
        <w:rPr>
          <w:rFonts w:hAnsi="Cambria" w:cs="宋体"/>
          <w:sz w:val="24"/>
          <w:lang w:val="zh-CN"/>
        </w:rPr>
      </w:pPr>
    </w:p>
    <w:p w14:paraId="1A442C1B">
      <w:pPr>
        <w:rPr>
          <w:rFonts w:ascii="宋体" w:hAnsi="Cambria" w:cs="宋体"/>
          <w:kern w:val="0"/>
          <w:sz w:val="24"/>
          <w:lang w:val="zh-CN"/>
        </w:rPr>
      </w:pPr>
    </w:p>
    <w:p w14:paraId="18624928">
      <w:pPr>
        <w:pStyle w:val="12"/>
        <w:rPr>
          <w:rFonts w:hAnsi="Cambria" w:cs="宋体"/>
          <w:sz w:val="24"/>
          <w:lang w:val="zh-CN"/>
        </w:rPr>
      </w:pPr>
    </w:p>
    <w:p w14:paraId="735ED5FB">
      <w:pPr>
        <w:rPr>
          <w:rFonts w:ascii="宋体" w:hAnsi="Cambria" w:cs="宋体"/>
          <w:kern w:val="0"/>
          <w:sz w:val="24"/>
          <w:lang w:val="zh-CN"/>
        </w:rPr>
      </w:pPr>
    </w:p>
    <w:p w14:paraId="1E1ABC9F">
      <w:pPr>
        <w:pStyle w:val="20"/>
        <w:jc w:val="left"/>
        <w:rPr>
          <w:rFonts w:hint="eastAsia" w:ascii="宋体" w:hAnsi="Times New Roman"/>
          <w:bCs w:val="0"/>
          <w:color w:val="000000"/>
          <w:kern w:val="2"/>
          <w:sz w:val="28"/>
          <w:szCs w:val="28"/>
          <w:lang w:val="en-US" w:eastAsia="zh-CN"/>
        </w:rPr>
      </w:pPr>
      <w:bookmarkStart w:id="212" w:name="_Toc27656"/>
      <w:bookmarkStart w:id="213" w:name="_Toc11535"/>
      <w:bookmarkStart w:id="214" w:name="_Toc3826"/>
      <w:bookmarkStart w:id="215" w:name="_Toc428180593"/>
      <w:r>
        <w:rPr>
          <w:rFonts w:hint="eastAsia" w:ascii="宋体" w:hAnsi="Times New Roman"/>
          <w:bCs w:val="0"/>
          <w:color w:val="000000"/>
          <w:kern w:val="2"/>
          <w:sz w:val="28"/>
          <w:szCs w:val="28"/>
          <w:lang w:val="zh-CN" w:eastAsia="zh-CN"/>
        </w:rPr>
        <w:t>（</w:t>
      </w:r>
      <w:r>
        <w:rPr>
          <w:rFonts w:hint="eastAsia" w:ascii="宋体" w:hAnsi="Times New Roman"/>
          <w:bCs w:val="0"/>
          <w:color w:val="000000"/>
          <w:kern w:val="2"/>
          <w:sz w:val="28"/>
          <w:szCs w:val="28"/>
          <w:lang w:val="en-US" w:eastAsia="zh-CN"/>
        </w:rPr>
        <w:t>21</w:t>
      </w:r>
      <w:r>
        <w:rPr>
          <w:rFonts w:hint="eastAsia" w:ascii="宋体" w:hAnsi="Times New Roman"/>
          <w:bCs w:val="0"/>
          <w:color w:val="000000"/>
          <w:kern w:val="2"/>
          <w:sz w:val="28"/>
          <w:szCs w:val="28"/>
          <w:lang w:val="zh-CN" w:eastAsia="zh-CN"/>
        </w:rPr>
        <w:t>）供应商认为在其他方面有必要说明的事项</w:t>
      </w:r>
      <w:bookmarkEnd w:id="212"/>
      <w:bookmarkEnd w:id="213"/>
      <w:bookmarkEnd w:id="214"/>
      <w:bookmarkEnd w:id="215"/>
    </w:p>
    <w:p w14:paraId="430F5DE9">
      <w:pPr>
        <w:autoSpaceDE w:val="0"/>
        <w:autoSpaceDN w:val="0"/>
        <w:adjustRightInd w:val="0"/>
        <w:spacing w:line="400" w:lineRule="exact"/>
        <w:jc w:val="center"/>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rPr>
        <w:t xml:space="preserve"> </w:t>
      </w:r>
    </w:p>
    <w:p w14:paraId="30B3A42F">
      <w:pPr>
        <w:autoSpaceDE w:val="0"/>
        <w:autoSpaceDN w:val="0"/>
        <w:adjustRightInd w:val="0"/>
        <w:spacing w:line="400" w:lineRule="exact"/>
        <w:jc w:val="center"/>
        <w:outlineLvl w:val="0"/>
        <w:rPr>
          <w:rFonts w:hint="eastAsia" w:ascii="宋体" w:hAnsi="宋体" w:eastAsia="宋体" w:cs="宋体"/>
          <w:b/>
          <w:bCs/>
          <w:kern w:val="0"/>
          <w:sz w:val="24"/>
          <w:szCs w:val="24"/>
          <w:lang w:val="zh-CN"/>
        </w:rPr>
      </w:pPr>
      <w:bookmarkStart w:id="216" w:name="_Toc25848"/>
      <w:r>
        <w:rPr>
          <w:rFonts w:hint="eastAsia" w:ascii="宋体" w:hAnsi="宋体" w:eastAsia="宋体" w:cs="宋体"/>
          <w:b/>
          <w:bCs/>
          <w:kern w:val="0"/>
          <w:sz w:val="24"/>
          <w:szCs w:val="24"/>
          <w:lang w:val="zh-CN"/>
        </w:rPr>
        <w:t>供应商认为在其他方面有必要说明的事项</w:t>
      </w:r>
      <w:bookmarkEnd w:id="216"/>
    </w:p>
    <w:p w14:paraId="519CDD58">
      <w:pPr>
        <w:autoSpaceDE w:val="0"/>
        <w:autoSpaceDN w:val="0"/>
        <w:adjustRightInd w:val="0"/>
        <w:spacing w:line="400" w:lineRule="exact"/>
        <w:ind w:firstLine="600"/>
        <w:rPr>
          <w:rFonts w:ascii="宋体" w:hAnsi="Cambria" w:cs="宋体"/>
          <w:kern w:val="0"/>
          <w:sz w:val="24"/>
          <w:lang w:val="zh-CN"/>
        </w:rPr>
      </w:pPr>
    </w:p>
    <w:p w14:paraId="122DB8FF">
      <w:pPr>
        <w:autoSpaceDE w:val="0"/>
        <w:autoSpaceDN w:val="0"/>
        <w:adjustRightInd w:val="0"/>
        <w:spacing w:line="360" w:lineRule="auto"/>
        <w:ind w:firstLine="480" w:firstLineChars="200"/>
        <w:jc w:val="center"/>
        <w:rPr>
          <w:rFonts w:hint="eastAsia" w:ascii="宋体" w:hAnsi="Cambria" w:cs="宋体"/>
          <w:kern w:val="0"/>
          <w:sz w:val="24"/>
          <w:lang w:val="zh-CN"/>
        </w:rPr>
      </w:pPr>
      <w:r>
        <w:rPr>
          <w:rFonts w:hint="eastAsia" w:ascii="宋体" w:hAnsi="Cambria" w:cs="宋体"/>
          <w:kern w:val="0"/>
          <w:sz w:val="24"/>
          <w:lang w:val="zh-CN"/>
        </w:rPr>
        <w:t>（格式可自定）</w:t>
      </w:r>
      <w:bookmarkStart w:id="217" w:name="_Toc461983006"/>
      <w:bookmarkStart w:id="218" w:name="_Toc10902"/>
      <w:bookmarkStart w:id="219" w:name="_Toc470775775"/>
      <w:bookmarkStart w:id="220" w:name="_Toc7462"/>
      <w:bookmarkStart w:id="221" w:name="_Toc495567982"/>
      <w:bookmarkStart w:id="222" w:name="_Toc11998"/>
      <w:bookmarkStart w:id="223" w:name="_Toc23945"/>
      <w:bookmarkStart w:id="224" w:name="_Toc455584731"/>
      <w:bookmarkStart w:id="225" w:name="_Toc495666300"/>
      <w:bookmarkStart w:id="226" w:name="_Toc13360"/>
      <w:bookmarkStart w:id="227" w:name="_Toc28222"/>
      <w:bookmarkStart w:id="228" w:name="_Toc27868"/>
      <w:bookmarkStart w:id="229" w:name="_Toc31303"/>
      <w:bookmarkStart w:id="230" w:name="_Toc26595"/>
    </w:p>
    <w:p w14:paraId="6A6B60EF">
      <w:pPr>
        <w:autoSpaceDE w:val="0"/>
        <w:autoSpaceDN w:val="0"/>
        <w:adjustRightInd w:val="0"/>
        <w:spacing w:line="360" w:lineRule="auto"/>
        <w:ind w:firstLine="480" w:firstLineChars="200"/>
        <w:jc w:val="center"/>
        <w:rPr>
          <w:rFonts w:hint="eastAsia" w:ascii="宋体" w:hAnsi="Cambria" w:cs="宋体"/>
          <w:kern w:val="0"/>
          <w:sz w:val="24"/>
          <w:lang w:val="zh-CN"/>
        </w:rPr>
      </w:pPr>
    </w:p>
    <w:p w14:paraId="68D82EC0">
      <w:pPr>
        <w:autoSpaceDE w:val="0"/>
        <w:autoSpaceDN w:val="0"/>
        <w:adjustRightInd w:val="0"/>
        <w:spacing w:line="360" w:lineRule="auto"/>
        <w:ind w:firstLine="480" w:firstLineChars="200"/>
        <w:jc w:val="center"/>
        <w:rPr>
          <w:rFonts w:hint="eastAsia" w:ascii="宋体" w:hAnsi="Cambria" w:cs="宋体"/>
          <w:kern w:val="0"/>
          <w:sz w:val="24"/>
          <w:lang w:val="zh-CN"/>
        </w:rPr>
      </w:pPr>
    </w:p>
    <w:p w14:paraId="1A1721E1">
      <w:pPr>
        <w:autoSpaceDE w:val="0"/>
        <w:autoSpaceDN w:val="0"/>
        <w:adjustRightInd w:val="0"/>
        <w:spacing w:line="360" w:lineRule="auto"/>
        <w:ind w:firstLine="480" w:firstLineChars="200"/>
        <w:jc w:val="center"/>
        <w:rPr>
          <w:rFonts w:hint="eastAsia" w:ascii="宋体" w:hAnsi="Cambria" w:cs="宋体"/>
          <w:kern w:val="0"/>
          <w:sz w:val="24"/>
          <w:lang w:val="zh-CN"/>
        </w:rPr>
      </w:pPr>
    </w:p>
    <w:p w14:paraId="0EE6F928">
      <w:pPr>
        <w:autoSpaceDE w:val="0"/>
        <w:autoSpaceDN w:val="0"/>
        <w:adjustRightInd w:val="0"/>
        <w:spacing w:line="360" w:lineRule="auto"/>
        <w:ind w:firstLine="480" w:firstLineChars="200"/>
        <w:jc w:val="center"/>
        <w:rPr>
          <w:rFonts w:hint="eastAsia" w:ascii="宋体" w:hAnsi="Cambria" w:cs="宋体"/>
          <w:kern w:val="0"/>
          <w:sz w:val="24"/>
          <w:lang w:val="zh-CN"/>
        </w:rPr>
      </w:pPr>
    </w:p>
    <w:p w14:paraId="746DC9CE">
      <w:pPr>
        <w:autoSpaceDE w:val="0"/>
        <w:autoSpaceDN w:val="0"/>
        <w:adjustRightInd w:val="0"/>
        <w:spacing w:line="360" w:lineRule="auto"/>
        <w:ind w:firstLine="480" w:firstLineChars="200"/>
        <w:jc w:val="center"/>
        <w:rPr>
          <w:rFonts w:hint="eastAsia" w:ascii="宋体" w:hAnsi="Cambria" w:cs="宋体"/>
          <w:kern w:val="0"/>
          <w:sz w:val="24"/>
          <w:lang w:val="zh-CN"/>
        </w:rPr>
      </w:pPr>
    </w:p>
    <w:p w14:paraId="29F31DE0">
      <w:pPr>
        <w:autoSpaceDE w:val="0"/>
        <w:autoSpaceDN w:val="0"/>
        <w:adjustRightInd w:val="0"/>
        <w:spacing w:line="360" w:lineRule="auto"/>
        <w:ind w:firstLine="480" w:firstLineChars="200"/>
        <w:jc w:val="center"/>
        <w:rPr>
          <w:rFonts w:hint="eastAsia" w:ascii="宋体" w:hAnsi="Cambria" w:cs="宋体"/>
          <w:kern w:val="0"/>
          <w:sz w:val="24"/>
          <w:lang w:val="zh-CN"/>
        </w:rPr>
      </w:pPr>
    </w:p>
    <w:p w14:paraId="48E5242D">
      <w:pPr>
        <w:autoSpaceDE w:val="0"/>
        <w:autoSpaceDN w:val="0"/>
        <w:adjustRightInd w:val="0"/>
        <w:spacing w:line="360" w:lineRule="auto"/>
        <w:ind w:firstLine="480" w:firstLineChars="200"/>
        <w:jc w:val="center"/>
        <w:rPr>
          <w:rFonts w:hint="eastAsia" w:ascii="宋体" w:hAnsi="Cambria" w:cs="宋体"/>
          <w:kern w:val="0"/>
          <w:sz w:val="24"/>
          <w:lang w:val="zh-CN"/>
        </w:rPr>
      </w:pPr>
    </w:p>
    <w:p w14:paraId="3F27B4B5">
      <w:pPr>
        <w:autoSpaceDE w:val="0"/>
        <w:autoSpaceDN w:val="0"/>
        <w:adjustRightInd w:val="0"/>
        <w:spacing w:line="360" w:lineRule="auto"/>
        <w:ind w:firstLine="480" w:firstLineChars="200"/>
        <w:jc w:val="center"/>
        <w:rPr>
          <w:rFonts w:hint="eastAsia" w:ascii="宋体" w:hAnsi="Cambria" w:cs="宋体"/>
          <w:kern w:val="0"/>
          <w:sz w:val="24"/>
          <w:lang w:val="zh-CN"/>
        </w:rPr>
      </w:pPr>
    </w:p>
    <w:p w14:paraId="33D802F2">
      <w:pPr>
        <w:autoSpaceDE w:val="0"/>
        <w:autoSpaceDN w:val="0"/>
        <w:adjustRightInd w:val="0"/>
        <w:spacing w:line="360" w:lineRule="auto"/>
        <w:ind w:firstLine="480" w:firstLineChars="200"/>
        <w:jc w:val="center"/>
        <w:rPr>
          <w:rFonts w:hint="eastAsia" w:ascii="宋体" w:hAnsi="Cambria" w:cs="宋体"/>
          <w:kern w:val="0"/>
          <w:sz w:val="24"/>
          <w:lang w:val="zh-CN"/>
        </w:rPr>
      </w:pPr>
    </w:p>
    <w:p w14:paraId="3FBF64DC">
      <w:pPr>
        <w:autoSpaceDE w:val="0"/>
        <w:autoSpaceDN w:val="0"/>
        <w:adjustRightInd w:val="0"/>
        <w:spacing w:line="360" w:lineRule="auto"/>
        <w:ind w:firstLine="480" w:firstLineChars="200"/>
        <w:jc w:val="center"/>
        <w:rPr>
          <w:rFonts w:hint="eastAsia" w:ascii="宋体" w:hAnsi="Cambria" w:cs="宋体"/>
          <w:kern w:val="0"/>
          <w:sz w:val="24"/>
          <w:lang w:val="zh-CN"/>
        </w:rPr>
      </w:pPr>
    </w:p>
    <w:p w14:paraId="6BDDEDF1">
      <w:pPr>
        <w:autoSpaceDE w:val="0"/>
        <w:autoSpaceDN w:val="0"/>
        <w:adjustRightInd w:val="0"/>
        <w:spacing w:line="360" w:lineRule="auto"/>
        <w:ind w:firstLine="480" w:firstLineChars="200"/>
        <w:jc w:val="center"/>
        <w:rPr>
          <w:rFonts w:hint="eastAsia" w:ascii="宋体" w:hAnsi="Cambria" w:cs="宋体"/>
          <w:kern w:val="0"/>
          <w:sz w:val="24"/>
          <w:lang w:val="zh-CN"/>
        </w:rPr>
      </w:pPr>
    </w:p>
    <w:p w14:paraId="27504557">
      <w:pPr>
        <w:autoSpaceDE w:val="0"/>
        <w:autoSpaceDN w:val="0"/>
        <w:adjustRightInd w:val="0"/>
        <w:spacing w:line="360" w:lineRule="auto"/>
        <w:ind w:firstLine="480" w:firstLineChars="200"/>
        <w:jc w:val="center"/>
        <w:rPr>
          <w:rFonts w:hint="eastAsia" w:ascii="宋体" w:hAnsi="Cambria" w:cs="宋体"/>
          <w:kern w:val="0"/>
          <w:sz w:val="24"/>
          <w:lang w:val="zh-CN"/>
        </w:rPr>
      </w:pPr>
    </w:p>
    <w:p w14:paraId="240FCD55">
      <w:pPr>
        <w:autoSpaceDE w:val="0"/>
        <w:autoSpaceDN w:val="0"/>
        <w:adjustRightInd w:val="0"/>
        <w:spacing w:line="360" w:lineRule="auto"/>
        <w:ind w:firstLine="480" w:firstLineChars="200"/>
        <w:jc w:val="center"/>
        <w:rPr>
          <w:rFonts w:hint="eastAsia" w:ascii="宋体" w:hAnsi="Cambria" w:cs="宋体"/>
          <w:kern w:val="0"/>
          <w:sz w:val="24"/>
          <w:lang w:val="zh-CN"/>
        </w:rPr>
      </w:pPr>
    </w:p>
    <w:p w14:paraId="7B73E18B">
      <w:pPr>
        <w:autoSpaceDE w:val="0"/>
        <w:autoSpaceDN w:val="0"/>
        <w:adjustRightInd w:val="0"/>
        <w:spacing w:line="360" w:lineRule="auto"/>
        <w:ind w:firstLine="480" w:firstLineChars="200"/>
        <w:jc w:val="center"/>
        <w:rPr>
          <w:rFonts w:hint="eastAsia" w:ascii="宋体" w:hAnsi="Cambria" w:cs="宋体"/>
          <w:kern w:val="0"/>
          <w:sz w:val="24"/>
          <w:lang w:val="zh-CN"/>
        </w:rPr>
      </w:pPr>
    </w:p>
    <w:p w14:paraId="5EB5AF48">
      <w:pPr>
        <w:autoSpaceDE w:val="0"/>
        <w:autoSpaceDN w:val="0"/>
        <w:adjustRightInd w:val="0"/>
        <w:spacing w:line="360" w:lineRule="auto"/>
        <w:ind w:firstLine="480" w:firstLineChars="200"/>
        <w:jc w:val="center"/>
        <w:rPr>
          <w:rFonts w:hint="eastAsia" w:ascii="宋体" w:hAnsi="Cambria" w:cs="宋体"/>
          <w:kern w:val="0"/>
          <w:sz w:val="24"/>
          <w:lang w:val="zh-CN"/>
        </w:rPr>
      </w:pPr>
    </w:p>
    <w:p w14:paraId="486E2B6C">
      <w:pPr>
        <w:autoSpaceDE w:val="0"/>
        <w:autoSpaceDN w:val="0"/>
        <w:adjustRightInd w:val="0"/>
        <w:spacing w:line="360" w:lineRule="auto"/>
        <w:ind w:firstLine="480" w:firstLineChars="200"/>
        <w:jc w:val="center"/>
        <w:rPr>
          <w:rFonts w:hint="eastAsia" w:ascii="宋体" w:hAnsi="Cambria" w:cs="宋体"/>
          <w:kern w:val="0"/>
          <w:sz w:val="24"/>
          <w:lang w:val="zh-CN"/>
        </w:rPr>
      </w:pPr>
    </w:p>
    <w:p w14:paraId="068C9F52">
      <w:pPr>
        <w:autoSpaceDE w:val="0"/>
        <w:autoSpaceDN w:val="0"/>
        <w:adjustRightInd w:val="0"/>
        <w:spacing w:line="360" w:lineRule="auto"/>
        <w:ind w:firstLine="480" w:firstLineChars="200"/>
        <w:jc w:val="center"/>
        <w:rPr>
          <w:rFonts w:hint="eastAsia" w:ascii="宋体" w:hAnsi="Cambria" w:cs="宋体"/>
          <w:kern w:val="0"/>
          <w:sz w:val="24"/>
          <w:lang w:val="zh-CN"/>
        </w:rPr>
      </w:pPr>
    </w:p>
    <w:p w14:paraId="720AE2D5">
      <w:pPr>
        <w:autoSpaceDE w:val="0"/>
        <w:autoSpaceDN w:val="0"/>
        <w:adjustRightInd w:val="0"/>
        <w:spacing w:line="360" w:lineRule="auto"/>
        <w:ind w:firstLine="480" w:firstLineChars="200"/>
        <w:jc w:val="center"/>
        <w:rPr>
          <w:rFonts w:hint="eastAsia" w:ascii="宋体" w:hAnsi="Cambria" w:cs="宋体"/>
          <w:kern w:val="0"/>
          <w:sz w:val="24"/>
          <w:lang w:val="zh-CN"/>
        </w:rPr>
      </w:pPr>
    </w:p>
    <w:p w14:paraId="1C114859">
      <w:pPr>
        <w:autoSpaceDE w:val="0"/>
        <w:autoSpaceDN w:val="0"/>
        <w:adjustRightInd w:val="0"/>
        <w:spacing w:line="360" w:lineRule="auto"/>
        <w:ind w:firstLine="480" w:firstLineChars="200"/>
        <w:jc w:val="center"/>
        <w:rPr>
          <w:rFonts w:hint="eastAsia" w:ascii="宋体" w:hAnsi="Cambria" w:cs="宋体"/>
          <w:kern w:val="0"/>
          <w:sz w:val="24"/>
          <w:lang w:val="zh-CN"/>
        </w:rPr>
      </w:pPr>
    </w:p>
    <w:p w14:paraId="5FEE72C5">
      <w:pPr>
        <w:autoSpaceDE w:val="0"/>
        <w:autoSpaceDN w:val="0"/>
        <w:adjustRightInd w:val="0"/>
        <w:spacing w:line="360" w:lineRule="auto"/>
        <w:ind w:firstLine="480" w:firstLineChars="200"/>
        <w:jc w:val="center"/>
        <w:rPr>
          <w:rFonts w:hint="eastAsia" w:ascii="宋体" w:hAnsi="Cambria" w:cs="宋体"/>
          <w:kern w:val="0"/>
          <w:sz w:val="24"/>
          <w:lang w:val="zh-CN"/>
        </w:rPr>
      </w:pPr>
    </w:p>
    <w:p w14:paraId="37A9163B">
      <w:pPr>
        <w:autoSpaceDE w:val="0"/>
        <w:autoSpaceDN w:val="0"/>
        <w:adjustRightInd w:val="0"/>
        <w:spacing w:line="360" w:lineRule="auto"/>
        <w:ind w:firstLine="480" w:firstLineChars="200"/>
        <w:jc w:val="center"/>
        <w:rPr>
          <w:rFonts w:hint="eastAsia" w:ascii="宋体" w:hAnsi="Cambria" w:cs="宋体"/>
          <w:kern w:val="0"/>
          <w:sz w:val="24"/>
          <w:lang w:val="zh-CN"/>
        </w:rPr>
      </w:pPr>
    </w:p>
    <w:p w14:paraId="255E91AA">
      <w:pPr>
        <w:autoSpaceDE w:val="0"/>
        <w:autoSpaceDN w:val="0"/>
        <w:adjustRightInd w:val="0"/>
        <w:spacing w:line="360" w:lineRule="auto"/>
        <w:ind w:firstLine="480" w:firstLineChars="200"/>
        <w:jc w:val="center"/>
        <w:rPr>
          <w:rFonts w:hint="eastAsia" w:ascii="宋体" w:hAnsi="Cambria" w:cs="宋体"/>
          <w:kern w:val="0"/>
          <w:sz w:val="24"/>
          <w:lang w:val="zh-CN"/>
        </w:rPr>
      </w:pPr>
    </w:p>
    <w:p w14:paraId="4A59973B">
      <w:pPr>
        <w:autoSpaceDE w:val="0"/>
        <w:autoSpaceDN w:val="0"/>
        <w:adjustRightInd w:val="0"/>
        <w:spacing w:line="360" w:lineRule="auto"/>
        <w:ind w:firstLine="480" w:firstLineChars="200"/>
        <w:jc w:val="center"/>
        <w:rPr>
          <w:rFonts w:hint="eastAsia" w:ascii="宋体" w:hAnsi="Cambria" w:cs="宋体"/>
          <w:kern w:val="0"/>
          <w:sz w:val="24"/>
          <w:lang w:val="zh-CN"/>
        </w:rPr>
      </w:pPr>
    </w:p>
    <w:p w14:paraId="0372B676">
      <w:pPr>
        <w:autoSpaceDE w:val="0"/>
        <w:autoSpaceDN w:val="0"/>
        <w:adjustRightInd w:val="0"/>
        <w:spacing w:line="360" w:lineRule="auto"/>
        <w:ind w:firstLine="480" w:firstLineChars="200"/>
        <w:jc w:val="center"/>
        <w:rPr>
          <w:rFonts w:hint="eastAsia" w:ascii="宋体" w:hAnsi="Cambria" w:cs="宋体"/>
          <w:kern w:val="0"/>
          <w:sz w:val="24"/>
          <w:lang w:val="zh-CN"/>
        </w:rPr>
      </w:pPr>
    </w:p>
    <w:p w14:paraId="1D27FDF6">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（22） 关于符合本国产品标准的声明函 </w:t>
      </w:r>
    </w:p>
    <w:p w14:paraId="67DB18E6">
      <w:pPr>
        <w:autoSpaceDE w:val="0"/>
        <w:autoSpaceDN w:val="0"/>
        <w:adjustRightInd w:val="0"/>
        <w:spacing w:line="360" w:lineRule="auto"/>
        <w:ind w:firstLine="482" w:firstLineChars="200"/>
        <w:rPr>
          <w:rFonts w:hint="eastAsia" w:ascii="宋体" w:hAnsi="Cambria" w:cs="宋体"/>
          <w:kern w:val="0"/>
          <w:sz w:val="24"/>
          <w:lang w:val="zh-CN"/>
        </w:rPr>
      </w:pPr>
      <w:r>
        <w:rPr>
          <w:rFonts w:hint="eastAsia" w:ascii="宋体" w:hAnsi="宋体" w:cs="宋体"/>
          <w:b/>
          <w:bCs/>
          <w:kern w:val="0"/>
          <w:sz w:val="24"/>
          <w:szCs w:val="24"/>
          <w:lang w:val="en-US" w:eastAsia="zh-CN"/>
        </w:rPr>
        <w:t xml:space="preserve">  </w:t>
      </w:r>
      <w:r>
        <w:rPr>
          <w:rFonts w:hint="eastAsia" w:ascii="宋体" w:hAnsi="Cambria" w:cs="宋体"/>
          <w:kern w:val="0"/>
          <w:sz w:val="24"/>
          <w:lang w:val="en-US" w:eastAsia="zh-CN"/>
        </w:rPr>
        <w:t xml:space="preserve"> 本公司（单位）郑重声明，根据《国务院办公厅关于在政府采购中实施本国产品标准及相关政策的通知》（国办发〔2025〕34 号）的规定，本公司（单位） 提供的以下产品属于本国产品。具体情况如下： </w:t>
      </w:r>
    </w:p>
    <w:p w14:paraId="07CB78A6">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en-US" w:eastAsia="zh-CN"/>
        </w:rPr>
        <w:t xml:space="preserve">1.（产品名称 1） 1，生产厂为（厂名） 2，厂址为（生产厂址）。（产品名 称 1）的中国境内生产的组件成本占比≥（规定比例）3。（产品名称 1）的（关 键组件） 4 在中国境内生产。（产品名称 1）的（关键工序） 5 在中国境内完成。 </w:t>
      </w:r>
    </w:p>
    <w:p w14:paraId="6D90F273">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en-US" w:eastAsia="zh-CN"/>
        </w:rPr>
        <w:t xml:space="preserve">2.（产品名称 2），生产厂为（厂名），厂址为（生产厂址）。（产品名称 </w:t>
      </w:r>
    </w:p>
    <w:p w14:paraId="3160ABA4">
      <w:pPr>
        <w:autoSpaceDE w:val="0"/>
        <w:autoSpaceDN w:val="0"/>
        <w:adjustRightInd w:val="0"/>
        <w:spacing w:line="360" w:lineRule="auto"/>
        <w:rPr>
          <w:rFonts w:hint="eastAsia" w:ascii="宋体" w:hAnsi="Cambria" w:cs="宋体"/>
          <w:kern w:val="0"/>
          <w:sz w:val="24"/>
          <w:lang w:val="zh-CN"/>
        </w:rPr>
      </w:pPr>
      <w:r>
        <w:rPr>
          <w:rFonts w:hint="eastAsia" w:ascii="宋体" w:hAnsi="Cambria" w:cs="宋体"/>
          <w:kern w:val="0"/>
          <w:sz w:val="24"/>
          <w:lang w:val="en-US" w:eastAsia="zh-CN"/>
        </w:rPr>
        <w:t xml:space="preserve">2）的中国境内生产的组件成本占比≥（规定比例）。（产品名称 2）的（关键 组件）在中国境内生产。（产品名称 2）的（关键工序）在中国境内完成。 </w:t>
      </w:r>
    </w:p>
    <w:p w14:paraId="68742B99">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en-US" w:eastAsia="zh-CN"/>
        </w:rPr>
        <w:t xml:space="preserve">…… </w:t>
      </w:r>
    </w:p>
    <w:p w14:paraId="0D302898">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en-US" w:eastAsia="zh-CN"/>
        </w:rPr>
        <w:t xml:space="preserve">本公司（单位）对上述声明内容的真实性负责。如有虚假，愿承担相应法律 </w:t>
      </w:r>
    </w:p>
    <w:p w14:paraId="13DBC492">
      <w:pPr>
        <w:autoSpaceDE w:val="0"/>
        <w:autoSpaceDN w:val="0"/>
        <w:adjustRightInd w:val="0"/>
        <w:spacing w:line="360" w:lineRule="auto"/>
        <w:rPr>
          <w:rFonts w:hint="eastAsia" w:ascii="宋体" w:hAnsi="Cambria" w:cs="宋体"/>
          <w:kern w:val="0"/>
          <w:sz w:val="24"/>
          <w:lang w:val="en-US" w:eastAsia="zh-CN"/>
        </w:rPr>
      </w:pPr>
      <w:r>
        <w:rPr>
          <w:rFonts w:hint="eastAsia" w:ascii="宋体" w:hAnsi="Cambria" w:cs="宋体"/>
          <w:kern w:val="0"/>
          <w:sz w:val="24"/>
          <w:lang w:val="en-US" w:eastAsia="zh-CN"/>
        </w:rPr>
        <w:t xml:space="preserve">责任。 </w:t>
      </w:r>
    </w:p>
    <w:p w14:paraId="3752A7CF">
      <w:pPr>
        <w:autoSpaceDE w:val="0"/>
        <w:autoSpaceDN w:val="0"/>
        <w:adjustRightInd w:val="0"/>
        <w:spacing w:line="360" w:lineRule="auto"/>
        <w:rPr>
          <w:rFonts w:hint="eastAsia" w:ascii="宋体" w:hAnsi="Cambria" w:cs="宋体"/>
          <w:kern w:val="0"/>
          <w:sz w:val="24"/>
          <w:lang w:val="en-US" w:eastAsia="zh-CN"/>
        </w:rPr>
      </w:pPr>
    </w:p>
    <w:p w14:paraId="228F6EE4">
      <w:pPr>
        <w:autoSpaceDE w:val="0"/>
        <w:autoSpaceDN w:val="0"/>
        <w:adjustRightInd w:val="0"/>
        <w:spacing w:line="360" w:lineRule="auto"/>
        <w:rPr>
          <w:rFonts w:hint="eastAsia" w:ascii="宋体" w:hAnsi="Cambria" w:cs="宋体"/>
          <w:kern w:val="0"/>
          <w:sz w:val="24"/>
          <w:lang w:val="zh-CN" w:eastAsia="zh-CN"/>
        </w:rPr>
      </w:pPr>
    </w:p>
    <w:p w14:paraId="2D3154D1">
      <w:pPr>
        <w:autoSpaceDE w:val="0"/>
        <w:autoSpaceDN w:val="0"/>
        <w:adjustRightInd w:val="0"/>
        <w:spacing w:line="360" w:lineRule="auto"/>
        <w:ind w:firstLine="3120" w:firstLineChars="1300"/>
        <w:rPr>
          <w:rFonts w:hint="eastAsia" w:ascii="宋体" w:hAnsi="Cambria" w:cs="宋体"/>
          <w:kern w:val="0"/>
          <w:sz w:val="24"/>
          <w:lang w:val="en-US" w:eastAsia="zh-CN"/>
        </w:rPr>
      </w:pPr>
    </w:p>
    <w:p w14:paraId="28245A23">
      <w:pPr>
        <w:autoSpaceDE w:val="0"/>
        <w:autoSpaceDN w:val="0"/>
        <w:adjustRightInd w:val="0"/>
        <w:spacing w:line="360" w:lineRule="auto"/>
        <w:ind w:firstLine="4800" w:firstLineChars="2000"/>
        <w:rPr>
          <w:rFonts w:hint="eastAsia" w:ascii="宋体" w:hAnsi="Cambria" w:cs="宋体"/>
          <w:kern w:val="0"/>
          <w:sz w:val="24"/>
          <w:lang w:val="zh-CN"/>
        </w:rPr>
      </w:pPr>
      <w:r>
        <w:rPr>
          <w:rFonts w:hint="eastAsia" w:ascii="宋体" w:hAnsi="Cambria" w:cs="宋体"/>
          <w:kern w:val="0"/>
          <w:sz w:val="24"/>
          <w:lang w:val="en-US" w:eastAsia="zh-CN"/>
        </w:rPr>
        <w:t xml:space="preserve">公司（单位）名称（盖章）： </w:t>
      </w:r>
    </w:p>
    <w:p w14:paraId="7614CDDF">
      <w:pPr>
        <w:autoSpaceDE w:val="0"/>
        <w:autoSpaceDN w:val="0"/>
        <w:adjustRightInd w:val="0"/>
        <w:spacing w:line="360" w:lineRule="auto"/>
        <w:ind w:firstLine="5520" w:firstLineChars="2300"/>
        <w:rPr>
          <w:rFonts w:hint="eastAsia" w:ascii="宋体" w:hAnsi="Cambria" w:cs="宋体"/>
          <w:kern w:val="0"/>
          <w:sz w:val="24"/>
          <w:lang w:val="en-US" w:eastAsia="zh-CN"/>
        </w:rPr>
      </w:pPr>
      <w:r>
        <w:rPr>
          <w:rFonts w:hint="eastAsia" w:ascii="宋体" w:hAnsi="Cambria" w:cs="宋体"/>
          <w:kern w:val="0"/>
          <w:sz w:val="24"/>
          <w:lang w:val="en-US" w:eastAsia="zh-CN"/>
        </w:rPr>
        <w:t xml:space="preserve">日期：  年   月   日 </w:t>
      </w:r>
    </w:p>
    <w:p w14:paraId="1187B2EC">
      <w:pPr>
        <w:autoSpaceDE w:val="0"/>
        <w:autoSpaceDN w:val="0"/>
        <w:adjustRightInd w:val="0"/>
        <w:spacing w:line="360" w:lineRule="auto"/>
        <w:ind w:firstLine="480" w:firstLineChars="200"/>
        <w:rPr>
          <w:rFonts w:hint="eastAsia" w:ascii="宋体" w:hAnsi="Cambria" w:cs="宋体"/>
          <w:kern w:val="0"/>
          <w:sz w:val="24"/>
          <w:lang w:val="en-US" w:eastAsia="zh-CN"/>
        </w:rPr>
      </w:pPr>
    </w:p>
    <w:p w14:paraId="64AE2320">
      <w:pPr>
        <w:autoSpaceDE w:val="0"/>
        <w:autoSpaceDN w:val="0"/>
        <w:adjustRightInd w:val="0"/>
        <w:spacing w:line="360" w:lineRule="auto"/>
        <w:ind w:firstLine="480" w:firstLineChars="200"/>
        <w:rPr>
          <w:rFonts w:hint="eastAsia" w:ascii="宋体" w:hAnsi="Cambria" w:cs="宋体"/>
          <w:kern w:val="0"/>
          <w:sz w:val="24"/>
          <w:lang w:val="zh-CN" w:eastAsia="zh-CN"/>
        </w:rPr>
      </w:pPr>
    </w:p>
    <w:p w14:paraId="12D9FF2B">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en-US" w:eastAsia="zh-CN"/>
        </w:rPr>
        <w:t xml:space="preserve">__________________ </w:t>
      </w:r>
    </w:p>
    <w:p w14:paraId="22D8E6DC">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en-US" w:eastAsia="zh-CN"/>
        </w:rPr>
        <w:t xml:space="preserve">1.产品如有型号，请在“产品名称”栏一并填写。 </w:t>
      </w:r>
    </w:p>
    <w:p w14:paraId="1DDF2A23">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en-US" w:eastAsia="zh-CN"/>
        </w:rPr>
        <w:t xml:space="preserve">2.生产厂名与厂址应与生产厂营业执照载明的相关信息保持一致。 </w:t>
      </w:r>
    </w:p>
    <w:p w14:paraId="3EE301D8">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en-US" w:eastAsia="zh-CN"/>
        </w:rPr>
        <w:t xml:space="preserve">3.该产品的中国境内生产的组件成本占比相关要求实施前，“规定比例”栏 </w:t>
      </w:r>
    </w:p>
    <w:p w14:paraId="395EFB69">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en-US" w:eastAsia="zh-CN"/>
        </w:rPr>
        <w:t xml:space="preserve">可不填，下同。 </w:t>
      </w:r>
    </w:p>
    <w:p w14:paraId="0113BDF7">
      <w:pPr>
        <w:autoSpaceDE w:val="0"/>
        <w:autoSpaceDN w:val="0"/>
        <w:adjustRightInd w:val="0"/>
        <w:spacing w:line="360" w:lineRule="auto"/>
        <w:ind w:firstLine="480" w:firstLineChars="200"/>
        <w:rPr>
          <w:rFonts w:hint="eastAsia" w:ascii="宋体" w:hAnsi="Cambria" w:cs="宋体"/>
          <w:kern w:val="0"/>
          <w:sz w:val="24"/>
          <w:lang w:val="zh-CN"/>
        </w:rPr>
      </w:pPr>
      <w:r>
        <w:rPr>
          <w:rFonts w:hint="eastAsia" w:ascii="宋体" w:hAnsi="Cambria" w:cs="宋体"/>
          <w:kern w:val="0"/>
          <w:sz w:val="24"/>
          <w:lang w:val="en-US" w:eastAsia="zh-CN"/>
        </w:rPr>
        <w:t xml:space="preserve">4.该产品的关键组件要求实施前，“关键组件”栏可不填，下同。 </w:t>
      </w:r>
    </w:p>
    <w:p w14:paraId="517471ED">
      <w:pPr>
        <w:autoSpaceDE w:val="0"/>
        <w:autoSpaceDN w:val="0"/>
        <w:adjustRightInd w:val="0"/>
        <w:spacing w:line="360" w:lineRule="auto"/>
        <w:ind w:firstLine="480" w:firstLineChars="200"/>
        <w:rPr>
          <w:rFonts w:hint="eastAsia" w:ascii="宋体" w:hAnsi="宋体" w:eastAsia="宋体" w:cs="宋体"/>
          <w:b/>
          <w:bCs/>
          <w:kern w:val="0"/>
          <w:sz w:val="24"/>
          <w:szCs w:val="24"/>
          <w:lang w:val="zh-CN"/>
        </w:rPr>
      </w:pPr>
      <w:r>
        <w:rPr>
          <w:rFonts w:hint="eastAsia" w:ascii="宋体" w:hAnsi="Cambria" w:cs="宋体"/>
          <w:kern w:val="0"/>
          <w:sz w:val="24"/>
          <w:lang w:val="en-US" w:eastAsia="zh-CN"/>
        </w:rPr>
        <w:t>5.该产品的关键工序要求实施前，“关键工序”栏可不填，下同。</w:t>
      </w:r>
    </w:p>
    <w:p w14:paraId="77BE3D55">
      <w:pPr>
        <w:autoSpaceDE w:val="0"/>
        <w:autoSpaceDN w:val="0"/>
        <w:adjustRightInd w:val="0"/>
        <w:spacing w:line="360" w:lineRule="auto"/>
        <w:ind w:firstLine="480" w:firstLineChars="200"/>
        <w:jc w:val="center"/>
        <w:rPr>
          <w:rFonts w:hint="eastAsia" w:ascii="宋体" w:hAnsi="Cambria" w:cs="宋体"/>
          <w:kern w:val="0"/>
          <w:sz w:val="24"/>
          <w:lang w:val="zh-CN"/>
        </w:rPr>
      </w:pPr>
    </w:p>
    <w:p w14:paraId="2F800AB8">
      <w:pPr>
        <w:autoSpaceDE w:val="0"/>
        <w:autoSpaceDN w:val="0"/>
        <w:adjustRightInd w:val="0"/>
        <w:spacing w:line="360" w:lineRule="auto"/>
        <w:ind w:firstLine="480" w:firstLineChars="200"/>
        <w:jc w:val="center"/>
        <w:rPr>
          <w:rFonts w:hint="eastAsia" w:ascii="宋体" w:hAnsi="Cambria" w:cs="宋体"/>
          <w:kern w:val="0"/>
          <w:sz w:val="24"/>
          <w:lang w:val="zh-CN"/>
        </w:rPr>
        <w:sectPr>
          <w:pgSz w:w="11906" w:h="16838"/>
          <w:pgMar w:top="1440" w:right="1800" w:bottom="1440" w:left="1800" w:header="851" w:footer="992" w:gutter="0"/>
          <w:cols w:space="425" w:num="1"/>
          <w:docGrid w:type="lines" w:linePitch="312" w:charSpace="0"/>
        </w:sectPr>
      </w:pPr>
    </w:p>
    <w:p w14:paraId="781F0A15">
      <w:pPr>
        <w:pStyle w:val="17"/>
        <w:spacing w:before="0" w:after="240" w:line="360" w:lineRule="auto"/>
        <w:outlineLvl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第</w:t>
      </w:r>
      <w:r>
        <w:rPr>
          <w:rFonts w:hint="eastAsia" w:ascii="宋体" w:hAnsi="宋体" w:eastAsia="宋体" w:cs="宋体"/>
          <w:color w:val="auto"/>
          <w:highlight w:val="none"/>
        </w:rPr>
        <w:t>六</w:t>
      </w:r>
      <w:r>
        <w:rPr>
          <w:rFonts w:hint="eastAsia" w:ascii="宋体" w:hAnsi="宋体" w:eastAsia="宋体" w:cs="宋体"/>
          <w:color w:val="auto"/>
          <w:highlight w:val="none"/>
          <w:lang w:val="zh-CN"/>
        </w:rPr>
        <w:t>部分</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采购项目</w:t>
      </w:r>
      <w:r>
        <w:rPr>
          <w:rFonts w:hint="eastAsia" w:ascii="宋体" w:hAnsi="宋体" w:eastAsia="宋体" w:cs="宋体"/>
          <w:color w:val="auto"/>
          <w:highlight w:val="none"/>
        </w:rPr>
        <w:t>要求及</w:t>
      </w:r>
      <w:bookmarkEnd w:id="217"/>
      <w:bookmarkEnd w:id="218"/>
      <w:bookmarkEnd w:id="219"/>
      <w:bookmarkEnd w:id="220"/>
      <w:bookmarkEnd w:id="221"/>
      <w:bookmarkEnd w:id="222"/>
      <w:bookmarkEnd w:id="223"/>
      <w:bookmarkEnd w:id="224"/>
      <w:bookmarkEnd w:id="225"/>
      <w:bookmarkEnd w:id="226"/>
      <w:bookmarkEnd w:id="227"/>
      <w:r>
        <w:rPr>
          <w:rFonts w:hint="eastAsia" w:ascii="宋体" w:hAnsi="宋体" w:cs="宋体"/>
          <w:color w:val="auto"/>
          <w:highlight w:val="none"/>
          <w:lang w:val="zh-CN"/>
        </w:rPr>
        <w:t>采购</w:t>
      </w:r>
      <w:r>
        <w:rPr>
          <w:rFonts w:hint="eastAsia" w:ascii="宋体" w:hAnsi="宋体" w:eastAsia="宋体" w:cs="宋体"/>
          <w:color w:val="auto"/>
          <w:highlight w:val="none"/>
        </w:rPr>
        <w:t>内容</w:t>
      </w:r>
      <w:bookmarkEnd w:id="228"/>
      <w:bookmarkEnd w:id="229"/>
      <w:bookmarkEnd w:id="230"/>
    </w:p>
    <w:p w14:paraId="365365E1">
      <w:pPr>
        <w:pStyle w:val="17"/>
        <w:spacing w:before="0" w:after="240" w:line="360" w:lineRule="auto"/>
        <w:rPr>
          <w:rFonts w:hint="eastAsia" w:ascii="宋体" w:hAnsi="宋体" w:eastAsia="宋体" w:cs="宋体"/>
          <w:color w:val="auto"/>
          <w:sz w:val="24"/>
          <w:szCs w:val="24"/>
          <w:highlight w:val="none"/>
        </w:rPr>
      </w:pPr>
      <w:bookmarkStart w:id="231" w:name="_Toc21550"/>
      <w:bookmarkStart w:id="232" w:name="_Toc296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一）响应要求</w:t>
      </w:r>
      <w:bookmarkEnd w:id="231"/>
      <w:bookmarkEnd w:id="232"/>
    </w:p>
    <w:p w14:paraId="30EAA618">
      <w:pPr>
        <w:pStyle w:val="20"/>
        <w:spacing w:before="0" w:after="0" w:line="360" w:lineRule="auto"/>
        <w:ind w:firstLine="482" w:firstLineChars="200"/>
        <w:jc w:val="left"/>
        <w:outlineLvl w:val="2"/>
        <w:rPr>
          <w:rFonts w:hint="eastAsia" w:ascii="宋体" w:hAnsi="宋体" w:eastAsia="宋体" w:cs="宋体"/>
          <w:color w:val="auto"/>
          <w:sz w:val="24"/>
          <w:szCs w:val="24"/>
          <w:highlight w:val="none"/>
          <w:lang w:val="zh-CN"/>
        </w:rPr>
      </w:pPr>
      <w:bookmarkStart w:id="233" w:name="_Toc32742"/>
      <w:bookmarkStart w:id="234" w:name="_Toc18974"/>
      <w:bookmarkStart w:id="235" w:name="_Toc6105"/>
      <w:bookmarkStart w:id="236" w:name="_Toc4601"/>
      <w:bookmarkStart w:id="237" w:name="_Toc28897"/>
      <w:bookmarkStart w:id="238" w:name="_Toc17815"/>
      <w:bookmarkStart w:id="239" w:name="_Toc30079"/>
      <w:bookmarkStart w:id="240" w:name="_Toc1194"/>
      <w:bookmarkStart w:id="241" w:name="_Toc10252"/>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说明</w:t>
      </w:r>
      <w:bookmarkEnd w:id="233"/>
      <w:bookmarkEnd w:id="234"/>
      <w:bookmarkEnd w:id="235"/>
      <w:bookmarkEnd w:id="236"/>
      <w:bookmarkEnd w:id="237"/>
      <w:bookmarkEnd w:id="238"/>
      <w:bookmarkEnd w:id="239"/>
      <w:bookmarkEnd w:id="240"/>
      <w:bookmarkEnd w:id="241"/>
    </w:p>
    <w:p w14:paraId="3FBE0773">
      <w:pPr>
        <w:widowControl/>
        <w:spacing w:line="360" w:lineRule="auto"/>
        <w:ind w:firstLine="480" w:firstLineChars="200"/>
        <w:jc w:val="left"/>
        <w:rPr>
          <w:rFonts w:hint="eastAsia" w:ascii="宋体" w:hAnsi="宋体" w:eastAsia="宋体" w:cs="宋体"/>
          <w:color w:val="auto"/>
          <w:sz w:val="24"/>
          <w:szCs w:val="24"/>
          <w:highlight w:val="none"/>
          <w:lang w:val="zh-CN"/>
        </w:rPr>
      </w:pPr>
      <w:bookmarkStart w:id="242" w:name="_Toc25525"/>
      <w:bookmarkStart w:id="243" w:name="_Toc10981"/>
      <w:bookmarkStart w:id="244" w:name="_Toc11186"/>
      <w:bookmarkStart w:id="245" w:name="_Toc22736"/>
      <w:bookmarkStart w:id="246" w:name="_Toc27390"/>
      <w:bookmarkStart w:id="247" w:name="_Toc26125"/>
      <w:r>
        <w:rPr>
          <w:rFonts w:hint="eastAsia" w:ascii="宋体" w:hAnsi="宋体" w:eastAsia="宋体" w:cs="宋体"/>
          <w:color w:val="auto"/>
          <w:sz w:val="24"/>
          <w:szCs w:val="24"/>
          <w:highlight w:val="none"/>
          <w:lang w:val="zh-CN"/>
        </w:rPr>
        <w:t xml:space="preserve">1.1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可以按照</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zh-CN"/>
        </w:rPr>
        <w:t>文件规定选择</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，但必须对所有内容作为一个整体进行</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，不能拆分或少报。否则，</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无效。</w:t>
      </w:r>
    </w:p>
    <w:p w14:paraId="632AF79A">
      <w:pPr>
        <w:widowControl/>
        <w:spacing w:line="360" w:lineRule="auto"/>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val="zh-CN"/>
        </w:rPr>
        <w:t>后分包情况：不允许。（允许，</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拟在</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val="zh-CN"/>
        </w:rPr>
        <w:t>后将</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val="zh-CN"/>
        </w:rPr>
        <w:t>项目的非主体、非关键性工作分包的，应当在</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文件中载明分包承担主体，分包承担主体应当具备相应资质条件且不得再次分包）</w:t>
      </w:r>
    </w:p>
    <w:p w14:paraId="4D331943">
      <w:pPr>
        <w:widowControl/>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1.3针对本项目，潜在供应商可对其中任意包号进行响应，供应商最多允许成交 1 个包。（各供应商均可对本项目任意进行响应，但最多只能承担一个包的采购任务。在评标时，若某个供应商出现重复成交的情况，则该供应商按评标包号的自然顺序承担前一个包的采购任务，相应包的成交候选人，按该包排名的自然顺序推荐，依此类推。）</w:t>
      </w:r>
    </w:p>
    <w:p w14:paraId="7DA4F83D">
      <w:pPr>
        <w:rPr>
          <w:rFonts w:hint="eastAsia" w:ascii="宋体" w:hAnsi="宋体" w:eastAsia="宋体" w:cs="宋体"/>
          <w:color w:val="auto"/>
          <w:highlight w:val="none"/>
          <w:lang w:val="zh-CN"/>
        </w:rPr>
      </w:pPr>
      <w:bookmarkStart w:id="248" w:name="_Toc26625"/>
    </w:p>
    <w:p w14:paraId="34AF005C">
      <w:pPr>
        <w:widowControl/>
        <w:spacing w:line="360" w:lineRule="auto"/>
        <w:ind w:firstLine="482" w:firstLineChars="200"/>
        <w:jc w:val="left"/>
        <w:outlineLvl w:val="2"/>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2.报价说明</w:t>
      </w:r>
      <w:bookmarkEnd w:id="242"/>
      <w:bookmarkEnd w:id="243"/>
      <w:bookmarkEnd w:id="244"/>
      <w:bookmarkEnd w:id="245"/>
      <w:bookmarkEnd w:id="246"/>
      <w:bookmarkEnd w:id="248"/>
    </w:p>
    <w:p w14:paraId="76EFC8DE">
      <w:pPr>
        <w:widowControl/>
        <w:spacing w:line="360" w:lineRule="auto"/>
        <w:ind w:firstLine="482" w:firstLineChars="200"/>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本次磋商文件中规定的采购预算额度为采购最高限价，供应商的响应报价不得超出此额度。否则，响应无效。</w:t>
      </w:r>
    </w:p>
    <w:bookmarkEnd w:id="247"/>
    <w:p w14:paraId="3BFC50A3">
      <w:pPr>
        <w:rPr>
          <w:rFonts w:hint="eastAsia" w:ascii="宋体" w:hAnsi="宋体" w:eastAsia="宋体" w:cs="宋体"/>
          <w:color w:val="auto"/>
          <w:highlight w:val="none"/>
          <w:lang w:val="zh-CN"/>
        </w:rPr>
      </w:pPr>
      <w:bookmarkStart w:id="249" w:name="_Toc9901"/>
      <w:bookmarkStart w:id="250" w:name="_Toc30123"/>
      <w:bookmarkStart w:id="251" w:name="_Toc15131"/>
      <w:bookmarkStart w:id="252" w:name="_Toc30144"/>
      <w:bookmarkStart w:id="253" w:name="_Toc525722561"/>
      <w:bookmarkStart w:id="254" w:name="_Toc14745"/>
      <w:bookmarkStart w:id="255" w:name="_Toc4367"/>
      <w:bookmarkStart w:id="256" w:name="_Toc28576"/>
    </w:p>
    <w:p w14:paraId="179F1411">
      <w:pPr>
        <w:widowControl/>
        <w:spacing w:line="360" w:lineRule="auto"/>
        <w:ind w:firstLine="482" w:firstLineChars="200"/>
        <w:jc w:val="left"/>
        <w:outlineLvl w:val="2"/>
        <w:rPr>
          <w:rFonts w:hint="eastAsia" w:ascii="宋体" w:hAnsi="宋体" w:eastAsia="宋体" w:cs="宋体"/>
          <w:b/>
          <w:bCs/>
          <w:color w:val="auto"/>
          <w:sz w:val="24"/>
          <w:szCs w:val="24"/>
          <w:highlight w:val="yellow"/>
          <w:lang w:val="zh-CN"/>
        </w:rPr>
      </w:pPr>
      <w:r>
        <w:rPr>
          <w:rFonts w:hint="eastAsia" w:ascii="宋体" w:hAnsi="宋体" w:eastAsia="宋体" w:cs="宋体"/>
          <w:b/>
          <w:bCs/>
          <w:color w:val="auto"/>
          <w:sz w:val="24"/>
          <w:szCs w:val="24"/>
          <w:highlight w:val="none"/>
          <w:lang w:val="zh-CN"/>
        </w:rPr>
        <w:t>3.商务要求</w:t>
      </w:r>
      <w:bookmarkEnd w:id="249"/>
      <w:bookmarkEnd w:id="250"/>
      <w:bookmarkEnd w:id="251"/>
      <w:bookmarkEnd w:id="252"/>
      <w:bookmarkEnd w:id="253"/>
      <w:bookmarkEnd w:id="254"/>
      <w:bookmarkEnd w:id="255"/>
    </w:p>
    <w:bookmarkEnd w:id="256"/>
    <w:p w14:paraId="115EB0E2">
      <w:pPr>
        <w:widowControl/>
        <w:spacing w:line="360" w:lineRule="auto"/>
        <w:ind w:firstLine="480" w:firstLineChars="200"/>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 xml:space="preserve">3.1 </w:t>
      </w:r>
      <w:r>
        <w:rPr>
          <w:rFonts w:hint="eastAsia" w:ascii="宋体" w:hAnsi="宋体" w:cs="宋体"/>
          <w:color w:val="auto"/>
          <w:sz w:val="24"/>
          <w:szCs w:val="24"/>
          <w:highlight w:val="none"/>
          <w:lang w:val="zh-CN" w:eastAsia="zh-CN"/>
        </w:rPr>
        <w:t>建设</w:t>
      </w:r>
      <w:r>
        <w:rPr>
          <w:rFonts w:hint="eastAsia" w:ascii="宋体" w:hAnsi="宋体" w:eastAsia="宋体" w:cs="宋体"/>
          <w:color w:val="auto"/>
          <w:sz w:val="24"/>
          <w:szCs w:val="24"/>
          <w:highlight w:val="none"/>
        </w:rPr>
        <w:t>期限：</w:t>
      </w:r>
      <w:r>
        <w:rPr>
          <w:rFonts w:hint="eastAsia" w:ascii="宋体" w:hAnsi="宋体" w:eastAsia="宋体" w:cs="宋体"/>
          <w:color w:val="auto"/>
          <w:sz w:val="24"/>
          <w:szCs w:val="24"/>
          <w:lang w:val="en-US" w:eastAsia="zh-CN"/>
        </w:rPr>
        <w:t>合同签订后30个日历日</w:t>
      </w:r>
    </w:p>
    <w:p w14:paraId="3944E05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 </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内容：尖扎县一体化网络应急指挥中心建设主要包括显示系统建设、会议系统建设、网络安全系统建设、配套设施建设。</w:t>
      </w:r>
    </w:p>
    <w:p w14:paraId="6DDB7D79">
      <w:pPr>
        <w:widowControl/>
        <w:spacing w:line="360" w:lineRule="auto"/>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3.3 </w:t>
      </w:r>
      <w:r>
        <w:rPr>
          <w:rFonts w:hint="eastAsia" w:ascii="宋体" w:hAnsi="宋体" w:cs="宋体"/>
          <w:color w:val="auto"/>
          <w:sz w:val="24"/>
          <w:szCs w:val="24"/>
          <w:highlight w:val="none"/>
          <w:lang w:eastAsia="zh-CN"/>
        </w:rPr>
        <w:t>交货地点</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lang w:val="zh-CN"/>
        </w:rPr>
        <w:t>尖扎县网信办3楼东侧办公区域，规划建设面积80平方米</w:t>
      </w:r>
      <w:r>
        <w:rPr>
          <w:rFonts w:hint="eastAsia" w:ascii="宋体" w:hAnsi="宋体" w:cs="宋体"/>
          <w:sz w:val="24"/>
          <w:szCs w:val="24"/>
          <w:highlight w:val="none"/>
          <w:lang w:val="zh-CN"/>
        </w:rPr>
        <w:t>。</w:t>
      </w:r>
    </w:p>
    <w:p w14:paraId="07CC7EE1">
      <w:pPr>
        <w:widowControl/>
        <w:spacing w:line="360" w:lineRule="auto"/>
        <w:ind w:firstLine="480" w:firstLineChars="20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3.4 付款方式：</w:t>
      </w:r>
    </w:p>
    <w:p w14:paraId="46C5B2F6">
      <w:pPr>
        <w:keepNext w:val="0"/>
        <w:keepLines w:val="0"/>
        <w:pageBreakBefore w:val="0"/>
        <w:widowControl w:val="0"/>
        <w:kinsoku/>
        <w:wordWrap/>
        <w:overflowPunct/>
        <w:topLinePunct w:val="0"/>
        <w:autoSpaceDE w:val="0"/>
        <w:autoSpaceDN w:val="0"/>
        <w:bidi w:val="0"/>
        <w:adjustRightInd w:val="0"/>
        <w:snapToGrid/>
        <w:spacing w:after="240" w:line="360" w:lineRule="auto"/>
        <w:ind w:firstLine="480" w:firstLineChars="200"/>
        <w:textAlignment w:val="auto"/>
        <w:rPr>
          <w:rFonts w:hint="eastAsia" w:ascii="宋体" w:hAnsi="宋体" w:eastAsia="宋体" w:cs="宋体"/>
          <w:sz w:val="24"/>
          <w:szCs w:val="24"/>
          <w:lang w:val="zh-CN"/>
        </w:rPr>
      </w:pPr>
      <w:r>
        <w:rPr>
          <w:rFonts w:hint="eastAsia" w:ascii="宋体" w:hAnsi="宋体" w:cs="宋体"/>
          <w:sz w:val="24"/>
          <w:szCs w:val="24"/>
          <w:lang w:val="zh-CN"/>
        </w:rPr>
        <w:t>合同签订后，甲方向乙方支付合同价款的40%，设备全部到场后甲方向乙方支付合同价款的</w:t>
      </w:r>
      <w:r>
        <w:rPr>
          <w:rFonts w:hint="eastAsia" w:ascii="宋体" w:hAnsi="宋体" w:cs="宋体"/>
          <w:sz w:val="24"/>
          <w:szCs w:val="24"/>
          <w:lang w:val="en-US" w:eastAsia="zh-CN"/>
        </w:rPr>
        <w:t>4</w:t>
      </w:r>
      <w:r>
        <w:rPr>
          <w:rFonts w:hint="eastAsia" w:ascii="宋体" w:hAnsi="宋体" w:cs="宋体"/>
          <w:sz w:val="24"/>
          <w:szCs w:val="24"/>
          <w:lang w:val="zh-CN"/>
        </w:rPr>
        <w:t>0%，乙方安装、调试完成后，经甲方最终验收合格后甲方向乙方支付合同价款的</w:t>
      </w:r>
      <w:r>
        <w:rPr>
          <w:rFonts w:hint="eastAsia" w:ascii="宋体" w:hAnsi="宋体" w:cs="宋体"/>
          <w:sz w:val="24"/>
          <w:szCs w:val="24"/>
          <w:lang w:val="en-US" w:eastAsia="zh-CN"/>
        </w:rPr>
        <w:t>2</w:t>
      </w:r>
      <w:r>
        <w:rPr>
          <w:rFonts w:hint="eastAsia" w:ascii="宋体" w:hAnsi="宋体" w:cs="宋体"/>
          <w:sz w:val="24"/>
          <w:szCs w:val="24"/>
          <w:lang w:val="zh-CN"/>
        </w:rPr>
        <w:t>0%。</w:t>
      </w:r>
    </w:p>
    <w:p w14:paraId="586E2B64">
      <w:pPr>
        <w:pStyle w:val="18"/>
        <w:numPr>
          <w:ilvl w:val="0"/>
          <w:numId w:val="0"/>
        </w:numPr>
        <w:ind w:firstLine="480" w:firstLineChars="200"/>
        <w:jc w:val="both"/>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sz w:val="24"/>
          <w:szCs w:val="24"/>
          <w:lang w:val="en-US" w:eastAsia="zh-CN"/>
        </w:rPr>
        <w:t>质保期：质保1年</w:t>
      </w:r>
    </w:p>
    <w:p w14:paraId="63BFAFBD">
      <w:pPr>
        <w:pStyle w:val="20"/>
        <w:spacing w:before="0" w:after="0" w:line="480" w:lineRule="auto"/>
        <w:outlineLvl w:val="1"/>
        <w:rPr>
          <w:rFonts w:hint="eastAsia" w:ascii="宋体" w:hAnsi="宋体" w:eastAsia="宋体" w:cs="宋体"/>
          <w:sz w:val="30"/>
          <w:szCs w:val="30"/>
          <w:lang w:val="zh-CN"/>
        </w:rPr>
      </w:pPr>
      <w:r>
        <w:rPr>
          <w:rFonts w:hint="eastAsia" w:ascii="宋体" w:hAnsi="宋体" w:eastAsia="宋体" w:cs="宋体"/>
          <w:sz w:val="30"/>
          <w:szCs w:val="30"/>
          <w:lang w:val="zh-CN"/>
        </w:rPr>
        <w:t>（二）采购要求</w:t>
      </w:r>
    </w:p>
    <w:p w14:paraId="45961830">
      <w:pPr>
        <w:numPr>
          <w:ilvl w:val="0"/>
          <w:numId w:val="0"/>
        </w:numPr>
        <w:rPr>
          <w:rFonts w:hint="eastAsia"/>
          <w:lang w:val="en-US" w:eastAsia="zh-CN"/>
        </w:rPr>
      </w:pPr>
    </w:p>
    <w:p w14:paraId="60D0FDFF">
      <w:pPr>
        <w:pStyle w:val="20"/>
        <w:spacing w:before="0" w:after="0" w:line="480" w:lineRule="auto"/>
        <w:ind w:firstLine="602" w:firstLineChars="200"/>
        <w:jc w:val="both"/>
        <w:outlineLvl w:val="1"/>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(一)显示系统建设</w:t>
      </w:r>
    </w:p>
    <w:p w14:paraId="1BF417A2">
      <w:pPr>
        <w:pStyle w:val="20"/>
        <w:spacing w:before="0" w:after="0" w:line="480" w:lineRule="auto"/>
        <w:ind w:firstLine="560" w:firstLineChars="200"/>
        <w:jc w:val="both"/>
        <w:outlineLvl w:val="1"/>
        <w:rPr>
          <w:rFonts w:hint="default" w:ascii="宋体" w:hAnsi="宋体" w:eastAsia="宋体" w:cs="宋体"/>
          <w:sz w:val="30"/>
          <w:szCs w:val="30"/>
          <w:lang w:val="en-US" w:eastAsia="zh-CN"/>
        </w:rPr>
      </w:pPr>
      <w:r>
        <w:rPr>
          <w:rFonts w:hint="default" w:ascii="仿宋_GB2312" w:hAnsi="Calibri" w:eastAsia="仿宋_GB2312" w:cs="Times New Roman"/>
          <w:b w:val="0"/>
          <w:bCs w:val="0"/>
          <w:kern w:val="2"/>
          <w:sz w:val="28"/>
          <w:szCs w:val="28"/>
          <w:lang w:val="en-US" w:eastAsia="zh-CN" w:bidi="ar-SA"/>
        </w:rPr>
        <w:t>应急指挥中心采用无缝拼接大屏采用小间距全彩显示屏，屏幕采用55英寸3*4，12块显示屏；整屏分辨率为1920x1080，用于显示各类视频图像、图文信息等。最佳观看距离≥3M，满足最佳观看距离要求。通过配置1台图像处理器实现高清视频信号的大屏拼接、开窗、漫游、叠加、图像裁剪/拉伸等应用。实现视频会议、信息平台等各个视频信号上墙展示。满足省、州、县三级跨层级数据实时同步展示、联动分析的业务需求。</w:t>
      </w:r>
    </w:p>
    <w:p w14:paraId="1ADF722A">
      <w:pPr>
        <w:pStyle w:val="20"/>
        <w:spacing w:before="0" w:after="0" w:line="480" w:lineRule="auto"/>
        <w:ind w:firstLine="602" w:firstLineChars="200"/>
        <w:jc w:val="both"/>
        <w:outlineLvl w:val="1"/>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(二)会议系统建设</w:t>
      </w:r>
    </w:p>
    <w:p w14:paraId="4AF2245E">
      <w:pPr>
        <w:pStyle w:val="20"/>
        <w:spacing w:before="0" w:after="0" w:line="480" w:lineRule="auto"/>
        <w:ind w:firstLine="560" w:firstLineChars="200"/>
        <w:jc w:val="both"/>
        <w:outlineLvl w:val="1"/>
        <w:rPr>
          <w:rFonts w:hint="default" w:ascii="仿宋_GB2312" w:hAnsi="Calibri" w:eastAsia="仿宋_GB2312" w:cs="Times New Roman"/>
          <w:b w:val="0"/>
          <w:bCs w:val="0"/>
          <w:kern w:val="2"/>
          <w:sz w:val="28"/>
          <w:szCs w:val="28"/>
          <w:lang w:val="en-US" w:eastAsia="zh-CN" w:bidi="ar-SA"/>
        </w:rPr>
      </w:pPr>
      <w:r>
        <w:rPr>
          <w:rFonts w:hint="default" w:ascii="仿宋_GB2312" w:hAnsi="Calibri" w:eastAsia="仿宋_GB2312" w:cs="Times New Roman"/>
          <w:b w:val="0"/>
          <w:bCs w:val="0"/>
          <w:kern w:val="2"/>
          <w:sz w:val="28"/>
          <w:szCs w:val="28"/>
          <w:lang w:val="en-US" w:eastAsia="zh-CN" w:bidi="ar-SA"/>
        </w:rPr>
        <w:t>该系统主要配备视频会议终端1台、视频会议摄像机1台、会议音柱扬声器2只、双通道专业数字功放1台、调音台1台、专业自动反馈抑制器1台、真分集无线话筒套装1台、专业电容式会议麦克风2套、电源时序器1台。依托光纤链路低延迟传输技术，可全面满足高清视频会议与专业音频扩声的业务需求搭建支持多部门、多区域灵活接入的远程协同会议平台，兼容现有省州级会议系统协议，集成现场画面实时投屏、屏幕共享、文件实时传输、语音转文字纪要、指令下达回执确认、多方批注协作等应急专属功能，同时保障极端环境下通信稳定，实现应急指挥“面对面”精准调度，缩短跨层级沟通时长，保障与省、市网信部门视频连线、数据共享，实现应急事件的快速上报与协同处置。</w:t>
      </w:r>
    </w:p>
    <w:p w14:paraId="16E3DEAA">
      <w:pPr>
        <w:pStyle w:val="20"/>
        <w:spacing w:before="0" w:after="0" w:line="480" w:lineRule="auto"/>
        <w:ind w:firstLine="602" w:firstLineChars="200"/>
        <w:jc w:val="both"/>
        <w:outlineLvl w:val="1"/>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(三)网络安全系统建设</w:t>
      </w:r>
    </w:p>
    <w:p w14:paraId="7E2C1FBF">
      <w:pPr>
        <w:pStyle w:val="20"/>
        <w:spacing w:before="0" w:after="0" w:line="480" w:lineRule="auto"/>
        <w:ind w:firstLine="560" w:firstLineChars="200"/>
        <w:jc w:val="both"/>
        <w:outlineLvl w:val="1"/>
        <w:rPr>
          <w:rFonts w:hint="default" w:ascii="宋体" w:hAnsi="宋体" w:eastAsia="宋体" w:cs="宋体"/>
          <w:sz w:val="30"/>
          <w:szCs w:val="30"/>
          <w:lang w:val="en-US" w:eastAsia="zh-CN"/>
        </w:rPr>
      </w:pPr>
      <w:r>
        <w:rPr>
          <w:rFonts w:hint="default" w:ascii="仿宋_GB2312" w:hAnsi="Calibri" w:eastAsia="仿宋_GB2312" w:cs="Times New Roman"/>
          <w:b w:val="0"/>
          <w:bCs w:val="0"/>
          <w:kern w:val="2"/>
          <w:sz w:val="28"/>
          <w:szCs w:val="28"/>
          <w:lang w:val="en-US" w:eastAsia="zh-CN" w:bidi="ar-SA"/>
        </w:rPr>
        <w:t>配置1台防火墙，构建“边界防护-数据加密-权限管控-安全审计”全流程纵深防护体系，通过下一代防火墙、边界入侵检测系统（IDS）、数据防泄漏（DLP）系统及安全态势感知平台，建立基于角色的分级授权机制，细化省、州、县各级人员数据访问权限，操作全程留痕可追溯，定期开展安全审计与漏洞扫描，针对勒索病毒、DDoS攻击等常见威胁制定快速处置预案，保障应急指挥网络、数据传输及存储的安全可靠，实现对网络流量、舆情信息的实时监测分析。</w:t>
      </w:r>
    </w:p>
    <w:p w14:paraId="6D54052C">
      <w:pPr>
        <w:pStyle w:val="20"/>
        <w:spacing w:before="0" w:after="0" w:line="480" w:lineRule="auto"/>
        <w:ind w:firstLine="602" w:firstLineChars="200"/>
        <w:jc w:val="both"/>
        <w:outlineLvl w:val="1"/>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(四)配套设施建设</w:t>
      </w:r>
    </w:p>
    <w:p w14:paraId="62300AFC">
      <w:pPr>
        <w:pStyle w:val="20"/>
        <w:spacing w:before="0" w:after="0" w:line="480" w:lineRule="auto"/>
        <w:ind w:firstLine="560" w:firstLineChars="200"/>
        <w:jc w:val="both"/>
        <w:outlineLvl w:val="1"/>
        <w:rPr>
          <w:rFonts w:hint="default" w:ascii="仿宋_GB2312" w:hAnsi="Calibri" w:eastAsia="仿宋_GB2312" w:cs="Times New Roman"/>
          <w:b w:val="0"/>
          <w:bCs w:val="0"/>
          <w:kern w:val="2"/>
          <w:sz w:val="28"/>
          <w:szCs w:val="28"/>
          <w:lang w:val="en-US" w:eastAsia="zh-CN" w:bidi="ar-SA"/>
        </w:rPr>
      </w:pPr>
      <w:r>
        <w:rPr>
          <w:rFonts w:hint="default" w:ascii="仿宋_GB2312" w:hAnsi="Calibri" w:eastAsia="仿宋_GB2312" w:cs="Times New Roman"/>
          <w:b w:val="0"/>
          <w:bCs w:val="0"/>
          <w:kern w:val="2"/>
          <w:sz w:val="28"/>
          <w:szCs w:val="28"/>
          <w:lang w:val="en-US" w:eastAsia="zh-CN" w:bidi="ar-SA"/>
        </w:rPr>
        <w:t>该项建设内容配置高清红外监控终端、一体化办公终端及便携式现场采集设备，其中监控终端支持全天候现场画面采集，办公终端集成数据录入、报表生成、指令传达功能；设备硬件接口标准化，软件兼容省州级应急指挥平台、政务办公系统等部门业务系统，可实现数据无缝流转，关键设备配置双机热备及UPS不间断电源，配备应急供电模块，保障断电等突发情况下持续运行，全面支撑应急指挥日常值守、公文流转、数据统计分析、现场监控回看及跨部门业务协同需求，保障与省、州级平台高效联动、业务顺畅衔接，主要配备6KVAUPS应急电源主机1套、6KVAUPS应急电源电池16块、配套配电箱2套、应急操作席1套、应急操作椅3个、应急指挥席1套、应急指挥椅10个、国产电脑3台、涉密打印机1台、涉密有线电话1台、加密存储设备1台、403配套1项、视频监控设备1项。应急电源支持指挥中心相关设备4小时不间断电源供电，确保应急期间中心设施正常运转。</w:t>
      </w:r>
    </w:p>
    <w:p w14:paraId="0D9C19D1">
      <w:pPr>
        <w:pStyle w:val="20"/>
        <w:spacing w:before="0" w:after="0" w:line="480" w:lineRule="auto"/>
        <w:outlineLvl w:val="1"/>
        <w:rPr>
          <w:rFonts w:hint="eastAsia" w:ascii="宋体" w:hAnsi="宋体" w:eastAsia="宋体" w:cs="宋体"/>
          <w:sz w:val="30"/>
          <w:szCs w:val="30"/>
          <w:lang w:val="zh-CN"/>
        </w:rPr>
        <w:sectPr>
          <w:pgSz w:w="11906" w:h="16838"/>
          <w:pgMar w:top="1440" w:right="1800" w:bottom="1440" w:left="1800" w:header="851" w:footer="992" w:gutter="0"/>
          <w:cols w:space="425" w:num="1"/>
          <w:docGrid w:type="lines" w:linePitch="312" w:charSpace="0"/>
        </w:sectPr>
      </w:pPr>
    </w:p>
    <w:p w14:paraId="109E8DB9">
      <w:pPr>
        <w:pStyle w:val="20"/>
        <w:spacing w:before="0" w:after="0" w:line="480" w:lineRule="auto"/>
        <w:jc w:val="center"/>
        <w:outlineLvl w:val="1"/>
        <w:rPr>
          <w:rFonts w:hint="eastAsia" w:ascii="宋体" w:hAnsi="宋体" w:eastAsia="宋体" w:cs="宋体"/>
          <w:sz w:val="30"/>
          <w:szCs w:val="30"/>
          <w:lang w:val="zh-CN"/>
        </w:rPr>
      </w:pPr>
      <w:r>
        <w:rPr>
          <w:rFonts w:hint="eastAsia" w:ascii="宋体" w:hAnsi="宋体" w:eastAsia="宋体" w:cs="宋体"/>
          <w:sz w:val="30"/>
          <w:szCs w:val="30"/>
          <w:lang w:val="zh-CN"/>
        </w:rPr>
        <w:t>（</w:t>
      </w:r>
      <w:r>
        <w:rPr>
          <w:rFonts w:hint="eastAsia" w:ascii="宋体" w:hAnsi="宋体" w:eastAsia="宋体" w:cs="宋体"/>
          <w:sz w:val="30"/>
          <w:szCs w:val="30"/>
          <w:lang w:val="zh-CN" w:eastAsia="zh-CN"/>
        </w:rPr>
        <w:t>三</w:t>
      </w:r>
      <w:r>
        <w:rPr>
          <w:rFonts w:hint="eastAsia" w:ascii="宋体" w:hAnsi="宋体" w:eastAsia="宋体" w:cs="宋体"/>
          <w:sz w:val="30"/>
          <w:szCs w:val="30"/>
          <w:lang w:val="zh-CN"/>
        </w:rPr>
        <w:t>）技术参数</w:t>
      </w:r>
    </w:p>
    <w:p w14:paraId="68FAC52E">
      <w:pPr>
        <w:spacing w:before="263" w:line="360" w:lineRule="auto"/>
        <w:jc w:val="center"/>
        <w:rPr>
          <w:rFonts w:hint="default" w:ascii="宋体" w:hAnsi="宋体" w:eastAsia="宋体" w:cs="宋体"/>
          <w:b/>
          <w:bCs/>
          <w:spacing w:val="-3"/>
          <w:sz w:val="29"/>
          <w:szCs w:val="29"/>
          <w:lang w:val="en-US" w:eastAsia="zh-CN"/>
        </w:rPr>
      </w:pPr>
      <w:r>
        <w:rPr>
          <w:rFonts w:hint="eastAsia" w:ascii="宋体" w:hAnsi="宋体" w:cs="宋体"/>
          <w:b/>
          <w:bCs/>
          <w:spacing w:val="-3"/>
          <w:sz w:val="29"/>
          <w:szCs w:val="29"/>
          <w:lang w:val="en-US" w:eastAsia="zh-CN"/>
        </w:rPr>
        <w:t>本项目的核心产品： 视频会议终端</w:t>
      </w:r>
    </w:p>
    <w:p w14:paraId="1C8A284D">
      <w:pPr>
        <w:spacing w:before="263" w:line="360" w:lineRule="auto"/>
        <w:jc w:val="both"/>
        <w:rPr>
          <w:rFonts w:hint="eastAsia" w:ascii="宋体" w:hAnsi="宋体" w:eastAsia="宋体" w:cs="宋体"/>
          <w:b/>
          <w:bCs/>
          <w:spacing w:val="-3"/>
          <w:sz w:val="29"/>
          <w:szCs w:val="29"/>
        </w:rPr>
      </w:pPr>
      <w:r>
        <w:rPr>
          <w:rFonts w:hint="eastAsia" w:ascii="宋体" w:hAnsi="宋体" w:eastAsia="宋体" w:cs="宋体"/>
          <w:b/>
          <w:bCs/>
          <w:spacing w:val="-3"/>
          <w:sz w:val="29"/>
          <w:szCs w:val="29"/>
        </w:rPr>
        <w:t>一、系统设备运行技术要求：</w:t>
      </w:r>
    </w:p>
    <w:tbl>
      <w:tblPr>
        <w:tblStyle w:val="22"/>
        <w:tblW w:w="5129" w:type="pct"/>
        <w:tblInd w:w="-351" w:type="dxa"/>
        <w:tblLayout w:type="fixed"/>
        <w:tblCellMar>
          <w:top w:w="0" w:type="dxa"/>
          <w:left w:w="108" w:type="dxa"/>
          <w:bottom w:w="0" w:type="dxa"/>
          <w:right w:w="108" w:type="dxa"/>
        </w:tblCellMar>
      </w:tblPr>
      <w:tblGrid>
        <w:gridCol w:w="873"/>
        <w:gridCol w:w="1321"/>
        <w:gridCol w:w="10166"/>
        <w:gridCol w:w="1096"/>
        <w:gridCol w:w="1084"/>
      </w:tblGrid>
      <w:tr w14:paraId="596E7CC1">
        <w:tblPrEx>
          <w:tblCellMar>
            <w:top w:w="0" w:type="dxa"/>
            <w:left w:w="108" w:type="dxa"/>
            <w:bottom w:w="0" w:type="dxa"/>
            <w:right w:w="108" w:type="dxa"/>
          </w:tblCellMar>
        </w:tblPrEx>
        <w:trPr>
          <w:trHeight w:val="320" w:hRule="atLeast"/>
        </w:trPr>
        <w:tc>
          <w:tcPr>
            <w:tcW w:w="30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31501E">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序号</w:t>
            </w:r>
          </w:p>
        </w:tc>
        <w:tc>
          <w:tcPr>
            <w:tcW w:w="454" w:type="pct"/>
            <w:tcBorders>
              <w:top w:val="single" w:color="auto" w:sz="4" w:space="0"/>
              <w:left w:val="nil"/>
              <w:bottom w:val="single" w:color="auto" w:sz="4" w:space="0"/>
              <w:right w:val="single" w:color="auto" w:sz="4" w:space="0"/>
            </w:tcBorders>
            <w:shd w:val="clear" w:color="000000" w:fill="FFFFFF"/>
            <w:noWrap/>
            <w:vAlign w:val="center"/>
          </w:tcPr>
          <w:p w14:paraId="07897BF0">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名称</w:t>
            </w:r>
          </w:p>
        </w:tc>
        <w:tc>
          <w:tcPr>
            <w:tcW w:w="3495" w:type="pct"/>
            <w:tcBorders>
              <w:top w:val="single" w:color="auto" w:sz="4" w:space="0"/>
              <w:left w:val="nil"/>
              <w:bottom w:val="single" w:color="auto" w:sz="4" w:space="0"/>
              <w:right w:val="single" w:color="auto" w:sz="4" w:space="0"/>
            </w:tcBorders>
            <w:shd w:val="clear" w:color="000000" w:fill="FFFFFF"/>
            <w:noWrap/>
            <w:vAlign w:val="center"/>
          </w:tcPr>
          <w:p w14:paraId="60F07C3F">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技术参数</w:t>
            </w:r>
          </w:p>
        </w:tc>
        <w:tc>
          <w:tcPr>
            <w:tcW w:w="376" w:type="pct"/>
            <w:tcBorders>
              <w:top w:val="single" w:color="auto" w:sz="4" w:space="0"/>
              <w:left w:val="nil"/>
              <w:bottom w:val="single" w:color="auto" w:sz="4" w:space="0"/>
              <w:right w:val="single" w:color="auto" w:sz="4" w:space="0"/>
            </w:tcBorders>
            <w:shd w:val="clear" w:color="000000" w:fill="FFFFFF"/>
            <w:noWrap/>
            <w:vAlign w:val="center"/>
          </w:tcPr>
          <w:p w14:paraId="3A817513">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单位</w:t>
            </w:r>
          </w:p>
        </w:tc>
        <w:tc>
          <w:tcPr>
            <w:tcW w:w="373" w:type="pct"/>
            <w:tcBorders>
              <w:top w:val="single" w:color="auto" w:sz="4" w:space="0"/>
              <w:left w:val="nil"/>
              <w:bottom w:val="single" w:color="auto" w:sz="4" w:space="0"/>
              <w:right w:val="single" w:color="auto" w:sz="4" w:space="0"/>
            </w:tcBorders>
            <w:shd w:val="clear" w:color="000000" w:fill="FFFFFF"/>
            <w:noWrap/>
            <w:vAlign w:val="center"/>
          </w:tcPr>
          <w:p w14:paraId="4363DF7D">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数量</w:t>
            </w:r>
          </w:p>
        </w:tc>
      </w:tr>
      <w:tr w14:paraId="3800EED5">
        <w:tblPrEx>
          <w:tblCellMar>
            <w:top w:w="0" w:type="dxa"/>
            <w:left w:w="108" w:type="dxa"/>
            <w:bottom w:w="0" w:type="dxa"/>
            <w:right w:w="108" w:type="dxa"/>
          </w:tblCellMar>
        </w:tblPrEx>
        <w:trPr>
          <w:trHeight w:val="320" w:hRule="atLeast"/>
        </w:trPr>
        <w:tc>
          <w:tcPr>
            <w:tcW w:w="500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1A2E899C">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一、显示系统</w:t>
            </w:r>
          </w:p>
        </w:tc>
      </w:tr>
      <w:tr w14:paraId="333C6DDE">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72288F42">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c>
          <w:tcPr>
            <w:tcW w:w="454" w:type="pct"/>
            <w:tcBorders>
              <w:top w:val="nil"/>
              <w:left w:val="nil"/>
              <w:bottom w:val="single" w:color="auto" w:sz="4" w:space="0"/>
              <w:right w:val="single" w:color="auto" w:sz="4" w:space="0"/>
            </w:tcBorders>
            <w:shd w:val="clear" w:color="000000" w:fill="FFFFFF"/>
            <w:vAlign w:val="center"/>
          </w:tcPr>
          <w:p w14:paraId="01A618EE">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55寸LED拼接屏</w:t>
            </w:r>
          </w:p>
        </w:tc>
        <w:tc>
          <w:tcPr>
            <w:tcW w:w="3495" w:type="pct"/>
            <w:tcBorders>
              <w:top w:val="nil"/>
              <w:left w:val="nil"/>
              <w:bottom w:val="single" w:color="auto" w:sz="4" w:space="0"/>
              <w:right w:val="single" w:color="auto" w:sz="4" w:space="0"/>
            </w:tcBorders>
            <w:shd w:val="clear" w:color="000000" w:fill="FFFFFF"/>
            <w:vAlign w:val="center"/>
          </w:tcPr>
          <w:p w14:paraId="221CA16F">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显示参数</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显示尺寸 55 inch</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屏幕可视区域 1209.6 (H) mm × 680.4 (V) mm</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背光源类型 LED直下式背光源</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像素间距 0.63 mm</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物理拼缝 3.5 mm</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物理拼缝公差 ±0.8 mm</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物理分辨率 1920 × 1080@60 Hz（向下兼容）</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亮度 500 cd/m²</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可视角 178°(水平)/ 178°(垂直)</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色深度 8 bit, 16.7 M</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对比度 1200:1</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响应时间 8.5 ms (G to G)</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色域 72% NTSC</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表面处理 Haze 25%</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接口参数</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音视频输入接口 HDMI × 1, DVI × 1, USB × 1</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音视频输出接口 无</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控制接口 RS232 IN × 1, RS232 OUT × 1</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电源参数</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电源 100～240 VAC, 50/60 Hz</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功耗 ≤ 245 W</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待机功耗 ≤ 0.5 W</w:t>
            </w:r>
          </w:p>
        </w:tc>
        <w:tc>
          <w:tcPr>
            <w:tcW w:w="376" w:type="pct"/>
            <w:tcBorders>
              <w:top w:val="nil"/>
              <w:left w:val="nil"/>
              <w:bottom w:val="single" w:color="auto" w:sz="4" w:space="0"/>
              <w:right w:val="single" w:color="auto" w:sz="4" w:space="0"/>
            </w:tcBorders>
            <w:shd w:val="clear" w:color="000000" w:fill="FFFFFF"/>
            <w:noWrap/>
            <w:vAlign w:val="center"/>
          </w:tcPr>
          <w:p w14:paraId="3BC1553E">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块</w:t>
            </w:r>
          </w:p>
        </w:tc>
        <w:tc>
          <w:tcPr>
            <w:tcW w:w="373" w:type="pct"/>
            <w:tcBorders>
              <w:top w:val="nil"/>
              <w:left w:val="nil"/>
              <w:bottom w:val="single" w:color="auto" w:sz="4" w:space="0"/>
              <w:right w:val="single" w:color="auto" w:sz="4" w:space="0"/>
            </w:tcBorders>
            <w:shd w:val="clear" w:color="000000" w:fill="FFFFFF"/>
            <w:noWrap/>
            <w:vAlign w:val="center"/>
          </w:tcPr>
          <w:p w14:paraId="4D6DE198">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12</w:t>
            </w:r>
          </w:p>
        </w:tc>
      </w:tr>
      <w:tr w14:paraId="428A4C23">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2378026A">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2</w:t>
            </w:r>
          </w:p>
        </w:tc>
        <w:tc>
          <w:tcPr>
            <w:tcW w:w="454" w:type="pct"/>
            <w:tcBorders>
              <w:top w:val="nil"/>
              <w:left w:val="nil"/>
              <w:bottom w:val="single" w:color="auto" w:sz="4" w:space="0"/>
              <w:right w:val="single" w:color="auto" w:sz="4" w:space="0"/>
            </w:tcBorders>
            <w:shd w:val="clear" w:color="000000" w:fill="FFFFFF"/>
            <w:noWrap/>
            <w:vAlign w:val="center"/>
          </w:tcPr>
          <w:p w14:paraId="2A976620">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图像处理器</w:t>
            </w:r>
          </w:p>
        </w:tc>
        <w:tc>
          <w:tcPr>
            <w:tcW w:w="3495" w:type="pct"/>
            <w:tcBorders>
              <w:top w:val="nil"/>
              <w:left w:val="nil"/>
              <w:bottom w:val="single" w:color="auto" w:sz="4" w:space="0"/>
              <w:right w:val="single" w:color="auto" w:sz="4" w:space="0"/>
            </w:tcBorders>
            <w:shd w:val="clear" w:color="000000" w:fill="FFFFFF"/>
            <w:vAlign w:val="center"/>
          </w:tcPr>
          <w:p w14:paraId="008235B3">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 采用运行稳定可靠操作系统，插卡式结构，方便扩充与维护</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 支持HDMI输出口解码输出，HDMI输入</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3 支持H.265、H.264、MPEG4、MJPEG等多种编码码流解码，解码性能强劲</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4 支持PS、RTP、TS、ES等主流的封装格式的解码</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5 可同时接入不同IP网段的网络摄像机进行解码，解决任意形式的组网环境</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6 内嵌平台软件功能，可脱离电脑端操作，将摄像头在大屏分割解码显示</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7 自带拼接功能，支持拼接、开窗、漫游叠加、分割等功能</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8 支持在屏幕上显示滚动字幕（如欢迎词等），字体大小、颜色可自定义</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9 支持地域名方位OSD名称叠加显示和IP地址等解码通道的字符叠加上墙</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10 支持不同品牌不同分辨率的网络摄像机同时混合解码</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11 本机支持800万及以内像素的H.264、H.265网络摄像机解码， 100%还原的摄像机原清晰度，图像无衰减</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12 支持主流厂家的视频服务器、DVR、NVR、CVI录像机、TVI录像机、AHD录像机等实时双码流预览</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13 支持主流品牌海康，大华，宇视，雄迈等NVR/DVR预览解码和录像回放</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14 可手动添加和自动搜索网络摄像机的IP地址、支持手动录入RTSP视频流地址、接受第三方平台软件直推的RTSP视频流</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15 兼容具备ONVIF网络协议的海康、大华、华为、宇视、天地伟业等99%市场主流的网络摄像机</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16解码能力：单屏最大支持30分割，1画面 = 900W及以下像素；4画面 = 400W及以下像素，9画面= 130W及以下像素，16/25/30画面= D1及以下像素</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17支持PC平台软件可视化预览操作</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18支持专用网络监控键盘控制，及可以在扩展控制模拟球机</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19支持USB鼠标控制嵌入式界面操作</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20支持平板、手机APP控制（选配）</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21支持32组场景记忆功能，可以多个场景自动轮巡复显 </w:t>
            </w:r>
          </w:p>
        </w:tc>
        <w:tc>
          <w:tcPr>
            <w:tcW w:w="376" w:type="pct"/>
            <w:tcBorders>
              <w:top w:val="nil"/>
              <w:left w:val="nil"/>
              <w:bottom w:val="single" w:color="auto" w:sz="4" w:space="0"/>
              <w:right w:val="single" w:color="auto" w:sz="4" w:space="0"/>
            </w:tcBorders>
            <w:shd w:val="clear" w:color="000000" w:fill="FFFFFF"/>
            <w:noWrap/>
            <w:vAlign w:val="center"/>
          </w:tcPr>
          <w:p w14:paraId="6D81D76E">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台</w:t>
            </w:r>
          </w:p>
        </w:tc>
        <w:tc>
          <w:tcPr>
            <w:tcW w:w="373" w:type="pct"/>
            <w:tcBorders>
              <w:top w:val="nil"/>
              <w:left w:val="nil"/>
              <w:bottom w:val="single" w:color="auto" w:sz="4" w:space="0"/>
              <w:right w:val="single" w:color="auto" w:sz="4" w:space="0"/>
            </w:tcBorders>
            <w:shd w:val="clear" w:color="000000" w:fill="FFFFFF"/>
            <w:noWrap/>
            <w:vAlign w:val="center"/>
          </w:tcPr>
          <w:p w14:paraId="69977201">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r>
      <w:tr w14:paraId="430AB6A1">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26B4AE43">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3</w:t>
            </w:r>
          </w:p>
        </w:tc>
        <w:tc>
          <w:tcPr>
            <w:tcW w:w="454" w:type="pct"/>
            <w:tcBorders>
              <w:top w:val="nil"/>
              <w:left w:val="nil"/>
              <w:bottom w:val="single" w:color="auto" w:sz="4" w:space="0"/>
              <w:right w:val="single" w:color="auto" w:sz="4" w:space="0"/>
            </w:tcBorders>
            <w:shd w:val="clear" w:color="000000" w:fill="FFFFFF"/>
            <w:noWrap/>
            <w:vAlign w:val="center"/>
          </w:tcPr>
          <w:p w14:paraId="0AAA223B">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辅材</w:t>
            </w:r>
          </w:p>
        </w:tc>
        <w:tc>
          <w:tcPr>
            <w:tcW w:w="3495" w:type="pct"/>
            <w:tcBorders>
              <w:top w:val="nil"/>
              <w:left w:val="nil"/>
              <w:bottom w:val="single" w:color="auto" w:sz="4" w:space="0"/>
              <w:right w:val="single" w:color="auto" w:sz="4" w:space="0"/>
            </w:tcBorders>
            <w:shd w:val="clear" w:color="000000" w:fill="FFFFFF"/>
            <w:noWrap/>
            <w:vAlign w:val="center"/>
          </w:tcPr>
          <w:p w14:paraId="3A88276A">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定制（伸缩支架、配套线材等）</w:t>
            </w:r>
          </w:p>
        </w:tc>
        <w:tc>
          <w:tcPr>
            <w:tcW w:w="376" w:type="pct"/>
            <w:tcBorders>
              <w:top w:val="nil"/>
              <w:left w:val="nil"/>
              <w:bottom w:val="single" w:color="auto" w:sz="4" w:space="0"/>
              <w:right w:val="single" w:color="auto" w:sz="4" w:space="0"/>
            </w:tcBorders>
            <w:shd w:val="clear" w:color="000000" w:fill="FFFFFF"/>
            <w:noWrap/>
            <w:vAlign w:val="center"/>
          </w:tcPr>
          <w:p w14:paraId="7ED53C58">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单元</w:t>
            </w:r>
          </w:p>
        </w:tc>
        <w:tc>
          <w:tcPr>
            <w:tcW w:w="373" w:type="pct"/>
            <w:tcBorders>
              <w:top w:val="nil"/>
              <w:left w:val="nil"/>
              <w:bottom w:val="single" w:color="auto" w:sz="4" w:space="0"/>
              <w:right w:val="single" w:color="auto" w:sz="4" w:space="0"/>
            </w:tcBorders>
            <w:shd w:val="clear" w:color="000000" w:fill="FFFFFF"/>
            <w:noWrap/>
            <w:vAlign w:val="center"/>
          </w:tcPr>
          <w:p w14:paraId="271BC489">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12</w:t>
            </w:r>
          </w:p>
        </w:tc>
      </w:tr>
      <w:tr w14:paraId="6491F9BE">
        <w:tblPrEx>
          <w:tblCellMar>
            <w:top w:w="0" w:type="dxa"/>
            <w:left w:w="108" w:type="dxa"/>
            <w:bottom w:w="0" w:type="dxa"/>
            <w:right w:w="108" w:type="dxa"/>
          </w:tblCellMar>
        </w:tblPrEx>
        <w:trPr>
          <w:trHeight w:val="320" w:hRule="atLeast"/>
        </w:trPr>
        <w:tc>
          <w:tcPr>
            <w:tcW w:w="500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4111D50C">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二、会议系统</w:t>
            </w:r>
          </w:p>
        </w:tc>
      </w:tr>
      <w:tr w14:paraId="2C7377D1">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27DF41F5">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c>
          <w:tcPr>
            <w:tcW w:w="454" w:type="pct"/>
            <w:tcBorders>
              <w:top w:val="nil"/>
              <w:left w:val="nil"/>
              <w:bottom w:val="single" w:color="auto" w:sz="4" w:space="0"/>
              <w:right w:val="single" w:color="auto" w:sz="4" w:space="0"/>
            </w:tcBorders>
            <w:shd w:val="clear" w:color="000000" w:fill="FFFFFF"/>
            <w:noWrap/>
            <w:vAlign w:val="center"/>
          </w:tcPr>
          <w:p w14:paraId="60AAEEEA">
            <w:pPr>
              <w:widowControl/>
              <w:spacing w:after="0" w:line="240" w:lineRule="auto"/>
              <w:jc w:val="center"/>
              <w:rPr>
                <w:rFonts w:hint="eastAsia" w:ascii="宋体" w:hAnsi="宋体" w:eastAsia="宋体" w:cs="宋体"/>
                <w:b/>
                <w:bCs/>
                <w:color w:val="000000"/>
                <w:kern w:val="0"/>
                <w:sz w:val="20"/>
                <w:szCs w:val="20"/>
                <w14:ligatures w14:val="none"/>
              </w:rPr>
            </w:pPr>
            <w:r>
              <w:rPr>
                <w:rFonts w:hint="eastAsia" w:ascii="宋体" w:hAnsi="宋体" w:eastAsia="宋体" w:cs="宋体"/>
                <w:b/>
                <w:bCs/>
                <w:color w:val="000000"/>
                <w:kern w:val="0"/>
                <w:sz w:val="20"/>
                <w:szCs w:val="20"/>
                <w14:ligatures w14:val="none"/>
              </w:rPr>
              <w:t>视频会议终端</w:t>
            </w:r>
          </w:p>
          <w:p w14:paraId="72EDA30D">
            <w:pPr>
              <w:widowControl/>
              <w:spacing w:after="0" w:line="240" w:lineRule="auto"/>
              <w:jc w:val="both"/>
              <w:rPr>
                <w:rFonts w:hint="eastAsia" w:ascii="宋体" w:hAnsi="宋体" w:eastAsia="宋体" w:cs="宋体"/>
                <w:color w:val="000000"/>
                <w:kern w:val="0"/>
                <w:sz w:val="20"/>
                <w:szCs w:val="20"/>
                <w:lang w:eastAsia="zh-CN"/>
                <w14:ligatures w14:val="none"/>
              </w:rPr>
            </w:pPr>
            <w:r>
              <w:rPr>
                <w:rFonts w:hint="eastAsia" w:ascii="宋体" w:hAnsi="宋体" w:cs="宋体"/>
                <w:b/>
                <w:bCs/>
                <w:color w:val="000000"/>
                <w:kern w:val="0"/>
                <w:sz w:val="20"/>
                <w:szCs w:val="20"/>
                <w:lang w:eastAsia="zh-CN"/>
                <w14:ligatures w14:val="none"/>
              </w:rPr>
              <w:t>（核心产品）</w:t>
            </w:r>
          </w:p>
        </w:tc>
        <w:tc>
          <w:tcPr>
            <w:tcW w:w="3495" w:type="pct"/>
            <w:tcBorders>
              <w:top w:val="nil"/>
              <w:left w:val="nil"/>
              <w:bottom w:val="single" w:color="auto" w:sz="4" w:space="0"/>
              <w:right w:val="single" w:color="auto" w:sz="4" w:space="0"/>
            </w:tcBorders>
            <w:shd w:val="clear" w:color="000000" w:fill="FFFFFF"/>
            <w:vAlign w:val="center"/>
          </w:tcPr>
          <w:p w14:paraId="209F646B">
            <w:pPr>
              <w:widowControl/>
              <w:spacing w:after="0" w:line="240" w:lineRule="auto"/>
              <w:rPr>
                <w:rFonts w:hint="eastAsia" w:ascii="宋体" w:hAnsi="宋体" w:eastAsia="宋体" w:cs="宋体"/>
                <w:color w:val="000000"/>
                <w:kern w:val="0"/>
                <w:sz w:val="20"/>
                <w:szCs w:val="20"/>
                <w14:ligatures w14:val="none"/>
              </w:rPr>
            </w:pPr>
            <w:r>
              <w:rPr>
                <w:rFonts w:ascii="Times New Roman" w:hAnsi="Times New Roman" w:eastAsia="宋体" w:cs="Times New Roman"/>
                <w:color w:val="000000"/>
                <w:kern w:val="0"/>
                <w:sz w:val="20"/>
                <w:szCs w:val="20"/>
                <w14:ligatures w14:val="none"/>
              </w:rPr>
              <w:t>‌</w:t>
            </w:r>
            <w:r>
              <w:rPr>
                <w:rFonts w:hint="eastAsia" w:ascii="宋体" w:hAnsi="宋体" w:eastAsia="宋体" w:cs="宋体"/>
                <w:color w:val="000000"/>
                <w:kern w:val="0"/>
                <w:sz w:val="20"/>
                <w:szCs w:val="20"/>
                <w14:ligatures w14:val="none"/>
              </w:rPr>
              <w:t>1.支持ITU-T H.323、IETF SIP协议，具有良好的兼容性和开放性。</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2.支持64Kbps-8Mbps呼叫带宽。</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3.采用国产自主编解码芯片，嵌入式操作系统，非PC架构、非工控机架构。</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4.支持H.265、H.264 HP、H.264 BP、H.264 SVC、H.263等图像编码协议。</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5.支持4K30fps、1080P 50/60 fps、1080P 25/30 fps、720P 50/ 60 fps、720P 25/30 fps等分辨率。本次项目配置1080P30fps对称编解码能力。</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6.支持G.711、G.722、G.722.1C、G.729A、AAC-LD、Opus等音频协议，支持双声道立体声功能。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7.支持H.239和BFCP双流协议。</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8.支持通过软件license升级，使得主流达到4K30fps情况下，辅流同时达到4K30fps。</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9.无须输入终端IP地址，支持通过投影码实现移动设备或PC与终端投屏共享，投影码位数可设置。</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10.支持无线双流功能，PC可通过Wi-Fi或有线网络将桌面内容作为双流发送给远端会场，视频清晰度不少于1080P，支持音频共享。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11.支持≥3路高清视频输入接口、≥2路高清视频输出接口。</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12.支持≥5路音频输入接口、≥5路音频输出接口，至少具备卡侬头、RCA等音频接口。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13.支持不少于2个10M/100M/1000M自适应网口。</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14.支持通过USB接口自动导入终端配置，方便设备的安装部署。</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15.支持30%网络丢包时，语音清晰连续，视频清晰流畅，无卡顿；支持80%的网络丢包时，声音清晰，不影响会议继续进行。</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16.支持1Mbps会议带宽下，实现4K30帧图像格式编解码；支持512Kbps会议带宽下，实现1080P60帧图像格式编解码；384Kbps会议带宽下，实现1080P30帧图像格式编解码；256Kbps会议带宽下，实现720P30帧图像格式编解码。</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17.支持IPV4和IPV6双协议栈。满足应急管理部指挥信息网对IPv6的规划。</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18.支持在H.323协议下，H.235信令加密；支持在SIP下，TLS、SRTP加密；支持 AES媒体流加密算法，保证会议安全。</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19.支持在终端前面板显示启动、升级、休眠、异常信息（温度异常、外设连接异常）、IP地址、H.323号码、SIP号码等信息。</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20.支持单屏三显功能，在一个显示设备上显示远端图像、本端图像及双流图像。</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21.支持访问LDAP网络地址本服务器在线获取会场列表，支持本地地址本导入、导出功能。</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22.视频画面经过本地采集、编码、网络传输、解码、显示输出后整体时延不超过250ms。</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23.支持高温告警功能，超过临界温度时终端界面弹出告警提示框。</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24.支持还原设备出厂默认参数配置后，保留设备现有IP地址，方便远程设备维护。</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25.标配触控终端，触控屏尺寸≥10英寸，分辨率≥1920×1200。</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26.触控终端内置以太网接口及Wi-Fi模块，支持通过有线或无线方式与终端连接。</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27.触控终端支持终端休眠和唤醒、创建会议、静音/闭音、音量调节、摄像机PTZ控制、预置位调用、双流共享、呼叫/挂断会场、添加/删除会场、观看/广播会场、多画面设置、声控切换、结束会议等功能。</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28.触控终端支持电源适配器、终端PoE口及PoE交换机供电。</w:t>
            </w:r>
          </w:p>
        </w:tc>
        <w:tc>
          <w:tcPr>
            <w:tcW w:w="376" w:type="pct"/>
            <w:tcBorders>
              <w:top w:val="nil"/>
              <w:left w:val="nil"/>
              <w:bottom w:val="single" w:color="auto" w:sz="4" w:space="0"/>
              <w:right w:val="single" w:color="auto" w:sz="4" w:space="0"/>
            </w:tcBorders>
            <w:shd w:val="clear" w:color="000000" w:fill="FFFFFF"/>
            <w:noWrap/>
            <w:vAlign w:val="center"/>
          </w:tcPr>
          <w:p w14:paraId="4571601A">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台</w:t>
            </w:r>
          </w:p>
        </w:tc>
        <w:tc>
          <w:tcPr>
            <w:tcW w:w="373" w:type="pct"/>
            <w:tcBorders>
              <w:top w:val="nil"/>
              <w:left w:val="nil"/>
              <w:bottom w:val="single" w:color="auto" w:sz="4" w:space="0"/>
              <w:right w:val="single" w:color="auto" w:sz="4" w:space="0"/>
            </w:tcBorders>
            <w:shd w:val="clear" w:color="000000" w:fill="FFFFFF"/>
            <w:noWrap/>
            <w:vAlign w:val="center"/>
          </w:tcPr>
          <w:p w14:paraId="3D275C44">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r>
      <w:tr w14:paraId="66CD43AF">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2D0CC163">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2</w:t>
            </w:r>
          </w:p>
        </w:tc>
        <w:tc>
          <w:tcPr>
            <w:tcW w:w="454" w:type="pct"/>
            <w:tcBorders>
              <w:top w:val="nil"/>
              <w:left w:val="nil"/>
              <w:bottom w:val="single" w:color="auto" w:sz="4" w:space="0"/>
              <w:right w:val="single" w:color="auto" w:sz="4" w:space="0"/>
            </w:tcBorders>
            <w:shd w:val="clear" w:color="000000" w:fill="FFFFFF"/>
            <w:noWrap/>
            <w:vAlign w:val="center"/>
          </w:tcPr>
          <w:p w14:paraId="40D52AF5">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视频会议摄像机</w:t>
            </w:r>
          </w:p>
        </w:tc>
        <w:tc>
          <w:tcPr>
            <w:tcW w:w="3495" w:type="pct"/>
            <w:tcBorders>
              <w:top w:val="nil"/>
              <w:left w:val="nil"/>
              <w:bottom w:val="single" w:color="auto" w:sz="4" w:space="0"/>
              <w:right w:val="single" w:color="auto" w:sz="4" w:space="0"/>
            </w:tcBorders>
            <w:shd w:val="clear" w:color="000000" w:fill="FFFFFF"/>
            <w:vAlign w:val="center"/>
          </w:tcPr>
          <w:p w14:paraId="3A698686">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1.成像设备SONY 1/4 Exwave HAD CCD</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2.信号制式PAL/NTSC</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3.水平分辨率550线</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4.镜头18X变焦，F=4.1mm(宽)至73.8mm(电视)，F1.4至F3.0</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5.最短对象距离290mm(广角)~800mm(远端)</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6.快门速度1/1~1/10000S,22档</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7.预 置 位≥255个</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8.背部端口HDMI、LAN POE、USB3.0、LINE IN、RS-485、RS-232</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9.控制端子RS-232C(8-针微型DIN)控制(VISCA)/RS-422(9-针)控制(VISC)</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10.终端自带一键图像翻转</w:t>
            </w:r>
          </w:p>
        </w:tc>
        <w:tc>
          <w:tcPr>
            <w:tcW w:w="376" w:type="pct"/>
            <w:tcBorders>
              <w:top w:val="nil"/>
              <w:left w:val="nil"/>
              <w:bottom w:val="single" w:color="auto" w:sz="4" w:space="0"/>
              <w:right w:val="single" w:color="auto" w:sz="4" w:space="0"/>
            </w:tcBorders>
            <w:shd w:val="clear" w:color="000000" w:fill="FFFFFF"/>
            <w:noWrap/>
            <w:vAlign w:val="center"/>
          </w:tcPr>
          <w:p w14:paraId="2811CDD1">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台</w:t>
            </w:r>
          </w:p>
        </w:tc>
        <w:tc>
          <w:tcPr>
            <w:tcW w:w="373" w:type="pct"/>
            <w:tcBorders>
              <w:top w:val="nil"/>
              <w:left w:val="nil"/>
              <w:bottom w:val="single" w:color="auto" w:sz="4" w:space="0"/>
              <w:right w:val="single" w:color="auto" w:sz="4" w:space="0"/>
            </w:tcBorders>
            <w:shd w:val="clear" w:color="000000" w:fill="FFFFFF"/>
            <w:noWrap/>
            <w:vAlign w:val="center"/>
          </w:tcPr>
          <w:p w14:paraId="42E2C05D">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r>
      <w:tr w14:paraId="43A702B2">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2A198B4B">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3</w:t>
            </w:r>
          </w:p>
        </w:tc>
        <w:tc>
          <w:tcPr>
            <w:tcW w:w="454" w:type="pct"/>
            <w:tcBorders>
              <w:top w:val="nil"/>
              <w:left w:val="nil"/>
              <w:bottom w:val="single" w:color="auto" w:sz="4" w:space="0"/>
              <w:right w:val="single" w:color="auto" w:sz="4" w:space="0"/>
            </w:tcBorders>
            <w:shd w:val="clear" w:color="000000" w:fill="FFFFFF"/>
            <w:vAlign w:val="center"/>
          </w:tcPr>
          <w:p w14:paraId="70EE0018">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会议音柱扬声器</w:t>
            </w:r>
          </w:p>
        </w:tc>
        <w:tc>
          <w:tcPr>
            <w:tcW w:w="3495" w:type="pct"/>
            <w:tcBorders>
              <w:top w:val="nil"/>
              <w:left w:val="nil"/>
              <w:bottom w:val="single" w:color="auto" w:sz="4" w:space="0"/>
              <w:right w:val="single" w:color="auto" w:sz="4" w:space="0"/>
            </w:tcBorders>
            <w:shd w:val="clear" w:color="000000" w:fill="FFFFFF"/>
            <w:vAlign w:val="center"/>
          </w:tcPr>
          <w:p w14:paraId="5EBDA4F7">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 xml:space="preserve">1.产品由铝壳.铝网.高音单元*1.低音单元*6,等组合成；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2.产品应用于会议室，演艺厅等场所使用，声音清晰明亮，低频层次丰富；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3.产品颜色 黑/白；</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4.频率范围 95Hz-18KHz；</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5.灵敏度 92±2dB；</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6.最大声压级 114±2dB；</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7.额定功率 180W，额定阻抗： 5.3Ω（定阻）；</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8.尺寸(高*宽*深） 880*140*155mm；</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9.重量（kg) 11.2kg；</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10.产品配有安装支架方便安装。</w:t>
            </w:r>
          </w:p>
        </w:tc>
        <w:tc>
          <w:tcPr>
            <w:tcW w:w="376" w:type="pct"/>
            <w:tcBorders>
              <w:top w:val="nil"/>
              <w:left w:val="nil"/>
              <w:bottom w:val="single" w:color="auto" w:sz="4" w:space="0"/>
              <w:right w:val="single" w:color="auto" w:sz="4" w:space="0"/>
            </w:tcBorders>
            <w:shd w:val="clear" w:color="000000" w:fill="FFFFFF"/>
            <w:vAlign w:val="center"/>
          </w:tcPr>
          <w:p w14:paraId="092CD372">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只</w:t>
            </w:r>
          </w:p>
        </w:tc>
        <w:tc>
          <w:tcPr>
            <w:tcW w:w="373" w:type="pct"/>
            <w:tcBorders>
              <w:top w:val="nil"/>
              <w:left w:val="nil"/>
              <w:bottom w:val="single" w:color="auto" w:sz="4" w:space="0"/>
              <w:right w:val="single" w:color="auto" w:sz="4" w:space="0"/>
            </w:tcBorders>
            <w:shd w:val="clear" w:color="000000" w:fill="FFFFFF"/>
            <w:noWrap/>
            <w:vAlign w:val="center"/>
          </w:tcPr>
          <w:p w14:paraId="0CC93CD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r>
      <w:tr w14:paraId="6BC8F5CC">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6D99060F">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4</w:t>
            </w:r>
          </w:p>
        </w:tc>
        <w:tc>
          <w:tcPr>
            <w:tcW w:w="454" w:type="pct"/>
            <w:tcBorders>
              <w:top w:val="nil"/>
              <w:left w:val="nil"/>
              <w:bottom w:val="single" w:color="auto" w:sz="4" w:space="0"/>
              <w:right w:val="single" w:color="auto" w:sz="4" w:space="0"/>
            </w:tcBorders>
            <w:shd w:val="clear" w:color="000000" w:fill="FFFFFF"/>
            <w:vAlign w:val="center"/>
          </w:tcPr>
          <w:p w14:paraId="301D3599">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双通道专业数字功放</w:t>
            </w:r>
          </w:p>
        </w:tc>
        <w:tc>
          <w:tcPr>
            <w:tcW w:w="3495" w:type="pct"/>
            <w:tcBorders>
              <w:top w:val="nil"/>
              <w:left w:val="nil"/>
              <w:bottom w:val="single" w:color="auto" w:sz="4" w:space="0"/>
              <w:right w:val="single" w:color="auto" w:sz="4" w:space="0"/>
            </w:tcBorders>
            <w:shd w:val="clear" w:color="000000" w:fill="FFFFFF"/>
            <w:vAlign w:val="center"/>
          </w:tcPr>
          <w:p w14:paraId="3FAE5EA1">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1.双声道立体声专业数字功率放大器,全系列统铝合金面板；</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2. 有双声道、单声道和BTL桥接三种输出方式供选择，输出方式开关选择；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3.每声道音量可调；</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4. 立体声工作最小负载阻抗为4Ω，BTL工作最小负载阻抗为8Ω；动态功率强劲，可实现低阻抗驱动。</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5. 全系列配置XLR平行输入输出接口，更适合专业设备的应用习惯；</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5. 标配APFC主动式功率因数校正电路，可以在电网波动较大的供电条件下也能稳定满功率工作，</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6. 小信号的时候不会出现交越失真；</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7. 内置先进的电压压限，可以避免输入电压出现异常或过大导致功率输出异常，出现削波失真影响听音体验以及危害音箱的高音单元。</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8. 中高频比模拟功放更清晰，非常适合用于会议等多种不同场合的语言传输和扩声；</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9. 效率要高，发热量更少，工作温度范围更宽；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10.各通道均配备LED工作状态指示；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11.输入灵敏度：≤1000mV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12.信噪比：≥95dB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13.频响：20Hz-20kHz（±1.5dB）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14.通道串扰：≤70dB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15.转换速率：≥15V/uS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16.阻尼系数/8Ω@1Khz： ≥230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17.总谐波失真：≤0.3% （1kHz，正常工作条件）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18.额定功率：2X300W@8Ω 2X450W@4Ω 900W@桥接8Ω</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19.指示灯：“电源”, “削顶”, “信号”,“保护”,“温度”     保护：超温、直流、短路、连续信号限制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20.电源：AC220/50-60Hz</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21.机器尺寸（L×W×H  mm）：484×396×88 (2U)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22.净重：7.7KG</w:t>
            </w:r>
          </w:p>
        </w:tc>
        <w:tc>
          <w:tcPr>
            <w:tcW w:w="376" w:type="pct"/>
            <w:tcBorders>
              <w:top w:val="nil"/>
              <w:left w:val="nil"/>
              <w:bottom w:val="single" w:color="auto" w:sz="4" w:space="0"/>
              <w:right w:val="single" w:color="auto" w:sz="4" w:space="0"/>
            </w:tcBorders>
            <w:shd w:val="clear" w:color="000000" w:fill="FFFFFF"/>
            <w:vAlign w:val="center"/>
          </w:tcPr>
          <w:p w14:paraId="1D7C0650">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台</w:t>
            </w:r>
          </w:p>
        </w:tc>
        <w:tc>
          <w:tcPr>
            <w:tcW w:w="373" w:type="pct"/>
            <w:tcBorders>
              <w:top w:val="nil"/>
              <w:left w:val="nil"/>
              <w:bottom w:val="single" w:color="auto" w:sz="4" w:space="0"/>
              <w:right w:val="single" w:color="auto" w:sz="4" w:space="0"/>
            </w:tcBorders>
            <w:shd w:val="clear" w:color="000000" w:fill="FFFFFF"/>
            <w:noWrap/>
            <w:vAlign w:val="center"/>
          </w:tcPr>
          <w:p w14:paraId="5E139FA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w:t>
            </w:r>
          </w:p>
        </w:tc>
      </w:tr>
      <w:tr w14:paraId="131EE672">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329F0201">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5</w:t>
            </w:r>
          </w:p>
        </w:tc>
        <w:tc>
          <w:tcPr>
            <w:tcW w:w="454" w:type="pct"/>
            <w:tcBorders>
              <w:top w:val="nil"/>
              <w:left w:val="nil"/>
              <w:bottom w:val="single" w:color="auto" w:sz="4" w:space="0"/>
              <w:right w:val="single" w:color="auto" w:sz="4" w:space="0"/>
            </w:tcBorders>
            <w:shd w:val="clear" w:color="000000" w:fill="FFFFFF"/>
            <w:vAlign w:val="center"/>
          </w:tcPr>
          <w:p w14:paraId="6CA0A0DA">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调音台</w:t>
            </w:r>
          </w:p>
        </w:tc>
        <w:tc>
          <w:tcPr>
            <w:tcW w:w="3495" w:type="pct"/>
            <w:tcBorders>
              <w:top w:val="nil"/>
              <w:left w:val="nil"/>
              <w:bottom w:val="single" w:color="auto" w:sz="4" w:space="0"/>
              <w:right w:val="single" w:color="auto" w:sz="4" w:space="0"/>
            </w:tcBorders>
            <w:shd w:val="clear" w:color="000000" w:fill="FFFFFF"/>
            <w:vAlign w:val="center"/>
          </w:tcPr>
          <w:p w14:paraId="0A05F6F4">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1.8路MIC单声通道+ 4路立体声输入</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2.带4编组输出+4组AUX母线辅助输出（包括EFF),</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3.1组立体声返回（可分配主输出或编组输出）</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4.一组监听耳机输出</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5.来自立体声的LPF低通滤波器输出（60-150Hz可调），</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6.内置24种DSP数字效果器,，</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7.内置USB播放器，MP3播放，USB直插录音</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8.内置蓝牙5.0接收播放</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9.USB音频声卡（连接电脑)将电脑播放的声音传输到调音台；</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10.内置48V幻象电源供电；每个通道带独立开关</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11.主输出9段立体声图示均衡器</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12.USB可与一路立体声切换，USB可独立调节</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13.单声通道100Hz低频衰减开关（高通滤波器）;</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14.XLR输入晶体管双差分话放</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15.每通道3段参量均衡，80Hz.</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16.单声通道带（350Hz-3.5K中音扫频）.12KHz</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17.每输入通道MUTE静音开关，PFL耳机开关，平滑100MM行程推子器</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18.12段精准三色LED电平灯显示信号状态;</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19.12V (LAMP) DJ灯卡侬接口</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20.适用全球供电电压,功率30瓦；使用灵活。</w:t>
            </w:r>
          </w:p>
        </w:tc>
        <w:tc>
          <w:tcPr>
            <w:tcW w:w="376" w:type="pct"/>
            <w:tcBorders>
              <w:top w:val="nil"/>
              <w:left w:val="nil"/>
              <w:bottom w:val="single" w:color="auto" w:sz="4" w:space="0"/>
              <w:right w:val="single" w:color="auto" w:sz="4" w:space="0"/>
            </w:tcBorders>
            <w:shd w:val="clear" w:color="000000" w:fill="FFFFFF"/>
            <w:vAlign w:val="center"/>
          </w:tcPr>
          <w:p w14:paraId="607AF42D">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台</w:t>
            </w:r>
          </w:p>
        </w:tc>
        <w:tc>
          <w:tcPr>
            <w:tcW w:w="373" w:type="pct"/>
            <w:tcBorders>
              <w:top w:val="nil"/>
              <w:left w:val="nil"/>
              <w:bottom w:val="single" w:color="auto" w:sz="4" w:space="0"/>
              <w:right w:val="single" w:color="auto" w:sz="4" w:space="0"/>
            </w:tcBorders>
            <w:shd w:val="clear" w:color="000000" w:fill="FFFFFF"/>
            <w:vAlign w:val="center"/>
          </w:tcPr>
          <w:p w14:paraId="10AED097">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r>
      <w:tr w14:paraId="4356CBD2">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7653BF17">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6</w:t>
            </w:r>
          </w:p>
        </w:tc>
        <w:tc>
          <w:tcPr>
            <w:tcW w:w="454" w:type="pct"/>
            <w:tcBorders>
              <w:top w:val="nil"/>
              <w:left w:val="nil"/>
              <w:bottom w:val="single" w:color="auto" w:sz="4" w:space="0"/>
              <w:right w:val="single" w:color="auto" w:sz="4" w:space="0"/>
            </w:tcBorders>
            <w:shd w:val="clear" w:color="000000" w:fill="FFFFFF"/>
            <w:vAlign w:val="center"/>
          </w:tcPr>
          <w:p w14:paraId="34647383">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专业自动反馈抑制器</w:t>
            </w:r>
          </w:p>
        </w:tc>
        <w:tc>
          <w:tcPr>
            <w:tcW w:w="3495" w:type="pct"/>
            <w:tcBorders>
              <w:top w:val="nil"/>
              <w:left w:val="nil"/>
              <w:bottom w:val="single" w:color="auto" w:sz="4" w:space="0"/>
              <w:right w:val="single" w:color="auto" w:sz="4" w:space="0"/>
            </w:tcBorders>
            <w:shd w:val="clear" w:color="000000" w:fill="FFFFFF"/>
            <w:vAlign w:val="center"/>
          </w:tcPr>
          <w:p w14:paraId="27CF0134">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1.2路线路/话筒输入，2路线路/话筒输出；</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2.内置高端高速浮点数字信号处理器和自适应反馈陷波处理算法技术；</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3.面板带有4*8段实时电平显示指示灯，精准显示输入/输出信号电平的大小；</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4.面板带有通道静音，旁路和滤波器重置的快速按钮；</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5.每路输入带15个自适应陷波滤波器，可按需配置动态/固定滤波器数量；</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6.TCP/IP控制协议，连接PC电脑进行网页端进行各种详细参数的控制调节；</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7.支持多档位模拟音量调节(-18dBV ~ 12dBV)，最大输入电平(1%失真)10V，信噪比(0dBv)≥93dB；</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8.设备供电范围：AC100V---240V  50/60 Hz，功耗≤10W；</w:t>
            </w:r>
          </w:p>
        </w:tc>
        <w:tc>
          <w:tcPr>
            <w:tcW w:w="376" w:type="pct"/>
            <w:tcBorders>
              <w:top w:val="nil"/>
              <w:left w:val="nil"/>
              <w:bottom w:val="single" w:color="auto" w:sz="4" w:space="0"/>
              <w:right w:val="single" w:color="auto" w:sz="4" w:space="0"/>
            </w:tcBorders>
            <w:shd w:val="clear" w:color="000000" w:fill="FFFFFF"/>
            <w:vAlign w:val="center"/>
          </w:tcPr>
          <w:p w14:paraId="7E2E7F3A">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台</w:t>
            </w:r>
          </w:p>
        </w:tc>
        <w:tc>
          <w:tcPr>
            <w:tcW w:w="373" w:type="pct"/>
            <w:tcBorders>
              <w:top w:val="nil"/>
              <w:left w:val="nil"/>
              <w:bottom w:val="single" w:color="auto" w:sz="4" w:space="0"/>
              <w:right w:val="single" w:color="auto" w:sz="4" w:space="0"/>
            </w:tcBorders>
            <w:shd w:val="clear" w:color="000000" w:fill="FFFFFF"/>
            <w:vAlign w:val="center"/>
          </w:tcPr>
          <w:p w14:paraId="34D85CD2">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r>
      <w:tr w14:paraId="4BD3B170">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59191CE4">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7</w:t>
            </w:r>
          </w:p>
        </w:tc>
        <w:tc>
          <w:tcPr>
            <w:tcW w:w="454" w:type="pct"/>
            <w:tcBorders>
              <w:top w:val="nil"/>
              <w:left w:val="nil"/>
              <w:bottom w:val="single" w:color="auto" w:sz="4" w:space="0"/>
              <w:right w:val="single" w:color="auto" w:sz="4" w:space="0"/>
            </w:tcBorders>
            <w:shd w:val="clear" w:color="000000" w:fill="FFFFFF"/>
            <w:vAlign w:val="center"/>
          </w:tcPr>
          <w:p w14:paraId="46C0D554">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真分集无线话筒套装</w:t>
            </w:r>
          </w:p>
        </w:tc>
        <w:tc>
          <w:tcPr>
            <w:tcW w:w="3495" w:type="pct"/>
            <w:tcBorders>
              <w:top w:val="nil"/>
              <w:left w:val="nil"/>
              <w:bottom w:val="single" w:color="auto" w:sz="4" w:space="0"/>
              <w:right w:val="single" w:color="auto" w:sz="4" w:space="0"/>
            </w:tcBorders>
            <w:shd w:val="clear" w:color="000000" w:fill="FFFFFF"/>
            <w:vAlign w:val="center"/>
          </w:tcPr>
          <w:p w14:paraId="10752459">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1.波段范围（UHF）：632MHz～695MHz；</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2.PLL双频道锁相环回路设计；</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3.UHF200频道PLL数字锁定自动通讯功能；</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4.显示屏显示功能(显示频率.频道.静噪.电平等)；</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5.每通道有音量调节功能；</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6.AF输出（采用“XLR”型插座分别输出，混合输出）；</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7.发射功率调节，高功率14dBm; 低功率6dBm；</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8.发射机采用2节5号1.5V碱性电池；</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9.动态范围：88dB;</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10.最大频偏：±45KHz；</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11.频率响应：120Hz-16KHz(±3dB)；</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12.综合信噪比：&gt;73dB；</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13.综合失真度：≤1%；</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14.发射机工作时间8小时以上；</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15.含1台一拖二接收机及2只手持式话筒.</w:t>
            </w:r>
          </w:p>
        </w:tc>
        <w:tc>
          <w:tcPr>
            <w:tcW w:w="376" w:type="pct"/>
            <w:tcBorders>
              <w:top w:val="nil"/>
              <w:left w:val="nil"/>
              <w:bottom w:val="single" w:color="auto" w:sz="4" w:space="0"/>
              <w:right w:val="single" w:color="auto" w:sz="4" w:space="0"/>
            </w:tcBorders>
            <w:shd w:val="clear" w:color="000000" w:fill="FFFFFF"/>
            <w:vAlign w:val="center"/>
          </w:tcPr>
          <w:p w14:paraId="05FBB711">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台</w:t>
            </w:r>
          </w:p>
        </w:tc>
        <w:tc>
          <w:tcPr>
            <w:tcW w:w="373" w:type="pct"/>
            <w:tcBorders>
              <w:top w:val="nil"/>
              <w:left w:val="nil"/>
              <w:bottom w:val="single" w:color="auto" w:sz="4" w:space="0"/>
              <w:right w:val="single" w:color="auto" w:sz="4" w:space="0"/>
            </w:tcBorders>
            <w:shd w:val="clear" w:color="000000" w:fill="FFFFFF"/>
            <w:noWrap/>
            <w:vAlign w:val="center"/>
          </w:tcPr>
          <w:p w14:paraId="2F5B57E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w:t>
            </w:r>
          </w:p>
        </w:tc>
      </w:tr>
      <w:tr w14:paraId="0DB27660">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7C1BD53A">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8</w:t>
            </w:r>
          </w:p>
        </w:tc>
        <w:tc>
          <w:tcPr>
            <w:tcW w:w="454" w:type="pct"/>
            <w:tcBorders>
              <w:top w:val="nil"/>
              <w:left w:val="nil"/>
              <w:bottom w:val="single" w:color="auto" w:sz="4" w:space="0"/>
              <w:right w:val="single" w:color="auto" w:sz="4" w:space="0"/>
            </w:tcBorders>
            <w:shd w:val="clear" w:color="000000" w:fill="FFFFFF"/>
            <w:vAlign w:val="center"/>
          </w:tcPr>
          <w:p w14:paraId="2519FDBB">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专业电容式会议麦克风</w:t>
            </w:r>
          </w:p>
        </w:tc>
        <w:tc>
          <w:tcPr>
            <w:tcW w:w="3495" w:type="pct"/>
            <w:tcBorders>
              <w:top w:val="nil"/>
              <w:left w:val="nil"/>
              <w:bottom w:val="single" w:color="auto" w:sz="4" w:space="0"/>
              <w:right w:val="single" w:color="auto" w:sz="4" w:space="0"/>
            </w:tcBorders>
            <w:shd w:val="clear" w:color="000000" w:fill="FFFFFF"/>
            <w:noWrap/>
            <w:vAlign w:val="center"/>
          </w:tcPr>
          <w:p w14:paraId="02C5DD62">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1.采用单指向性电容式一体式方柱型话筒杆。</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2.输出接口为3芯卡侬座，幻象48V供电。</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3.灵敏度：-43±1dB。</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4.频率响应：100-12kHz(±3dB)。</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5.信噪比：≥70dB。</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6.总谐波失真：≤0.5%。</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7.动态范围：≥15dB。</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8.输出阻抗(±20%)：680Ω（平衡式）。</w:t>
            </w:r>
          </w:p>
        </w:tc>
        <w:tc>
          <w:tcPr>
            <w:tcW w:w="376" w:type="pct"/>
            <w:tcBorders>
              <w:top w:val="nil"/>
              <w:left w:val="nil"/>
              <w:bottom w:val="single" w:color="auto" w:sz="4" w:space="0"/>
              <w:right w:val="single" w:color="auto" w:sz="4" w:space="0"/>
            </w:tcBorders>
            <w:shd w:val="clear" w:color="000000" w:fill="FFFFFF"/>
            <w:vAlign w:val="center"/>
          </w:tcPr>
          <w:p w14:paraId="3934C521">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套</w:t>
            </w:r>
          </w:p>
        </w:tc>
        <w:tc>
          <w:tcPr>
            <w:tcW w:w="373" w:type="pct"/>
            <w:tcBorders>
              <w:top w:val="nil"/>
              <w:left w:val="nil"/>
              <w:bottom w:val="single" w:color="auto" w:sz="4" w:space="0"/>
              <w:right w:val="single" w:color="auto" w:sz="4" w:space="0"/>
            </w:tcBorders>
            <w:shd w:val="clear" w:color="000000" w:fill="FFFFFF"/>
            <w:noWrap/>
            <w:vAlign w:val="center"/>
          </w:tcPr>
          <w:p w14:paraId="1F8C0D4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r>
      <w:tr w14:paraId="171726E1">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14E6D100">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9</w:t>
            </w:r>
          </w:p>
        </w:tc>
        <w:tc>
          <w:tcPr>
            <w:tcW w:w="454" w:type="pct"/>
            <w:tcBorders>
              <w:top w:val="nil"/>
              <w:left w:val="nil"/>
              <w:bottom w:val="single" w:color="auto" w:sz="4" w:space="0"/>
              <w:right w:val="single" w:color="auto" w:sz="4" w:space="0"/>
            </w:tcBorders>
            <w:shd w:val="clear" w:color="000000" w:fill="FFFFFF"/>
            <w:vAlign w:val="center"/>
          </w:tcPr>
          <w:p w14:paraId="3E8E6420">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电源时序器</w:t>
            </w:r>
          </w:p>
        </w:tc>
        <w:tc>
          <w:tcPr>
            <w:tcW w:w="3495" w:type="pct"/>
            <w:tcBorders>
              <w:top w:val="nil"/>
              <w:left w:val="nil"/>
              <w:bottom w:val="single" w:color="auto" w:sz="4" w:space="0"/>
              <w:right w:val="single" w:color="auto" w:sz="4" w:space="0"/>
            </w:tcBorders>
            <w:shd w:val="clear" w:color="000000" w:fill="FFFFFF"/>
            <w:noWrap/>
            <w:vAlign w:val="center"/>
          </w:tcPr>
          <w:p w14:paraId="62DB4EBC">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1.独立的八路大功率电源输出，万能插座，可满足多种三极的电源插座，如国标插座.美标插座以及欧标插座等；还可满足二极欧式的圆头插座；</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2.单路最大输出为 10A，总输入电流容量 16A；</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3.八路通道开关状态可由面板控制操作和显示；通过面板一键开关，可时序关启通道，实现时序功能；</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4.开机时由前级到后级按顺序逐个启动各类设备，关机时由后级到前级逐个关闭各个设备，有效地统一管理控制用电设备，确保整个系统的稳定运行；</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5.可广泛用于多媒体教室.多功能厅.会议室.投影拼接.视频会议.监控中心.楼宇控制.管理指挥中心等领域。</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6.性能规格：</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7.电源输出：8路，万能插座</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8.单路最大负荷：10A</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9.控制方式：手动顺序启动.外接短路信号触发启动</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10.电源容量：总容量220V，16A</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11.输入电源：AC220/50Hz</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12.时序间隔：0.4-0.5s</w:t>
            </w:r>
          </w:p>
        </w:tc>
        <w:tc>
          <w:tcPr>
            <w:tcW w:w="376" w:type="pct"/>
            <w:tcBorders>
              <w:top w:val="nil"/>
              <w:left w:val="nil"/>
              <w:bottom w:val="single" w:color="auto" w:sz="4" w:space="0"/>
              <w:right w:val="single" w:color="auto" w:sz="4" w:space="0"/>
            </w:tcBorders>
            <w:shd w:val="clear" w:color="000000" w:fill="FFFFFF"/>
            <w:vAlign w:val="center"/>
          </w:tcPr>
          <w:p w14:paraId="6CBEA3D8">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台</w:t>
            </w:r>
          </w:p>
        </w:tc>
        <w:tc>
          <w:tcPr>
            <w:tcW w:w="373" w:type="pct"/>
            <w:tcBorders>
              <w:top w:val="nil"/>
              <w:left w:val="nil"/>
              <w:bottom w:val="single" w:color="auto" w:sz="4" w:space="0"/>
              <w:right w:val="single" w:color="auto" w:sz="4" w:space="0"/>
            </w:tcBorders>
            <w:shd w:val="clear" w:color="000000" w:fill="FFFFFF"/>
            <w:noWrap/>
            <w:vAlign w:val="center"/>
          </w:tcPr>
          <w:p w14:paraId="27D9873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w:t>
            </w:r>
          </w:p>
        </w:tc>
      </w:tr>
      <w:tr w14:paraId="7D3F7B5B">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6D2FB0A9">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10</w:t>
            </w:r>
          </w:p>
        </w:tc>
        <w:tc>
          <w:tcPr>
            <w:tcW w:w="454" w:type="pct"/>
            <w:tcBorders>
              <w:top w:val="nil"/>
              <w:left w:val="nil"/>
              <w:bottom w:val="single" w:color="auto" w:sz="4" w:space="0"/>
              <w:right w:val="single" w:color="auto" w:sz="4" w:space="0"/>
            </w:tcBorders>
            <w:shd w:val="clear" w:color="000000" w:fill="FFFFFF"/>
            <w:vAlign w:val="center"/>
          </w:tcPr>
          <w:p w14:paraId="62F30A10">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highlight w:val="none"/>
                <w14:ligatures w14:val="none"/>
              </w:rPr>
              <w:t>辅材</w:t>
            </w:r>
          </w:p>
        </w:tc>
        <w:tc>
          <w:tcPr>
            <w:tcW w:w="3495" w:type="pct"/>
            <w:tcBorders>
              <w:top w:val="nil"/>
              <w:left w:val="nil"/>
              <w:bottom w:val="single" w:color="auto" w:sz="4" w:space="0"/>
              <w:right w:val="single" w:color="auto" w:sz="4" w:space="0"/>
            </w:tcBorders>
            <w:shd w:val="clear" w:color="000000" w:fill="FFFFFF"/>
            <w:noWrap/>
            <w:vAlign w:val="center"/>
          </w:tcPr>
          <w:p w14:paraId="7A99D87B">
            <w:pPr>
              <w:widowControl/>
              <w:spacing w:after="0" w:line="240" w:lineRule="auto"/>
              <w:rPr>
                <w:rFonts w:hint="eastAsia" w:ascii="宋体" w:hAnsi="宋体" w:eastAsia="宋体" w:cs="宋体"/>
                <w:color w:val="000000"/>
                <w:kern w:val="0"/>
                <w:sz w:val="20"/>
                <w:szCs w:val="20"/>
                <w:lang w:eastAsia="zh-CN"/>
                <w14:ligatures w14:val="none"/>
              </w:rPr>
            </w:pPr>
            <w:r>
              <w:rPr>
                <w:rFonts w:hint="eastAsia" w:ascii="宋体" w:hAnsi="宋体" w:eastAsia="宋体" w:cs="宋体"/>
                <w:color w:val="000000"/>
                <w:kern w:val="0"/>
                <w:sz w:val="20"/>
                <w:szCs w:val="20"/>
                <w14:ligatures w14:val="none"/>
              </w:rPr>
              <w:t>线材及机柜</w:t>
            </w:r>
            <w:r>
              <w:rPr>
                <w:rFonts w:hint="eastAsia" w:ascii="宋体" w:hAnsi="宋体" w:cs="宋体"/>
                <w:color w:val="000000"/>
                <w:kern w:val="0"/>
                <w:sz w:val="20"/>
                <w:szCs w:val="20"/>
                <w:lang w:eastAsia="zh-CN"/>
                <w14:ligatures w14:val="none"/>
              </w:rPr>
              <w:t>（</w:t>
            </w:r>
            <w:r>
              <w:rPr>
                <w:rFonts w:hint="eastAsia" w:ascii="宋体" w:hAnsi="宋体" w:cs="宋体"/>
                <w:color w:val="000000"/>
                <w:kern w:val="0"/>
                <w:sz w:val="20"/>
                <w:szCs w:val="20"/>
                <w:lang w:val="en-US" w:eastAsia="zh-CN"/>
                <w14:ligatures w14:val="none"/>
              </w:rPr>
              <w:t>定制</w:t>
            </w:r>
            <w:r>
              <w:rPr>
                <w:rFonts w:hint="eastAsia" w:ascii="宋体" w:hAnsi="宋体" w:cs="宋体"/>
                <w:color w:val="000000"/>
                <w:kern w:val="0"/>
                <w:sz w:val="20"/>
                <w:szCs w:val="20"/>
                <w:lang w:eastAsia="zh-CN"/>
                <w14:ligatures w14:val="none"/>
              </w:rPr>
              <w:t>）</w:t>
            </w:r>
          </w:p>
        </w:tc>
        <w:tc>
          <w:tcPr>
            <w:tcW w:w="376" w:type="pct"/>
            <w:tcBorders>
              <w:top w:val="nil"/>
              <w:left w:val="nil"/>
              <w:bottom w:val="single" w:color="auto" w:sz="4" w:space="0"/>
              <w:right w:val="single" w:color="auto" w:sz="4" w:space="0"/>
            </w:tcBorders>
            <w:shd w:val="clear" w:color="000000" w:fill="FFFFFF"/>
            <w:vAlign w:val="center"/>
          </w:tcPr>
          <w:p w14:paraId="4B927366">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项</w:t>
            </w:r>
          </w:p>
        </w:tc>
        <w:tc>
          <w:tcPr>
            <w:tcW w:w="373" w:type="pct"/>
            <w:tcBorders>
              <w:top w:val="nil"/>
              <w:left w:val="nil"/>
              <w:bottom w:val="single" w:color="auto" w:sz="4" w:space="0"/>
              <w:right w:val="single" w:color="auto" w:sz="4" w:space="0"/>
            </w:tcBorders>
            <w:shd w:val="clear" w:color="000000" w:fill="FFFFFF"/>
            <w:noWrap/>
            <w:vAlign w:val="center"/>
          </w:tcPr>
          <w:p w14:paraId="06512F6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w:t>
            </w:r>
          </w:p>
        </w:tc>
      </w:tr>
      <w:tr w14:paraId="66FC6FBE">
        <w:tblPrEx>
          <w:tblCellMar>
            <w:top w:w="0" w:type="dxa"/>
            <w:left w:w="108" w:type="dxa"/>
            <w:bottom w:w="0" w:type="dxa"/>
            <w:right w:w="108" w:type="dxa"/>
          </w:tblCellMar>
        </w:tblPrEx>
        <w:trPr>
          <w:trHeight w:val="320" w:hRule="atLeast"/>
        </w:trPr>
        <w:tc>
          <w:tcPr>
            <w:tcW w:w="500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5AD0D301">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三、网络安全系统</w:t>
            </w:r>
          </w:p>
        </w:tc>
      </w:tr>
      <w:tr w14:paraId="3DAA2519">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34CF1618">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c>
          <w:tcPr>
            <w:tcW w:w="454" w:type="pct"/>
            <w:tcBorders>
              <w:top w:val="nil"/>
              <w:left w:val="nil"/>
              <w:bottom w:val="single" w:color="auto" w:sz="4" w:space="0"/>
              <w:right w:val="single" w:color="auto" w:sz="4" w:space="0"/>
            </w:tcBorders>
            <w:shd w:val="clear" w:color="000000" w:fill="FFFFFF"/>
            <w:vAlign w:val="center"/>
          </w:tcPr>
          <w:p w14:paraId="772D81CF">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防火墙</w:t>
            </w:r>
          </w:p>
        </w:tc>
        <w:tc>
          <w:tcPr>
            <w:tcW w:w="3495" w:type="pct"/>
            <w:tcBorders>
              <w:top w:val="nil"/>
              <w:left w:val="nil"/>
              <w:bottom w:val="single" w:color="auto" w:sz="4" w:space="0"/>
              <w:right w:val="single" w:color="auto" w:sz="4" w:space="0"/>
            </w:tcBorders>
            <w:shd w:val="clear" w:color="000000" w:fill="FFFFFF"/>
            <w:vAlign w:val="center"/>
          </w:tcPr>
          <w:p w14:paraId="3319287B">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标准机架式设备；提供千兆电口≥6个，万兆 SFP+光口≥2个，</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最大无故障时间（MTBF）≥80000小时；整机吞吐量≥10Gbps，最大并发连接数≥500万，每秒新建连接数≥20万；支持IPS、防病毒、VPN、APT防护等功能；</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支持基于IPV4/IPV6的接口/安全域、地址、用户、服务、应用和时间的会话控制策略，包括总连接数控制、每秒总新建连接数控制、每IP总连接数控制、每IP新建连接数控制；支持常见DOS攻击防护及ARP攻击防护</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支持基于协议的长连接管理</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支持基于单IP、IP网段、ISP地址库、区域（国内各省）地址库的白名单，匹配白名单的流量将跳过防火墙过滤直接转发；</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支持基于IP网段、IP地址范围、ISP地址库、区域地址库等的多种黑名单阻断方式；</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支持对常见应用（如HTTP、Telnet、SSH、FTP、SMTP、POP3等）进行弱口令检查，并上报安全事件；</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支持对口令频繁暴力破解的检测。检测到暴力破解后可选择告警、精准阻断、阻断源ip等动作；</w:t>
            </w:r>
          </w:p>
        </w:tc>
        <w:tc>
          <w:tcPr>
            <w:tcW w:w="376" w:type="pct"/>
            <w:tcBorders>
              <w:top w:val="nil"/>
              <w:left w:val="nil"/>
              <w:bottom w:val="single" w:color="auto" w:sz="4" w:space="0"/>
              <w:right w:val="single" w:color="auto" w:sz="4" w:space="0"/>
            </w:tcBorders>
            <w:shd w:val="clear" w:color="000000" w:fill="FFFFFF"/>
            <w:vAlign w:val="center"/>
          </w:tcPr>
          <w:p w14:paraId="277BDF53">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台</w:t>
            </w:r>
          </w:p>
        </w:tc>
        <w:tc>
          <w:tcPr>
            <w:tcW w:w="373" w:type="pct"/>
            <w:tcBorders>
              <w:top w:val="nil"/>
              <w:left w:val="nil"/>
              <w:bottom w:val="single" w:color="auto" w:sz="4" w:space="0"/>
              <w:right w:val="single" w:color="auto" w:sz="4" w:space="0"/>
            </w:tcBorders>
            <w:shd w:val="clear" w:color="000000" w:fill="FFFFFF"/>
            <w:noWrap/>
            <w:vAlign w:val="center"/>
          </w:tcPr>
          <w:p w14:paraId="6CE6A287">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r>
      <w:tr w14:paraId="2E83533B">
        <w:tblPrEx>
          <w:tblCellMar>
            <w:top w:w="0" w:type="dxa"/>
            <w:left w:w="108" w:type="dxa"/>
            <w:bottom w:w="0" w:type="dxa"/>
            <w:right w:w="108" w:type="dxa"/>
          </w:tblCellMar>
        </w:tblPrEx>
        <w:trPr>
          <w:trHeight w:val="320" w:hRule="atLeast"/>
        </w:trPr>
        <w:tc>
          <w:tcPr>
            <w:tcW w:w="500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41A53066">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四、办公设备</w:t>
            </w:r>
          </w:p>
        </w:tc>
      </w:tr>
      <w:tr w14:paraId="2F97A8EB">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3CBD76A0">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c>
          <w:tcPr>
            <w:tcW w:w="454" w:type="pct"/>
            <w:tcBorders>
              <w:top w:val="nil"/>
              <w:left w:val="nil"/>
              <w:bottom w:val="single" w:color="auto" w:sz="4" w:space="0"/>
              <w:right w:val="single" w:color="auto" w:sz="4" w:space="0"/>
            </w:tcBorders>
            <w:shd w:val="clear" w:color="000000" w:fill="FFFFFF"/>
            <w:vAlign w:val="center"/>
          </w:tcPr>
          <w:p w14:paraId="612BC08A">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6KVA UPS应急电源主机</w:t>
            </w:r>
          </w:p>
        </w:tc>
        <w:tc>
          <w:tcPr>
            <w:tcW w:w="3495" w:type="pct"/>
            <w:tcBorders>
              <w:top w:val="nil"/>
              <w:left w:val="nil"/>
              <w:bottom w:val="single" w:color="auto" w:sz="4" w:space="0"/>
              <w:right w:val="single" w:color="auto" w:sz="4" w:space="0"/>
            </w:tcBorders>
            <w:shd w:val="clear" w:color="000000" w:fill="FFFFFF"/>
            <w:vAlign w:val="center"/>
          </w:tcPr>
          <w:p w14:paraId="2D1C04EB">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主机：1.输出功率因数0.8</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2.输入频率40-70Hz超宽范围</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3.85VAC~300VAC超宽的输入电压</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4.采用先进的DSP数字化控制技术，全数字化的高性能DSP中央处理芯片，自行设定输出5.电压200/208/220/230/240Vac，频率50Hz或60Hz。</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6.整机效率高达92%以上，ECO模式下整机效率接近1，</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7.绿色环保产品，符合国家电子信息产品污染控制管理办法.</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8.市电、电池、旁路供电模式相互的切换时间为零，</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9.提供了丰富的可扩展智能管理功能，可选择安装远程监控、集中监控、干接点、环境监测等功能。</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10.UPS自动识别并适应50 Hz /60Hz电源系统，满足不同电源系统的需求。</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11.采用数字化控制的有源功率因数校正技术（PFC），使输入功率因数最高可达1，</w:t>
            </w:r>
          </w:p>
        </w:tc>
        <w:tc>
          <w:tcPr>
            <w:tcW w:w="376" w:type="pct"/>
            <w:tcBorders>
              <w:top w:val="nil"/>
              <w:left w:val="nil"/>
              <w:bottom w:val="single" w:color="auto" w:sz="4" w:space="0"/>
              <w:right w:val="single" w:color="auto" w:sz="4" w:space="0"/>
            </w:tcBorders>
            <w:shd w:val="clear" w:color="000000" w:fill="FFFFFF"/>
            <w:vAlign w:val="center"/>
          </w:tcPr>
          <w:p w14:paraId="64F2D72E">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套</w:t>
            </w:r>
          </w:p>
        </w:tc>
        <w:tc>
          <w:tcPr>
            <w:tcW w:w="373" w:type="pct"/>
            <w:tcBorders>
              <w:top w:val="nil"/>
              <w:left w:val="nil"/>
              <w:bottom w:val="single" w:color="auto" w:sz="4" w:space="0"/>
              <w:right w:val="single" w:color="auto" w:sz="4" w:space="0"/>
            </w:tcBorders>
            <w:shd w:val="clear" w:color="000000" w:fill="FFFFFF"/>
            <w:noWrap/>
            <w:vAlign w:val="center"/>
          </w:tcPr>
          <w:p w14:paraId="78F8F8C8">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r>
      <w:tr w14:paraId="7F8FC76B">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517FCBC9">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2</w:t>
            </w:r>
          </w:p>
        </w:tc>
        <w:tc>
          <w:tcPr>
            <w:tcW w:w="454" w:type="pct"/>
            <w:tcBorders>
              <w:top w:val="nil"/>
              <w:left w:val="nil"/>
              <w:bottom w:val="single" w:color="auto" w:sz="4" w:space="0"/>
              <w:right w:val="single" w:color="auto" w:sz="4" w:space="0"/>
            </w:tcBorders>
            <w:shd w:val="clear" w:color="000000" w:fill="FFFFFF"/>
            <w:vAlign w:val="center"/>
          </w:tcPr>
          <w:p w14:paraId="3990D5C5">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6KVA UPS应急电源电池</w:t>
            </w:r>
          </w:p>
        </w:tc>
        <w:tc>
          <w:tcPr>
            <w:tcW w:w="3495" w:type="pct"/>
            <w:tcBorders>
              <w:top w:val="nil"/>
              <w:left w:val="nil"/>
              <w:bottom w:val="single" w:color="auto" w:sz="4" w:space="0"/>
              <w:right w:val="single" w:color="auto" w:sz="4" w:space="0"/>
            </w:tcBorders>
            <w:shd w:val="clear" w:color="000000" w:fill="FFFFFF"/>
            <w:vAlign w:val="center"/>
          </w:tcPr>
          <w:p w14:paraId="5B2163C9">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设计寿命(25℃)：8年(40Ah以上);5年(26Ah以下)   </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工作温度范围放电：-40℃ 到 71℃，充电：-23℃ 到60℃（应用温度补偿后的电压充电）</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推荐的工作温度范围23℃ 到 27℃</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浮充电压 温度平均在25°C 时，13.65 ± 0.15 VDC/每节</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推荐的最大充电电流C/5A (20小时率容量的1/5倍电流)</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均衡和循环应用时的充电电压温度平均在25°C 时， 14.4 到 14.8 VDC/每节</w:t>
            </w:r>
          </w:p>
        </w:tc>
        <w:tc>
          <w:tcPr>
            <w:tcW w:w="376" w:type="pct"/>
            <w:tcBorders>
              <w:top w:val="nil"/>
              <w:left w:val="nil"/>
              <w:bottom w:val="single" w:color="auto" w:sz="4" w:space="0"/>
              <w:right w:val="single" w:color="auto" w:sz="4" w:space="0"/>
            </w:tcBorders>
            <w:shd w:val="clear" w:color="000000" w:fill="FFFFFF"/>
            <w:vAlign w:val="center"/>
          </w:tcPr>
          <w:p w14:paraId="73726A57">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块</w:t>
            </w:r>
          </w:p>
        </w:tc>
        <w:tc>
          <w:tcPr>
            <w:tcW w:w="373" w:type="pct"/>
            <w:tcBorders>
              <w:top w:val="nil"/>
              <w:left w:val="nil"/>
              <w:bottom w:val="single" w:color="auto" w:sz="4" w:space="0"/>
              <w:right w:val="single" w:color="auto" w:sz="4" w:space="0"/>
            </w:tcBorders>
            <w:shd w:val="clear" w:color="000000" w:fill="FFFFFF"/>
            <w:noWrap/>
            <w:vAlign w:val="center"/>
          </w:tcPr>
          <w:p w14:paraId="31A82554">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16</w:t>
            </w:r>
          </w:p>
        </w:tc>
      </w:tr>
      <w:tr w14:paraId="4DC86BDD">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28C7C036">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3</w:t>
            </w:r>
          </w:p>
        </w:tc>
        <w:tc>
          <w:tcPr>
            <w:tcW w:w="454" w:type="pct"/>
            <w:tcBorders>
              <w:top w:val="nil"/>
              <w:left w:val="nil"/>
              <w:bottom w:val="single" w:color="auto" w:sz="4" w:space="0"/>
              <w:right w:val="single" w:color="auto" w:sz="4" w:space="0"/>
            </w:tcBorders>
            <w:shd w:val="clear" w:color="000000" w:fill="FFFFFF"/>
            <w:vAlign w:val="center"/>
          </w:tcPr>
          <w:p w14:paraId="42E761FB">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配套配电箱</w:t>
            </w:r>
          </w:p>
        </w:tc>
        <w:tc>
          <w:tcPr>
            <w:tcW w:w="3495" w:type="pct"/>
            <w:tcBorders>
              <w:top w:val="nil"/>
              <w:left w:val="nil"/>
              <w:bottom w:val="single" w:color="auto" w:sz="4" w:space="0"/>
              <w:right w:val="single" w:color="auto" w:sz="4" w:space="0"/>
            </w:tcBorders>
            <w:shd w:val="clear" w:color="000000" w:fill="FFFFFF"/>
            <w:vAlign w:val="center"/>
          </w:tcPr>
          <w:p w14:paraId="28F21184">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定制</w:t>
            </w:r>
          </w:p>
        </w:tc>
        <w:tc>
          <w:tcPr>
            <w:tcW w:w="376" w:type="pct"/>
            <w:tcBorders>
              <w:top w:val="nil"/>
              <w:left w:val="nil"/>
              <w:bottom w:val="single" w:color="auto" w:sz="4" w:space="0"/>
              <w:right w:val="single" w:color="auto" w:sz="4" w:space="0"/>
            </w:tcBorders>
            <w:shd w:val="clear" w:color="000000" w:fill="FFFFFF"/>
            <w:vAlign w:val="center"/>
          </w:tcPr>
          <w:p w14:paraId="0223CA64">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套</w:t>
            </w:r>
          </w:p>
        </w:tc>
        <w:tc>
          <w:tcPr>
            <w:tcW w:w="373" w:type="pct"/>
            <w:tcBorders>
              <w:top w:val="nil"/>
              <w:left w:val="nil"/>
              <w:bottom w:val="single" w:color="auto" w:sz="4" w:space="0"/>
              <w:right w:val="single" w:color="auto" w:sz="4" w:space="0"/>
            </w:tcBorders>
            <w:shd w:val="clear" w:color="000000" w:fill="FFFFFF"/>
            <w:noWrap/>
            <w:vAlign w:val="center"/>
          </w:tcPr>
          <w:p w14:paraId="6A3B32E2">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2</w:t>
            </w:r>
          </w:p>
        </w:tc>
      </w:tr>
      <w:tr w14:paraId="11B682E1">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20A0AA69">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4</w:t>
            </w:r>
          </w:p>
        </w:tc>
        <w:tc>
          <w:tcPr>
            <w:tcW w:w="454" w:type="pct"/>
            <w:tcBorders>
              <w:top w:val="nil"/>
              <w:left w:val="nil"/>
              <w:bottom w:val="single" w:color="auto" w:sz="4" w:space="0"/>
              <w:right w:val="single" w:color="auto" w:sz="4" w:space="0"/>
            </w:tcBorders>
            <w:shd w:val="clear" w:color="000000" w:fill="FFFFFF"/>
            <w:vAlign w:val="center"/>
          </w:tcPr>
          <w:p w14:paraId="05FDE930">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应急操作席</w:t>
            </w:r>
          </w:p>
        </w:tc>
        <w:tc>
          <w:tcPr>
            <w:tcW w:w="3495" w:type="pct"/>
            <w:tcBorders>
              <w:top w:val="nil"/>
              <w:left w:val="nil"/>
              <w:bottom w:val="single" w:color="auto" w:sz="4" w:space="0"/>
              <w:right w:val="single" w:color="auto" w:sz="4" w:space="0"/>
            </w:tcBorders>
            <w:shd w:val="clear" w:color="000000" w:fill="FFFFFF"/>
            <w:vAlign w:val="center"/>
          </w:tcPr>
          <w:p w14:paraId="5B090A2A">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(1)柜体为钢制,主体框架采用焊接工艺(坚固耐用)整体打磨光滑平整。</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(2)主体框架1.8毫米优质冷轧钢板,背板1.8毫米冷轧钢板,前后门板1.2毫米钢板。</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 xml:space="preserve"> (3)桌面部分采用25毫米厚优质三胺板,铝合金线孔,面板前端橡胶压边手枕,抗磨防腐。侧脚采用25毫米厚密度板烤漆工艺。</w:t>
            </w:r>
            <w:r>
              <w:rPr>
                <w:rFonts w:hint="eastAsia" w:ascii="宋体" w:hAnsi="宋体" w:eastAsia="宋体" w:cs="宋体"/>
                <w:color w:val="000000"/>
                <w:kern w:val="0"/>
                <w:sz w:val="20"/>
                <w:szCs w:val="20"/>
                <w14:ligatures w14:val="none"/>
              </w:rPr>
              <w:br w:type="textWrapping"/>
            </w:r>
            <w:r>
              <w:rPr>
                <w:rFonts w:hint="eastAsia" w:ascii="宋体" w:hAnsi="宋体" w:eastAsia="宋体" w:cs="宋体"/>
                <w:color w:val="000000"/>
                <w:kern w:val="0"/>
                <w:sz w:val="20"/>
                <w:szCs w:val="20"/>
                <w14:ligatures w14:val="none"/>
              </w:rPr>
              <w:t>(4)柜体采用静电喷涂工艺(打砂,脱脂,酸洗,防锈磷化,静电喷涂)。</w:t>
            </w:r>
          </w:p>
        </w:tc>
        <w:tc>
          <w:tcPr>
            <w:tcW w:w="376" w:type="pct"/>
            <w:tcBorders>
              <w:top w:val="nil"/>
              <w:left w:val="nil"/>
              <w:bottom w:val="single" w:color="auto" w:sz="4" w:space="0"/>
              <w:right w:val="single" w:color="auto" w:sz="4" w:space="0"/>
            </w:tcBorders>
            <w:shd w:val="clear" w:color="000000" w:fill="FFFFFF"/>
            <w:vAlign w:val="center"/>
          </w:tcPr>
          <w:p w14:paraId="55188410">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套</w:t>
            </w:r>
          </w:p>
        </w:tc>
        <w:tc>
          <w:tcPr>
            <w:tcW w:w="373" w:type="pct"/>
            <w:tcBorders>
              <w:top w:val="nil"/>
              <w:left w:val="nil"/>
              <w:bottom w:val="single" w:color="auto" w:sz="4" w:space="0"/>
              <w:right w:val="single" w:color="auto" w:sz="4" w:space="0"/>
            </w:tcBorders>
            <w:shd w:val="clear" w:color="000000" w:fill="FFFFFF"/>
            <w:noWrap/>
            <w:vAlign w:val="center"/>
          </w:tcPr>
          <w:p w14:paraId="0C47D155">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r>
      <w:tr w14:paraId="49EA8BBA">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3F1245E4">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5</w:t>
            </w:r>
          </w:p>
        </w:tc>
        <w:tc>
          <w:tcPr>
            <w:tcW w:w="454" w:type="pct"/>
            <w:tcBorders>
              <w:top w:val="nil"/>
              <w:left w:val="nil"/>
              <w:bottom w:val="single" w:color="auto" w:sz="4" w:space="0"/>
              <w:right w:val="single" w:color="auto" w:sz="4" w:space="0"/>
            </w:tcBorders>
            <w:shd w:val="clear" w:color="000000" w:fill="FFFFFF"/>
            <w:vAlign w:val="center"/>
          </w:tcPr>
          <w:p w14:paraId="74633A95">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应急操作椅</w:t>
            </w:r>
          </w:p>
        </w:tc>
        <w:tc>
          <w:tcPr>
            <w:tcW w:w="3495" w:type="pct"/>
            <w:tcBorders>
              <w:top w:val="nil"/>
              <w:left w:val="nil"/>
              <w:bottom w:val="single" w:color="auto" w:sz="4" w:space="0"/>
              <w:right w:val="single" w:color="auto" w:sz="4" w:space="0"/>
            </w:tcBorders>
            <w:shd w:val="clear" w:color="000000" w:fill="FFFFFF"/>
            <w:vAlign w:val="center"/>
          </w:tcPr>
          <w:p w14:paraId="6B8A8B44">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操作席配套椅子</w:t>
            </w:r>
            <w:r>
              <w:rPr>
                <w:rFonts w:hint="eastAsia" w:ascii="宋体" w:hAnsi="宋体" w:cs="宋体"/>
                <w:color w:val="000000"/>
                <w:kern w:val="0"/>
                <w:sz w:val="20"/>
                <w:szCs w:val="20"/>
                <w:lang w:eastAsia="zh-CN"/>
                <w14:ligatures w14:val="none"/>
              </w:rPr>
              <w:t>（</w:t>
            </w:r>
            <w:r>
              <w:rPr>
                <w:rFonts w:hint="eastAsia" w:ascii="宋体" w:hAnsi="宋体" w:cs="宋体"/>
                <w:color w:val="000000"/>
                <w:kern w:val="0"/>
                <w:sz w:val="20"/>
                <w:szCs w:val="20"/>
                <w:lang w:val="en-US" w:eastAsia="zh-CN"/>
                <w14:ligatures w14:val="none"/>
              </w:rPr>
              <w:t>定制</w:t>
            </w:r>
            <w:r>
              <w:rPr>
                <w:rFonts w:hint="eastAsia" w:ascii="宋体" w:hAnsi="宋体" w:cs="宋体"/>
                <w:color w:val="000000"/>
                <w:kern w:val="0"/>
                <w:sz w:val="20"/>
                <w:szCs w:val="20"/>
                <w:lang w:eastAsia="zh-CN"/>
                <w14:ligatures w14:val="none"/>
              </w:rPr>
              <w:t>）</w:t>
            </w:r>
          </w:p>
        </w:tc>
        <w:tc>
          <w:tcPr>
            <w:tcW w:w="376" w:type="pct"/>
            <w:tcBorders>
              <w:top w:val="nil"/>
              <w:left w:val="nil"/>
              <w:bottom w:val="single" w:color="auto" w:sz="4" w:space="0"/>
              <w:right w:val="single" w:color="auto" w:sz="4" w:space="0"/>
            </w:tcBorders>
            <w:shd w:val="clear" w:color="000000" w:fill="FFFFFF"/>
            <w:vAlign w:val="center"/>
          </w:tcPr>
          <w:p w14:paraId="1699ABE5">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个</w:t>
            </w:r>
          </w:p>
        </w:tc>
        <w:tc>
          <w:tcPr>
            <w:tcW w:w="373" w:type="pct"/>
            <w:tcBorders>
              <w:top w:val="nil"/>
              <w:left w:val="nil"/>
              <w:bottom w:val="single" w:color="auto" w:sz="4" w:space="0"/>
              <w:right w:val="single" w:color="auto" w:sz="4" w:space="0"/>
            </w:tcBorders>
            <w:shd w:val="clear" w:color="000000" w:fill="FFFFFF"/>
            <w:noWrap/>
            <w:vAlign w:val="center"/>
          </w:tcPr>
          <w:p w14:paraId="6C0B574E">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3</w:t>
            </w:r>
          </w:p>
        </w:tc>
      </w:tr>
      <w:tr w14:paraId="67C3E343">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6FA85B85">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6</w:t>
            </w:r>
          </w:p>
        </w:tc>
        <w:tc>
          <w:tcPr>
            <w:tcW w:w="454" w:type="pct"/>
            <w:tcBorders>
              <w:top w:val="nil"/>
              <w:left w:val="nil"/>
              <w:bottom w:val="single" w:color="auto" w:sz="4" w:space="0"/>
              <w:right w:val="single" w:color="auto" w:sz="4" w:space="0"/>
            </w:tcBorders>
            <w:shd w:val="clear" w:color="000000" w:fill="FFFFFF"/>
            <w:vAlign w:val="center"/>
          </w:tcPr>
          <w:p w14:paraId="121E07F9">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highlight w:val="none"/>
                <w14:ligatures w14:val="none"/>
              </w:rPr>
              <w:t>应急指挥席</w:t>
            </w:r>
          </w:p>
        </w:tc>
        <w:tc>
          <w:tcPr>
            <w:tcW w:w="3495" w:type="pct"/>
            <w:tcBorders>
              <w:top w:val="nil"/>
              <w:left w:val="nil"/>
              <w:bottom w:val="single" w:color="auto" w:sz="4" w:space="0"/>
              <w:right w:val="single" w:color="auto" w:sz="4" w:space="0"/>
            </w:tcBorders>
            <w:shd w:val="clear" w:color="000000" w:fill="FFFFFF"/>
            <w:vAlign w:val="center"/>
          </w:tcPr>
          <w:p w14:paraId="1E892F3F">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3.5</w:t>
            </w:r>
            <w:r>
              <w:rPr>
                <w:rFonts w:hint="eastAsia" w:ascii="宋体" w:hAnsi="宋体" w:cs="宋体"/>
                <w:color w:val="000000"/>
                <w:kern w:val="0"/>
                <w:sz w:val="20"/>
                <w:szCs w:val="20"/>
                <w:lang w:val="en-US" w:eastAsia="zh-CN"/>
                <w14:ligatures w14:val="none"/>
              </w:rPr>
              <w:t>m</w:t>
            </w:r>
            <w:r>
              <w:rPr>
                <w:rFonts w:hint="eastAsia" w:ascii="宋体" w:hAnsi="宋体" w:eastAsia="宋体" w:cs="宋体"/>
                <w:color w:val="000000"/>
                <w:kern w:val="0"/>
                <w:sz w:val="20"/>
                <w:szCs w:val="20"/>
                <w14:ligatures w14:val="none"/>
              </w:rPr>
              <w:t>*1.4</w:t>
            </w:r>
            <w:r>
              <w:rPr>
                <w:rFonts w:hint="eastAsia" w:ascii="宋体" w:hAnsi="宋体" w:cs="宋体"/>
                <w:color w:val="000000"/>
                <w:kern w:val="0"/>
                <w:sz w:val="20"/>
                <w:szCs w:val="20"/>
                <w:lang w:val="en-US" w:eastAsia="zh-CN"/>
                <w14:ligatures w14:val="none"/>
              </w:rPr>
              <w:t>m±5%</w:t>
            </w:r>
          </w:p>
        </w:tc>
        <w:tc>
          <w:tcPr>
            <w:tcW w:w="376" w:type="pct"/>
            <w:tcBorders>
              <w:top w:val="nil"/>
              <w:left w:val="nil"/>
              <w:bottom w:val="single" w:color="auto" w:sz="4" w:space="0"/>
              <w:right w:val="single" w:color="auto" w:sz="4" w:space="0"/>
            </w:tcBorders>
            <w:shd w:val="clear" w:color="000000" w:fill="FFFFFF"/>
            <w:vAlign w:val="center"/>
          </w:tcPr>
          <w:p w14:paraId="6F0E31C9">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套</w:t>
            </w:r>
          </w:p>
        </w:tc>
        <w:tc>
          <w:tcPr>
            <w:tcW w:w="373" w:type="pct"/>
            <w:tcBorders>
              <w:top w:val="nil"/>
              <w:left w:val="nil"/>
              <w:bottom w:val="single" w:color="auto" w:sz="4" w:space="0"/>
              <w:right w:val="single" w:color="auto" w:sz="4" w:space="0"/>
            </w:tcBorders>
            <w:shd w:val="clear" w:color="000000" w:fill="FFFFFF"/>
            <w:noWrap/>
            <w:vAlign w:val="center"/>
          </w:tcPr>
          <w:p w14:paraId="14B49001">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r>
      <w:tr w14:paraId="33E585CF">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212CD583">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7</w:t>
            </w:r>
          </w:p>
        </w:tc>
        <w:tc>
          <w:tcPr>
            <w:tcW w:w="454" w:type="pct"/>
            <w:tcBorders>
              <w:top w:val="nil"/>
              <w:left w:val="nil"/>
              <w:bottom w:val="single" w:color="auto" w:sz="4" w:space="0"/>
              <w:right w:val="single" w:color="auto" w:sz="4" w:space="0"/>
            </w:tcBorders>
            <w:shd w:val="clear" w:color="000000" w:fill="FFFFFF"/>
            <w:vAlign w:val="center"/>
          </w:tcPr>
          <w:p w14:paraId="7957983B">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应急指挥椅</w:t>
            </w:r>
          </w:p>
        </w:tc>
        <w:tc>
          <w:tcPr>
            <w:tcW w:w="3495" w:type="pct"/>
            <w:tcBorders>
              <w:top w:val="nil"/>
              <w:left w:val="nil"/>
              <w:bottom w:val="single" w:color="auto" w:sz="4" w:space="0"/>
              <w:right w:val="single" w:color="auto" w:sz="4" w:space="0"/>
            </w:tcBorders>
            <w:shd w:val="clear" w:color="000000" w:fill="FFFFFF"/>
            <w:vAlign w:val="center"/>
          </w:tcPr>
          <w:p w14:paraId="53B41B95">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指挥席配套椅子</w:t>
            </w:r>
            <w:r>
              <w:rPr>
                <w:rFonts w:hint="eastAsia" w:ascii="宋体" w:hAnsi="宋体" w:cs="宋体"/>
                <w:color w:val="000000"/>
                <w:kern w:val="0"/>
                <w:sz w:val="20"/>
                <w:szCs w:val="20"/>
                <w:lang w:eastAsia="zh-CN"/>
                <w14:ligatures w14:val="none"/>
              </w:rPr>
              <w:t>（</w:t>
            </w:r>
            <w:r>
              <w:rPr>
                <w:rFonts w:hint="eastAsia" w:ascii="宋体" w:hAnsi="宋体" w:cs="宋体"/>
                <w:color w:val="000000"/>
                <w:kern w:val="0"/>
                <w:sz w:val="20"/>
                <w:szCs w:val="20"/>
                <w:lang w:val="en-US" w:eastAsia="zh-CN"/>
                <w14:ligatures w14:val="none"/>
              </w:rPr>
              <w:t>定制</w:t>
            </w:r>
            <w:r>
              <w:rPr>
                <w:rFonts w:hint="eastAsia" w:ascii="宋体" w:hAnsi="宋体" w:cs="宋体"/>
                <w:color w:val="000000"/>
                <w:kern w:val="0"/>
                <w:sz w:val="20"/>
                <w:szCs w:val="20"/>
                <w:lang w:eastAsia="zh-CN"/>
                <w14:ligatures w14:val="none"/>
              </w:rPr>
              <w:t>）</w:t>
            </w:r>
          </w:p>
        </w:tc>
        <w:tc>
          <w:tcPr>
            <w:tcW w:w="376" w:type="pct"/>
            <w:tcBorders>
              <w:top w:val="nil"/>
              <w:left w:val="nil"/>
              <w:bottom w:val="single" w:color="auto" w:sz="4" w:space="0"/>
              <w:right w:val="single" w:color="auto" w:sz="4" w:space="0"/>
            </w:tcBorders>
            <w:shd w:val="clear" w:color="000000" w:fill="FFFFFF"/>
            <w:vAlign w:val="center"/>
          </w:tcPr>
          <w:p w14:paraId="35D592D8">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个</w:t>
            </w:r>
          </w:p>
        </w:tc>
        <w:tc>
          <w:tcPr>
            <w:tcW w:w="373" w:type="pct"/>
            <w:tcBorders>
              <w:top w:val="nil"/>
              <w:left w:val="nil"/>
              <w:bottom w:val="single" w:color="auto" w:sz="4" w:space="0"/>
              <w:right w:val="single" w:color="auto" w:sz="4" w:space="0"/>
            </w:tcBorders>
            <w:shd w:val="clear" w:color="000000" w:fill="FFFFFF"/>
            <w:noWrap/>
            <w:vAlign w:val="center"/>
          </w:tcPr>
          <w:p w14:paraId="0B52F480">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10</w:t>
            </w:r>
          </w:p>
        </w:tc>
      </w:tr>
      <w:tr w14:paraId="054438C4">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0C8E5AAB">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8</w:t>
            </w:r>
          </w:p>
        </w:tc>
        <w:tc>
          <w:tcPr>
            <w:tcW w:w="454" w:type="pct"/>
            <w:tcBorders>
              <w:top w:val="nil"/>
              <w:left w:val="nil"/>
              <w:bottom w:val="single" w:color="auto" w:sz="4" w:space="0"/>
              <w:right w:val="single" w:color="auto" w:sz="4" w:space="0"/>
            </w:tcBorders>
            <w:shd w:val="clear" w:color="000000" w:fill="FFFFFF"/>
            <w:vAlign w:val="center"/>
          </w:tcPr>
          <w:p w14:paraId="32C454D4">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国产电脑</w:t>
            </w:r>
          </w:p>
        </w:tc>
        <w:tc>
          <w:tcPr>
            <w:tcW w:w="3495" w:type="pct"/>
            <w:tcBorders>
              <w:top w:val="nil"/>
              <w:left w:val="nil"/>
              <w:bottom w:val="single" w:color="auto" w:sz="4" w:space="0"/>
              <w:right w:val="single" w:color="auto" w:sz="4" w:space="0"/>
            </w:tcBorders>
            <w:shd w:val="clear" w:color="000000" w:fill="FFFFFF"/>
            <w:vAlign w:val="center"/>
          </w:tcPr>
          <w:p w14:paraId="58782C78">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 xml:space="preserve"> </w:t>
            </w:r>
            <w:r>
              <w:rPr>
                <w:rFonts w:hint="eastAsia" w:ascii="宋体" w:hAnsi="宋体" w:cs="宋体"/>
                <w:color w:val="000000"/>
                <w:kern w:val="0"/>
                <w:sz w:val="20"/>
                <w:szCs w:val="20"/>
                <w:lang w:val="en-US" w:eastAsia="zh-CN"/>
                <w14:ligatures w14:val="none"/>
              </w:rPr>
              <w:t>≥</w:t>
            </w:r>
            <w:r>
              <w:rPr>
                <w:rFonts w:hint="eastAsia" w:ascii="宋体" w:hAnsi="宋体" w:eastAsia="宋体" w:cs="宋体"/>
                <w:color w:val="000000"/>
                <w:kern w:val="0"/>
                <w:sz w:val="20"/>
                <w:szCs w:val="20"/>
                <w14:ligatures w14:val="none"/>
              </w:rPr>
              <w:t xml:space="preserve">16G内存、 </w:t>
            </w:r>
            <w:r>
              <w:rPr>
                <w:rFonts w:hint="eastAsia" w:ascii="宋体" w:hAnsi="宋体" w:cs="宋体"/>
                <w:color w:val="000000"/>
                <w:kern w:val="0"/>
                <w:sz w:val="20"/>
                <w:szCs w:val="20"/>
                <w:lang w:val="en-US" w:eastAsia="zh-CN"/>
                <w14:ligatures w14:val="none"/>
              </w:rPr>
              <w:t>≥</w:t>
            </w:r>
            <w:r>
              <w:rPr>
                <w:rFonts w:hint="eastAsia" w:ascii="宋体" w:hAnsi="宋体" w:eastAsia="宋体" w:cs="宋体"/>
                <w:color w:val="000000"/>
                <w:kern w:val="0"/>
                <w:sz w:val="20"/>
                <w:szCs w:val="20"/>
                <w14:ligatures w14:val="none"/>
              </w:rPr>
              <w:t>512GB固态、集显，</w:t>
            </w:r>
            <w:r>
              <w:rPr>
                <w:rFonts w:hint="eastAsia" w:ascii="宋体" w:hAnsi="宋体" w:eastAsia="宋体" w:cs="宋体"/>
                <w:color w:val="000000"/>
                <w:kern w:val="0"/>
                <w:sz w:val="20"/>
                <w:szCs w:val="20"/>
                <w:lang w:val="en-US" w:eastAsia="zh-CN"/>
                <w14:ligatures w14:val="none"/>
              </w:rPr>
              <w:t>国产</w:t>
            </w:r>
            <w:r>
              <w:rPr>
                <w:rFonts w:hint="eastAsia" w:ascii="宋体" w:hAnsi="宋体" w:eastAsia="宋体" w:cs="宋体"/>
                <w:color w:val="000000"/>
                <w:kern w:val="0"/>
                <w:sz w:val="20"/>
                <w:szCs w:val="20"/>
                <w14:ligatures w14:val="none"/>
              </w:rPr>
              <w:t>操作系统</w:t>
            </w:r>
          </w:p>
        </w:tc>
        <w:tc>
          <w:tcPr>
            <w:tcW w:w="376" w:type="pct"/>
            <w:tcBorders>
              <w:top w:val="nil"/>
              <w:left w:val="nil"/>
              <w:bottom w:val="single" w:color="auto" w:sz="4" w:space="0"/>
              <w:right w:val="single" w:color="auto" w:sz="4" w:space="0"/>
            </w:tcBorders>
            <w:shd w:val="clear" w:color="000000" w:fill="FFFFFF"/>
            <w:vAlign w:val="center"/>
          </w:tcPr>
          <w:p w14:paraId="389F27DD">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台</w:t>
            </w:r>
          </w:p>
        </w:tc>
        <w:tc>
          <w:tcPr>
            <w:tcW w:w="373" w:type="pct"/>
            <w:tcBorders>
              <w:top w:val="nil"/>
              <w:left w:val="nil"/>
              <w:bottom w:val="single" w:color="auto" w:sz="4" w:space="0"/>
              <w:right w:val="single" w:color="auto" w:sz="4" w:space="0"/>
            </w:tcBorders>
            <w:shd w:val="clear" w:color="000000" w:fill="FFFFFF"/>
            <w:noWrap/>
            <w:vAlign w:val="center"/>
          </w:tcPr>
          <w:p w14:paraId="60E59A39">
            <w:pPr>
              <w:widowControl/>
              <w:spacing w:after="0" w:line="240" w:lineRule="auto"/>
              <w:jc w:val="center"/>
              <w:rPr>
                <w:rFonts w:hint="eastAsia" w:ascii="宋体" w:hAnsi="宋体" w:eastAsia="宋体" w:cs="宋体"/>
                <w:color w:val="000000"/>
                <w:kern w:val="0"/>
                <w:sz w:val="20"/>
                <w:szCs w:val="20"/>
                <w:lang w:eastAsia="zh-CN"/>
                <w14:ligatures w14:val="none"/>
              </w:rPr>
            </w:pPr>
            <w:r>
              <w:rPr>
                <w:rFonts w:hint="eastAsia" w:ascii="宋体" w:hAnsi="宋体" w:eastAsia="宋体" w:cs="宋体"/>
                <w:color w:val="000000"/>
                <w:kern w:val="0"/>
                <w:sz w:val="20"/>
                <w:szCs w:val="20"/>
                <w:lang w:val="en-US" w:eastAsia="zh-CN"/>
                <w14:ligatures w14:val="none"/>
              </w:rPr>
              <w:t>2</w:t>
            </w:r>
          </w:p>
        </w:tc>
      </w:tr>
      <w:tr w14:paraId="1755AD5E">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4D77D2AC">
            <w:pPr>
              <w:widowControl/>
              <w:spacing w:after="0" w:line="240" w:lineRule="auto"/>
              <w:jc w:val="center"/>
              <w:rPr>
                <w:rFonts w:hint="eastAsia" w:ascii="宋体" w:hAnsi="宋体" w:eastAsia="宋体" w:cs="宋体"/>
                <w:color w:val="000000"/>
                <w:kern w:val="0"/>
                <w:sz w:val="20"/>
                <w:szCs w:val="20"/>
                <w:lang w:eastAsia="zh-CN"/>
                <w14:ligatures w14:val="none"/>
              </w:rPr>
            </w:pPr>
            <w:r>
              <w:rPr>
                <w:rFonts w:hint="eastAsia" w:ascii="宋体" w:hAnsi="宋体" w:eastAsia="宋体" w:cs="宋体"/>
                <w:color w:val="000000"/>
                <w:kern w:val="0"/>
                <w:sz w:val="20"/>
                <w:szCs w:val="20"/>
                <w:lang w:val="en-US" w:eastAsia="zh-CN"/>
                <w14:ligatures w14:val="none"/>
              </w:rPr>
              <w:t>9</w:t>
            </w:r>
          </w:p>
        </w:tc>
        <w:tc>
          <w:tcPr>
            <w:tcW w:w="454" w:type="pct"/>
            <w:tcBorders>
              <w:top w:val="nil"/>
              <w:left w:val="nil"/>
              <w:bottom w:val="single" w:color="auto" w:sz="4" w:space="0"/>
              <w:right w:val="single" w:color="auto" w:sz="4" w:space="0"/>
            </w:tcBorders>
            <w:shd w:val="clear" w:color="000000" w:fill="FFFFFF"/>
            <w:vAlign w:val="center"/>
          </w:tcPr>
          <w:p w14:paraId="429CE474">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涉密打印机</w:t>
            </w:r>
          </w:p>
        </w:tc>
        <w:tc>
          <w:tcPr>
            <w:tcW w:w="3495" w:type="pct"/>
            <w:tcBorders>
              <w:top w:val="nil"/>
              <w:left w:val="nil"/>
              <w:bottom w:val="single" w:color="auto" w:sz="4" w:space="0"/>
              <w:right w:val="single" w:color="auto" w:sz="4" w:space="0"/>
            </w:tcBorders>
            <w:shd w:val="clear" w:color="000000" w:fill="FFFFFF"/>
            <w:vAlign w:val="center"/>
          </w:tcPr>
          <w:p w14:paraId="19010756">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自动双面打印 复印扫描A4彩色激光一体机 USB/有线网络打印18ppm</w:t>
            </w:r>
          </w:p>
        </w:tc>
        <w:tc>
          <w:tcPr>
            <w:tcW w:w="376" w:type="pct"/>
            <w:tcBorders>
              <w:top w:val="nil"/>
              <w:left w:val="nil"/>
              <w:bottom w:val="single" w:color="auto" w:sz="4" w:space="0"/>
              <w:right w:val="single" w:color="auto" w:sz="4" w:space="0"/>
            </w:tcBorders>
            <w:shd w:val="clear" w:color="000000" w:fill="FFFFFF"/>
            <w:vAlign w:val="center"/>
          </w:tcPr>
          <w:p w14:paraId="0C957E43">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台</w:t>
            </w:r>
          </w:p>
        </w:tc>
        <w:tc>
          <w:tcPr>
            <w:tcW w:w="373" w:type="pct"/>
            <w:tcBorders>
              <w:top w:val="nil"/>
              <w:left w:val="nil"/>
              <w:bottom w:val="single" w:color="auto" w:sz="4" w:space="0"/>
              <w:right w:val="single" w:color="auto" w:sz="4" w:space="0"/>
            </w:tcBorders>
            <w:shd w:val="clear" w:color="000000" w:fill="FFFFFF"/>
            <w:noWrap/>
            <w:vAlign w:val="center"/>
          </w:tcPr>
          <w:p w14:paraId="301CFF4C">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r>
      <w:tr w14:paraId="3F9DB360">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771A50FE">
            <w:pPr>
              <w:widowControl/>
              <w:spacing w:after="0" w:line="240" w:lineRule="auto"/>
              <w:jc w:val="center"/>
              <w:rPr>
                <w:rFonts w:hint="default" w:ascii="宋体" w:hAnsi="宋体" w:eastAsia="宋体" w:cs="宋体"/>
                <w:color w:val="000000"/>
                <w:kern w:val="0"/>
                <w:sz w:val="20"/>
                <w:szCs w:val="20"/>
                <w:lang w:val="en-US" w:eastAsia="zh-CN"/>
                <w14:ligatures w14:val="none"/>
              </w:rPr>
            </w:pPr>
            <w:r>
              <w:rPr>
                <w:rFonts w:hint="eastAsia" w:ascii="宋体" w:hAnsi="宋体" w:eastAsia="宋体" w:cs="宋体"/>
                <w:color w:val="000000"/>
                <w:kern w:val="0"/>
                <w:sz w:val="20"/>
                <w:szCs w:val="20"/>
                <w:lang w:val="en-US" w:eastAsia="zh-CN"/>
                <w14:ligatures w14:val="none"/>
              </w:rPr>
              <w:t>10</w:t>
            </w:r>
          </w:p>
        </w:tc>
        <w:tc>
          <w:tcPr>
            <w:tcW w:w="454" w:type="pct"/>
            <w:tcBorders>
              <w:top w:val="nil"/>
              <w:left w:val="nil"/>
              <w:bottom w:val="single" w:color="auto" w:sz="4" w:space="0"/>
              <w:right w:val="single" w:color="auto" w:sz="4" w:space="0"/>
            </w:tcBorders>
            <w:shd w:val="clear" w:color="000000" w:fill="FFFFFF"/>
            <w:vAlign w:val="center"/>
          </w:tcPr>
          <w:p w14:paraId="5846A285">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涉密有线电话</w:t>
            </w:r>
          </w:p>
        </w:tc>
        <w:tc>
          <w:tcPr>
            <w:tcW w:w="3495" w:type="pct"/>
            <w:tcBorders>
              <w:top w:val="nil"/>
              <w:left w:val="nil"/>
              <w:bottom w:val="single" w:color="auto" w:sz="4" w:space="0"/>
              <w:right w:val="single" w:color="auto" w:sz="4" w:space="0"/>
            </w:tcBorders>
            <w:shd w:val="clear" w:color="000000" w:fill="FFFFFF"/>
            <w:noWrap/>
            <w:vAlign w:val="center"/>
          </w:tcPr>
          <w:p w14:paraId="49649655">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电话机、话筒、 话筒线、直线</w:t>
            </w:r>
          </w:p>
        </w:tc>
        <w:tc>
          <w:tcPr>
            <w:tcW w:w="376" w:type="pct"/>
            <w:tcBorders>
              <w:top w:val="nil"/>
              <w:left w:val="nil"/>
              <w:bottom w:val="single" w:color="auto" w:sz="4" w:space="0"/>
              <w:right w:val="single" w:color="auto" w:sz="4" w:space="0"/>
            </w:tcBorders>
            <w:shd w:val="clear" w:color="000000" w:fill="FFFFFF"/>
            <w:vAlign w:val="center"/>
          </w:tcPr>
          <w:p w14:paraId="712A01A3">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台</w:t>
            </w:r>
          </w:p>
        </w:tc>
        <w:tc>
          <w:tcPr>
            <w:tcW w:w="373" w:type="pct"/>
            <w:tcBorders>
              <w:top w:val="nil"/>
              <w:left w:val="nil"/>
              <w:bottom w:val="single" w:color="auto" w:sz="4" w:space="0"/>
              <w:right w:val="single" w:color="auto" w:sz="4" w:space="0"/>
            </w:tcBorders>
            <w:shd w:val="clear" w:color="000000" w:fill="FFFFFF"/>
            <w:noWrap/>
            <w:vAlign w:val="center"/>
          </w:tcPr>
          <w:p w14:paraId="0ECA6FC4">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r>
      <w:tr w14:paraId="7176DB9E">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5D628922">
            <w:pPr>
              <w:widowControl/>
              <w:spacing w:after="0" w:line="240" w:lineRule="auto"/>
              <w:jc w:val="center"/>
              <w:rPr>
                <w:rFonts w:hint="default" w:ascii="宋体" w:hAnsi="宋体" w:eastAsia="宋体" w:cs="宋体"/>
                <w:color w:val="000000"/>
                <w:kern w:val="0"/>
                <w:sz w:val="20"/>
                <w:szCs w:val="20"/>
                <w:lang w:val="en-US" w:eastAsia="zh-CN"/>
                <w14:ligatures w14:val="none"/>
              </w:rPr>
            </w:pPr>
            <w:r>
              <w:rPr>
                <w:rFonts w:hint="eastAsia" w:ascii="宋体" w:hAnsi="宋体" w:eastAsia="宋体" w:cs="宋体"/>
                <w:color w:val="000000"/>
                <w:kern w:val="0"/>
                <w:sz w:val="20"/>
                <w:szCs w:val="20"/>
                <w:lang w:val="en-US" w:eastAsia="zh-CN"/>
                <w14:ligatures w14:val="none"/>
              </w:rPr>
              <w:t>11</w:t>
            </w:r>
          </w:p>
        </w:tc>
        <w:tc>
          <w:tcPr>
            <w:tcW w:w="454" w:type="pct"/>
            <w:tcBorders>
              <w:top w:val="nil"/>
              <w:left w:val="nil"/>
              <w:bottom w:val="single" w:color="auto" w:sz="4" w:space="0"/>
              <w:right w:val="single" w:color="auto" w:sz="4" w:space="0"/>
            </w:tcBorders>
            <w:shd w:val="clear" w:color="000000" w:fill="FFFFFF"/>
            <w:vAlign w:val="center"/>
          </w:tcPr>
          <w:p w14:paraId="3E0DCAB2">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highlight w:val="none"/>
                <w14:ligatures w14:val="none"/>
              </w:rPr>
              <w:t>403配套</w:t>
            </w:r>
          </w:p>
        </w:tc>
        <w:tc>
          <w:tcPr>
            <w:tcW w:w="3495" w:type="pct"/>
            <w:tcBorders>
              <w:top w:val="nil"/>
              <w:left w:val="nil"/>
              <w:bottom w:val="single" w:color="auto" w:sz="4" w:space="0"/>
              <w:right w:val="single" w:color="auto" w:sz="4" w:space="0"/>
            </w:tcBorders>
            <w:shd w:val="clear" w:color="000000" w:fill="FFFFFF"/>
            <w:vAlign w:val="center"/>
          </w:tcPr>
          <w:p w14:paraId="09DC92E6">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cs="宋体"/>
                <w:color w:val="000000"/>
                <w:kern w:val="0"/>
                <w:sz w:val="20"/>
                <w:szCs w:val="20"/>
                <w:lang w:val="en-US" w:eastAsia="zh-CN"/>
                <w14:ligatures w14:val="none"/>
              </w:rPr>
              <w:t>24口千兆</w:t>
            </w:r>
            <w:r>
              <w:rPr>
                <w:rFonts w:hint="eastAsia" w:ascii="宋体" w:hAnsi="宋体" w:eastAsia="宋体" w:cs="宋体"/>
                <w:color w:val="000000"/>
                <w:kern w:val="0"/>
                <w:sz w:val="20"/>
                <w:szCs w:val="20"/>
                <w14:ligatures w14:val="none"/>
              </w:rPr>
              <w:t>交换机、对接省网信办系统</w:t>
            </w:r>
          </w:p>
        </w:tc>
        <w:tc>
          <w:tcPr>
            <w:tcW w:w="376" w:type="pct"/>
            <w:tcBorders>
              <w:top w:val="nil"/>
              <w:left w:val="nil"/>
              <w:bottom w:val="single" w:color="auto" w:sz="4" w:space="0"/>
              <w:right w:val="single" w:color="auto" w:sz="4" w:space="0"/>
            </w:tcBorders>
            <w:shd w:val="clear" w:color="000000" w:fill="FFFFFF"/>
            <w:vAlign w:val="center"/>
          </w:tcPr>
          <w:p w14:paraId="234A24BE">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项</w:t>
            </w:r>
          </w:p>
        </w:tc>
        <w:tc>
          <w:tcPr>
            <w:tcW w:w="373" w:type="pct"/>
            <w:tcBorders>
              <w:top w:val="nil"/>
              <w:left w:val="nil"/>
              <w:bottom w:val="single" w:color="auto" w:sz="4" w:space="0"/>
              <w:right w:val="single" w:color="auto" w:sz="4" w:space="0"/>
            </w:tcBorders>
            <w:shd w:val="clear" w:color="000000" w:fill="FFFFFF"/>
            <w:noWrap/>
            <w:vAlign w:val="center"/>
          </w:tcPr>
          <w:p w14:paraId="11EAAF02">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r>
      <w:tr w14:paraId="3D8CAC55">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5CB2760A">
            <w:pPr>
              <w:widowControl/>
              <w:spacing w:after="0" w:line="240" w:lineRule="auto"/>
              <w:jc w:val="center"/>
              <w:rPr>
                <w:rFonts w:hint="default" w:ascii="宋体" w:hAnsi="宋体" w:eastAsia="宋体" w:cs="宋体"/>
                <w:color w:val="000000"/>
                <w:kern w:val="0"/>
                <w:sz w:val="20"/>
                <w:szCs w:val="20"/>
                <w:lang w:val="en-US" w:eastAsia="zh-CN"/>
                <w14:ligatures w14:val="none"/>
              </w:rPr>
            </w:pPr>
            <w:r>
              <w:rPr>
                <w:rFonts w:hint="eastAsia" w:ascii="宋体" w:hAnsi="宋体" w:eastAsia="宋体" w:cs="宋体"/>
                <w:color w:val="000000"/>
                <w:kern w:val="0"/>
                <w:sz w:val="20"/>
                <w:szCs w:val="20"/>
                <w:lang w:val="en-US" w:eastAsia="zh-CN"/>
                <w14:ligatures w14:val="none"/>
              </w:rPr>
              <w:t>12</w:t>
            </w:r>
          </w:p>
        </w:tc>
        <w:tc>
          <w:tcPr>
            <w:tcW w:w="454" w:type="pct"/>
            <w:tcBorders>
              <w:top w:val="nil"/>
              <w:left w:val="nil"/>
              <w:bottom w:val="single" w:color="auto" w:sz="4" w:space="0"/>
              <w:right w:val="single" w:color="auto" w:sz="4" w:space="0"/>
            </w:tcBorders>
            <w:shd w:val="clear" w:color="000000" w:fill="FFFFFF"/>
            <w:vAlign w:val="center"/>
          </w:tcPr>
          <w:p w14:paraId="515378A8">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监控显示屏</w:t>
            </w:r>
          </w:p>
        </w:tc>
        <w:tc>
          <w:tcPr>
            <w:tcW w:w="3495" w:type="pct"/>
            <w:tcBorders>
              <w:top w:val="nil"/>
              <w:left w:val="nil"/>
              <w:bottom w:val="single" w:color="auto" w:sz="4" w:space="0"/>
              <w:right w:val="single" w:color="auto" w:sz="4" w:space="0"/>
            </w:tcBorders>
            <w:shd w:val="clear" w:color="000000" w:fill="FFFFFF"/>
            <w:vAlign w:val="center"/>
          </w:tcPr>
          <w:p w14:paraId="6046C893">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 xml:space="preserve">电视 </w:t>
            </w:r>
            <w:r>
              <w:rPr>
                <w:rFonts w:hint="eastAsia" w:ascii="宋体" w:hAnsi="宋体" w:cs="宋体"/>
                <w:color w:val="000000"/>
                <w:kern w:val="0"/>
                <w:sz w:val="20"/>
                <w:szCs w:val="20"/>
                <w:lang w:val="en-US" w:eastAsia="zh-CN"/>
                <w14:ligatures w14:val="none"/>
              </w:rPr>
              <w:t>≥</w:t>
            </w:r>
            <w:r>
              <w:rPr>
                <w:rFonts w:hint="eastAsia" w:ascii="宋体" w:hAnsi="宋体" w:eastAsia="宋体" w:cs="宋体"/>
                <w:color w:val="000000"/>
                <w:kern w:val="0"/>
                <w:sz w:val="20"/>
                <w:szCs w:val="20"/>
                <w14:ligatures w14:val="none"/>
              </w:rPr>
              <w:t>75英寸32G大存储4K高清，配备20米高清线</w:t>
            </w:r>
          </w:p>
        </w:tc>
        <w:tc>
          <w:tcPr>
            <w:tcW w:w="376" w:type="pct"/>
            <w:tcBorders>
              <w:top w:val="nil"/>
              <w:left w:val="nil"/>
              <w:bottom w:val="single" w:color="auto" w:sz="4" w:space="0"/>
              <w:right w:val="single" w:color="auto" w:sz="4" w:space="0"/>
            </w:tcBorders>
            <w:shd w:val="clear" w:color="000000" w:fill="FFFFFF"/>
            <w:vAlign w:val="center"/>
          </w:tcPr>
          <w:p w14:paraId="35C89CAB">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台</w:t>
            </w:r>
          </w:p>
        </w:tc>
        <w:tc>
          <w:tcPr>
            <w:tcW w:w="373" w:type="pct"/>
            <w:tcBorders>
              <w:top w:val="nil"/>
              <w:left w:val="nil"/>
              <w:bottom w:val="single" w:color="auto" w:sz="4" w:space="0"/>
              <w:right w:val="single" w:color="auto" w:sz="4" w:space="0"/>
            </w:tcBorders>
            <w:shd w:val="clear" w:color="000000" w:fill="FFFFFF"/>
            <w:noWrap/>
            <w:vAlign w:val="center"/>
          </w:tcPr>
          <w:p w14:paraId="014E50B3">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r>
      <w:tr w14:paraId="4A857DBD">
        <w:tblPrEx>
          <w:tblCellMar>
            <w:top w:w="0" w:type="dxa"/>
            <w:left w:w="108" w:type="dxa"/>
            <w:bottom w:w="0" w:type="dxa"/>
            <w:right w:w="108" w:type="dxa"/>
          </w:tblCellMar>
        </w:tblPrEx>
        <w:trPr>
          <w:trHeight w:val="320" w:hRule="atLeast"/>
        </w:trPr>
        <w:tc>
          <w:tcPr>
            <w:tcW w:w="300" w:type="pct"/>
            <w:tcBorders>
              <w:top w:val="nil"/>
              <w:left w:val="single" w:color="auto" w:sz="4" w:space="0"/>
              <w:bottom w:val="single" w:color="auto" w:sz="4" w:space="0"/>
              <w:right w:val="single" w:color="auto" w:sz="4" w:space="0"/>
            </w:tcBorders>
            <w:shd w:val="clear" w:color="000000" w:fill="FFFFFF"/>
            <w:noWrap/>
            <w:vAlign w:val="center"/>
          </w:tcPr>
          <w:p w14:paraId="39978CDA">
            <w:pPr>
              <w:widowControl/>
              <w:spacing w:after="0" w:line="240" w:lineRule="auto"/>
              <w:jc w:val="center"/>
              <w:rPr>
                <w:rFonts w:hint="default" w:ascii="宋体" w:hAnsi="宋体" w:eastAsia="宋体" w:cs="宋体"/>
                <w:color w:val="000000"/>
                <w:kern w:val="0"/>
                <w:sz w:val="20"/>
                <w:szCs w:val="20"/>
                <w:lang w:val="en-US" w:eastAsia="zh-CN"/>
                <w14:ligatures w14:val="none"/>
              </w:rPr>
            </w:pPr>
            <w:r>
              <w:rPr>
                <w:rFonts w:hint="eastAsia" w:ascii="宋体" w:hAnsi="宋体" w:eastAsia="宋体" w:cs="宋体"/>
                <w:color w:val="000000"/>
                <w:kern w:val="0"/>
                <w:sz w:val="20"/>
                <w:szCs w:val="20"/>
                <w:lang w:val="en-US" w:eastAsia="zh-CN"/>
                <w14:ligatures w14:val="none"/>
              </w:rPr>
              <w:t>13</w:t>
            </w:r>
          </w:p>
        </w:tc>
        <w:tc>
          <w:tcPr>
            <w:tcW w:w="454" w:type="pct"/>
            <w:tcBorders>
              <w:top w:val="nil"/>
              <w:left w:val="nil"/>
              <w:bottom w:val="single" w:color="auto" w:sz="4" w:space="0"/>
              <w:right w:val="single" w:color="auto" w:sz="4" w:space="0"/>
            </w:tcBorders>
            <w:shd w:val="clear" w:color="000000" w:fill="FFFFFF"/>
            <w:vAlign w:val="center"/>
          </w:tcPr>
          <w:p w14:paraId="40F9EAC7">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视频监控设备</w:t>
            </w:r>
          </w:p>
        </w:tc>
        <w:tc>
          <w:tcPr>
            <w:tcW w:w="3495" w:type="pct"/>
            <w:tcBorders>
              <w:top w:val="nil"/>
              <w:left w:val="nil"/>
              <w:bottom w:val="single" w:color="auto" w:sz="4" w:space="0"/>
              <w:right w:val="single" w:color="auto" w:sz="4" w:space="0"/>
            </w:tcBorders>
            <w:shd w:val="clear" w:color="000000" w:fill="FFFFFF"/>
            <w:vAlign w:val="center"/>
          </w:tcPr>
          <w:p w14:paraId="6CC5BD05">
            <w:pPr>
              <w:widowControl/>
              <w:spacing w:after="0" w:line="240" w:lineRule="auto"/>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 xml:space="preserve"> 600万POE摄像头4台，8路双盘位4K超高清智能网络监控主机poe网线供电带1块4TB硬盘</w:t>
            </w:r>
          </w:p>
        </w:tc>
        <w:tc>
          <w:tcPr>
            <w:tcW w:w="376" w:type="pct"/>
            <w:tcBorders>
              <w:top w:val="nil"/>
              <w:left w:val="nil"/>
              <w:bottom w:val="single" w:color="auto" w:sz="4" w:space="0"/>
              <w:right w:val="single" w:color="auto" w:sz="4" w:space="0"/>
            </w:tcBorders>
            <w:shd w:val="clear" w:color="000000" w:fill="FFFFFF"/>
            <w:vAlign w:val="center"/>
          </w:tcPr>
          <w:p w14:paraId="3C885499">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项</w:t>
            </w:r>
          </w:p>
        </w:tc>
        <w:tc>
          <w:tcPr>
            <w:tcW w:w="373" w:type="pct"/>
            <w:tcBorders>
              <w:top w:val="nil"/>
              <w:left w:val="nil"/>
              <w:bottom w:val="single" w:color="auto" w:sz="4" w:space="0"/>
              <w:right w:val="single" w:color="auto" w:sz="4" w:space="0"/>
            </w:tcBorders>
            <w:shd w:val="clear" w:color="000000" w:fill="FFFFFF"/>
            <w:noWrap/>
            <w:vAlign w:val="center"/>
          </w:tcPr>
          <w:p w14:paraId="7EB16EAD">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1</w:t>
            </w:r>
          </w:p>
        </w:tc>
      </w:tr>
    </w:tbl>
    <w:p w14:paraId="6CE9E250">
      <w:pPr>
        <w:rPr>
          <w:rFonts w:hint="eastAsia"/>
          <w:lang w:val="zh-CN"/>
        </w:rPr>
        <w:sectPr>
          <w:pgSz w:w="16838" w:h="11906" w:orient="landscape"/>
          <w:pgMar w:top="1800" w:right="1440" w:bottom="1800" w:left="1440" w:header="851" w:footer="992" w:gutter="0"/>
          <w:cols w:space="425" w:num="1"/>
          <w:docGrid w:type="lines" w:linePitch="312" w:charSpace="0"/>
        </w:sectPr>
      </w:pPr>
    </w:p>
    <w:p w14:paraId="77F046A9">
      <w:pPr>
        <w:pStyle w:val="18"/>
        <w:numPr>
          <w:ilvl w:val="0"/>
          <w:numId w:val="0"/>
        </w:numPr>
        <w:jc w:val="both"/>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D76347E-8FD9-42F3-8E45-3EA3F3ECFA25}"/>
  </w:font>
  <w:font w:name="Cambria">
    <w:panose1 w:val="02040503050406030204"/>
    <w:charset w:val="00"/>
    <w:family w:val="roman"/>
    <w:pitch w:val="default"/>
    <w:sig w:usb0="E00006FF" w:usb1="420024FF" w:usb2="02000000" w:usb3="00000000" w:csb0="2000019F" w:csb1="00000000"/>
    <w:embedRegular r:id="rId2" w:fontKey="{159CD2D7-E437-48E7-AE85-C093EA8DF120}"/>
  </w:font>
  <w:font w:name="Verdana">
    <w:panose1 w:val="020B0604030504040204"/>
    <w:charset w:val="00"/>
    <w:family w:val="swiss"/>
    <w:pitch w:val="default"/>
    <w:sig w:usb0="A00006FF" w:usb1="4000205B" w:usb2="00000010" w:usb3="00000000" w:csb0="2000019F" w:csb1="00000000"/>
  </w:font>
  <w:font w:name="华文行楷">
    <w:panose1 w:val="02010800040101010101"/>
    <w:charset w:val="86"/>
    <w:family w:val="auto"/>
    <w:pitch w:val="default"/>
    <w:sig w:usb0="00000001" w:usb1="080F0000" w:usb2="00000000" w:usb3="00000000" w:csb0="00040000" w:csb1="00000000"/>
    <w:embedRegular r:id="rId3" w:fontKey="{88B2B3D5-7C53-4134-972D-070DC184E9D4}"/>
  </w:font>
  <w:font w:name="方正小标宋简体">
    <w:panose1 w:val="02000000000000000000"/>
    <w:charset w:val="86"/>
    <w:family w:val="auto"/>
    <w:pitch w:val="default"/>
    <w:sig w:usb0="00000001" w:usb1="08000000" w:usb2="00000000" w:usb3="00000000" w:csb0="00040000" w:csb1="00000000"/>
    <w:embedRegular r:id="rId4" w:fontKey="{222C7B31-2736-41C5-A4EE-377D7CF04434}"/>
  </w:font>
  <w:font w:name="仿宋_GB2312">
    <w:altName w:val="仿宋"/>
    <w:panose1 w:val="00000000000000000000"/>
    <w:charset w:val="86"/>
    <w:family w:val="modern"/>
    <w:pitch w:val="default"/>
    <w:sig w:usb0="00000000" w:usb1="00000000" w:usb2="00000010" w:usb3="00000000" w:csb0="00040000" w:csb1="00000000"/>
    <w:embedRegular r:id="rId5" w:fontKey="{2B7DE85D-86CF-4E21-B081-E60961422517}"/>
  </w:font>
  <w:font w:name="仿宋">
    <w:panose1 w:val="02010609060101010101"/>
    <w:charset w:val="86"/>
    <w:family w:val="auto"/>
    <w:pitch w:val="default"/>
    <w:sig w:usb0="800002BF" w:usb1="38CF7CFA" w:usb2="00000016" w:usb3="00000000" w:csb0="00040001" w:csb1="00000000"/>
    <w:embedRegular r:id="rId6" w:fontKey="{D1A8CEF0-2C32-4889-B7CD-4C66615CCAD0}"/>
  </w:font>
  <w:font w:name="WPSEMBED1">
    <w:panose1 w:val="02010800040101010101"/>
    <w:charset w:val="86"/>
    <w:family w:val="auto"/>
    <w:pitch w:val="default"/>
    <w:sig w:usb0="00000001" w:usb1="080F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188D4">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E743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6E7438">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B406792">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1091">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78ABCA">
                          <w:pPr>
                            <w:pStyle w:val="1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57</w:t>
                          </w:r>
                          <w:r>
                            <w:rPr>
                              <w:b/>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D78ABCA">
                    <w:pPr>
                      <w:pStyle w:val="1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57</w:t>
                    </w:r>
                    <w:r>
                      <w:rPr>
                        <w:b/>
                        <w:sz w:val="24"/>
                        <w:szCs w:val="24"/>
                      </w:rPr>
                      <w:fldChar w:fldCharType="end"/>
                    </w:r>
                  </w:p>
                </w:txbxContent>
              </v:textbox>
            </v:shape>
          </w:pict>
        </mc:Fallback>
      </mc:AlternateContent>
    </w:r>
  </w:p>
  <w:p w14:paraId="2A86575E">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4F5F0E"/>
    <w:multiLevelType w:val="singleLevel"/>
    <w:tmpl w:val="C24F5F0E"/>
    <w:lvl w:ilvl="0" w:tentative="0">
      <w:start w:val="5"/>
      <w:numFmt w:val="decimal"/>
      <w:lvlText w:val="%1."/>
      <w:lvlJc w:val="left"/>
      <w:pPr>
        <w:tabs>
          <w:tab w:val="left" w:pos="312"/>
        </w:tabs>
      </w:pPr>
    </w:lvl>
  </w:abstractNum>
  <w:abstractNum w:abstractNumId="1">
    <w:nsid w:val="E1F1FF89"/>
    <w:multiLevelType w:val="singleLevel"/>
    <w:tmpl w:val="E1F1FF89"/>
    <w:lvl w:ilvl="0" w:tentative="0">
      <w:start w:val="1"/>
      <w:numFmt w:val="decimal"/>
      <w:suff w:val="space"/>
      <w:lvlText w:val="%1."/>
      <w:lvlJc w:val="left"/>
    </w:lvl>
  </w:abstractNum>
  <w:abstractNum w:abstractNumId="2">
    <w:nsid w:val="F53378E3"/>
    <w:multiLevelType w:val="singleLevel"/>
    <w:tmpl w:val="F53378E3"/>
    <w:lvl w:ilvl="0" w:tentative="0">
      <w:start w:val="1"/>
      <w:numFmt w:val="decimal"/>
      <w:suff w:val="nothing"/>
      <w:lvlText w:val="（%1）"/>
      <w:lvlJc w:val="left"/>
    </w:lvl>
  </w:abstractNum>
  <w:abstractNum w:abstractNumId="3">
    <w:nsid w:val="5B0B9B49"/>
    <w:multiLevelType w:val="singleLevel"/>
    <w:tmpl w:val="5B0B9B49"/>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MjgxZWM3MTkxYjQ1YzQzOTE2MWNhODk0YmUwZGQifQ=="/>
  </w:docVars>
  <w:rsids>
    <w:rsidRoot w:val="01A505C0"/>
    <w:rsid w:val="01A505C0"/>
    <w:rsid w:val="02606FB0"/>
    <w:rsid w:val="040A1563"/>
    <w:rsid w:val="04D05CEB"/>
    <w:rsid w:val="04D95B7A"/>
    <w:rsid w:val="05F956EE"/>
    <w:rsid w:val="065B179B"/>
    <w:rsid w:val="07DE354B"/>
    <w:rsid w:val="0D4A3F06"/>
    <w:rsid w:val="0FC90780"/>
    <w:rsid w:val="12BE3627"/>
    <w:rsid w:val="131060DD"/>
    <w:rsid w:val="16224121"/>
    <w:rsid w:val="16644A10"/>
    <w:rsid w:val="168A49B4"/>
    <w:rsid w:val="16AB6ED4"/>
    <w:rsid w:val="16DB2363"/>
    <w:rsid w:val="17FC7C7B"/>
    <w:rsid w:val="18B40D46"/>
    <w:rsid w:val="1B2F6891"/>
    <w:rsid w:val="1BFE0EF3"/>
    <w:rsid w:val="1CFB4B98"/>
    <w:rsid w:val="1D5D3718"/>
    <w:rsid w:val="1D9A1773"/>
    <w:rsid w:val="1FFA7BDA"/>
    <w:rsid w:val="206F67E3"/>
    <w:rsid w:val="20ED1FD2"/>
    <w:rsid w:val="219B313B"/>
    <w:rsid w:val="23506099"/>
    <w:rsid w:val="2366164A"/>
    <w:rsid w:val="251928D7"/>
    <w:rsid w:val="27D53DC2"/>
    <w:rsid w:val="2B9F1399"/>
    <w:rsid w:val="2D960E01"/>
    <w:rsid w:val="2EED2E72"/>
    <w:rsid w:val="34A42656"/>
    <w:rsid w:val="351078BA"/>
    <w:rsid w:val="36731C2B"/>
    <w:rsid w:val="36F472CA"/>
    <w:rsid w:val="37CA67CF"/>
    <w:rsid w:val="394A5D8E"/>
    <w:rsid w:val="399224D9"/>
    <w:rsid w:val="3EE97843"/>
    <w:rsid w:val="40BD290A"/>
    <w:rsid w:val="41DD2006"/>
    <w:rsid w:val="43421000"/>
    <w:rsid w:val="4380763C"/>
    <w:rsid w:val="458539AC"/>
    <w:rsid w:val="458A3624"/>
    <w:rsid w:val="45BA4D21"/>
    <w:rsid w:val="480126AE"/>
    <w:rsid w:val="486D6B20"/>
    <w:rsid w:val="48D43423"/>
    <w:rsid w:val="48E74F2A"/>
    <w:rsid w:val="4BC010BA"/>
    <w:rsid w:val="4C6E0185"/>
    <w:rsid w:val="4D8D4A53"/>
    <w:rsid w:val="4E727F13"/>
    <w:rsid w:val="503B4D32"/>
    <w:rsid w:val="51C259DE"/>
    <w:rsid w:val="51C70EA9"/>
    <w:rsid w:val="51C8534D"/>
    <w:rsid w:val="522960D8"/>
    <w:rsid w:val="59D40691"/>
    <w:rsid w:val="5C233CA2"/>
    <w:rsid w:val="5DA153BF"/>
    <w:rsid w:val="60057C38"/>
    <w:rsid w:val="62413B44"/>
    <w:rsid w:val="62C22263"/>
    <w:rsid w:val="678A3FEA"/>
    <w:rsid w:val="67B06428"/>
    <w:rsid w:val="68461B97"/>
    <w:rsid w:val="685D1A0D"/>
    <w:rsid w:val="6EEC4E48"/>
    <w:rsid w:val="708D7183"/>
    <w:rsid w:val="70F06B4C"/>
    <w:rsid w:val="718B38B5"/>
    <w:rsid w:val="72790308"/>
    <w:rsid w:val="75E609C7"/>
    <w:rsid w:val="77B26205"/>
    <w:rsid w:val="790357D2"/>
    <w:rsid w:val="7A936BB7"/>
    <w:rsid w:val="7B0434E3"/>
    <w:rsid w:val="7C0D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9"/>
    <w:autoRedefine/>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b/>
      <w:bCs/>
      <w:sz w:val="28"/>
      <w:szCs w:val="28"/>
    </w:rPr>
  </w:style>
  <w:style w:type="character" w:default="1" w:styleId="24">
    <w:name w:val="Default Paragraph Font"/>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semiHidden/>
    <w:qFormat/>
    <w:uiPriority w:val="0"/>
    <w:pPr>
      <w:ind w:left="420" w:leftChars="200"/>
    </w:pPr>
    <w:rPr>
      <w:sz w:val="28"/>
      <w:szCs w:val="20"/>
    </w:rPr>
  </w:style>
  <w:style w:type="paragraph" w:styleId="7">
    <w:name w:val="Normal Indent"/>
    <w:basedOn w:val="1"/>
    <w:next w:val="1"/>
    <w:qFormat/>
    <w:uiPriority w:val="0"/>
    <w:pPr>
      <w:ind w:firstLine="420" w:firstLineChars="200"/>
    </w:pPr>
    <w:rPr>
      <w:rFonts w:ascii="Times New Roman" w:hAnsi="Times New Roman" w:cs="Times New Roman"/>
    </w:rPr>
  </w:style>
  <w:style w:type="paragraph" w:styleId="8">
    <w:name w:val="Body Text"/>
    <w:basedOn w:val="1"/>
    <w:next w:val="9"/>
    <w:autoRedefine/>
    <w:unhideWhenUsed/>
    <w:qFormat/>
    <w:uiPriority w:val="0"/>
    <w:pPr>
      <w:spacing w:after="120" w:line="360" w:lineRule="auto"/>
      <w:ind w:firstLine="1440" w:firstLineChars="200"/>
    </w:pPr>
    <w:rPr>
      <w:sz w:val="24"/>
      <w:szCs w:val="20"/>
    </w:rPr>
  </w:style>
  <w:style w:type="paragraph" w:customStyle="1" w:styleId="9">
    <w:name w:val="正文1"/>
    <w:next w:val="10"/>
    <w:qFormat/>
    <w:uiPriority w:val="0"/>
    <w:pPr>
      <w:widowControl w:val="0"/>
      <w:adjustRightInd w:val="0"/>
      <w:spacing w:line="0" w:lineRule="atLeast"/>
      <w:textAlignment w:val="baseline"/>
    </w:pPr>
    <w:rPr>
      <w:rFonts w:ascii="Times New Roman" w:hAnsi="Times New Roman" w:eastAsia="宋体" w:cs="Times New Roman"/>
      <w:lang w:val="en-US" w:eastAsia="zh-CN" w:bidi="ar-SA"/>
    </w:rPr>
  </w:style>
  <w:style w:type="paragraph" w:customStyle="1" w:styleId="10">
    <w:name w:val="Normal_0"/>
    <w:qFormat/>
    <w:uiPriority w:val="0"/>
    <w:rPr>
      <w:rFonts w:ascii="Verdana" w:hAnsi="Verdana" w:eastAsia="Verdana" w:cs="Verdana"/>
      <w:sz w:val="24"/>
      <w:szCs w:val="24"/>
      <w:lang w:val="en-US" w:eastAsia="zh-CN" w:bidi="ar-SA"/>
    </w:rPr>
  </w:style>
  <w:style w:type="paragraph" w:styleId="11">
    <w:name w:val="Body Text Indent"/>
    <w:basedOn w:val="1"/>
    <w:next w:val="5"/>
    <w:autoRedefine/>
    <w:qFormat/>
    <w:uiPriority w:val="0"/>
    <w:pPr>
      <w:spacing w:after="120"/>
      <w:ind w:left="420" w:leftChars="200"/>
    </w:pPr>
    <w:rPr>
      <w:kern w:val="0"/>
      <w:sz w:val="20"/>
      <w:szCs w:val="24"/>
    </w:rPr>
  </w:style>
  <w:style w:type="paragraph" w:styleId="12">
    <w:name w:val="Plain Text"/>
    <w:basedOn w:val="1"/>
    <w:next w:val="1"/>
    <w:qFormat/>
    <w:uiPriority w:val="0"/>
    <w:rPr>
      <w:rFonts w:ascii="宋体" w:hAnsi="Courier New"/>
      <w:kern w:val="0"/>
      <w:sz w:val="20"/>
      <w:szCs w:val="21"/>
    </w:rPr>
  </w:style>
  <w:style w:type="paragraph" w:styleId="13">
    <w:name w:val="Date"/>
    <w:basedOn w:val="1"/>
    <w:next w:val="1"/>
    <w:qFormat/>
    <w:uiPriority w:val="0"/>
    <w:rPr>
      <w:szCs w:val="20"/>
    </w:rPr>
  </w:style>
  <w:style w:type="paragraph" w:styleId="14">
    <w:name w:val="Body Text Indent 2"/>
    <w:basedOn w:val="1"/>
    <w:unhideWhenUsed/>
    <w:qFormat/>
    <w:uiPriority w:val="99"/>
    <w:pPr>
      <w:spacing w:after="120" w:line="480" w:lineRule="auto"/>
      <w:ind w:left="420" w:leftChars="200"/>
    </w:pPr>
  </w:style>
  <w:style w:type="paragraph" w:styleId="15">
    <w:name w:val="footer"/>
    <w:basedOn w:val="1"/>
    <w:autoRedefine/>
    <w:unhideWhenUsed/>
    <w:qFormat/>
    <w:uiPriority w:val="0"/>
    <w:pPr>
      <w:tabs>
        <w:tab w:val="center" w:pos="4153"/>
        <w:tab w:val="right" w:pos="8306"/>
      </w:tabs>
      <w:snapToGrid w:val="0"/>
      <w:jc w:val="left"/>
    </w:pPr>
    <w:rPr>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4" w:lineRule="auto"/>
    </w:pPr>
    <w:rPr>
      <w:rFonts w:ascii="Courier New" w:hAnsi="Courier New" w:cs="Courier New"/>
      <w:sz w:val="24"/>
      <w:szCs w:val="24"/>
    </w:rPr>
  </w:style>
  <w:style w:type="paragraph" w:styleId="19">
    <w:name w:val="Normal (Web)"/>
    <w:basedOn w:val="1"/>
    <w:autoRedefine/>
    <w:unhideWhenUsed/>
    <w:qFormat/>
    <w:uiPriority w:val="99"/>
    <w:pPr>
      <w:spacing w:before="100" w:beforeAutospacing="1" w:after="100" w:afterAutospacing="1"/>
      <w:jc w:val="left"/>
    </w:pPr>
    <w:rPr>
      <w:kern w:val="0"/>
      <w:sz w:val="24"/>
    </w:rPr>
  </w:style>
  <w:style w:type="paragraph" w:styleId="20">
    <w:name w:val="Title"/>
    <w:basedOn w:val="1"/>
    <w:next w:val="1"/>
    <w:autoRedefine/>
    <w:qFormat/>
    <w:uiPriority w:val="0"/>
    <w:pPr>
      <w:spacing w:before="240" w:after="60"/>
      <w:jc w:val="center"/>
      <w:outlineLvl w:val="0"/>
    </w:pPr>
    <w:rPr>
      <w:rFonts w:ascii="Cambria" w:hAnsi="Cambria"/>
      <w:b/>
      <w:bCs/>
      <w:kern w:val="0"/>
      <w:sz w:val="36"/>
      <w:szCs w:val="32"/>
    </w:rPr>
  </w:style>
  <w:style w:type="paragraph" w:styleId="21">
    <w:name w:val="Body Text First Indent"/>
    <w:basedOn w:val="8"/>
    <w:next w:val="1"/>
    <w:autoRedefine/>
    <w:qFormat/>
    <w:uiPriority w:val="0"/>
    <w:pPr>
      <w:ind w:firstLine="420" w:firstLineChars="100"/>
    </w:pPr>
  </w:style>
  <w:style w:type="table" w:styleId="23">
    <w:name w:val="Table Grid"/>
    <w:basedOn w:val="22"/>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正式）"/>
    <w:basedOn w:val="1"/>
    <w:autoRedefine/>
    <w:qFormat/>
    <w:uiPriority w:val="0"/>
    <w:pPr>
      <w:adjustRightInd w:val="0"/>
      <w:snapToGrid w:val="0"/>
      <w:spacing w:line="312" w:lineRule="auto"/>
      <w:ind w:firstLine="200" w:firstLineChars="200"/>
    </w:pPr>
    <w:rPr>
      <w:rFonts w:ascii="Times New Roman" w:hAnsi="Times New Roman" w:eastAsia="Times New Roman" w:cs="Times New Roman"/>
      <w:bCs/>
      <w:sz w:val="24"/>
      <w:szCs w:val="28"/>
    </w:rPr>
  </w:style>
  <w:style w:type="paragraph" w:customStyle="1" w:styleId="28">
    <w:name w:val="Char"/>
    <w:basedOn w:val="1"/>
    <w:autoRedefine/>
    <w:qFormat/>
    <w:uiPriority w:val="0"/>
    <w:pPr>
      <w:widowControl/>
      <w:spacing w:after="160" w:line="240" w:lineRule="exact"/>
      <w:ind w:firstLine="200" w:firstLineChars="200"/>
      <w:jc w:val="left"/>
    </w:pPr>
    <w:rPr>
      <w:rFonts w:ascii="Verdana" w:hAnsi="Verdana" w:eastAsia="宋体" w:cs="Times New Roman"/>
      <w:kern w:val="0"/>
      <w:sz w:val="24"/>
      <w:szCs w:val="20"/>
      <w:lang w:eastAsia="en-US"/>
    </w:rPr>
  </w:style>
  <w:style w:type="character" w:customStyle="1" w:styleId="29">
    <w:name w:val="标题 2 Char"/>
    <w:link w:val="3"/>
    <w:autoRedefine/>
    <w:qFormat/>
    <w:uiPriority w:val="0"/>
    <w:rPr>
      <w:rFonts w:ascii="Cambria" w:hAnsi="Cambria"/>
      <w:b/>
      <w:bCs/>
      <w:kern w:val="0"/>
      <w:sz w:val="32"/>
      <w:szCs w:val="32"/>
    </w:rPr>
  </w:style>
  <w:style w:type="paragraph" w:customStyle="1" w:styleId="30">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1">
    <w:name w:val="Table Text"/>
    <w:basedOn w:val="1"/>
    <w:semiHidden/>
    <w:qFormat/>
    <w:uiPriority w:val="0"/>
    <w:rPr>
      <w:rFonts w:ascii="宋体" w:hAnsi="宋体" w:eastAsia="宋体" w:cs="宋体"/>
      <w:sz w:val="24"/>
      <w:szCs w:val="24"/>
      <w:lang w:val="en-US" w:eastAsia="en-US" w:bidi="ar-SA"/>
    </w:rPr>
  </w:style>
  <w:style w:type="table" w:customStyle="1" w:styleId="32">
    <w:name w:val="Table Normal"/>
    <w:unhideWhenUsed/>
    <w:qFormat/>
    <w:uiPriority w:val="0"/>
    <w:tblPr>
      <w:tblCellMar>
        <w:top w:w="0" w:type="dxa"/>
        <w:left w:w="0" w:type="dxa"/>
        <w:bottom w:w="0" w:type="dxa"/>
        <w:right w:w="0" w:type="dxa"/>
      </w:tblCellMar>
    </w:tblPr>
  </w:style>
  <w:style w:type="paragraph" w:styleId="3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26861</Words>
  <Characters>28671</Characters>
  <Lines>0</Lines>
  <Paragraphs>0</Paragraphs>
  <TotalTime>3</TotalTime>
  <ScaleCrop>false</ScaleCrop>
  <LinksUpToDate>false</LinksUpToDate>
  <CharactersWithSpaces>30125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2024-01-05T08:19:00Z</dcterms:created>
  <dc:creator>Administrator</dc:creator>
  <cp:lastModifiedBy>Administrator</cp:lastModifiedBy>
  <dcterms:modified xsi:type="dcterms:W3CDTF">2026-04-24T13:29:07Z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4661AC57B671404185B513DD723E82B4_13</vt:lpwstr>
  </property>
  <property fmtid="{D5CDD505-2E9C-101B-9397-08002B2CF9AE}" pid="4" name="KSOTemplateDocerSaveRecord">
    <vt:lpwstr>eyJoZGlkIjoiOTQyNGE3NGQ4NTViOTVlNGI3NTRkOTE5Yjc5NTUwZTUiLCJ1c2VySWQiOiI0MjQ2OTE0NzUifQ==</vt:lpwstr>
  </property>
</Properties>
</file>