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8A87E">
      <w:pPr>
        <w:pStyle w:val="7"/>
        <w:ind w:firstLine="0"/>
        <w:jc w:val="center"/>
        <w:rPr>
          <w:rFonts w:ascii="仿宋" w:hAnsi="仿宋" w:eastAsia="仿宋" w:cs="仿宋"/>
          <w:b/>
          <w:color w:val="auto"/>
          <w:sz w:val="44"/>
          <w:szCs w:val="44"/>
        </w:rPr>
      </w:pPr>
    </w:p>
    <w:p w14:paraId="7E2A6982">
      <w:pPr>
        <w:pStyle w:val="7"/>
        <w:ind w:firstLine="0"/>
        <w:jc w:val="center"/>
        <w:rPr>
          <w:rFonts w:ascii="仿宋" w:hAnsi="仿宋" w:eastAsia="仿宋" w:cs="仿宋"/>
          <w:b/>
          <w:color w:val="auto"/>
          <w:sz w:val="44"/>
          <w:szCs w:val="44"/>
        </w:rPr>
      </w:pPr>
      <w:r>
        <w:rPr>
          <w:rFonts w:hint="eastAsia" w:ascii="仿宋" w:hAnsi="仿宋" w:eastAsia="仿宋" w:cs="仿宋"/>
          <w:b/>
          <w:color w:val="auto"/>
          <w:sz w:val="44"/>
          <w:szCs w:val="44"/>
        </w:rPr>
        <w:t>伽师县城镇单元详细规划1:500基础地形测绘项目</w:t>
      </w:r>
    </w:p>
    <w:p w14:paraId="0EEB5FBC">
      <w:pPr>
        <w:rPr>
          <w:color w:val="auto"/>
        </w:rPr>
      </w:pPr>
    </w:p>
    <w:p w14:paraId="15F03C18">
      <w:pPr>
        <w:spacing w:line="240" w:lineRule="atLeast"/>
        <w:ind w:left="1079" w:leftChars="257" w:hanging="540"/>
        <w:jc w:val="center"/>
        <w:rPr>
          <w:rFonts w:ascii="仿宋_GB2312" w:hAnsi="宋体" w:eastAsia="仿宋_GB2312" w:cs="宋体"/>
          <w:b/>
          <w:color w:val="auto"/>
          <w:sz w:val="48"/>
          <w:szCs w:val="72"/>
        </w:rPr>
      </w:pPr>
      <w:r>
        <w:rPr>
          <w:rFonts w:hint="eastAsia" w:ascii="仿宋" w:hAnsi="仿宋" w:eastAsia="仿宋" w:cs="仿宋"/>
          <w:b/>
          <w:color w:val="auto"/>
          <w:sz w:val="40"/>
          <w:szCs w:val="40"/>
        </w:rPr>
        <w:t>(项目编号：</w:t>
      </w:r>
      <w:r>
        <w:rPr>
          <w:rFonts w:ascii="仿宋_GB2312" w:hAnsi="宋体" w:eastAsia="仿宋_GB2312" w:cs="宋体"/>
          <w:b/>
          <w:color w:val="auto"/>
          <w:sz w:val="48"/>
          <w:szCs w:val="72"/>
        </w:rPr>
        <w:t>HZY-2026</w:t>
      </w:r>
      <w:r>
        <w:rPr>
          <w:rFonts w:hint="eastAsia" w:ascii="仿宋_GB2312" w:hAnsi="宋体" w:eastAsia="仿宋_GB2312" w:cs="宋体"/>
          <w:b/>
          <w:color w:val="auto"/>
          <w:sz w:val="48"/>
          <w:szCs w:val="72"/>
        </w:rPr>
        <w:t>14</w:t>
      </w:r>
      <w:r>
        <w:rPr>
          <w:rFonts w:ascii="仿宋_GB2312" w:hAnsi="宋体" w:eastAsia="仿宋_GB2312" w:cs="宋体"/>
          <w:b/>
          <w:color w:val="auto"/>
          <w:sz w:val="48"/>
          <w:szCs w:val="72"/>
        </w:rPr>
        <w:t>-</w:t>
      </w:r>
      <w:r>
        <w:rPr>
          <w:rFonts w:hint="eastAsia" w:ascii="仿宋_GB2312" w:hAnsi="宋体" w:eastAsia="仿宋_GB2312" w:cs="宋体"/>
          <w:b/>
          <w:color w:val="auto"/>
          <w:sz w:val="48"/>
          <w:szCs w:val="72"/>
        </w:rPr>
        <w:t>GK</w:t>
      </w:r>
      <w:r>
        <w:rPr>
          <w:rFonts w:hint="eastAsia" w:ascii="仿宋" w:hAnsi="仿宋" w:eastAsia="仿宋" w:cs="仿宋"/>
          <w:b/>
          <w:color w:val="auto"/>
          <w:sz w:val="40"/>
          <w:szCs w:val="40"/>
        </w:rPr>
        <w:t>)</w:t>
      </w:r>
    </w:p>
    <w:p w14:paraId="0BF7A6E9">
      <w:pPr>
        <w:pStyle w:val="8"/>
        <w:rPr>
          <w:rFonts w:ascii="仿宋" w:hAnsi="仿宋" w:eastAsia="仿宋" w:cs="仿宋"/>
          <w:color w:val="auto"/>
        </w:rPr>
      </w:pPr>
    </w:p>
    <w:p w14:paraId="36DA1452">
      <w:pPr>
        <w:pStyle w:val="7"/>
        <w:spacing w:line="720" w:lineRule="auto"/>
        <w:jc w:val="center"/>
        <w:rPr>
          <w:rFonts w:ascii="仿宋" w:hAnsi="仿宋" w:eastAsia="仿宋" w:cs="仿宋"/>
          <w:b/>
          <w:color w:val="auto"/>
          <w:sz w:val="52"/>
          <w:szCs w:val="52"/>
        </w:rPr>
      </w:pPr>
      <w:r>
        <w:rPr>
          <w:rFonts w:hint="eastAsia" w:ascii="仿宋" w:hAnsi="仿宋" w:eastAsia="仿宋" w:cs="仿宋"/>
          <w:b/>
          <w:color w:val="auto"/>
          <w:sz w:val="56"/>
          <w:szCs w:val="56"/>
        </w:rPr>
        <w:t>招</w:t>
      </w:r>
    </w:p>
    <w:p w14:paraId="6F6EAD90">
      <w:pPr>
        <w:pStyle w:val="7"/>
        <w:spacing w:line="720" w:lineRule="auto"/>
        <w:jc w:val="center"/>
        <w:rPr>
          <w:rFonts w:ascii="仿宋" w:hAnsi="仿宋" w:eastAsia="仿宋" w:cs="仿宋"/>
          <w:b/>
          <w:color w:val="auto"/>
          <w:sz w:val="56"/>
          <w:szCs w:val="56"/>
        </w:rPr>
      </w:pPr>
      <w:r>
        <w:rPr>
          <w:rFonts w:hint="eastAsia" w:ascii="仿宋" w:hAnsi="仿宋" w:eastAsia="仿宋" w:cs="仿宋"/>
          <w:b/>
          <w:color w:val="auto"/>
          <w:sz w:val="56"/>
          <w:szCs w:val="56"/>
        </w:rPr>
        <w:t>标</w:t>
      </w:r>
    </w:p>
    <w:p w14:paraId="00A2E10E">
      <w:pPr>
        <w:pStyle w:val="7"/>
        <w:spacing w:line="720" w:lineRule="auto"/>
        <w:jc w:val="center"/>
        <w:rPr>
          <w:rFonts w:ascii="仿宋" w:hAnsi="仿宋" w:eastAsia="仿宋" w:cs="仿宋"/>
          <w:b/>
          <w:color w:val="auto"/>
          <w:sz w:val="56"/>
          <w:szCs w:val="56"/>
        </w:rPr>
      </w:pPr>
      <w:r>
        <w:rPr>
          <w:rFonts w:hint="eastAsia" w:ascii="仿宋" w:hAnsi="仿宋" w:eastAsia="仿宋" w:cs="仿宋"/>
          <w:b/>
          <w:color w:val="auto"/>
          <w:sz w:val="56"/>
          <w:szCs w:val="56"/>
        </w:rPr>
        <w:t>文</w:t>
      </w:r>
    </w:p>
    <w:p w14:paraId="060C31A6">
      <w:pPr>
        <w:pStyle w:val="7"/>
        <w:spacing w:line="720" w:lineRule="auto"/>
        <w:jc w:val="center"/>
        <w:rPr>
          <w:rFonts w:ascii="仿宋" w:hAnsi="仿宋" w:eastAsia="仿宋" w:cs="仿宋"/>
          <w:b/>
          <w:color w:val="auto"/>
          <w:sz w:val="56"/>
          <w:szCs w:val="56"/>
        </w:rPr>
      </w:pPr>
      <w:r>
        <w:rPr>
          <w:rFonts w:hint="eastAsia" w:ascii="仿宋" w:hAnsi="仿宋" w:eastAsia="仿宋" w:cs="仿宋"/>
          <w:b/>
          <w:color w:val="auto"/>
          <w:sz w:val="56"/>
          <w:szCs w:val="56"/>
        </w:rPr>
        <w:t>件</w:t>
      </w:r>
    </w:p>
    <w:p w14:paraId="01852413">
      <w:pPr>
        <w:spacing w:line="240" w:lineRule="atLeast"/>
        <w:ind w:left="1079" w:leftChars="257" w:hanging="540"/>
        <w:jc w:val="center"/>
        <w:rPr>
          <w:rFonts w:ascii="仿宋" w:hAnsi="仿宋" w:eastAsia="仿宋" w:cs="仿宋"/>
          <w:color w:val="auto"/>
        </w:rPr>
      </w:pPr>
    </w:p>
    <w:p w14:paraId="2023ADB1">
      <w:pPr>
        <w:pStyle w:val="2"/>
        <w:rPr>
          <w:rFonts w:ascii="仿宋" w:hAnsi="仿宋" w:eastAsia="仿宋" w:cs="仿宋"/>
          <w:color w:val="auto"/>
        </w:rPr>
      </w:pPr>
    </w:p>
    <w:p w14:paraId="5502E50E">
      <w:pPr>
        <w:spacing w:line="360" w:lineRule="auto"/>
        <w:jc w:val="left"/>
        <w:rPr>
          <w:rFonts w:ascii="仿宋" w:hAnsi="仿宋" w:eastAsia="仿宋" w:cs="仿宋"/>
          <w:b/>
          <w:bCs/>
          <w:color w:val="auto"/>
          <w:sz w:val="30"/>
        </w:rPr>
      </w:pPr>
      <w:r>
        <w:rPr>
          <w:rFonts w:hint="eastAsia" w:ascii="仿宋" w:hAnsi="仿宋" w:eastAsia="仿宋" w:cs="仿宋"/>
          <w:b/>
          <w:bCs/>
          <w:color w:val="auto"/>
          <w:sz w:val="30"/>
        </w:rPr>
        <w:t>招   标   人：伽师县自然资源局</w:t>
      </w:r>
    </w:p>
    <w:p w14:paraId="6E7F4041">
      <w:pPr>
        <w:spacing w:line="360" w:lineRule="auto"/>
        <w:jc w:val="left"/>
        <w:rPr>
          <w:rFonts w:ascii="仿宋" w:hAnsi="仿宋" w:eastAsia="仿宋" w:cs="仿宋"/>
          <w:b/>
          <w:bCs/>
          <w:color w:val="auto"/>
          <w:sz w:val="30"/>
        </w:rPr>
      </w:pPr>
      <w:r>
        <w:rPr>
          <w:rFonts w:hint="eastAsia" w:ascii="仿宋" w:hAnsi="仿宋" w:eastAsia="仿宋" w:cs="仿宋"/>
          <w:b/>
          <w:bCs/>
          <w:color w:val="auto"/>
          <w:sz w:val="30"/>
        </w:rPr>
        <w:t>采购代理机构：</w:t>
      </w:r>
      <w:r>
        <w:rPr>
          <w:rFonts w:hint="eastAsia" w:ascii="仿宋" w:hAnsi="仿宋" w:eastAsia="仿宋" w:cs="仿宋"/>
          <w:b/>
          <w:bCs/>
          <w:color w:val="auto"/>
          <w:sz w:val="30"/>
        </w:rPr>
        <w:t xml:space="preserve">新疆惠中源项目管理有限公司 </w:t>
      </w:r>
    </w:p>
    <w:p w14:paraId="3DAFB6AD">
      <w:pPr>
        <w:spacing w:line="360" w:lineRule="auto"/>
        <w:ind w:left="2108" w:hanging="2100" w:hangingChars="700"/>
        <w:jc w:val="left"/>
        <w:rPr>
          <w:rFonts w:ascii="仿宋" w:hAnsi="仿宋" w:eastAsia="仿宋" w:cs="仿宋"/>
          <w:b/>
          <w:bCs/>
          <w:color w:val="auto"/>
          <w:sz w:val="30"/>
        </w:rPr>
      </w:pPr>
      <w:r>
        <w:rPr>
          <w:rFonts w:hint="eastAsia" w:ascii="仿宋" w:hAnsi="仿宋" w:eastAsia="仿宋" w:cs="仿宋"/>
          <w:b/>
          <w:bCs/>
          <w:color w:val="auto"/>
          <w:sz w:val="30"/>
        </w:rPr>
        <w:t>代理机构地址：</w:t>
      </w:r>
      <w:r>
        <w:rPr>
          <w:rFonts w:hint="eastAsia" w:ascii="仿宋" w:hAnsi="仿宋" w:eastAsia="仿宋" w:cs="仿宋"/>
          <w:b/>
          <w:bCs/>
          <w:color w:val="auto"/>
          <w:sz w:val="30"/>
        </w:rPr>
        <w:t>喀什经济开发区深喀大道总部经济区陕西大厦10楼1005室</w:t>
      </w:r>
    </w:p>
    <w:p w14:paraId="08C2EE2B">
      <w:pPr>
        <w:spacing w:line="360" w:lineRule="auto"/>
        <w:jc w:val="left"/>
        <w:rPr>
          <w:rFonts w:ascii="仿宋" w:hAnsi="仿宋" w:eastAsia="仿宋" w:cs="仿宋"/>
          <w:b/>
          <w:bCs/>
          <w:color w:val="auto"/>
          <w:sz w:val="30"/>
          <w:szCs w:val="30"/>
        </w:rPr>
      </w:pPr>
      <w:r>
        <w:rPr>
          <w:rFonts w:hint="eastAsia" w:ascii="仿宋" w:hAnsi="仿宋" w:eastAsia="仿宋" w:cs="仿宋"/>
          <w:b/>
          <w:bCs/>
          <w:color w:val="auto"/>
          <w:sz w:val="30"/>
          <w:szCs w:val="30"/>
        </w:rPr>
        <w:t>联   系   人：于大海</w:t>
      </w:r>
    </w:p>
    <w:p w14:paraId="0C0E9ADF">
      <w:pPr>
        <w:spacing w:line="360" w:lineRule="auto"/>
        <w:jc w:val="left"/>
        <w:rPr>
          <w:rFonts w:ascii="仿宋" w:hAnsi="仿宋" w:eastAsia="仿宋" w:cs="仿宋"/>
          <w:b/>
          <w:bCs/>
          <w:color w:val="auto"/>
          <w:sz w:val="30"/>
          <w:szCs w:val="30"/>
        </w:rPr>
      </w:pPr>
      <w:r>
        <w:rPr>
          <w:rFonts w:hint="eastAsia" w:ascii="仿宋" w:hAnsi="仿宋" w:eastAsia="仿宋" w:cs="仿宋"/>
          <w:b/>
          <w:bCs/>
          <w:color w:val="auto"/>
          <w:sz w:val="30"/>
          <w:szCs w:val="30"/>
        </w:rPr>
        <w:t>联  系 电 话：</w:t>
      </w:r>
      <w:r>
        <w:rPr>
          <w:rFonts w:hint="eastAsia" w:ascii="仿宋" w:hAnsi="仿宋" w:eastAsia="仿宋" w:cs="仿宋"/>
          <w:b/>
          <w:bCs/>
          <w:color w:val="auto"/>
          <w:sz w:val="30"/>
          <w:szCs w:val="30"/>
        </w:rPr>
        <w:t>18999110912</w:t>
      </w:r>
    </w:p>
    <w:p w14:paraId="06E3CAD2">
      <w:pPr>
        <w:spacing w:line="360" w:lineRule="auto"/>
        <w:jc w:val="left"/>
        <w:rPr>
          <w:rFonts w:ascii="仿宋" w:hAnsi="仿宋" w:eastAsia="仿宋" w:cs="仿宋"/>
          <w:b/>
          <w:bCs/>
          <w:color w:val="auto"/>
          <w:sz w:val="30"/>
          <w:szCs w:val="30"/>
        </w:rPr>
      </w:pPr>
      <w:r>
        <w:rPr>
          <w:rFonts w:hint="eastAsia" w:ascii="仿宋" w:hAnsi="仿宋" w:eastAsia="仿宋" w:cs="仿宋"/>
          <w:b/>
          <w:bCs/>
          <w:color w:val="auto"/>
          <w:sz w:val="30"/>
          <w:szCs w:val="30"/>
        </w:rPr>
        <w:t xml:space="preserve"> </w:t>
      </w:r>
    </w:p>
    <w:p w14:paraId="1E999F7E">
      <w:pPr>
        <w:spacing w:line="600" w:lineRule="exact"/>
        <w:jc w:val="center"/>
        <w:rPr>
          <w:rFonts w:ascii="仿宋" w:hAnsi="仿宋" w:eastAsia="仿宋" w:cs="仿宋"/>
          <w:color w:val="auto"/>
        </w:rPr>
      </w:pPr>
      <w:r>
        <w:rPr>
          <w:rFonts w:hint="eastAsia" w:ascii="仿宋" w:hAnsi="仿宋" w:eastAsia="仿宋" w:cs="仿宋"/>
          <w:b/>
          <w:bCs/>
          <w:color w:val="auto"/>
          <w:sz w:val="30"/>
          <w:szCs w:val="30"/>
        </w:rPr>
        <w:t>发  出 日 期：</w:t>
      </w:r>
      <w:r>
        <w:rPr>
          <w:rFonts w:hint="eastAsia" w:ascii="仿宋" w:hAnsi="仿宋" w:eastAsia="仿宋" w:cs="仿宋"/>
          <w:b/>
          <w:bCs/>
          <w:color w:val="auto"/>
          <w:sz w:val="30"/>
          <w:szCs w:val="30"/>
          <w:u w:val="single"/>
        </w:rPr>
        <w:t>2026年4月</w:t>
      </w:r>
    </w:p>
    <w:p w14:paraId="72900AA7">
      <w:pPr>
        <w:spacing w:line="240" w:lineRule="atLeast"/>
        <w:ind w:left="1079" w:leftChars="257" w:hanging="540"/>
        <w:jc w:val="center"/>
        <w:rPr>
          <w:rFonts w:ascii="仿宋" w:hAnsi="仿宋" w:eastAsia="仿宋" w:cs="仿宋"/>
          <w:b/>
          <w:color w:val="auto"/>
          <w:sz w:val="32"/>
        </w:rPr>
      </w:pPr>
      <w:bookmarkStart w:id="0" w:name="_Toc17230"/>
      <w:bookmarkStart w:id="1" w:name="_Toc25817"/>
      <w:bookmarkStart w:id="2" w:name="_Toc216582804"/>
      <w:bookmarkStart w:id="3" w:name="_Toc22782"/>
    </w:p>
    <w:p w14:paraId="1D5A188B">
      <w:pPr>
        <w:pStyle w:val="2"/>
        <w:rPr>
          <w:color w:val="auto"/>
        </w:rPr>
      </w:pPr>
    </w:p>
    <w:p w14:paraId="488255E1">
      <w:pPr>
        <w:pStyle w:val="2"/>
        <w:rPr>
          <w:color w:val="auto"/>
        </w:rPr>
      </w:pPr>
    </w:p>
    <w:p w14:paraId="6A971C45">
      <w:pPr>
        <w:spacing w:line="240" w:lineRule="atLeast"/>
        <w:ind w:left="1079" w:leftChars="257" w:hanging="540"/>
        <w:jc w:val="center"/>
        <w:rPr>
          <w:rFonts w:ascii="仿宋" w:hAnsi="仿宋" w:eastAsia="仿宋" w:cs="仿宋"/>
          <w:b/>
          <w:color w:val="auto"/>
          <w:sz w:val="32"/>
        </w:rPr>
      </w:pPr>
      <w:r>
        <w:rPr>
          <w:rFonts w:hint="eastAsia" w:ascii="仿宋" w:hAnsi="仿宋" w:eastAsia="仿宋" w:cs="仿宋"/>
          <w:b/>
          <w:color w:val="auto"/>
          <w:sz w:val="32"/>
        </w:rPr>
        <w:t>目  录</w:t>
      </w:r>
    </w:p>
    <w:p w14:paraId="19B1365B">
      <w:pPr>
        <w:spacing w:line="360" w:lineRule="auto"/>
        <w:ind w:left="1079" w:leftChars="257" w:hanging="540"/>
        <w:jc w:val="center"/>
        <w:rPr>
          <w:rFonts w:ascii="仿宋" w:hAnsi="仿宋" w:eastAsia="仿宋" w:cs="仿宋"/>
          <w:b/>
          <w:color w:val="auto"/>
          <w:sz w:val="32"/>
        </w:rPr>
      </w:pPr>
    </w:p>
    <w:p w14:paraId="4D75FEC5">
      <w:pPr>
        <w:pStyle w:val="23"/>
        <w:tabs>
          <w:tab w:val="right" w:leader="dot" w:pos="8312"/>
        </w:tabs>
        <w:spacing w:line="360" w:lineRule="auto"/>
        <w:rPr>
          <w:rFonts w:ascii="仿宋" w:hAnsi="仿宋" w:eastAsia="仿宋" w:cs="仿宋"/>
          <w:b/>
          <w:bCs/>
          <w:color w:val="auto"/>
          <w:sz w:val="24"/>
          <w:szCs w:val="32"/>
        </w:rPr>
      </w:pPr>
      <w:r>
        <w:rPr>
          <w:rFonts w:hint="eastAsia" w:ascii="仿宋" w:hAnsi="仿宋" w:eastAsia="仿宋" w:cs="仿宋"/>
          <w:b/>
          <w:bCs/>
          <w:color w:val="auto"/>
          <w:kern w:val="0"/>
          <w:sz w:val="24"/>
        </w:rPr>
        <w:fldChar w:fldCharType="begin"/>
      </w:r>
      <w:r>
        <w:rPr>
          <w:rFonts w:hint="eastAsia" w:ascii="仿宋" w:hAnsi="仿宋" w:eastAsia="仿宋" w:cs="仿宋"/>
          <w:b/>
          <w:bCs/>
          <w:color w:val="auto"/>
          <w:kern w:val="0"/>
          <w:sz w:val="24"/>
        </w:rPr>
        <w:instrText xml:space="preserve"> TOC \o "1-3" \h \z \u </w:instrText>
      </w:r>
      <w:r>
        <w:rPr>
          <w:rFonts w:hint="eastAsia" w:ascii="仿宋" w:hAnsi="仿宋" w:eastAsia="仿宋" w:cs="仿宋"/>
          <w:b/>
          <w:bCs/>
          <w:color w:val="auto"/>
          <w:kern w:val="0"/>
          <w:sz w:val="24"/>
        </w:rPr>
        <w:fldChar w:fldCharType="separate"/>
      </w:r>
      <w:r>
        <w:rPr>
          <w:color w:val="auto"/>
        </w:rPr>
        <w:fldChar w:fldCharType="begin"/>
      </w:r>
      <w:r>
        <w:rPr>
          <w:color w:val="auto"/>
        </w:rPr>
        <w:instrText xml:space="preserve"> HYPERLINK \l "_Toc25817" </w:instrText>
      </w:r>
      <w:r>
        <w:rPr>
          <w:color w:val="auto"/>
        </w:rPr>
        <w:fldChar w:fldCharType="separate"/>
      </w:r>
      <w:r>
        <w:rPr>
          <w:rFonts w:hint="eastAsia" w:ascii="仿宋" w:hAnsi="仿宋" w:eastAsia="仿宋" w:cs="仿宋"/>
          <w:b/>
          <w:bCs/>
          <w:color w:val="auto"/>
          <w:sz w:val="24"/>
          <w:szCs w:val="32"/>
        </w:rPr>
        <w:t>第1章   投标人须知</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1</w:t>
      </w:r>
      <w:r>
        <w:rPr>
          <w:rFonts w:hint="eastAsia" w:ascii="仿宋" w:hAnsi="仿宋" w:eastAsia="仿宋" w:cs="仿宋"/>
          <w:b/>
          <w:bCs/>
          <w:color w:val="auto"/>
          <w:sz w:val="24"/>
          <w:szCs w:val="32"/>
        </w:rPr>
        <w:fldChar w:fldCharType="end"/>
      </w:r>
    </w:p>
    <w:p w14:paraId="5524418E">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"_Toc22145" </w:instrText>
      </w:r>
      <w:r>
        <w:rPr>
          <w:color w:val="auto"/>
        </w:rPr>
        <w:fldChar w:fldCharType="separate"/>
      </w:r>
      <w:r>
        <w:rPr>
          <w:rFonts w:hint="eastAsia" w:ascii="仿宋" w:hAnsi="仿宋" w:eastAsia="仿宋" w:cs="仿宋"/>
          <w:b/>
          <w:bCs/>
          <w:color w:val="auto"/>
          <w:sz w:val="24"/>
          <w:szCs w:val="32"/>
        </w:rPr>
        <w:t>一   总 则</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1</w:t>
      </w:r>
      <w:r>
        <w:rPr>
          <w:rFonts w:hint="eastAsia" w:ascii="仿宋" w:hAnsi="仿宋" w:eastAsia="仿宋" w:cs="仿宋"/>
          <w:b/>
          <w:bCs/>
          <w:color w:val="auto"/>
          <w:sz w:val="24"/>
          <w:szCs w:val="32"/>
        </w:rPr>
        <w:fldChar w:fldCharType="end"/>
      </w:r>
    </w:p>
    <w:p w14:paraId="5F055436">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"_Toc5999" </w:instrText>
      </w:r>
      <w:r>
        <w:rPr>
          <w:color w:val="auto"/>
        </w:rPr>
        <w:fldChar w:fldCharType="separate"/>
      </w:r>
      <w:r>
        <w:rPr>
          <w:rFonts w:hint="eastAsia" w:ascii="仿宋" w:hAnsi="仿宋" w:eastAsia="仿宋" w:cs="仿宋"/>
          <w:b/>
          <w:bCs/>
          <w:color w:val="auto"/>
          <w:sz w:val="24"/>
          <w:szCs w:val="32"/>
        </w:rPr>
        <w:t>1.采购人、采购代理机构及投标人</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_Toc5999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1</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43A7C873">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"_Toc4322" </w:instrText>
      </w:r>
      <w:r>
        <w:rPr>
          <w:color w:val="auto"/>
        </w:rPr>
        <w:fldChar w:fldCharType="separate"/>
      </w:r>
      <w:r>
        <w:rPr>
          <w:rFonts w:hint="eastAsia" w:ascii="仿宋" w:hAnsi="仿宋" w:eastAsia="仿宋" w:cs="仿宋"/>
          <w:b/>
          <w:bCs/>
          <w:color w:val="auto"/>
          <w:sz w:val="24"/>
          <w:szCs w:val="32"/>
        </w:rPr>
        <w:t>2.资金来源</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_Toc4322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1</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7CF7F30C">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"_Toc13828" </w:instrText>
      </w:r>
      <w:r>
        <w:rPr>
          <w:color w:val="auto"/>
        </w:rPr>
        <w:fldChar w:fldCharType="separate"/>
      </w:r>
      <w:r>
        <w:rPr>
          <w:rFonts w:hint="eastAsia" w:ascii="仿宋" w:hAnsi="仿宋" w:eastAsia="仿宋" w:cs="仿宋"/>
          <w:b/>
          <w:bCs/>
          <w:color w:val="auto"/>
          <w:sz w:val="24"/>
          <w:szCs w:val="32"/>
        </w:rPr>
        <w:t>3.投标费用</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_Toc13828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2</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419F3C07">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"_Toc32665" </w:instrText>
      </w:r>
      <w:r>
        <w:rPr>
          <w:color w:val="auto"/>
        </w:rPr>
        <w:fldChar w:fldCharType="separate"/>
      </w:r>
      <w:r>
        <w:rPr>
          <w:rFonts w:hint="eastAsia" w:ascii="仿宋" w:hAnsi="仿宋" w:eastAsia="仿宋" w:cs="仿宋"/>
          <w:b/>
          <w:bCs/>
          <w:color w:val="auto"/>
          <w:sz w:val="24"/>
          <w:szCs w:val="32"/>
        </w:rPr>
        <w:t>4.适用法律</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_Toc32665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2</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4D0FFE5F">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"_Toc28572" </w:instrText>
      </w:r>
      <w:r>
        <w:rPr>
          <w:color w:val="auto"/>
        </w:rPr>
        <w:fldChar w:fldCharType="separate"/>
      </w:r>
      <w:r>
        <w:rPr>
          <w:rFonts w:hint="eastAsia" w:ascii="仿宋" w:hAnsi="仿宋" w:eastAsia="仿宋" w:cs="仿宋"/>
          <w:b/>
          <w:bCs/>
          <w:color w:val="auto"/>
          <w:sz w:val="24"/>
          <w:szCs w:val="32"/>
        </w:rPr>
        <w:t>二   招标文件</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_Toc28572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2</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4B345CF1">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"_Toc4671" </w:instrText>
      </w:r>
      <w:r>
        <w:rPr>
          <w:color w:val="auto"/>
        </w:rPr>
        <w:fldChar w:fldCharType="separate"/>
      </w:r>
      <w:r>
        <w:rPr>
          <w:rFonts w:hint="eastAsia" w:ascii="仿宋" w:hAnsi="仿宋" w:eastAsia="仿宋" w:cs="仿宋"/>
          <w:b/>
          <w:bCs/>
          <w:color w:val="auto"/>
          <w:sz w:val="24"/>
          <w:szCs w:val="32"/>
        </w:rPr>
        <w:t>5.招标文件构成</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_Toc4671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2</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3FC269A9">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"_Toc1922" </w:instrText>
      </w:r>
      <w:r>
        <w:rPr>
          <w:color w:val="auto"/>
        </w:rPr>
        <w:fldChar w:fldCharType="separate"/>
      </w:r>
      <w:r>
        <w:rPr>
          <w:rFonts w:hint="eastAsia" w:ascii="仿宋" w:hAnsi="仿宋" w:eastAsia="仿宋" w:cs="仿宋"/>
          <w:b/>
          <w:bCs/>
          <w:color w:val="auto"/>
          <w:sz w:val="24"/>
          <w:szCs w:val="32"/>
        </w:rPr>
        <w:t>6.招标文件的澄清与修改</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_Toc1922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2</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1E30E70C">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"_Toc12448" </w:instrText>
      </w:r>
      <w:r>
        <w:rPr>
          <w:color w:val="auto"/>
        </w:rPr>
        <w:fldChar w:fldCharType="separate"/>
      </w:r>
      <w:r>
        <w:rPr>
          <w:rFonts w:hint="eastAsia" w:ascii="仿宋" w:hAnsi="仿宋" w:eastAsia="仿宋" w:cs="仿宋"/>
          <w:b/>
          <w:bCs/>
          <w:color w:val="auto"/>
          <w:sz w:val="24"/>
          <w:szCs w:val="32"/>
        </w:rPr>
        <w:t>7.投标截止时间的顺延</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_Toc12448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3</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20A5F982">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"_Toc31039" </w:instrText>
      </w:r>
      <w:r>
        <w:rPr>
          <w:color w:val="auto"/>
        </w:rPr>
        <w:fldChar w:fldCharType="separate"/>
      </w:r>
      <w:r>
        <w:rPr>
          <w:rFonts w:hint="eastAsia" w:ascii="仿宋" w:hAnsi="仿宋" w:eastAsia="仿宋" w:cs="仿宋"/>
          <w:b/>
          <w:bCs/>
          <w:color w:val="auto"/>
          <w:sz w:val="24"/>
          <w:szCs w:val="32"/>
        </w:rPr>
        <w:t>三   投标文件的编制</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_Toc31039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3</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7438B57C">
      <w:pPr>
        <w:pStyle w:val="14"/>
        <w:tabs>
          <w:tab w:val="right" w:pos="3600"/>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"_Toc30570" </w:instrText>
      </w:r>
      <w:r>
        <w:rPr>
          <w:color w:val="auto"/>
        </w:rPr>
        <w:fldChar w:fldCharType="separate"/>
      </w:r>
      <w:r>
        <w:rPr>
          <w:rFonts w:hint="eastAsia" w:ascii="仿宋" w:hAnsi="仿宋" w:eastAsia="仿宋" w:cs="仿宋"/>
          <w:b/>
          <w:bCs/>
          <w:color w:val="auto"/>
          <w:sz w:val="24"/>
          <w:szCs w:val="32"/>
        </w:rPr>
        <w:t>8.</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投标范围及投标文件中标准和计量单位的使用</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_Toc30570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3</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66B5F229">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"_Toc18692" </w:instrText>
      </w:r>
      <w:r>
        <w:rPr>
          <w:color w:val="auto"/>
        </w:rPr>
        <w:fldChar w:fldCharType="separate"/>
      </w:r>
      <w:r>
        <w:rPr>
          <w:rFonts w:hint="eastAsia" w:ascii="仿宋" w:hAnsi="仿宋" w:eastAsia="仿宋" w:cs="仿宋"/>
          <w:b/>
          <w:bCs/>
          <w:color w:val="auto"/>
          <w:sz w:val="24"/>
          <w:szCs w:val="32"/>
        </w:rPr>
        <w:t>9.投标文件构成</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_Toc18692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3</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1248DE1B">
      <w:pPr>
        <w:pStyle w:val="14"/>
        <w:tabs>
          <w:tab w:val="right" w:pos="3600"/>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"_Toc13143" </w:instrText>
      </w:r>
      <w:r>
        <w:rPr>
          <w:color w:val="auto"/>
        </w:rPr>
        <w:fldChar w:fldCharType="separate"/>
      </w:r>
      <w:r>
        <w:rPr>
          <w:rFonts w:hint="eastAsia" w:ascii="仿宋" w:hAnsi="仿宋" w:eastAsia="仿宋" w:cs="仿宋"/>
          <w:b/>
          <w:bCs/>
          <w:color w:val="auto"/>
          <w:sz w:val="24"/>
          <w:szCs w:val="32"/>
        </w:rPr>
        <w:t>10.</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证明投标标的的合格性和符合招标文件规定的技术文件</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3</w:t>
      </w:r>
    </w:p>
    <w:p w14:paraId="545DA258">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"_Toc19624" </w:instrText>
      </w:r>
      <w:r>
        <w:rPr>
          <w:color w:val="auto"/>
        </w:rPr>
        <w:fldChar w:fldCharType="separate"/>
      </w:r>
      <w:r>
        <w:rPr>
          <w:rFonts w:hint="eastAsia" w:ascii="仿宋" w:hAnsi="仿宋" w:eastAsia="仿宋" w:cs="仿宋"/>
          <w:b/>
          <w:bCs/>
          <w:color w:val="auto"/>
          <w:sz w:val="24"/>
          <w:szCs w:val="32"/>
        </w:rPr>
        <w:t>11.投标报价</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_Toc19624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3</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6A768323">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"_Toc22212" </w:instrText>
      </w:r>
      <w:r>
        <w:rPr>
          <w:color w:val="auto"/>
        </w:rPr>
        <w:fldChar w:fldCharType="separate"/>
      </w:r>
      <w:r>
        <w:rPr>
          <w:rFonts w:hint="eastAsia" w:ascii="仿宋" w:hAnsi="仿宋" w:eastAsia="仿宋" w:cs="仿宋"/>
          <w:b/>
          <w:bCs/>
          <w:color w:val="auto"/>
          <w:sz w:val="24"/>
          <w:szCs w:val="32"/>
        </w:rPr>
        <w:t>12.投标保证金</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_Toc22212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3</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19049C03">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"_Toc22901" </w:instrText>
      </w:r>
      <w:r>
        <w:rPr>
          <w:color w:val="auto"/>
        </w:rPr>
        <w:fldChar w:fldCharType="separate"/>
      </w:r>
      <w:r>
        <w:rPr>
          <w:rFonts w:hint="eastAsia" w:ascii="仿宋" w:hAnsi="仿宋" w:eastAsia="仿宋" w:cs="仿宋"/>
          <w:b/>
          <w:bCs/>
          <w:color w:val="auto"/>
          <w:sz w:val="24"/>
          <w:szCs w:val="32"/>
        </w:rPr>
        <w:t>13.投标有效期</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_Toc22901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4</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3FEE6EFE">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"_Toc17609" </w:instrText>
      </w:r>
      <w:r>
        <w:rPr>
          <w:color w:val="auto"/>
        </w:rPr>
        <w:fldChar w:fldCharType="separate"/>
      </w:r>
      <w:r>
        <w:rPr>
          <w:rFonts w:hint="eastAsia" w:ascii="仿宋" w:hAnsi="仿宋" w:eastAsia="仿宋" w:cs="仿宋"/>
          <w:b/>
          <w:bCs/>
          <w:color w:val="auto"/>
          <w:sz w:val="24"/>
          <w:szCs w:val="32"/>
        </w:rPr>
        <w:t>14.投标文件的签署及规定</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_Toc17609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4</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0252D976">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"_Toc25925" </w:instrText>
      </w:r>
      <w:r>
        <w:rPr>
          <w:color w:val="auto"/>
        </w:rPr>
        <w:fldChar w:fldCharType="separate"/>
      </w:r>
      <w:r>
        <w:rPr>
          <w:rFonts w:hint="eastAsia" w:ascii="仿宋" w:hAnsi="仿宋" w:eastAsia="仿宋" w:cs="仿宋"/>
          <w:b/>
          <w:bCs/>
          <w:color w:val="auto"/>
          <w:sz w:val="24"/>
          <w:szCs w:val="32"/>
        </w:rPr>
        <w:t>四   投标文件的递交</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PAGEREF _Toc25925 </w:instrText>
      </w:r>
      <w:r>
        <w:rPr>
          <w:rFonts w:hint="eastAsia" w:ascii="仿宋" w:hAnsi="仿宋" w:eastAsia="仿宋" w:cs="仿宋"/>
          <w:b/>
          <w:bCs/>
          <w:color w:val="auto"/>
          <w:sz w:val="24"/>
          <w:szCs w:val="32"/>
        </w:rPr>
        <w:fldChar w:fldCharType="separate"/>
      </w:r>
      <w:r>
        <w:rPr>
          <w:rFonts w:ascii="仿宋" w:hAnsi="仿宋" w:eastAsia="仿宋" w:cs="仿宋"/>
          <w:b/>
          <w:bCs/>
          <w:color w:val="auto"/>
          <w:sz w:val="24"/>
          <w:szCs w:val="32"/>
        </w:rPr>
        <w:t>4</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fldChar w:fldCharType="end"/>
      </w:r>
    </w:p>
    <w:p w14:paraId="6D76D1CC">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"_Toc26195" </w:instrText>
      </w:r>
      <w:r>
        <w:rPr>
          <w:color w:val="auto"/>
        </w:rPr>
        <w:fldChar w:fldCharType="separate"/>
      </w:r>
      <w:r>
        <w:rPr>
          <w:rFonts w:hint="eastAsia" w:ascii="仿宋" w:hAnsi="仿宋" w:eastAsia="仿宋" w:cs="仿宋"/>
          <w:b/>
          <w:bCs/>
          <w:color w:val="auto"/>
          <w:sz w:val="24"/>
          <w:szCs w:val="32"/>
        </w:rPr>
        <w:t>15.投标文件的密封和标记</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4</w:t>
      </w:r>
      <w:r>
        <w:rPr>
          <w:rFonts w:hint="eastAsia" w:ascii="仿宋" w:hAnsi="仿宋" w:eastAsia="仿宋" w:cs="仿宋"/>
          <w:b/>
          <w:bCs/>
          <w:color w:val="auto"/>
          <w:sz w:val="24"/>
          <w:szCs w:val="32"/>
        </w:rPr>
        <w:fldChar w:fldCharType="end"/>
      </w:r>
    </w:p>
    <w:p w14:paraId="534EF89E">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"_Toc24017" </w:instrText>
      </w:r>
      <w:r>
        <w:rPr>
          <w:color w:val="auto"/>
        </w:rPr>
        <w:fldChar w:fldCharType="separate"/>
      </w:r>
      <w:r>
        <w:rPr>
          <w:rFonts w:hint="eastAsia" w:ascii="仿宋" w:hAnsi="仿宋" w:eastAsia="仿宋" w:cs="仿宋"/>
          <w:b/>
          <w:bCs/>
          <w:color w:val="auto"/>
          <w:sz w:val="24"/>
          <w:szCs w:val="32"/>
        </w:rPr>
        <w:t>16.投标截止</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4</w:t>
      </w:r>
      <w:r>
        <w:rPr>
          <w:rFonts w:hint="eastAsia" w:ascii="仿宋" w:hAnsi="仿宋" w:eastAsia="仿宋" w:cs="仿宋"/>
          <w:b/>
          <w:bCs/>
          <w:color w:val="auto"/>
          <w:sz w:val="24"/>
          <w:szCs w:val="32"/>
        </w:rPr>
        <w:fldChar w:fldCharType="end"/>
      </w:r>
    </w:p>
    <w:p w14:paraId="6FF5E6FE">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"_Toc24785" </w:instrText>
      </w:r>
      <w:r>
        <w:rPr>
          <w:color w:val="auto"/>
        </w:rPr>
        <w:fldChar w:fldCharType="separate"/>
      </w:r>
      <w:r>
        <w:rPr>
          <w:rFonts w:hint="eastAsia" w:ascii="仿宋" w:hAnsi="仿宋" w:eastAsia="仿宋" w:cs="仿宋"/>
          <w:b/>
          <w:bCs/>
          <w:color w:val="auto"/>
          <w:sz w:val="24"/>
          <w:szCs w:val="32"/>
        </w:rPr>
        <w:t>17.投标文件的接收、修改与撤回</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4</w:t>
      </w:r>
      <w:r>
        <w:rPr>
          <w:rFonts w:hint="eastAsia" w:ascii="仿宋" w:hAnsi="仿宋" w:eastAsia="仿宋" w:cs="仿宋"/>
          <w:b/>
          <w:bCs/>
          <w:color w:val="auto"/>
          <w:sz w:val="24"/>
          <w:szCs w:val="32"/>
        </w:rPr>
        <w:fldChar w:fldCharType="end"/>
      </w:r>
    </w:p>
    <w:p w14:paraId="231A5A2E">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"_Toc20246" </w:instrText>
      </w:r>
      <w:r>
        <w:rPr>
          <w:color w:val="auto"/>
        </w:rPr>
        <w:fldChar w:fldCharType="separate"/>
      </w:r>
      <w:r>
        <w:rPr>
          <w:rFonts w:hint="eastAsia" w:ascii="仿宋" w:hAnsi="仿宋" w:eastAsia="仿宋" w:cs="仿宋"/>
          <w:b/>
          <w:bCs/>
          <w:color w:val="auto"/>
          <w:sz w:val="24"/>
          <w:szCs w:val="32"/>
        </w:rPr>
        <w:t>五   开标及评标</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5</w:t>
      </w:r>
      <w:r>
        <w:rPr>
          <w:rFonts w:hint="eastAsia" w:ascii="仿宋" w:hAnsi="仿宋" w:eastAsia="仿宋" w:cs="仿宋"/>
          <w:b/>
          <w:bCs/>
          <w:color w:val="auto"/>
          <w:sz w:val="24"/>
          <w:szCs w:val="32"/>
        </w:rPr>
        <w:fldChar w:fldCharType="end"/>
      </w:r>
    </w:p>
    <w:p w14:paraId="2474586A">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"_Toc17257" </w:instrText>
      </w:r>
      <w:r>
        <w:rPr>
          <w:color w:val="auto"/>
        </w:rPr>
        <w:fldChar w:fldCharType="separate"/>
      </w:r>
      <w:r>
        <w:rPr>
          <w:rFonts w:hint="eastAsia" w:ascii="仿宋" w:hAnsi="仿宋" w:eastAsia="仿宋" w:cs="仿宋"/>
          <w:b/>
          <w:bCs/>
          <w:color w:val="auto"/>
          <w:sz w:val="24"/>
          <w:szCs w:val="32"/>
        </w:rPr>
        <w:t>18. 开标</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5</w:t>
      </w:r>
      <w:r>
        <w:rPr>
          <w:rFonts w:hint="eastAsia" w:ascii="仿宋" w:hAnsi="仿宋" w:eastAsia="仿宋" w:cs="仿宋"/>
          <w:b/>
          <w:bCs/>
          <w:color w:val="auto"/>
          <w:sz w:val="24"/>
          <w:szCs w:val="32"/>
        </w:rPr>
        <w:fldChar w:fldCharType="end"/>
      </w:r>
    </w:p>
    <w:p w14:paraId="7DA276E6">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"_Toc31290" </w:instrText>
      </w:r>
      <w:r>
        <w:rPr>
          <w:color w:val="auto"/>
        </w:rPr>
        <w:fldChar w:fldCharType="separate"/>
      </w:r>
      <w:r>
        <w:rPr>
          <w:rFonts w:hint="eastAsia" w:ascii="仿宋" w:hAnsi="仿宋" w:eastAsia="仿宋" w:cs="仿宋"/>
          <w:b/>
          <w:bCs/>
          <w:color w:val="auto"/>
          <w:sz w:val="24"/>
          <w:szCs w:val="32"/>
        </w:rPr>
        <w:t>19.资格审查及组建评标委员会</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5</w:t>
      </w:r>
      <w:r>
        <w:rPr>
          <w:rFonts w:hint="eastAsia" w:ascii="仿宋" w:hAnsi="仿宋" w:eastAsia="仿宋" w:cs="仿宋"/>
          <w:b/>
          <w:bCs/>
          <w:color w:val="auto"/>
          <w:sz w:val="24"/>
          <w:szCs w:val="32"/>
        </w:rPr>
        <w:fldChar w:fldCharType="end"/>
      </w:r>
    </w:p>
    <w:p w14:paraId="46A1A05E">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"_Toc26332" </w:instrText>
      </w:r>
      <w:r>
        <w:rPr>
          <w:color w:val="auto"/>
        </w:rPr>
        <w:fldChar w:fldCharType="separate"/>
      </w:r>
      <w:r>
        <w:rPr>
          <w:rFonts w:hint="eastAsia" w:ascii="仿宋" w:hAnsi="仿宋" w:eastAsia="仿宋" w:cs="仿宋"/>
          <w:b/>
          <w:bCs/>
          <w:color w:val="auto"/>
          <w:sz w:val="24"/>
          <w:szCs w:val="32"/>
        </w:rPr>
        <w:t>20.投标文件符合性审查与澄清</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6</w:t>
      </w:r>
      <w:r>
        <w:rPr>
          <w:rFonts w:hint="eastAsia" w:ascii="仿宋" w:hAnsi="仿宋" w:eastAsia="仿宋" w:cs="仿宋"/>
          <w:b/>
          <w:bCs/>
          <w:color w:val="auto"/>
          <w:sz w:val="24"/>
          <w:szCs w:val="32"/>
        </w:rPr>
        <w:fldChar w:fldCharType="end"/>
      </w:r>
    </w:p>
    <w:p w14:paraId="54AF06B4">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"_Toc18529" </w:instrText>
      </w:r>
      <w:r>
        <w:rPr>
          <w:color w:val="auto"/>
        </w:rPr>
        <w:fldChar w:fldCharType="separate"/>
      </w:r>
      <w:r>
        <w:rPr>
          <w:rFonts w:hint="eastAsia" w:ascii="仿宋" w:hAnsi="仿宋" w:eastAsia="仿宋" w:cs="仿宋"/>
          <w:b/>
          <w:bCs/>
          <w:color w:val="auto"/>
          <w:sz w:val="24"/>
          <w:szCs w:val="32"/>
        </w:rPr>
        <w:t>21.投标偏离</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6</w:t>
      </w:r>
      <w:r>
        <w:rPr>
          <w:rFonts w:hint="eastAsia" w:ascii="仿宋" w:hAnsi="仿宋" w:eastAsia="仿宋" w:cs="仿宋"/>
          <w:b/>
          <w:bCs/>
          <w:color w:val="auto"/>
          <w:sz w:val="24"/>
          <w:szCs w:val="32"/>
        </w:rPr>
        <w:fldChar w:fldCharType="end"/>
      </w:r>
    </w:p>
    <w:p w14:paraId="1966034B">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"_Toc23936" </w:instrText>
      </w:r>
      <w:r>
        <w:rPr>
          <w:color w:val="auto"/>
        </w:rPr>
        <w:fldChar w:fldCharType="separate"/>
      </w:r>
      <w:r>
        <w:rPr>
          <w:rFonts w:hint="eastAsia" w:ascii="仿宋" w:hAnsi="仿宋" w:eastAsia="仿宋" w:cs="仿宋"/>
          <w:b/>
          <w:bCs/>
          <w:color w:val="auto"/>
          <w:sz w:val="24"/>
          <w:szCs w:val="32"/>
        </w:rPr>
        <w:t>22.投标无效</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6</w:t>
      </w:r>
      <w:r>
        <w:rPr>
          <w:rFonts w:hint="eastAsia" w:ascii="仿宋" w:hAnsi="仿宋" w:eastAsia="仿宋" w:cs="仿宋"/>
          <w:b/>
          <w:bCs/>
          <w:color w:val="auto"/>
          <w:sz w:val="24"/>
          <w:szCs w:val="32"/>
        </w:rPr>
        <w:fldChar w:fldCharType="end"/>
      </w:r>
    </w:p>
    <w:p w14:paraId="47C64020">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"_Toc8521" </w:instrText>
      </w:r>
      <w:r>
        <w:rPr>
          <w:color w:val="auto"/>
        </w:rPr>
        <w:fldChar w:fldCharType="separate"/>
      </w:r>
      <w:r>
        <w:rPr>
          <w:rFonts w:hint="eastAsia" w:ascii="仿宋" w:hAnsi="仿宋" w:eastAsia="仿宋" w:cs="仿宋"/>
          <w:b/>
          <w:bCs/>
          <w:color w:val="auto"/>
          <w:sz w:val="24"/>
          <w:szCs w:val="32"/>
        </w:rPr>
        <w:t>23.比较与评价</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7</w:t>
      </w:r>
      <w:r>
        <w:rPr>
          <w:rFonts w:hint="eastAsia" w:ascii="仿宋" w:hAnsi="仿宋" w:eastAsia="仿宋" w:cs="仿宋"/>
          <w:b/>
          <w:bCs/>
          <w:color w:val="auto"/>
          <w:sz w:val="24"/>
          <w:szCs w:val="32"/>
        </w:rPr>
        <w:fldChar w:fldCharType="end"/>
      </w:r>
    </w:p>
    <w:p w14:paraId="71426E0B">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"_Toc31728" </w:instrText>
      </w:r>
      <w:r>
        <w:rPr>
          <w:color w:val="auto"/>
        </w:rPr>
        <w:fldChar w:fldCharType="separate"/>
      </w:r>
      <w:r>
        <w:rPr>
          <w:rFonts w:hint="eastAsia" w:ascii="仿宋" w:hAnsi="仿宋" w:eastAsia="仿宋" w:cs="仿宋"/>
          <w:b/>
          <w:bCs/>
          <w:color w:val="auto"/>
          <w:sz w:val="24"/>
          <w:szCs w:val="32"/>
        </w:rPr>
        <w:t>24.废标</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7</w:t>
      </w:r>
      <w:r>
        <w:rPr>
          <w:rFonts w:hint="eastAsia" w:ascii="仿宋" w:hAnsi="仿宋" w:eastAsia="仿宋" w:cs="仿宋"/>
          <w:b/>
          <w:bCs/>
          <w:color w:val="auto"/>
          <w:sz w:val="24"/>
          <w:szCs w:val="32"/>
        </w:rPr>
        <w:fldChar w:fldCharType="end"/>
      </w:r>
    </w:p>
    <w:p w14:paraId="527A2630">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"_Toc11175" </w:instrText>
      </w:r>
      <w:r>
        <w:rPr>
          <w:color w:val="auto"/>
        </w:rPr>
        <w:fldChar w:fldCharType="separate"/>
      </w:r>
      <w:r>
        <w:rPr>
          <w:rFonts w:hint="eastAsia" w:ascii="仿宋" w:hAnsi="仿宋" w:eastAsia="仿宋" w:cs="仿宋"/>
          <w:b/>
          <w:bCs/>
          <w:color w:val="auto"/>
          <w:sz w:val="24"/>
          <w:szCs w:val="32"/>
        </w:rPr>
        <w:t>25.</w:t>
      </w:r>
      <w:r>
        <w:rPr>
          <w:rFonts w:hint="eastAsia" w:ascii="仿宋" w:hAnsi="仿宋" w:eastAsia="仿宋" w:cs="仿宋"/>
          <w:b/>
          <w:bCs/>
          <w:color w:val="auto"/>
          <w:sz w:val="24"/>
          <w:szCs w:val="32"/>
        </w:rPr>
        <w:t>保mi</w:t>
      </w:r>
      <w:r>
        <w:rPr>
          <w:rFonts w:hint="eastAsia" w:ascii="仿宋" w:hAnsi="仿宋" w:eastAsia="仿宋" w:cs="仿宋"/>
          <w:b/>
          <w:bCs/>
          <w:color w:val="auto"/>
          <w:sz w:val="24"/>
          <w:szCs w:val="32"/>
        </w:rPr>
        <w:t>原则</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7</w:t>
      </w:r>
      <w:r>
        <w:rPr>
          <w:rFonts w:hint="eastAsia" w:ascii="仿宋" w:hAnsi="仿宋" w:eastAsia="仿宋" w:cs="仿宋"/>
          <w:b/>
          <w:bCs/>
          <w:color w:val="auto"/>
          <w:sz w:val="24"/>
          <w:szCs w:val="32"/>
        </w:rPr>
        <w:fldChar w:fldCharType="end"/>
      </w:r>
    </w:p>
    <w:p w14:paraId="39C8DEC8">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"_Toc2153" </w:instrText>
      </w:r>
      <w:r>
        <w:rPr>
          <w:color w:val="auto"/>
        </w:rPr>
        <w:fldChar w:fldCharType="separate"/>
      </w:r>
      <w:r>
        <w:rPr>
          <w:rFonts w:hint="eastAsia" w:ascii="仿宋" w:hAnsi="仿宋" w:eastAsia="仿宋" w:cs="仿宋"/>
          <w:b/>
          <w:bCs/>
          <w:color w:val="auto"/>
          <w:sz w:val="24"/>
          <w:szCs w:val="32"/>
        </w:rPr>
        <w:t>六   确定中标</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end"/>
      </w:r>
      <w:r>
        <w:rPr>
          <w:rFonts w:hint="eastAsia" w:ascii="仿宋" w:hAnsi="仿宋" w:eastAsia="仿宋" w:cs="仿宋"/>
          <w:b/>
          <w:bCs/>
          <w:color w:val="auto"/>
          <w:kern w:val="0"/>
          <w:sz w:val="24"/>
        </w:rPr>
        <w:t>7</w:t>
      </w:r>
    </w:p>
    <w:p w14:paraId="01130B6D">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"_Toc28066" </w:instrText>
      </w:r>
      <w:r>
        <w:rPr>
          <w:color w:val="auto"/>
        </w:rPr>
        <w:fldChar w:fldCharType="separate"/>
      </w:r>
      <w:r>
        <w:rPr>
          <w:rFonts w:hint="eastAsia" w:ascii="仿宋" w:hAnsi="仿宋" w:eastAsia="仿宋" w:cs="仿宋"/>
          <w:b/>
          <w:bCs/>
          <w:color w:val="auto"/>
          <w:sz w:val="24"/>
          <w:szCs w:val="32"/>
        </w:rPr>
        <w:t>26.中标候选人的确定原则及标准</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fldChar w:fldCharType="end"/>
      </w:r>
      <w:r>
        <w:rPr>
          <w:rFonts w:hint="eastAsia" w:ascii="仿宋" w:hAnsi="仿宋" w:eastAsia="仿宋" w:cs="仿宋"/>
          <w:b/>
          <w:bCs/>
          <w:color w:val="auto"/>
          <w:kern w:val="0"/>
          <w:sz w:val="24"/>
        </w:rPr>
        <w:t>7</w:t>
      </w:r>
    </w:p>
    <w:p w14:paraId="52A49BCF">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"_Toc19950" </w:instrText>
      </w:r>
      <w:r>
        <w:rPr>
          <w:color w:val="auto"/>
        </w:rPr>
        <w:fldChar w:fldCharType="separate"/>
      </w:r>
      <w:r>
        <w:rPr>
          <w:rFonts w:hint="eastAsia" w:ascii="仿宋" w:hAnsi="仿宋" w:eastAsia="仿宋" w:cs="仿宋"/>
          <w:b/>
          <w:bCs/>
          <w:color w:val="auto"/>
          <w:sz w:val="24"/>
          <w:szCs w:val="32"/>
        </w:rPr>
        <w:t>27.确定中标候选人和中标人</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8</w:t>
      </w:r>
      <w:r>
        <w:rPr>
          <w:rFonts w:hint="eastAsia" w:ascii="仿宋" w:hAnsi="仿宋" w:eastAsia="仿宋" w:cs="仿宋"/>
          <w:b/>
          <w:bCs/>
          <w:color w:val="auto"/>
          <w:sz w:val="24"/>
          <w:szCs w:val="32"/>
        </w:rPr>
        <w:fldChar w:fldCharType="end"/>
      </w:r>
    </w:p>
    <w:p w14:paraId="5CB70639">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"_Toc13782" </w:instrText>
      </w:r>
      <w:r>
        <w:rPr>
          <w:color w:val="auto"/>
        </w:rPr>
        <w:fldChar w:fldCharType="separate"/>
      </w:r>
      <w:r>
        <w:rPr>
          <w:rFonts w:hint="eastAsia" w:ascii="仿宋" w:hAnsi="仿宋" w:eastAsia="仿宋" w:cs="仿宋"/>
          <w:b/>
          <w:bCs/>
          <w:color w:val="auto"/>
          <w:sz w:val="24"/>
          <w:szCs w:val="32"/>
        </w:rPr>
        <w:t>28.采购任务取消</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8</w:t>
      </w:r>
      <w:r>
        <w:rPr>
          <w:rFonts w:hint="eastAsia" w:ascii="仿宋" w:hAnsi="仿宋" w:eastAsia="仿宋" w:cs="仿宋"/>
          <w:b/>
          <w:bCs/>
          <w:color w:val="auto"/>
          <w:sz w:val="24"/>
          <w:szCs w:val="32"/>
        </w:rPr>
        <w:fldChar w:fldCharType="end"/>
      </w:r>
    </w:p>
    <w:p w14:paraId="6690069A">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"_Toc31142" </w:instrText>
      </w:r>
      <w:r>
        <w:rPr>
          <w:color w:val="auto"/>
        </w:rPr>
        <w:fldChar w:fldCharType="separate"/>
      </w:r>
      <w:r>
        <w:rPr>
          <w:rFonts w:hint="eastAsia" w:ascii="仿宋" w:hAnsi="仿宋" w:eastAsia="仿宋" w:cs="仿宋"/>
          <w:b/>
          <w:bCs/>
          <w:color w:val="auto"/>
          <w:sz w:val="24"/>
          <w:szCs w:val="32"/>
        </w:rPr>
        <w:t>29.中标通知书和招标结果通知书</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8</w:t>
      </w:r>
      <w:r>
        <w:rPr>
          <w:rFonts w:hint="eastAsia" w:ascii="仿宋" w:hAnsi="仿宋" w:eastAsia="仿宋" w:cs="仿宋"/>
          <w:b/>
          <w:bCs/>
          <w:color w:val="auto"/>
          <w:sz w:val="24"/>
          <w:szCs w:val="32"/>
        </w:rPr>
        <w:fldChar w:fldCharType="end"/>
      </w:r>
    </w:p>
    <w:p w14:paraId="3DDDEE66">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"_Toc14795" </w:instrText>
      </w:r>
      <w:r>
        <w:rPr>
          <w:color w:val="auto"/>
        </w:rPr>
        <w:fldChar w:fldCharType="separate"/>
      </w:r>
      <w:r>
        <w:rPr>
          <w:rFonts w:hint="eastAsia" w:ascii="仿宋" w:hAnsi="仿宋" w:eastAsia="仿宋" w:cs="仿宋"/>
          <w:b/>
          <w:bCs/>
          <w:color w:val="auto"/>
          <w:sz w:val="24"/>
          <w:szCs w:val="32"/>
        </w:rPr>
        <w:t>30.签订合同</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8</w:t>
      </w:r>
      <w:r>
        <w:rPr>
          <w:rFonts w:hint="eastAsia" w:ascii="仿宋" w:hAnsi="仿宋" w:eastAsia="仿宋" w:cs="仿宋"/>
          <w:b/>
          <w:bCs/>
          <w:color w:val="auto"/>
          <w:sz w:val="24"/>
          <w:szCs w:val="32"/>
        </w:rPr>
        <w:fldChar w:fldCharType="end"/>
      </w:r>
    </w:p>
    <w:p w14:paraId="5C55BF0C">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"_Toc7188" </w:instrText>
      </w:r>
      <w:r>
        <w:rPr>
          <w:color w:val="auto"/>
        </w:rPr>
        <w:fldChar w:fldCharType="separate"/>
      </w:r>
      <w:r>
        <w:rPr>
          <w:rFonts w:hint="eastAsia" w:ascii="仿宋" w:hAnsi="仿宋" w:eastAsia="仿宋" w:cs="仿宋"/>
          <w:b/>
          <w:bCs/>
          <w:color w:val="auto"/>
          <w:sz w:val="24"/>
          <w:szCs w:val="32"/>
        </w:rPr>
        <w:t>31.履约保证金</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8</w:t>
      </w:r>
      <w:r>
        <w:rPr>
          <w:rFonts w:hint="eastAsia" w:ascii="仿宋" w:hAnsi="仿宋" w:eastAsia="仿宋" w:cs="仿宋"/>
          <w:b/>
          <w:bCs/>
          <w:color w:val="auto"/>
          <w:sz w:val="24"/>
          <w:szCs w:val="32"/>
        </w:rPr>
        <w:fldChar w:fldCharType="end"/>
      </w:r>
    </w:p>
    <w:p w14:paraId="3FAE7420">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"_Toc31936" </w:instrText>
      </w:r>
      <w:r>
        <w:rPr>
          <w:color w:val="auto"/>
        </w:rPr>
        <w:fldChar w:fldCharType="separate"/>
      </w:r>
      <w:r>
        <w:rPr>
          <w:rFonts w:hint="eastAsia" w:ascii="仿宋" w:hAnsi="仿宋" w:eastAsia="仿宋" w:cs="仿宋"/>
          <w:b/>
          <w:bCs/>
          <w:color w:val="auto"/>
          <w:sz w:val="24"/>
          <w:szCs w:val="32"/>
        </w:rPr>
        <w:t>32.中标服务费</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8</w:t>
      </w:r>
      <w:r>
        <w:rPr>
          <w:rFonts w:hint="eastAsia" w:ascii="仿宋" w:hAnsi="仿宋" w:eastAsia="仿宋" w:cs="仿宋"/>
          <w:b/>
          <w:bCs/>
          <w:color w:val="auto"/>
          <w:sz w:val="24"/>
          <w:szCs w:val="32"/>
        </w:rPr>
        <w:fldChar w:fldCharType="end"/>
      </w:r>
    </w:p>
    <w:p w14:paraId="052E8527">
      <w:pPr>
        <w:pStyle w:val="14"/>
        <w:tabs>
          <w:tab w:val="right" w:leader="dot" w:pos="8312"/>
          <w:tab w:val="clear" w:pos="1260"/>
          <w:tab w:val="clear" w:pos="8630"/>
        </w:tabs>
        <w:spacing w:line="360" w:lineRule="auto"/>
        <w:rPr>
          <w:rFonts w:ascii="仿宋" w:hAnsi="仿宋" w:eastAsia="仿宋" w:cs="仿宋"/>
          <w:b/>
          <w:bCs/>
          <w:color w:val="auto"/>
          <w:kern w:val="0"/>
          <w:sz w:val="24"/>
        </w:rPr>
      </w:pPr>
      <w:r>
        <w:rPr>
          <w:color w:val="auto"/>
        </w:rPr>
        <w:fldChar w:fldCharType="begin"/>
      </w:r>
      <w:r>
        <w:rPr>
          <w:color w:val="auto"/>
        </w:rPr>
        <w:instrText xml:space="preserve"> HYPERLINK \l "_Toc13588" </w:instrText>
      </w:r>
      <w:r>
        <w:rPr>
          <w:color w:val="auto"/>
        </w:rPr>
        <w:fldChar w:fldCharType="separate"/>
      </w:r>
      <w:r>
        <w:rPr>
          <w:rFonts w:hint="eastAsia" w:ascii="仿宋" w:hAnsi="仿宋" w:eastAsia="仿宋" w:cs="仿宋"/>
          <w:b/>
          <w:bCs/>
          <w:color w:val="auto"/>
          <w:kern w:val="0"/>
          <w:sz w:val="24"/>
        </w:rPr>
        <w:t>33.政府采购信用担保</w:t>
      </w:r>
      <w:r>
        <w:rPr>
          <w:rFonts w:hint="eastAsia" w:ascii="仿宋" w:hAnsi="仿宋" w:eastAsia="仿宋" w:cs="仿宋"/>
          <w:b/>
          <w:bCs/>
          <w:color w:val="auto"/>
          <w:kern w:val="0"/>
          <w:sz w:val="24"/>
        </w:rPr>
        <w:tab/>
      </w:r>
      <w:r>
        <w:rPr>
          <w:rFonts w:hint="eastAsia" w:ascii="仿宋" w:hAnsi="仿宋" w:eastAsia="仿宋" w:cs="仿宋"/>
          <w:b/>
          <w:bCs/>
          <w:color w:val="auto"/>
          <w:kern w:val="0"/>
          <w:sz w:val="24"/>
        </w:rPr>
        <w:t>8</w:t>
      </w:r>
      <w:r>
        <w:rPr>
          <w:rFonts w:hint="eastAsia" w:ascii="仿宋" w:hAnsi="仿宋" w:eastAsia="仿宋" w:cs="仿宋"/>
          <w:b/>
          <w:bCs/>
          <w:color w:val="auto"/>
          <w:kern w:val="0"/>
          <w:sz w:val="24"/>
        </w:rPr>
        <w:fldChar w:fldCharType="end"/>
      </w:r>
    </w:p>
    <w:p w14:paraId="2F9D7D1D">
      <w:pPr>
        <w:pStyle w:val="14"/>
        <w:tabs>
          <w:tab w:val="right" w:leader="dot" w:pos="8312"/>
          <w:tab w:val="clear" w:pos="1260"/>
          <w:tab w:val="clear" w:pos="8630"/>
        </w:tabs>
        <w:spacing w:line="360" w:lineRule="auto"/>
        <w:rPr>
          <w:rFonts w:ascii="仿宋" w:hAnsi="仿宋" w:eastAsia="仿宋" w:cs="仿宋"/>
          <w:b/>
          <w:bCs/>
          <w:color w:val="auto"/>
          <w:kern w:val="0"/>
          <w:sz w:val="24"/>
        </w:rPr>
      </w:pPr>
      <w:r>
        <w:rPr>
          <w:color w:val="auto"/>
        </w:rPr>
        <w:fldChar w:fldCharType="begin"/>
      </w:r>
      <w:r>
        <w:rPr>
          <w:color w:val="auto"/>
        </w:rPr>
        <w:instrText xml:space="preserve"> HYPERLINK \l "_Toc27198" </w:instrText>
      </w:r>
      <w:r>
        <w:rPr>
          <w:color w:val="auto"/>
        </w:rPr>
        <w:fldChar w:fldCharType="separate"/>
      </w:r>
      <w:r>
        <w:rPr>
          <w:rFonts w:hint="eastAsia" w:ascii="仿宋" w:hAnsi="仿宋" w:eastAsia="仿宋" w:cs="仿宋"/>
          <w:b/>
          <w:bCs/>
          <w:color w:val="auto"/>
          <w:kern w:val="0"/>
          <w:sz w:val="24"/>
        </w:rPr>
        <w:t>34.廉洁自律规定</w:t>
      </w:r>
      <w:r>
        <w:rPr>
          <w:rFonts w:hint="eastAsia" w:ascii="仿宋" w:hAnsi="仿宋" w:eastAsia="仿宋" w:cs="仿宋"/>
          <w:b/>
          <w:bCs/>
          <w:color w:val="auto"/>
          <w:kern w:val="0"/>
          <w:sz w:val="24"/>
        </w:rPr>
        <w:tab/>
      </w:r>
      <w:r>
        <w:rPr>
          <w:rFonts w:hint="eastAsia" w:ascii="仿宋" w:hAnsi="仿宋" w:eastAsia="仿宋" w:cs="仿宋"/>
          <w:b/>
          <w:bCs/>
          <w:color w:val="auto"/>
          <w:kern w:val="0"/>
          <w:sz w:val="24"/>
        </w:rPr>
        <w:t>8</w:t>
      </w:r>
      <w:r>
        <w:rPr>
          <w:rFonts w:hint="eastAsia" w:ascii="仿宋" w:hAnsi="仿宋" w:eastAsia="仿宋" w:cs="仿宋"/>
          <w:b/>
          <w:bCs/>
          <w:color w:val="auto"/>
          <w:kern w:val="0"/>
          <w:sz w:val="24"/>
        </w:rPr>
        <w:fldChar w:fldCharType="end"/>
      </w:r>
    </w:p>
    <w:p w14:paraId="0DD8389C">
      <w:pPr>
        <w:pStyle w:val="14"/>
        <w:tabs>
          <w:tab w:val="right" w:leader="dot" w:pos="8312"/>
          <w:tab w:val="clear" w:pos="1260"/>
          <w:tab w:val="clear" w:pos="8630"/>
        </w:tabs>
        <w:spacing w:line="360" w:lineRule="auto"/>
        <w:rPr>
          <w:rFonts w:ascii="仿宋" w:hAnsi="仿宋" w:eastAsia="仿宋" w:cs="仿宋"/>
          <w:b/>
          <w:bCs/>
          <w:color w:val="auto"/>
          <w:kern w:val="0"/>
          <w:sz w:val="24"/>
        </w:rPr>
      </w:pPr>
      <w:r>
        <w:rPr>
          <w:color w:val="auto"/>
        </w:rPr>
        <w:fldChar w:fldCharType="begin"/>
      </w:r>
      <w:r>
        <w:rPr>
          <w:color w:val="auto"/>
        </w:rPr>
        <w:instrText xml:space="preserve"> HYPERLINK \l "_Toc10437" </w:instrText>
      </w:r>
      <w:r>
        <w:rPr>
          <w:color w:val="auto"/>
        </w:rPr>
        <w:fldChar w:fldCharType="separate"/>
      </w:r>
      <w:r>
        <w:rPr>
          <w:rFonts w:hint="eastAsia" w:ascii="仿宋" w:hAnsi="仿宋" w:eastAsia="仿宋" w:cs="仿宋"/>
          <w:b/>
          <w:bCs/>
          <w:color w:val="auto"/>
          <w:kern w:val="0"/>
          <w:sz w:val="24"/>
        </w:rPr>
        <w:t>35.人员回避</w:t>
      </w:r>
      <w:r>
        <w:rPr>
          <w:rFonts w:hint="eastAsia" w:ascii="仿宋" w:hAnsi="仿宋" w:eastAsia="仿宋" w:cs="仿宋"/>
          <w:b/>
          <w:bCs/>
          <w:color w:val="auto"/>
          <w:kern w:val="0"/>
          <w:sz w:val="24"/>
        </w:rPr>
        <w:tab/>
      </w:r>
      <w:r>
        <w:rPr>
          <w:rFonts w:hint="eastAsia" w:ascii="仿宋" w:hAnsi="仿宋" w:eastAsia="仿宋" w:cs="仿宋"/>
          <w:b/>
          <w:bCs/>
          <w:color w:val="auto"/>
          <w:kern w:val="0"/>
          <w:sz w:val="24"/>
        </w:rPr>
        <w:t>9</w:t>
      </w:r>
      <w:r>
        <w:rPr>
          <w:rFonts w:hint="eastAsia" w:ascii="仿宋" w:hAnsi="仿宋" w:eastAsia="仿宋" w:cs="仿宋"/>
          <w:b/>
          <w:bCs/>
          <w:color w:val="auto"/>
          <w:kern w:val="0"/>
          <w:sz w:val="24"/>
        </w:rPr>
        <w:fldChar w:fldCharType="end"/>
      </w:r>
    </w:p>
    <w:p w14:paraId="7ABC09DE">
      <w:pPr>
        <w:pStyle w:val="14"/>
        <w:tabs>
          <w:tab w:val="right" w:leader="dot" w:pos="8312"/>
          <w:tab w:val="clear" w:pos="1260"/>
          <w:tab w:val="clear" w:pos="8630"/>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"_Toc10700" </w:instrText>
      </w:r>
      <w:r>
        <w:rPr>
          <w:color w:val="auto"/>
        </w:rPr>
        <w:fldChar w:fldCharType="separate"/>
      </w:r>
      <w:r>
        <w:rPr>
          <w:rFonts w:hint="eastAsia" w:ascii="仿宋" w:hAnsi="仿宋" w:eastAsia="仿宋" w:cs="仿宋"/>
          <w:b/>
          <w:bCs/>
          <w:color w:val="auto"/>
          <w:kern w:val="0"/>
          <w:sz w:val="24"/>
        </w:rPr>
        <w:t>36.质疑与接收</w:t>
      </w:r>
      <w:r>
        <w:rPr>
          <w:rFonts w:hint="eastAsia" w:ascii="仿宋" w:hAnsi="仿宋" w:eastAsia="仿宋" w:cs="仿宋"/>
          <w:b/>
          <w:bCs/>
          <w:color w:val="auto"/>
          <w:kern w:val="0"/>
          <w:sz w:val="24"/>
        </w:rPr>
        <w:tab/>
      </w:r>
      <w:r>
        <w:rPr>
          <w:rFonts w:hint="eastAsia" w:ascii="仿宋" w:hAnsi="仿宋" w:eastAsia="仿宋" w:cs="仿宋"/>
          <w:b/>
          <w:bCs/>
          <w:color w:val="auto"/>
          <w:kern w:val="0"/>
          <w:sz w:val="24"/>
        </w:rPr>
        <w:t>9</w:t>
      </w:r>
      <w:r>
        <w:rPr>
          <w:rFonts w:hint="eastAsia" w:ascii="仿宋" w:hAnsi="仿宋" w:eastAsia="仿宋" w:cs="仿宋"/>
          <w:b/>
          <w:bCs/>
          <w:color w:val="auto"/>
          <w:kern w:val="0"/>
          <w:sz w:val="24"/>
        </w:rPr>
        <w:fldChar w:fldCharType="end"/>
      </w:r>
    </w:p>
    <w:p w14:paraId="2F1E992C">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"_Toc19692" </w:instrText>
      </w:r>
      <w:r>
        <w:rPr>
          <w:color w:val="auto"/>
        </w:rPr>
        <w:fldChar w:fldCharType="separate"/>
      </w:r>
      <w:r>
        <w:rPr>
          <w:rFonts w:hint="eastAsia" w:ascii="仿宋" w:hAnsi="仿宋" w:eastAsia="仿宋" w:cs="仿宋"/>
          <w:b/>
          <w:bCs/>
          <w:color w:val="auto"/>
          <w:sz w:val="24"/>
          <w:szCs w:val="32"/>
        </w:rPr>
        <w:t>第2章 投标文件格式</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1</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t>6</w:t>
      </w:r>
    </w:p>
    <w:p w14:paraId="6A09E15F">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"_Toc20439" </w:instrText>
      </w:r>
      <w:r>
        <w:rPr>
          <w:color w:val="auto"/>
        </w:rPr>
        <w:fldChar w:fldCharType="separate"/>
      </w:r>
      <w:r>
        <w:rPr>
          <w:rFonts w:hint="eastAsia" w:ascii="仿宋" w:hAnsi="仿宋" w:eastAsia="仿宋" w:cs="仿宋"/>
          <w:b/>
          <w:bCs/>
          <w:color w:val="auto"/>
          <w:sz w:val="24"/>
          <w:szCs w:val="32"/>
        </w:rPr>
        <w:t>第3章 投标公告</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3</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t>8</w:t>
      </w:r>
    </w:p>
    <w:p w14:paraId="4D4D3871">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"_Toc22779" </w:instrText>
      </w:r>
      <w:r>
        <w:rPr>
          <w:color w:val="auto"/>
        </w:rPr>
        <w:fldChar w:fldCharType="separate"/>
      </w:r>
      <w:r>
        <w:rPr>
          <w:rFonts w:hint="eastAsia" w:ascii="仿宋" w:hAnsi="仿宋" w:eastAsia="仿宋" w:cs="仿宋"/>
          <w:b/>
          <w:bCs/>
          <w:color w:val="auto"/>
          <w:sz w:val="24"/>
          <w:szCs w:val="32"/>
        </w:rPr>
        <w:t>第4章 投标人须知资料表</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4</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t>1</w:t>
      </w:r>
    </w:p>
    <w:p w14:paraId="6D6EBBB1">
      <w:pPr>
        <w:pStyle w:val="27"/>
        <w:tabs>
          <w:tab w:val="right" w:leader="dot" w:pos="8312"/>
        </w:tabs>
        <w:spacing w:line="360" w:lineRule="auto"/>
        <w:rPr>
          <w:rFonts w:ascii="仿宋" w:hAnsi="仿宋" w:eastAsia="仿宋" w:cs="仿宋"/>
          <w:b/>
          <w:bCs/>
          <w:color w:val="auto"/>
          <w:sz w:val="24"/>
          <w:szCs w:val="32"/>
        </w:rPr>
      </w:pPr>
      <w:r>
        <w:rPr>
          <w:color w:val="auto"/>
        </w:rPr>
        <w:fldChar w:fldCharType="begin"/>
      </w:r>
      <w:r>
        <w:rPr>
          <w:color w:val="auto"/>
        </w:rPr>
        <w:instrText xml:space="preserve"> HYPERLINK \l "_Toc23331" </w:instrText>
      </w:r>
      <w:r>
        <w:rPr>
          <w:color w:val="auto"/>
        </w:rPr>
        <w:fldChar w:fldCharType="separate"/>
      </w:r>
      <w:r>
        <w:rPr>
          <w:rFonts w:hint="eastAsia" w:ascii="仿宋" w:hAnsi="仿宋" w:eastAsia="仿宋" w:cs="仿宋"/>
          <w:b/>
          <w:bCs/>
          <w:color w:val="auto"/>
          <w:sz w:val="24"/>
          <w:szCs w:val="32"/>
        </w:rPr>
        <w:t>第5章 服务需求</w:t>
      </w:r>
      <w:bookmarkStart w:id="528" w:name="_GoBack"/>
      <w:bookmarkEnd w:id="528"/>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43</w:t>
      </w:r>
      <w:r>
        <w:rPr>
          <w:rFonts w:hint="eastAsia" w:ascii="仿宋" w:hAnsi="仿宋" w:eastAsia="仿宋" w:cs="仿宋"/>
          <w:b/>
          <w:bCs/>
          <w:color w:val="auto"/>
          <w:sz w:val="24"/>
          <w:szCs w:val="32"/>
        </w:rPr>
        <w:fldChar w:fldCharType="end"/>
      </w:r>
    </w:p>
    <w:p w14:paraId="67613275">
      <w:pPr>
        <w:pStyle w:val="27"/>
        <w:tabs>
          <w:tab w:val="right" w:leader="dot" w:pos="8312"/>
        </w:tabs>
        <w:spacing w:line="360" w:lineRule="auto"/>
        <w:rPr>
          <w:rFonts w:ascii="仿宋" w:hAnsi="仿宋" w:eastAsia="仿宋" w:cs="仿宋"/>
          <w:b/>
          <w:bCs/>
          <w:color w:val="auto"/>
          <w:sz w:val="24"/>
          <w:szCs w:val="32"/>
        </w:rPr>
      </w:pPr>
      <w:r>
        <w:rPr>
          <w:rFonts w:hint="eastAsia" w:ascii="仿宋" w:hAnsi="仿宋" w:eastAsia="仿宋" w:cs="仿宋"/>
          <w:b/>
          <w:bCs/>
          <w:color w:val="auto"/>
          <w:sz w:val="24"/>
          <w:szCs w:val="32"/>
        </w:rPr>
        <w:fldChar w:fldCharType="begin"/>
      </w:r>
      <w:r>
        <w:rPr>
          <w:rFonts w:hint="eastAsia" w:ascii="仿宋" w:hAnsi="仿宋" w:eastAsia="仿宋" w:cs="仿宋"/>
          <w:b/>
          <w:bCs/>
          <w:color w:val="auto"/>
          <w:sz w:val="24"/>
          <w:szCs w:val="32"/>
        </w:rPr>
        <w:instrText xml:space="preserve"> HYPERLINK \l _Toc4337 </w:instrText>
      </w:r>
      <w:r>
        <w:rPr>
          <w:rFonts w:hint="eastAsia" w:ascii="仿宋" w:hAnsi="仿宋" w:eastAsia="仿宋" w:cs="仿宋"/>
          <w:b/>
          <w:bCs/>
          <w:color w:val="auto"/>
          <w:sz w:val="24"/>
          <w:szCs w:val="32"/>
        </w:rPr>
        <w:fldChar w:fldCharType="separate"/>
      </w:r>
      <w:r>
        <w:rPr>
          <w:rFonts w:hint="eastAsia" w:ascii="仿宋" w:hAnsi="仿宋" w:eastAsia="仿宋" w:cs="仿宋"/>
          <w:b/>
          <w:bCs/>
          <w:color w:val="auto"/>
          <w:sz w:val="24"/>
          <w:szCs w:val="32"/>
        </w:rPr>
        <w:t>第6章 政评标方法和标准</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45</w:t>
      </w:r>
    </w:p>
    <w:p w14:paraId="25754A05">
      <w:pPr>
        <w:pStyle w:val="27"/>
        <w:tabs>
          <w:tab w:val="right" w:leader="dot" w:pos="8312"/>
        </w:tabs>
        <w:spacing w:line="360" w:lineRule="auto"/>
        <w:rPr>
          <w:rFonts w:ascii="仿宋" w:hAnsi="仿宋" w:eastAsia="仿宋" w:cs="仿宋"/>
          <w:b/>
          <w:bCs/>
          <w:color w:val="auto"/>
          <w:sz w:val="24"/>
          <w:szCs w:val="32"/>
        </w:rPr>
        <w:sectPr>
          <w:headerReference r:id="rId3" w:type="default"/>
          <w:footerReference r:id="rId4" w:type="default"/>
          <w:pgSz w:w="11906" w:h="16838"/>
          <w:pgMar w:top="1474" w:right="1701" w:bottom="1474" w:left="1701" w:header="851" w:footer="992" w:gutter="0"/>
          <w:pgNumType w:start="1"/>
          <w:cols w:space="720" w:num="1"/>
          <w:docGrid w:type="linesAndChars" w:linePitch="312" w:charSpace="0"/>
        </w:sectPr>
      </w:pPr>
      <w:r>
        <w:rPr>
          <w:rFonts w:hint="eastAsia" w:ascii="仿宋" w:hAnsi="仿宋" w:eastAsia="仿宋" w:cs="仿宋"/>
          <w:b/>
          <w:bCs/>
          <w:color w:val="auto"/>
          <w:sz w:val="24"/>
          <w:szCs w:val="32"/>
        </w:rPr>
        <w:t>第7章政府采购合同</w:t>
      </w:r>
      <w:r>
        <w:rPr>
          <w:rFonts w:hint="eastAsia" w:ascii="仿宋" w:hAnsi="仿宋" w:eastAsia="仿宋" w:cs="仿宋"/>
          <w:b/>
          <w:bCs/>
          <w:color w:val="auto"/>
          <w:sz w:val="24"/>
          <w:szCs w:val="32"/>
        </w:rPr>
        <w:tab/>
      </w:r>
      <w:r>
        <w:rPr>
          <w:rFonts w:hint="eastAsia" w:ascii="仿宋" w:hAnsi="仿宋" w:eastAsia="仿宋" w:cs="仿宋"/>
          <w:b/>
          <w:bCs/>
          <w:color w:val="auto"/>
          <w:sz w:val="24"/>
          <w:szCs w:val="32"/>
        </w:rPr>
        <w:t>5</w:t>
      </w:r>
      <w:r>
        <w:rPr>
          <w:rFonts w:hint="eastAsia" w:ascii="仿宋" w:hAnsi="仿宋" w:eastAsia="仿宋" w:cs="仿宋"/>
          <w:b/>
          <w:bCs/>
          <w:color w:val="auto"/>
          <w:sz w:val="24"/>
          <w:szCs w:val="32"/>
        </w:rPr>
        <w:fldChar w:fldCharType="end"/>
      </w:r>
      <w:r>
        <w:rPr>
          <w:rFonts w:hint="eastAsia" w:ascii="仿宋" w:hAnsi="仿宋" w:eastAsia="仿宋" w:cs="仿宋"/>
          <w:b/>
          <w:bCs/>
          <w:color w:val="auto"/>
          <w:sz w:val="24"/>
          <w:szCs w:val="32"/>
        </w:rPr>
        <w:t>4</w:t>
      </w:r>
    </w:p>
    <w:p w14:paraId="28F48F95">
      <w:pPr>
        <w:numPr>
          <w:ilvl w:val="0"/>
          <w:numId w:val="1"/>
        </w:numPr>
        <w:rPr>
          <w:rStyle w:val="45"/>
          <w:rFonts w:ascii="仿宋" w:hAnsi="仿宋" w:eastAsia="仿宋" w:cs="仿宋"/>
          <w:color w:val="auto"/>
        </w:rPr>
      </w:pPr>
      <w:r>
        <w:rPr>
          <w:rFonts w:hint="eastAsia" w:ascii="仿宋" w:hAnsi="仿宋" w:eastAsia="仿宋" w:cs="仿宋"/>
          <w:bCs/>
          <w:color w:val="auto"/>
          <w:kern w:val="0"/>
          <w:sz w:val="40"/>
        </w:rPr>
        <w:fldChar w:fldCharType="end"/>
      </w:r>
      <w:bookmarkStart w:id="4" w:name="_Toc515647756"/>
      <w:r>
        <w:rPr>
          <w:rStyle w:val="45"/>
          <w:rFonts w:hint="eastAsia" w:ascii="仿宋" w:hAnsi="仿宋" w:eastAsia="仿宋" w:cs="仿宋"/>
          <w:color w:val="auto"/>
        </w:rPr>
        <w:t>投标人须知</w:t>
      </w:r>
      <w:bookmarkEnd w:id="0"/>
      <w:bookmarkEnd w:id="1"/>
      <w:bookmarkEnd w:id="2"/>
      <w:bookmarkEnd w:id="3"/>
      <w:bookmarkEnd w:id="4"/>
    </w:p>
    <w:p w14:paraId="26419BE7">
      <w:pPr>
        <w:pStyle w:val="4"/>
        <w:spacing w:before="0" w:line="320" w:lineRule="exact"/>
        <w:ind w:left="1079" w:leftChars="257" w:hanging="540"/>
        <w:rPr>
          <w:rFonts w:ascii="仿宋" w:hAnsi="仿宋" w:eastAsia="仿宋" w:cs="仿宋"/>
          <w:color w:val="auto"/>
        </w:rPr>
      </w:pPr>
      <w:bookmarkStart w:id="5" w:name="_Toc216582805"/>
      <w:bookmarkStart w:id="6" w:name="_Toc515647757"/>
      <w:bookmarkStart w:id="7" w:name="_Toc520356143"/>
      <w:bookmarkStart w:id="8" w:name="_Toc21215"/>
      <w:bookmarkStart w:id="9" w:name="_Toc22145"/>
      <w:bookmarkStart w:id="10" w:name="_Toc21015"/>
      <w:r>
        <w:rPr>
          <w:rFonts w:hint="eastAsia" w:ascii="仿宋" w:hAnsi="仿宋" w:eastAsia="仿宋" w:cs="仿宋"/>
          <w:color w:val="auto"/>
          <w:sz w:val="28"/>
        </w:rPr>
        <w:t xml:space="preserve">一   </w:t>
      </w:r>
      <w:bookmarkEnd w:id="5"/>
      <w:bookmarkEnd w:id="6"/>
      <w:bookmarkEnd w:id="7"/>
      <w:r>
        <w:rPr>
          <w:rFonts w:hint="eastAsia" w:ascii="仿宋" w:hAnsi="仿宋" w:eastAsia="仿宋" w:cs="仿宋"/>
          <w:color w:val="auto"/>
          <w:sz w:val="28"/>
        </w:rPr>
        <w:t>总 则</w:t>
      </w:r>
      <w:bookmarkEnd w:id="8"/>
      <w:bookmarkEnd w:id="9"/>
      <w:bookmarkEnd w:id="10"/>
    </w:p>
    <w:p w14:paraId="2A76540F">
      <w:pPr>
        <w:pStyle w:val="5"/>
        <w:spacing w:before="0" w:after="0" w:line="240" w:lineRule="atLeast"/>
        <w:rPr>
          <w:rFonts w:ascii="仿宋" w:hAnsi="仿宋" w:eastAsia="仿宋" w:cs="仿宋"/>
          <w:color w:val="auto"/>
          <w:u w:val="none"/>
        </w:rPr>
      </w:pPr>
      <w:bookmarkStart w:id="11" w:name="_Toc520356144"/>
      <w:bookmarkStart w:id="12" w:name="_Toc32189"/>
      <w:bookmarkStart w:id="13" w:name="_Toc5999"/>
      <w:bookmarkStart w:id="14" w:name="_Toc515647758"/>
      <w:bookmarkStart w:id="15" w:name="_Toc32623"/>
      <w:r>
        <w:rPr>
          <w:rFonts w:hint="eastAsia" w:ascii="仿宋" w:hAnsi="仿宋" w:eastAsia="仿宋" w:cs="仿宋"/>
          <w:color w:val="auto"/>
          <w:u w:val="none"/>
        </w:rPr>
        <w:t>1.采购人、采购代理机构及</w:t>
      </w:r>
      <w:bookmarkEnd w:id="11"/>
      <w:r>
        <w:rPr>
          <w:rFonts w:hint="eastAsia" w:ascii="仿宋" w:hAnsi="仿宋" w:eastAsia="仿宋" w:cs="仿宋"/>
          <w:color w:val="auto"/>
          <w:u w:val="none"/>
        </w:rPr>
        <w:t>投标人</w:t>
      </w:r>
      <w:bookmarkEnd w:id="12"/>
      <w:bookmarkEnd w:id="13"/>
      <w:bookmarkEnd w:id="14"/>
      <w:bookmarkEnd w:id="15"/>
    </w:p>
    <w:p w14:paraId="6A58A92D">
      <w:pPr>
        <w:numPr>
          <w:ilvl w:val="1"/>
          <w:numId w:val="2"/>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 xml:space="preserve"> 采购人：是指依法开展政府采购活动的国家机关、事业单位、团体组织。</w:t>
      </w:r>
    </w:p>
    <w:p w14:paraId="3297D8C8">
      <w:pPr>
        <w:tabs>
          <w:tab w:val="left" w:pos="0"/>
        </w:tabs>
        <w:spacing w:line="240" w:lineRule="atLeast"/>
        <w:ind w:left="900"/>
        <w:rPr>
          <w:rFonts w:ascii="仿宋" w:hAnsi="仿宋" w:eastAsia="仿宋" w:cs="仿宋"/>
          <w:color w:val="auto"/>
          <w:sz w:val="24"/>
        </w:rPr>
      </w:pPr>
      <w:r>
        <w:rPr>
          <w:rFonts w:hint="eastAsia" w:ascii="仿宋" w:hAnsi="仿宋" w:eastAsia="仿宋" w:cs="仿宋"/>
          <w:color w:val="auto"/>
          <w:sz w:val="24"/>
        </w:rPr>
        <w:t>本项目的采购人见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4D1C7F2A">
      <w:pPr>
        <w:numPr>
          <w:ilvl w:val="1"/>
          <w:numId w:val="2"/>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 xml:space="preserve"> 采购代理机构：是指在集中采购机构或从事采购代理业务的社会中介机构。本项目的采购代理机构见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42EF8F33">
      <w:pPr>
        <w:numPr>
          <w:ilvl w:val="1"/>
          <w:numId w:val="2"/>
        </w:numPr>
        <w:spacing w:line="240" w:lineRule="atLeast"/>
        <w:ind w:hangingChars="375"/>
        <w:rPr>
          <w:rFonts w:ascii="仿宋" w:hAnsi="仿宋" w:eastAsia="仿宋" w:cs="仿宋"/>
          <w:color w:val="auto"/>
          <w:sz w:val="24"/>
        </w:rPr>
      </w:pPr>
      <w:r>
        <w:rPr>
          <w:rFonts w:hint="eastAsia" w:ascii="仿宋" w:hAnsi="仿宋" w:eastAsia="仿宋" w:cs="仿宋"/>
          <w:color w:val="auto"/>
          <w:sz w:val="24"/>
        </w:rPr>
        <w:t>投标人：是指向采购人提供货物、工程或者服务的法人、非法人组织或者自然人。本项目的投标人及其投标货物须满足以下条件：</w:t>
      </w:r>
    </w:p>
    <w:p w14:paraId="62E2F380">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在中华人民共和国境内注册，能够独立承担民事责任，有生产或供应能力的本国供应商。</w:t>
      </w:r>
    </w:p>
    <w:p w14:paraId="6E913F6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  具备《中华人民共和国政府采购法》第二十二条关于供应商条件的规定，遵守本项目采购人本级和上级财政部门政府采购的有关规定。</w:t>
      </w:r>
    </w:p>
    <w:p w14:paraId="644226C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1.3.3   以采购代理机构认可的方式获得了本项目的招标文件。</w:t>
      </w:r>
    </w:p>
    <w:p w14:paraId="7F380D3C">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1.3.4   符合</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中规定的其他要求。</w:t>
      </w:r>
    </w:p>
    <w:p w14:paraId="6FC02D3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1.3.5   若</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中写明允许采购进口产品，投标人应保证所投产品可履行合法报通关手续进入中国关境内。</w:t>
      </w:r>
    </w:p>
    <w:p w14:paraId="2741E988">
      <w:pPr>
        <w:spacing w:line="240" w:lineRule="atLeast"/>
        <w:ind w:left="898" w:leftChars="428"/>
        <w:rPr>
          <w:rFonts w:ascii="仿宋" w:hAnsi="仿宋" w:eastAsia="仿宋" w:cs="仿宋"/>
          <w:color w:val="auto"/>
          <w:sz w:val="24"/>
        </w:rPr>
      </w:pPr>
      <w:r>
        <w:rPr>
          <w:rFonts w:hint="eastAsia" w:ascii="仿宋" w:hAnsi="仿宋" w:eastAsia="仿宋" w:cs="仿宋"/>
          <w:color w:val="auto"/>
          <w:sz w:val="24"/>
        </w:rPr>
        <w:t>若</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中未写明允许采购进口产品，如投标人所投产品为进口产品，其投标将被认定为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235A51AB">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1.3.6  若</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中写明专门面向中小企业采购的，如投标人为非中小企业且所投产品为非中小企业产品，其投标将被认定为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220CD622">
      <w:pPr>
        <w:spacing w:line="240" w:lineRule="atLeast"/>
        <w:ind w:left="840" w:hanging="840" w:hangingChars="350"/>
        <w:rPr>
          <w:rFonts w:ascii="仿宋" w:hAnsi="仿宋" w:eastAsia="仿宋" w:cs="仿宋"/>
          <w:color w:val="auto"/>
          <w:sz w:val="24"/>
        </w:rPr>
      </w:pPr>
      <w:bookmarkStart w:id="16" w:name="_Toc12139"/>
      <w:bookmarkStart w:id="17" w:name="_Toc4322"/>
      <w:bookmarkStart w:id="18" w:name="_Toc5286"/>
      <w:bookmarkStart w:id="19" w:name="_Toc515647759"/>
      <w:r>
        <w:rPr>
          <w:rFonts w:hint="eastAsia" w:ascii="仿宋" w:hAnsi="仿宋" w:eastAsia="仿宋" w:cs="仿宋"/>
          <w:color w:val="auto"/>
          <w:sz w:val="24"/>
        </w:rPr>
        <w:t>1.4    如投标人须知资料表中允许联合体报价，对联合体规定如下：</w:t>
      </w:r>
    </w:p>
    <w:p w14:paraId="26C5B193">
      <w:pPr>
        <w:spacing w:line="500" w:lineRule="exact"/>
        <w:rPr>
          <w:rFonts w:ascii="仿宋" w:hAnsi="仿宋" w:eastAsia="仿宋" w:cs="仿宋"/>
          <w:color w:val="auto"/>
          <w:sz w:val="24"/>
        </w:rPr>
      </w:pPr>
      <w:r>
        <w:rPr>
          <w:rFonts w:hint="eastAsia" w:ascii="仿宋" w:hAnsi="仿宋" w:eastAsia="仿宋" w:cs="仿宋"/>
          <w:color w:val="auto"/>
          <w:sz w:val="24"/>
        </w:rPr>
        <w:t>1.4.1  两个以上投标人可以组成一个投标联合体，以一个投标人的身份投标。</w:t>
      </w:r>
    </w:p>
    <w:p w14:paraId="326018E1">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1.4.2</w:t>
      </w:r>
      <w:r>
        <w:rPr>
          <w:rFonts w:hint="eastAsia" w:ascii="仿宋" w:hAnsi="仿宋" w:eastAsia="仿宋" w:cs="仿宋"/>
          <w:color w:val="auto"/>
          <w:sz w:val="24"/>
        </w:rPr>
        <w:tab/>
      </w:r>
      <w:r>
        <w:rPr>
          <w:rFonts w:hint="eastAsia" w:ascii="仿宋" w:hAnsi="仿宋" w:eastAsia="仿宋" w:cs="仿宋"/>
          <w:color w:val="auto"/>
          <w:sz w:val="24"/>
        </w:rPr>
        <w:t>联合体各方均应符合《中华人民共和国政府采购法》第二十二条规定的条件。</w:t>
      </w:r>
    </w:p>
    <w:p w14:paraId="3B1686D5">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1.4.3</w:t>
      </w:r>
      <w:r>
        <w:rPr>
          <w:rFonts w:hint="eastAsia" w:ascii="仿宋" w:hAnsi="仿宋" w:eastAsia="仿宋" w:cs="仿宋"/>
          <w:color w:val="auto"/>
          <w:sz w:val="24"/>
        </w:rPr>
        <w:tab/>
      </w:r>
      <w:r>
        <w:rPr>
          <w:rFonts w:hint="eastAsia" w:ascii="仿宋" w:hAnsi="仿宋" w:eastAsia="仿宋" w:cs="仿宋"/>
          <w:color w:val="auto"/>
          <w:sz w:val="24"/>
        </w:rPr>
        <w:t>采购人根据采购项目对投标人的特殊要求，联合体中至少应当有一方符合相关规定。</w:t>
      </w:r>
    </w:p>
    <w:p w14:paraId="63A81C5D">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1.4.4</w:t>
      </w:r>
      <w:r>
        <w:rPr>
          <w:rFonts w:hint="eastAsia" w:ascii="仿宋" w:hAnsi="仿宋" w:eastAsia="仿宋" w:cs="仿宋"/>
          <w:color w:val="auto"/>
          <w:sz w:val="24"/>
        </w:rPr>
        <w:tab/>
      </w:r>
      <w:r>
        <w:rPr>
          <w:rFonts w:hint="eastAsia" w:ascii="仿宋" w:hAnsi="仿宋" w:eastAsia="仿宋" w:cs="仿宋"/>
          <w:color w:val="auto"/>
          <w:sz w:val="24"/>
        </w:rPr>
        <w:t>联合体各方应签订共同投标协议，明确约定联合体各方承担的工作和相应的责任，并将共同投标协议连同作为投标文件第一部分的内容提交。</w:t>
      </w:r>
    </w:p>
    <w:p w14:paraId="61A4BEF3">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1.4.5大中型企业、其他自然人、法人或者非法人组织与小型、微型企业组成联合体共同参加投标，共同投标协议中应写明小型、微型企业的协议合同金额占到共同投标协议投标总金额的比例。</w:t>
      </w:r>
    </w:p>
    <w:p w14:paraId="1776358E">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1.4.6  联合体中有同类资质的投标人按照联合体分工承担相同工作的，按照较低的资质等级确定联合体的资质等级。</w:t>
      </w:r>
    </w:p>
    <w:p w14:paraId="2A5243E8">
      <w:pPr>
        <w:spacing w:line="240" w:lineRule="atLeast"/>
        <w:ind w:left="840" w:hanging="840" w:hangingChars="350"/>
        <w:rPr>
          <w:rFonts w:ascii="仿宋" w:hAnsi="仿宋" w:eastAsia="仿宋" w:cs="仿宋"/>
          <w:b/>
          <w:color w:val="auto"/>
          <w:sz w:val="24"/>
        </w:rPr>
      </w:pPr>
      <w:r>
        <w:rPr>
          <w:rFonts w:hint="eastAsia" w:ascii="仿宋" w:hAnsi="仿宋" w:eastAsia="仿宋" w:cs="仿宋"/>
          <w:color w:val="auto"/>
          <w:sz w:val="24"/>
        </w:rPr>
        <w:t>1.4.7  以联合体形式参加政府采购活动的，联合体各方不得再单独参加或者与其他投标人另外组成联合体参加本项目投标，否则相关投标将被认定为</w:t>
      </w:r>
      <w:r>
        <w:rPr>
          <w:rFonts w:hint="eastAsia" w:ascii="仿宋" w:hAnsi="仿宋" w:eastAsia="仿宋" w:cs="仿宋"/>
          <w:b/>
          <w:color w:val="auto"/>
          <w:sz w:val="24"/>
        </w:rPr>
        <w:t>投标无效。</w:t>
      </w:r>
    </w:p>
    <w:p w14:paraId="39396EE2">
      <w:pPr>
        <w:spacing w:line="240" w:lineRule="atLeast"/>
        <w:ind w:left="840" w:hanging="840" w:hangingChars="350"/>
        <w:rPr>
          <w:rFonts w:ascii="仿宋" w:hAnsi="仿宋" w:eastAsia="仿宋" w:cs="仿宋"/>
          <w:color w:val="auto"/>
          <w:sz w:val="24"/>
        </w:rPr>
      </w:pPr>
      <w:r>
        <w:rPr>
          <w:rFonts w:hint="eastAsia" w:ascii="仿宋" w:hAnsi="仿宋" w:eastAsia="仿宋" w:cs="仿宋"/>
          <w:color w:val="auto"/>
          <w:sz w:val="24"/>
        </w:rPr>
        <w:t>1.4.8  对联合体投标的其他资格要求见投标人须知资料表。</w:t>
      </w:r>
    </w:p>
    <w:p w14:paraId="1AFB63E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    单位负责人为同一人或者存在直接控股、管理关系的不同供应商，其相关投标将被认定为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10F3B58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w:t>
      </w:r>
      <w:r>
        <w:rPr>
          <w:rFonts w:hint="eastAsia" w:ascii="仿宋" w:hAnsi="仿宋" w:eastAsia="仿宋" w:cs="仿宋"/>
          <w:color w:val="auto"/>
          <w:sz w:val="24"/>
        </w:rPr>
        <w:tab/>
      </w:r>
      <w:r>
        <w:rPr>
          <w:rFonts w:hint="eastAsia" w:ascii="仿宋" w:hAnsi="仿宋" w:eastAsia="仿宋" w:cs="仿宋"/>
          <w:color w:val="auto"/>
          <w:sz w:val="24"/>
        </w:rPr>
        <w:t>投标人在投标过程中不得向采购人提供、给予任何有价值的物品，影响其正常决策行为。一经发现，其将被认定为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647674D5">
      <w:pPr>
        <w:pStyle w:val="5"/>
        <w:spacing w:before="0" w:after="0" w:line="240" w:lineRule="atLeast"/>
        <w:rPr>
          <w:rFonts w:ascii="仿宋" w:hAnsi="仿宋" w:eastAsia="仿宋" w:cs="仿宋"/>
          <w:color w:val="auto"/>
          <w:u w:val="none"/>
        </w:rPr>
      </w:pPr>
      <w:r>
        <w:rPr>
          <w:rFonts w:hint="eastAsia" w:ascii="仿宋" w:hAnsi="仿宋" w:eastAsia="仿宋" w:cs="仿宋"/>
          <w:color w:val="auto"/>
          <w:u w:val="none"/>
        </w:rPr>
        <w:t>2.资金来源</w:t>
      </w:r>
      <w:bookmarkEnd w:id="16"/>
      <w:bookmarkEnd w:id="17"/>
      <w:bookmarkEnd w:id="18"/>
      <w:bookmarkEnd w:id="19"/>
    </w:p>
    <w:p w14:paraId="7F29338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rPr>
        <w:tab/>
      </w:r>
      <w:r>
        <w:rPr>
          <w:rFonts w:hint="eastAsia" w:ascii="仿宋" w:hAnsi="仿宋" w:eastAsia="仿宋" w:cs="仿宋"/>
          <w:color w:val="auto"/>
          <w:sz w:val="24"/>
        </w:rPr>
        <w:t>本项目的采购人已获得足以支付本次招标后所签订的合同项下的资金（包括财政性资金和本项目采购中无法与财政性资金分割的非财政性资金）。</w:t>
      </w:r>
    </w:p>
    <w:p w14:paraId="4D80551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    项目预算金额和分项或分包最高限价</w:t>
      </w:r>
      <w:r>
        <w:rPr>
          <w:rFonts w:hint="eastAsia" w:ascii="仿宋" w:hAnsi="仿宋" w:eastAsia="仿宋" w:cs="仿宋"/>
          <w:color w:val="auto"/>
          <w:sz w:val="24"/>
          <w:u w:val="single"/>
        </w:rPr>
        <w:t>见投标人须知资料表</w:t>
      </w:r>
      <w:r>
        <w:rPr>
          <w:rFonts w:hint="eastAsia" w:ascii="仿宋" w:hAnsi="仿宋" w:eastAsia="仿宋" w:cs="仿宋"/>
          <w:color w:val="auto"/>
          <w:sz w:val="24"/>
        </w:rPr>
        <w:t>。</w:t>
      </w:r>
    </w:p>
    <w:p w14:paraId="383F9C4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    投标人报价超过招标文件规定的预算金额或者分项、分包最高限价的，其投标将被认定为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6F3D865">
      <w:pPr>
        <w:pStyle w:val="5"/>
        <w:spacing w:before="0" w:after="0" w:line="240" w:lineRule="atLeast"/>
        <w:rPr>
          <w:rFonts w:ascii="仿宋" w:hAnsi="仿宋" w:eastAsia="仿宋" w:cs="仿宋"/>
          <w:color w:val="auto"/>
          <w:u w:val="none"/>
        </w:rPr>
      </w:pPr>
      <w:bookmarkStart w:id="20" w:name="_Toc515647760"/>
      <w:bookmarkStart w:id="21" w:name="_Toc520356145"/>
      <w:bookmarkStart w:id="22" w:name="_Toc20526"/>
      <w:bookmarkStart w:id="23" w:name="_Toc15936"/>
      <w:bookmarkStart w:id="24" w:name="_Toc13828"/>
      <w:r>
        <w:rPr>
          <w:rFonts w:hint="eastAsia" w:ascii="仿宋" w:hAnsi="仿宋" w:eastAsia="仿宋" w:cs="仿宋"/>
          <w:color w:val="auto"/>
          <w:u w:val="none"/>
        </w:rPr>
        <w:t>3.投标费用</w:t>
      </w:r>
      <w:bookmarkEnd w:id="20"/>
      <w:bookmarkEnd w:id="21"/>
      <w:bookmarkEnd w:id="22"/>
      <w:bookmarkEnd w:id="23"/>
      <w:bookmarkEnd w:id="24"/>
    </w:p>
    <w:p w14:paraId="3C9909F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不论投标的结果如何，投标人应承担所有与准备和参加投标有关的费用。</w:t>
      </w:r>
    </w:p>
    <w:p w14:paraId="0EC0B723">
      <w:pPr>
        <w:pStyle w:val="5"/>
        <w:spacing w:before="0" w:after="0" w:line="240" w:lineRule="atLeast"/>
        <w:rPr>
          <w:rFonts w:ascii="仿宋" w:hAnsi="仿宋" w:eastAsia="仿宋" w:cs="仿宋"/>
          <w:color w:val="auto"/>
          <w:u w:val="none"/>
        </w:rPr>
      </w:pPr>
      <w:bookmarkStart w:id="25" w:name="_Toc4463"/>
      <w:bookmarkStart w:id="26" w:name="_Toc6116"/>
      <w:bookmarkStart w:id="27" w:name="_Toc515647761"/>
      <w:bookmarkStart w:id="28" w:name="_Toc32665"/>
      <w:r>
        <w:rPr>
          <w:rFonts w:hint="eastAsia" w:ascii="仿宋" w:hAnsi="仿宋" w:eastAsia="仿宋" w:cs="仿宋"/>
          <w:color w:val="auto"/>
          <w:u w:val="none"/>
        </w:rPr>
        <w:t>4.适用法律</w:t>
      </w:r>
      <w:bookmarkEnd w:id="25"/>
      <w:bookmarkEnd w:id="26"/>
      <w:bookmarkEnd w:id="27"/>
      <w:bookmarkEnd w:id="28"/>
    </w:p>
    <w:p w14:paraId="1082A542">
      <w:pPr>
        <w:spacing w:line="240" w:lineRule="atLeast"/>
        <w:ind w:left="900" w:hanging="900" w:hangingChars="375"/>
        <w:rPr>
          <w:rFonts w:ascii="仿宋" w:hAnsi="仿宋" w:eastAsia="仿宋" w:cs="仿宋"/>
          <w:color w:val="auto"/>
          <w:sz w:val="34"/>
        </w:rPr>
      </w:pPr>
      <w:r>
        <w:rPr>
          <w:rFonts w:hint="eastAsia" w:ascii="仿宋" w:hAnsi="仿宋" w:eastAsia="仿宋" w:cs="仿宋"/>
          <w:color w:val="auto"/>
          <w:sz w:val="24"/>
        </w:rPr>
        <w:t xml:space="preserve">       本项目采购人、采购代理机构、投标人、评标委员会的相关行为均受《中华人民共和国政府采购法》、《中华人民共和国政府采购法实施条例》、中华人民共和国财政部令第 74 号《政府采购非招标采购方式管理办法》、中华人民共和国财政部令第 87 号--政府采购货物和服务招标报价管理办法及本项目本级和上级财政部门政府采购有关规定的约束， 其权利受到上述法律法规的保护。</w:t>
      </w:r>
    </w:p>
    <w:p w14:paraId="309B5940">
      <w:pPr>
        <w:pStyle w:val="4"/>
        <w:spacing w:before="0" w:line="240" w:lineRule="atLeast"/>
        <w:ind w:left="1079" w:leftChars="257" w:hanging="540"/>
        <w:rPr>
          <w:rFonts w:ascii="仿宋" w:hAnsi="仿宋" w:eastAsia="仿宋" w:cs="仿宋"/>
          <w:color w:val="auto"/>
        </w:rPr>
      </w:pPr>
      <w:bookmarkStart w:id="29" w:name="_Toc520356146"/>
      <w:bookmarkStart w:id="30" w:name="_Toc28572"/>
      <w:bookmarkStart w:id="31" w:name="_Toc4365"/>
      <w:bookmarkStart w:id="32" w:name="_Toc515647762"/>
      <w:bookmarkStart w:id="33" w:name="_Toc216582806"/>
      <w:bookmarkStart w:id="34" w:name="_Toc21566"/>
      <w:r>
        <w:rPr>
          <w:rFonts w:hint="eastAsia" w:ascii="仿宋" w:hAnsi="仿宋" w:eastAsia="仿宋" w:cs="仿宋"/>
          <w:color w:val="auto"/>
          <w:sz w:val="28"/>
        </w:rPr>
        <w:t>二   招标文件</w:t>
      </w:r>
      <w:bookmarkEnd w:id="29"/>
      <w:bookmarkEnd w:id="30"/>
      <w:bookmarkEnd w:id="31"/>
      <w:bookmarkEnd w:id="32"/>
      <w:bookmarkEnd w:id="33"/>
      <w:bookmarkEnd w:id="34"/>
    </w:p>
    <w:p w14:paraId="766E7585">
      <w:pPr>
        <w:pStyle w:val="5"/>
        <w:spacing w:before="0" w:after="0" w:line="240" w:lineRule="atLeast"/>
        <w:rPr>
          <w:rFonts w:ascii="仿宋" w:hAnsi="仿宋" w:eastAsia="仿宋" w:cs="仿宋"/>
          <w:color w:val="auto"/>
          <w:u w:val="none"/>
        </w:rPr>
      </w:pPr>
      <w:bookmarkStart w:id="35" w:name="_Toc520356147"/>
      <w:bookmarkStart w:id="36" w:name="_Toc4671"/>
      <w:bookmarkStart w:id="37" w:name="_Toc14084"/>
      <w:bookmarkStart w:id="38" w:name="_Toc25743"/>
      <w:bookmarkStart w:id="39" w:name="_Toc515647763"/>
      <w:r>
        <w:rPr>
          <w:rFonts w:hint="eastAsia" w:ascii="仿宋" w:hAnsi="仿宋" w:eastAsia="仿宋" w:cs="仿宋"/>
          <w:color w:val="auto"/>
          <w:u w:val="none"/>
        </w:rPr>
        <w:t>5.招标文件构成</w:t>
      </w:r>
      <w:bookmarkEnd w:id="35"/>
      <w:bookmarkEnd w:id="36"/>
      <w:bookmarkEnd w:id="37"/>
      <w:bookmarkEnd w:id="38"/>
      <w:bookmarkEnd w:id="39"/>
    </w:p>
    <w:p w14:paraId="624695E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5.1</w:t>
      </w:r>
      <w:r>
        <w:rPr>
          <w:rFonts w:hint="eastAsia" w:ascii="仿宋" w:hAnsi="仿宋" w:eastAsia="仿宋" w:cs="仿宋"/>
          <w:color w:val="auto"/>
          <w:sz w:val="24"/>
        </w:rPr>
        <w:tab/>
      </w:r>
      <w:r>
        <w:rPr>
          <w:rFonts w:hint="eastAsia" w:ascii="仿宋" w:hAnsi="仿宋" w:eastAsia="仿宋" w:cs="仿宋"/>
          <w:color w:val="auto"/>
          <w:sz w:val="24"/>
        </w:rPr>
        <w:t>招标文件分为三册共7章，内容如下：</w:t>
      </w:r>
    </w:p>
    <w:p w14:paraId="612F1D97">
      <w:pPr>
        <w:spacing w:line="240" w:lineRule="atLeast"/>
        <w:ind w:left="1078" w:leftChars="428" w:hanging="180" w:hangingChars="75"/>
        <w:rPr>
          <w:rFonts w:ascii="仿宋" w:hAnsi="仿宋" w:eastAsia="仿宋" w:cs="仿宋"/>
          <w:color w:val="auto"/>
          <w:sz w:val="24"/>
        </w:rPr>
      </w:pPr>
      <w:r>
        <w:rPr>
          <w:rFonts w:hint="eastAsia" w:ascii="仿宋" w:hAnsi="仿宋" w:eastAsia="仿宋" w:cs="仿宋"/>
          <w:color w:val="auto"/>
          <w:sz w:val="24"/>
        </w:rPr>
        <w:t>第一册</w:t>
      </w:r>
    </w:p>
    <w:p w14:paraId="2F84DA3E">
      <w:pPr>
        <w:numPr>
          <w:ilvl w:val="0"/>
          <w:numId w:val="3"/>
        </w:numPr>
        <w:tabs>
          <w:tab w:val="left" w:pos="0"/>
        </w:tabs>
        <w:spacing w:line="240" w:lineRule="atLeast"/>
        <w:ind w:hanging="829"/>
        <w:rPr>
          <w:rFonts w:ascii="仿宋" w:hAnsi="仿宋" w:eastAsia="仿宋" w:cs="仿宋"/>
          <w:color w:val="auto"/>
          <w:sz w:val="24"/>
        </w:rPr>
      </w:pPr>
      <w:r>
        <w:rPr>
          <w:rFonts w:hint="eastAsia" w:ascii="仿宋" w:hAnsi="仿宋" w:eastAsia="仿宋" w:cs="仿宋"/>
          <w:color w:val="auto"/>
          <w:sz w:val="24"/>
        </w:rPr>
        <w:t xml:space="preserve"> 投标人须知</w:t>
      </w:r>
    </w:p>
    <w:p w14:paraId="250C953E">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 xml:space="preserve"> 投标文件格式</w:t>
      </w:r>
    </w:p>
    <w:p w14:paraId="03D93E68">
      <w:p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第二册</w:t>
      </w:r>
    </w:p>
    <w:p w14:paraId="53C62599">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 xml:space="preserve"> 投标邀请</w:t>
      </w:r>
    </w:p>
    <w:p w14:paraId="7F1858BC">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 xml:space="preserve"> 投标人须知资料表</w:t>
      </w:r>
    </w:p>
    <w:p w14:paraId="58981B98">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 xml:space="preserve"> 货物需求一览表及技术规格</w:t>
      </w:r>
    </w:p>
    <w:p w14:paraId="4DB221DB">
      <w:pPr>
        <w:numPr>
          <w:ilvl w:val="0"/>
          <w:numId w:val="3"/>
        </w:numPr>
        <w:spacing w:line="240" w:lineRule="atLeast"/>
        <w:ind w:left="1080" w:leftChars="429" w:hanging="180"/>
        <w:rPr>
          <w:rFonts w:ascii="仿宋" w:hAnsi="仿宋" w:eastAsia="仿宋" w:cs="仿宋"/>
          <w:color w:val="auto"/>
          <w:sz w:val="24"/>
        </w:rPr>
      </w:pPr>
      <w:r>
        <w:rPr>
          <w:rFonts w:hint="eastAsia" w:ascii="仿宋" w:hAnsi="仿宋" w:eastAsia="仿宋" w:cs="仿宋"/>
          <w:color w:val="auto"/>
          <w:sz w:val="24"/>
        </w:rPr>
        <w:t xml:space="preserve"> 评标方法和标准</w:t>
      </w:r>
    </w:p>
    <w:p w14:paraId="0FFA0A78">
      <w:pPr>
        <w:spacing w:line="240" w:lineRule="atLeast"/>
        <w:ind w:left="901"/>
        <w:rPr>
          <w:rFonts w:ascii="仿宋" w:hAnsi="仿宋" w:eastAsia="仿宋" w:cs="仿宋"/>
          <w:color w:val="auto"/>
          <w:sz w:val="24"/>
        </w:rPr>
      </w:pPr>
      <w:r>
        <w:rPr>
          <w:rFonts w:hint="eastAsia" w:ascii="仿宋" w:hAnsi="仿宋" w:eastAsia="仿宋" w:cs="仿宋"/>
          <w:color w:val="auto"/>
          <w:sz w:val="24"/>
        </w:rPr>
        <w:t>第三册</w:t>
      </w:r>
    </w:p>
    <w:p w14:paraId="5620123E">
      <w:pPr>
        <w:numPr>
          <w:ilvl w:val="0"/>
          <w:numId w:val="3"/>
        </w:numPr>
        <w:spacing w:line="240" w:lineRule="atLeast"/>
        <w:ind w:left="718" w:leftChars="342" w:firstLine="240" w:firstLineChars="100"/>
        <w:rPr>
          <w:rFonts w:ascii="仿宋" w:hAnsi="仿宋" w:eastAsia="仿宋" w:cs="仿宋"/>
          <w:color w:val="auto"/>
          <w:sz w:val="24"/>
        </w:rPr>
      </w:pPr>
      <w:r>
        <w:rPr>
          <w:rFonts w:hint="eastAsia" w:ascii="仿宋" w:hAnsi="仿宋" w:eastAsia="仿宋" w:cs="仿宋"/>
          <w:color w:val="auto"/>
          <w:sz w:val="24"/>
        </w:rPr>
        <w:t xml:space="preserve"> 政府采购合同格式</w:t>
      </w:r>
    </w:p>
    <w:p w14:paraId="45289CF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5.2</w:t>
      </w:r>
      <w:r>
        <w:rPr>
          <w:rFonts w:hint="eastAsia" w:ascii="仿宋" w:hAnsi="仿宋" w:eastAsia="仿宋" w:cs="仿宋"/>
          <w:color w:val="auto"/>
          <w:sz w:val="24"/>
        </w:rPr>
        <w:tab/>
      </w:r>
      <w:r>
        <w:rPr>
          <w:rFonts w:hint="eastAsia" w:ascii="仿宋" w:hAnsi="仿宋" w:eastAsia="仿宋" w:cs="仿宋"/>
          <w:color w:val="auto"/>
          <w:sz w:val="24"/>
        </w:rPr>
        <w:t>如本文件的前后内容不一致，以最后描述为准。</w:t>
      </w:r>
    </w:p>
    <w:p w14:paraId="3DD43BD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4ABAA12E">
      <w:pPr>
        <w:pStyle w:val="5"/>
        <w:spacing w:before="0" w:after="0" w:line="240" w:lineRule="atLeast"/>
        <w:rPr>
          <w:rFonts w:ascii="仿宋" w:hAnsi="仿宋" w:eastAsia="仿宋" w:cs="仿宋"/>
          <w:color w:val="auto"/>
          <w:u w:val="none"/>
        </w:rPr>
      </w:pPr>
      <w:bookmarkStart w:id="40" w:name="_Toc515904805"/>
      <w:bookmarkStart w:id="41" w:name="_Toc520356148"/>
      <w:bookmarkStart w:id="42" w:name="_Toc9232"/>
      <w:bookmarkStart w:id="43" w:name="_Toc26044"/>
      <w:bookmarkStart w:id="44" w:name="_Toc1922"/>
      <w:r>
        <w:rPr>
          <w:rFonts w:hint="eastAsia" w:ascii="仿宋" w:hAnsi="仿宋" w:eastAsia="仿宋" w:cs="仿宋"/>
          <w:color w:val="auto"/>
          <w:u w:val="none"/>
        </w:rPr>
        <w:t>6.招标文件的澄清</w:t>
      </w:r>
      <w:bookmarkEnd w:id="40"/>
      <w:bookmarkEnd w:id="41"/>
      <w:r>
        <w:rPr>
          <w:rFonts w:hint="eastAsia" w:ascii="仿宋" w:hAnsi="仿宋" w:eastAsia="仿宋" w:cs="仿宋"/>
          <w:color w:val="auto"/>
          <w:u w:val="none"/>
        </w:rPr>
        <w:t>与修改</w:t>
      </w:r>
      <w:bookmarkEnd w:id="42"/>
      <w:bookmarkEnd w:id="43"/>
      <w:bookmarkEnd w:id="44"/>
    </w:p>
    <w:p w14:paraId="7C78F100">
      <w:pPr>
        <w:pStyle w:val="7"/>
        <w:ind w:left="840" w:hanging="840" w:hangingChars="350"/>
        <w:rPr>
          <w:rFonts w:ascii="仿宋" w:hAnsi="仿宋" w:eastAsia="仿宋" w:cs="仿宋"/>
          <w:color w:val="auto"/>
          <w:szCs w:val="24"/>
        </w:rPr>
      </w:pPr>
      <w:r>
        <w:rPr>
          <w:rFonts w:hint="eastAsia" w:ascii="仿宋" w:hAnsi="仿宋" w:eastAsia="仿宋" w:cs="仿宋"/>
          <w:color w:val="auto"/>
          <w:szCs w:val="24"/>
        </w:rPr>
        <w:t>6.1    为了保证对招标文件的澄清和修改满足法律的时限要求，任何要求对招标文件进行澄清的投标人，均应在投标截止期十五日前，以书面形式将澄清要求通知采购人或采购代理机构。</w:t>
      </w:r>
    </w:p>
    <w:p w14:paraId="406D9BF3">
      <w:pPr>
        <w:pStyle w:val="7"/>
        <w:ind w:left="840" w:hanging="840" w:hangingChars="350"/>
        <w:rPr>
          <w:rFonts w:ascii="仿宋" w:hAnsi="仿宋" w:eastAsia="仿宋" w:cs="仿宋"/>
          <w:color w:val="auto"/>
          <w:szCs w:val="24"/>
        </w:rPr>
      </w:pPr>
      <w:bookmarkStart w:id="45" w:name="_Ref467378678"/>
      <w:bookmarkStart w:id="46" w:name="_Toc520356149"/>
      <w:bookmarkStart w:id="47" w:name="_Toc515904806"/>
      <w:r>
        <w:rPr>
          <w:rFonts w:hint="eastAsia" w:ascii="仿宋" w:hAnsi="仿宋" w:eastAsia="仿宋" w:cs="仿宋"/>
          <w:color w:val="auto"/>
          <w:szCs w:val="24"/>
        </w:rPr>
        <w:t>6.2</w:t>
      </w:r>
      <w:r>
        <w:rPr>
          <w:rFonts w:hint="eastAsia" w:ascii="仿宋" w:hAnsi="仿宋" w:eastAsia="仿宋" w:cs="仿宋"/>
          <w:color w:val="auto"/>
          <w:szCs w:val="24"/>
        </w:rPr>
        <w:tab/>
      </w:r>
      <w:r>
        <w:rPr>
          <w:rFonts w:hint="eastAsia" w:ascii="仿宋" w:hAnsi="仿宋" w:eastAsia="仿宋" w:cs="仿宋"/>
          <w:color w:val="auto"/>
          <w:szCs w:val="24"/>
        </w:rPr>
        <w:t>采购人可主动地或在解答投标人提出的澄清问题时对招标文件进行澄清或修改。采购代理机构将以发布澄清（更正）公告的方式，澄清或修改招标文件，澄清或修改内容作为招标文件的组成部分。</w:t>
      </w:r>
    </w:p>
    <w:p w14:paraId="18EA0FF9">
      <w:pPr>
        <w:pStyle w:val="7"/>
        <w:ind w:left="840" w:hanging="840" w:hangingChars="350"/>
        <w:rPr>
          <w:rFonts w:ascii="仿宋" w:hAnsi="仿宋" w:eastAsia="仿宋" w:cs="仿宋"/>
          <w:color w:val="auto"/>
          <w:szCs w:val="24"/>
        </w:rPr>
      </w:pPr>
      <w:r>
        <w:rPr>
          <w:rFonts w:hint="eastAsia" w:ascii="仿宋" w:hAnsi="仿宋" w:eastAsia="仿宋" w:cs="仿宋"/>
          <w:color w:val="auto"/>
          <w:szCs w:val="24"/>
        </w:rPr>
        <w:t>6.3</w:t>
      </w:r>
      <w:r>
        <w:rPr>
          <w:rFonts w:hint="eastAsia" w:ascii="仿宋" w:hAnsi="仿宋" w:eastAsia="仿宋" w:cs="仿宋"/>
          <w:color w:val="auto"/>
          <w:szCs w:val="24"/>
        </w:rPr>
        <w:tab/>
      </w:r>
      <w:r>
        <w:rPr>
          <w:rFonts w:hint="eastAsia" w:ascii="仿宋" w:hAnsi="仿宋" w:eastAsia="仿宋" w:cs="仿宋"/>
          <w:color w:val="auto"/>
          <w:szCs w:val="24"/>
        </w:rPr>
        <w:t>澄清或者修改的内容可能影响投标文件编制的，采购代理机构将以书面形式通知所有购买招标文件的潜在投标人，并对其具有约束力。投标人在收到上述通知后，应及时向采购代理机构回函确认。</w:t>
      </w:r>
    </w:p>
    <w:p w14:paraId="28D3C277">
      <w:pPr>
        <w:pStyle w:val="5"/>
        <w:tabs>
          <w:tab w:val="left" w:pos="900"/>
        </w:tabs>
        <w:spacing w:before="0" w:after="0" w:line="240" w:lineRule="atLeast"/>
        <w:rPr>
          <w:rFonts w:ascii="仿宋" w:hAnsi="仿宋" w:eastAsia="仿宋" w:cs="仿宋"/>
          <w:color w:val="auto"/>
          <w:u w:val="none"/>
        </w:rPr>
      </w:pPr>
      <w:bookmarkStart w:id="48" w:name="_Toc25635"/>
      <w:bookmarkStart w:id="49" w:name="_Toc12448"/>
      <w:bookmarkStart w:id="50" w:name="_Toc14569"/>
      <w:r>
        <w:rPr>
          <w:rFonts w:hint="eastAsia" w:ascii="仿宋" w:hAnsi="仿宋" w:eastAsia="仿宋" w:cs="仿宋"/>
          <w:color w:val="auto"/>
          <w:u w:val="none"/>
        </w:rPr>
        <w:t>7</w:t>
      </w:r>
      <w:bookmarkEnd w:id="45"/>
      <w:bookmarkEnd w:id="46"/>
      <w:bookmarkEnd w:id="47"/>
      <w:r>
        <w:rPr>
          <w:rFonts w:hint="eastAsia" w:ascii="仿宋" w:hAnsi="仿宋" w:eastAsia="仿宋" w:cs="仿宋"/>
          <w:color w:val="auto"/>
          <w:u w:val="none"/>
        </w:rPr>
        <w:t>.投标截止时间的顺延</w:t>
      </w:r>
      <w:bookmarkEnd w:id="48"/>
      <w:bookmarkEnd w:id="49"/>
      <w:bookmarkEnd w:id="50"/>
    </w:p>
    <w:p w14:paraId="243737F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为使投标人准备投标时有足够的时间对招标文件的澄清或者修改部分进行研究，采购人将依法决定是否顺延投标截止时间。</w:t>
      </w:r>
    </w:p>
    <w:p w14:paraId="06F07672">
      <w:pPr>
        <w:pStyle w:val="4"/>
        <w:tabs>
          <w:tab w:val="left" w:pos="900"/>
        </w:tabs>
        <w:spacing w:before="0" w:line="240" w:lineRule="atLeast"/>
        <w:ind w:left="1079" w:leftChars="257" w:hanging="540"/>
        <w:rPr>
          <w:rFonts w:ascii="仿宋" w:hAnsi="仿宋" w:eastAsia="仿宋" w:cs="仿宋"/>
          <w:color w:val="auto"/>
        </w:rPr>
      </w:pPr>
      <w:bookmarkStart w:id="51" w:name="_Toc516367020"/>
      <w:bookmarkStart w:id="52" w:name="_Toc7636"/>
      <w:bookmarkStart w:id="53" w:name="_Toc520356150"/>
      <w:bookmarkStart w:id="54" w:name="_Toc515647766"/>
      <w:bookmarkStart w:id="55" w:name="_Toc31039"/>
      <w:bookmarkStart w:id="56" w:name="_Toc216582807"/>
      <w:bookmarkStart w:id="57" w:name="_Toc30808"/>
      <w:r>
        <w:rPr>
          <w:rFonts w:hint="eastAsia" w:ascii="仿宋" w:hAnsi="仿宋" w:eastAsia="仿宋" w:cs="仿宋"/>
          <w:color w:val="auto"/>
          <w:sz w:val="28"/>
        </w:rPr>
        <w:t>三   投标文件</w:t>
      </w:r>
      <w:bookmarkEnd w:id="51"/>
      <w:r>
        <w:rPr>
          <w:rFonts w:hint="eastAsia" w:ascii="仿宋" w:hAnsi="仿宋" w:eastAsia="仿宋" w:cs="仿宋"/>
          <w:color w:val="auto"/>
          <w:sz w:val="28"/>
        </w:rPr>
        <w:t>的编制</w:t>
      </w:r>
      <w:bookmarkEnd w:id="52"/>
      <w:bookmarkEnd w:id="53"/>
      <w:bookmarkEnd w:id="54"/>
      <w:bookmarkEnd w:id="55"/>
      <w:bookmarkEnd w:id="56"/>
      <w:bookmarkEnd w:id="57"/>
    </w:p>
    <w:p w14:paraId="61EB23EA">
      <w:pPr>
        <w:pStyle w:val="5"/>
        <w:tabs>
          <w:tab w:val="left" w:pos="900"/>
        </w:tabs>
        <w:spacing w:before="0" w:after="0" w:line="240" w:lineRule="atLeast"/>
        <w:rPr>
          <w:rFonts w:ascii="仿宋" w:hAnsi="仿宋" w:eastAsia="仿宋" w:cs="仿宋"/>
          <w:color w:val="auto"/>
          <w:u w:val="none"/>
        </w:rPr>
      </w:pPr>
      <w:bookmarkStart w:id="58" w:name="_Toc520356151"/>
      <w:bookmarkStart w:id="59" w:name="_Toc7786"/>
      <w:bookmarkStart w:id="60" w:name="_Toc3553"/>
      <w:bookmarkStart w:id="61" w:name="_Toc516367021"/>
      <w:bookmarkStart w:id="62" w:name="_Toc515647767"/>
      <w:bookmarkStart w:id="63" w:name="_Toc30570"/>
      <w:r>
        <w:rPr>
          <w:rFonts w:hint="eastAsia" w:ascii="仿宋" w:hAnsi="仿宋" w:eastAsia="仿宋" w:cs="仿宋"/>
          <w:color w:val="auto"/>
          <w:u w:val="none"/>
        </w:rPr>
        <w:t>8.</w:t>
      </w:r>
      <w:r>
        <w:rPr>
          <w:rFonts w:hint="eastAsia" w:ascii="仿宋" w:hAnsi="仿宋" w:eastAsia="仿宋" w:cs="仿宋"/>
          <w:color w:val="auto"/>
          <w:u w:val="none"/>
        </w:rPr>
        <w:tab/>
      </w:r>
      <w:r>
        <w:rPr>
          <w:rFonts w:hint="eastAsia" w:ascii="仿宋" w:hAnsi="仿宋" w:eastAsia="仿宋" w:cs="仿宋"/>
          <w:color w:val="auto"/>
          <w:u w:val="none"/>
        </w:rPr>
        <w:t>投标范围及投标文件中标准和计量单位的使用</w:t>
      </w:r>
      <w:bookmarkEnd w:id="58"/>
      <w:bookmarkEnd w:id="59"/>
      <w:bookmarkEnd w:id="60"/>
      <w:bookmarkEnd w:id="61"/>
      <w:bookmarkEnd w:id="62"/>
      <w:bookmarkEnd w:id="63"/>
    </w:p>
    <w:p w14:paraId="680BBAF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8.1</w:t>
      </w:r>
      <w:r>
        <w:rPr>
          <w:rFonts w:hint="eastAsia" w:ascii="仿宋" w:hAnsi="仿宋" w:eastAsia="仿宋" w:cs="仿宋"/>
          <w:color w:val="auto"/>
          <w:sz w:val="24"/>
        </w:rPr>
        <w:tab/>
      </w:r>
      <w:r>
        <w:rPr>
          <w:rFonts w:hint="eastAsia" w:ascii="仿宋" w:hAnsi="仿宋" w:eastAsia="仿宋" w:cs="仿宋"/>
          <w:color w:val="auto"/>
          <w:sz w:val="24"/>
        </w:rPr>
        <w:t>项目有分包的，投标人可对招标文件其中某一个或几个分包货物进行投标，除非在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中另有规定。</w:t>
      </w:r>
    </w:p>
    <w:p w14:paraId="5D32D3E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8.2    投标人应当对所投分包招标文件中“服务需求”所列的所有服务内容进行投标，如仅响应分包中的部分内容，其投标将被认定为投标无效。</w:t>
      </w:r>
    </w:p>
    <w:p w14:paraId="4ECCB42A">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8.3     无论招标文件第5章服务需求中是否要求，投标人所投服务均应符合国家强制性标准。</w:t>
      </w:r>
    </w:p>
    <w:p w14:paraId="0A535ED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8.4     除招标文件中有特殊要求外，投标文件中所使用的计量单位，应采用中华人民共和国法定计量单位。</w:t>
      </w:r>
    </w:p>
    <w:p w14:paraId="7FA050D5">
      <w:pPr>
        <w:spacing w:line="240" w:lineRule="atLeast"/>
        <w:ind w:left="904" w:hanging="900" w:hangingChars="375"/>
        <w:rPr>
          <w:rFonts w:ascii="仿宋" w:hAnsi="仿宋" w:eastAsia="仿宋" w:cs="仿宋"/>
          <w:b/>
          <w:bCs/>
          <w:color w:val="auto"/>
          <w:sz w:val="24"/>
        </w:rPr>
      </w:pPr>
      <w:bookmarkStart w:id="64" w:name="_Toc516367022"/>
      <w:bookmarkStart w:id="65" w:name="_Ref467306195"/>
      <w:bookmarkStart w:id="66" w:name="_Ref467306676"/>
      <w:bookmarkStart w:id="67" w:name="_Toc18692"/>
      <w:bookmarkStart w:id="68" w:name="_Toc28307"/>
      <w:bookmarkStart w:id="69" w:name="_Toc520356152"/>
      <w:bookmarkStart w:id="70" w:name="_Toc515647768"/>
      <w:bookmarkStart w:id="71" w:name="_Toc10364"/>
      <w:r>
        <w:rPr>
          <w:rFonts w:hint="eastAsia" w:ascii="仿宋" w:hAnsi="仿宋" w:eastAsia="仿宋" w:cs="仿宋"/>
          <w:b/>
          <w:bCs/>
          <w:color w:val="auto"/>
          <w:sz w:val="24"/>
        </w:rPr>
        <w:t>9.投标文件</w:t>
      </w:r>
      <w:bookmarkEnd w:id="64"/>
      <w:bookmarkEnd w:id="65"/>
      <w:bookmarkEnd w:id="66"/>
      <w:r>
        <w:rPr>
          <w:rFonts w:hint="eastAsia" w:ascii="仿宋" w:hAnsi="仿宋" w:eastAsia="仿宋" w:cs="仿宋"/>
          <w:b/>
          <w:bCs/>
          <w:color w:val="auto"/>
          <w:sz w:val="24"/>
        </w:rPr>
        <w:t>构成</w:t>
      </w:r>
      <w:bookmarkEnd w:id="67"/>
      <w:bookmarkEnd w:id="68"/>
      <w:bookmarkEnd w:id="69"/>
      <w:bookmarkEnd w:id="70"/>
      <w:bookmarkEnd w:id="71"/>
    </w:p>
    <w:p w14:paraId="0369BC99">
      <w:pPr>
        <w:spacing w:line="240" w:lineRule="atLeast"/>
        <w:ind w:left="900" w:hanging="900" w:hangingChars="375"/>
        <w:rPr>
          <w:rFonts w:ascii="仿宋" w:hAnsi="仿宋" w:eastAsia="仿宋" w:cs="仿宋"/>
          <w:b/>
          <w:bCs/>
          <w:color w:val="auto"/>
          <w:sz w:val="24"/>
        </w:rPr>
      </w:pPr>
      <w:bookmarkStart w:id="72" w:name="_Ref467052588"/>
      <w:r>
        <w:rPr>
          <w:rFonts w:hint="eastAsia" w:ascii="宋体" w:hAnsi="宋体" w:cs="宋体"/>
          <w:color w:val="auto"/>
          <w:sz w:val="24"/>
        </w:rPr>
        <w:t xml:space="preserve">9.1   </w:t>
      </w:r>
      <w:r>
        <w:rPr>
          <w:rFonts w:hint="eastAsia" w:ascii="仿宋" w:hAnsi="仿宋" w:eastAsia="仿宋" w:cs="仿宋"/>
          <w:color w:val="auto"/>
          <w:sz w:val="24"/>
        </w:rPr>
        <w:t xml:space="preserve"> </w:t>
      </w:r>
      <w:r>
        <w:rPr>
          <w:rFonts w:hint="eastAsia" w:ascii="仿宋" w:hAnsi="仿宋" w:eastAsia="仿宋" w:cs="仿宋"/>
          <w:b/>
          <w:bCs/>
          <w:color w:val="auto"/>
          <w:sz w:val="24"/>
        </w:rPr>
        <w:t>投标人应完整地按招标文件提供的投标文件格式及要求编写投标文件，投标文件应包括“开标一览表及资格证明文件”和“商务及技术文件”两部分，两部分合成一册，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14:paraId="119D21B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9.2    上述文件应按照招标文件规定的格式填写、签署和盖章。</w:t>
      </w:r>
    </w:p>
    <w:bookmarkEnd w:id="72"/>
    <w:p w14:paraId="633196D0">
      <w:pPr>
        <w:pStyle w:val="5"/>
        <w:tabs>
          <w:tab w:val="left" w:pos="900"/>
        </w:tabs>
        <w:spacing w:before="0" w:after="0" w:line="240" w:lineRule="atLeast"/>
        <w:rPr>
          <w:rFonts w:ascii="仿宋" w:hAnsi="仿宋" w:eastAsia="仿宋" w:cs="仿宋"/>
          <w:color w:val="auto"/>
          <w:u w:val="none"/>
        </w:rPr>
      </w:pPr>
      <w:bookmarkStart w:id="73" w:name="_Toc516367023"/>
      <w:bookmarkStart w:id="74" w:name="_Toc518923072"/>
      <w:bookmarkStart w:id="75" w:name="_Toc508185920"/>
      <w:bookmarkStart w:id="76" w:name="_Toc2671"/>
      <w:bookmarkStart w:id="77" w:name="_Toc520356153"/>
      <w:bookmarkStart w:id="78" w:name="_Toc23231"/>
      <w:bookmarkStart w:id="79" w:name="_Toc520356155"/>
      <w:bookmarkStart w:id="80" w:name="_Toc515647770"/>
      <w:bookmarkStart w:id="81" w:name="_Toc2248"/>
      <w:bookmarkStart w:id="82" w:name="_Toc19624"/>
      <w:r>
        <w:rPr>
          <w:rFonts w:hint="eastAsia" w:ascii="仿宋" w:hAnsi="仿宋" w:eastAsia="仿宋" w:cs="仿宋"/>
          <w:color w:val="auto"/>
          <w:u w:val="none"/>
        </w:rPr>
        <w:t>10.证明投标标的的合格性和符合招标文件规定的</w:t>
      </w:r>
      <w:bookmarkEnd w:id="73"/>
      <w:bookmarkEnd w:id="74"/>
      <w:bookmarkEnd w:id="75"/>
      <w:bookmarkEnd w:id="76"/>
      <w:bookmarkEnd w:id="77"/>
      <w:r>
        <w:rPr>
          <w:rFonts w:hint="eastAsia" w:ascii="仿宋" w:hAnsi="仿宋" w:eastAsia="仿宋" w:cs="仿宋"/>
          <w:color w:val="auto"/>
          <w:u w:val="none"/>
        </w:rPr>
        <w:t>投标文件</w:t>
      </w:r>
    </w:p>
    <w:p w14:paraId="2A0362F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10.1</w:t>
      </w:r>
      <w:r>
        <w:rPr>
          <w:rFonts w:hint="eastAsia" w:ascii="仿宋" w:hAnsi="仿宋" w:eastAsia="仿宋" w:cs="仿宋"/>
          <w:color w:val="auto"/>
          <w:sz w:val="24"/>
        </w:rPr>
        <w:tab/>
      </w:r>
      <w:r>
        <w:rPr>
          <w:rFonts w:hint="eastAsia" w:ascii="仿宋" w:hAnsi="仿宋" w:eastAsia="仿宋" w:cs="仿宋"/>
          <w:color w:val="auto"/>
          <w:sz w:val="24"/>
        </w:rPr>
        <w:t>投标人应提交证明文件，证明其投标内容符合招标文件规定。该证明文件是投标文件的一部分。</w:t>
      </w:r>
    </w:p>
    <w:p w14:paraId="25B4AB30">
      <w:pPr>
        <w:spacing w:line="240" w:lineRule="atLeast"/>
        <w:ind w:left="900" w:hanging="900" w:hangingChars="375"/>
        <w:rPr>
          <w:rFonts w:ascii="仿宋" w:hAnsi="仿宋" w:eastAsia="仿宋" w:cs="仿宋"/>
          <w:color w:val="auto"/>
          <w:sz w:val="24"/>
        </w:rPr>
      </w:pPr>
      <w:bookmarkStart w:id="83" w:name="_Ref467306244"/>
      <w:r>
        <w:rPr>
          <w:rFonts w:hint="eastAsia" w:ascii="仿宋" w:hAnsi="仿宋" w:eastAsia="仿宋" w:cs="仿宋"/>
          <w:color w:val="auto"/>
          <w:sz w:val="24"/>
        </w:rPr>
        <w:t>10.2</w:t>
      </w:r>
      <w:r>
        <w:rPr>
          <w:rFonts w:hint="eastAsia" w:ascii="仿宋" w:hAnsi="仿宋" w:eastAsia="仿宋" w:cs="仿宋"/>
          <w:color w:val="auto"/>
          <w:sz w:val="24"/>
        </w:rPr>
        <w:tab/>
      </w:r>
      <w:r>
        <w:rPr>
          <w:rFonts w:hint="eastAsia" w:ascii="仿宋" w:hAnsi="仿宋" w:eastAsia="仿宋" w:cs="仿宋"/>
          <w:color w:val="auto"/>
          <w:sz w:val="24"/>
        </w:rPr>
        <w:t>上款所述的证明文件，可以是文字资料、图纸和数据</w:t>
      </w:r>
      <w:bookmarkEnd w:id="83"/>
      <w:r>
        <w:rPr>
          <w:rFonts w:hint="eastAsia" w:ascii="仿宋" w:hAnsi="仿宋" w:eastAsia="仿宋" w:cs="仿宋"/>
          <w:color w:val="auto"/>
          <w:sz w:val="24"/>
        </w:rPr>
        <w:t>。</w:t>
      </w:r>
    </w:p>
    <w:bookmarkEnd w:id="78"/>
    <w:bookmarkEnd w:id="79"/>
    <w:bookmarkEnd w:id="80"/>
    <w:bookmarkEnd w:id="81"/>
    <w:bookmarkEnd w:id="82"/>
    <w:p w14:paraId="08DFE295">
      <w:pPr>
        <w:pStyle w:val="5"/>
        <w:spacing w:before="0" w:after="0" w:line="240" w:lineRule="atLeast"/>
        <w:rPr>
          <w:rFonts w:ascii="仿宋" w:hAnsi="仿宋" w:eastAsia="仿宋" w:cs="仿宋"/>
          <w:color w:val="auto"/>
          <w:u w:val="none"/>
        </w:rPr>
      </w:pPr>
      <w:bookmarkStart w:id="84" w:name="_Toc518923073"/>
      <w:bookmarkStart w:id="85" w:name="_Toc8529"/>
      <w:bookmarkStart w:id="86" w:name="_Ref467306513"/>
      <w:bookmarkStart w:id="87" w:name="_Toc520356156"/>
      <w:bookmarkStart w:id="88" w:name="_Toc22212"/>
      <w:bookmarkStart w:id="89" w:name="_Toc17788"/>
      <w:bookmarkStart w:id="90" w:name="_Toc515647771"/>
      <w:bookmarkStart w:id="91" w:name="_Toc11514"/>
      <w:r>
        <w:rPr>
          <w:rFonts w:hint="eastAsia" w:ascii="仿宋" w:hAnsi="仿宋" w:eastAsia="仿宋" w:cs="仿宋"/>
          <w:color w:val="auto"/>
          <w:u w:val="none"/>
        </w:rPr>
        <w:t>11.投标报价</w:t>
      </w:r>
      <w:bookmarkEnd w:id="84"/>
      <w:bookmarkEnd w:id="85"/>
    </w:p>
    <w:p w14:paraId="663659D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11.1</w:t>
      </w:r>
      <w:r>
        <w:rPr>
          <w:rFonts w:hint="eastAsia" w:ascii="仿宋" w:hAnsi="仿宋" w:eastAsia="仿宋" w:cs="仿宋"/>
          <w:color w:val="auto"/>
          <w:sz w:val="24"/>
        </w:rPr>
        <w:tab/>
      </w:r>
      <w:r>
        <w:rPr>
          <w:rFonts w:hint="eastAsia" w:ascii="仿宋" w:hAnsi="仿宋" w:eastAsia="仿宋" w:cs="仿宋"/>
          <w:color w:val="auto"/>
          <w:sz w:val="24"/>
        </w:rPr>
        <w:t>所有投标均以人民币报价。投标人的投标报价应遵守《中华人民共和国价格法》。同时，根据《中华人民共和国政府采购法》第二条的规定，为保证公平竞争，如有主体投标标的的赠与行为，其投标将被认定为投标无效。</w:t>
      </w:r>
    </w:p>
    <w:p w14:paraId="17AC595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11.2</w:t>
      </w:r>
      <w:r>
        <w:rPr>
          <w:rFonts w:hint="eastAsia" w:ascii="仿宋" w:hAnsi="仿宋" w:eastAsia="仿宋" w:cs="仿宋"/>
          <w:color w:val="auto"/>
          <w:sz w:val="24"/>
        </w:rPr>
        <w:tab/>
      </w:r>
      <w:r>
        <w:rPr>
          <w:rFonts w:hint="eastAsia" w:ascii="仿宋" w:hAnsi="仿宋" w:eastAsia="仿宋" w:cs="仿宋"/>
          <w:color w:val="auto"/>
          <w:sz w:val="24"/>
        </w:rPr>
        <w:t>投标人应在投标分项报价表上标明分项服务的价格（如适用）和总价，并由法定代表人或其委托代理人签署。</w:t>
      </w:r>
    </w:p>
    <w:p w14:paraId="63F1A17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11.3</w:t>
      </w:r>
      <w:r>
        <w:rPr>
          <w:rFonts w:hint="eastAsia" w:ascii="仿宋" w:hAnsi="仿宋" w:eastAsia="仿宋" w:cs="仿宋"/>
          <w:color w:val="auto"/>
          <w:sz w:val="24"/>
        </w:rPr>
        <w:tab/>
      </w:r>
      <w:r>
        <w:rPr>
          <w:rFonts w:hint="eastAsia" w:ascii="仿宋" w:hAnsi="仿宋" w:eastAsia="仿宋" w:cs="仿宋"/>
          <w:color w:val="auto"/>
          <w:sz w:val="24"/>
        </w:rPr>
        <w:t>采购人不接受具有附加条件的报价。</w:t>
      </w:r>
    </w:p>
    <w:p w14:paraId="7EA431A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11.4</w:t>
      </w:r>
      <w:r>
        <w:rPr>
          <w:rFonts w:hint="eastAsia" w:ascii="仿宋" w:hAnsi="仿宋" w:eastAsia="仿宋" w:cs="仿宋"/>
          <w:color w:val="auto"/>
          <w:sz w:val="24"/>
        </w:rPr>
        <w:tab/>
      </w:r>
      <w:r>
        <w:rPr>
          <w:rFonts w:hint="eastAsia" w:ascii="仿宋" w:hAnsi="仿宋" w:eastAsia="仿宋" w:cs="仿宋"/>
          <w:color w:val="auto"/>
          <w:sz w:val="24"/>
        </w:rPr>
        <w:t>投标人所报的各分项投标报价在合同履行过程中是固定不变的，不得以任何理由予以变更。任何包含价格调整要求的投标，将被认定为投标无效。</w:t>
      </w:r>
    </w:p>
    <w:p w14:paraId="62E9EAC9">
      <w:pPr>
        <w:pStyle w:val="5"/>
        <w:spacing w:before="0" w:after="0" w:line="240" w:lineRule="atLeast"/>
        <w:rPr>
          <w:rFonts w:ascii="仿宋" w:hAnsi="仿宋" w:eastAsia="仿宋" w:cs="仿宋"/>
          <w:color w:val="auto"/>
          <w:u w:val="none"/>
        </w:rPr>
      </w:pPr>
      <w:r>
        <w:rPr>
          <w:rFonts w:hint="eastAsia" w:ascii="仿宋" w:hAnsi="仿宋" w:eastAsia="仿宋" w:cs="仿宋"/>
          <w:color w:val="auto"/>
          <w:u w:val="none"/>
        </w:rPr>
        <w:t>12.投标保证金</w:t>
      </w:r>
      <w:bookmarkEnd w:id="86"/>
      <w:bookmarkEnd w:id="87"/>
      <w:bookmarkEnd w:id="88"/>
      <w:bookmarkEnd w:id="89"/>
      <w:bookmarkEnd w:id="90"/>
      <w:bookmarkEnd w:id="91"/>
    </w:p>
    <w:p w14:paraId="374E2347">
      <w:pPr>
        <w:spacing w:line="240" w:lineRule="atLeast"/>
        <w:ind w:left="900" w:hanging="900" w:hangingChars="375"/>
        <w:rPr>
          <w:rFonts w:ascii="仿宋" w:hAnsi="仿宋" w:eastAsia="仿宋" w:cs="仿宋"/>
          <w:color w:val="auto"/>
          <w:sz w:val="24"/>
        </w:rPr>
      </w:pPr>
      <w:bookmarkStart w:id="92" w:name="_Ref467306302"/>
      <w:r>
        <w:rPr>
          <w:rFonts w:hint="eastAsia" w:ascii="仿宋" w:hAnsi="仿宋" w:eastAsia="仿宋" w:cs="仿宋"/>
          <w:color w:val="auto"/>
          <w:sz w:val="24"/>
        </w:rPr>
        <w:t>12.1</w:t>
      </w:r>
      <w:r>
        <w:rPr>
          <w:rFonts w:hint="eastAsia" w:ascii="仿宋" w:hAnsi="仿宋" w:eastAsia="仿宋" w:cs="仿宋"/>
          <w:color w:val="auto"/>
          <w:sz w:val="24"/>
        </w:rPr>
        <w:tab/>
      </w:r>
      <w:r>
        <w:rPr>
          <w:rFonts w:hint="eastAsia" w:ascii="仿宋" w:hAnsi="仿宋" w:eastAsia="仿宋" w:cs="仿宋"/>
          <w:color w:val="auto"/>
          <w:sz w:val="24"/>
        </w:rPr>
        <w:t>投标人应提交</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中规定的投标保证金</w:t>
      </w:r>
      <w:bookmarkEnd w:id="92"/>
      <w:r>
        <w:rPr>
          <w:rFonts w:hint="eastAsia" w:ascii="仿宋" w:hAnsi="仿宋" w:eastAsia="仿宋" w:cs="仿宋"/>
          <w:color w:val="auto"/>
          <w:sz w:val="24"/>
        </w:rPr>
        <w:t>，并作为其投标的一部分。</w:t>
      </w:r>
    </w:p>
    <w:p w14:paraId="0AA334F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12.2</w:t>
      </w:r>
      <w:r>
        <w:rPr>
          <w:rFonts w:hint="eastAsia" w:ascii="仿宋" w:hAnsi="仿宋" w:eastAsia="仿宋" w:cs="仿宋"/>
          <w:color w:val="auto"/>
          <w:sz w:val="24"/>
        </w:rPr>
        <w:tab/>
      </w:r>
      <w:r>
        <w:rPr>
          <w:rFonts w:hint="eastAsia" w:ascii="仿宋" w:hAnsi="仿宋" w:eastAsia="仿宋" w:cs="仿宋"/>
          <w:color w:val="auto"/>
          <w:sz w:val="24"/>
        </w:rPr>
        <w:t>投标人存在下列情形的，投标保证金不予退还：</w:t>
      </w:r>
    </w:p>
    <w:p w14:paraId="0760146E">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（1）在投标有效期内，撤销投标的；</w:t>
      </w:r>
    </w:p>
    <w:p w14:paraId="40ABF93E">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（2）中标后不按本须知第30条的规定与采购人签订合同的；</w:t>
      </w:r>
    </w:p>
    <w:p w14:paraId="3A85788D">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（3）中标后不按本须知第31条的规定提交履约保证金的；</w:t>
      </w:r>
    </w:p>
    <w:p w14:paraId="5772D94D">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（4）中标后不按本须知第32条的规定缴纳中标服务费的；</w:t>
      </w:r>
    </w:p>
    <w:p w14:paraId="2F311C13">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（5）存在其他违法违规行为的。</w:t>
      </w:r>
    </w:p>
    <w:p w14:paraId="6ED3BA12">
      <w:pPr>
        <w:spacing w:line="240" w:lineRule="atLeast"/>
        <w:ind w:left="900" w:hanging="900" w:hangingChars="375"/>
        <w:rPr>
          <w:rFonts w:ascii="仿宋" w:hAnsi="仿宋" w:eastAsia="仿宋" w:cs="仿宋"/>
          <w:color w:val="auto"/>
          <w:sz w:val="24"/>
        </w:rPr>
      </w:pPr>
      <w:bookmarkStart w:id="93" w:name="_Ref467306336"/>
      <w:r>
        <w:rPr>
          <w:rFonts w:hint="eastAsia" w:ascii="仿宋" w:hAnsi="仿宋" w:eastAsia="仿宋" w:cs="仿宋"/>
          <w:color w:val="auto"/>
          <w:sz w:val="24"/>
        </w:rPr>
        <w:t>12.3</w:t>
      </w:r>
      <w:r>
        <w:rPr>
          <w:rFonts w:hint="eastAsia" w:ascii="仿宋" w:hAnsi="仿宋" w:eastAsia="仿宋" w:cs="仿宋"/>
          <w:color w:val="auto"/>
          <w:sz w:val="24"/>
        </w:rPr>
        <w:tab/>
      </w:r>
      <w:bookmarkEnd w:id="93"/>
      <w:r>
        <w:rPr>
          <w:rFonts w:hint="eastAsia" w:ascii="仿宋" w:hAnsi="仿宋" w:eastAsia="仿宋" w:cs="仿宋"/>
          <w:color w:val="auto"/>
          <w:sz w:val="24"/>
        </w:rPr>
        <w:t>政府采购信用担保试点范围内的项目，接受符合财政部门规定的政府采购投标担保函原件。</w:t>
      </w:r>
    </w:p>
    <w:p w14:paraId="246753DC">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12.4</w:t>
      </w:r>
      <w:r>
        <w:rPr>
          <w:rFonts w:hint="eastAsia" w:ascii="仿宋" w:hAnsi="仿宋" w:eastAsia="仿宋" w:cs="仿宋"/>
          <w:color w:val="auto"/>
          <w:sz w:val="24"/>
        </w:rPr>
        <w:tab/>
      </w:r>
      <w:r>
        <w:rPr>
          <w:rFonts w:hint="eastAsia" w:ascii="仿宋" w:hAnsi="仿宋" w:eastAsia="仿宋" w:cs="仿宋"/>
          <w:color w:val="auto"/>
          <w:sz w:val="24"/>
        </w:rPr>
        <w:t>投标人未按本须知第12.1和12.3条规定提交投标保证金的，其投标将被认定为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DA5CB69">
      <w:pPr>
        <w:spacing w:line="240" w:lineRule="atLeast"/>
        <w:rPr>
          <w:rFonts w:ascii="仿宋" w:hAnsi="仿宋" w:eastAsia="仿宋" w:cs="仿宋"/>
          <w:color w:val="auto"/>
          <w:sz w:val="24"/>
        </w:rPr>
      </w:pPr>
      <w:r>
        <w:rPr>
          <w:rFonts w:hint="eastAsia" w:ascii="仿宋" w:hAnsi="仿宋" w:eastAsia="仿宋" w:cs="仿宋"/>
          <w:color w:val="auto"/>
          <w:sz w:val="24"/>
        </w:rPr>
        <w:t>12.4.1  采用电汇形式的，一般可以实时入账。</w:t>
      </w:r>
    </w:p>
    <w:p w14:paraId="134551C8">
      <w:pPr>
        <w:spacing w:line="240" w:lineRule="atLeast"/>
        <w:ind w:left="960" w:hanging="960" w:hangingChars="400"/>
        <w:jc w:val="left"/>
        <w:rPr>
          <w:rFonts w:ascii="仿宋" w:hAnsi="仿宋" w:eastAsia="仿宋" w:cs="仿宋"/>
          <w:color w:val="auto"/>
          <w:sz w:val="24"/>
        </w:rPr>
      </w:pPr>
      <w:r>
        <w:rPr>
          <w:rFonts w:hint="eastAsia" w:ascii="仿宋" w:hAnsi="仿宋" w:eastAsia="仿宋" w:cs="仿宋"/>
          <w:color w:val="auto"/>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2225006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12.5    联合体投标的，可以由联合体中的一方或者共同提交投标保证金。以一方名义提交投标保证金的，对联合体各方均具有约束力。</w:t>
      </w:r>
    </w:p>
    <w:p w14:paraId="3C86CDC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12.6</w:t>
      </w:r>
      <w:r>
        <w:rPr>
          <w:rFonts w:hint="eastAsia" w:ascii="仿宋" w:hAnsi="仿宋" w:eastAsia="仿宋" w:cs="仿宋"/>
          <w:color w:val="auto"/>
          <w:sz w:val="24"/>
        </w:rPr>
        <w:tab/>
      </w:r>
      <w:r>
        <w:rPr>
          <w:rFonts w:hint="eastAsia" w:ascii="仿宋" w:hAnsi="仿宋" w:eastAsia="仿宋" w:cs="仿宋"/>
          <w:color w:val="auto"/>
          <w:sz w:val="24"/>
        </w:rPr>
        <w:t>投标保证金的退还</w:t>
      </w:r>
    </w:p>
    <w:p w14:paraId="434715E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12.6.1  中标人应在与采购人签订合同之日起5个工作日内，及时联系保证金收受机构办理投标保证金无息退还手续。</w:t>
      </w:r>
    </w:p>
    <w:p w14:paraId="52C24BF4">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12.6.2  未中标投标人的投标保证金将在中标通知书发出之日暨中标结果公告公布之日起5个工作日内无息退还。投标人应及时联系保证金收受机构办理退还投标保证金手续。</w:t>
      </w:r>
    </w:p>
    <w:p w14:paraId="61EA49C8">
      <w:pPr>
        <w:spacing w:line="240" w:lineRule="atLeast"/>
        <w:rPr>
          <w:rFonts w:ascii="仿宋" w:hAnsi="仿宋" w:eastAsia="仿宋" w:cs="仿宋"/>
          <w:color w:val="auto"/>
          <w:sz w:val="24"/>
        </w:rPr>
      </w:pPr>
      <w:r>
        <w:rPr>
          <w:rFonts w:hint="eastAsia" w:ascii="仿宋" w:hAnsi="仿宋" w:eastAsia="仿宋" w:cs="仿宋"/>
          <w:color w:val="auto"/>
          <w:sz w:val="24"/>
        </w:rPr>
        <w:t>12.6.3  政府采购投标担保函不予退回。</w:t>
      </w:r>
    </w:p>
    <w:p w14:paraId="5DC5474D">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12.7    因投标人自身原因导致无法及时退还的，采购人或采购代理机构将不承担相应责任。</w:t>
      </w:r>
    </w:p>
    <w:p w14:paraId="4B96CDE8">
      <w:pPr>
        <w:pStyle w:val="5"/>
        <w:spacing w:before="0" w:after="0" w:line="240" w:lineRule="atLeast"/>
        <w:rPr>
          <w:rFonts w:ascii="仿宋" w:hAnsi="仿宋" w:eastAsia="仿宋" w:cs="仿宋"/>
          <w:color w:val="auto"/>
          <w:u w:val="none"/>
        </w:rPr>
      </w:pPr>
      <w:bookmarkStart w:id="94" w:name="_Toc23590"/>
      <w:bookmarkStart w:id="95" w:name="_Toc515647772"/>
      <w:bookmarkStart w:id="96" w:name="_Toc22901"/>
      <w:bookmarkStart w:id="97" w:name="_Toc32569"/>
      <w:bookmarkStart w:id="98" w:name="_Toc520356157"/>
      <w:r>
        <w:rPr>
          <w:rFonts w:hint="eastAsia" w:ascii="仿宋" w:hAnsi="仿宋" w:eastAsia="仿宋" w:cs="仿宋"/>
          <w:color w:val="auto"/>
          <w:u w:val="none"/>
        </w:rPr>
        <w:t>13.投标有效期</w:t>
      </w:r>
      <w:bookmarkEnd w:id="94"/>
      <w:bookmarkEnd w:id="95"/>
      <w:bookmarkEnd w:id="96"/>
      <w:bookmarkEnd w:id="97"/>
      <w:bookmarkEnd w:id="98"/>
    </w:p>
    <w:p w14:paraId="0C1D135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投标应在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中规定时间内保持有效。投标有效期不满足要求的投标，其投标将被认定为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85865D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w:t>
      </w:r>
      <w:r>
        <w:rPr>
          <w:rFonts w:hint="eastAsia" w:ascii="仿宋" w:hAnsi="仿宋" w:eastAsia="仿宋" w:cs="仿宋"/>
          <w:color w:val="auto"/>
          <w:sz w:val="24"/>
        </w:rPr>
        <w:tab/>
      </w:r>
      <w:r>
        <w:rPr>
          <w:rFonts w:hint="eastAsia" w:ascii="仿宋" w:hAnsi="仿宋" w:eastAsia="仿宋" w:cs="仿宋"/>
          <w:color w:val="auto"/>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772CC548">
      <w:pPr>
        <w:pStyle w:val="5"/>
        <w:spacing w:before="0" w:after="0" w:line="240" w:lineRule="atLeast"/>
        <w:rPr>
          <w:rFonts w:ascii="仿宋" w:hAnsi="仿宋" w:eastAsia="仿宋" w:cs="仿宋"/>
          <w:color w:val="auto"/>
          <w:u w:val="none"/>
        </w:rPr>
      </w:pPr>
      <w:bookmarkStart w:id="99" w:name="_Toc520356158"/>
      <w:bookmarkStart w:id="100" w:name="_Toc493"/>
      <w:bookmarkStart w:id="101" w:name="_Toc17074"/>
      <w:bookmarkStart w:id="102" w:name="_Toc515647773"/>
      <w:bookmarkStart w:id="103" w:name="_Toc17609"/>
      <w:r>
        <w:rPr>
          <w:rFonts w:hint="eastAsia" w:ascii="仿宋" w:hAnsi="仿宋" w:eastAsia="仿宋" w:cs="仿宋"/>
          <w:color w:val="auto"/>
          <w:u w:val="none"/>
        </w:rPr>
        <w:t>14.投标文件的签署</w:t>
      </w:r>
      <w:bookmarkEnd w:id="99"/>
      <w:r>
        <w:rPr>
          <w:rFonts w:hint="eastAsia" w:ascii="仿宋" w:hAnsi="仿宋" w:eastAsia="仿宋" w:cs="仿宋"/>
          <w:color w:val="auto"/>
          <w:u w:val="none"/>
        </w:rPr>
        <w:t>及规定</w:t>
      </w:r>
      <w:bookmarkEnd w:id="100"/>
      <w:bookmarkEnd w:id="101"/>
      <w:bookmarkEnd w:id="102"/>
      <w:bookmarkEnd w:id="103"/>
    </w:p>
    <w:p w14:paraId="5B2DA6D2">
      <w:pPr>
        <w:spacing w:line="240" w:lineRule="atLeast"/>
        <w:ind w:left="900" w:hanging="900" w:hangingChars="375"/>
        <w:rPr>
          <w:rFonts w:ascii="仿宋" w:hAnsi="仿宋" w:eastAsia="仿宋" w:cs="仿宋"/>
          <w:color w:val="auto"/>
          <w:sz w:val="24"/>
        </w:rPr>
      </w:pPr>
      <w:bookmarkStart w:id="104" w:name="_Toc11179"/>
      <w:bookmarkStart w:id="105" w:name="_Toc25925"/>
      <w:bookmarkStart w:id="106" w:name="_Toc16865"/>
      <w:bookmarkStart w:id="107" w:name="_Toc216582808"/>
      <w:bookmarkStart w:id="108" w:name="_Toc520356159"/>
      <w:bookmarkStart w:id="109" w:name="_Toc515647774"/>
      <w:r>
        <w:rPr>
          <w:rFonts w:hint="eastAsia" w:ascii="仿宋" w:hAnsi="仿宋" w:eastAsia="仿宋" w:cs="仿宋"/>
          <w:color w:val="auto"/>
          <w:sz w:val="24"/>
        </w:rPr>
        <w:t>14.1</w:t>
      </w:r>
      <w:r>
        <w:rPr>
          <w:rFonts w:hint="eastAsia" w:ascii="仿宋" w:hAnsi="仿宋" w:eastAsia="仿宋" w:cs="仿宋"/>
          <w:color w:val="auto"/>
          <w:sz w:val="24"/>
        </w:rPr>
        <w:tab/>
      </w:r>
      <w:r>
        <w:rPr>
          <w:rFonts w:hint="eastAsia" w:ascii="仿宋" w:hAnsi="仿宋" w:eastAsia="仿宋" w:cs="仿宋"/>
          <w:color w:val="auto"/>
          <w:sz w:val="24"/>
        </w:rPr>
        <w:t>投标人应按投标人须知资料表中的规定，准备和递交（加密上传）电子投标文件。</w:t>
      </w:r>
    </w:p>
    <w:p w14:paraId="43202B2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14.2   所有投标文件应按照招标文件规定的格式填写、签署和盖章。</w:t>
      </w:r>
    </w:p>
    <w:p w14:paraId="10951F1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14.3</w:t>
      </w:r>
      <w:r>
        <w:rPr>
          <w:rFonts w:hint="eastAsia" w:ascii="仿宋" w:hAnsi="仿宋" w:eastAsia="仿宋" w:cs="仿宋"/>
          <w:color w:val="auto"/>
          <w:sz w:val="24"/>
        </w:rPr>
        <w:tab/>
      </w:r>
      <w:r>
        <w:rPr>
          <w:rFonts w:hint="eastAsia" w:ascii="仿宋" w:hAnsi="仿宋" w:eastAsia="仿宋" w:cs="仿宋"/>
          <w:color w:val="auto"/>
          <w:sz w:val="24"/>
        </w:rPr>
        <w:t>投标文件因字迹潦草、表达不清或未按照招标文件规定的格式填写、签署和盖章所引起的后果由供应商负责。</w:t>
      </w:r>
    </w:p>
    <w:p w14:paraId="4754B1AD">
      <w:pPr>
        <w:pStyle w:val="4"/>
        <w:spacing w:before="0" w:line="240" w:lineRule="atLeast"/>
        <w:ind w:left="1079" w:leftChars="257" w:hanging="540"/>
        <w:rPr>
          <w:rFonts w:ascii="仿宋" w:hAnsi="仿宋" w:eastAsia="仿宋" w:cs="仿宋"/>
          <w:color w:val="auto"/>
        </w:rPr>
      </w:pPr>
      <w:r>
        <w:rPr>
          <w:rFonts w:hint="eastAsia" w:ascii="仿宋" w:hAnsi="仿宋" w:eastAsia="仿宋" w:cs="仿宋"/>
          <w:color w:val="auto"/>
          <w:sz w:val="28"/>
          <w:szCs w:val="28"/>
        </w:rPr>
        <w:t>四   投标文件的递交</w:t>
      </w:r>
      <w:bookmarkEnd w:id="104"/>
      <w:bookmarkEnd w:id="105"/>
      <w:bookmarkEnd w:id="106"/>
      <w:bookmarkEnd w:id="107"/>
      <w:bookmarkEnd w:id="108"/>
      <w:bookmarkEnd w:id="109"/>
    </w:p>
    <w:p w14:paraId="03CBE5C8">
      <w:pPr>
        <w:pStyle w:val="5"/>
        <w:spacing w:before="0" w:after="0" w:line="240" w:lineRule="atLeast"/>
        <w:rPr>
          <w:rFonts w:ascii="仿宋" w:hAnsi="仿宋" w:eastAsia="仿宋" w:cs="仿宋"/>
          <w:color w:val="auto"/>
          <w:u w:val="none"/>
        </w:rPr>
      </w:pPr>
      <w:bookmarkStart w:id="110" w:name="_Toc12751"/>
      <w:bookmarkStart w:id="111" w:name="_Toc9840"/>
      <w:bookmarkStart w:id="112" w:name="_Toc520356161"/>
      <w:bookmarkStart w:id="113" w:name="_Toc515647776"/>
      <w:bookmarkStart w:id="114" w:name="_Toc24017"/>
      <w:r>
        <w:rPr>
          <w:rFonts w:hint="eastAsia" w:ascii="仿宋" w:hAnsi="仿宋" w:eastAsia="仿宋" w:cs="仿宋"/>
          <w:color w:val="auto"/>
          <w:u w:val="none"/>
        </w:rPr>
        <w:t>15.投标文件的密封和标记</w:t>
      </w:r>
    </w:p>
    <w:p w14:paraId="78B0828A">
      <w:pPr>
        <w:spacing w:line="240" w:lineRule="atLeast"/>
        <w:ind w:left="904" w:hanging="900" w:hangingChars="375"/>
        <w:rPr>
          <w:rFonts w:ascii="仿宋" w:hAnsi="仿宋" w:eastAsia="仿宋" w:cs="仿宋"/>
          <w:b/>
          <w:bCs/>
          <w:color w:val="auto"/>
          <w:sz w:val="24"/>
        </w:rPr>
      </w:pPr>
      <w:r>
        <w:rPr>
          <w:rFonts w:hint="eastAsia" w:ascii="仿宋" w:hAnsi="仿宋" w:eastAsia="仿宋" w:cs="仿宋"/>
          <w:b/>
          <w:bCs/>
          <w:color w:val="auto"/>
          <w:sz w:val="24"/>
        </w:rPr>
        <w:t>15.1   为方便评审及进行资格审查，投标人应完整地按招标文件提供的投标文件格式及要求编写投标文件， 投标文件应包括“开标一览表及资格证明文件”和“商务及技术文件”两部分，两部分合成一册，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14:paraId="2B0C1274">
      <w:pPr>
        <w:pStyle w:val="5"/>
        <w:spacing w:before="0" w:after="0" w:line="240" w:lineRule="atLeast"/>
        <w:rPr>
          <w:rFonts w:ascii="仿宋" w:hAnsi="仿宋" w:eastAsia="仿宋" w:cs="仿宋"/>
          <w:color w:val="auto"/>
          <w:u w:val="none"/>
        </w:rPr>
      </w:pPr>
      <w:r>
        <w:rPr>
          <w:rFonts w:hint="eastAsia" w:ascii="仿宋" w:hAnsi="仿宋" w:eastAsia="仿宋" w:cs="仿宋"/>
          <w:color w:val="auto"/>
          <w:u w:val="none"/>
        </w:rPr>
        <w:t>16.投标截止</w:t>
      </w:r>
    </w:p>
    <w:p w14:paraId="6DE34EC0">
      <w:pPr>
        <w:spacing w:line="240" w:lineRule="atLeast"/>
        <w:ind w:left="900" w:hanging="900" w:hangingChars="375"/>
        <w:rPr>
          <w:rFonts w:ascii="仿宋" w:hAnsi="仿宋" w:eastAsia="仿宋" w:cs="仿宋"/>
          <w:color w:val="auto"/>
          <w:sz w:val="24"/>
        </w:rPr>
      </w:pPr>
      <w:bookmarkStart w:id="115" w:name="_Toc17389"/>
      <w:bookmarkStart w:id="116" w:name="_Toc3653"/>
      <w:bookmarkStart w:id="117" w:name="_Toc29943"/>
      <w:bookmarkStart w:id="118" w:name="_Toc520356162"/>
      <w:bookmarkStart w:id="119" w:name="_Toc18537"/>
      <w:bookmarkStart w:id="120" w:name="_Toc515647777"/>
      <w:bookmarkStart w:id="121" w:name="_Toc24275"/>
      <w:r>
        <w:rPr>
          <w:rFonts w:hint="eastAsia" w:ascii="仿宋" w:hAnsi="仿宋" w:eastAsia="仿宋" w:cs="仿宋"/>
          <w:color w:val="auto"/>
          <w:sz w:val="24"/>
        </w:rPr>
        <w:t>16.1</w:t>
      </w:r>
      <w:r>
        <w:rPr>
          <w:rFonts w:hint="eastAsia" w:ascii="仿宋" w:hAnsi="仿宋" w:eastAsia="仿宋" w:cs="仿宋"/>
          <w:color w:val="auto"/>
          <w:sz w:val="24"/>
        </w:rPr>
        <w:tab/>
      </w:r>
      <w:r>
        <w:rPr>
          <w:rFonts w:hint="eastAsia" w:ascii="仿宋" w:hAnsi="仿宋" w:eastAsia="仿宋" w:cs="仿宋"/>
          <w:color w:val="auto"/>
          <w:sz w:val="24"/>
        </w:rPr>
        <w:t>投标人应在招标文件中规定的截止时间前，将电子投标文件上传到政采云平台。</w:t>
      </w:r>
    </w:p>
    <w:p w14:paraId="6E6C8406">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16.2</w:t>
      </w:r>
      <w:r>
        <w:rPr>
          <w:rFonts w:hint="eastAsia" w:ascii="仿宋" w:hAnsi="仿宋" w:eastAsia="仿宋" w:cs="仿宋"/>
          <w:color w:val="auto"/>
          <w:sz w:val="24"/>
        </w:rPr>
        <w:tab/>
      </w:r>
      <w:r>
        <w:rPr>
          <w:rFonts w:hint="eastAsia" w:ascii="仿宋" w:hAnsi="仿宋" w:eastAsia="仿宋" w:cs="仿宋"/>
          <w:color w:val="auto"/>
          <w:sz w:val="24"/>
        </w:rPr>
        <w:t>采购人和采购代理机构有权按本须知的规定，延迟投标截止时间。在此情况下，采购人、采购代理机构和投标人受投标截止时间制约的所有权利和义务均应延长至新的截止时间。</w:t>
      </w:r>
      <w:bookmarkEnd w:id="115"/>
      <w:bookmarkEnd w:id="116"/>
      <w:bookmarkEnd w:id="117"/>
      <w:bookmarkEnd w:id="118"/>
      <w:bookmarkEnd w:id="119"/>
      <w:bookmarkEnd w:id="120"/>
      <w:bookmarkEnd w:id="121"/>
    </w:p>
    <w:p w14:paraId="626683C3">
      <w:pPr>
        <w:spacing w:line="240" w:lineRule="atLeast"/>
        <w:rPr>
          <w:rFonts w:ascii="仿宋" w:hAnsi="仿宋" w:eastAsia="仿宋" w:cs="仿宋"/>
          <w:color w:val="auto"/>
          <w:sz w:val="24"/>
        </w:rPr>
      </w:pPr>
      <w:r>
        <w:rPr>
          <w:rFonts w:hint="eastAsia" w:ascii="仿宋" w:hAnsi="仿宋" w:eastAsia="仿宋" w:cs="仿宋"/>
          <w:color w:val="auto"/>
          <w:sz w:val="24"/>
        </w:rPr>
        <w:t>16.3    采购人和采购代理机构将拒绝接收在投标截止时间后上传的投标文件。</w:t>
      </w:r>
    </w:p>
    <w:bookmarkEnd w:id="110"/>
    <w:bookmarkEnd w:id="111"/>
    <w:bookmarkEnd w:id="112"/>
    <w:bookmarkEnd w:id="113"/>
    <w:bookmarkEnd w:id="114"/>
    <w:p w14:paraId="36AAB49B">
      <w:pPr>
        <w:spacing w:line="240" w:lineRule="atLeast"/>
        <w:ind w:left="904" w:hanging="900" w:hangingChars="375"/>
        <w:rPr>
          <w:rFonts w:ascii="仿宋" w:hAnsi="仿宋" w:eastAsia="仿宋" w:cs="仿宋"/>
          <w:b/>
          <w:bCs/>
          <w:color w:val="auto"/>
          <w:sz w:val="24"/>
        </w:rPr>
      </w:pPr>
      <w:bookmarkStart w:id="122" w:name="_Toc518923081"/>
      <w:bookmarkStart w:id="123" w:name="_Toc16710"/>
      <w:bookmarkStart w:id="124" w:name="_Toc12436"/>
      <w:bookmarkStart w:id="125" w:name="_Toc28398"/>
      <w:bookmarkStart w:id="126" w:name="_Toc520356163"/>
      <w:bookmarkStart w:id="127" w:name="_Toc216582809"/>
      <w:bookmarkStart w:id="128" w:name="_Toc515647778"/>
      <w:bookmarkStart w:id="129" w:name="_Toc20246"/>
      <w:r>
        <w:rPr>
          <w:rFonts w:hint="eastAsia" w:ascii="仿宋" w:hAnsi="仿宋" w:eastAsia="仿宋" w:cs="仿宋"/>
          <w:b/>
          <w:bCs/>
          <w:color w:val="auto"/>
          <w:sz w:val="24"/>
        </w:rPr>
        <w:t>17.投标文件的接收、修改、撤回</w:t>
      </w:r>
      <w:bookmarkEnd w:id="122"/>
      <w:r>
        <w:rPr>
          <w:rFonts w:hint="eastAsia" w:ascii="仿宋" w:hAnsi="仿宋" w:eastAsia="仿宋" w:cs="仿宋"/>
          <w:b/>
          <w:bCs/>
          <w:color w:val="auto"/>
          <w:sz w:val="24"/>
        </w:rPr>
        <w:t>与解密</w:t>
      </w:r>
      <w:bookmarkEnd w:id="123"/>
    </w:p>
    <w:p w14:paraId="5655763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17.1</w:t>
      </w:r>
      <w:r>
        <w:rPr>
          <w:rFonts w:hint="eastAsia" w:ascii="仿宋" w:hAnsi="仿宋" w:eastAsia="仿宋" w:cs="仿宋"/>
          <w:color w:val="auto"/>
          <w:sz w:val="24"/>
        </w:rPr>
        <w:tab/>
      </w:r>
      <w:r>
        <w:rPr>
          <w:rFonts w:hint="eastAsia" w:ascii="仿宋" w:hAnsi="仿宋" w:eastAsia="仿宋" w:cs="仿宋"/>
          <w:color w:val="auto"/>
          <w:sz w:val="24"/>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738A34E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17.2</w:t>
      </w:r>
      <w:r>
        <w:rPr>
          <w:rFonts w:hint="eastAsia" w:ascii="仿宋" w:hAnsi="仿宋" w:eastAsia="仿宋" w:cs="仿宋"/>
          <w:color w:val="auto"/>
          <w:sz w:val="24"/>
        </w:rPr>
        <w:tab/>
      </w:r>
      <w:r>
        <w:rPr>
          <w:rFonts w:hint="eastAsia" w:ascii="仿宋" w:hAnsi="仿宋" w:eastAsia="仿宋" w:cs="仿宋"/>
          <w:color w:val="auto"/>
          <w:sz w:val="24"/>
        </w:rPr>
        <w:t>代理机构对因不可抗力事件造成的投标文件的损坏、丢失的，不承担责任。</w:t>
      </w:r>
    </w:p>
    <w:p w14:paraId="5DF2D78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17.3</w:t>
      </w:r>
      <w:r>
        <w:rPr>
          <w:rFonts w:hint="eastAsia" w:ascii="仿宋" w:hAnsi="仿宋" w:eastAsia="仿宋" w:cs="仿宋"/>
          <w:color w:val="auto"/>
          <w:sz w:val="24"/>
        </w:rPr>
        <w:tab/>
      </w:r>
      <w:r>
        <w:rPr>
          <w:rFonts w:hint="eastAsia" w:ascii="仿宋" w:hAnsi="仿宋" w:eastAsia="仿宋" w:cs="仿宋"/>
          <w:color w:val="auto"/>
          <w:sz w:val="24"/>
        </w:rPr>
        <w:t xml:space="preserve">出现下述情形之一，属于未成功提交投标文件，按无效投标处理： </w:t>
      </w:r>
    </w:p>
    <w:p w14:paraId="36C026CB">
      <w:pPr>
        <w:spacing w:line="240" w:lineRule="atLeast"/>
        <w:ind w:left="898" w:leftChars="342" w:hanging="180" w:hangingChars="75"/>
        <w:rPr>
          <w:rFonts w:ascii="仿宋" w:hAnsi="仿宋" w:eastAsia="仿宋" w:cs="仿宋"/>
          <w:color w:val="auto"/>
          <w:sz w:val="24"/>
        </w:rPr>
      </w:pPr>
      <w:r>
        <w:rPr>
          <w:rFonts w:hint="eastAsia" w:ascii="仿宋" w:hAnsi="仿宋" w:eastAsia="仿宋" w:cs="仿宋"/>
          <w:color w:val="auto"/>
          <w:sz w:val="24"/>
        </w:rPr>
        <w:t xml:space="preserve">（1）至提交投标文件截止时间，投标文件未完整上传的。 </w:t>
      </w:r>
    </w:p>
    <w:p w14:paraId="262937B2">
      <w:pPr>
        <w:spacing w:line="240" w:lineRule="atLeast"/>
        <w:ind w:left="898" w:leftChars="342" w:hanging="180" w:hangingChars="75"/>
        <w:rPr>
          <w:rFonts w:ascii="仿宋" w:hAnsi="仿宋" w:eastAsia="仿宋" w:cs="仿宋"/>
          <w:color w:val="auto"/>
          <w:sz w:val="24"/>
        </w:rPr>
      </w:pPr>
      <w:r>
        <w:rPr>
          <w:rFonts w:hint="eastAsia" w:ascii="仿宋" w:hAnsi="仿宋" w:eastAsia="仿宋" w:cs="仿宋"/>
          <w:color w:val="auto"/>
          <w:sz w:val="24"/>
        </w:rPr>
        <w:t xml:space="preserve">（2）投标文件未按投标格式中注明需签字盖章的要求进行签名（含电子签名）和加盖电子印章，或签名（含电子签名）或电子印章不完整的。 </w:t>
      </w:r>
    </w:p>
    <w:p w14:paraId="659C73BE">
      <w:pPr>
        <w:spacing w:line="240" w:lineRule="atLeast"/>
        <w:ind w:left="898" w:leftChars="342" w:hanging="180" w:hangingChars="75"/>
        <w:rPr>
          <w:rFonts w:ascii="仿宋" w:hAnsi="仿宋" w:eastAsia="仿宋" w:cs="仿宋"/>
          <w:color w:val="auto"/>
          <w:sz w:val="24"/>
        </w:rPr>
      </w:pPr>
      <w:r>
        <w:rPr>
          <w:rFonts w:hint="eastAsia" w:ascii="仿宋" w:hAnsi="仿宋" w:eastAsia="仿宋" w:cs="仿宋"/>
          <w:color w:val="auto"/>
          <w:sz w:val="24"/>
        </w:rPr>
        <w:t xml:space="preserve">（3）投标文件损坏或格式不正确的。 </w:t>
      </w:r>
    </w:p>
    <w:p w14:paraId="603F8C8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17.4</w:t>
      </w:r>
      <w:r>
        <w:rPr>
          <w:rFonts w:hint="eastAsia" w:ascii="仿宋" w:hAnsi="仿宋" w:eastAsia="仿宋" w:cs="仿宋"/>
          <w:color w:val="auto"/>
          <w:sz w:val="24"/>
        </w:rPr>
        <w:tab/>
      </w:r>
      <w:r>
        <w:rPr>
          <w:rFonts w:hint="eastAsia" w:ascii="仿宋" w:hAnsi="仿宋" w:eastAsia="仿宋" w:cs="仿宋"/>
          <w:color w:val="auto"/>
          <w:sz w:val="24"/>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6D5830C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17.5</w:t>
      </w:r>
      <w:r>
        <w:rPr>
          <w:rFonts w:hint="eastAsia" w:ascii="仿宋" w:hAnsi="仿宋" w:eastAsia="仿宋" w:cs="仿宋"/>
          <w:color w:val="auto"/>
          <w:sz w:val="24"/>
        </w:rPr>
        <w:tab/>
      </w:r>
      <w:r>
        <w:rPr>
          <w:rFonts w:hint="eastAsia" w:ascii="仿宋" w:hAnsi="仿宋" w:eastAsia="仿宋" w:cs="仿宋"/>
          <w:color w:val="auto"/>
          <w:sz w:val="24"/>
        </w:rPr>
        <w:t>在提交投标文件截止时间后，投标人不得补充、修改和更换投标文件。</w:t>
      </w:r>
    </w:p>
    <w:p w14:paraId="702B2F1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17.6   到达开标时间后，投标人需使用上传投标文件的同一数字证书解密，投标人须在采购代理机构规定的时间内完成投标文件解密，投标人因非系统原因导致的逾期未解密投标文件，将作无效投标处理。</w:t>
      </w:r>
    </w:p>
    <w:p w14:paraId="163C33AF">
      <w:pPr>
        <w:pStyle w:val="5"/>
        <w:spacing w:before="0" w:after="0" w:line="240" w:lineRule="atLeast"/>
        <w:jc w:val="center"/>
        <w:rPr>
          <w:rFonts w:ascii="仿宋" w:hAnsi="仿宋" w:eastAsia="仿宋" w:cs="仿宋"/>
          <w:color w:val="auto"/>
          <w:sz w:val="28"/>
          <w:szCs w:val="28"/>
          <w:u w:val="none"/>
        </w:rPr>
      </w:pPr>
      <w:r>
        <w:rPr>
          <w:rFonts w:hint="eastAsia" w:ascii="仿宋" w:hAnsi="仿宋" w:eastAsia="仿宋" w:cs="仿宋"/>
          <w:color w:val="auto"/>
          <w:sz w:val="28"/>
          <w:szCs w:val="28"/>
          <w:u w:val="none"/>
        </w:rPr>
        <w:t>五   开标及评标</w:t>
      </w:r>
      <w:bookmarkEnd w:id="124"/>
      <w:bookmarkEnd w:id="125"/>
      <w:bookmarkEnd w:id="126"/>
      <w:bookmarkEnd w:id="127"/>
      <w:bookmarkEnd w:id="128"/>
      <w:bookmarkEnd w:id="129"/>
    </w:p>
    <w:p w14:paraId="56AAFF6C">
      <w:pPr>
        <w:pStyle w:val="5"/>
        <w:spacing w:before="0" w:after="0" w:line="240" w:lineRule="atLeast"/>
        <w:rPr>
          <w:rFonts w:ascii="仿宋" w:hAnsi="仿宋" w:eastAsia="仿宋" w:cs="仿宋"/>
          <w:color w:val="auto"/>
          <w:u w:val="none"/>
        </w:rPr>
      </w:pPr>
      <w:bookmarkStart w:id="130" w:name="_Toc7186"/>
      <w:bookmarkStart w:id="131" w:name="_Toc520356164"/>
      <w:bookmarkStart w:id="132" w:name="_Toc25345"/>
      <w:bookmarkStart w:id="133" w:name="_Toc515647779"/>
      <w:bookmarkStart w:id="134" w:name="_Toc17257"/>
      <w:r>
        <w:rPr>
          <w:rFonts w:hint="eastAsia" w:ascii="仿宋" w:hAnsi="仿宋" w:eastAsia="仿宋" w:cs="仿宋"/>
          <w:color w:val="auto"/>
          <w:u w:val="none"/>
        </w:rPr>
        <w:t>18.开标</w:t>
      </w:r>
      <w:bookmarkEnd w:id="130"/>
      <w:bookmarkEnd w:id="131"/>
      <w:bookmarkEnd w:id="132"/>
      <w:bookmarkEnd w:id="133"/>
      <w:bookmarkEnd w:id="134"/>
    </w:p>
    <w:p w14:paraId="1BA94A9B">
      <w:pPr>
        <w:numPr>
          <w:ilvl w:val="1"/>
          <w:numId w:val="4"/>
        </w:num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采购人和采购代理机构将按</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中规定的开标时间和地点组织公开开标并邀请所有投标人代表参加。</w:t>
      </w:r>
    </w:p>
    <w:p w14:paraId="52583B03">
      <w:pPr>
        <w:spacing w:line="240" w:lineRule="atLeast"/>
        <w:ind w:left="735" w:leftChars="350" w:firstLine="120" w:firstLineChars="50"/>
        <w:rPr>
          <w:rFonts w:ascii="仿宋" w:hAnsi="仿宋" w:eastAsia="仿宋" w:cs="仿宋"/>
          <w:color w:val="auto"/>
          <w:sz w:val="24"/>
        </w:rPr>
      </w:pPr>
      <w:r>
        <w:rPr>
          <w:rFonts w:hint="eastAsia" w:ascii="仿宋" w:hAnsi="仿宋" w:eastAsia="仿宋" w:cs="仿宋"/>
          <w:color w:val="auto"/>
          <w:sz w:val="24"/>
        </w:rPr>
        <w:t>投标人不足3家的，不得开标。</w:t>
      </w:r>
    </w:p>
    <w:p w14:paraId="4AAB340F">
      <w:pPr>
        <w:numPr>
          <w:ilvl w:val="1"/>
          <w:numId w:val="4"/>
        </w:num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7659393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18.3    采购人或采购代理机构将对开标过程进行记录</w:t>
      </w:r>
      <w:bookmarkStart w:id="135" w:name="_Toc520356165"/>
      <w:r>
        <w:rPr>
          <w:rFonts w:hint="eastAsia" w:ascii="仿宋" w:hAnsi="仿宋" w:eastAsia="仿宋" w:cs="仿宋"/>
          <w:color w:val="auto"/>
          <w:sz w:val="24"/>
        </w:rPr>
        <w:t>，由参加开标的各投标人代表和相关工作人员签字确认，并存档备查。</w:t>
      </w:r>
    </w:p>
    <w:p w14:paraId="58EF33C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18.4    投标人代表对开标过程和开标记录有疑义，以及认为采购人、采购代理机构相关工作人员有需要回避的情形的，应当场提出询问或者回避申请。</w:t>
      </w:r>
    </w:p>
    <w:p w14:paraId="275FE041">
      <w:pPr>
        <w:pStyle w:val="5"/>
        <w:spacing w:before="0" w:after="0" w:line="240" w:lineRule="atLeast"/>
        <w:rPr>
          <w:rFonts w:ascii="仿宋" w:hAnsi="仿宋" w:eastAsia="仿宋" w:cs="仿宋"/>
          <w:color w:val="auto"/>
          <w:u w:val="none"/>
        </w:rPr>
      </w:pPr>
      <w:bookmarkStart w:id="136" w:name="_Toc19296"/>
      <w:bookmarkStart w:id="137" w:name="_Toc515647780"/>
      <w:bookmarkStart w:id="138" w:name="_Toc31290"/>
      <w:bookmarkStart w:id="139" w:name="_Toc21372"/>
      <w:r>
        <w:rPr>
          <w:rFonts w:hint="eastAsia" w:ascii="仿宋" w:hAnsi="仿宋" w:eastAsia="仿宋" w:cs="仿宋"/>
          <w:color w:val="auto"/>
          <w:u w:val="none"/>
        </w:rPr>
        <w:t>19.</w:t>
      </w:r>
      <w:bookmarkEnd w:id="135"/>
      <w:r>
        <w:rPr>
          <w:rFonts w:hint="eastAsia" w:ascii="仿宋" w:hAnsi="仿宋" w:eastAsia="仿宋" w:cs="仿宋"/>
          <w:color w:val="auto"/>
          <w:u w:val="none"/>
        </w:rPr>
        <w:t>资格审查及组建评标委员会</w:t>
      </w:r>
      <w:bookmarkEnd w:id="136"/>
      <w:bookmarkEnd w:id="137"/>
      <w:bookmarkEnd w:id="138"/>
      <w:bookmarkEnd w:id="139"/>
    </w:p>
    <w:p w14:paraId="551BE082">
      <w:pPr>
        <w:spacing w:line="240" w:lineRule="atLeast"/>
        <w:ind w:left="900" w:hanging="900" w:hangingChars="375"/>
        <w:rPr>
          <w:rFonts w:ascii="仿宋" w:hAnsi="仿宋" w:eastAsia="仿宋" w:cs="仿宋"/>
          <w:color w:val="auto"/>
          <w:sz w:val="24"/>
        </w:rPr>
      </w:pPr>
      <w:bookmarkStart w:id="140" w:name="_Toc520356166"/>
      <w:bookmarkStart w:id="141" w:name="_Toc26332"/>
      <w:bookmarkStart w:id="142" w:name="_Toc515647781"/>
      <w:bookmarkStart w:id="143" w:name="_Toc19949"/>
      <w:bookmarkStart w:id="144" w:name="_Toc28479"/>
      <w:r>
        <w:rPr>
          <w:rFonts w:hint="eastAsia" w:ascii="仿宋" w:hAnsi="仿宋" w:eastAsia="仿宋" w:cs="仿宋"/>
          <w:color w:val="auto"/>
          <w:sz w:val="24"/>
        </w:rPr>
        <w:t>19.1   采购人或采购代理机构将在开标后1个小时内查询投标人的信用记录。投标人存在不良信用记录的，其投标将被认定为投标无效。</w:t>
      </w:r>
    </w:p>
    <w:p w14:paraId="6826A38C">
      <w:pPr>
        <w:autoSpaceDE w:val="0"/>
        <w:autoSpaceDN w:val="0"/>
        <w:adjustRightInd w:val="0"/>
        <w:ind w:left="960" w:hanging="960" w:hangingChars="400"/>
        <w:jc w:val="left"/>
        <w:rPr>
          <w:rFonts w:ascii="仿宋" w:hAnsi="仿宋" w:eastAsia="仿宋" w:cs="仿宋"/>
          <w:color w:val="auto"/>
          <w:sz w:val="24"/>
        </w:rPr>
      </w:pPr>
      <w:r>
        <w:rPr>
          <w:rFonts w:hint="eastAsia" w:ascii="仿宋" w:hAnsi="仿宋" w:eastAsia="仿宋" w:cs="仿宋"/>
          <w:color w:val="auto"/>
          <w:sz w:val="24"/>
        </w:rPr>
        <w:t>19.2    不良信用记录指：投标人参加采购活动前三年内，被“信用中国”网站列入失信被执行人和重大税收违法失信主体的、被“中国政府采购网”网站列入政府采购严重违法失信行为记录名单（处罚期限尚未届满的）的供应商；以及存在《中华人民共和国政府采购法实施条例》第十九条规定的行政处罚记录。</w:t>
      </w:r>
    </w:p>
    <w:p w14:paraId="0699E603">
      <w:pPr>
        <w:autoSpaceDE w:val="0"/>
        <w:autoSpaceDN w:val="0"/>
        <w:adjustRightInd w:val="0"/>
        <w:ind w:left="957" w:leftChars="456"/>
        <w:jc w:val="left"/>
        <w:rPr>
          <w:rFonts w:ascii="仿宋" w:hAnsi="仿宋" w:eastAsia="仿宋" w:cs="仿宋"/>
          <w:color w:val="auto"/>
          <w:sz w:val="24"/>
        </w:rPr>
      </w:pPr>
      <w:r>
        <w:rPr>
          <w:rFonts w:hint="eastAsia" w:ascii="仿宋" w:hAnsi="仿宋" w:eastAsia="仿宋" w:cs="仿宋"/>
          <w:color w:val="auto"/>
          <w:sz w:val="24"/>
        </w:rPr>
        <w:t>以联合体形式参加投标的，联合体任何成员存在以上不良信用记录的，联合体投标将被认定为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05C73007">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19.2.1查询及记录方式：采购人或采购代理机构经办人将查询网页打印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14:paraId="23380CBA">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19.3   按照《中华人民共和国政府采购法》、《中华人民共和国政府采购法实施条例》、及本项目本级和上级财政部门的有关规定依法组建的评标委员会，负责评标工作。</w:t>
      </w:r>
      <w:r>
        <w:rPr>
          <w:rFonts w:hint="eastAsia" w:ascii="仿宋" w:hAnsi="仿宋" w:eastAsia="仿宋" w:cs="仿宋"/>
          <w:b/>
          <w:color w:val="auto"/>
          <w:sz w:val="24"/>
        </w:rPr>
        <w:t>本项目评标委员会由5人组成（政采云专家库随机抽取专家5名）。</w:t>
      </w:r>
    </w:p>
    <w:p w14:paraId="6789434D">
      <w:pPr>
        <w:pStyle w:val="5"/>
        <w:spacing w:before="0" w:after="0" w:line="240" w:lineRule="atLeast"/>
        <w:rPr>
          <w:rFonts w:ascii="仿宋" w:hAnsi="仿宋" w:eastAsia="仿宋" w:cs="仿宋"/>
          <w:b w:val="0"/>
          <w:bCs/>
          <w:color w:val="auto"/>
          <w:bdr w:val="single" w:color="auto" w:sz="4" w:space="0"/>
        </w:rPr>
      </w:pPr>
      <w:r>
        <w:rPr>
          <w:rFonts w:hint="eastAsia" w:ascii="仿宋" w:hAnsi="仿宋" w:eastAsia="仿宋" w:cs="仿宋"/>
          <w:color w:val="auto"/>
          <w:u w:val="none"/>
        </w:rPr>
        <w:t>20.投标文件</w:t>
      </w:r>
      <w:bookmarkEnd w:id="140"/>
      <w:r>
        <w:rPr>
          <w:rFonts w:hint="eastAsia" w:ascii="仿宋" w:hAnsi="仿宋" w:eastAsia="仿宋" w:cs="仿宋"/>
          <w:color w:val="auto"/>
          <w:u w:val="none"/>
        </w:rPr>
        <w:t>符合性审查与澄清</w:t>
      </w:r>
      <w:bookmarkEnd w:id="141"/>
      <w:bookmarkEnd w:id="142"/>
      <w:bookmarkEnd w:id="143"/>
      <w:bookmarkEnd w:id="144"/>
    </w:p>
    <w:p w14:paraId="751465CD">
      <w:pPr>
        <w:spacing w:line="240" w:lineRule="atLeast"/>
        <w:ind w:left="900" w:hanging="900" w:hangingChars="375"/>
        <w:rPr>
          <w:rFonts w:ascii="仿宋" w:hAnsi="仿宋" w:eastAsia="仿宋" w:cs="仿宋"/>
          <w:color w:val="auto"/>
          <w:sz w:val="24"/>
        </w:rPr>
      </w:pPr>
      <w:bookmarkStart w:id="145" w:name="_Toc520356167"/>
      <w:r>
        <w:rPr>
          <w:rFonts w:hint="eastAsia" w:ascii="仿宋" w:hAnsi="仿宋" w:eastAsia="仿宋" w:cs="仿宋"/>
          <w:color w:val="auto"/>
          <w:sz w:val="24"/>
        </w:rPr>
        <w:t>20.1   符合性审查是指依据招标文件的规定，从投标文件的有效性和完整性对招标文件的响应程度进行审查，以确定是否对招标文件的实质性要求做出响应。</w:t>
      </w:r>
      <w:bookmarkStart w:id="146" w:name="_Hlt522424701"/>
      <w:bookmarkEnd w:id="146"/>
    </w:p>
    <w:p w14:paraId="60760C8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w:t>
      </w:r>
      <w:r>
        <w:rPr>
          <w:rFonts w:hint="eastAsia" w:ascii="仿宋" w:hAnsi="仿宋" w:eastAsia="仿宋" w:cs="仿宋"/>
          <w:color w:val="auto"/>
          <w:sz w:val="24"/>
        </w:rPr>
        <w:tab/>
      </w:r>
      <w:r>
        <w:rPr>
          <w:rFonts w:hint="eastAsia" w:ascii="仿宋" w:hAnsi="仿宋" w:eastAsia="仿宋" w:cs="仿宋"/>
          <w:color w:val="auto"/>
          <w:sz w:val="24"/>
        </w:rPr>
        <w:t>投标文件的澄清</w:t>
      </w:r>
    </w:p>
    <w:p w14:paraId="010AD4A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9A5922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20.2.2  投标人的的澄清、说明或补正将作为投标文件的一部分。</w:t>
      </w:r>
    </w:p>
    <w:p w14:paraId="33EA2BE6">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20.3  投标文件报价出现前后不一致的，按照下列规定修正：</w:t>
      </w:r>
    </w:p>
    <w:p w14:paraId="32F86FA0">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（一）投标文件中开标一览表（报价表）内容与投标文件中相应内容不一致的，以开标一览表（报价表）为准；</w:t>
      </w:r>
    </w:p>
    <w:p w14:paraId="224A785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（二）大写金额和小写金额不一致的，以大写金额为准；</w:t>
      </w:r>
    </w:p>
    <w:p w14:paraId="7D75F016">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（三）单价金额小数点或者百分比有明显错位的，以开标一览表的总价为准，并修改单价；</w:t>
      </w:r>
    </w:p>
    <w:p w14:paraId="254F648B">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（四）总价金额与按单价汇总金额不一致的，以单价金额计算结果为准。</w:t>
      </w:r>
    </w:p>
    <w:p w14:paraId="42C8C39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6201617F">
      <w:pPr>
        <w:spacing w:line="240" w:lineRule="atLeast"/>
        <w:ind w:left="735" w:leftChars="350" w:firstLine="120" w:firstLineChars="50"/>
        <w:rPr>
          <w:rFonts w:ascii="仿宋" w:hAnsi="仿宋" w:eastAsia="仿宋" w:cs="仿宋"/>
          <w:color w:val="auto"/>
          <w:sz w:val="24"/>
        </w:rPr>
      </w:pPr>
      <w:r>
        <w:rPr>
          <w:rFonts w:hint="eastAsia" w:ascii="仿宋" w:hAnsi="仿宋" w:eastAsia="仿宋" w:cs="仿宋"/>
          <w:color w:val="auto"/>
          <w:sz w:val="24"/>
        </w:rPr>
        <w:t>对不同文字文本投标文件的解释发生异议的，以中文文本为准。</w:t>
      </w:r>
    </w:p>
    <w:p w14:paraId="0F07D557">
      <w:pPr>
        <w:pStyle w:val="5"/>
        <w:spacing w:before="0" w:after="0" w:line="240" w:lineRule="atLeast"/>
        <w:rPr>
          <w:rFonts w:ascii="仿宋" w:hAnsi="仿宋" w:eastAsia="仿宋" w:cs="仿宋"/>
          <w:color w:val="auto"/>
          <w:u w:val="none"/>
        </w:rPr>
      </w:pPr>
      <w:bookmarkStart w:id="147" w:name="_Toc9469"/>
      <w:bookmarkStart w:id="148" w:name="_Toc6364"/>
      <w:bookmarkStart w:id="149" w:name="_Toc18529"/>
      <w:bookmarkStart w:id="150" w:name="_Toc515647782"/>
      <w:r>
        <w:rPr>
          <w:rFonts w:hint="eastAsia" w:ascii="仿宋" w:hAnsi="仿宋" w:eastAsia="仿宋" w:cs="仿宋"/>
          <w:color w:val="auto"/>
          <w:u w:val="none"/>
        </w:rPr>
        <w:t>21.投标偏离</w:t>
      </w:r>
      <w:bookmarkEnd w:id="147"/>
      <w:bookmarkEnd w:id="148"/>
      <w:bookmarkEnd w:id="149"/>
      <w:bookmarkEnd w:id="150"/>
    </w:p>
    <w:p w14:paraId="5DABF7C4">
      <w:pPr>
        <w:spacing w:line="240" w:lineRule="atLeast"/>
        <w:ind w:left="847" w:leftChars="99" w:hanging="640" w:hangingChars="267"/>
        <w:rPr>
          <w:rFonts w:ascii="仿宋" w:hAnsi="仿宋" w:eastAsia="仿宋" w:cs="仿宋"/>
          <w:color w:val="auto"/>
          <w:sz w:val="24"/>
        </w:rPr>
      </w:pPr>
      <w:r>
        <w:rPr>
          <w:rFonts w:hint="eastAsia" w:ascii="仿宋" w:hAnsi="仿宋" w:eastAsia="仿宋" w:cs="仿宋"/>
          <w:color w:val="auto"/>
          <w:sz w:val="24"/>
        </w:rPr>
        <w:t xml:space="preserve">     评标委员会可以接受投标文件中不构成实质性偏离的不正规或不一致。</w:t>
      </w:r>
    </w:p>
    <w:p w14:paraId="62733BEB">
      <w:pPr>
        <w:pStyle w:val="5"/>
        <w:spacing w:before="0" w:after="0" w:line="240" w:lineRule="atLeast"/>
        <w:rPr>
          <w:rFonts w:ascii="仿宋" w:hAnsi="仿宋" w:eastAsia="仿宋" w:cs="仿宋"/>
          <w:color w:val="auto"/>
          <w:u w:val="none"/>
        </w:rPr>
      </w:pPr>
      <w:bookmarkStart w:id="151" w:name="_Toc515647783"/>
      <w:bookmarkStart w:id="152" w:name="_Toc4950"/>
      <w:bookmarkStart w:id="153" w:name="_Toc23936"/>
      <w:bookmarkStart w:id="154" w:name="_Toc6092"/>
      <w:r>
        <w:rPr>
          <w:rFonts w:hint="eastAsia" w:ascii="仿宋" w:hAnsi="仿宋" w:eastAsia="仿宋" w:cs="仿宋"/>
          <w:color w:val="auto"/>
          <w:u w:val="none"/>
        </w:rPr>
        <w:t>22.投标</w:t>
      </w:r>
      <w:bookmarkEnd w:id="151"/>
      <w:r>
        <w:rPr>
          <w:rFonts w:hint="eastAsia" w:ascii="仿宋" w:hAnsi="仿宋" w:eastAsia="仿宋" w:cs="仿宋"/>
          <w:color w:val="auto"/>
          <w:u w:val="none"/>
        </w:rPr>
        <w:t>无效</w:t>
      </w:r>
      <w:bookmarkEnd w:id="152"/>
      <w:bookmarkEnd w:id="153"/>
      <w:bookmarkEnd w:id="154"/>
    </w:p>
    <w:p w14:paraId="7416B0F8">
      <w:pPr>
        <w:spacing w:line="240" w:lineRule="atLeast"/>
        <w:ind w:left="852" w:leftChars="-23" w:hanging="900" w:hangingChars="375"/>
        <w:rPr>
          <w:rFonts w:ascii="仿宋" w:hAnsi="仿宋" w:eastAsia="仿宋" w:cs="仿宋"/>
          <w:color w:val="auto"/>
          <w:sz w:val="24"/>
        </w:rPr>
      </w:pPr>
      <w:r>
        <w:rPr>
          <w:rFonts w:hint="eastAsia" w:ascii="仿宋" w:hAnsi="仿宋" w:eastAsia="仿宋" w:cs="仿宋"/>
          <w:color w:val="auto"/>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rPr>
        <w:t>投标无效</w:t>
      </w:r>
      <w:r>
        <w:rPr>
          <w:rFonts w:hint="eastAsia" w:ascii="仿宋" w:hAnsi="仿宋" w:eastAsia="仿宋" w:cs="仿宋"/>
          <w:color w:val="auto"/>
          <w:sz w:val="24"/>
        </w:rPr>
        <w:t>。投标人不得通过修正或撤销不符合要求的偏离，从而使其投标成为实质上响应的投标。</w:t>
      </w:r>
    </w:p>
    <w:p w14:paraId="042B52AE">
      <w:pPr>
        <w:spacing w:line="240" w:lineRule="atLeast"/>
        <w:ind w:left="791" w:leftChars="377"/>
        <w:rPr>
          <w:rFonts w:ascii="仿宋" w:hAnsi="仿宋" w:eastAsia="仿宋" w:cs="仿宋"/>
          <w:color w:val="auto"/>
          <w:sz w:val="24"/>
        </w:rPr>
      </w:pPr>
      <w:r>
        <w:rPr>
          <w:rFonts w:hint="eastAsia" w:ascii="仿宋" w:hAnsi="仿宋" w:eastAsia="仿宋" w:cs="仿宋"/>
          <w:color w:val="auto"/>
          <w:sz w:val="24"/>
        </w:rPr>
        <w:t>评标委员会决定投标的响应性只根据招标文件要求、投标文件内容及财政主管部门指定相关信息发布媒体。</w:t>
      </w:r>
    </w:p>
    <w:p w14:paraId="0EF93A4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22.2</w:t>
      </w:r>
      <w:r>
        <w:rPr>
          <w:rFonts w:hint="eastAsia" w:ascii="仿宋" w:hAnsi="仿宋" w:eastAsia="仿宋" w:cs="仿宋"/>
          <w:color w:val="auto"/>
          <w:sz w:val="24"/>
        </w:rPr>
        <w:tab/>
      </w:r>
      <w:r>
        <w:rPr>
          <w:rFonts w:hint="eastAsia" w:ascii="仿宋" w:hAnsi="仿宋" w:eastAsia="仿宋" w:cs="仿宋"/>
          <w:color w:val="auto"/>
          <w:sz w:val="24"/>
        </w:rPr>
        <w:t>如发现下列情况之一的，其投标将被认定为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7424DE05">
      <w:pPr>
        <w:numPr>
          <w:ilvl w:val="0"/>
          <w:numId w:val="5"/>
        </w:numPr>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未按招标文件规定的形式和金额提交投标保证金的；</w:t>
      </w:r>
    </w:p>
    <w:p w14:paraId="196639A0">
      <w:pPr>
        <w:numPr>
          <w:ilvl w:val="0"/>
          <w:numId w:val="5"/>
        </w:numPr>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未按照招标文件规定要求签署、盖章的；</w:t>
      </w:r>
    </w:p>
    <w:p w14:paraId="41845E7F">
      <w:pPr>
        <w:numPr>
          <w:ilvl w:val="0"/>
          <w:numId w:val="5"/>
        </w:numPr>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未满足招标文件中技术条款的实质性要求；</w:t>
      </w:r>
    </w:p>
    <w:p w14:paraId="3B54F12F">
      <w:pPr>
        <w:numPr>
          <w:ilvl w:val="0"/>
          <w:numId w:val="5"/>
        </w:numPr>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与其他投标人串通投标，或者与招标人串通投标；</w:t>
      </w:r>
    </w:p>
    <w:p w14:paraId="619044C3">
      <w:pPr>
        <w:numPr>
          <w:ilvl w:val="0"/>
          <w:numId w:val="5"/>
        </w:numPr>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属于招标文件规定的其他投标无效情形；</w:t>
      </w:r>
    </w:p>
    <w:p w14:paraId="7B034739">
      <w:pPr>
        <w:numPr>
          <w:ilvl w:val="0"/>
          <w:numId w:val="5"/>
        </w:numPr>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评标委员会认为投标人的报价明显低于其他通过符合性检查投标人的报价，有可能影响履约的，且投标人未按照规定证明其报价合理性的；</w:t>
      </w:r>
    </w:p>
    <w:p w14:paraId="2A1D1546">
      <w:pPr>
        <w:numPr>
          <w:ilvl w:val="0"/>
          <w:numId w:val="5"/>
        </w:numPr>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投标文件含有采购人不能接受的附加条件的；</w:t>
      </w:r>
    </w:p>
    <w:p w14:paraId="0069DC1A">
      <w:pPr>
        <w:numPr>
          <w:ilvl w:val="0"/>
          <w:numId w:val="5"/>
        </w:numPr>
        <w:tabs>
          <w:tab w:val="left" w:pos="0"/>
        </w:tabs>
        <w:spacing w:line="280" w:lineRule="exact"/>
        <w:ind w:left="1081" w:leftChars="429" w:hanging="181"/>
        <w:rPr>
          <w:rFonts w:ascii="仿宋" w:hAnsi="仿宋" w:eastAsia="仿宋" w:cs="仿宋"/>
          <w:b/>
          <w:bCs/>
          <w:color w:val="auto"/>
          <w:sz w:val="24"/>
        </w:rPr>
      </w:pPr>
      <w:r>
        <w:rPr>
          <w:rFonts w:hint="eastAsia" w:ascii="仿宋" w:hAnsi="仿宋" w:eastAsia="仿宋" w:cs="仿宋"/>
          <w:b/>
          <w:bCs/>
          <w:color w:val="auto"/>
          <w:sz w:val="24"/>
        </w:rPr>
        <w:t>不符合法规和招标文件中规定的其他实质性要求的。</w:t>
      </w:r>
    </w:p>
    <w:p w14:paraId="2853AA2A">
      <w:pPr>
        <w:spacing w:line="240" w:lineRule="atLeast"/>
        <w:rPr>
          <w:rFonts w:ascii="仿宋" w:hAnsi="仿宋" w:eastAsia="仿宋" w:cs="仿宋"/>
          <w:b/>
          <w:bCs/>
          <w:color w:val="auto"/>
          <w:sz w:val="24"/>
        </w:rPr>
      </w:pPr>
      <w:bookmarkStart w:id="155" w:name="_Toc8521"/>
      <w:bookmarkStart w:id="156" w:name="_Toc13652"/>
      <w:bookmarkStart w:id="157" w:name="_Toc22941"/>
      <w:bookmarkStart w:id="158" w:name="_Toc515647784"/>
      <w:r>
        <w:rPr>
          <w:rFonts w:hint="eastAsia" w:ascii="仿宋" w:hAnsi="仿宋" w:eastAsia="仿宋" w:cs="仿宋"/>
          <w:b/>
          <w:bCs/>
          <w:color w:val="auto"/>
          <w:sz w:val="24"/>
        </w:rPr>
        <w:t>23.</w:t>
      </w:r>
      <w:bookmarkEnd w:id="145"/>
      <w:r>
        <w:rPr>
          <w:rFonts w:hint="eastAsia" w:ascii="仿宋" w:hAnsi="仿宋" w:eastAsia="仿宋" w:cs="仿宋"/>
          <w:b/>
          <w:bCs/>
          <w:color w:val="auto"/>
          <w:sz w:val="24"/>
        </w:rPr>
        <w:t>比较与评价</w:t>
      </w:r>
      <w:bookmarkEnd w:id="155"/>
      <w:bookmarkEnd w:id="156"/>
      <w:bookmarkEnd w:id="157"/>
      <w:bookmarkEnd w:id="158"/>
    </w:p>
    <w:p w14:paraId="77427FF9">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23.1</w:t>
      </w:r>
      <w:r>
        <w:rPr>
          <w:rFonts w:hint="eastAsia" w:ascii="仿宋" w:hAnsi="仿宋" w:eastAsia="仿宋" w:cs="仿宋"/>
          <w:color w:val="auto"/>
          <w:sz w:val="24"/>
        </w:rPr>
        <w:tab/>
      </w:r>
      <w:r>
        <w:rPr>
          <w:rFonts w:hint="eastAsia" w:ascii="仿宋" w:hAnsi="仿宋" w:eastAsia="仿宋" w:cs="仿宋"/>
          <w:color w:val="auto"/>
          <w:sz w:val="24"/>
        </w:rPr>
        <w:t>经符合性审查合格的投标文件，评标委员会将根据招标文件确定的评标方法和标准，对其技术部分和商务部分作进一步的比较和评价。</w:t>
      </w:r>
    </w:p>
    <w:p w14:paraId="0C8D6A2E">
      <w:pPr>
        <w:spacing w:line="240" w:lineRule="atLeast"/>
        <w:ind w:left="900" w:hanging="900" w:hangingChars="375"/>
        <w:rPr>
          <w:rFonts w:ascii="仿宋" w:hAnsi="仿宋" w:eastAsia="仿宋" w:cs="仿宋"/>
          <w:b/>
          <w:bCs/>
          <w:color w:val="auto"/>
          <w:sz w:val="24"/>
        </w:rPr>
      </w:pPr>
      <w:r>
        <w:rPr>
          <w:rFonts w:hint="eastAsia" w:ascii="仿宋" w:hAnsi="仿宋" w:eastAsia="仿宋" w:cs="仿宋"/>
          <w:color w:val="auto"/>
          <w:sz w:val="24"/>
        </w:rPr>
        <w:t xml:space="preserve">23.2  </w:t>
      </w:r>
      <w:r>
        <w:rPr>
          <w:rFonts w:hint="eastAsia" w:ascii="仿宋" w:hAnsi="仿宋" w:eastAsia="仿宋" w:cs="仿宋"/>
          <w:color w:val="auto"/>
          <w:sz w:val="24"/>
        </w:rPr>
        <w:tab/>
      </w:r>
      <w:r>
        <w:rPr>
          <w:rFonts w:hint="eastAsia" w:ascii="仿宋" w:hAnsi="仿宋" w:eastAsia="仿宋" w:cs="仿宋"/>
          <w:color w:val="auto"/>
          <w:sz w:val="24"/>
        </w:rPr>
        <w:t>评标严格按照招标文件的要求和条件进行。根据实际情况，在</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中规定采用下列（2）评标方法，详细评标标准见招标文件</w:t>
      </w:r>
      <w:r>
        <w:rPr>
          <w:rFonts w:hint="eastAsia" w:ascii="仿宋" w:hAnsi="仿宋" w:eastAsia="仿宋" w:cs="仿宋"/>
          <w:b/>
          <w:bCs/>
          <w:color w:val="auto"/>
          <w:sz w:val="24"/>
        </w:rPr>
        <w:t>第六章：</w:t>
      </w:r>
    </w:p>
    <w:p w14:paraId="013DFE71">
      <w:pPr>
        <w:spacing w:line="240" w:lineRule="atLeast"/>
        <w:ind w:left="898" w:leftChars="342" w:hanging="180" w:hangingChars="75"/>
        <w:rPr>
          <w:rFonts w:ascii="仿宋" w:hAnsi="仿宋" w:eastAsia="仿宋" w:cs="仿宋"/>
          <w:color w:val="auto"/>
          <w:sz w:val="24"/>
        </w:rPr>
      </w:pPr>
      <w:r>
        <w:rPr>
          <w:rFonts w:hint="eastAsia" w:ascii="仿宋" w:hAnsi="仿宋" w:eastAsia="仿宋" w:cs="仿宋"/>
          <w:color w:val="auto"/>
          <w:sz w:val="24"/>
        </w:rPr>
        <w:t>（1）最低评标价法，是指投标文件满足招标文件全部实质性要求，且投标报价最低的投标人为中标候选人的评标方法。</w:t>
      </w:r>
    </w:p>
    <w:p w14:paraId="11E04C6B">
      <w:pPr>
        <w:spacing w:line="240" w:lineRule="atLeast"/>
        <w:ind w:left="898" w:leftChars="342" w:hanging="180" w:hangingChars="75"/>
        <w:rPr>
          <w:rFonts w:ascii="仿宋" w:hAnsi="仿宋" w:eastAsia="仿宋" w:cs="仿宋"/>
          <w:color w:val="auto"/>
          <w:sz w:val="24"/>
        </w:rPr>
      </w:pPr>
      <w:r>
        <w:rPr>
          <w:rFonts w:hint="eastAsia" w:ascii="仿宋" w:hAnsi="仿宋" w:eastAsia="仿宋" w:cs="仿宋"/>
          <w:color w:val="auto"/>
          <w:sz w:val="24"/>
        </w:rPr>
        <w:t>（2） 综合评分法，是指投标文件满足招标文件全部实质性要求，且按照评审因素的量化指标评审得分最高的投标人为中标候选人的评标方法。</w:t>
      </w:r>
    </w:p>
    <w:p w14:paraId="6D809ABB">
      <w:pPr>
        <w:pStyle w:val="7"/>
        <w:ind w:left="660" w:hanging="660" w:hangingChars="275"/>
        <w:rPr>
          <w:rFonts w:ascii="仿宋" w:hAnsi="仿宋" w:eastAsia="仿宋" w:cs="仿宋"/>
          <w:color w:val="auto"/>
        </w:rPr>
      </w:pPr>
      <w:r>
        <w:rPr>
          <w:rFonts w:hint="eastAsia" w:ascii="仿宋" w:hAnsi="仿宋" w:eastAsia="仿宋" w:cs="仿宋"/>
          <w:color w:val="auto"/>
        </w:rPr>
        <w:t xml:space="preserve">23.3  </w:t>
      </w:r>
      <w:r>
        <w:rPr>
          <w:rFonts w:hint="eastAsia" w:ascii="仿宋" w:hAnsi="仿宋" w:eastAsia="仿宋" w:cs="仿宋"/>
          <w:b/>
          <w:bCs/>
          <w:color w:val="auto"/>
        </w:rPr>
        <w:t>根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color w:val="auto"/>
          <w:u w:val="single"/>
        </w:rPr>
        <w:t xml:space="preserve">  10  %</w:t>
      </w:r>
      <w:r>
        <w:rPr>
          <w:rFonts w:hint="eastAsia" w:ascii="仿宋" w:hAnsi="仿宋" w:eastAsia="仿宋" w:cs="仿宋"/>
          <w:b/>
          <w:bCs/>
          <w:color w:val="auto"/>
        </w:rPr>
        <w:t>后参与评审。对于同时属于小型、微型及小微企业、监狱企业或残疾人福利性单位的，不重复进行报价扣除,具体办法详见招标文件第</w:t>
      </w:r>
      <w:r>
        <w:rPr>
          <w:rFonts w:ascii="仿宋" w:hAnsi="仿宋" w:eastAsia="仿宋" w:cs="仿宋"/>
          <w:b/>
          <w:bCs/>
          <w:color w:val="auto"/>
        </w:rPr>
        <w:t xml:space="preserve">6 </w:t>
      </w:r>
      <w:r>
        <w:rPr>
          <w:rFonts w:hint="eastAsia" w:ascii="仿宋" w:hAnsi="仿宋" w:eastAsia="仿宋" w:cs="仿宋"/>
          <w:b/>
          <w:bCs/>
          <w:color w:val="auto"/>
        </w:rPr>
        <w:t>章。</w:t>
      </w:r>
    </w:p>
    <w:p w14:paraId="0FC0E91A">
      <w:pPr>
        <w:pStyle w:val="5"/>
        <w:spacing w:before="0" w:after="0" w:line="240" w:lineRule="atLeast"/>
        <w:rPr>
          <w:rFonts w:ascii="仿宋" w:hAnsi="仿宋" w:eastAsia="仿宋" w:cs="仿宋"/>
          <w:color w:val="auto"/>
          <w:u w:val="none"/>
        </w:rPr>
      </w:pPr>
      <w:bookmarkStart w:id="159" w:name="_Toc520356168"/>
      <w:bookmarkStart w:id="160" w:name="_Toc20227"/>
      <w:bookmarkStart w:id="161" w:name="_Toc31728"/>
      <w:bookmarkStart w:id="162" w:name="_Toc515647785"/>
      <w:bookmarkStart w:id="163" w:name="_Toc9378"/>
      <w:r>
        <w:rPr>
          <w:rFonts w:hint="eastAsia" w:ascii="仿宋" w:hAnsi="仿宋" w:eastAsia="仿宋" w:cs="仿宋"/>
          <w:color w:val="auto"/>
          <w:u w:val="none"/>
        </w:rPr>
        <w:t>24</w:t>
      </w:r>
      <w:bookmarkEnd w:id="159"/>
      <w:r>
        <w:rPr>
          <w:rFonts w:hint="eastAsia" w:ascii="仿宋" w:hAnsi="仿宋" w:eastAsia="仿宋" w:cs="仿宋"/>
          <w:color w:val="auto"/>
          <w:u w:val="none"/>
        </w:rPr>
        <w:t>.废标</w:t>
      </w:r>
      <w:bookmarkEnd w:id="160"/>
      <w:bookmarkEnd w:id="161"/>
      <w:bookmarkEnd w:id="162"/>
      <w:bookmarkEnd w:id="163"/>
    </w:p>
    <w:p w14:paraId="575CC4E0">
      <w:pPr>
        <w:spacing w:line="240" w:lineRule="atLeast"/>
        <w:ind w:left="897" w:leftChars="399" w:hanging="60" w:hangingChars="25"/>
        <w:rPr>
          <w:rFonts w:ascii="仿宋" w:hAnsi="仿宋" w:eastAsia="仿宋" w:cs="仿宋"/>
          <w:color w:val="auto"/>
          <w:sz w:val="24"/>
        </w:rPr>
      </w:pPr>
      <w:r>
        <w:rPr>
          <w:rFonts w:hint="eastAsia" w:ascii="仿宋" w:hAnsi="仿宋" w:eastAsia="仿宋" w:cs="仿宋"/>
          <w:color w:val="auto"/>
          <w:sz w:val="24"/>
        </w:rPr>
        <w:t xml:space="preserve">出现下列情形之一，将导致项目废标： </w:t>
      </w:r>
    </w:p>
    <w:p w14:paraId="336B86C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（1）符合专业条件的供应商或者对招标文件做实质性响应的供应商不足三家；</w:t>
      </w:r>
    </w:p>
    <w:p w14:paraId="757C8D30">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（2）出现影响采购公正的违法、违规行为的；</w:t>
      </w:r>
    </w:p>
    <w:p w14:paraId="027E271E">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（3）投标人的报价均超过了采购预算，采购人不能支付的；</w:t>
      </w:r>
    </w:p>
    <w:p w14:paraId="5B108443">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 xml:space="preserve">（4）因重大变故，采购任务取消的。   </w:t>
      </w:r>
    </w:p>
    <w:p w14:paraId="06808BF4">
      <w:pPr>
        <w:pStyle w:val="5"/>
        <w:spacing w:before="0" w:after="0" w:line="240" w:lineRule="atLeast"/>
        <w:rPr>
          <w:rFonts w:ascii="仿宋" w:hAnsi="仿宋" w:eastAsia="仿宋" w:cs="仿宋"/>
          <w:color w:val="auto"/>
          <w:u w:val="none"/>
        </w:rPr>
      </w:pPr>
      <w:bookmarkStart w:id="164" w:name="_Toc515647786"/>
      <w:bookmarkStart w:id="165" w:name="_Toc31289"/>
      <w:bookmarkStart w:id="166" w:name="_Toc24972"/>
      <w:bookmarkStart w:id="167" w:name="_Toc11175"/>
      <w:bookmarkStart w:id="168" w:name="_Toc520356169"/>
      <w:r>
        <w:rPr>
          <w:rFonts w:hint="eastAsia" w:ascii="仿宋" w:hAnsi="仿宋" w:eastAsia="仿宋" w:cs="仿宋"/>
          <w:color w:val="auto"/>
          <w:u w:val="none"/>
        </w:rPr>
        <w:t>25.保mi原则</w:t>
      </w:r>
      <w:bookmarkEnd w:id="164"/>
      <w:bookmarkEnd w:id="165"/>
      <w:bookmarkEnd w:id="166"/>
      <w:bookmarkEnd w:id="167"/>
    </w:p>
    <w:p w14:paraId="5A2755D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25.1</w:t>
      </w:r>
      <w:r>
        <w:rPr>
          <w:rFonts w:hint="eastAsia" w:ascii="仿宋" w:hAnsi="仿宋" w:eastAsia="仿宋" w:cs="仿宋"/>
          <w:color w:val="auto"/>
          <w:sz w:val="24"/>
        </w:rPr>
        <w:tab/>
      </w:r>
      <w:r>
        <w:rPr>
          <w:rFonts w:hint="eastAsia" w:ascii="仿宋" w:hAnsi="仿宋" w:eastAsia="仿宋" w:cs="仿宋"/>
          <w:color w:val="auto"/>
          <w:sz w:val="24"/>
        </w:rPr>
        <w:t>评标将在严格保mi的情况下进行。</w:t>
      </w:r>
    </w:p>
    <w:p w14:paraId="0CB894D0">
      <w:pPr>
        <w:spacing w:line="240" w:lineRule="atLeast"/>
        <w:ind w:left="900" w:hanging="900" w:hangingChars="375"/>
        <w:rPr>
          <w:rFonts w:ascii="宋体" w:hAnsi="宋体" w:cs="宋体"/>
          <w:color w:val="auto"/>
          <w:sz w:val="24"/>
        </w:rPr>
      </w:pPr>
      <w:r>
        <w:rPr>
          <w:rFonts w:hint="eastAsia" w:ascii="仿宋" w:hAnsi="仿宋" w:eastAsia="仿宋" w:cs="仿宋"/>
          <w:color w:val="auto"/>
          <w:sz w:val="24"/>
        </w:rPr>
        <w:t>25.2</w:t>
      </w:r>
      <w:r>
        <w:rPr>
          <w:rFonts w:hint="eastAsia" w:ascii="仿宋" w:hAnsi="仿宋" w:eastAsia="仿宋" w:cs="仿宋"/>
          <w:color w:val="auto"/>
          <w:sz w:val="24"/>
        </w:rPr>
        <w:tab/>
      </w:r>
      <w:r>
        <w:rPr>
          <w:rFonts w:hint="eastAsia" w:ascii="仿宋" w:hAnsi="仿宋" w:eastAsia="仿宋" w:cs="仿宋"/>
          <w:color w:val="auto"/>
          <w:sz w:val="24"/>
        </w:rPr>
        <w:t>政府采购评审专家应当遵守评审工作纪律，不得泄露评审文件、评审情况和评审中获悉的商业秘密。</w:t>
      </w:r>
    </w:p>
    <w:p w14:paraId="7D488B05">
      <w:pPr>
        <w:pStyle w:val="4"/>
        <w:spacing w:before="0" w:line="240" w:lineRule="atLeast"/>
        <w:ind w:left="1079" w:leftChars="257" w:hanging="540"/>
        <w:rPr>
          <w:rFonts w:ascii="仿宋" w:hAnsi="仿宋" w:eastAsia="仿宋" w:cs="仿宋"/>
          <w:color w:val="auto"/>
          <w:sz w:val="28"/>
          <w:szCs w:val="28"/>
        </w:rPr>
      </w:pPr>
      <w:bookmarkStart w:id="169" w:name="_Toc23904"/>
      <w:bookmarkStart w:id="170" w:name="_Toc12143"/>
      <w:bookmarkStart w:id="171" w:name="_Toc515647787"/>
      <w:bookmarkStart w:id="172" w:name="_Toc216582810"/>
      <w:bookmarkStart w:id="173" w:name="_Toc2153"/>
      <w:r>
        <w:rPr>
          <w:rFonts w:hint="eastAsia" w:ascii="仿宋" w:hAnsi="仿宋" w:eastAsia="仿宋" w:cs="仿宋"/>
          <w:color w:val="auto"/>
          <w:sz w:val="28"/>
          <w:szCs w:val="28"/>
        </w:rPr>
        <w:t xml:space="preserve">六   </w:t>
      </w:r>
      <w:bookmarkEnd w:id="168"/>
      <w:r>
        <w:rPr>
          <w:rFonts w:hint="eastAsia" w:ascii="仿宋" w:hAnsi="仿宋" w:eastAsia="仿宋" w:cs="仿宋"/>
          <w:color w:val="auto"/>
          <w:sz w:val="28"/>
          <w:szCs w:val="28"/>
        </w:rPr>
        <w:t>确定中标</w:t>
      </w:r>
      <w:bookmarkEnd w:id="169"/>
      <w:bookmarkEnd w:id="170"/>
      <w:bookmarkEnd w:id="171"/>
      <w:bookmarkEnd w:id="172"/>
      <w:bookmarkEnd w:id="173"/>
    </w:p>
    <w:p w14:paraId="7F8C39EA">
      <w:pPr>
        <w:pStyle w:val="5"/>
        <w:spacing w:before="0" w:after="0" w:line="240" w:lineRule="atLeast"/>
        <w:rPr>
          <w:rFonts w:ascii="仿宋" w:hAnsi="仿宋" w:eastAsia="仿宋" w:cs="仿宋"/>
          <w:color w:val="auto"/>
          <w:u w:val="none"/>
        </w:rPr>
      </w:pPr>
      <w:bookmarkStart w:id="174" w:name="_Toc28066"/>
      <w:bookmarkStart w:id="175" w:name="_Toc23617"/>
      <w:bookmarkStart w:id="176" w:name="_Toc515647788"/>
      <w:bookmarkStart w:id="177" w:name="_Ref467307010"/>
      <w:bookmarkStart w:id="178" w:name="_Toc23762"/>
      <w:bookmarkStart w:id="179" w:name="_Toc520356170"/>
      <w:r>
        <w:rPr>
          <w:rFonts w:hint="eastAsia" w:ascii="仿宋" w:hAnsi="仿宋" w:eastAsia="仿宋" w:cs="仿宋"/>
          <w:color w:val="auto"/>
          <w:u w:val="none"/>
        </w:rPr>
        <w:t>26.中标候选人的确定原则及标准</w:t>
      </w:r>
      <w:bookmarkEnd w:id="174"/>
      <w:bookmarkEnd w:id="175"/>
      <w:bookmarkEnd w:id="176"/>
      <w:bookmarkEnd w:id="177"/>
      <w:bookmarkEnd w:id="178"/>
      <w:bookmarkEnd w:id="179"/>
    </w:p>
    <w:p w14:paraId="6324158A">
      <w:pPr>
        <w:spacing w:line="240" w:lineRule="atLeast"/>
        <w:ind w:left="901"/>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除第28条规定外，对实质上响应招标文件的投标人按下列第（2）种方法进行排序，确定投标候选人：</w:t>
      </w:r>
    </w:p>
    <w:p w14:paraId="21B170F8">
      <w:pPr>
        <w:spacing w:line="240" w:lineRule="atLeast"/>
        <w:ind w:left="901"/>
        <w:rPr>
          <w:rFonts w:ascii="仿宋" w:hAnsi="仿宋" w:eastAsia="仿宋" w:cs="仿宋"/>
          <w:color w:val="auto"/>
          <w:sz w:val="24"/>
        </w:rPr>
      </w:pPr>
      <w:bookmarkStart w:id="180" w:name="_Toc520356171"/>
      <w:bookmarkStart w:id="181" w:name="_Toc19950"/>
      <w:bookmarkStart w:id="182" w:name="_Toc23951"/>
      <w:bookmarkStart w:id="183" w:name="_Toc9653"/>
      <w:bookmarkStart w:id="184" w:name="_Toc515647789"/>
      <w:r>
        <w:rPr>
          <w:rFonts w:hint="eastAsia" w:ascii="仿宋" w:hAnsi="仿宋" w:eastAsia="仿宋" w:cs="仿宋"/>
          <w:color w:val="auto"/>
          <w:sz w:val="24"/>
        </w:rPr>
        <w:t>（1）最低评标价法，是指投标文件满足招标文件全部实质性要求，且投标报价最低的投标人为中标候选人的评标方法。</w:t>
      </w:r>
    </w:p>
    <w:p w14:paraId="588E92A8">
      <w:pPr>
        <w:spacing w:line="240" w:lineRule="atLeast"/>
        <w:ind w:left="901"/>
        <w:rPr>
          <w:rFonts w:ascii="仿宋" w:hAnsi="仿宋" w:eastAsia="仿宋" w:cs="仿宋"/>
          <w:b/>
          <w:bCs/>
          <w:color w:val="auto"/>
          <w:sz w:val="24"/>
        </w:rPr>
      </w:pPr>
      <w:r>
        <w:rPr>
          <w:rFonts w:hint="eastAsia" w:ascii="仿宋" w:hAnsi="仿宋" w:eastAsia="仿宋" w:cs="仿宋"/>
          <w:b/>
          <w:bCs/>
          <w:color w:val="auto"/>
          <w:sz w:val="24"/>
        </w:rPr>
        <w:t>（2）综合评分法，是指投标文件满足招标文件全部实质性要求，且按照评审因素的量化指标评审得分最高的投标人为中标候选人的评标方法。</w:t>
      </w:r>
    </w:p>
    <w:p w14:paraId="5DDFE604">
      <w:pPr>
        <w:pStyle w:val="5"/>
        <w:tabs>
          <w:tab w:val="left" w:pos="900"/>
        </w:tabs>
        <w:spacing w:before="0" w:after="0" w:line="240" w:lineRule="atLeast"/>
        <w:rPr>
          <w:rFonts w:ascii="仿宋" w:hAnsi="仿宋" w:eastAsia="仿宋" w:cs="仿宋"/>
          <w:color w:val="auto"/>
          <w:u w:val="none"/>
        </w:rPr>
      </w:pPr>
      <w:r>
        <w:rPr>
          <w:rFonts w:hint="eastAsia" w:ascii="仿宋" w:hAnsi="仿宋" w:eastAsia="仿宋" w:cs="仿宋"/>
          <w:color w:val="auto"/>
          <w:u w:val="none"/>
        </w:rPr>
        <w:t>27</w:t>
      </w:r>
      <w:bookmarkEnd w:id="180"/>
      <w:r>
        <w:rPr>
          <w:rFonts w:hint="eastAsia" w:ascii="仿宋" w:hAnsi="仿宋" w:eastAsia="仿宋" w:cs="仿宋"/>
          <w:color w:val="auto"/>
          <w:u w:val="none"/>
        </w:rPr>
        <w:t>.确定中标候选人和中标人</w:t>
      </w:r>
      <w:bookmarkEnd w:id="181"/>
      <w:bookmarkEnd w:id="182"/>
      <w:bookmarkEnd w:id="183"/>
      <w:bookmarkEnd w:id="184"/>
    </w:p>
    <w:p w14:paraId="52CC30F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评标委员会将根据评标标准，按</w:t>
      </w:r>
      <w:r>
        <w:rPr>
          <w:rFonts w:hint="eastAsia" w:ascii="仿宋" w:hAnsi="仿宋" w:eastAsia="仿宋" w:cs="仿宋"/>
          <w:color w:val="auto"/>
          <w:sz w:val="24"/>
          <w:u w:val="single"/>
        </w:rPr>
        <w:t>投标人须知资料表中</w:t>
      </w:r>
      <w:r>
        <w:rPr>
          <w:rFonts w:hint="eastAsia" w:ascii="仿宋" w:hAnsi="仿宋" w:eastAsia="仿宋" w:cs="仿宋"/>
          <w:color w:val="auto"/>
          <w:sz w:val="24"/>
        </w:rPr>
        <w:t>规定数量推荐中标候选人；或根据采购人的委托，直接确定中标人。</w:t>
      </w:r>
    </w:p>
    <w:p w14:paraId="070D7A13">
      <w:pPr>
        <w:pStyle w:val="5"/>
        <w:tabs>
          <w:tab w:val="left" w:pos="900"/>
        </w:tabs>
        <w:spacing w:before="0" w:after="0" w:line="240" w:lineRule="atLeast"/>
        <w:rPr>
          <w:rFonts w:ascii="仿宋" w:hAnsi="仿宋" w:eastAsia="仿宋" w:cs="仿宋"/>
          <w:color w:val="auto"/>
          <w:u w:val="none"/>
        </w:rPr>
      </w:pPr>
      <w:bookmarkStart w:id="185" w:name="_Ref467306874"/>
      <w:bookmarkStart w:id="186" w:name="_Toc520356173"/>
      <w:bookmarkStart w:id="187" w:name="_Toc28562"/>
      <w:bookmarkStart w:id="188" w:name="_Toc8389"/>
      <w:bookmarkStart w:id="189" w:name="_Toc515647790"/>
      <w:bookmarkStart w:id="190" w:name="_Toc13782"/>
      <w:r>
        <w:rPr>
          <w:rFonts w:hint="eastAsia" w:ascii="仿宋" w:hAnsi="仿宋" w:eastAsia="仿宋" w:cs="仿宋"/>
          <w:color w:val="auto"/>
          <w:u w:val="none"/>
        </w:rPr>
        <w:t>28.</w:t>
      </w:r>
      <w:bookmarkEnd w:id="185"/>
      <w:bookmarkEnd w:id="186"/>
      <w:r>
        <w:rPr>
          <w:rFonts w:hint="eastAsia" w:ascii="仿宋" w:hAnsi="仿宋" w:eastAsia="仿宋" w:cs="仿宋"/>
          <w:color w:val="auto"/>
          <w:u w:val="none"/>
        </w:rPr>
        <w:t>采购任务取消</w:t>
      </w:r>
      <w:bookmarkEnd w:id="187"/>
      <w:bookmarkEnd w:id="188"/>
      <w:bookmarkEnd w:id="189"/>
      <w:bookmarkEnd w:id="190"/>
    </w:p>
    <w:p w14:paraId="27AAD26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因重大变故采购任务取消时，采购人有权拒绝任何投标人中标，且对受影响的投标人不承担任何责任。</w:t>
      </w:r>
      <w:bookmarkStart w:id="191" w:name="_Toc520356174"/>
    </w:p>
    <w:p w14:paraId="787874D3">
      <w:pPr>
        <w:pStyle w:val="5"/>
        <w:spacing w:before="0" w:after="0" w:line="240" w:lineRule="atLeast"/>
        <w:rPr>
          <w:rFonts w:ascii="仿宋" w:hAnsi="仿宋" w:eastAsia="仿宋" w:cs="仿宋"/>
          <w:color w:val="auto"/>
          <w:u w:val="none"/>
        </w:rPr>
      </w:pPr>
      <w:bookmarkStart w:id="192" w:name="_Toc30170"/>
      <w:bookmarkStart w:id="193" w:name="_Toc31099"/>
      <w:bookmarkStart w:id="194" w:name="_Toc515647791"/>
      <w:bookmarkStart w:id="195" w:name="_Toc31142"/>
      <w:r>
        <w:rPr>
          <w:rFonts w:hint="eastAsia" w:ascii="仿宋" w:hAnsi="仿宋" w:eastAsia="仿宋" w:cs="仿宋"/>
          <w:color w:val="auto"/>
          <w:u w:val="none"/>
        </w:rPr>
        <w:t>29.中标通知书</w:t>
      </w:r>
      <w:bookmarkEnd w:id="191"/>
      <w:r>
        <w:rPr>
          <w:rFonts w:hint="eastAsia" w:ascii="仿宋" w:hAnsi="仿宋" w:eastAsia="仿宋" w:cs="仿宋"/>
          <w:color w:val="auto"/>
          <w:u w:val="none"/>
        </w:rPr>
        <w:t>和招标结果通知书</w:t>
      </w:r>
      <w:bookmarkEnd w:id="192"/>
      <w:bookmarkEnd w:id="193"/>
      <w:bookmarkEnd w:id="194"/>
      <w:bookmarkEnd w:id="195"/>
    </w:p>
    <w:p w14:paraId="0E1E6924">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29.1</w:t>
      </w:r>
      <w:r>
        <w:rPr>
          <w:rFonts w:hint="eastAsia" w:ascii="仿宋" w:hAnsi="仿宋" w:eastAsia="仿宋" w:cs="仿宋"/>
          <w:color w:val="auto"/>
          <w:sz w:val="24"/>
        </w:rPr>
        <w:tab/>
      </w:r>
      <w:r>
        <w:rPr>
          <w:rFonts w:hint="eastAsia" w:ascii="仿宋" w:hAnsi="仿宋" w:eastAsia="仿宋" w:cs="仿宋"/>
          <w:color w:val="auto"/>
          <w:sz w:val="24"/>
        </w:rPr>
        <w:t>在投标有效期内，中标人确定后，采购人或者采购代理机构发布中标公告，同时以书面形式向中标人发出中标通知书。</w:t>
      </w:r>
    </w:p>
    <w:p w14:paraId="5446079D">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29.2</w:t>
      </w:r>
      <w:r>
        <w:rPr>
          <w:rFonts w:hint="eastAsia" w:ascii="仿宋" w:hAnsi="仿宋" w:eastAsia="仿宋" w:cs="仿宋"/>
          <w:color w:val="auto"/>
          <w:sz w:val="24"/>
        </w:rPr>
        <w:tab/>
      </w:r>
      <w:r>
        <w:rPr>
          <w:rFonts w:hint="eastAsia" w:ascii="仿宋" w:hAnsi="仿宋" w:eastAsia="仿宋" w:cs="仿宋"/>
          <w:color w:val="auto"/>
          <w:sz w:val="24"/>
        </w:rPr>
        <w:t>中标通知书是合同的组成部分。</w:t>
      </w:r>
    </w:p>
    <w:p w14:paraId="4994316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29.3    招标结果通知书和中标通知书同时发出。招标结果通知书中将告知未通过资格审查的投标人未通过的原因；采用综合评分法评审的，还将告知未中标人本人的评审得分和排序。</w:t>
      </w:r>
    </w:p>
    <w:p w14:paraId="610C373A">
      <w:pPr>
        <w:pStyle w:val="5"/>
        <w:spacing w:before="0" w:after="0" w:line="240" w:lineRule="atLeast"/>
        <w:rPr>
          <w:rFonts w:ascii="仿宋" w:hAnsi="仿宋" w:eastAsia="仿宋" w:cs="仿宋"/>
          <w:color w:val="auto"/>
          <w:u w:val="none"/>
        </w:rPr>
      </w:pPr>
      <w:bookmarkStart w:id="196" w:name="_Ref467307204"/>
      <w:bookmarkStart w:id="197" w:name="_Toc7779"/>
      <w:bookmarkStart w:id="198" w:name="_Ref467306978"/>
      <w:bookmarkStart w:id="199" w:name="_Toc14795"/>
      <w:bookmarkStart w:id="200" w:name="_Toc790"/>
      <w:bookmarkStart w:id="201" w:name="_Toc515647792"/>
      <w:bookmarkStart w:id="202" w:name="_Ref467307062"/>
      <w:bookmarkStart w:id="203" w:name="_Toc520356175"/>
      <w:bookmarkStart w:id="204" w:name="_Ref467306377"/>
      <w:r>
        <w:rPr>
          <w:rFonts w:hint="eastAsia" w:ascii="仿宋" w:hAnsi="仿宋" w:eastAsia="仿宋" w:cs="仿宋"/>
          <w:color w:val="auto"/>
          <w:u w:val="none"/>
        </w:rPr>
        <w:t>30.签订合同</w:t>
      </w:r>
      <w:bookmarkEnd w:id="196"/>
      <w:bookmarkEnd w:id="197"/>
      <w:bookmarkEnd w:id="198"/>
      <w:bookmarkEnd w:id="199"/>
      <w:bookmarkEnd w:id="200"/>
      <w:bookmarkEnd w:id="201"/>
      <w:bookmarkEnd w:id="202"/>
      <w:bookmarkEnd w:id="203"/>
      <w:bookmarkEnd w:id="204"/>
    </w:p>
    <w:p w14:paraId="23D92D03">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30.1</w:t>
      </w:r>
      <w:r>
        <w:rPr>
          <w:rFonts w:hint="eastAsia" w:ascii="仿宋" w:hAnsi="仿宋" w:eastAsia="仿宋" w:cs="仿宋"/>
          <w:color w:val="auto"/>
          <w:sz w:val="24"/>
        </w:rPr>
        <w:tab/>
      </w:r>
      <w:r>
        <w:rPr>
          <w:rFonts w:hint="eastAsia" w:ascii="仿宋" w:hAnsi="仿宋" w:eastAsia="仿宋" w:cs="仿宋"/>
          <w:color w:val="auto"/>
          <w:sz w:val="24"/>
        </w:rPr>
        <w:t>中标人应当自发出中标通知书之日起30日内，与采购人签订合同。</w:t>
      </w:r>
    </w:p>
    <w:p w14:paraId="1D5D802F">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30.2</w:t>
      </w:r>
      <w:r>
        <w:rPr>
          <w:rFonts w:hint="eastAsia" w:ascii="仿宋" w:hAnsi="仿宋" w:eastAsia="仿宋" w:cs="仿宋"/>
          <w:color w:val="auto"/>
          <w:sz w:val="24"/>
        </w:rPr>
        <w:tab/>
      </w:r>
      <w:bookmarkStart w:id="205" w:name="_Ref467306425"/>
      <w:bookmarkStart w:id="206" w:name="_Toc520356176"/>
      <w:bookmarkStart w:id="207" w:name="_Ref467307090"/>
      <w:r>
        <w:rPr>
          <w:rFonts w:hint="eastAsia" w:ascii="仿宋" w:hAnsi="仿宋" w:eastAsia="仿宋" w:cs="仿宋"/>
          <w:color w:val="auto"/>
          <w:sz w:val="24"/>
        </w:rPr>
        <w:t>招标文件、中标人的投标文件及其澄清文件等，均为签订合同的依据。</w:t>
      </w:r>
    </w:p>
    <w:p w14:paraId="18C4D6D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30.3   中标人拒绝与采购人签订合同的，采购人可以按照评审报告推荐的中标候选人名单排序，确定下一中标候选人为中标人，也可以重新开展政府采购活动。</w:t>
      </w:r>
    </w:p>
    <w:p w14:paraId="752B893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30.4   当出现法规规定的</w:t>
      </w:r>
      <w:r>
        <w:rPr>
          <w:rFonts w:hint="eastAsia" w:ascii="仿宋" w:hAnsi="仿宋" w:eastAsia="仿宋" w:cs="仿宋"/>
          <w:b/>
          <w:color w:val="auto"/>
          <w:sz w:val="24"/>
        </w:rPr>
        <w:t>中标无效或中标结果无效</w:t>
      </w:r>
      <w:r>
        <w:rPr>
          <w:rFonts w:hint="eastAsia" w:ascii="仿宋" w:hAnsi="仿宋" w:eastAsia="仿宋" w:cs="仿宋"/>
          <w:color w:val="auto"/>
          <w:sz w:val="24"/>
        </w:rPr>
        <w:t>情形时，采购人可与排名下一位的中标候选人另行签订合同，或依法重新开展采购活动。</w:t>
      </w:r>
    </w:p>
    <w:p w14:paraId="698A597A">
      <w:pPr>
        <w:pStyle w:val="5"/>
        <w:spacing w:before="0" w:after="0" w:line="240" w:lineRule="atLeast"/>
        <w:rPr>
          <w:rFonts w:ascii="仿宋" w:hAnsi="仿宋" w:eastAsia="仿宋" w:cs="仿宋"/>
          <w:color w:val="auto"/>
          <w:u w:val="none"/>
        </w:rPr>
      </w:pPr>
      <w:bookmarkStart w:id="208" w:name="_Toc22555"/>
      <w:bookmarkStart w:id="209" w:name="_Toc515647793"/>
      <w:bookmarkStart w:id="210" w:name="_Toc14080"/>
      <w:bookmarkStart w:id="211" w:name="_Toc7188"/>
      <w:r>
        <w:rPr>
          <w:rFonts w:hint="eastAsia" w:ascii="仿宋" w:hAnsi="仿宋" w:eastAsia="仿宋" w:cs="仿宋"/>
          <w:color w:val="auto"/>
          <w:u w:val="none"/>
        </w:rPr>
        <w:t>31.履约保证金</w:t>
      </w:r>
      <w:bookmarkEnd w:id="205"/>
      <w:bookmarkEnd w:id="206"/>
      <w:bookmarkEnd w:id="207"/>
      <w:bookmarkEnd w:id="208"/>
      <w:bookmarkEnd w:id="209"/>
      <w:bookmarkEnd w:id="210"/>
      <w:bookmarkEnd w:id="211"/>
    </w:p>
    <w:p w14:paraId="2DD9A53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31.1</w:t>
      </w:r>
      <w:r>
        <w:rPr>
          <w:rFonts w:hint="eastAsia" w:ascii="仿宋" w:hAnsi="仿宋" w:eastAsia="仿宋" w:cs="仿宋"/>
          <w:color w:val="auto"/>
          <w:sz w:val="24"/>
        </w:rPr>
        <w:tab/>
      </w:r>
      <w:r>
        <w:rPr>
          <w:rFonts w:hint="eastAsia" w:ascii="仿宋" w:hAnsi="仿宋" w:eastAsia="仿宋" w:cs="仿宋"/>
          <w:color w:val="auto"/>
          <w:sz w:val="24"/>
        </w:rPr>
        <w:t>中标人应按照</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规定向采购人缴纳履约保证金（如采用保函形式，格式见本章附件1）。</w:t>
      </w:r>
    </w:p>
    <w:p w14:paraId="4FB60F2E">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31.2</w:t>
      </w:r>
      <w:r>
        <w:rPr>
          <w:rFonts w:hint="eastAsia" w:ascii="仿宋" w:hAnsi="仿宋" w:eastAsia="仿宋" w:cs="仿宋"/>
          <w:color w:val="auto"/>
          <w:sz w:val="24"/>
        </w:rPr>
        <w:tab/>
      </w:r>
      <w:r>
        <w:rPr>
          <w:rFonts w:hint="eastAsia" w:ascii="仿宋" w:hAnsi="仿宋" w:eastAsia="仿宋" w:cs="仿宋"/>
          <w:color w:val="auto"/>
          <w:sz w:val="24"/>
        </w:rPr>
        <w:t>政府采购利用担保试点范围内的项目，除31.1规定的情形外，中标人也可以按照财政部门的规定，向采购人提供合格的履约担保函（格式见本章附件2）。</w:t>
      </w:r>
    </w:p>
    <w:p w14:paraId="159664E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31.3   如果中标人没有按照上述履约保证金的规定执行，将视为放弃中标资格，中标人的投标保证金将不予退还。在此情况下，采购人可确定下一候选人为中标人，也可以重新开展采购活动。</w:t>
      </w:r>
    </w:p>
    <w:p w14:paraId="7F529EFA">
      <w:pPr>
        <w:pStyle w:val="5"/>
        <w:spacing w:before="0" w:after="0" w:line="240" w:lineRule="atLeast"/>
        <w:rPr>
          <w:rFonts w:ascii="仿宋" w:hAnsi="仿宋" w:eastAsia="仿宋" w:cs="仿宋"/>
          <w:color w:val="auto"/>
          <w:u w:val="none"/>
        </w:rPr>
      </w:pPr>
      <w:bookmarkStart w:id="212" w:name="_Toc3090"/>
      <w:bookmarkStart w:id="213" w:name="_Toc515647794"/>
      <w:bookmarkStart w:id="214" w:name="_Toc29408"/>
      <w:bookmarkStart w:id="215" w:name="_Toc31936"/>
      <w:r>
        <w:rPr>
          <w:rFonts w:hint="eastAsia" w:ascii="仿宋" w:hAnsi="仿宋" w:eastAsia="仿宋" w:cs="仿宋"/>
          <w:color w:val="auto"/>
          <w:u w:val="none"/>
        </w:rPr>
        <w:t>32.中标服务费</w:t>
      </w:r>
      <w:bookmarkEnd w:id="212"/>
      <w:bookmarkEnd w:id="213"/>
      <w:bookmarkEnd w:id="214"/>
      <w:bookmarkEnd w:id="215"/>
    </w:p>
    <w:p w14:paraId="457F335D">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 xml:space="preserve">   中标人须按照</w:t>
      </w:r>
      <w:r>
        <w:rPr>
          <w:rFonts w:hint="eastAsia" w:ascii="仿宋" w:hAnsi="仿宋" w:eastAsia="仿宋" w:cs="仿宋"/>
          <w:color w:val="auto"/>
          <w:sz w:val="24"/>
          <w:u w:val="single"/>
        </w:rPr>
        <w:t>投标须知资料表</w:t>
      </w:r>
      <w:r>
        <w:rPr>
          <w:rFonts w:hint="eastAsia" w:ascii="仿宋" w:hAnsi="仿宋" w:eastAsia="仿宋" w:cs="仿宋"/>
          <w:color w:val="auto"/>
          <w:sz w:val="24"/>
        </w:rPr>
        <w:t>规定，向采购代理机构支付中标服务费。</w:t>
      </w:r>
    </w:p>
    <w:p w14:paraId="7B677F0C">
      <w:pPr>
        <w:pStyle w:val="5"/>
        <w:spacing w:before="0" w:after="0" w:line="240" w:lineRule="atLeast"/>
        <w:rPr>
          <w:rFonts w:ascii="仿宋" w:hAnsi="仿宋" w:eastAsia="仿宋" w:cs="仿宋"/>
          <w:color w:val="auto"/>
          <w:u w:val="none"/>
        </w:rPr>
      </w:pPr>
      <w:bookmarkStart w:id="216" w:name="_Toc13588"/>
      <w:bookmarkStart w:id="217" w:name="_Toc7049"/>
      <w:bookmarkStart w:id="218" w:name="_Toc6923"/>
      <w:bookmarkStart w:id="219" w:name="_Toc515647795"/>
      <w:r>
        <w:rPr>
          <w:rFonts w:hint="eastAsia" w:ascii="仿宋" w:hAnsi="仿宋" w:eastAsia="仿宋" w:cs="仿宋"/>
          <w:color w:val="auto"/>
          <w:u w:val="none"/>
        </w:rPr>
        <w:t>33.政府采购信用担保</w:t>
      </w:r>
      <w:bookmarkEnd w:id="216"/>
      <w:bookmarkEnd w:id="217"/>
      <w:bookmarkEnd w:id="218"/>
      <w:bookmarkEnd w:id="219"/>
    </w:p>
    <w:p w14:paraId="4D871F82">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33.1   本项目是否属于信用担保试点范围见</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w:t>
      </w:r>
    </w:p>
    <w:p w14:paraId="48861E88">
      <w:pPr>
        <w:pStyle w:val="5"/>
        <w:spacing w:before="0" w:after="0" w:line="240" w:lineRule="atLeast"/>
        <w:rPr>
          <w:rFonts w:ascii="仿宋" w:hAnsi="仿宋" w:eastAsia="仿宋" w:cs="仿宋"/>
          <w:color w:val="auto"/>
          <w:u w:val="none"/>
        </w:rPr>
      </w:pPr>
      <w:bookmarkStart w:id="220" w:name="_Toc515647796"/>
      <w:bookmarkStart w:id="221" w:name="_Toc2133"/>
      <w:bookmarkStart w:id="222" w:name="_Toc27198"/>
      <w:bookmarkStart w:id="223" w:name="_Toc23999"/>
      <w:r>
        <w:rPr>
          <w:rFonts w:hint="eastAsia" w:ascii="仿宋" w:hAnsi="仿宋" w:eastAsia="仿宋" w:cs="仿宋"/>
          <w:color w:val="auto"/>
          <w:u w:val="none"/>
        </w:rPr>
        <w:t>34.廉洁自律规定</w:t>
      </w:r>
      <w:bookmarkEnd w:id="220"/>
      <w:bookmarkEnd w:id="221"/>
      <w:bookmarkEnd w:id="222"/>
      <w:bookmarkEnd w:id="223"/>
    </w:p>
    <w:p w14:paraId="033079C8">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34.1   采购代理机构工作人员不得以不正当手段获取政府采购代理业务，不得与采购人、供应商恶意串通操纵政府采购活动。</w:t>
      </w:r>
    </w:p>
    <w:p w14:paraId="535B9511">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34.2   采购代理机构工作人员不得接受采购人或者供应商组织的宴请、旅游、娱乐，不得收受礼品、现金、有价证券等，不得向采购人或者供应商报销应当由个人承担的费用。</w:t>
      </w:r>
    </w:p>
    <w:p w14:paraId="644A3848">
      <w:pPr>
        <w:spacing w:line="240" w:lineRule="atLeast"/>
        <w:ind w:left="900" w:hanging="900" w:hangingChars="375"/>
        <w:rPr>
          <w:rFonts w:ascii="仿宋" w:hAnsi="仿宋" w:eastAsia="仿宋" w:cs="仿宋"/>
          <w:color w:val="auto"/>
        </w:rPr>
      </w:pPr>
      <w:r>
        <w:rPr>
          <w:rFonts w:hint="eastAsia" w:ascii="仿宋" w:hAnsi="仿宋" w:eastAsia="仿宋" w:cs="仿宋"/>
          <w:color w:val="auto"/>
          <w:sz w:val="24"/>
        </w:rPr>
        <w:t>34.3   为强化采购代理机构内部监督机制，供应商可按投标人须知资料表中的监督电话和信箱，反映采购代理机构的廉洁自律等问题。</w:t>
      </w:r>
    </w:p>
    <w:p w14:paraId="77C49399">
      <w:pPr>
        <w:pStyle w:val="5"/>
        <w:spacing w:before="0" w:after="0" w:line="240" w:lineRule="atLeast"/>
        <w:rPr>
          <w:rFonts w:ascii="仿宋" w:hAnsi="仿宋" w:eastAsia="仿宋" w:cs="仿宋"/>
          <w:color w:val="auto"/>
          <w:u w:val="none"/>
        </w:rPr>
      </w:pPr>
      <w:bookmarkStart w:id="224" w:name="_Toc10437"/>
      <w:bookmarkStart w:id="225" w:name="_Toc11586"/>
      <w:bookmarkStart w:id="226" w:name="_Toc25480"/>
      <w:bookmarkStart w:id="227" w:name="_Toc515647797"/>
      <w:r>
        <w:rPr>
          <w:rFonts w:hint="eastAsia" w:ascii="仿宋" w:hAnsi="仿宋" w:eastAsia="仿宋" w:cs="仿宋"/>
          <w:color w:val="auto"/>
          <w:u w:val="none"/>
        </w:rPr>
        <w:t>35.人员回避</w:t>
      </w:r>
      <w:bookmarkEnd w:id="224"/>
      <w:bookmarkEnd w:id="225"/>
      <w:bookmarkEnd w:id="226"/>
      <w:bookmarkEnd w:id="227"/>
    </w:p>
    <w:p w14:paraId="2FE34305">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投标人认为采购人员及其相关人员有法律法规所列与其他供应商有利害关系的，可以向采购人或采购代理机构书面提出回避申请，并说明理由。</w:t>
      </w:r>
    </w:p>
    <w:p w14:paraId="23EA5577">
      <w:pPr>
        <w:pStyle w:val="5"/>
        <w:spacing w:before="0" w:after="0" w:line="240" w:lineRule="atLeast"/>
        <w:rPr>
          <w:rFonts w:ascii="仿宋" w:hAnsi="仿宋" w:eastAsia="仿宋" w:cs="仿宋"/>
          <w:color w:val="auto"/>
          <w:u w:val="none"/>
        </w:rPr>
      </w:pPr>
      <w:bookmarkStart w:id="228" w:name="_Toc1148"/>
      <w:bookmarkStart w:id="229" w:name="_Toc11115"/>
      <w:bookmarkStart w:id="230" w:name="_Toc515647798"/>
      <w:bookmarkStart w:id="231" w:name="_Toc10700"/>
      <w:r>
        <w:rPr>
          <w:rFonts w:hint="eastAsia" w:ascii="仿宋" w:hAnsi="仿宋" w:eastAsia="仿宋" w:cs="仿宋"/>
          <w:color w:val="auto"/>
          <w:u w:val="none"/>
        </w:rPr>
        <w:t>36.质疑与接收</w:t>
      </w:r>
      <w:bookmarkEnd w:id="228"/>
      <w:bookmarkEnd w:id="229"/>
      <w:bookmarkEnd w:id="230"/>
      <w:bookmarkEnd w:id="231"/>
    </w:p>
    <w:p w14:paraId="47825CB9">
      <w:pPr>
        <w:spacing w:line="360" w:lineRule="exact"/>
        <w:ind w:left="720" w:hanging="720" w:hangingChars="300"/>
        <w:rPr>
          <w:rFonts w:ascii="仿宋" w:hAnsi="仿宋" w:eastAsia="仿宋" w:cs="仿宋"/>
          <w:color w:val="auto"/>
          <w:sz w:val="24"/>
        </w:rPr>
      </w:pPr>
      <w:r>
        <w:rPr>
          <w:rFonts w:hint="eastAsia" w:ascii="仿宋" w:hAnsi="仿宋" w:eastAsia="仿宋" w:cs="仿宋"/>
          <w:color w:val="auto"/>
          <w:sz w:val="24"/>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56BA600">
      <w:pPr>
        <w:pStyle w:val="90"/>
        <w:spacing w:line="360" w:lineRule="exact"/>
        <w:ind w:left="720" w:hanging="720" w:hangingChars="300"/>
        <w:rPr>
          <w:rFonts w:ascii="仿宋" w:hAnsi="仿宋" w:eastAsia="仿宋" w:cs="仿宋"/>
          <w:color w:val="auto"/>
        </w:rPr>
      </w:pPr>
      <w:r>
        <w:rPr>
          <w:rFonts w:hint="eastAsia" w:ascii="仿宋" w:hAnsi="仿宋" w:eastAsia="仿宋" w:cs="仿宋"/>
          <w:color w:val="auto"/>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EAF1A2A">
      <w:pPr>
        <w:pStyle w:val="90"/>
        <w:spacing w:line="360" w:lineRule="exact"/>
        <w:ind w:left="720" w:hanging="720" w:hangingChars="300"/>
        <w:rPr>
          <w:rFonts w:ascii="仿宋" w:hAnsi="仿宋" w:eastAsia="仿宋" w:cs="仿宋"/>
          <w:color w:val="auto"/>
        </w:rPr>
      </w:pPr>
      <w:r>
        <w:rPr>
          <w:rFonts w:hint="eastAsia" w:ascii="仿宋" w:hAnsi="仿宋" w:eastAsia="仿宋" w:cs="仿宋"/>
          <w:color w:val="auto"/>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79EC7539">
      <w:pPr>
        <w:spacing w:line="360" w:lineRule="exact"/>
        <w:ind w:left="720" w:hanging="720" w:hangingChars="300"/>
        <w:rPr>
          <w:rFonts w:ascii="仿宋" w:hAnsi="仿宋" w:eastAsia="仿宋" w:cs="仿宋"/>
          <w:color w:val="auto"/>
          <w:sz w:val="24"/>
        </w:rPr>
      </w:pPr>
      <w:r>
        <w:rPr>
          <w:rFonts w:hint="eastAsia" w:ascii="仿宋" w:hAnsi="仿宋" w:eastAsia="仿宋" w:cs="仿宋"/>
          <w:color w:val="auto"/>
          <w:sz w:val="24"/>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5451E40E">
      <w:pPr>
        <w:spacing w:line="360" w:lineRule="exact"/>
        <w:ind w:left="720" w:hanging="720" w:hangingChars="300"/>
        <w:rPr>
          <w:rFonts w:ascii="仿宋" w:hAnsi="仿宋" w:eastAsia="仿宋" w:cs="仿宋"/>
          <w:color w:val="auto"/>
          <w:sz w:val="24"/>
        </w:rPr>
      </w:pPr>
      <w:r>
        <w:rPr>
          <w:rFonts w:hint="eastAsia" w:ascii="仿宋" w:hAnsi="仿宋" w:eastAsia="仿宋" w:cs="仿宋"/>
          <w:color w:val="auto"/>
          <w:sz w:val="24"/>
        </w:rPr>
        <w:t>36.5  采购代理机构质疑函接收部门、联系电话和通讯地址, 见</w:t>
      </w:r>
      <w:r>
        <w:rPr>
          <w:rFonts w:hint="eastAsia" w:ascii="仿宋" w:hAnsi="仿宋" w:eastAsia="仿宋" w:cs="仿宋"/>
          <w:color w:val="auto"/>
          <w:sz w:val="24"/>
          <w:u w:val="single"/>
        </w:rPr>
        <w:t>投标人须知资料表。</w:t>
      </w:r>
    </w:p>
    <w:p w14:paraId="38F37334">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356E16F7">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（一）对可以质疑的采购文件提出质疑的，为收到采购文件之日或者采购文件公告期限届满之日；</w:t>
      </w:r>
    </w:p>
    <w:p w14:paraId="34CE9CD9">
      <w:pPr>
        <w:spacing w:line="360" w:lineRule="exact"/>
        <w:jc w:val="left"/>
        <w:rPr>
          <w:rFonts w:ascii="仿宋" w:hAnsi="仿宋" w:eastAsia="仿宋" w:cs="仿宋"/>
          <w:color w:val="auto"/>
          <w:sz w:val="24"/>
        </w:rPr>
      </w:pPr>
      <w:r>
        <w:rPr>
          <w:rFonts w:hint="eastAsia" w:ascii="仿宋" w:hAnsi="仿宋" w:eastAsia="仿宋" w:cs="仿宋"/>
          <w:color w:val="auto"/>
          <w:sz w:val="24"/>
        </w:rPr>
        <w:t>（二）对采购过程提出质疑的，为各采购程序环节结束之日；</w:t>
      </w:r>
    </w:p>
    <w:p w14:paraId="63F65293">
      <w:pPr>
        <w:spacing w:line="360" w:lineRule="exact"/>
        <w:jc w:val="left"/>
        <w:rPr>
          <w:rFonts w:ascii="仿宋" w:hAnsi="仿宋" w:eastAsia="仿宋" w:cs="仿宋"/>
          <w:color w:val="auto"/>
          <w:sz w:val="24"/>
        </w:rPr>
      </w:pPr>
      <w:r>
        <w:rPr>
          <w:rFonts w:hint="eastAsia" w:ascii="仿宋" w:hAnsi="仿宋" w:eastAsia="仿宋" w:cs="仿宋"/>
          <w:color w:val="auto"/>
          <w:sz w:val="24"/>
        </w:rPr>
        <w:t>（三）对中标结果提出质疑的，为中标结果公告期限届满之日。</w:t>
      </w:r>
    </w:p>
    <w:p w14:paraId="7BCDC651">
      <w:pPr>
        <w:spacing w:line="360" w:lineRule="exact"/>
        <w:jc w:val="left"/>
        <w:rPr>
          <w:rFonts w:ascii="仿宋" w:hAnsi="仿宋" w:eastAsia="仿宋" w:cs="仿宋"/>
          <w:color w:val="auto"/>
          <w:sz w:val="24"/>
        </w:rPr>
      </w:pPr>
      <w:r>
        <w:rPr>
          <w:rFonts w:hint="eastAsia" w:ascii="仿宋" w:hAnsi="仿宋" w:eastAsia="仿宋" w:cs="仿宋"/>
          <w:color w:val="auto"/>
          <w:sz w:val="24"/>
        </w:rPr>
        <w:t>36.7   供应商有权提出一次质疑，不能多次提出。</w:t>
      </w:r>
    </w:p>
    <w:p w14:paraId="263DB9AA">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36.8   对可以质疑的采购文件提出质疑的，质疑人为参与本项目的报价方或潜在报价方。可质疑的文件为采购公告以及采购文件（包括属于其组成部分的澄清、修改、补充文件和评审标准、合同文本等）。</w:t>
      </w:r>
    </w:p>
    <w:p w14:paraId="740E7E42">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0389FEF3">
      <w:pPr>
        <w:spacing w:line="360" w:lineRule="exact"/>
        <w:jc w:val="left"/>
        <w:rPr>
          <w:rFonts w:ascii="仿宋" w:hAnsi="仿宋" w:eastAsia="仿宋" w:cs="仿宋"/>
          <w:color w:val="auto"/>
          <w:sz w:val="24"/>
        </w:rPr>
      </w:pPr>
      <w:r>
        <w:rPr>
          <w:rFonts w:hint="eastAsia" w:ascii="仿宋" w:hAnsi="仿宋" w:eastAsia="仿宋" w:cs="仿宋"/>
          <w:color w:val="auto"/>
          <w:sz w:val="24"/>
        </w:rPr>
        <w:t>36.10  提出质疑应当符合下列条件：</w:t>
      </w:r>
    </w:p>
    <w:p w14:paraId="14290A8A">
      <w:pPr>
        <w:spacing w:line="360" w:lineRule="exact"/>
        <w:jc w:val="left"/>
        <w:rPr>
          <w:rFonts w:ascii="仿宋" w:hAnsi="仿宋" w:eastAsia="仿宋" w:cs="仿宋"/>
          <w:color w:val="auto"/>
          <w:sz w:val="24"/>
        </w:rPr>
      </w:pPr>
      <w:r>
        <w:rPr>
          <w:rFonts w:hint="eastAsia" w:ascii="仿宋" w:hAnsi="仿宋" w:eastAsia="仿宋" w:cs="仿宋"/>
          <w:color w:val="auto"/>
          <w:sz w:val="24"/>
        </w:rPr>
        <w:t>（一）质疑主体应当符合有关规定；</w:t>
      </w:r>
    </w:p>
    <w:p w14:paraId="71243CDF">
      <w:pPr>
        <w:spacing w:line="360" w:lineRule="exact"/>
        <w:jc w:val="left"/>
        <w:rPr>
          <w:rFonts w:ascii="仿宋" w:hAnsi="仿宋" w:eastAsia="仿宋" w:cs="仿宋"/>
          <w:color w:val="auto"/>
          <w:sz w:val="24"/>
        </w:rPr>
      </w:pPr>
      <w:r>
        <w:rPr>
          <w:rFonts w:hint="eastAsia" w:ascii="仿宋" w:hAnsi="仿宋" w:eastAsia="仿宋" w:cs="仿宋"/>
          <w:color w:val="auto"/>
          <w:sz w:val="24"/>
        </w:rPr>
        <w:t>（二）在质疑法定期限内提出；</w:t>
      </w:r>
    </w:p>
    <w:p w14:paraId="662172D5">
      <w:pPr>
        <w:spacing w:line="360" w:lineRule="exact"/>
        <w:jc w:val="left"/>
        <w:rPr>
          <w:rFonts w:ascii="仿宋" w:hAnsi="仿宋" w:eastAsia="仿宋" w:cs="仿宋"/>
          <w:color w:val="auto"/>
          <w:sz w:val="24"/>
        </w:rPr>
      </w:pPr>
      <w:r>
        <w:rPr>
          <w:rFonts w:hint="eastAsia" w:ascii="仿宋" w:hAnsi="仿宋" w:eastAsia="仿宋" w:cs="仿宋"/>
          <w:color w:val="auto"/>
          <w:sz w:val="24"/>
        </w:rPr>
        <w:t>（三）属于可以提出质疑的政府采购事项受理范围和本项目采购人的管辖权范围；</w:t>
      </w:r>
    </w:p>
    <w:p w14:paraId="7544EBDB">
      <w:pPr>
        <w:spacing w:line="360" w:lineRule="exact"/>
        <w:jc w:val="left"/>
        <w:rPr>
          <w:rFonts w:ascii="仿宋" w:hAnsi="仿宋" w:eastAsia="仿宋" w:cs="仿宋"/>
          <w:color w:val="auto"/>
          <w:sz w:val="24"/>
        </w:rPr>
      </w:pPr>
      <w:r>
        <w:rPr>
          <w:rFonts w:hint="eastAsia" w:ascii="仿宋" w:hAnsi="仿宋" w:eastAsia="仿宋" w:cs="仿宋"/>
          <w:color w:val="auto"/>
          <w:sz w:val="24"/>
        </w:rPr>
        <w:t>（四）政府采购法律、法规、规章规定的其他条件。</w:t>
      </w:r>
    </w:p>
    <w:p w14:paraId="3AC86D99">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2376A7C">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36.12  质疑人所提供的证明材料应当具有真实性、合法性以及与质疑事项的关联性和证明力，否则不能作为认定该质疑事项成立的依据。</w:t>
      </w:r>
    </w:p>
    <w:p w14:paraId="5C649A83">
      <w:pPr>
        <w:spacing w:line="360" w:lineRule="exact"/>
        <w:jc w:val="left"/>
        <w:rPr>
          <w:rFonts w:ascii="仿宋" w:hAnsi="仿宋" w:eastAsia="仿宋" w:cs="仿宋"/>
          <w:color w:val="auto"/>
          <w:sz w:val="24"/>
        </w:rPr>
      </w:pPr>
      <w:r>
        <w:rPr>
          <w:rFonts w:hint="eastAsia" w:ascii="仿宋" w:hAnsi="仿宋" w:eastAsia="仿宋" w:cs="仿宋"/>
          <w:color w:val="auto"/>
          <w:sz w:val="24"/>
        </w:rPr>
        <w:t>36.13 质疑人提出质疑时应当提交质疑函。质疑函包括下列内容：</w:t>
      </w:r>
    </w:p>
    <w:p w14:paraId="40276A0C">
      <w:pPr>
        <w:spacing w:line="360" w:lineRule="exact"/>
        <w:jc w:val="left"/>
        <w:rPr>
          <w:rFonts w:ascii="仿宋" w:hAnsi="仿宋" w:eastAsia="仿宋" w:cs="仿宋"/>
          <w:color w:val="auto"/>
          <w:sz w:val="24"/>
        </w:rPr>
      </w:pPr>
      <w:r>
        <w:rPr>
          <w:rFonts w:hint="eastAsia" w:ascii="仿宋" w:hAnsi="仿宋" w:eastAsia="仿宋" w:cs="仿宋"/>
          <w:color w:val="auto"/>
          <w:sz w:val="24"/>
        </w:rPr>
        <w:t>（一）提出质疑的质疑人的名称、地址、邮编、联系人及联系电话等；</w:t>
      </w:r>
    </w:p>
    <w:p w14:paraId="734F66C4">
      <w:pPr>
        <w:spacing w:line="360" w:lineRule="exact"/>
        <w:jc w:val="left"/>
        <w:rPr>
          <w:rFonts w:ascii="仿宋" w:hAnsi="仿宋" w:eastAsia="仿宋" w:cs="仿宋"/>
          <w:color w:val="auto"/>
          <w:sz w:val="24"/>
        </w:rPr>
      </w:pPr>
      <w:r>
        <w:rPr>
          <w:rFonts w:hint="eastAsia" w:ascii="仿宋" w:hAnsi="仿宋" w:eastAsia="仿宋" w:cs="仿宋"/>
          <w:color w:val="auto"/>
          <w:sz w:val="24"/>
        </w:rPr>
        <w:t>（二）质疑项目的名称、编号；</w:t>
      </w:r>
    </w:p>
    <w:p w14:paraId="34B43FC0">
      <w:pPr>
        <w:spacing w:line="360" w:lineRule="exact"/>
        <w:jc w:val="left"/>
        <w:rPr>
          <w:rFonts w:ascii="仿宋" w:hAnsi="仿宋" w:eastAsia="仿宋" w:cs="仿宋"/>
          <w:color w:val="auto"/>
          <w:sz w:val="24"/>
        </w:rPr>
      </w:pPr>
      <w:r>
        <w:rPr>
          <w:rFonts w:hint="eastAsia" w:ascii="仿宋" w:hAnsi="仿宋" w:eastAsia="仿宋" w:cs="仿宋"/>
          <w:color w:val="auto"/>
          <w:sz w:val="24"/>
        </w:rPr>
        <w:t>（三）质疑事项；</w:t>
      </w:r>
    </w:p>
    <w:p w14:paraId="38AC0D93">
      <w:pPr>
        <w:spacing w:line="360" w:lineRule="exact"/>
        <w:jc w:val="left"/>
        <w:rPr>
          <w:rFonts w:ascii="仿宋" w:hAnsi="仿宋" w:eastAsia="仿宋" w:cs="仿宋"/>
          <w:color w:val="auto"/>
          <w:sz w:val="24"/>
        </w:rPr>
      </w:pPr>
      <w:r>
        <w:rPr>
          <w:rFonts w:hint="eastAsia" w:ascii="仿宋" w:hAnsi="仿宋" w:eastAsia="仿宋" w:cs="仿宋"/>
          <w:color w:val="auto"/>
          <w:sz w:val="24"/>
        </w:rPr>
        <w:t>（四）事实依据和证明材料；</w:t>
      </w:r>
    </w:p>
    <w:p w14:paraId="45155D78">
      <w:pPr>
        <w:spacing w:line="360" w:lineRule="exact"/>
        <w:jc w:val="left"/>
        <w:rPr>
          <w:rFonts w:ascii="仿宋" w:hAnsi="仿宋" w:eastAsia="仿宋" w:cs="仿宋"/>
          <w:color w:val="auto"/>
          <w:sz w:val="24"/>
        </w:rPr>
      </w:pPr>
      <w:r>
        <w:rPr>
          <w:rFonts w:hint="eastAsia" w:ascii="仿宋" w:hAnsi="仿宋" w:eastAsia="仿宋" w:cs="仿宋"/>
          <w:color w:val="auto"/>
          <w:sz w:val="24"/>
        </w:rPr>
        <w:t>（五）法律依据；</w:t>
      </w:r>
    </w:p>
    <w:p w14:paraId="7C0BF301">
      <w:pPr>
        <w:spacing w:line="360" w:lineRule="exact"/>
        <w:jc w:val="left"/>
        <w:rPr>
          <w:rFonts w:ascii="仿宋" w:hAnsi="仿宋" w:eastAsia="仿宋" w:cs="仿宋"/>
          <w:color w:val="auto"/>
          <w:sz w:val="24"/>
        </w:rPr>
      </w:pPr>
      <w:r>
        <w:rPr>
          <w:rFonts w:hint="eastAsia" w:ascii="仿宋" w:hAnsi="仿宋" w:eastAsia="仿宋" w:cs="仿宋"/>
          <w:color w:val="auto"/>
          <w:sz w:val="24"/>
        </w:rPr>
        <w:t>（六）提出质疑的日期。</w:t>
      </w:r>
    </w:p>
    <w:p w14:paraId="28391FCC">
      <w:pPr>
        <w:spacing w:line="360" w:lineRule="exact"/>
        <w:ind w:left="718" w:leftChars="342"/>
        <w:jc w:val="left"/>
        <w:rPr>
          <w:rFonts w:ascii="仿宋" w:hAnsi="仿宋" w:eastAsia="仿宋" w:cs="仿宋"/>
          <w:color w:val="auto"/>
          <w:sz w:val="24"/>
        </w:rPr>
      </w:pPr>
      <w:r>
        <w:rPr>
          <w:rFonts w:hint="eastAsia" w:ascii="仿宋" w:hAnsi="仿宋" w:eastAsia="仿宋" w:cs="仿宋"/>
          <w:color w:val="auto"/>
          <w:sz w:val="24"/>
        </w:rPr>
        <w:t>质疑函采用实名制。质疑人为自然人的应当由本人签字，并附有效身份证明文件；质疑人为法人或者非法人组织的应当由法定代表人或者负责人签字并加盖公章，并附有效身份证明文件。</w:t>
      </w:r>
    </w:p>
    <w:p w14:paraId="3B885D0E">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36.14  质疑人可以委托代理人进行质疑。代理人应当提交授权委托书。授权委托书应当载明委托代理的具体权限、期限和相关事项。</w:t>
      </w:r>
    </w:p>
    <w:p w14:paraId="1F9FF1DB">
      <w:pPr>
        <w:spacing w:line="360" w:lineRule="exact"/>
        <w:jc w:val="left"/>
        <w:rPr>
          <w:rFonts w:ascii="仿宋" w:hAnsi="仿宋" w:eastAsia="仿宋" w:cs="仿宋"/>
          <w:color w:val="auto"/>
          <w:sz w:val="24"/>
        </w:rPr>
      </w:pPr>
      <w:r>
        <w:rPr>
          <w:rFonts w:hint="eastAsia" w:ascii="仿宋" w:hAnsi="仿宋" w:eastAsia="仿宋" w:cs="仿宋"/>
          <w:color w:val="auto"/>
          <w:sz w:val="24"/>
        </w:rPr>
        <w:t>36.15  质疑的审查和受理</w:t>
      </w:r>
    </w:p>
    <w:p w14:paraId="079EAEB1">
      <w:pPr>
        <w:spacing w:line="360" w:lineRule="exact"/>
        <w:ind w:left="718" w:leftChars="342"/>
        <w:jc w:val="left"/>
        <w:rPr>
          <w:rFonts w:ascii="仿宋" w:hAnsi="仿宋" w:eastAsia="仿宋" w:cs="仿宋"/>
          <w:color w:val="auto"/>
          <w:sz w:val="24"/>
        </w:rPr>
      </w:pPr>
      <w:r>
        <w:rPr>
          <w:rFonts w:hint="eastAsia" w:ascii="仿宋" w:hAnsi="仿宋" w:eastAsia="仿宋" w:cs="仿宋"/>
          <w:color w:val="auto"/>
          <w:sz w:val="24"/>
        </w:rPr>
        <w:t>采购方在收到质疑函后应当及时审查是否符合质疑受理条件，对符合质疑受理条件的，及时予以受理。</w:t>
      </w:r>
    </w:p>
    <w:p w14:paraId="75F65183">
      <w:pPr>
        <w:spacing w:line="360" w:lineRule="exact"/>
        <w:jc w:val="left"/>
        <w:rPr>
          <w:rFonts w:ascii="仿宋" w:hAnsi="仿宋" w:eastAsia="仿宋" w:cs="仿宋"/>
          <w:color w:val="auto"/>
          <w:sz w:val="24"/>
        </w:rPr>
      </w:pPr>
      <w:r>
        <w:rPr>
          <w:rFonts w:hint="eastAsia" w:ascii="仿宋" w:hAnsi="仿宋" w:eastAsia="仿宋" w:cs="仿宋"/>
          <w:color w:val="auto"/>
          <w:sz w:val="24"/>
        </w:rPr>
        <w:t>36.16  对不符合质疑受理条件的，分别按照下列不同情形予以处理：</w:t>
      </w:r>
    </w:p>
    <w:p w14:paraId="28C6485F">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（一）质疑函内容不符合规定的，告知质疑人进行修改并重新提出质疑。修改后质疑事项仍不具体、不明确或者最终递交质疑函的时间超过质疑法定期限的，不予受理；</w:t>
      </w:r>
    </w:p>
    <w:p w14:paraId="2B513192">
      <w:pPr>
        <w:spacing w:line="360" w:lineRule="exact"/>
        <w:jc w:val="left"/>
        <w:rPr>
          <w:rFonts w:ascii="仿宋" w:hAnsi="仿宋" w:eastAsia="仿宋" w:cs="仿宋"/>
          <w:color w:val="auto"/>
          <w:sz w:val="24"/>
        </w:rPr>
      </w:pPr>
      <w:r>
        <w:rPr>
          <w:rFonts w:hint="eastAsia" w:ascii="仿宋" w:hAnsi="仿宋" w:eastAsia="仿宋" w:cs="仿宋"/>
          <w:color w:val="auto"/>
          <w:sz w:val="24"/>
        </w:rPr>
        <w:t>（二）质疑主体不符合有关规定的，告知质疑人不予受理；</w:t>
      </w:r>
    </w:p>
    <w:p w14:paraId="2A776DDB">
      <w:pPr>
        <w:spacing w:line="360" w:lineRule="exact"/>
        <w:jc w:val="left"/>
        <w:rPr>
          <w:rFonts w:ascii="宋体" w:hAnsi="宋体" w:cs="宋体"/>
          <w:color w:val="auto"/>
          <w:sz w:val="24"/>
        </w:rPr>
      </w:pPr>
      <w:r>
        <w:rPr>
          <w:rFonts w:hint="eastAsia" w:ascii="仿宋" w:hAnsi="仿宋" w:eastAsia="仿宋" w:cs="仿宋"/>
          <w:color w:val="auto"/>
          <w:sz w:val="24"/>
        </w:rPr>
        <w:t>（三）超过质疑法定期限提出质疑的，告知质疑人不予受理；</w:t>
      </w:r>
    </w:p>
    <w:p w14:paraId="7EA819F0">
      <w:pPr>
        <w:spacing w:line="360" w:lineRule="exact"/>
        <w:jc w:val="left"/>
        <w:rPr>
          <w:rFonts w:ascii="仿宋" w:hAnsi="仿宋" w:eastAsia="仿宋" w:cs="仿宋"/>
          <w:color w:val="auto"/>
          <w:sz w:val="24"/>
        </w:rPr>
      </w:pPr>
      <w:r>
        <w:rPr>
          <w:rFonts w:hint="eastAsia" w:ascii="仿宋" w:hAnsi="仿宋" w:eastAsia="仿宋" w:cs="仿宋"/>
          <w:color w:val="auto"/>
          <w:sz w:val="24"/>
        </w:rPr>
        <w:t>（四）对不属于可以提出质疑的政府采购事项提出质疑的，告知质疑人不予受理；</w:t>
      </w:r>
    </w:p>
    <w:p w14:paraId="11B02C60">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（五）质疑不属于本项目采购方管辖的，告知质疑人向有管辖权的采购人提出质疑；</w:t>
      </w:r>
    </w:p>
    <w:p w14:paraId="11D7B0BA">
      <w:pPr>
        <w:spacing w:line="360" w:lineRule="exact"/>
        <w:jc w:val="left"/>
        <w:rPr>
          <w:rFonts w:ascii="仿宋" w:hAnsi="仿宋" w:eastAsia="仿宋" w:cs="仿宋"/>
          <w:color w:val="auto"/>
          <w:sz w:val="24"/>
        </w:rPr>
      </w:pPr>
      <w:r>
        <w:rPr>
          <w:rFonts w:hint="eastAsia" w:ascii="仿宋" w:hAnsi="仿宋" w:eastAsia="仿宋" w:cs="仿宋"/>
          <w:color w:val="auto"/>
          <w:sz w:val="24"/>
        </w:rPr>
        <w:t>（六）质疑不符合其他条件的，告知质疑人不予受理。</w:t>
      </w:r>
    </w:p>
    <w:p w14:paraId="401D9341">
      <w:pPr>
        <w:spacing w:line="360" w:lineRule="exact"/>
        <w:jc w:val="left"/>
        <w:rPr>
          <w:rFonts w:ascii="仿宋" w:hAnsi="仿宋" w:eastAsia="仿宋" w:cs="仿宋"/>
          <w:color w:val="auto"/>
          <w:sz w:val="24"/>
        </w:rPr>
      </w:pPr>
      <w:r>
        <w:rPr>
          <w:rFonts w:hint="eastAsia" w:ascii="仿宋" w:hAnsi="仿宋" w:eastAsia="仿宋" w:cs="仿宋"/>
          <w:color w:val="auto"/>
          <w:sz w:val="24"/>
        </w:rPr>
        <w:t>36.17  质疑的处理和答复</w:t>
      </w:r>
    </w:p>
    <w:p w14:paraId="7F1BBF14">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36.18  采购方受理质疑后，将及时把质疑函发送给被质疑人，并要求其在一定限期内提交书面答复，同时提供有关证据、依据和相关材料。</w:t>
      </w:r>
    </w:p>
    <w:p w14:paraId="144E54E0">
      <w:pPr>
        <w:spacing w:line="360" w:lineRule="exact"/>
        <w:ind w:left="960" w:hanging="960" w:hangingChars="400"/>
        <w:jc w:val="left"/>
        <w:rPr>
          <w:rFonts w:ascii="仿宋" w:hAnsi="仿宋" w:eastAsia="仿宋" w:cs="仿宋"/>
          <w:color w:val="auto"/>
          <w:sz w:val="24"/>
        </w:rPr>
      </w:pPr>
      <w:r>
        <w:rPr>
          <w:rFonts w:hint="eastAsia" w:ascii="仿宋" w:hAnsi="仿宋" w:eastAsia="仿宋" w:cs="仿宋"/>
          <w:color w:val="auto"/>
          <w:sz w:val="24"/>
        </w:rPr>
        <w:t>36.19  对于质疑事项中涉及的问题较多、情况比较复杂的，为了全面查清事实、取得充分的证据，采购方认为有必要时，可以进行调查取证或者组织质证。</w:t>
      </w:r>
    </w:p>
    <w:p w14:paraId="5FFEA811">
      <w:pPr>
        <w:spacing w:line="360" w:lineRule="exact"/>
        <w:ind w:left="960" w:hanging="960" w:hangingChars="400"/>
        <w:jc w:val="left"/>
        <w:rPr>
          <w:rFonts w:ascii="仿宋" w:hAnsi="仿宋" w:eastAsia="仿宋" w:cs="仿宋"/>
          <w:color w:val="auto"/>
          <w:sz w:val="24"/>
        </w:rPr>
      </w:pPr>
      <w:r>
        <w:rPr>
          <w:rFonts w:hint="eastAsia" w:ascii="仿宋" w:hAnsi="仿宋" w:eastAsia="仿宋" w:cs="仿宋"/>
          <w:color w:val="auto"/>
          <w:sz w:val="24"/>
        </w:rPr>
        <w:t>36.20  对评审过程、中标结果提出质疑的，采购方可以组织原评审委员会协助答复质疑。</w:t>
      </w:r>
    </w:p>
    <w:p w14:paraId="2E118BD0">
      <w:pPr>
        <w:spacing w:line="360" w:lineRule="exact"/>
        <w:jc w:val="left"/>
        <w:rPr>
          <w:rFonts w:ascii="仿宋" w:hAnsi="仿宋" w:eastAsia="仿宋" w:cs="仿宋"/>
          <w:color w:val="auto"/>
          <w:sz w:val="24"/>
        </w:rPr>
      </w:pPr>
      <w:r>
        <w:rPr>
          <w:rFonts w:hint="eastAsia" w:ascii="仿宋" w:hAnsi="仿宋" w:eastAsia="仿宋" w:cs="仿宋"/>
          <w:color w:val="auto"/>
          <w:sz w:val="24"/>
        </w:rPr>
        <w:t>36.21  质疑处理过程中，质疑人书面申请撤回质疑的，将终止质疑处理程序。</w:t>
      </w:r>
    </w:p>
    <w:p w14:paraId="3DF349C2">
      <w:pPr>
        <w:spacing w:line="360" w:lineRule="exact"/>
        <w:ind w:left="960" w:hanging="960" w:hangingChars="400"/>
        <w:jc w:val="left"/>
        <w:rPr>
          <w:rFonts w:ascii="仿宋" w:hAnsi="仿宋" w:eastAsia="仿宋" w:cs="仿宋"/>
          <w:color w:val="auto"/>
          <w:sz w:val="24"/>
        </w:rPr>
      </w:pPr>
      <w:r>
        <w:rPr>
          <w:rFonts w:hint="eastAsia" w:ascii="仿宋" w:hAnsi="仿宋" w:eastAsia="仿宋" w:cs="仿宋"/>
          <w:color w:val="auto"/>
          <w:sz w:val="24"/>
        </w:rPr>
        <w:t>36.22  质疑人拒绝配合采购方依法对质疑进行调查处理的，采购方将按质疑人自动撤回质疑处理；被质疑人拒绝配合采购方依法对质疑进行调查处理的，采购方将视同其认可质疑事项。</w:t>
      </w:r>
    </w:p>
    <w:p w14:paraId="2ACC70C7">
      <w:pPr>
        <w:spacing w:line="360" w:lineRule="exact"/>
        <w:ind w:left="720" w:hanging="720" w:hangingChars="300"/>
        <w:jc w:val="left"/>
        <w:rPr>
          <w:rFonts w:ascii="仿宋" w:hAnsi="仿宋" w:eastAsia="仿宋" w:cs="仿宋"/>
          <w:color w:val="auto"/>
          <w:sz w:val="24"/>
        </w:rPr>
      </w:pPr>
      <w:r>
        <w:rPr>
          <w:rFonts w:hint="eastAsia" w:ascii="仿宋" w:hAnsi="仿宋" w:eastAsia="仿宋" w:cs="仿宋"/>
          <w:color w:val="auto"/>
          <w:sz w:val="24"/>
        </w:rPr>
        <w:t>36.23  质疑人拒绝配合采购方依法对质疑进行调查处理的，采购方将按质疑人自动撤回质疑处理；被质疑人拒绝配合采购方依法对质疑进行调查处理的，采购方将视同其认可质疑事项。</w:t>
      </w:r>
    </w:p>
    <w:p w14:paraId="406A997A">
      <w:pPr>
        <w:spacing w:line="360" w:lineRule="exact"/>
        <w:jc w:val="left"/>
        <w:rPr>
          <w:rFonts w:ascii="仿宋" w:hAnsi="仿宋" w:eastAsia="仿宋" w:cs="仿宋"/>
          <w:b/>
          <w:bCs/>
          <w:color w:val="auto"/>
          <w:sz w:val="24"/>
        </w:rPr>
      </w:pPr>
      <w:r>
        <w:rPr>
          <w:rFonts w:hint="eastAsia" w:ascii="仿宋" w:hAnsi="仿宋" w:eastAsia="仿宋" w:cs="仿宋"/>
          <w:color w:val="auto"/>
          <w:sz w:val="24"/>
        </w:rPr>
        <w:t xml:space="preserve">36.24  采购方将在正式受理质疑后7个工作日内作出答复。 </w:t>
      </w:r>
    </w:p>
    <w:p w14:paraId="2B817E81">
      <w:pPr>
        <w:pStyle w:val="90"/>
        <w:spacing w:line="360" w:lineRule="exact"/>
        <w:rPr>
          <w:rFonts w:ascii="仿宋" w:hAnsi="仿宋" w:eastAsia="仿宋" w:cs="仿宋"/>
          <w:color w:val="auto"/>
        </w:rPr>
      </w:pPr>
      <w:r>
        <w:rPr>
          <w:rFonts w:hint="eastAsia" w:ascii="仿宋" w:hAnsi="仿宋" w:eastAsia="仿宋" w:cs="仿宋"/>
          <w:color w:val="auto"/>
        </w:rPr>
        <w:t>36.25 质疑答复应当包括下列内容：</w:t>
      </w:r>
    </w:p>
    <w:p w14:paraId="7A10B059">
      <w:pPr>
        <w:pStyle w:val="90"/>
        <w:spacing w:line="360" w:lineRule="exact"/>
        <w:rPr>
          <w:rFonts w:ascii="仿宋" w:hAnsi="仿宋" w:eastAsia="仿宋" w:cs="仿宋"/>
          <w:color w:val="auto"/>
        </w:rPr>
      </w:pPr>
      <w:r>
        <w:rPr>
          <w:rFonts w:hint="eastAsia" w:ascii="仿宋" w:hAnsi="仿宋" w:eastAsia="仿宋" w:cs="仿宋"/>
          <w:color w:val="auto"/>
        </w:rPr>
        <w:t>（一）质疑人的姓名或者名称；</w:t>
      </w:r>
    </w:p>
    <w:p w14:paraId="10B7792B">
      <w:pPr>
        <w:pStyle w:val="90"/>
        <w:spacing w:line="360" w:lineRule="exact"/>
        <w:rPr>
          <w:rFonts w:ascii="仿宋" w:hAnsi="仿宋" w:eastAsia="仿宋" w:cs="仿宋"/>
          <w:color w:val="auto"/>
        </w:rPr>
      </w:pPr>
      <w:r>
        <w:rPr>
          <w:rFonts w:hint="eastAsia" w:ascii="仿宋" w:hAnsi="仿宋" w:eastAsia="仿宋" w:cs="仿宋"/>
          <w:color w:val="auto"/>
        </w:rPr>
        <w:t>（二）收到质疑函的日期、质疑项目名称及编号；</w:t>
      </w:r>
    </w:p>
    <w:p w14:paraId="5F1413EF">
      <w:pPr>
        <w:pStyle w:val="90"/>
        <w:spacing w:line="360" w:lineRule="exact"/>
        <w:rPr>
          <w:rFonts w:ascii="仿宋" w:hAnsi="仿宋" w:eastAsia="仿宋" w:cs="仿宋"/>
          <w:color w:val="auto"/>
        </w:rPr>
      </w:pPr>
      <w:r>
        <w:rPr>
          <w:rFonts w:hint="eastAsia" w:ascii="仿宋" w:hAnsi="仿宋" w:eastAsia="仿宋" w:cs="仿宋"/>
          <w:color w:val="auto"/>
        </w:rPr>
        <w:t>（三）质疑事项、质疑答复的具体内容、事实依据和法律依据；</w:t>
      </w:r>
    </w:p>
    <w:p w14:paraId="5C91C3C5">
      <w:pPr>
        <w:pStyle w:val="90"/>
        <w:spacing w:line="360" w:lineRule="exact"/>
        <w:rPr>
          <w:rFonts w:ascii="仿宋" w:hAnsi="仿宋" w:eastAsia="仿宋" w:cs="仿宋"/>
          <w:color w:val="auto"/>
        </w:rPr>
      </w:pPr>
      <w:r>
        <w:rPr>
          <w:rFonts w:hint="eastAsia" w:ascii="仿宋" w:hAnsi="仿宋" w:eastAsia="仿宋" w:cs="仿宋"/>
          <w:color w:val="auto"/>
        </w:rPr>
        <w:t>（四）告知质疑供应商依法投诉的权利；</w:t>
      </w:r>
    </w:p>
    <w:p w14:paraId="40DA91FB">
      <w:pPr>
        <w:pStyle w:val="90"/>
        <w:spacing w:line="360" w:lineRule="exact"/>
        <w:rPr>
          <w:rFonts w:ascii="仿宋" w:hAnsi="仿宋" w:eastAsia="仿宋" w:cs="仿宋"/>
          <w:color w:val="auto"/>
        </w:rPr>
      </w:pPr>
      <w:r>
        <w:rPr>
          <w:rFonts w:hint="eastAsia" w:ascii="仿宋" w:hAnsi="仿宋" w:eastAsia="仿宋" w:cs="仿宋"/>
          <w:color w:val="auto"/>
        </w:rPr>
        <w:t>（五）质疑答复人名称；</w:t>
      </w:r>
    </w:p>
    <w:p w14:paraId="7A892644">
      <w:pPr>
        <w:pStyle w:val="90"/>
        <w:spacing w:line="360" w:lineRule="exact"/>
        <w:rPr>
          <w:rFonts w:ascii="仿宋" w:hAnsi="仿宋" w:eastAsia="仿宋" w:cs="仿宋"/>
          <w:color w:val="auto"/>
        </w:rPr>
      </w:pPr>
      <w:r>
        <w:rPr>
          <w:rFonts w:hint="eastAsia" w:ascii="仿宋" w:hAnsi="仿宋" w:eastAsia="仿宋" w:cs="仿宋"/>
          <w:color w:val="auto"/>
        </w:rPr>
        <w:t>（六）答复质疑的日期。</w:t>
      </w:r>
    </w:p>
    <w:p w14:paraId="57ABDC00">
      <w:pPr>
        <w:pStyle w:val="90"/>
        <w:spacing w:line="360" w:lineRule="exact"/>
        <w:rPr>
          <w:rFonts w:ascii="仿宋" w:hAnsi="仿宋" w:eastAsia="仿宋" w:cs="仿宋"/>
          <w:color w:val="auto"/>
        </w:rPr>
      </w:pPr>
    </w:p>
    <w:p w14:paraId="2DFC4658">
      <w:pPr>
        <w:spacing w:line="360" w:lineRule="exact"/>
        <w:jc w:val="center"/>
        <w:outlineLvl w:val="2"/>
        <w:rPr>
          <w:rFonts w:ascii="仿宋" w:hAnsi="仿宋" w:eastAsia="仿宋" w:cs="仿宋"/>
          <w:b/>
          <w:bCs/>
          <w:color w:val="auto"/>
          <w:sz w:val="24"/>
        </w:rPr>
      </w:pPr>
      <w:bookmarkStart w:id="232" w:name="_Toc27096"/>
      <w:bookmarkStart w:id="233" w:name="_Toc5602"/>
      <w:bookmarkStart w:id="234" w:name="_Toc23411"/>
      <w:bookmarkStart w:id="235" w:name="_Toc11973"/>
      <w:bookmarkStart w:id="236" w:name="_Toc2799"/>
      <w:bookmarkStart w:id="237" w:name="_Toc1819"/>
      <w:bookmarkStart w:id="238" w:name="_Toc30093"/>
      <w:bookmarkStart w:id="239" w:name="_Toc27146"/>
      <w:bookmarkStart w:id="240" w:name="_Toc9437"/>
      <w:bookmarkStart w:id="241" w:name="_Toc6493"/>
      <w:bookmarkStart w:id="242" w:name="_Toc16652"/>
      <w:bookmarkStart w:id="243" w:name="_Toc30855"/>
      <w:bookmarkStart w:id="244" w:name="_Toc18518"/>
      <w:bookmarkStart w:id="245" w:name="_Toc1369"/>
      <w:bookmarkStart w:id="246" w:name="_Toc3696"/>
      <w:bookmarkStart w:id="247" w:name="_Toc2500"/>
      <w:bookmarkStart w:id="248" w:name="_Toc27601"/>
      <w:bookmarkStart w:id="249" w:name="_Toc16553"/>
      <w:bookmarkStart w:id="250" w:name="_Toc4981"/>
      <w:bookmarkStart w:id="251" w:name="_Toc2072"/>
      <w:bookmarkStart w:id="252" w:name="_Toc8353"/>
      <w:bookmarkStart w:id="253" w:name="_Toc22908"/>
      <w:bookmarkStart w:id="254" w:name="_Toc25636"/>
      <w:bookmarkStart w:id="255" w:name="_Toc13021"/>
      <w:bookmarkStart w:id="256" w:name="_Toc14742"/>
      <w:bookmarkStart w:id="257" w:name="_Toc24946"/>
      <w:bookmarkStart w:id="258" w:name="_Toc30512"/>
      <w:bookmarkStart w:id="259" w:name="_Toc11297"/>
      <w:bookmarkStart w:id="260" w:name="_Toc12088"/>
      <w:r>
        <w:rPr>
          <w:rFonts w:hint="eastAsia" w:ascii="仿宋" w:hAnsi="仿宋" w:eastAsia="仿宋" w:cs="仿宋"/>
          <w:b/>
          <w:bCs/>
          <w:color w:val="auto"/>
          <w:sz w:val="24"/>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378527C6">
      <w:pPr>
        <w:adjustRightInd w:val="0"/>
        <w:snapToGrid w:val="0"/>
        <w:spacing w:line="360" w:lineRule="exact"/>
        <w:rPr>
          <w:rFonts w:ascii="仿宋" w:hAnsi="仿宋" w:eastAsia="仿宋" w:cs="仿宋"/>
          <w:bCs/>
          <w:color w:val="auto"/>
          <w:sz w:val="24"/>
        </w:rPr>
      </w:pPr>
      <w:r>
        <w:rPr>
          <w:rFonts w:hint="eastAsia" w:ascii="仿宋" w:hAnsi="仿宋" w:eastAsia="仿宋" w:cs="仿宋"/>
          <w:bCs/>
          <w:color w:val="auto"/>
          <w:sz w:val="24"/>
        </w:rPr>
        <w:t>一、质疑供应商基本信息</w:t>
      </w:r>
    </w:p>
    <w:p w14:paraId="5CA2CD29">
      <w:pPr>
        <w:adjustRightInd w:val="0"/>
        <w:snapToGrid w:val="0"/>
        <w:spacing w:line="360" w:lineRule="exact"/>
        <w:rPr>
          <w:rFonts w:ascii="仿宋" w:hAnsi="仿宋" w:eastAsia="仿宋" w:cs="仿宋"/>
          <w:color w:val="auto"/>
          <w:sz w:val="24"/>
          <w:u w:val="dotted"/>
        </w:rPr>
      </w:pPr>
      <w:r>
        <w:rPr>
          <w:rFonts w:hint="eastAsia" w:ascii="仿宋" w:hAnsi="仿宋" w:eastAsia="仿宋" w:cs="仿宋"/>
          <w:color w:val="auto"/>
          <w:sz w:val="24"/>
        </w:rPr>
        <w:t>质疑供应商：</w:t>
      </w:r>
      <w:r>
        <w:rPr>
          <w:rFonts w:hint="eastAsia" w:ascii="仿宋" w:hAnsi="仿宋" w:eastAsia="仿宋" w:cs="仿宋"/>
          <w:color w:val="auto"/>
          <w:sz w:val="24"/>
          <w:u w:val="single"/>
        </w:rPr>
        <w:t xml:space="preserve">                                        </w:t>
      </w:r>
    </w:p>
    <w:p w14:paraId="786DD694">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邮编：</w:t>
      </w:r>
      <w:r>
        <w:rPr>
          <w:rFonts w:hint="eastAsia" w:ascii="仿宋" w:hAnsi="仿宋" w:eastAsia="仿宋" w:cs="仿宋"/>
          <w:color w:val="auto"/>
          <w:sz w:val="24"/>
          <w:u w:val="single"/>
        </w:rPr>
        <w:t xml:space="preserve">                               </w:t>
      </w:r>
      <w:r>
        <w:rPr>
          <w:rFonts w:hint="eastAsia" w:ascii="仿宋" w:hAnsi="仿宋" w:eastAsia="仿宋" w:cs="仿宋"/>
          <w:color w:val="auto"/>
          <w:sz w:val="24"/>
          <w:u w:val="dotted"/>
        </w:rPr>
        <w:t xml:space="preserve">                    </w:t>
      </w:r>
    </w:p>
    <w:p w14:paraId="2B47905A">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p>
    <w:p w14:paraId="5A9C9BA6">
      <w:pPr>
        <w:adjustRightInd w:val="0"/>
        <w:snapToGrid w:val="0"/>
        <w:spacing w:line="360" w:lineRule="exact"/>
        <w:rPr>
          <w:rFonts w:ascii="仿宋" w:hAnsi="仿宋" w:eastAsia="仿宋" w:cs="仿宋"/>
          <w:color w:val="auto"/>
          <w:sz w:val="24"/>
          <w:u w:val="dotted"/>
        </w:rPr>
      </w:pPr>
      <w:r>
        <w:rPr>
          <w:rFonts w:hint="eastAsia" w:ascii="仿宋" w:hAnsi="仿宋" w:eastAsia="仿宋" w:cs="仿宋"/>
          <w:color w:val="auto"/>
          <w:sz w:val="24"/>
        </w:rPr>
        <w:t>授权代表：</w:t>
      </w:r>
      <w:r>
        <w:rPr>
          <w:rFonts w:hint="eastAsia" w:ascii="仿宋" w:hAnsi="仿宋" w:eastAsia="仿宋" w:cs="仿宋"/>
          <w:color w:val="auto"/>
          <w:sz w:val="24"/>
          <w:u w:val="single"/>
        </w:rPr>
        <w:t xml:space="preserve">                                          </w:t>
      </w:r>
    </w:p>
    <w:p w14:paraId="55A9F659">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p>
    <w:p w14:paraId="3835239D">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邮编：</w:t>
      </w:r>
      <w:r>
        <w:rPr>
          <w:rFonts w:hint="eastAsia" w:ascii="仿宋" w:hAnsi="仿宋" w:eastAsia="仿宋" w:cs="仿宋"/>
          <w:color w:val="auto"/>
          <w:sz w:val="24"/>
          <w:u w:val="single"/>
        </w:rPr>
        <w:t xml:space="preserve">                                 </w:t>
      </w:r>
      <w:r>
        <w:rPr>
          <w:rFonts w:hint="eastAsia" w:ascii="仿宋" w:hAnsi="仿宋" w:eastAsia="仿宋" w:cs="仿宋"/>
          <w:color w:val="auto"/>
          <w:sz w:val="24"/>
          <w:u w:val="dotted"/>
        </w:rPr>
        <w:t xml:space="preserve">               </w:t>
      </w:r>
    </w:p>
    <w:p w14:paraId="57586BF8">
      <w:pPr>
        <w:adjustRightInd w:val="0"/>
        <w:snapToGrid w:val="0"/>
        <w:spacing w:line="360" w:lineRule="exact"/>
        <w:rPr>
          <w:rFonts w:ascii="仿宋" w:hAnsi="仿宋" w:eastAsia="仿宋" w:cs="仿宋"/>
          <w:bCs/>
          <w:color w:val="auto"/>
          <w:sz w:val="24"/>
        </w:rPr>
      </w:pPr>
      <w:r>
        <w:rPr>
          <w:rFonts w:hint="eastAsia" w:ascii="仿宋" w:hAnsi="仿宋" w:eastAsia="仿宋" w:cs="仿宋"/>
          <w:bCs/>
          <w:color w:val="auto"/>
          <w:sz w:val="24"/>
        </w:rPr>
        <w:t>二、质疑项目基本情况</w:t>
      </w:r>
    </w:p>
    <w:p w14:paraId="77F787C4">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质疑项目的名称：</w:t>
      </w:r>
      <w:r>
        <w:rPr>
          <w:rFonts w:hint="eastAsia" w:ascii="仿宋" w:hAnsi="仿宋" w:eastAsia="仿宋" w:cs="仿宋"/>
          <w:color w:val="auto"/>
          <w:sz w:val="24"/>
          <w:u w:val="single"/>
        </w:rPr>
        <w:t xml:space="preserve">                                      </w:t>
      </w:r>
    </w:p>
    <w:p w14:paraId="1838E523">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质疑项目的编号：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包号：</w:t>
      </w:r>
      <w:r>
        <w:rPr>
          <w:rFonts w:hint="eastAsia" w:ascii="仿宋" w:hAnsi="仿宋" w:eastAsia="仿宋" w:cs="仿宋"/>
          <w:color w:val="auto"/>
          <w:sz w:val="24"/>
          <w:u w:val="single"/>
        </w:rPr>
        <w:t xml:space="preserve">                 </w:t>
      </w:r>
    </w:p>
    <w:p w14:paraId="653D8AEE">
      <w:pPr>
        <w:adjustRightInd w:val="0"/>
        <w:snapToGrid w:val="0"/>
        <w:spacing w:line="360" w:lineRule="exact"/>
        <w:rPr>
          <w:rFonts w:ascii="仿宋" w:hAnsi="仿宋" w:eastAsia="仿宋" w:cs="仿宋"/>
          <w:color w:val="auto"/>
          <w:sz w:val="24"/>
          <w:u w:val="single"/>
        </w:rPr>
      </w:pPr>
      <w:r>
        <w:rPr>
          <w:rFonts w:hint="eastAsia" w:ascii="仿宋" w:hAnsi="仿宋" w:eastAsia="仿宋" w:cs="仿宋"/>
          <w:color w:val="auto"/>
          <w:sz w:val="24"/>
        </w:rPr>
        <w:t>采购人名称：</w:t>
      </w:r>
      <w:r>
        <w:rPr>
          <w:rFonts w:hint="eastAsia" w:ascii="仿宋" w:hAnsi="仿宋" w:eastAsia="仿宋" w:cs="仿宋"/>
          <w:color w:val="auto"/>
          <w:sz w:val="24"/>
          <w:u w:val="single"/>
        </w:rPr>
        <w:t xml:space="preserve">                                         </w:t>
      </w:r>
    </w:p>
    <w:p w14:paraId="78B8C6D7">
      <w:pPr>
        <w:adjustRightInd w:val="0"/>
        <w:snapToGrid w:val="0"/>
        <w:spacing w:line="360" w:lineRule="exact"/>
        <w:rPr>
          <w:rFonts w:ascii="仿宋" w:hAnsi="仿宋" w:eastAsia="仿宋" w:cs="仿宋"/>
          <w:color w:val="auto"/>
          <w:sz w:val="24"/>
          <w:u w:val="single"/>
        </w:rPr>
      </w:pPr>
      <w:r>
        <w:rPr>
          <w:rFonts w:hint="eastAsia" w:ascii="仿宋" w:hAnsi="仿宋" w:eastAsia="仿宋" w:cs="仿宋"/>
          <w:color w:val="auto"/>
          <w:sz w:val="24"/>
        </w:rPr>
        <w:t>采购文件获取日期：</w:t>
      </w:r>
      <w:r>
        <w:rPr>
          <w:rFonts w:hint="eastAsia" w:ascii="仿宋" w:hAnsi="仿宋" w:eastAsia="仿宋" w:cs="仿宋"/>
          <w:color w:val="auto"/>
          <w:sz w:val="24"/>
          <w:u w:val="single"/>
        </w:rPr>
        <w:t xml:space="preserve">                                           </w:t>
      </w:r>
    </w:p>
    <w:p w14:paraId="3E402802">
      <w:pPr>
        <w:adjustRightInd w:val="0"/>
        <w:snapToGrid w:val="0"/>
        <w:spacing w:line="360" w:lineRule="exact"/>
        <w:rPr>
          <w:rFonts w:ascii="仿宋" w:hAnsi="仿宋" w:eastAsia="仿宋" w:cs="仿宋"/>
          <w:bCs/>
          <w:color w:val="auto"/>
          <w:sz w:val="24"/>
        </w:rPr>
      </w:pPr>
      <w:r>
        <w:rPr>
          <w:rFonts w:hint="eastAsia" w:ascii="仿宋" w:hAnsi="仿宋" w:eastAsia="仿宋" w:cs="仿宋"/>
          <w:bCs/>
          <w:color w:val="auto"/>
          <w:sz w:val="24"/>
        </w:rPr>
        <w:t>三、质疑事项具体内容</w:t>
      </w:r>
    </w:p>
    <w:p w14:paraId="3D8691A9">
      <w:pPr>
        <w:adjustRightInd w:val="0"/>
        <w:snapToGrid w:val="0"/>
        <w:spacing w:line="360" w:lineRule="exact"/>
        <w:rPr>
          <w:rFonts w:ascii="仿宋" w:hAnsi="仿宋" w:eastAsia="仿宋" w:cs="仿宋"/>
          <w:color w:val="auto"/>
          <w:sz w:val="24"/>
          <w:u w:val="dotted"/>
        </w:rPr>
      </w:pPr>
      <w:r>
        <w:rPr>
          <w:rFonts w:hint="eastAsia" w:ascii="仿宋" w:hAnsi="仿宋" w:eastAsia="仿宋" w:cs="仿宋"/>
          <w:color w:val="auto"/>
          <w:sz w:val="24"/>
        </w:rPr>
        <w:t>质疑事项1：</w:t>
      </w:r>
      <w:r>
        <w:rPr>
          <w:rFonts w:hint="eastAsia" w:ascii="仿宋" w:hAnsi="仿宋" w:eastAsia="仿宋" w:cs="仿宋"/>
          <w:color w:val="auto"/>
          <w:sz w:val="24"/>
          <w:u w:val="single"/>
        </w:rPr>
        <w:t xml:space="preserve">                                         </w:t>
      </w:r>
    </w:p>
    <w:p w14:paraId="0E794AC2">
      <w:pPr>
        <w:adjustRightInd w:val="0"/>
        <w:snapToGrid w:val="0"/>
        <w:spacing w:line="360" w:lineRule="exact"/>
        <w:rPr>
          <w:rFonts w:ascii="仿宋" w:hAnsi="仿宋" w:eastAsia="仿宋" w:cs="仿宋"/>
          <w:color w:val="auto"/>
          <w:sz w:val="24"/>
          <w:u w:val="single"/>
        </w:rPr>
      </w:pPr>
      <w:r>
        <w:rPr>
          <w:rFonts w:hint="eastAsia" w:ascii="仿宋" w:hAnsi="仿宋" w:eastAsia="仿宋" w:cs="仿宋"/>
          <w:color w:val="auto"/>
          <w:sz w:val="24"/>
        </w:rPr>
        <w:t>事实依据：</w:t>
      </w:r>
      <w:r>
        <w:rPr>
          <w:rFonts w:hint="eastAsia" w:ascii="仿宋" w:hAnsi="仿宋" w:eastAsia="仿宋" w:cs="仿宋"/>
          <w:color w:val="auto"/>
          <w:sz w:val="24"/>
          <w:u w:val="single"/>
        </w:rPr>
        <w:t xml:space="preserve">                                          </w:t>
      </w:r>
    </w:p>
    <w:p w14:paraId="48A59A33">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u w:val="single"/>
        </w:rPr>
        <w:t xml:space="preserve">                                                       </w:t>
      </w:r>
    </w:p>
    <w:p w14:paraId="32A483A7">
      <w:pPr>
        <w:adjustRightInd w:val="0"/>
        <w:snapToGrid w:val="0"/>
        <w:spacing w:line="360" w:lineRule="exact"/>
        <w:rPr>
          <w:rFonts w:ascii="仿宋" w:hAnsi="仿宋" w:eastAsia="仿宋" w:cs="仿宋"/>
          <w:color w:val="auto"/>
          <w:sz w:val="24"/>
          <w:u w:val="single"/>
        </w:rPr>
      </w:pPr>
      <w:r>
        <w:rPr>
          <w:rFonts w:hint="eastAsia" w:ascii="仿宋" w:hAnsi="仿宋" w:eastAsia="仿宋" w:cs="仿宋"/>
          <w:color w:val="auto"/>
          <w:sz w:val="24"/>
        </w:rPr>
        <w:t>法律依据：</w:t>
      </w:r>
      <w:r>
        <w:rPr>
          <w:rFonts w:hint="eastAsia" w:ascii="仿宋" w:hAnsi="仿宋" w:eastAsia="仿宋" w:cs="仿宋"/>
          <w:color w:val="auto"/>
          <w:sz w:val="24"/>
          <w:u w:val="single"/>
        </w:rPr>
        <w:t xml:space="preserve">                                          </w:t>
      </w:r>
    </w:p>
    <w:p w14:paraId="6384ACD9">
      <w:pPr>
        <w:adjustRightInd w:val="0"/>
        <w:snapToGrid w:val="0"/>
        <w:spacing w:line="360" w:lineRule="exact"/>
        <w:rPr>
          <w:rFonts w:ascii="仿宋" w:hAnsi="仿宋" w:eastAsia="仿宋" w:cs="仿宋"/>
          <w:color w:val="auto"/>
          <w:sz w:val="24"/>
          <w:u w:val="dotted"/>
        </w:rPr>
      </w:pPr>
      <w:r>
        <w:rPr>
          <w:rFonts w:hint="eastAsia" w:ascii="仿宋" w:hAnsi="仿宋" w:eastAsia="仿宋" w:cs="仿宋"/>
          <w:color w:val="auto"/>
          <w:sz w:val="24"/>
          <w:u w:val="single"/>
        </w:rPr>
        <w:t xml:space="preserve">                                                     </w:t>
      </w:r>
    </w:p>
    <w:p w14:paraId="4A4A225E">
      <w:pPr>
        <w:adjustRightInd w:val="0"/>
        <w:snapToGrid w:val="0"/>
        <w:spacing w:line="360" w:lineRule="exact"/>
        <w:rPr>
          <w:rFonts w:ascii="仿宋" w:hAnsi="仿宋" w:eastAsia="仿宋" w:cs="仿宋"/>
          <w:color w:val="auto"/>
          <w:sz w:val="24"/>
          <w:u w:val="dotted"/>
        </w:rPr>
      </w:pPr>
      <w:r>
        <w:rPr>
          <w:rFonts w:hint="eastAsia" w:ascii="仿宋" w:hAnsi="仿宋" w:eastAsia="仿宋" w:cs="仿宋"/>
          <w:color w:val="auto"/>
          <w:sz w:val="24"/>
        </w:rPr>
        <w:t>质疑事项2</w:t>
      </w:r>
    </w:p>
    <w:p w14:paraId="69BAF561">
      <w:pPr>
        <w:adjustRightInd w:val="0"/>
        <w:snapToGrid w:val="0"/>
        <w:spacing w:line="360" w:lineRule="exact"/>
        <w:rPr>
          <w:rFonts w:ascii="仿宋" w:hAnsi="仿宋" w:eastAsia="仿宋" w:cs="仿宋"/>
          <w:color w:val="auto"/>
          <w:sz w:val="24"/>
        </w:rPr>
      </w:pPr>
      <w:r>
        <w:rPr>
          <w:rFonts w:hint="eastAsia" w:ascii="仿宋" w:hAnsi="仿宋" w:eastAsia="仿宋" w:cs="仿宋"/>
          <w:color w:val="auto"/>
          <w:sz w:val="24"/>
        </w:rPr>
        <w:t>……</w:t>
      </w:r>
    </w:p>
    <w:p w14:paraId="69E099C0">
      <w:pPr>
        <w:adjustRightInd w:val="0"/>
        <w:snapToGrid w:val="0"/>
        <w:spacing w:line="360" w:lineRule="exact"/>
        <w:rPr>
          <w:rFonts w:ascii="仿宋" w:hAnsi="仿宋" w:eastAsia="仿宋" w:cs="仿宋"/>
          <w:bCs/>
          <w:color w:val="auto"/>
          <w:sz w:val="24"/>
        </w:rPr>
      </w:pPr>
      <w:r>
        <w:rPr>
          <w:rFonts w:hint="eastAsia" w:ascii="仿宋" w:hAnsi="仿宋" w:eastAsia="仿宋" w:cs="仿宋"/>
          <w:bCs/>
          <w:color w:val="auto"/>
          <w:sz w:val="24"/>
        </w:rPr>
        <w:t>四、与质疑事项相关的质疑请求</w:t>
      </w:r>
    </w:p>
    <w:p w14:paraId="3B590F4B">
      <w:pPr>
        <w:adjustRightInd w:val="0"/>
        <w:snapToGrid w:val="0"/>
        <w:spacing w:line="360" w:lineRule="exact"/>
        <w:rPr>
          <w:rFonts w:ascii="仿宋" w:hAnsi="仿宋" w:eastAsia="仿宋" w:cs="仿宋"/>
          <w:color w:val="auto"/>
          <w:sz w:val="24"/>
          <w:u w:val="single"/>
        </w:rPr>
      </w:pPr>
      <w:r>
        <w:rPr>
          <w:rFonts w:hint="eastAsia" w:ascii="仿宋" w:hAnsi="仿宋" w:eastAsia="仿宋" w:cs="仿宋"/>
          <w:color w:val="auto"/>
          <w:sz w:val="24"/>
        </w:rPr>
        <w:t>请求：</w:t>
      </w:r>
      <w:r>
        <w:rPr>
          <w:rFonts w:hint="eastAsia" w:ascii="仿宋" w:hAnsi="仿宋" w:eastAsia="仿宋" w:cs="仿宋"/>
          <w:color w:val="auto"/>
          <w:sz w:val="24"/>
          <w:u w:val="single"/>
        </w:rPr>
        <w:t xml:space="preserve">                                               </w:t>
      </w:r>
    </w:p>
    <w:p w14:paraId="5A4B4A1E">
      <w:pPr>
        <w:spacing w:line="360" w:lineRule="exact"/>
        <w:rPr>
          <w:rFonts w:ascii="仿宋" w:hAnsi="仿宋" w:eastAsia="仿宋" w:cs="仿宋"/>
          <w:color w:val="auto"/>
          <w:sz w:val="24"/>
        </w:rPr>
      </w:pPr>
      <w:r>
        <w:rPr>
          <w:rFonts w:hint="eastAsia" w:ascii="仿宋" w:hAnsi="仿宋" w:eastAsia="仿宋" w:cs="仿宋"/>
          <w:color w:val="auto"/>
          <w:sz w:val="24"/>
        </w:rPr>
        <w:t xml:space="preserve">签字(签章)：                   公章：                      </w:t>
      </w:r>
    </w:p>
    <w:p w14:paraId="6EB7F8BA">
      <w:pPr>
        <w:spacing w:line="360" w:lineRule="exact"/>
        <w:rPr>
          <w:rFonts w:ascii="仿宋" w:hAnsi="仿宋" w:eastAsia="仿宋" w:cs="仿宋"/>
          <w:color w:val="auto"/>
          <w:sz w:val="24"/>
        </w:rPr>
      </w:pPr>
      <w:r>
        <w:rPr>
          <w:rFonts w:hint="eastAsia" w:ascii="仿宋" w:hAnsi="仿宋" w:eastAsia="仿宋" w:cs="仿宋"/>
          <w:color w:val="auto"/>
          <w:sz w:val="24"/>
        </w:rPr>
        <w:t xml:space="preserve">日期：    </w:t>
      </w:r>
    </w:p>
    <w:p w14:paraId="684EA097">
      <w:pPr>
        <w:spacing w:line="360" w:lineRule="exact"/>
        <w:rPr>
          <w:rFonts w:ascii="仿宋" w:hAnsi="仿宋" w:eastAsia="仿宋" w:cs="仿宋"/>
          <w:b/>
          <w:color w:val="auto"/>
          <w:sz w:val="24"/>
        </w:rPr>
      </w:pPr>
    </w:p>
    <w:p w14:paraId="7ECC13DE">
      <w:pPr>
        <w:spacing w:line="360" w:lineRule="exact"/>
        <w:rPr>
          <w:rFonts w:ascii="仿宋" w:hAnsi="仿宋" w:eastAsia="仿宋" w:cs="仿宋"/>
          <w:b/>
          <w:color w:val="auto"/>
          <w:sz w:val="24"/>
        </w:rPr>
      </w:pPr>
      <w:r>
        <w:rPr>
          <w:rFonts w:hint="eastAsia" w:ascii="仿宋" w:hAnsi="仿宋" w:eastAsia="仿宋" w:cs="仿宋"/>
          <w:b/>
          <w:color w:val="auto"/>
          <w:sz w:val="24"/>
        </w:rPr>
        <w:t>质疑函制作说明：</w:t>
      </w:r>
    </w:p>
    <w:p w14:paraId="5D9D81C0">
      <w:pPr>
        <w:widowControl/>
        <w:spacing w:line="36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14:paraId="6C3D8B0C">
      <w:pPr>
        <w:widowControl/>
        <w:spacing w:line="36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2.质疑供应商若委托代理人进行质疑的，质疑函应按要求列明“授权代表”的有关内容，并在附件中提交由质疑</w:t>
      </w:r>
      <w:r>
        <w:rPr>
          <w:rFonts w:hint="eastAsia" w:ascii="仿宋" w:hAnsi="仿宋" w:eastAsia="仿宋" w:cs="仿宋"/>
          <w:color w:val="auto"/>
          <w:kern w:val="0"/>
          <w:sz w:val="24"/>
        </w:rPr>
        <w:t>供应商签署的授权委托书。授权委托书应载明代理人的姓名或者名称、代理事项、具体权限、期限和相关事项。</w:t>
      </w:r>
    </w:p>
    <w:p w14:paraId="7A4D5840">
      <w:pPr>
        <w:widowControl/>
        <w:spacing w:line="36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14:paraId="2D1D9D53">
      <w:pPr>
        <w:widowControl/>
        <w:spacing w:line="36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14:paraId="0051B26D">
      <w:pPr>
        <w:widowControl/>
        <w:spacing w:line="36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5.质疑函的质疑请求应与质疑事项相关。</w:t>
      </w:r>
    </w:p>
    <w:p w14:paraId="0B1B7EBF">
      <w:pPr>
        <w:widowControl/>
        <w:spacing w:line="36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6.质疑供应商为自然人的，质疑函应由本人签字；质疑供应商为法人或者其他组织的，质疑函应由法定代表人、主要负责人，或者其授权代表签字或者盖章，并加盖公章。</w:t>
      </w:r>
    </w:p>
    <w:p w14:paraId="5B2D7AEA">
      <w:pPr>
        <w:pStyle w:val="4"/>
        <w:spacing w:before="0" w:line="360" w:lineRule="exact"/>
        <w:rPr>
          <w:rFonts w:ascii="仿宋" w:hAnsi="仿宋" w:eastAsia="仿宋" w:cs="仿宋"/>
          <w:color w:val="auto"/>
          <w:szCs w:val="24"/>
        </w:rPr>
      </w:pPr>
      <w:bookmarkStart w:id="261" w:name="_Toc23883"/>
      <w:bookmarkStart w:id="262" w:name="_Toc518923103"/>
      <w:r>
        <w:rPr>
          <w:rFonts w:hint="eastAsia" w:ascii="仿宋" w:hAnsi="仿宋" w:eastAsia="仿宋" w:cs="仿宋"/>
          <w:color w:val="auto"/>
          <w:szCs w:val="24"/>
        </w:rPr>
        <w:t>附件1：履约保证金保函（格式）</w:t>
      </w:r>
      <w:bookmarkEnd w:id="261"/>
      <w:bookmarkEnd w:id="262"/>
    </w:p>
    <w:p w14:paraId="249DF5AE">
      <w:pPr>
        <w:pStyle w:val="15"/>
        <w:spacing w:line="360" w:lineRule="exact"/>
        <w:ind w:left="1079" w:leftChars="257" w:hanging="540"/>
        <w:rPr>
          <w:rFonts w:ascii="仿宋" w:hAnsi="仿宋" w:eastAsia="仿宋" w:cs="仿宋"/>
          <w:b/>
          <w:color w:val="auto"/>
          <w:sz w:val="24"/>
        </w:rPr>
      </w:pPr>
      <w:r>
        <w:rPr>
          <w:rFonts w:hint="eastAsia" w:ascii="仿宋" w:hAnsi="仿宋" w:eastAsia="仿宋" w:cs="仿宋"/>
          <w:b/>
          <w:color w:val="auto"/>
          <w:sz w:val="24"/>
        </w:rPr>
        <w:t xml:space="preserve">                         （中标后开具）</w:t>
      </w:r>
    </w:p>
    <w:p w14:paraId="5204E9BA">
      <w:pPr>
        <w:pStyle w:val="15"/>
        <w:spacing w:line="360" w:lineRule="exact"/>
        <w:ind w:left="1079" w:leftChars="257" w:hanging="540"/>
        <w:rPr>
          <w:rFonts w:ascii="仿宋" w:hAnsi="仿宋" w:eastAsia="仿宋" w:cs="仿宋"/>
          <w:b/>
          <w:color w:val="auto"/>
          <w:sz w:val="24"/>
        </w:rPr>
      </w:pPr>
    </w:p>
    <w:p w14:paraId="3FF95796">
      <w:pPr>
        <w:pStyle w:val="15"/>
        <w:spacing w:line="360" w:lineRule="exact"/>
        <w:rPr>
          <w:rFonts w:ascii="仿宋" w:hAnsi="仿宋" w:eastAsia="仿宋" w:cs="仿宋"/>
          <w:color w:val="auto"/>
          <w:sz w:val="24"/>
        </w:rPr>
      </w:pPr>
      <w:r>
        <w:rPr>
          <w:rFonts w:hint="eastAsia" w:ascii="仿宋" w:hAnsi="仿宋" w:eastAsia="仿宋" w:cs="仿宋"/>
          <w:color w:val="auto"/>
          <w:sz w:val="24"/>
        </w:rPr>
        <w:t>致: (</w:t>
      </w:r>
      <w:r>
        <w:rPr>
          <w:rFonts w:hint="eastAsia" w:ascii="仿宋" w:hAnsi="仿宋" w:eastAsia="仿宋" w:cs="仿宋"/>
          <w:i/>
          <w:color w:val="auto"/>
          <w:sz w:val="24"/>
          <w:u w:val="single"/>
        </w:rPr>
        <w:t>买方名称</w:t>
      </w:r>
      <w:r>
        <w:rPr>
          <w:rFonts w:hint="eastAsia" w:ascii="仿宋" w:hAnsi="仿宋" w:eastAsia="仿宋" w:cs="仿宋"/>
          <w:color w:val="auto"/>
          <w:sz w:val="24"/>
        </w:rPr>
        <w:t>)</w:t>
      </w:r>
    </w:p>
    <w:p w14:paraId="6D95A1E4">
      <w:pPr>
        <w:pStyle w:val="15"/>
        <w:spacing w:line="360" w:lineRule="exact"/>
        <w:ind w:left="1079" w:leftChars="257" w:hanging="540"/>
        <w:jc w:val="cente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号合同履约保函</w:t>
      </w:r>
    </w:p>
    <w:p w14:paraId="6248D1F6">
      <w:pPr>
        <w:pStyle w:val="15"/>
        <w:spacing w:line="360" w:lineRule="exact"/>
        <w:ind w:left="1079" w:leftChars="257" w:hanging="540"/>
        <w:jc w:val="center"/>
        <w:rPr>
          <w:rFonts w:ascii="仿宋" w:hAnsi="仿宋" w:eastAsia="仿宋" w:cs="仿宋"/>
          <w:color w:val="auto"/>
          <w:sz w:val="24"/>
        </w:rPr>
      </w:pPr>
    </w:p>
    <w:p w14:paraId="3F70EDAD">
      <w:pPr>
        <w:pStyle w:val="15"/>
        <w:spacing w:line="360" w:lineRule="exact"/>
        <w:ind w:firstLine="600" w:firstLineChars="250"/>
        <w:rPr>
          <w:rFonts w:ascii="仿宋" w:hAnsi="仿宋" w:eastAsia="仿宋" w:cs="仿宋"/>
          <w:color w:val="auto"/>
          <w:sz w:val="24"/>
        </w:rPr>
      </w:pPr>
      <w:r>
        <w:rPr>
          <w:rFonts w:hint="eastAsia" w:ascii="仿宋" w:hAnsi="仿宋" w:eastAsia="仿宋" w:cs="仿宋"/>
          <w:color w:val="auto"/>
          <w:sz w:val="24"/>
        </w:rPr>
        <w:t>本保函作为贵方与(</w:t>
      </w:r>
      <w:r>
        <w:rPr>
          <w:rFonts w:hint="eastAsia" w:ascii="仿宋" w:hAnsi="仿宋" w:eastAsia="仿宋" w:cs="仿宋"/>
          <w:i/>
          <w:color w:val="auto"/>
          <w:sz w:val="24"/>
          <w:u w:val="single"/>
        </w:rPr>
        <w:t>卖方名称</w:t>
      </w:r>
      <w:r>
        <w:rPr>
          <w:rFonts w:hint="eastAsia" w:ascii="仿宋" w:hAnsi="仿宋" w:eastAsia="仿宋" w:cs="仿宋"/>
          <w:color w:val="auto"/>
          <w:sz w:val="24"/>
        </w:rPr>
        <w:t>)(以下简称卖方)于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日就</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项目(以下简称项目)项下提供(</w:t>
      </w:r>
      <w:r>
        <w:rPr>
          <w:rFonts w:hint="eastAsia" w:ascii="仿宋" w:hAnsi="仿宋" w:eastAsia="仿宋" w:cs="仿宋"/>
          <w:i/>
          <w:color w:val="auto"/>
          <w:sz w:val="24"/>
          <w:u w:val="single"/>
        </w:rPr>
        <w:t>服务名称</w:t>
      </w:r>
      <w:r>
        <w:rPr>
          <w:rFonts w:hint="eastAsia" w:ascii="仿宋" w:hAnsi="仿宋" w:eastAsia="仿宋" w:cs="仿宋"/>
          <w:color w:val="auto"/>
          <w:sz w:val="24"/>
        </w:rPr>
        <w:t>)(以下简称服务)签订的(</w:t>
      </w:r>
      <w:r>
        <w:rPr>
          <w:rFonts w:hint="eastAsia" w:ascii="仿宋" w:hAnsi="仿宋" w:eastAsia="仿宋" w:cs="仿宋"/>
          <w:i/>
          <w:color w:val="auto"/>
          <w:sz w:val="24"/>
          <w:u w:val="single"/>
        </w:rPr>
        <w:t>合同号</w:t>
      </w:r>
      <w:r>
        <w:rPr>
          <w:rFonts w:hint="eastAsia" w:ascii="仿宋" w:hAnsi="仿宋" w:eastAsia="仿宋" w:cs="仿宋"/>
          <w:color w:val="auto"/>
          <w:sz w:val="24"/>
        </w:rPr>
        <w:t>)号合同的履约保函。</w:t>
      </w:r>
    </w:p>
    <w:p w14:paraId="449EC11D">
      <w:pPr>
        <w:pStyle w:val="15"/>
        <w:spacing w:line="360" w:lineRule="exact"/>
        <w:ind w:firstLine="540" w:firstLineChars="225"/>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i/>
          <w:color w:val="auto"/>
          <w:sz w:val="24"/>
          <w:u w:val="single"/>
        </w:rPr>
        <w:t>出具保函的银行名称</w:t>
      </w:r>
      <w:r>
        <w:rPr>
          <w:rFonts w:hint="eastAsia" w:ascii="仿宋" w:hAnsi="仿宋" w:eastAsia="仿宋" w:cs="仿宋"/>
          <w:color w:val="auto"/>
          <w:sz w:val="24"/>
        </w:rPr>
        <w:t>)(以下简称银行)无条件地、不可撤销地具结保证本行、其继承人和受让人无追索地向贵方以(</w:t>
      </w:r>
      <w:r>
        <w:rPr>
          <w:rFonts w:hint="eastAsia" w:ascii="仿宋" w:hAnsi="仿宋" w:eastAsia="仿宋" w:cs="仿宋"/>
          <w:i/>
          <w:color w:val="auto"/>
          <w:sz w:val="24"/>
          <w:u w:val="single"/>
        </w:rPr>
        <w:t>货币名称</w:t>
      </w:r>
      <w:r>
        <w:rPr>
          <w:rFonts w:hint="eastAsia" w:ascii="仿宋" w:hAnsi="仿宋" w:eastAsia="仿宋" w:cs="仿宋"/>
          <w:color w:val="auto"/>
          <w:sz w:val="24"/>
        </w:rPr>
        <w:t>)支付总额不超过(</w:t>
      </w:r>
      <w:r>
        <w:rPr>
          <w:rFonts w:hint="eastAsia" w:ascii="仿宋" w:hAnsi="仿宋" w:eastAsia="仿宋" w:cs="仿宋"/>
          <w:i/>
          <w:color w:val="auto"/>
          <w:sz w:val="24"/>
          <w:u w:val="single"/>
        </w:rPr>
        <w:t>货币数量</w:t>
      </w:r>
      <w:r>
        <w:rPr>
          <w:rFonts w:hint="eastAsia" w:ascii="仿宋" w:hAnsi="仿宋" w:eastAsia="仿宋" w:cs="仿宋"/>
          <w:color w:val="auto"/>
          <w:sz w:val="24"/>
        </w:rPr>
        <w:t>),即相当于合同价格的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%,并以此约定如下:</w:t>
      </w:r>
    </w:p>
    <w:p w14:paraId="1C3CB54A">
      <w:pPr>
        <w:pStyle w:val="15"/>
        <w:spacing w:line="360" w:lineRule="exact"/>
        <w:ind w:firstLine="600" w:firstLineChars="250"/>
        <w:rPr>
          <w:rFonts w:ascii="仿宋" w:hAnsi="仿宋" w:eastAsia="仿宋" w:cs="仿宋"/>
          <w:color w:val="auto"/>
          <w:sz w:val="24"/>
        </w:rPr>
      </w:pPr>
      <w:r>
        <w:rPr>
          <w:rFonts w:hint="eastAsia" w:ascii="仿宋" w:hAnsi="仿宋" w:eastAsia="仿宋" w:cs="仿宋"/>
          <w:color w:val="auto"/>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591BBC8F">
      <w:pPr>
        <w:pStyle w:val="15"/>
        <w:spacing w:line="360" w:lineRule="exact"/>
        <w:ind w:firstLine="600" w:firstLineChars="250"/>
        <w:rPr>
          <w:rFonts w:ascii="仿宋" w:hAnsi="仿宋" w:eastAsia="仿宋" w:cs="仿宋"/>
          <w:color w:val="auto"/>
          <w:sz w:val="24"/>
        </w:rPr>
      </w:pPr>
      <w:r>
        <w:rPr>
          <w:rFonts w:hint="eastAsia" w:ascii="仿宋" w:hAnsi="仿宋" w:eastAsia="仿宋" w:cs="仿宋"/>
          <w:color w:val="auto"/>
          <w:sz w:val="24"/>
        </w:rPr>
        <w:t>2.本保函项下的任何支付应为免税和净值。对于现有或将来的税收、关税、收费、费用扣减或预提税款，不论这些款项是何种性质和由谁征收，都不应从本保函项下的支付中扣除。</w:t>
      </w:r>
    </w:p>
    <w:p w14:paraId="3607E8BD">
      <w:pPr>
        <w:pStyle w:val="15"/>
        <w:spacing w:line="360" w:lineRule="exact"/>
        <w:ind w:firstLine="600" w:firstLineChars="250"/>
        <w:rPr>
          <w:rFonts w:ascii="仿宋" w:hAnsi="仿宋" w:eastAsia="仿宋" w:cs="仿宋"/>
          <w:color w:val="auto"/>
          <w:sz w:val="24"/>
        </w:rPr>
      </w:pPr>
      <w:r>
        <w:rPr>
          <w:rFonts w:hint="eastAsia" w:ascii="仿宋" w:hAnsi="仿宋" w:eastAsia="仿宋" w:cs="仿宋"/>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8B40E7B">
      <w:pPr>
        <w:pStyle w:val="15"/>
        <w:spacing w:line="360" w:lineRule="exact"/>
        <w:ind w:firstLine="600" w:firstLineChars="250"/>
        <w:rPr>
          <w:rFonts w:ascii="仿宋" w:hAnsi="仿宋" w:eastAsia="仿宋" w:cs="仿宋"/>
          <w:color w:val="auto"/>
          <w:sz w:val="24"/>
        </w:rPr>
      </w:pPr>
      <w:r>
        <w:rPr>
          <w:rFonts w:hint="eastAsia" w:ascii="仿宋" w:hAnsi="仿宋" w:eastAsia="仿宋" w:cs="仿宋"/>
          <w:color w:val="auto"/>
          <w:sz w:val="24"/>
        </w:rPr>
        <w:t>4.本保函在本合同规定的保证期期满前完全有效。</w:t>
      </w:r>
    </w:p>
    <w:p w14:paraId="26D9C472">
      <w:pPr>
        <w:pStyle w:val="15"/>
        <w:spacing w:line="360" w:lineRule="exact"/>
        <w:ind w:left="1079" w:leftChars="257" w:hanging="540"/>
        <w:rPr>
          <w:rFonts w:ascii="仿宋" w:hAnsi="仿宋" w:eastAsia="仿宋" w:cs="仿宋"/>
          <w:color w:val="auto"/>
          <w:sz w:val="24"/>
        </w:rPr>
      </w:pPr>
    </w:p>
    <w:p w14:paraId="32FF764F">
      <w:pPr>
        <w:pStyle w:val="15"/>
        <w:spacing w:line="360" w:lineRule="exact"/>
        <w:ind w:left="1079" w:leftChars="257" w:hanging="540"/>
        <w:rPr>
          <w:rFonts w:ascii="仿宋" w:hAnsi="仿宋" w:eastAsia="仿宋" w:cs="仿宋"/>
          <w:color w:val="auto"/>
          <w:sz w:val="24"/>
        </w:rPr>
      </w:pPr>
      <w:r>
        <w:rPr>
          <w:rFonts w:hint="eastAsia" w:ascii="仿宋" w:hAnsi="仿宋" w:eastAsia="仿宋" w:cs="仿宋"/>
          <w:color w:val="auto"/>
          <w:sz w:val="24"/>
        </w:rPr>
        <w:t>谨启</w:t>
      </w:r>
    </w:p>
    <w:p w14:paraId="2DCA29F5">
      <w:pPr>
        <w:pStyle w:val="15"/>
        <w:spacing w:line="360" w:lineRule="exact"/>
        <w:ind w:left="1079" w:leftChars="257" w:hanging="540"/>
        <w:rPr>
          <w:rFonts w:ascii="仿宋" w:hAnsi="仿宋" w:eastAsia="仿宋" w:cs="仿宋"/>
          <w:color w:val="auto"/>
          <w:sz w:val="24"/>
        </w:rPr>
      </w:pPr>
      <w:r>
        <w:rPr>
          <w:rFonts w:hint="eastAsia" w:ascii="仿宋" w:hAnsi="仿宋" w:eastAsia="仿宋" w:cs="仿宋"/>
          <w:color w:val="auto"/>
          <w:sz w:val="24"/>
        </w:rPr>
        <w:t>出具保函银行名称：</w:t>
      </w:r>
      <w:r>
        <w:rPr>
          <w:rFonts w:hint="eastAsia" w:ascii="仿宋" w:hAnsi="仿宋" w:eastAsia="仿宋" w:cs="仿宋"/>
          <w:color w:val="auto"/>
          <w:sz w:val="24"/>
          <w:u w:val="single"/>
        </w:rPr>
        <w:t xml:space="preserve">                             </w:t>
      </w:r>
    </w:p>
    <w:p w14:paraId="6B8ADAD6">
      <w:pPr>
        <w:pStyle w:val="15"/>
        <w:spacing w:line="360" w:lineRule="exact"/>
        <w:ind w:left="1079" w:leftChars="257" w:hanging="540"/>
        <w:rPr>
          <w:rFonts w:ascii="仿宋" w:hAnsi="仿宋" w:eastAsia="仿宋" w:cs="仿宋"/>
          <w:color w:val="auto"/>
          <w:sz w:val="24"/>
          <w:u w:val="single"/>
        </w:rPr>
      </w:pPr>
      <w:r>
        <w:rPr>
          <w:rFonts w:hint="eastAsia" w:ascii="仿宋" w:hAnsi="仿宋" w:eastAsia="仿宋" w:cs="仿宋"/>
          <w:color w:val="auto"/>
          <w:sz w:val="24"/>
        </w:rPr>
        <w:t>签字人姓名和职务：</w:t>
      </w:r>
      <w:r>
        <w:rPr>
          <w:rFonts w:hint="eastAsia" w:ascii="仿宋" w:hAnsi="仿宋" w:eastAsia="仿宋" w:cs="仿宋"/>
          <w:color w:val="auto"/>
          <w:sz w:val="24"/>
          <w:u w:val="single"/>
        </w:rPr>
        <w:t xml:space="preserve">                             </w:t>
      </w:r>
    </w:p>
    <w:p w14:paraId="3A02B3EC">
      <w:pPr>
        <w:pStyle w:val="15"/>
        <w:spacing w:line="360" w:lineRule="exact"/>
        <w:ind w:left="1079" w:leftChars="257" w:hanging="540"/>
        <w:rPr>
          <w:rFonts w:ascii="仿宋" w:hAnsi="仿宋" w:eastAsia="仿宋" w:cs="仿宋"/>
          <w:color w:val="auto"/>
          <w:sz w:val="24"/>
        </w:rPr>
      </w:pPr>
      <w:r>
        <w:rPr>
          <w:rFonts w:hint="eastAsia" w:ascii="仿宋" w:hAnsi="仿宋" w:eastAsia="仿宋" w:cs="仿宋"/>
          <w:color w:val="auto"/>
          <w:sz w:val="24"/>
        </w:rPr>
        <w:t>签字人签名：</w:t>
      </w:r>
      <w:r>
        <w:rPr>
          <w:rFonts w:hint="eastAsia" w:ascii="仿宋" w:hAnsi="仿宋" w:eastAsia="仿宋" w:cs="仿宋"/>
          <w:color w:val="auto"/>
          <w:sz w:val="24"/>
          <w:u w:val="single"/>
        </w:rPr>
        <w:t xml:space="preserve">                                   </w:t>
      </w:r>
    </w:p>
    <w:p w14:paraId="357D2C3B">
      <w:pPr>
        <w:pStyle w:val="15"/>
        <w:spacing w:line="360" w:lineRule="exact"/>
        <w:ind w:left="1079" w:leftChars="257" w:hanging="540"/>
        <w:rPr>
          <w:rFonts w:ascii="仿宋" w:hAnsi="仿宋" w:eastAsia="仿宋" w:cs="仿宋"/>
          <w:color w:val="auto"/>
          <w:sz w:val="24"/>
          <w:u w:val="single"/>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14:paraId="44F7FB81">
      <w:pPr>
        <w:pStyle w:val="4"/>
        <w:spacing w:before="0" w:line="360" w:lineRule="exact"/>
        <w:ind w:left="1079" w:leftChars="257" w:hanging="540"/>
        <w:rPr>
          <w:rFonts w:ascii="仿宋" w:hAnsi="仿宋" w:eastAsia="仿宋" w:cs="仿宋"/>
          <w:color w:val="auto"/>
          <w:szCs w:val="24"/>
        </w:rPr>
      </w:pPr>
      <w:r>
        <w:rPr>
          <w:rFonts w:hint="eastAsia" w:ascii="宋体" w:hAnsi="宋体" w:eastAsia="宋体" w:cs="宋体"/>
          <w:color w:val="auto"/>
        </w:rPr>
        <w:br w:type="page"/>
      </w:r>
      <w:bookmarkStart w:id="263" w:name="_Toc518923104"/>
      <w:bookmarkStart w:id="264" w:name="_Toc27788"/>
      <w:r>
        <w:rPr>
          <w:rFonts w:hint="eastAsia" w:ascii="仿宋" w:hAnsi="仿宋" w:eastAsia="仿宋" w:cs="仿宋"/>
          <w:color w:val="auto"/>
          <w:szCs w:val="24"/>
        </w:rPr>
        <w:t>附件2：履约担保函格式</w:t>
      </w:r>
      <w:bookmarkEnd w:id="263"/>
      <w:bookmarkEnd w:id="264"/>
    </w:p>
    <w:p w14:paraId="5B1EFBFA">
      <w:pPr>
        <w:pStyle w:val="4"/>
        <w:spacing w:before="0" w:line="360" w:lineRule="exact"/>
        <w:ind w:left="1079" w:leftChars="257" w:hanging="540"/>
        <w:rPr>
          <w:rFonts w:ascii="仿宋" w:hAnsi="仿宋" w:eastAsia="仿宋" w:cs="仿宋"/>
          <w:b w:val="0"/>
          <w:color w:val="auto"/>
        </w:rPr>
      </w:pPr>
      <w:bookmarkStart w:id="265" w:name="_Toc518923105"/>
      <w:bookmarkStart w:id="266" w:name="_Toc30995"/>
      <w:bookmarkStart w:id="267" w:name="_Toc515904842"/>
      <w:r>
        <w:rPr>
          <w:rFonts w:hint="eastAsia" w:ascii="仿宋" w:hAnsi="仿宋" w:eastAsia="仿宋" w:cs="仿宋"/>
          <w:color w:val="auto"/>
          <w:szCs w:val="24"/>
        </w:rPr>
        <w:t>（采用政府采购信用担保形式时使用）</w:t>
      </w:r>
      <w:bookmarkEnd w:id="265"/>
      <w:bookmarkEnd w:id="266"/>
      <w:bookmarkEnd w:id="267"/>
    </w:p>
    <w:p w14:paraId="4F25579B">
      <w:pPr>
        <w:spacing w:line="360" w:lineRule="exact"/>
        <w:ind w:left="1079" w:leftChars="257" w:hanging="540"/>
        <w:rPr>
          <w:rFonts w:ascii="仿宋" w:hAnsi="仿宋" w:eastAsia="仿宋" w:cs="仿宋"/>
          <w:b/>
          <w:color w:val="auto"/>
          <w:kern w:val="0"/>
          <w:sz w:val="24"/>
          <w:szCs w:val="20"/>
        </w:rPr>
      </w:pPr>
    </w:p>
    <w:p w14:paraId="2E5393A0">
      <w:pPr>
        <w:spacing w:line="360" w:lineRule="exact"/>
        <w:jc w:val="center"/>
        <w:rPr>
          <w:rFonts w:ascii="仿宋" w:hAnsi="仿宋" w:eastAsia="仿宋" w:cs="仿宋"/>
          <w:color w:val="auto"/>
          <w:sz w:val="24"/>
        </w:rPr>
      </w:pPr>
      <w:r>
        <w:rPr>
          <w:rFonts w:hint="eastAsia" w:ascii="仿宋" w:hAnsi="仿宋" w:eastAsia="仿宋" w:cs="仿宋"/>
          <w:color w:val="auto"/>
          <w:sz w:val="24"/>
        </w:rPr>
        <w:t xml:space="preserve"> 政府采购履约担保函（项目用）</w:t>
      </w:r>
    </w:p>
    <w:p w14:paraId="0E92984A">
      <w:pPr>
        <w:spacing w:line="360" w:lineRule="exact"/>
        <w:rPr>
          <w:rFonts w:ascii="仿宋" w:hAnsi="仿宋" w:eastAsia="仿宋" w:cs="仿宋"/>
          <w:color w:val="auto"/>
          <w:sz w:val="24"/>
        </w:rPr>
      </w:pPr>
      <w:r>
        <w:rPr>
          <w:rFonts w:hint="eastAsia" w:ascii="仿宋" w:hAnsi="仿宋" w:eastAsia="仿宋" w:cs="仿宋"/>
          <w:color w:val="auto"/>
          <w:sz w:val="24"/>
        </w:rPr>
        <w:t xml:space="preserve">                                                   编号：</w:t>
      </w:r>
    </w:p>
    <w:p w14:paraId="322443F9">
      <w:pPr>
        <w:spacing w:line="360" w:lineRule="exact"/>
        <w:rPr>
          <w:rFonts w:ascii="仿宋" w:hAnsi="仿宋" w:eastAsia="仿宋" w:cs="仿宋"/>
          <w:color w:val="auto"/>
          <w:sz w:val="24"/>
        </w:rPr>
      </w:pPr>
    </w:p>
    <w:p w14:paraId="61B3028D">
      <w:pPr>
        <w:spacing w:line="360" w:lineRule="exact"/>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w:t>
      </w:r>
    </w:p>
    <w:p w14:paraId="724049D5">
      <w:pPr>
        <w:spacing w:line="360" w:lineRule="exact"/>
        <w:rPr>
          <w:rFonts w:ascii="仿宋" w:hAnsi="仿宋" w:eastAsia="仿宋" w:cs="仿宋"/>
          <w:color w:val="auto"/>
          <w:sz w:val="24"/>
        </w:rPr>
      </w:pPr>
    </w:p>
    <w:p w14:paraId="39C7254F">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鉴于你方与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（以下简称供应商）于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日签定编号为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政府采购合同》（以下简称主合同），且依据该合同的约定，供应商应在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日前向你方交纳履约保证金，且可以履约担保函的形式交纳履约保证金。应供应商的申请，我方以保证的方式向你方提供如下履约保证金担保：</w:t>
      </w:r>
    </w:p>
    <w:p w14:paraId="69AB43E6">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14:paraId="0B152C38">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（一）在供应商出现下列情形之一时，我方承担保证责任：</w:t>
      </w:r>
    </w:p>
    <w:p w14:paraId="16002711">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1．将中标项目转让给他人，或者在投标文件中未说明，且未经采购招标机构人同意，将中标项目分包给他人的；</w:t>
      </w:r>
    </w:p>
    <w:p w14:paraId="115C84EF">
      <w:pPr>
        <w:spacing w:line="360" w:lineRule="exact"/>
        <w:rPr>
          <w:rFonts w:ascii="仿宋" w:hAnsi="仿宋" w:eastAsia="仿宋" w:cs="仿宋"/>
          <w:color w:val="auto"/>
          <w:sz w:val="24"/>
        </w:rPr>
      </w:pPr>
      <w:r>
        <w:rPr>
          <w:rFonts w:hint="eastAsia" w:ascii="仿宋" w:hAnsi="仿宋" w:eastAsia="仿宋" w:cs="仿宋"/>
          <w:color w:val="auto"/>
          <w:sz w:val="24"/>
        </w:rPr>
        <w:t xml:space="preserve">　　2．主合同约定的应当缴纳履约保证金的情形: </w:t>
      </w:r>
    </w:p>
    <w:p w14:paraId="34E3C1B7">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14:paraId="723D70F0">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4CD3B66D">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（二）我方的保证范围是主合同约定的合同价款总额的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%数额为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），币种为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。（即主合同履约保证金金额）</w:t>
      </w:r>
    </w:p>
    <w:p w14:paraId="31080A4D">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14:paraId="7282A5A7">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14:paraId="7DD90C6D">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我方保证的期间为：自本合同生效之日起至供应商按照主合同约定的供货/完工期限届满后</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w:t>
      </w:r>
    </w:p>
    <w:p w14:paraId="34B97CCF">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如果供应商未按主合同约定向贵方供应货物/提供服务/完成工程的，由我方在保证金额内向你方支付上述款项。</w:t>
      </w:r>
    </w:p>
    <w:p w14:paraId="32BBC4B7">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14:paraId="2E2B3143">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29B12CDA">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如果你方与供应商因货物质量问题产生争议，你方还需同时提供</w:t>
      </w:r>
      <w:r>
        <w:rPr>
          <w:rFonts w:hint="eastAsia" w:ascii="仿宋" w:hAnsi="仿宋" w:eastAsia="仿宋" w:cs="仿宋"/>
          <w:color w:val="auto"/>
          <w:sz w:val="24"/>
          <w:u w:val="single"/>
        </w:rPr>
        <w:t xml:space="preserve">        </w:t>
      </w:r>
      <w:r>
        <w:rPr>
          <w:rFonts w:hint="eastAsia" w:ascii="仿宋" w:hAnsi="仿宋" w:eastAsia="仿宋" w:cs="仿宋"/>
          <w:color w:val="auto"/>
          <w:sz w:val="24"/>
        </w:rPr>
        <w:t>部门出具的质量检测报告，或经诉讼（仲裁）程序裁决后的裁决书、调解书，本保证人即按照检测结果或裁决书、调解书决定是否承担保证责任。</w:t>
      </w:r>
    </w:p>
    <w:p w14:paraId="4CECC535">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 我方收到你方的书面索赔通知及相应证明材料，在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工作日内进行核定后按照本保函的承诺承担保证责任。</w:t>
      </w:r>
    </w:p>
    <w:p w14:paraId="63D624C8">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14:paraId="79FE4BF5">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3580B8A">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14:paraId="2774EB7A">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14:paraId="33048D46">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B4CBF6C">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14:paraId="2F76AF65">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1．因你方违反主合同约定致使供应商不能履行义务的，我方不承担保证责任。</w:t>
      </w:r>
    </w:p>
    <w:p w14:paraId="4DD575C4">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2．依照法律法规的规定或你方与供应商的另行约定，全部或者部分免除供应商应缴纳的保证金义务的，我方亦免除相应的保证责任。</w:t>
      </w:r>
    </w:p>
    <w:p w14:paraId="153F781C">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3．因不可抗力造成供应商不能履行供货义务的，我方不承担保证责任。</w:t>
      </w:r>
    </w:p>
    <w:p w14:paraId="37EFEF3E">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14:paraId="7DF9CBD4">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14:paraId="1BE94C24">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14:paraId="18BD419A">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14:paraId="4EEF4796">
      <w:pPr>
        <w:spacing w:line="360" w:lineRule="exact"/>
        <w:rPr>
          <w:rFonts w:ascii="仿宋" w:hAnsi="仿宋" w:eastAsia="仿宋" w:cs="仿宋"/>
          <w:color w:val="auto"/>
          <w:sz w:val="24"/>
        </w:rPr>
      </w:pPr>
    </w:p>
    <w:p w14:paraId="608587FC">
      <w:pPr>
        <w:spacing w:line="360" w:lineRule="exact"/>
        <w:rPr>
          <w:rFonts w:ascii="仿宋" w:hAnsi="仿宋" w:eastAsia="仿宋" w:cs="仿宋"/>
          <w:color w:val="auto"/>
          <w:sz w:val="24"/>
        </w:rPr>
      </w:pPr>
      <w:r>
        <w:rPr>
          <w:rFonts w:hint="eastAsia" w:ascii="仿宋" w:hAnsi="仿宋" w:eastAsia="仿宋" w:cs="仿宋"/>
          <w:color w:val="auto"/>
          <w:sz w:val="24"/>
        </w:rPr>
        <w:t xml:space="preserve">                                      </w:t>
      </w:r>
    </w:p>
    <w:p w14:paraId="2139EBD6">
      <w:pPr>
        <w:spacing w:line="360" w:lineRule="exact"/>
        <w:ind w:firstLine="5400" w:firstLineChars="2250"/>
        <w:rPr>
          <w:rFonts w:ascii="仿宋" w:hAnsi="仿宋" w:eastAsia="仿宋" w:cs="仿宋"/>
          <w:color w:val="auto"/>
          <w:sz w:val="24"/>
        </w:rPr>
      </w:pPr>
      <w:r>
        <w:rPr>
          <w:rFonts w:hint="eastAsia" w:ascii="仿宋" w:hAnsi="仿宋" w:eastAsia="仿宋" w:cs="仿宋"/>
          <w:color w:val="auto"/>
          <w:sz w:val="24"/>
        </w:rPr>
        <w:t>保证人：（公章）</w:t>
      </w:r>
    </w:p>
    <w:p w14:paraId="745F10BD">
      <w:pPr>
        <w:spacing w:line="360" w:lineRule="exact"/>
        <w:rPr>
          <w:rFonts w:ascii="仿宋" w:hAnsi="仿宋" w:eastAsia="仿宋" w:cs="仿宋"/>
          <w:color w:val="auto"/>
          <w:sz w:val="24"/>
        </w:rPr>
      </w:pPr>
      <w:r>
        <w:rPr>
          <w:rFonts w:hint="eastAsia" w:ascii="仿宋" w:hAnsi="仿宋" w:eastAsia="仿宋" w:cs="仿宋"/>
          <w:color w:val="auto"/>
          <w:sz w:val="24"/>
        </w:rPr>
        <w:t xml:space="preserve">                   </w:t>
      </w:r>
    </w:p>
    <w:p w14:paraId="3AF7F5BB">
      <w:pPr>
        <w:spacing w:line="360" w:lineRule="exact"/>
        <w:rPr>
          <w:rFonts w:ascii="仿宋" w:hAnsi="仿宋" w:eastAsia="仿宋" w:cs="仿宋"/>
          <w:color w:val="auto"/>
          <w:sz w:val="24"/>
        </w:rPr>
      </w:pPr>
      <w:r>
        <w:rPr>
          <w:rFonts w:hint="eastAsia" w:ascii="仿宋" w:hAnsi="仿宋" w:eastAsia="仿宋" w:cs="仿宋"/>
          <w:color w:val="auto"/>
          <w:sz w:val="24"/>
        </w:rPr>
        <w:t xml:space="preserve">                                                   年     月      日</w:t>
      </w:r>
    </w:p>
    <w:p w14:paraId="7A352028">
      <w:pPr>
        <w:pStyle w:val="7"/>
        <w:spacing w:line="360" w:lineRule="exact"/>
        <w:ind w:firstLine="0"/>
        <w:rPr>
          <w:rFonts w:ascii="仿宋" w:hAnsi="仿宋" w:eastAsia="仿宋" w:cs="仿宋"/>
          <w:color w:val="auto"/>
          <w:kern w:val="2"/>
          <w:szCs w:val="24"/>
        </w:rPr>
      </w:pPr>
    </w:p>
    <w:p w14:paraId="2EB5F4D6">
      <w:pPr>
        <w:pStyle w:val="7"/>
        <w:spacing w:line="360" w:lineRule="exact"/>
        <w:ind w:firstLine="0"/>
        <w:rPr>
          <w:rFonts w:hAnsi="宋体" w:cs="宋体"/>
          <w:color w:val="auto"/>
          <w:kern w:val="2"/>
          <w:szCs w:val="24"/>
        </w:rPr>
      </w:pPr>
    </w:p>
    <w:p w14:paraId="62E1590E">
      <w:pPr>
        <w:pStyle w:val="7"/>
        <w:spacing w:line="360" w:lineRule="exact"/>
        <w:ind w:firstLine="0"/>
        <w:rPr>
          <w:rFonts w:hAnsi="宋体" w:cs="宋体"/>
          <w:color w:val="auto"/>
          <w:kern w:val="2"/>
          <w:szCs w:val="24"/>
        </w:rPr>
      </w:pPr>
    </w:p>
    <w:p w14:paraId="48D90512">
      <w:pPr>
        <w:pStyle w:val="7"/>
        <w:spacing w:line="360" w:lineRule="exact"/>
        <w:ind w:firstLine="0"/>
        <w:rPr>
          <w:rFonts w:hAnsi="宋体" w:cs="宋体"/>
          <w:color w:val="auto"/>
          <w:kern w:val="2"/>
          <w:szCs w:val="24"/>
        </w:rPr>
      </w:pPr>
    </w:p>
    <w:p w14:paraId="07E6A98F">
      <w:pPr>
        <w:pStyle w:val="3"/>
        <w:numPr>
          <w:ilvl w:val="0"/>
          <w:numId w:val="1"/>
        </w:numPr>
        <w:spacing w:before="0" w:after="0" w:line="240" w:lineRule="atLeast"/>
        <w:jc w:val="both"/>
        <w:rPr>
          <w:rFonts w:ascii="仿宋" w:hAnsi="仿宋" w:eastAsia="仿宋" w:cs="仿宋"/>
          <w:color w:val="auto"/>
        </w:rPr>
      </w:pPr>
      <w:r>
        <w:rPr>
          <w:rFonts w:hint="eastAsia" w:hAnsi="宋体" w:cs="宋体"/>
          <w:b w:val="0"/>
          <w:color w:val="auto"/>
        </w:rPr>
        <w:br w:type="page"/>
      </w:r>
      <w:bookmarkStart w:id="268" w:name="_Toc728"/>
      <w:bookmarkStart w:id="269" w:name="_Toc702"/>
      <w:bookmarkStart w:id="270" w:name="_Toc19692"/>
      <w:bookmarkStart w:id="271" w:name="_Toc216582812"/>
      <w:bookmarkStart w:id="272" w:name="_Toc515647802"/>
      <w:r>
        <w:rPr>
          <w:rFonts w:hint="eastAsia" w:ascii="仿宋" w:hAnsi="仿宋" w:eastAsia="仿宋" w:cs="仿宋"/>
          <w:color w:val="auto"/>
        </w:rPr>
        <w:t>投标文件格式</w:t>
      </w:r>
      <w:bookmarkEnd w:id="268"/>
      <w:bookmarkEnd w:id="269"/>
      <w:bookmarkEnd w:id="270"/>
      <w:bookmarkEnd w:id="271"/>
      <w:bookmarkEnd w:id="272"/>
    </w:p>
    <w:p w14:paraId="605CC959">
      <w:pPr>
        <w:spacing w:line="240" w:lineRule="atLeast"/>
        <w:ind w:left="735" w:leftChars="350" w:firstLine="120" w:firstLineChars="50"/>
        <w:rPr>
          <w:rFonts w:ascii="仿宋" w:hAnsi="仿宋" w:eastAsia="仿宋" w:cs="仿宋"/>
          <w:color w:val="auto"/>
          <w:sz w:val="24"/>
        </w:rPr>
      </w:pPr>
    </w:p>
    <w:p w14:paraId="78AFDA10">
      <w:pPr>
        <w:pStyle w:val="4"/>
        <w:spacing w:before="0" w:line="240" w:lineRule="atLeast"/>
        <w:ind w:left="1079" w:leftChars="257" w:hanging="540"/>
        <w:rPr>
          <w:rFonts w:ascii="宋体" w:hAnsi="宋体" w:eastAsia="宋体" w:cs="宋体"/>
          <w:color w:val="auto"/>
          <w:sz w:val="24"/>
        </w:rPr>
      </w:pPr>
      <w:bookmarkStart w:id="273" w:name="_Toc18694"/>
      <w:bookmarkStart w:id="274" w:name="_Toc515647803"/>
      <w:bookmarkStart w:id="275" w:name="_Toc6220"/>
      <w:bookmarkStart w:id="276" w:name="_Toc18974"/>
      <w:r>
        <w:rPr>
          <w:rFonts w:hint="eastAsia" w:ascii="仿宋" w:hAnsi="仿宋" w:eastAsia="仿宋" w:cs="仿宋"/>
          <w:color w:val="auto"/>
          <w:sz w:val="24"/>
        </w:rPr>
        <w:t>第一部分 开标一览表及资格证明文件</w:t>
      </w:r>
      <w:bookmarkEnd w:id="273"/>
      <w:bookmarkEnd w:id="274"/>
      <w:bookmarkEnd w:id="275"/>
      <w:bookmarkEnd w:id="276"/>
    </w:p>
    <w:p w14:paraId="6A930AB4">
      <w:pPr>
        <w:spacing w:line="240" w:lineRule="atLeast"/>
        <w:ind w:left="708" w:hanging="708" w:hangingChars="295"/>
        <w:jc w:val="center"/>
        <w:rPr>
          <w:rFonts w:ascii="宋体" w:hAnsi="宋体" w:cs="宋体"/>
          <w:color w:val="auto"/>
          <w:sz w:val="24"/>
        </w:rPr>
      </w:pPr>
    </w:p>
    <w:p w14:paraId="39446A10">
      <w:pPr>
        <w:tabs>
          <w:tab w:val="left" w:pos="5580"/>
        </w:tabs>
        <w:spacing w:line="360" w:lineRule="exact"/>
        <w:ind w:left="617"/>
        <w:rPr>
          <w:rFonts w:ascii="仿宋" w:hAnsi="仿宋" w:eastAsia="仿宋" w:cs="仿宋"/>
          <w:color w:val="auto"/>
          <w:sz w:val="24"/>
        </w:rPr>
      </w:pPr>
      <w:r>
        <w:rPr>
          <w:rFonts w:hint="eastAsia" w:ascii="仿宋" w:hAnsi="仿宋" w:eastAsia="仿宋" w:cs="仿宋"/>
          <w:color w:val="auto"/>
          <w:sz w:val="24"/>
        </w:rPr>
        <w:t>1、开标一览表（附件一）；</w:t>
      </w:r>
    </w:p>
    <w:p w14:paraId="3EE5EC59">
      <w:pPr>
        <w:spacing w:line="360" w:lineRule="exact"/>
        <w:ind w:left="617"/>
        <w:rPr>
          <w:rFonts w:ascii="仿宋" w:hAnsi="仿宋" w:eastAsia="仿宋" w:cs="仿宋"/>
          <w:bCs/>
          <w:color w:val="auto"/>
          <w:kern w:val="0"/>
          <w:sz w:val="24"/>
        </w:rPr>
      </w:pPr>
      <w:r>
        <w:rPr>
          <w:rFonts w:hint="eastAsia" w:ascii="仿宋" w:hAnsi="仿宋" w:eastAsia="仿宋" w:cs="仿宋"/>
          <w:bCs/>
          <w:color w:val="auto"/>
          <w:kern w:val="0"/>
          <w:sz w:val="24"/>
        </w:rPr>
        <w:t>2、单位三证合一营业执照；</w:t>
      </w:r>
    </w:p>
    <w:p w14:paraId="5A8B5DFE">
      <w:pPr>
        <w:spacing w:line="360" w:lineRule="exact"/>
        <w:ind w:left="617"/>
        <w:rPr>
          <w:rFonts w:ascii="仿宋" w:hAnsi="仿宋" w:eastAsia="仿宋" w:cs="仿宋"/>
          <w:bCs/>
          <w:color w:val="auto"/>
          <w:kern w:val="0"/>
          <w:sz w:val="24"/>
        </w:rPr>
      </w:pPr>
      <w:r>
        <w:rPr>
          <w:rFonts w:hint="eastAsia" w:ascii="仿宋" w:hAnsi="仿宋" w:eastAsia="仿宋" w:cs="仿宋"/>
          <w:bCs/>
          <w:color w:val="auto"/>
          <w:kern w:val="0"/>
          <w:sz w:val="24"/>
        </w:rPr>
        <w:t>3、</w:t>
      </w:r>
      <w:r>
        <w:rPr>
          <w:rFonts w:hint="eastAsia" w:ascii="仿宋" w:hAnsi="仿宋" w:eastAsia="仿宋" w:cs="仿宋"/>
          <w:bCs/>
          <w:color w:val="auto"/>
          <w:sz w:val="24"/>
        </w:rPr>
        <w:t>法定代表人身份证明书，</w:t>
      </w:r>
      <w:r>
        <w:rPr>
          <w:rFonts w:hint="eastAsia" w:ascii="仿宋" w:hAnsi="仿宋" w:eastAsia="仿宋" w:cs="仿宋"/>
          <w:bCs/>
          <w:color w:val="auto"/>
          <w:kern w:val="0"/>
          <w:sz w:val="24"/>
        </w:rPr>
        <w:t>法人授权委托书附法人身份证复印件及授权委托人身份证复印件加盖公章；（附件二）</w:t>
      </w:r>
    </w:p>
    <w:p w14:paraId="1014C4FC">
      <w:pPr>
        <w:spacing w:line="360" w:lineRule="exact"/>
        <w:ind w:left="617"/>
        <w:rPr>
          <w:rFonts w:ascii="仿宋" w:hAnsi="仿宋" w:eastAsia="仿宋" w:cs="宋体"/>
          <w:bCs/>
          <w:color w:val="auto"/>
          <w:sz w:val="24"/>
        </w:rPr>
      </w:pPr>
      <w:r>
        <w:rPr>
          <w:rFonts w:hint="eastAsia" w:ascii="仿宋" w:hAnsi="仿宋" w:eastAsia="仿宋" w:cs="宋体"/>
          <w:bCs/>
          <w:color w:val="auto"/>
          <w:sz w:val="24"/>
        </w:rPr>
        <w:t>4、须具备有效的测绘乙级及以上（含乙级）资质证书；</w:t>
      </w:r>
      <w:r>
        <w:rPr>
          <w:rFonts w:ascii="仿宋" w:hAnsi="仿宋" w:eastAsia="仿宋" w:cs="宋体"/>
          <w:bCs/>
          <w:color w:val="auto"/>
          <w:sz w:val="24"/>
        </w:rPr>
        <w:t xml:space="preserve"> </w:t>
      </w:r>
    </w:p>
    <w:p w14:paraId="2049D32C">
      <w:pPr>
        <w:widowControl/>
        <w:spacing w:line="360" w:lineRule="exact"/>
        <w:ind w:left="617"/>
        <w:jc w:val="left"/>
        <w:rPr>
          <w:rFonts w:ascii="仿宋" w:hAnsi="仿宋" w:eastAsia="仿宋" w:cs="仿宋"/>
          <w:color w:val="auto"/>
          <w:sz w:val="24"/>
        </w:rPr>
      </w:pPr>
      <w:r>
        <w:rPr>
          <w:rFonts w:hint="eastAsia" w:ascii="仿宋" w:hAnsi="仿宋" w:eastAsia="仿宋" w:cs="仿宋"/>
          <w:color w:val="auto"/>
          <w:sz w:val="24"/>
        </w:rPr>
        <w:t>5、依法缴纳近</w:t>
      </w:r>
      <w:r>
        <w:rPr>
          <w:rFonts w:hint="eastAsia" w:ascii="仿宋" w:hAnsi="仿宋" w:eastAsia="仿宋" w:cs="仿宋"/>
          <w:color w:val="auto"/>
          <w:sz w:val="24"/>
        </w:rPr>
        <w:t>六个月中任意一个月</w:t>
      </w:r>
      <w:r>
        <w:rPr>
          <w:rFonts w:hint="eastAsia" w:ascii="仿宋" w:hAnsi="仿宋" w:eastAsia="仿宋" w:cs="仿宋"/>
          <w:color w:val="auto"/>
          <w:sz w:val="24"/>
        </w:rPr>
        <w:t>的社会保险社保缴纳凭证；</w:t>
      </w:r>
      <w:r>
        <w:rPr>
          <w:rFonts w:hint="eastAsia" w:ascii="仿宋" w:hAnsi="仿宋" w:eastAsia="仿宋" w:cs="仿宋"/>
          <w:color w:val="auto"/>
          <w:sz w:val="24"/>
        </w:rPr>
        <w:t>依法缴纳近六个月任意一个月的完税证明；</w:t>
      </w:r>
    </w:p>
    <w:p w14:paraId="5DA27C1F">
      <w:pPr>
        <w:widowControl/>
        <w:spacing w:line="360" w:lineRule="exact"/>
        <w:ind w:left="617"/>
        <w:jc w:val="left"/>
        <w:rPr>
          <w:rFonts w:ascii="仿宋" w:hAnsi="仿宋" w:eastAsia="仿宋" w:cs="仿宋"/>
          <w:color w:val="auto"/>
          <w:sz w:val="24"/>
        </w:rPr>
      </w:pPr>
      <w:r>
        <w:rPr>
          <w:rFonts w:hint="eastAsia" w:ascii="仿宋" w:hAnsi="仿宋" w:eastAsia="仿宋" w:cs="仿宋"/>
          <w:color w:val="auto"/>
          <w:sz w:val="24"/>
        </w:rPr>
        <w:t>6、提供2024年或2025年任意一年经会计事务所出具财务审计报告；（新成立的公司须提供近一个月的银行资信证明）</w:t>
      </w:r>
      <w:r>
        <w:rPr>
          <w:rFonts w:hint="eastAsia" w:ascii="仿宋" w:hAnsi="仿宋" w:eastAsia="仿宋" w:cs="仿宋"/>
          <w:color w:val="auto"/>
          <w:sz w:val="24"/>
        </w:rPr>
        <w:t xml:space="preserve">； </w:t>
      </w:r>
    </w:p>
    <w:p w14:paraId="4C12A43E">
      <w:pPr>
        <w:widowControl/>
        <w:spacing w:line="360" w:lineRule="exact"/>
        <w:ind w:left="617"/>
        <w:jc w:val="left"/>
        <w:rPr>
          <w:rFonts w:ascii="仿宋" w:hAnsi="仿宋" w:eastAsia="仿宋" w:cs="仿宋"/>
          <w:color w:val="auto"/>
          <w:sz w:val="24"/>
        </w:rPr>
      </w:pPr>
      <w:r>
        <w:rPr>
          <w:rFonts w:hint="eastAsia" w:ascii="仿宋" w:hAnsi="仿宋" w:eastAsia="仿宋" w:cs="仿宋"/>
          <w:color w:val="auto"/>
          <w:sz w:val="24"/>
        </w:rPr>
        <w:t>7、根据《财政部关于在政府采购活动中查询及使用信用记录有关问题的通知》（财库﹝</w:t>
      </w:r>
      <w:r>
        <w:rPr>
          <w:rFonts w:ascii="仿宋" w:hAnsi="仿宋" w:eastAsia="仿宋" w:cs="仿宋"/>
          <w:color w:val="auto"/>
          <w:sz w:val="24"/>
        </w:rPr>
        <w:t>2016</w:t>
      </w:r>
      <w:r>
        <w:rPr>
          <w:rFonts w:hint="eastAsia" w:ascii="仿宋" w:hAnsi="仿宋" w:eastAsia="仿宋" w:cs="仿宋"/>
          <w:color w:val="auto"/>
          <w:sz w:val="24"/>
        </w:rPr>
        <w:t>﹞</w:t>
      </w:r>
      <w:r>
        <w:rPr>
          <w:rFonts w:ascii="仿宋" w:hAnsi="仿宋" w:eastAsia="仿宋" w:cs="仿宋"/>
          <w:color w:val="auto"/>
          <w:sz w:val="24"/>
        </w:rPr>
        <w:t>125</w:t>
      </w:r>
      <w:r>
        <w:rPr>
          <w:rFonts w:hint="eastAsia" w:ascii="仿宋" w:hAnsi="仿宋" w:eastAsia="仿宋" w:cs="仿宋"/>
          <w:color w:val="auto"/>
          <w:sz w:val="24"/>
        </w:rPr>
        <w:t>号）的要求，凡拟参加本次招标项目的投标人，如在“信用中国”网站被列入失信被执行人、重大税收违法失信主体</w:t>
      </w:r>
      <w:r>
        <w:rPr>
          <w:rFonts w:ascii="仿宋" w:hAnsi="仿宋" w:eastAsia="仿宋" w:cs="仿宋"/>
          <w:color w:val="auto"/>
          <w:sz w:val="24"/>
        </w:rPr>
        <w:t>(</w:t>
      </w:r>
      <w:r>
        <w:rPr>
          <w:rFonts w:hint="eastAsia" w:ascii="仿宋" w:hAnsi="仿宋" w:eastAsia="仿宋" w:cs="仿宋"/>
          <w:color w:val="auto"/>
          <w:sz w:val="24"/>
        </w:rPr>
        <w:t>信用中国首页</w:t>
      </w:r>
      <w:r>
        <w:rPr>
          <w:rFonts w:ascii="仿宋" w:hAnsi="仿宋" w:eastAsia="仿宋" w:cs="仿宋"/>
          <w:color w:val="auto"/>
          <w:sz w:val="24"/>
        </w:rPr>
        <w:t>-</w:t>
      </w:r>
      <w:r>
        <w:rPr>
          <w:rFonts w:hint="eastAsia" w:ascii="仿宋" w:hAnsi="仿宋" w:eastAsia="仿宋" w:cs="仿宋"/>
          <w:color w:val="auto"/>
          <w:sz w:val="24"/>
        </w:rPr>
        <w:t>点击信用服务</w:t>
      </w:r>
      <w:r>
        <w:rPr>
          <w:rFonts w:ascii="仿宋" w:hAnsi="仿宋" w:eastAsia="仿宋" w:cs="仿宋"/>
          <w:color w:val="auto"/>
          <w:sz w:val="24"/>
        </w:rPr>
        <w:t>-</w:t>
      </w:r>
      <w:r>
        <w:rPr>
          <w:rFonts w:hint="eastAsia" w:ascii="仿宋" w:hAnsi="仿宋" w:eastAsia="仿宋" w:cs="仿宋"/>
          <w:color w:val="auto"/>
          <w:sz w:val="24"/>
        </w:rPr>
        <w:t>查询</w:t>
      </w:r>
      <w:r>
        <w:rPr>
          <w:rFonts w:ascii="仿宋" w:hAnsi="仿宋" w:eastAsia="仿宋" w:cs="仿宋"/>
          <w:color w:val="auto"/>
          <w:sz w:val="24"/>
        </w:rPr>
        <w:t>)</w:t>
      </w:r>
      <w:r>
        <w:rPr>
          <w:rFonts w:hint="eastAsia" w:ascii="仿宋" w:hAnsi="仿宋" w:eastAsia="仿宋" w:cs="仿宋"/>
          <w:color w:val="auto"/>
          <w:sz w:val="24"/>
        </w:rPr>
        <w:t>、“中国政府采购网“严重违法失信行为记录名单的（尚在处罚期内的）将拒绝其参加本次招标活动；</w:t>
      </w:r>
      <w:r>
        <w:rPr>
          <w:rFonts w:hint="eastAsia" w:ascii="仿宋" w:hAnsi="仿宋" w:eastAsia="仿宋" w:cs="仿宋"/>
          <w:color w:val="auto"/>
          <w:sz w:val="24"/>
        </w:rPr>
        <w:t>附网站截图。（开标现场查询核实）</w:t>
      </w:r>
    </w:p>
    <w:p w14:paraId="586BD7B4">
      <w:pPr>
        <w:pStyle w:val="7"/>
        <w:spacing w:line="360" w:lineRule="exact"/>
        <w:ind w:firstLine="660" w:firstLineChars="275"/>
        <w:rPr>
          <w:rFonts w:ascii="仿宋" w:hAnsi="仿宋" w:eastAsia="仿宋" w:cs="仿宋"/>
          <w:color w:val="auto"/>
        </w:rPr>
      </w:pPr>
      <w:r>
        <w:rPr>
          <w:rFonts w:hint="eastAsia" w:ascii="仿宋" w:hAnsi="仿宋" w:eastAsia="仿宋" w:cs="仿宋"/>
          <w:color w:val="auto"/>
          <w:szCs w:val="24"/>
        </w:rPr>
        <w:t>8、</w:t>
      </w:r>
      <w:r>
        <w:rPr>
          <w:rFonts w:hint="eastAsia" w:ascii="仿宋" w:hAnsi="仿宋" w:eastAsia="仿宋" w:cs="仿宋"/>
          <w:color w:val="auto"/>
          <w:szCs w:val="24"/>
        </w:rPr>
        <w:t>投标单位（供应商）提供针对本次项目《反商业贿赂承诺书》</w:t>
      </w:r>
      <w:r>
        <w:rPr>
          <w:rFonts w:hint="eastAsia" w:ascii="仿宋" w:hAnsi="仿宋" w:eastAsia="仿宋" w:cs="仿宋"/>
          <w:color w:val="auto"/>
        </w:rPr>
        <w:t>；</w:t>
      </w:r>
    </w:p>
    <w:p w14:paraId="7E08D9DF">
      <w:pPr>
        <w:tabs>
          <w:tab w:val="left" w:pos="5580"/>
        </w:tabs>
        <w:spacing w:line="360" w:lineRule="exact"/>
        <w:ind w:left="617"/>
        <w:rPr>
          <w:rFonts w:ascii="仿宋" w:hAnsi="仿宋" w:eastAsia="仿宋" w:cs="仿宋"/>
          <w:color w:val="auto"/>
          <w:sz w:val="24"/>
        </w:rPr>
      </w:pPr>
      <w:r>
        <w:rPr>
          <w:rFonts w:hint="eastAsia" w:ascii="仿宋" w:hAnsi="仿宋" w:eastAsia="仿宋" w:cs="仿宋"/>
          <w:color w:val="auto"/>
          <w:sz w:val="24"/>
        </w:rPr>
        <w:t>9、参加政府采购活动近3年内，在经营活动中没有重大违法记录的书面声明；</w:t>
      </w:r>
    </w:p>
    <w:p w14:paraId="59039D6B">
      <w:pPr>
        <w:tabs>
          <w:tab w:val="left" w:pos="5580"/>
        </w:tabs>
        <w:spacing w:line="360" w:lineRule="exact"/>
        <w:ind w:left="617"/>
        <w:rPr>
          <w:rFonts w:ascii="仿宋" w:hAnsi="仿宋" w:eastAsia="仿宋" w:cs="仿宋"/>
          <w:color w:val="auto"/>
          <w:sz w:val="24"/>
        </w:rPr>
      </w:pPr>
      <w:r>
        <w:rPr>
          <w:rFonts w:hint="eastAsia" w:ascii="仿宋" w:hAnsi="仿宋" w:eastAsia="仿宋" w:cs="仿宋"/>
          <w:color w:val="auto"/>
          <w:sz w:val="24"/>
        </w:rPr>
        <w:t>10、投标保证金缴纳凭证或投标担保函；</w:t>
      </w:r>
    </w:p>
    <w:p w14:paraId="7785BB78">
      <w:pPr>
        <w:spacing w:line="360" w:lineRule="exact"/>
        <w:ind w:left="617"/>
        <w:rPr>
          <w:rFonts w:ascii="仿宋" w:hAnsi="仿宋" w:eastAsia="仿宋" w:cs="仿宋"/>
          <w:color w:val="auto"/>
          <w:sz w:val="24"/>
        </w:rPr>
      </w:pPr>
      <w:r>
        <w:rPr>
          <w:rFonts w:hint="eastAsia" w:ascii="仿宋" w:hAnsi="仿宋" w:eastAsia="仿宋" w:cs="仿宋"/>
          <w:color w:val="auto"/>
          <w:sz w:val="24"/>
        </w:rPr>
        <w:t>11、投标人须知资料表要求的其他证明文件；</w:t>
      </w:r>
    </w:p>
    <w:p w14:paraId="4AFE4FDA">
      <w:pPr>
        <w:spacing w:line="360" w:lineRule="exact"/>
        <w:ind w:left="617"/>
        <w:rPr>
          <w:rFonts w:ascii="仿宋" w:hAnsi="仿宋" w:eastAsia="仿宋" w:cs="仿宋"/>
          <w:bCs/>
          <w:color w:val="auto"/>
          <w:sz w:val="24"/>
        </w:rPr>
      </w:pPr>
      <w:r>
        <w:rPr>
          <w:rFonts w:hint="eastAsia" w:ascii="仿宋" w:hAnsi="仿宋" w:eastAsia="仿宋" w:cs="仿宋"/>
          <w:bCs/>
          <w:color w:val="auto"/>
          <w:sz w:val="24"/>
        </w:rPr>
        <w:t>12、投标人可提供有利于投标的其他证明材料；</w:t>
      </w:r>
    </w:p>
    <w:p w14:paraId="79D8F07E">
      <w:pPr>
        <w:tabs>
          <w:tab w:val="left" w:pos="5580"/>
        </w:tabs>
        <w:spacing w:line="360" w:lineRule="exact"/>
        <w:ind w:left="1" w:firstLine="564" w:firstLineChars="235"/>
        <w:rPr>
          <w:rFonts w:ascii="宋体" w:hAnsi="宋体" w:cs="宋体"/>
          <w:color w:val="auto"/>
          <w:sz w:val="24"/>
        </w:rPr>
      </w:pPr>
    </w:p>
    <w:p w14:paraId="00E8DC57">
      <w:pPr>
        <w:tabs>
          <w:tab w:val="left" w:pos="5580"/>
        </w:tabs>
        <w:spacing w:line="240" w:lineRule="atLeast"/>
        <w:ind w:left="1" w:firstLine="564" w:firstLineChars="235"/>
        <w:rPr>
          <w:rFonts w:ascii="宋体" w:hAnsi="宋体" w:cs="宋体"/>
          <w:color w:val="auto"/>
          <w:sz w:val="24"/>
        </w:rPr>
      </w:pPr>
    </w:p>
    <w:p w14:paraId="2B0B77AD">
      <w:pPr>
        <w:tabs>
          <w:tab w:val="left" w:pos="5580"/>
        </w:tabs>
        <w:spacing w:line="240" w:lineRule="atLeast"/>
        <w:ind w:left="1" w:firstLine="564" w:firstLineChars="235"/>
        <w:rPr>
          <w:rFonts w:ascii="宋体" w:hAnsi="宋体" w:cs="宋体"/>
          <w:color w:val="auto"/>
          <w:sz w:val="24"/>
        </w:rPr>
      </w:pPr>
    </w:p>
    <w:p w14:paraId="074E1D51">
      <w:pPr>
        <w:tabs>
          <w:tab w:val="left" w:pos="5580"/>
        </w:tabs>
        <w:spacing w:line="240" w:lineRule="atLeast"/>
        <w:ind w:left="1" w:firstLine="564" w:firstLineChars="235"/>
        <w:rPr>
          <w:rFonts w:ascii="宋体" w:hAnsi="宋体" w:cs="宋体"/>
          <w:color w:val="auto"/>
          <w:sz w:val="24"/>
        </w:rPr>
      </w:pPr>
    </w:p>
    <w:p w14:paraId="3C914870">
      <w:pPr>
        <w:tabs>
          <w:tab w:val="left" w:pos="5580"/>
        </w:tabs>
        <w:spacing w:line="240" w:lineRule="atLeast"/>
        <w:ind w:left="1" w:firstLine="564" w:firstLineChars="235"/>
        <w:rPr>
          <w:rFonts w:ascii="宋体" w:hAnsi="宋体" w:cs="宋体"/>
          <w:color w:val="auto"/>
          <w:sz w:val="24"/>
        </w:rPr>
      </w:pPr>
    </w:p>
    <w:p w14:paraId="6EDC7E15">
      <w:pPr>
        <w:tabs>
          <w:tab w:val="left" w:pos="5580"/>
        </w:tabs>
        <w:spacing w:line="240" w:lineRule="atLeast"/>
        <w:ind w:left="1" w:firstLine="564" w:firstLineChars="235"/>
        <w:rPr>
          <w:rFonts w:ascii="宋体" w:hAnsi="宋体" w:cs="宋体"/>
          <w:color w:val="auto"/>
          <w:sz w:val="24"/>
        </w:rPr>
      </w:pPr>
    </w:p>
    <w:p w14:paraId="472705AC">
      <w:pPr>
        <w:tabs>
          <w:tab w:val="left" w:pos="5580"/>
        </w:tabs>
        <w:spacing w:line="240" w:lineRule="atLeast"/>
        <w:ind w:left="1" w:firstLine="564" w:firstLineChars="235"/>
        <w:rPr>
          <w:rFonts w:ascii="宋体" w:hAnsi="宋体" w:cs="宋体"/>
          <w:color w:val="auto"/>
          <w:sz w:val="24"/>
        </w:rPr>
      </w:pPr>
    </w:p>
    <w:p w14:paraId="3A73F7BB">
      <w:pPr>
        <w:tabs>
          <w:tab w:val="left" w:pos="5580"/>
        </w:tabs>
        <w:spacing w:line="240" w:lineRule="atLeast"/>
        <w:ind w:left="1" w:firstLine="564" w:firstLineChars="235"/>
        <w:rPr>
          <w:rFonts w:ascii="宋体" w:hAnsi="宋体" w:cs="宋体"/>
          <w:color w:val="auto"/>
          <w:sz w:val="24"/>
        </w:rPr>
      </w:pPr>
    </w:p>
    <w:p w14:paraId="4B04D441">
      <w:pPr>
        <w:tabs>
          <w:tab w:val="left" w:pos="5580"/>
        </w:tabs>
        <w:spacing w:line="240" w:lineRule="atLeast"/>
        <w:ind w:left="1" w:firstLine="564" w:firstLineChars="235"/>
        <w:rPr>
          <w:rFonts w:ascii="宋体" w:hAnsi="宋体" w:cs="宋体"/>
          <w:color w:val="auto"/>
          <w:sz w:val="24"/>
        </w:rPr>
      </w:pPr>
    </w:p>
    <w:p w14:paraId="08D50B38">
      <w:pPr>
        <w:tabs>
          <w:tab w:val="left" w:pos="5580"/>
        </w:tabs>
        <w:spacing w:line="240" w:lineRule="atLeast"/>
        <w:ind w:left="1" w:firstLine="564" w:firstLineChars="235"/>
        <w:rPr>
          <w:rFonts w:ascii="宋体" w:hAnsi="宋体" w:cs="宋体"/>
          <w:color w:val="auto"/>
          <w:sz w:val="24"/>
        </w:rPr>
      </w:pPr>
    </w:p>
    <w:p w14:paraId="534B9EBE">
      <w:pPr>
        <w:tabs>
          <w:tab w:val="left" w:pos="5580"/>
        </w:tabs>
        <w:spacing w:line="240" w:lineRule="atLeast"/>
        <w:ind w:left="1" w:firstLine="564" w:firstLineChars="235"/>
        <w:rPr>
          <w:rFonts w:ascii="宋体" w:hAnsi="宋体" w:cs="宋体"/>
          <w:color w:val="auto"/>
          <w:sz w:val="24"/>
        </w:rPr>
      </w:pPr>
    </w:p>
    <w:p w14:paraId="1C811789">
      <w:pPr>
        <w:pStyle w:val="2"/>
        <w:rPr>
          <w:color w:val="auto"/>
        </w:rPr>
      </w:pPr>
    </w:p>
    <w:p w14:paraId="3150FC0E">
      <w:pPr>
        <w:tabs>
          <w:tab w:val="left" w:pos="5580"/>
        </w:tabs>
        <w:spacing w:line="240" w:lineRule="atLeast"/>
        <w:ind w:left="1" w:firstLine="564" w:firstLineChars="235"/>
        <w:rPr>
          <w:rFonts w:ascii="宋体" w:hAnsi="宋体" w:cs="宋体"/>
          <w:color w:val="auto"/>
          <w:sz w:val="24"/>
        </w:rPr>
      </w:pPr>
    </w:p>
    <w:p w14:paraId="3C08C1F1">
      <w:pPr>
        <w:tabs>
          <w:tab w:val="left" w:pos="5580"/>
        </w:tabs>
        <w:spacing w:line="240" w:lineRule="atLeast"/>
        <w:ind w:left="1" w:firstLine="564" w:firstLineChars="235"/>
        <w:rPr>
          <w:rFonts w:ascii="宋体" w:hAnsi="宋体" w:cs="宋体"/>
          <w:color w:val="auto"/>
          <w:sz w:val="24"/>
        </w:rPr>
      </w:pPr>
    </w:p>
    <w:p w14:paraId="0D7CAD1A">
      <w:pPr>
        <w:tabs>
          <w:tab w:val="left" w:pos="5580"/>
        </w:tabs>
        <w:spacing w:line="240" w:lineRule="atLeast"/>
        <w:jc w:val="center"/>
        <w:rPr>
          <w:rFonts w:ascii="仿宋" w:hAnsi="仿宋" w:eastAsia="仿宋" w:cs="仿宋"/>
          <w:color w:val="auto"/>
          <w:sz w:val="28"/>
          <w:szCs w:val="28"/>
        </w:rPr>
      </w:pPr>
      <w:r>
        <w:rPr>
          <w:rFonts w:hint="eastAsia" w:ascii="宋体" w:hAnsi="宋体" w:cs="宋体"/>
          <w:color w:val="auto"/>
          <w:sz w:val="24"/>
        </w:rPr>
        <w:t xml:space="preserve">  </w:t>
      </w:r>
      <w:r>
        <w:rPr>
          <w:rFonts w:hint="eastAsia" w:ascii="仿宋" w:hAnsi="仿宋" w:eastAsia="仿宋" w:cs="仿宋"/>
          <w:color w:val="auto"/>
          <w:sz w:val="24"/>
        </w:rPr>
        <w:t xml:space="preserve"> </w:t>
      </w:r>
      <w:r>
        <w:rPr>
          <w:rFonts w:hint="eastAsia" w:ascii="仿宋" w:hAnsi="仿宋" w:eastAsia="仿宋" w:cs="仿宋"/>
          <w:b/>
          <w:bCs/>
          <w:color w:val="auto"/>
          <w:sz w:val="28"/>
          <w:szCs w:val="28"/>
        </w:rPr>
        <w:t>1  开标一览表（附件一）</w:t>
      </w:r>
    </w:p>
    <w:p w14:paraId="2178BFBA">
      <w:pPr>
        <w:pStyle w:val="7"/>
        <w:tabs>
          <w:tab w:val="left" w:pos="5580"/>
        </w:tabs>
        <w:spacing w:line="240" w:lineRule="atLeast"/>
        <w:ind w:firstLine="3360" w:firstLineChars="1200"/>
        <w:rPr>
          <w:rFonts w:ascii="仿宋" w:hAnsi="仿宋" w:eastAsia="仿宋" w:cs="仿宋"/>
          <w:b/>
          <w:color w:val="auto"/>
          <w:szCs w:val="24"/>
        </w:rPr>
      </w:pPr>
      <w:bookmarkStart w:id="277" w:name="_Hlt520356241"/>
      <w:bookmarkEnd w:id="277"/>
      <w:bookmarkStart w:id="278" w:name="_Toc494296984"/>
      <w:r>
        <w:rPr>
          <w:rFonts w:hint="eastAsia" w:ascii="仿宋" w:hAnsi="仿宋" w:eastAsia="仿宋" w:cs="仿宋"/>
          <w:b/>
          <w:color w:val="auto"/>
          <w:sz w:val="28"/>
          <w:szCs w:val="28"/>
        </w:rPr>
        <w:t>开标一览表</w:t>
      </w:r>
      <w:bookmarkEnd w:id="278"/>
      <w:r>
        <w:rPr>
          <w:rFonts w:hint="eastAsia" w:ascii="仿宋" w:hAnsi="仿宋" w:eastAsia="仿宋" w:cs="仿宋"/>
          <w:b/>
          <w:color w:val="auto"/>
          <w:szCs w:val="24"/>
        </w:rPr>
        <w:cr/>
      </w:r>
    </w:p>
    <w:p w14:paraId="26B516B9">
      <w:pPr>
        <w:pStyle w:val="7"/>
        <w:tabs>
          <w:tab w:val="left" w:pos="5580"/>
        </w:tabs>
        <w:spacing w:line="240" w:lineRule="atLeast"/>
        <w:ind w:left="539" w:leftChars="257" w:firstLine="480"/>
        <w:rPr>
          <w:rFonts w:ascii="仿宋" w:hAnsi="仿宋" w:eastAsia="仿宋" w:cs="仿宋"/>
          <w:color w:val="auto"/>
          <w:szCs w:val="24"/>
        </w:rPr>
      </w:pPr>
    </w:p>
    <w:p w14:paraId="0E3FAF7D">
      <w:pPr>
        <w:tabs>
          <w:tab w:val="left" w:pos="1800"/>
          <w:tab w:val="left" w:pos="5580"/>
        </w:tabs>
        <w:spacing w:line="240" w:lineRule="atLeast"/>
        <w:ind w:left="1079" w:leftChars="257" w:right="-867" w:rightChars="-413" w:hanging="540"/>
        <w:rPr>
          <w:rFonts w:ascii="仿宋" w:hAnsi="仿宋" w:eastAsia="仿宋" w:cs="仿宋"/>
          <w:color w:val="auto"/>
          <w:sz w:val="24"/>
        </w:rPr>
      </w:pPr>
      <w:r>
        <w:rPr>
          <w:rFonts w:hint="eastAsia" w:ascii="仿宋" w:hAnsi="仿宋" w:eastAsia="仿宋" w:cs="仿宋"/>
          <w:color w:val="auto"/>
          <w:sz w:val="24"/>
        </w:rPr>
        <w:t xml:space="preserve">项目名称：　                     招标编号：                        </w:t>
      </w:r>
    </w:p>
    <w:p w14:paraId="32551684">
      <w:pPr>
        <w:tabs>
          <w:tab w:val="left" w:pos="1800"/>
          <w:tab w:val="left" w:pos="5580"/>
        </w:tabs>
        <w:spacing w:line="240" w:lineRule="atLeast"/>
        <w:ind w:left="1079" w:leftChars="257" w:right="-867" w:rightChars="-413" w:hanging="540"/>
        <w:rPr>
          <w:rFonts w:ascii="仿宋" w:hAnsi="仿宋" w:eastAsia="仿宋" w:cs="仿宋"/>
          <w:bCs/>
          <w:color w:val="auto"/>
          <w:sz w:val="24"/>
        </w:rPr>
      </w:pPr>
      <w:r>
        <w:rPr>
          <w:rFonts w:hint="eastAsia" w:ascii="仿宋" w:hAnsi="仿宋" w:eastAsia="仿宋" w:cs="仿宋"/>
          <w:color w:val="auto"/>
          <w:sz w:val="24"/>
        </w:rPr>
        <w:t xml:space="preserve">报价单位：人民币    </w:t>
      </w:r>
      <w:r>
        <w:rPr>
          <w:rFonts w:hint="eastAsia" w:ascii="仿宋" w:hAnsi="仿宋" w:eastAsia="仿宋" w:cs="仿宋"/>
          <w:bCs/>
          <w:color w:val="auto"/>
          <w:sz w:val="24"/>
        </w:rPr>
        <w:t>元</w:t>
      </w:r>
    </w:p>
    <w:tbl>
      <w:tblPr>
        <w:tblStyle w:val="36"/>
        <w:tblW w:w="8983" w:type="dxa"/>
        <w:tblInd w:w="111" w:type="dxa"/>
        <w:tblLayout w:type="fixed"/>
        <w:tblCellMar>
          <w:top w:w="0" w:type="dxa"/>
          <w:left w:w="0" w:type="dxa"/>
          <w:bottom w:w="0" w:type="dxa"/>
          <w:right w:w="0" w:type="dxa"/>
        </w:tblCellMar>
      </w:tblPr>
      <w:tblGrid>
        <w:gridCol w:w="1341"/>
        <w:gridCol w:w="2247"/>
        <w:gridCol w:w="1439"/>
        <w:gridCol w:w="1548"/>
        <w:gridCol w:w="1279"/>
        <w:gridCol w:w="1129"/>
      </w:tblGrid>
      <w:tr w14:paraId="75A00ED6">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vAlign w:val="center"/>
          </w:tcPr>
          <w:p w14:paraId="6FF0CFB2">
            <w:pPr>
              <w:tabs>
                <w:tab w:val="left" w:pos="5580"/>
              </w:tabs>
              <w:spacing w:line="240" w:lineRule="atLeast"/>
              <w:ind w:right="-199"/>
              <w:jc w:val="center"/>
              <w:rPr>
                <w:rFonts w:ascii="仿宋" w:hAnsi="仿宋" w:eastAsia="仿宋" w:cs="仿宋"/>
                <w:color w:val="auto"/>
                <w:sz w:val="24"/>
              </w:rPr>
            </w:pPr>
            <w:r>
              <w:rPr>
                <w:rFonts w:hint="eastAsia" w:ascii="仿宋" w:hAnsi="仿宋" w:eastAsia="仿宋" w:cs="仿宋"/>
                <w:color w:val="auto"/>
                <w:sz w:val="24"/>
              </w:rPr>
              <w:t>服务名称</w:t>
            </w:r>
          </w:p>
        </w:tc>
        <w:tc>
          <w:tcPr>
            <w:tcW w:w="2247" w:type="dxa"/>
            <w:tcBorders>
              <w:top w:val="single" w:color="auto" w:sz="4" w:space="0"/>
              <w:left w:val="single" w:color="auto" w:sz="8" w:space="0"/>
              <w:bottom w:val="single" w:color="auto" w:sz="8" w:space="0"/>
              <w:right w:val="single" w:color="auto" w:sz="4" w:space="0"/>
            </w:tcBorders>
            <w:vAlign w:val="center"/>
          </w:tcPr>
          <w:p w14:paraId="2B48E380">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投标总价</w:t>
            </w:r>
          </w:p>
        </w:tc>
        <w:tc>
          <w:tcPr>
            <w:tcW w:w="1439" w:type="dxa"/>
            <w:tcBorders>
              <w:top w:val="single" w:color="auto" w:sz="8" w:space="0"/>
              <w:left w:val="nil"/>
              <w:bottom w:val="single" w:color="auto" w:sz="8" w:space="0"/>
              <w:right w:val="single" w:color="auto" w:sz="4" w:space="0"/>
            </w:tcBorders>
            <w:vAlign w:val="center"/>
          </w:tcPr>
          <w:p w14:paraId="30A55F49">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投标保证金</w:t>
            </w:r>
          </w:p>
        </w:tc>
        <w:tc>
          <w:tcPr>
            <w:tcW w:w="1548" w:type="dxa"/>
            <w:tcBorders>
              <w:top w:val="single" w:color="auto" w:sz="8" w:space="0"/>
              <w:left w:val="nil"/>
              <w:bottom w:val="single" w:color="auto" w:sz="8" w:space="0"/>
              <w:right w:val="single" w:color="auto" w:sz="4" w:space="0"/>
            </w:tcBorders>
            <w:vAlign w:val="center"/>
          </w:tcPr>
          <w:p w14:paraId="427AC2D1">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服务期</w:t>
            </w:r>
          </w:p>
        </w:tc>
        <w:tc>
          <w:tcPr>
            <w:tcW w:w="1279" w:type="dxa"/>
            <w:tcBorders>
              <w:top w:val="single" w:color="auto" w:sz="8" w:space="0"/>
              <w:left w:val="nil"/>
              <w:bottom w:val="single" w:color="auto" w:sz="8" w:space="0"/>
              <w:right w:val="single" w:color="auto" w:sz="4" w:space="0"/>
            </w:tcBorders>
            <w:vAlign w:val="center"/>
          </w:tcPr>
          <w:p w14:paraId="63B9B492">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14:paraId="5F175A90">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备注</w:t>
            </w:r>
          </w:p>
        </w:tc>
      </w:tr>
      <w:tr w14:paraId="62312212">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vAlign w:val="center"/>
          </w:tcPr>
          <w:p w14:paraId="77976FBD">
            <w:pPr>
              <w:tabs>
                <w:tab w:val="left" w:pos="5580"/>
              </w:tabs>
              <w:spacing w:line="240" w:lineRule="atLeast"/>
              <w:ind w:left="1079" w:leftChars="257" w:hanging="540"/>
              <w:jc w:val="center"/>
              <w:rPr>
                <w:rFonts w:ascii="仿宋" w:hAnsi="仿宋" w:eastAsia="仿宋" w:cs="仿宋"/>
                <w:color w:val="auto"/>
                <w:sz w:val="24"/>
              </w:rPr>
            </w:pPr>
          </w:p>
        </w:tc>
        <w:tc>
          <w:tcPr>
            <w:tcW w:w="2247" w:type="dxa"/>
            <w:tcBorders>
              <w:top w:val="single" w:color="auto" w:sz="8" w:space="0"/>
              <w:left w:val="single" w:color="auto" w:sz="8" w:space="0"/>
              <w:bottom w:val="single" w:color="auto" w:sz="4" w:space="0"/>
              <w:right w:val="single" w:color="auto" w:sz="4" w:space="0"/>
            </w:tcBorders>
            <w:vAlign w:val="center"/>
          </w:tcPr>
          <w:p w14:paraId="1891CAFE">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大写：</w:t>
            </w:r>
          </w:p>
          <w:p w14:paraId="5A8686CE">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小写：</w:t>
            </w:r>
          </w:p>
        </w:tc>
        <w:tc>
          <w:tcPr>
            <w:tcW w:w="1439" w:type="dxa"/>
            <w:tcBorders>
              <w:top w:val="single" w:color="auto" w:sz="8" w:space="0"/>
              <w:left w:val="nil"/>
              <w:bottom w:val="single" w:color="auto" w:sz="4" w:space="0"/>
              <w:right w:val="single" w:color="auto" w:sz="4" w:space="0"/>
            </w:tcBorders>
            <w:vAlign w:val="center"/>
          </w:tcPr>
          <w:p w14:paraId="3F9D31AC">
            <w:pPr>
              <w:tabs>
                <w:tab w:val="left" w:pos="5580"/>
              </w:tabs>
              <w:spacing w:line="240" w:lineRule="atLeast"/>
              <w:ind w:left="1079" w:leftChars="257" w:hanging="540"/>
              <w:jc w:val="center"/>
              <w:rPr>
                <w:rFonts w:ascii="仿宋" w:hAnsi="仿宋" w:eastAsia="仿宋" w:cs="仿宋"/>
                <w:color w:val="auto"/>
                <w:sz w:val="24"/>
              </w:rPr>
            </w:pPr>
          </w:p>
        </w:tc>
        <w:tc>
          <w:tcPr>
            <w:tcW w:w="1548" w:type="dxa"/>
            <w:tcBorders>
              <w:top w:val="single" w:color="auto" w:sz="8" w:space="0"/>
              <w:left w:val="nil"/>
              <w:bottom w:val="single" w:color="auto" w:sz="4" w:space="0"/>
              <w:right w:val="single" w:color="auto" w:sz="4" w:space="0"/>
            </w:tcBorders>
            <w:vAlign w:val="center"/>
          </w:tcPr>
          <w:p w14:paraId="00BD1AEE">
            <w:pPr>
              <w:tabs>
                <w:tab w:val="left" w:pos="5580"/>
              </w:tabs>
              <w:spacing w:line="240" w:lineRule="atLeast"/>
              <w:ind w:left="1079" w:leftChars="257" w:hanging="540"/>
              <w:jc w:val="center"/>
              <w:rPr>
                <w:rFonts w:ascii="仿宋" w:hAnsi="仿宋" w:eastAsia="仿宋" w:cs="仿宋"/>
                <w:color w:val="auto"/>
                <w:sz w:val="24"/>
              </w:rPr>
            </w:pPr>
          </w:p>
        </w:tc>
        <w:tc>
          <w:tcPr>
            <w:tcW w:w="1279" w:type="dxa"/>
            <w:tcBorders>
              <w:top w:val="single" w:color="auto" w:sz="8" w:space="0"/>
              <w:left w:val="nil"/>
              <w:bottom w:val="single" w:color="auto" w:sz="4" w:space="0"/>
              <w:right w:val="single" w:color="auto" w:sz="4" w:space="0"/>
            </w:tcBorders>
            <w:vAlign w:val="center"/>
          </w:tcPr>
          <w:p w14:paraId="437D8233">
            <w:pPr>
              <w:tabs>
                <w:tab w:val="left" w:pos="5580"/>
              </w:tabs>
              <w:spacing w:line="240" w:lineRule="atLeast"/>
              <w:ind w:left="1079" w:leftChars="257" w:hanging="540"/>
              <w:jc w:val="center"/>
              <w:rPr>
                <w:rFonts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14:paraId="61CFCBB3">
            <w:pPr>
              <w:tabs>
                <w:tab w:val="left" w:pos="5580"/>
              </w:tabs>
              <w:spacing w:line="240" w:lineRule="atLeast"/>
              <w:ind w:left="1079" w:leftChars="257" w:hanging="540"/>
              <w:jc w:val="center"/>
              <w:rPr>
                <w:rFonts w:ascii="仿宋" w:hAnsi="仿宋" w:eastAsia="仿宋" w:cs="仿宋"/>
                <w:color w:val="auto"/>
                <w:sz w:val="24"/>
              </w:rPr>
            </w:pPr>
          </w:p>
        </w:tc>
      </w:tr>
    </w:tbl>
    <w:p w14:paraId="0A752817">
      <w:pPr>
        <w:pStyle w:val="15"/>
        <w:tabs>
          <w:tab w:val="left" w:pos="5580"/>
        </w:tabs>
        <w:spacing w:line="240" w:lineRule="atLeast"/>
        <w:ind w:left="1079" w:leftChars="257" w:hanging="540"/>
        <w:rPr>
          <w:rFonts w:ascii="仿宋" w:hAnsi="仿宋" w:eastAsia="仿宋" w:cs="仿宋"/>
          <w:color w:val="auto"/>
          <w:sz w:val="24"/>
          <w:szCs w:val="24"/>
        </w:rPr>
      </w:pPr>
    </w:p>
    <w:p w14:paraId="052F1788">
      <w:pPr>
        <w:pStyle w:val="15"/>
        <w:tabs>
          <w:tab w:val="left" w:pos="5580"/>
        </w:tabs>
        <w:spacing w:line="240" w:lineRule="atLeast"/>
        <w:ind w:left="1079" w:leftChars="257" w:hanging="540"/>
        <w:rPr>
          <w:rFonts w:ascii="仿宋" w:hAnsi="仿宋" w:eastAsia="仿宋" w:cs="仿宋"/>
          <w:color w:val="auto"/>
          <w:sz w:val="24"/>
          <w:szCs w:val="24"/>
          <w:u w:val="single"/>
        </w:rPr>
      </w:pPr>
    </w:p>
    <w:p w14:paraId="660FF34C">
      <w:pPr>
        <w:pStyle w:val="15"/>
        <w:tabs>
          <w:tab w:val="left" w:pos="5580"/>
        </w:tabs>
        <w:spacing w:line="240" w:lineRule="atLeast"/>
        <w:ind w:left="1079" w:leftChars="257" w:hanging="540"/>
        <w:rPr>
          <w:rFonts w:ascii="仿宋" w:hAnsi="仿宋" w:eastAsia="仿宋" w:cs="仿宋"/>
          <w:color w:val="auto"/>
          <w:sz w:val="24"/>
          <w:szCs w:val="24"/>
          <w:u w:val="single"/>
        </w:rPr>
      </w:pPr>
    </w:p>
    <w:p w14:paraId="215501F7">
      <w:pPr>
        <w:pStyle w:val="15"/>
        <w:tabs>
          <w:tab w:val="left" w:pos="5580"/>
        </w:tabs>
        <w:spacing w:line="240" w:lineRule="atLeas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z w:val="24"/>
          <w:szCs w:val="24"/>
        </w:rPr>
        <w:t>（单位盖章）：</w:t>
      </w:r>
      <w:r>
        <w:rPr>
          <w:rFonts w:hint="eastAsia" w:ascii="仿宋" w:hAnsi="仿宋" w:eastAsia="仿宋" w:cs="仿宋"/>
          <w:color w:val="auto"/>
          <w:sz w:val="24"/>
          <w:szCs w:val="24"/>
          <w:u w:val="single"/>
        </w:rPr>
        <w:t xml:space="preserve">                       </w:t>
      </w:r>
    </w:p>
    <w:p w14:paraId="6158A5C1">
      <w:pPr>
        <w:pStyle w:val="15"/>
        <w:tabs>
          <w:tab w:val="left" w:pos="5580"/>
        </w:tabs>
        <w:spacing w:line="240" w:lineRule="atLeast"/>
        <w:ind w:left="1079" w:leftChars="257" w:hanging="540"/>
        <w:rPr>
          <w:rFonts w:ascii="仿宋" w:hAnsi="仿宋" w:eastAsia="仿宋" w:cs="仿宋"/>
          <w:color w:val="auto"/>
          <w:sz w:val="24"/>
          <w:szCs w:val="24"/>
        </w:rPr>
      </w:pPr>
    </w:p>
    <w:p w14:paraId="61A78059">
      <w:pPr>
        <w:pStyle w:val="15"/>
        <w:tabs>
          <w:tab w:val="left" w:pos="5580"/>
        </w:tabs>
        <w:spacing w:line="240" w:lineRule="atLeast"/>
        <w:ind w:left="1079" w:leftChars="257" w:hanging="540"/>
        <w:rPr>
          <w:rFonts w:ascii="仿宋" w:hAnsi="仿宋" w:eastAsia="仿宋" w:cs="仿宋"/>
          <w:color w:val="auto"/>
          <w:sz w:val="24"/>
          <w:szCs w:val="24"/>
        </w:rPr>
      </w:pPr>
    </w:p>
    <w:p w14:paraId="3C3641AF">
      <w:pPr>
        <w:pStyle w:val="15"/>
        <w:tabs>
          <w:tab w:val="left" w:pos="6300"/>
        </w:tabs>
        <w:spacing w:line="240" w:lineRule="atLeast"/>
        <w:ind w:left="1079" w:leftChars="257" w:hanging="540"/>
        <w:rPr>
          <w:rFonts w:ascii="仿宋" w:hAnsi="仿宋" w:eastAsia="仿宋" w:cs="仿宋"/>
          <w:color w:val="auto"/>
          <w:sz w:val="24"/>
          <w:szCs w:val="24"/>
          <w:u w:val="single"/>
        </w:rPr>
      </w:pPr>
      <w:r>
        <w:rPr>
          <w:rFonts w:hint="eastAsia" w:ascii="仿宋" w:hAnsi="仿宋" w:eastAsia="仿宋" w:cs="仿宋"/>
          <w:color w:val="auto"/>
          <w:sz w:val="24"/>
          <w:szCs w:val="24"/>
        </w:rPr>
        <w:t>法定代表人或其委托代理人</w:t>
      </w:r>
      <w:r>
        <w:rPr>
          <w:rFonts w:ascii="仿宋" w:hAnsi="仿宋" w:eastAsia="仿宋" w:cs="仿宋"/>
          <w:color w:val="auto"/>
          <w:sz w:val="24"/>
          <w:szCs w:val="24"/>
        </w:rPr>
        <w:t xml:space="preserve"> (</w:t>
      </w:r>
      <w:r>
        <w:rPr>
          <w:rFonts w:hint="eastAsia" w:ascii="仿宋" w:hAnsi="仿宋" w:eastAsia="仿宋" w:cs="仿宋"/>
          <w:color w:val="auto"/>
          <w:sz w:val="24"/>
          <w:szCs w:val="24"/>
        </w:rPr>
        <w:t>签字或盖章</w:t>
      </w:r>
      <w:r>
        <w:rPr>
          <w:rFonts w:ascii="仿宋" w:hAnsi="仿宋" w:eastAsia="仿宋" w:cs="仿宋"/>
          <w:color w:val="auto"/>
          <w:sz w:val="24"/>
          <w:szCs w:val="24"/>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ab/>
      </w:r>
    </w:p>
    <w:p w14:paraId="1D823854">
      <w:pPr>
        <w:pStyle w:val="15"/>
        <w:tabs>
          <w:tab w:val="left" w:pos="5580"/>
        </w:tabs>
        <w:spacing w:line="240" w:lineRule="atLeast"/>
        <w:ind w:left="1079" w:leftChars="257" w:hanging="540"/>
        <w:rPr>
          <w:rFonts w:ascii="仿宋" w:hAnsi="仿宋" w:eastAsia="仿宋" w:cs="仿宋"/>
          <w:color w:val="auto"/>
          <w:sz w:val="24"/>
          <w:szCs w:val="24"/>
        </w:rPr>
      </w:pPr>
    </w:p>
    <w:p w14:paraId="7A29FCCD">
      <w:pPr>
        <w:pStyle w:val="15"/>
        <w:tabs>
          <w:tab w:val="left" w:pos="5580"/>
        </w:tabs>
        <w:spacing w:line="240" w:lineRule="atLeast"/>
        <w:ind w:left="1079" w:leftChars="257" w:hanging="540"/>
        <w:rPr>
          <w:rFonts w:ascii="仿宋" w:hAnsi="仿宋" w:eastAsia="仿宋" w:cs="仿宋"/>
          <w:color w:val="auto"/>
          <w:sz w:val="24"/>
          <w:szCs w:val="24"/>
        </w:rPr>
      </w:pPr>
    </w:p>
    <w:p w14:paraId="533AA69F">
      <w:pPr>
        <w:pStyle w:val="15"/>
        <w:tabs>
          <w:tab w:val="left" w:pos="5580"/>
        </w:tabs>
        <w:spacing w:line="240" w:lineRule="atLeast"/>
        <w:ind w:left="1078" w:leftChars="428" w:hanging="180" w:hangingChars="75"/>
        <w:rPr>
          <w:rFonts w:ascii="仿宋" w:hAnsi="仿宋" w:eastAsia="仿宋" w:cs="仿宋"/>
          <w:color w:val="auto"/>
          <w:sz w:val="24"/>
          <w:szCs w:val="24"/>
        </w:rPr>
      </w:pPr>
      <w:r>
        <w:rPr>
          <w:rFonts w:hint="eastAsia" w:ascii="仿宋" w:hAnsi="仿宋" w:eastAsia="仿宋" w:cs="仿宋"/>
          <w:color w:val="auto"/>
          <w:sz w:val="24"/>
          <w:szCs w:val="24"/>
        </w:rPr>
        <w:t>注:1、此表中，投标总价应和投标分项报价表的总价相一致。</w:t>
      </w:r>
    </w:p>
    <w:p w14:paraId="5CEF3EE7">
      <w:pPr>
        <w:pStyle w:val="15"/>
        <w:tabs>
          <w:tab w:val="left" w:pos="5580"/>
        </w:tabs>
        <w:spacing w:line="240" w:lineRule="atLeast"/>
        <w:ind w:left="1077" w:leftChars="513" w:firstLine="240" w:firstLineChars="100"/>
        <w:rPr>
          <w:rFonts w:ascii="仿宋" w:hAnsi="仿宋" w:eastAsia="仿宋" w:cs="仿宋"/>
          <w:color w:val="auto"/>
          <w:sz w:val="24"/>
          <w:szCs w:val="24"/>
        </w:rPr>
      </w:pPr>
      <w:r>
        <w:rPr>
          <w:rFonts w:hint="eastAsia" w:ascii="仿宋" w:hAnsi="仿宋" w:eastAsia="仿宋" w:cs="仿宋"/>
          <w:color w:val="auto"/>
          <w:sz w:val="24"/>
          <w:szCs w:val="24"/>
        </w:rPr>
        <w:t>2、此报价包含本项目相关所有费用。</w:t>
      </w:r>
    </w:p>
    <w:p w14:paraId="25D56621">
      <w:pPr>
        <w:widowControl/>
        <w:spacing w:line="360" w:lineRule="exact"/>
        <w:jc w:val="left"/>
        <w:rPr>
          <w:rFonts w:ascii="宋体" w:hAnsi="宋体" w:cs="宋体"/>
          <w:b/>
          <w:bCs/>
          <w:color w:val="auto"/>
          <w:sz w:val="28"/>
          <w:szCs w:val="28"/>
        </w:rPr>
      </w:pPr>
    </w:p>
    <w:p w14:paraId="7A730D04">
      <w:pPr>
        <w:widowControl/>
        <w:spacing w:line="360" w:lineRule="exact"/>
        <w:jc w:val="left"/>
        <w:rPr>
          <w:rFonts w:ascii="宋体" w:hAnsi="宋体" w:cs="宋体"/>
          <w:b/>
          <w:bCs/>
          <w:color w:val="auto"/>
          <w:sz w:val="28"/>
          <w:szCs w:val="28"/>
        </w:rPr>
      </w:pPr>
    </w:p>
    <w:p w14:paraId="6B7BA066">
      <w:pPr>
        <w:widowControl/>
        <w:spacing w:line="360" w:lineRule="exact"/>
        <w:jc w:val="left"/>
        <w:rPr>
          <w:rFonts w:ascii="宋体" w:hAnsi="宋体" w:cs="宋体"/>
          <w:b/>
          <w:bCs/>
          <w:color w:val="auto"/>
          <w:sz w:val="28"/>
          <w:szCs w:val="28"/>
        </w:rPr>
      </w:pPr>
    </w:p>
    <w:p w14:paraId="3A7347AF">
      <w:pPr>
        <w:widowControl/>
        <w:spacing w:line="360" w:lineRule="exact"/>
        <w:jc w:val="left"/>
        <w:rPr>
          <w:rFonts w:ascii="宋体" w:hAnsi="宋体" w:cs="宋体"/>
          <w:b/>
          <w:bCs/>
          <w:color w:val="auto"/>
          <w:sz w:val="28"/>
          <w:szCs w:val="28"/>
        </w:rPr>
      </w:pPr>
    </w:p>
    <w:p w14:paraId="264A7EA5">
      <w:pPr>
        <w:widowControl/>
        <w:spacing w:line="360" w:lineRule="exact"/>
        <w:jc w:val="left"/>
        <w:rPr>
          <w:rFonts w:ascii="宋体" w:hAnsi="宋体" w:cs="宋体"/>
          <w:b/>
          <w:bCs/>
          <w:color w:val="auto"/>
          <w:sz w:val="28"/>
          <w:szCs w:val="28"/>
        </w:rPr>
      </w:pPr>
    </w:p>
    <w:p w14:paraId="44B02468">
      <w:pPr>
        <w:widowControl/>
        <w:spacing w:line="360" w:lineRule="exact"/>
        <w:jc w:val="left"/>
        <w:rPr>
          <w:rFonts w:ascii="宋体" w:hAnsi="宋体" w:cs="宋体"/>
          <w:b/>
          <w:bCs/>
          <w:color w:val="auto"/>
          <w:sz w:val="28"/>
          <w:szCs w:val="28"/>
        </w:rPr>
      </w:pPr>
    </w:p>
    <w:p w14:paraId="30FB48AF">
      <w:pPr>
        <w:pStyle w:val="10"/>
        <w:rPr>
          <w:color w:val="auto"/>
        </w:rPr>
      </w:pPr>
    </w:p>
    <w:p w14:paraId="7DFA71D9">
      <w:pPr>
        <w:pStyle w:val="10"/>
        <w:rPr>
          <w:color w:val="auto"/>
        </w:rPr>
      </w:pPr>
    </w:p>
    <w:p w14:paraId="5A4FCB38">
      <w:pPr>
        <w:pStyle w:val="10"/>
        <w:rPr>
          <w:color w:val="auto"/>
        </w:rPr>
      </w:pPr>
    </w:p>
    <w:p w14:paraId="3E86849D">
      <w:pPr>
        <w:pStyle w:val="10"/>
        <w:rPr>
          <w:color w:val="auto"/>
        </w:rPr>
      </w:pPr>
    </w:p>
    <w:p w14:paraId="41C5C44B">
      <w:pPr>
        <w:pStyle w:val="10"/>
        <w:rPr>
          <w:color w:val="auto"/>
        </w:rPr>
      </w:pPr>
    </w:p>
    <w:p w14:paraId="586DB362">
      <w:pPr>
        <w:pStyle w:val="10"/>
        <w:rPr>
          <w:color w:val="auto"/>
        </w:rPr>
      </w:pPr>
    </w:p>
    <w:p w14:paraId="000CABBE">
      <w:pPr>
        <w:pStyle w:val="10"/>
        <w:rPr>
          <w:color w:val="auto"/>
        </w:rPr>
      </w:pPr>
    </w:p>
    <w:p w14:paraId="40EA2048">
      <w:pPr>
        <w:pStyle w:val="10"/>
        <w:rPr>
          <w:color w:val="auto"/>
        </w:rPr>
      </w:pPr>
    </w:p>
    <w:p w14:paraId="6FD11884">
      <w:pPr>
        <w:tabs>
          <w:tab w:val="left" w:pos="5580"/>
        </w:tabs>
        <w:spacing w:line="36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2、单位三证合一营业执照</w:t>
      </w:r>
    </w:p>
    <w:p w14:paraId="1BF4CAE8">
      <w:pPr>
        <w:pStyle w:val="4"/>
        <w:rPr>
          <w:color w:val="auto"/>
        </w:rPr>
      </w:pPr>
    </w:p>
    <w:p w14:paraId="225656A6">
      <w:pPr>
        <w:pStyle w:val="15"/>
        <w:tabs>
          <w:tab w:val="left" w:pos="5580"/>
        </w:tabs>
        <w:spacing w:line="240" w:lineRule="atLeast"/>
        <w:ind w:left="1078" w:leftChars="428" w:hanging="180" w:hangingChars="75"/>
        <w:rPr>
          <w:rFonts w:ascii="仿宋" w:hAnsi="仿宋" w:eastAsia="仿宋" w:cs="仿宋"/>
          <w:color w:val="auto"/>
          <w:sz w:val="24"/>
          <w:szCs w:val="24"/>
        </w:rPr>
      </w:pPr>
      <w:r>
        <w:rPr>
          <w:rFonts w:hint="eastAsia" w:ascii="仿宋" w:hAnsi="仿宋" w:eastAsia="仿宋" w:cs="仿宋"/>
          <w:color w:val="auto"/>
          <w:sz w:val="24"/>
          <w:szCs w:val="24"/>
        </w:rPr>
        <w:t>说明：</w:t>
      </w:r>
      <w:r>
        <w:rPr>
          <w:rFonts w:ascii="仿宋" w:hAnsi="仿宋" w:eastAsia="仿宋" w:cs="仿宋"/>
          <w:color w:val="auto"/>
          <w:sz w:val="24"/>
          <w:szCs w:val="24"/>
        </w:rPr>
        <w:t>1.</w:t>
      </w:r>
      <w:r>
        <w:rPr>
          <w:rFonts w:hint="eastAsia" w:ascii="仿宋" w:hAnsi="仿宋" w:eastAsia="仿宋" w:cs="仿宋"/>
          <w:color w:val="auto"/>
          <w:sz w:val="24"/>
          <w:szCs w:val="24"/>
        </w:rPr>
        <w:t>提供有效的营业执照复印件，复印件上应加盖本单位章。</w:t>
      </w:r>
    </w:p>
    <w:p w14:paraId="44F57933">
      <w:pPr>
        <w:adjustRightInd w:val="0"/>
        <w:snapToGrid w:val="0"/>
        <w:spacing w:before="312" w:beforeLines="100" w:after="312" w:afterLines="100" w:line="360" w:lineRule="exact"/>
        <w:ind w:firstLine="1680" w:firstLineChars="700"/>
        <w:rPr>
          <w:rFonts w:ascii="仿宋" w:hAnsi="仿宋" w:eastAsia="仿宋" w:cs="仿宋"/>
          <w:color w:val="auto"/>
          <w:sz w:val="24"/>
        </w:rPr>
      </w:pPr>
      <w:r>
        <w:rPr>
          <w:rFonts w:ascii="仿宋" w:hAnsi="仿宋" w:eastAsia="仿宋" w:cs="仿宋"/>
          <w:color w:val="auto"/>
          <w:sz w:val="24"/>
        </w:rPr>
        <w:t>2.</w:t>
      </w:r>
      <w:r>
        <w:rPr>
          <w:rFonts w:hint="eastAsia" w:ascii="仿宋" w:hAnsi="仿宋" w:eastAsia="仿宋" w:cs="仿宋"/>
          <w:color w:val="auto"/>
          <w:sz w:val="24"/>
        </w:rPr>
        <w:t>投标人为自然人的，应提供身份证明的复印件。</w:t>
      </w:r>
    </w:p>
    <w:p w14:paraId="0BBD1234">
      <w:pPr>
        <w:pStyle w:val="2"/>
        <w:rPr>
          <w:color w:val="auto"/>
        </w:rPr>
      </w:pPr>
    </w:p>
    <w:p w14:paraId="1438B91C">
      <w:pPr>
        <w:pStyle w:val="2"/>
        <w:rPr>
          <w:color w:val="auto"/>
        </w:rPr>
      </w:pPr>
    </w:p>
    <w:p w14:paraId="0F866229">
      <w:pPr>
        <w:pStyle w:val="2"/>
        <w:rPr>
          <w:color w:val="auto"/>
        </w:rPr>
      </w:pPr>
    </w:p>
    <w:p w14:paraId="389242C2">
      <w:pPr>
        <w:pStyle w:val="2"/>
        <w:rPr>
          <w:color w:val="auto"/>
        </w:rPr>
      </w:pPr>
    </w:p>
    <w:p w14:paraId="1AC2FF88">
      <w:pPr>
        <w:pStyle w:val="2"/>
        <w:rPr>
          <w:color w:val="auto"/>
        </w:rPr>
      </w:pPr>
    </w:p>
    <w:p w14:paraId="30B2DCD1">
      <w:pPr>
        <w:pStyle w:val="2"/>
        <w:rPr>
          <w:color w:val="auto"/>
        </w:rPr>
      </w:pPr>
    </w:p>
    <w:p w14:paraId="027A5A2E">
      <w:pPr>
        <w:pStyle w:val="2"/>
        <w:rPr>
          <w:color w:val="auto"/>
        </w:rPr>
      </w:pPr>
    </w:p>
    <w:p w14:paraId="3E1BDD74">
      <w:pPr>
        <w:pStyle w:val="2"/>
        <w:rPr>
          <w:color w:val="auto"/>
        </w:rPr>
      </w:pPr>
    </w:p>
    <w:p w14:paraId="3E70046A">
      <w:pPr>
        <w:pStyle w:val="2"/>
        <w:rPr>
          <w:color w:val="auto"/>
        </w:rPr>
      </w:pPr>
    </w:p>
    <w:p w14:paraId="31E285AA">
      <w:pPr>
        <w:pStyle w:val="2"/>
        <w:rPr>
          <w:color w:val="auto"/>
        </w:rPr>
      </w:pPr>
    </w:p>
    <w:p w14:paraId="1DA06571">
      <w:pPr>
        <w:pStyle w:val="2"/>
        <w:rPr>
          <w:color w:val="auto"/>
        </w:rPr>
      </w:pPr>
    </w:p>
    <w:p w14:paraId="2B07DF21">
      <w:pPr>
        <w:pStyle w:val="2"/>
        <w:rPr>
          <w:color w:val="auto"/>
        </w:rPr>
      </w:pPr>
    </w:p>
    <w:p w14:paraId="4840E0E1">
      <w:pPr>
        <w:pStyle w:val="2"/>
        <w:rPr>
          <w:color w:val="auto"/>
        </w:rPr>
      </w:pPr>
    </w:p>
    <w:p w14:paraId="5BE12A49">
      <w:pPr>
        <w:pStyle w:val="2"/>
        <w:rPr>
          <w:color w:val="auto"/>
        </w:rPr>
      </w:pPr>
    </w:p>
    <w:p w14:paraId="667FC538">
      <w:pPr>
        <w:pStyle w:val="2"/>
        <w:rPr>
          <w:color w:val="auto"/>
        </w:rPr>
      </w:pPr>
    </w:p>
    <w:p w14:paraId="41CCE3C2">
      <w:pPr>
        <w:pStyle w:val="2"/>
        <w:rPr>
          <w:color w:val="auto"/>
        </w:rPr>
      </w:pPr>
    </w:p>
    <w:p w14:paraId="5FA5A2E9">
      <w:pPr>
        <w:pStyle w:val="2"/>
        <w:rPr>
          <w:color w:val="auto"/>
        </w:rPr>
      </w:pPr>
    </w:p>
    <w:p w14:paraId="10E922D5">
      <w:pPr>
        <w:pStyle w:val="2"/>
        <w:rPr>
          <w:color w:val="auto"/>
        </w:rPr>
      </w:pPr>
    </w:p>
    <w:p w14:paraId="776A897D">
      <w:pPr>
        <w:pStyle w:val="2"/>
        <w:rPr>
          <w:color w:val="auto"/>
        </w:rPr>
      </w:pPr>
    </w:p>
    <w:p w14:paraId="711E5271">
      <w:pPr>
        <w:pStyle w:val="2"/>
        <w:rPr>
          <w:color w:val="auto"/>
        </w:rPr>
      </w:pPr>
    </w:p>
    <w:p w14:paraId="756D4317">
      <w:pPr>
        <w:pStyle w:val="2"/>
        <w:rPr>
          <w:color w:val="auto"/>
        </w:rPr>
      </w:pPr>
    </w:p>
    <w:p w14:paraId="4ADA9CE5">
      <w:pPr>
        <w:pStyle w:val="2"/>
        <w:rPr>
          <w:color w:val="auto"/>
        </w:rPr>
      </w:pPr>
    </w:p>
    <w:p w14:paraId="2AFE24E3">
      <w:pPr>
        <w:pStyle w:val="2"/>
        <w:rPr>
          <w:color w:val="auto"/>
        </w:rPr>
      </w:pPr>
    </w:p>
    <w:p w14:paraId="5E727F23">
      <w:pPr>
        <w:pStyle w:val="2"/>
        <w:rPr>
          <w:color w:val="auto"/>
        </w:rPr>
      </w:pPr>
    </w:p>
    <w:p w14:paraId="0BFC4E13">
      <w:pPr>
        <w:pStyle w:val="2"/>
        <w:rPr>
          <w:color w:val="auto"/>
        </w:rPr>
      </w:pPr>
    </w:p>
    <w:p w14:paraId="0B7E1C02">
      <w:pPr>
        <w:pStyle w:val="2"/>
        <w:rPr>
          <w:color w:val="auto"/>
        </w:rPr>
      </w:pPr>
    </w:p>
    <w:p w14:paraId="009DE3DD">
      <w:pPr>
        <w:pStyle w:val="2"/>
        <w:rPr>
          <w:color w:val="auto"/>
        </w:rPr>
      </w:pPr>
    </w:p>
    <w:p w14:paraId="48C8B774">
      <w:pPr>
        <w:pStyle w:val="2"/>
        <w:rPr>
          <w:color w:val="auto"/>
        </w:rPr>
      </w:pPr>
    </w:p>
    <w:p w14:paraId="536A09D2">
      <w:pPr>
        <w:pStyle w:val="2"/>
        <w:rPr>
          <w:color w:val="auto"/>
        </w:rPr>
      </w:pPr>
    </w:p>
    <w:p w14:paraId="0F8642DF">
      <w:pPr>
        <w:pStyle w:val="2"/>
        <w:rPr>
          <w:color w:val="auto"/>
        </w:rPr>
      </w:pPr>
    </w:p>
    <w:p w14:paraId="1F8DE375">
      <w:pPr>
        <w:pStyle w:val="2"/>
        <w:rPr>
          <w:color w:val="auto"/>
        </w:rPr>
      </w:pPr>
    </w:p>
    <w:p w14:paraId="10109FBE">
      <w:pPr>
        <w:pStyle w:val="2"/>
        <w:rPr>
          <w:color w:val="auto"/>
        </w:rPr>
      </w:pPr>
    </w:p>
    <w:p w14:paraId="332E9E40">
      <w:pPr>
        <w:pStyle w:val="2"/>
        <w:rPr>
          <w:color w:val="auto"/>
        </w:rPr>
      </w:pPr>
    </w:p>
    <w:p w14:paraId="52235182">
      <w:pPr>
        <w:pStyle w:val="2"/>
        <w:rPr>
          <w:color w:val="auto"/>
        </w:rPr>
      </w:pPr>
    </w:p>
    <w:p w14:paraId="6C74F773">
      <w:pPr>
        <w:pStyle w:val="2"/>
        <w:rPr>
          <w:color w:val="auto"/>
        </w:rPr>
      </w:pPr>
    </w:p>
    <w:p w14:paraId="0EF3EC2A">
      <w:pPr>
        <w:pStyle w:val="2"/>
        <w:rPr>
          <w:color w:val="auto"/>
        </w:rPr>
      </w:pPr>
    </w:p>
    <w:p w14:paraId="76F7A880">
      <w:pPr>
        <w:pStyle w:val="2"/>
        <w:rPr>
          <w:color w:val="auto"/>
        </w:rPr>
      </w:pPr>
    </w:p>
    <w:p w14:paraId="1E306574">
      <w:pPr>
        <w:pStyle w:val="2"/>
        <w:rPr>
          <w:color w:val="auto"/>
        </w:rPr>
      </w:pPr>
    </w:p>
    <w:p w14:paraId="5FF63F2E">
      <w:pPr>
        <w:pStyle w:val="2"/>
        <w:rPr>
          <w:color w:val="auto"/>
        </w:rPr>
      </w:pPr>
    </w:p>
    <w:p w14:paraId="0045DFDB">
      <w:pPr>
        <w:pStyle w:val="2"/>
        <w:rPr>
          <w:color w:val="auto"/>
        </w:rPr>
      </w:pPr>
    </w:p>
    <w:p w14:paraId="1A646E9F">
      <w:pPr>
        <w:pStyle w:val="2"/>
        <w:rPr>
          <w:color w:val="auto"/>
        </w:rPr>
      </w:pPr>
    </w:p>
    <w:p w14:paraId="65A7F8BD">
      <w:pPr>
        <w:pStyle w:val="2"/>
        <w:rPr>
          <w:color w:val="auto"/>
        </w:rPr>
      </w:pPr>
    </w:p>
    <w:p w14:paraId="34633FA2">
      <w:pPr>
        <w:pStyle w:val="2"/>
        <w:rPr>
          <w:color w:val="auto"/>
        </w:rPr>
      </w:pPr>
    </w:p>
    <w:p w14:paraId="4ABF1387">
      <w:pPr>
        <w:pStyle w:val="2"/>
        <w:rPr>
          <w:color w:val="auto"/>
        </w:rPr>
      </w:pPr>
    </w:p>
    <w:p w14:paraId="73B953A0">
      <w:pPr>
        <w:pStyle w:val="2"/>
        <w:rPr>
          <w:color w:val="auto"/>
        </w:rPr>
      </w:pPr>
    </w:p>
    <w:p w14:paraId="55184B00">
      <w:pPr>
        <w:pStyle w:val="2"/>
        <w:rPr>
          <w:color w:val="auto"/>
        </w:rPr>
      </w:pPr>
    </w:p>
    <w:p w14:paraId="0FF1D98F">
      <w:pPr>
        <w:pStyle w:val="2"/>
        <w:rPr>
          <w:color w:val="auto"/>
        </w:rPr>
      </w:pPr>
    </w:p>
    <w:p w14:paraId="2ECA6461">
      <w:pPr>
        <w:pStyle w:val="2"/>
        <w:rPr>
          <w:color w:val="auto"/>
        </w:rPr>
      </w:pPr>
    </w:p>
    <w:p w14:paraId="51AEA692">
      <w:pPr>
        <w:pStyle w:val="2"/>
        <w:rPr>
          <w:color w:val="auto"/>
        </w:rPr>
      </w:pPr>
    </w:p>
    <w:p w14:paraId="5299DF6A">
      <w:pPr>
        <w:pStyle w:val="2"/>
        <w:rPr>
          <w:color w:val="auto"/>
        </w:rPr>
      </w:pPr>
    </w:p>
    <w:p w14:paraId="7A004D4F">
      <w:pPr>
        <w:pStyle w:val="2"/>
        <w:rPr>
          <w:color w:val="auto"/>
        </w:rPr>
      </w:pPr>
    </w:p>
    <w:p w14:paraId="7E16D610">
      <w:pPr>
        <w:adjustRightInd w:val="0"/>
        <w:snapToGrid w:val="0"/>
        <w:spacing w:before="312" w:beforeLines="100" w:after="312" w:afterLines="100" w:line="360" w:lineRule="exact"/>
        <w:rPr>
          <w:rFonts w:ascii="仿宋" w:hAnsi="仿宋" w:eastAsia="仿宋" w:cs="仿宋"/>
          <w:b/>
          <w:bCs/>
          <w:color w:val="auto"/>
          <w:kern w:val="0"/>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kern w:val="0"/>
          <w:sz w:val="28"/>
          <w:szCs w:val="28"/>
        </w:rPr>
        <w:t>3、法定代表人身份证明书；法人授权委托书附法人身份证复印件及授权委托人身份证复印件加盖公章；</w:t>
      </w:r>
    </w:p>
    <w:p w14:paraId="0670A98A">
      <w:pPr>
        <w:adjustRightInd w:val="0"/>
        <w:snapToGrid w:val="0"/>
        <w:spacing w:before="312" w:beforeLines="100" w:after="312" w:afterLines="100" w:line="360" w:lineRule="auto"/>
        <w:ind w:firstLine="1960" w:firstLineChars="700"/>
        <w:rPr>
          <w:rFonts w:ascii="仿宋" w:hAnsi="仿宋" w:eastAsia="仿宋" w:cs="仿宋"/>
          <w:color w:val="auto"/>
          <w:sz w:val="28"/>
          <w:szCs w:val="28"/>
        </w:rPr>
      </w:pPr>
      <w:r>
        <w:rPr>
          <w:rFonts w:hint="eastAsia" w:ascii="仿宋" w:hAnsi="仿宋" w:eastAsia="仿宋" w:cs="仿宋"/>
          <w:b/>
          <w:color w:val="auto"/>
          <w:sz w:val="28"/>
          <w:szCs w:val="28"/>
        </w:rPr>
        <w:t>（一）法定代表人身份证明书</w:t>
      </w:r>
    </w:p>
    <w:p w14:paraId="0D0F0C7F">
      <w:pPr>
        <w:spacing w:line="360" w:lineRule="auto"/>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同志，现任我单位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（职务）为法定代表人，特此证明。</w:t>
      </w:r>
    </w:p>
    <w:p w14:paraId="7CB3F7E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单位：                      签发日期：</w:t>
      </w:r>
    </w:p>
    <w:p w14:paraId="4DF5CCF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法定代表人：                性别：            年龄：           </w:t>
      </w:r>
    </w:p>
    <w:p w14:paraId="1999450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身份证号码：                联系电话：</w:t>
      </w:r>
    </w:p>
    <w:p w14:paraId="78CAEDB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营业执照号码：              经济性质：</w:t>
      </w:r>
    </w:p>
    <w:p w14:paraId="085EF711">
      <w:pPr>
        <w:spacing w:line="360" w:lineRule="auto"/>
        <w:rPr>
          <w:rFonts w:ascii="仿宋" w:hAnsi="仿宋" w:eastAsia="仿宋" w:cs="仿宋"/>
          <w:color w:val="auto"/>
          <w:sz w:val="24"/>
        </w:rPr>
      </w:pPr>
      <w:r>
        <w:rPr>
          <w:rFonts w:hint="eastAsia" w:ascii="仿宋" w:hAnsi="仿宋" w:eastAsia="仿宋" w:cs="仿宋"/>
          <w:color w:val="auto"/>
          <w:sz w:val="24"/>
        </w:rPr>
        <w:t>说明：</w:t>
      </w:r>
    </w:p>
    <w:p w14:paraId="2A07CF97">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1、法定代表人为企业事业单位、国家机关、社会团体的主要行政负责人。</w:t>
      </w:r>
    </w:p>
    <w:p w14:paraId="360ACA1A">
      <w:pPr>
        <w:spacing w:line="360" w:lineRule="auto"/>
        <w:rPr>
          <w:rFonts w:ascii="仿宋" w:hAnsi="仿宋" w:eastAsia="仿宋" w:cs="仿宋"/>
          <w:color w:val="auto"/>
          <w:sz w:val="24"/>
        </w:rPr>
      </w:pPr>
      <w:r>
        <w:rPr>
          <w:rFonts w:hint="eastAsia" w:ascii="仿宋" w:hAnsi="仿宋" w:eastAsia="仿宋" w:cs="仿宋"/>
          <w:color w:val="auto"/>
          <w:sz w:val="24"/>
        </w:rPr>
        <w:t xml:space="preserve">  2、内容必须填写真实、清楚、涂改无效，不得转让。</w:t>
      </w:r>
    </w:p>
    <w:p w14:paraId="20430F6D">
      <w:pPr>
        <w:spacing w:line="360" w:lineRule="auto"/>
        <w:rPr>
          <w:rFonts w:ascii="仿宋" w:hAnsi="仿宋" w:eastAsia="仿宋" w:cs="仿宋"/>
          <w:color w:val="auto"/>
          <w:sz w:val="24"/>
        </w:rPr>
      </w:pPr>
      <w:r>
        <w:rPr>
          <w:rFonts w:hint="eastAsia" w:ascii="仿宋" w:hAnsi="仿宋" w:eastAsia="仿宋" w:cs="仿宋"/>
          <w:color w:val="auto"/>
          <w:sz w:val="24"/>
        </w:rPr>
        <w:t xml:space="preserve"> </w:t>
      </w:r>
    </w:p>
    <w:p w14:paraId="7C58795D">
      <w:pPr>
        <w:spacing w:line="360" w:lineRule="auto"/>
        <w:rPr>
          <w:rFonts w:ascii="仿宋" w:hAnsi="仿宋" w:eastAsia="仿宋" w:cs="仿宋"/>
          <w:color w:val="auto"/>
          <w:sz w:val="24"/>
        </w:rPr>
      </w:pPr>
      <w:r>
        <w:rPr>
          <w:rFonts w:hint="eastAsia" w:ascii="仿宋" w:hAnsi="仿宋" w:eastAsia="仿宋" w:cs="仿宋"/>
          <w:color w:val="auto"/>
          <w:sz w:val="24"/>
        </w:rPr>
        <w:t xml:space="preserve"> 附：法定代表人身份证复印件</w:t>
      </w:r>
    </w:p>
    <w:p w14:paraId="6494C3D0">
      <w:pPr>
        <w:spacing w:line="360" w:lineRule="auto"/>
        <w:rPr>
          <w:rFonts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290CFE1">
                            <w:pPr>
                              <w:jc w:val="center"/>
                              <w:rPr>
                                <w:rFonts w:hAnsi="宋体"/>
                                <w:szCs w:val="21"/>
                              </w:rPr>
                            </w:pPr>
                          </w:p>
                          <w:p w14:paraId="7216035B">
                            <w:pPr>
                              <w:jc w:val="center"/>
                              <w:rPr>
                                <w:rFonts w:hAnsi="宋体"/>
                                <w:szCs w:val="21"/>
                              </w:rPr>
                            </w:pPr>
                          </w:p>
                          <w:p w14:paraId="51AA4134">
                            <w:pPr>
                              <w:jc w:val="center"/>
                              <w:rPr>
                                <w:rFonts w:hAnsi="宋体"/>
                                <w:szCs w:val="21"/>
                              </w:rPr>
                            </w:pPr>
                          </w:p>
                          <w:p w14:paraId="4F543B15">
                            <w:pPr>
                              <w:jc w:val="center"/>
                              <w:rPr>
                                <w:rFonts w:ascii="仿宋" w:hAnsi="仿宋" w:eastAsia="仿宋" w:cs="仿宋"/>
                                <w:szCs w:val="21"/>
                              </w:rPr>
                            </w:pPr>
                            <w:r>
                              <w:rPr>
                                <w:rFonts w:hint="eastAsia" w:ascii="仿宋" w:hAnsi="仿宋" w:eastAsia="仿宋" w:cs="仿宋"/>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0290CFE1">
                      <w:pPr>
                        <w:jc w:val="center"/>
                        <w:rPr>
                          <w:rFonts w:hAnsi="宋体"/>
                          <w:szCs w:val="21"/>
                        </w:rPr>
                      </w:pPr>
                    </w:p>
                    <w:p w14:paraId="7216035B">
                      <w:pPr>
                        <w:jc w:val="center"/>
                        <w:rPr>
                          <w:rFonts w:hAnsi="宋体"/>
                          <w:szCs w:val="21"/>
                        </w:rPr>
                      </w:pPr>
                    </w:p>
                    <w:p w14:paraId="51AA4134">
                      <w:pPr>
                        <w:jc w:val="center"/>
                        <w:rPr>
                          <w:rFonts w:hAnsi="宋体"/>
                          <w:szCs w:val="21"/>
                        </w:rPr>
                      </w:pPr>
                    </w:p>
                    <w:p w14:paraId="4F543B15">
                      <w:pPr>
                        <w:jc w:val="center"/>
                        <w:rPr>
                          <w:rFonts w:ascii="仿宋" w:hAnsi="仿宋" w:eastAsia="仿宋" w:cs="仿宋"/>
                          <w:szCs w:val="21"/>
                        </w:rPr>
                      </w:pPr>
                      <w:r>
                        <w:rPr>
                          <w:rFonts w:hint="eastAsia" w:ascii="仿宋" w:hAnsi="仿宋" w:eastAsia="仿宋" w:cs="仿宋"/>
                          <w:szCs w:val="21"/>
                        </w:rPr>
                        <w:t>法定代表人身份证复印件正面</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A8B1AC1">
                            <w:pPr>
                              <w:jc w:val="center"/>
                              <w:rPr>
                                <w:rFonts w:hAnsi="宋体"/>
                                <w:szCs w:val="21"/>
                              </w:rPr>
                            </w:pPr>
                            <w:r>
                              <w:rPr>
                                <w:rFonts w:hint="eastAsia" w:hAnsi="宋体"/>
                                <w:szCs w:val="21"/>
                              </w:rPr>
                              <w:t xml:space="preserve">  </w:t>
                            </w:r>
                          </w:p>
                          <w:p w14:paraId="4F5641BC">
                            <w:pPr>
                              <w:jc w:val="center"/>
                              <w:rPr>
                                <w:rFonts w:hAnsi="宋体"/>
                                <w:szCs w:val="21"/>
                              </w:rPr>
                            </w:pPr>
                          </w:p>
                          <w:p w14:paraId="2CFDACCB">
                            <w:pPr>
                              <w:jc w:val="center"/>
                              <w:rPr>
                                <w:rFonts w:hAnsi="宋体"/>
                                <w:szCs w:val="21"/>
                              </w:rPr>
                            </w:pPr>
                          </w:p>
                          <w:p w14:paraId="790CD61A">
                            <w:pPr>
                              <w:jc w:val="center"/>
                              <w:rPr>
                                <w:rFonts w:ascii="仿宋" w:hAnsi="仿宋" w:eastAsia="仿宋" w:cs="仿宋"/>
                                <w:szCs w:val="21"/>
                              </w:rPr>
                            </w:pPr>
                            <w:r>
                              <w:rPr>
                                <w:rFonts w:hint="eastAsia" w:ascii="仿宋" w:hAnsi="仿宋" w:eastAsia="仿宋" w:cs="仿宋"/>
                                <w:szCs w:val="21"/>
                              </w:rPr>
                              <w:t>法定代表人身份证复印件反面</w:t>
                            </w:r>
                          </w:p>
                          <w:p w14:paraId="4F5ED678"/>
                          <w:p w14:paraId="6529C588">
                            <w:pPr>
                              <w:pStyle w:val="7"/>
                            </w:pPr>
                          </w:p>
                          <w:p w14:paraId="0A1E72BD">
                            <w:pPr>
                              <w:pStyle w:val="7"/>
                            </w:pPr>
                          </w:p>
                          <w:p w14:paraId="01AD8C57">
                            <w:pPr>
                              <w:pStyle w:val="7"/>
                            </w:pPr>
                          </w:p>
                          <w:p w14:paraId="10E23592">
                            <w:pPr>
                              <w:pStyle w:val="7"/>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0A8B1AC1">
                      <w:pPr>
                        <w:jc w:val="center"/>
                        <w:rPr>
                          <w:rFonts w:hAnsi="宋体"/>
                          <w:szCs w:val="21"/>
                        </w:rPr>
                      </w:pPr>
                      <w:r>
                        <w:rPr>
                          <w:rFonts w:hint="eastAsia" w:hAnsi="宋体"/>
                          <w:szCs w:val="21"/>
                        </w:rPr>
                        <w:t xml:space="preserve">  </w:t>
                      </w:r>
                    </w:p>
                    <w:p w14:paraId="4F5641BC">
                      <w:pPr>
                        <w:jc w:val="center"/>
                        <w:rPr>
                          <w:rFonts w:hAnsi="宋体"/>
                          <w:szCs w:val="21"/>
                        </w:rPr>
                      </w:pPr>
                    </w:p>
                    <w:p w14:paraId="2CFDACCB">
                      <w:pPr>
                        <w:jc w:val="center"/>
                        <w:rPr>
                          <w:rFonts w:hAnsi="宋体"/>
                          <w:szCs w:val="21"/>
                        </w:rPr>
                      </w:pPr>
                    </w:p>
                    <w:p w14:paraId="790CD61A">
                      <w:pPr>
                        <w:jc w:val="center"/>
                        <w:rPr>
                          <w:rFonts w:ascii="仿宋" w:hAnsi="仿宋" w:eastAsia="仿宋" w:cs="仿宋"/>
                          <w:szCs w:val="21"/>
                        </w:rPr>
                      </w:pPr>
                      <w:r>
                        <w:rPr>
                          <w:rFonts w:hint="eastAsia" w:ascii="仿宋" w:hAnsi="仿宋" w:eastAsia="仿宋" w:cs="仿宋"/>
                          <w:szCs w:val="21"/>
                        </w:rPr>
                        <w:t>法定代表人身份证复印件反面</w:t>
                      </w:r>
                    </w:p>
                    <w:p w14:paraId="4F5ED678"/>
                    <w:p w14:paraId="6529C588">
                      <w:pPr>
                        <w:pStyle w:val="7"/>
                      </w:pPr>
                    </w:p>
                    <w:p w14:paraId="0A1E72BD">
                      <w:pPr>
                        <w:pStyle w:val="7"/>
                      </w:pPr>
                    </w:p>
                    <w:p w14:paraId="01AD8C57">
                      <w:pPr>
                        <w:pStyle w:val="7"/>
                      </w:pPr>
                    </w:p>
                    <w:p w14:paraId="10E23592">
                      <w:pPr>
                        <w:pStyle w:val="7"/>
                      </w:pPr>
                    </w:p>
                  </w:txbxContent>
                </v:textbox>
              </v:roundrect>
            </w:pict>
          </mc:Fallback>
        </mc:AlternateContent>
      </w:r>
    </w:p>
    <w:p w14:paraId="41B8643D">
      <w:pPr>
        <w:spacing w:line="360" w:lineRule="auto"/>
        <w:rPr>
          <w:rFonts w:ascii="仿宋" w:hAnsi="仿宋" w:eastAsia="仿宋" w:cs="仿宋"/>
          <w:color w:val="auto"/>
          <w:sz w:val="24"/>
        </w:rPr>
      </w:pPr>
    </w:p>
    <w:p w14:paraId="7F3050C5">
      <w:pPr>
        <w:spacing w:line="360" w:lineRule="auto"/>
        <w:rPr>
          <w:rFonts w:ascii="仿宋" w:hAnsi="仿宋" w:eastAsia="仿宋" w:cs="仿宋"/>
          <w:color w:val="auto"/>
          <w:sz w:val="24"/>
        </w:rPr>
      </w:pPr>
    </w:p>
    <w:p w14:paraId="2D2E234F">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s="仿宋"/>
          <w:color w:val="auto"/>
          <w:sz w:val="24"/>
        </w:rPr>
      </w:pPr>
    </w:p>
    <w:p w14:paraId="337EC1F6">
      <w:pPr>
        <w:autoSpaceDE w:val="0"/>
        <w:autoSpaceDN w:val="0"/>
        <w:adjustRightInd w:val="0"/>
        <w:spacing w:line="360" w:lineRule="auto"/>
        <w:ind w:right="246"/>
        <w:rPr>
          <w:rFonts w:ascii="仿宋" w:hAnsi="仿宋" w:eastAsia="仿宋" w:cs="仿宋"/>
          <w:color w:val="auto"/>
          <w:kern w:val="0"/>
          <w:sz w:val="24"/>
        </w:rPr>
      </w:pPr>
    </w:p>
    <w:p w14:paraId="7F68E804">
      <w:pPr>
        <w:autoSpaceDE w:val="0"/>
        <w:autoSpaceDN w:val="0"/>
        <w:adjustRightInd w:val="0"/>
        <w:spacing w:line="360" w:lineRule="auto"/>
        <w:ind w:right="246"/>
        <w:rPr>
          <w:rFonts w:ascii="仿宋" w:hAnsi="仿宋" w:eastAsia="仿宋" w:cs="仿宋"/>
          <w:color w:val="auto"/>
          <w:kern w:val="0"/>
          <w:sz w:val="24"/>
        </w:rPr>
      </w:pPr>
    </w:p>
    <w:p w14:paraId="477B07BB">
      <w:pPr>
        <w:pStyle w:val="2"/>
        <w:rPr>
          <w:rFonts w:ascii="仿宋" w:hAnsi="仿宋" w:eastAsia="仿宋" w:cs="仿宋"/>
          <w:color w:val="auto"/>
        </w:rPr>
      </w:pPr>
    </w:p>
    <w:p w14:paraId="08EE2030">
      <w:pPr>
        <w:autoSpaceDE w:val="0"/>
        <w:autoSpaceDN w:val="0"/>
        <w:adjustRightInd w:val="0"/>
        <w:spacing w:line="360" w:lineRule="auto"/>
        <w:ind w:right="246" w:firstLine="784" w:firstLineChars="327"/>
        <w:rPr>
          <w:rFonts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sz w:val="24"/>
        </w:rPr>
        <w:t>单位盖章</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 xml:space="preserve">           </w:t>
      </w:r>
    </w:p>
    <w:p w14:paraId="558C7D06">
      <w:pPr>
        <w:adjustRightInd w:val="0"/>
        <w:snapToGrid w:val="0"/>
        <w:spacing w:line="360" w:lineRule="auto"/>
        <w:ind w:firstLine="784" w:firstLineChars="327"/>
        <w:rPr>
          <w:rFonts w:ascii="仿宋" w:hAnsi="仿宋" w:eastAsia="仿宋" w:cs="仿宋"/>
          <w:color w:val="auto"/>
          <w:sz w:val="24"/>
        </w:rPr>
      </w:pPr>
      <w:r>
        <w:rPr>
          <w:rFonts w:hint="eastAsia" w:ascii="仿宋" w:hAnsi="仿宋" w:eastAsia="仿宋" w:cs="仿宋"/>
          <w:color w:val="auto"/>
          <w:sz w:val="24"/>
        </w:rPr>
        <w:t>法定代表人</w:t>
      </w:r>
      <w:r>
        <w:rPr>
          <w:rFonts w:ascii="仿宋" w:hAnsi="仿宋" w:eastAsia="仿宋" w:cs="仿宋"/>
          <w:color w:val="auto"/>
          <w:sz w:val="24"/>
        </w:rPr>
        <w:t>(</w:t>
      </w:r>
      <w:r>
        <w:rPr>
          <w:rFonts w:hint="eastAsia" w:ascii="仿宋" w:hAnsi="仿宋" w:eastAsia="仿宋" w:cs="仿宋"/>
          <w:color w:val="auto"/>
          <w:sz w:val="24"/>
        </w:rPr>
        <w:t>签字或盖章</w:t>
      </w:r>
      <w:r>
        <w:rPr>
          <w:rFonts w:ascii="仿宋" w:hAnsi="仿宋" w:eastAsia="仿宋" w:cs="仿宋"/>
          <w:color w:val="auto"/>
          <w:sz w:val="24"/>
        </w:rPr>
        <w:t>)</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14:paraId="44EF4892">
      <w:pPr>
        <w:adjustRightInd w:val="0"/>
        <w:snapToGrid w:val="0"/>
        <w:spacing w:line="360" w:lineRule="auto"/>
        <w:ind w:firstLine="784" w:firstLineChars="327"/>
        <w:rPr>
          <w:rFonts w:ascii="仿宋" w:hAnsi="仿宋" w:eastAsia="仿宋" w:cs="仿宋"/>
          <w:color w:val="auto"/>
          <w:sz w:val="24"/>
          <w:u w:val="single"/>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p>
    <w:p w14:paraId="49C74E49">
      <w:pPr>
        <w:pStyle w:val="15"/>
        <w:tabs>
          <w:tab w:val="left" w:pos="5580"/>
        </w:tabs>
        <w:spacing w:line="240" w:lineRule="atLeast"/>
        <w:ind w:left="1079" w:leftChars="257" w:hanging="540"/>
        <w:rPr>
          <w:rFonts w:ascii="仿宋" w:hAnsi="仿宋" w:eastAsia="仿宋" w:cs="仿宋"/>
          <w:b/>
          <w:color w:val="auto"/>
          <w:sz w:val="24"/>
        </w:rPr>
      </w:pPr>
    </w:p>
    <w:p w14:paraId="5F040348">
      <w:pPr>
        <w:pStyle w:val="15"/>
        <w:tabs>
          <w:tab w:val="left" w:pos="5580"/>
        </w:tabs>
        <w:spacing w:line="240" w:lineRule="atLeast"/>
        <w:ind w:left="1108" w:leftChars="371" w:hanging="329" w:hangingChars="157"/>
        <w:rPr>
          <w:rFonts w:ascii="仿宋" w:hAnsi="仿宋" w:eastAsia="仿宋" w:cs="仿宋"/>
          <w:color w:val="auto"/>
          <w:sz w:val="24"/>
        </w:rPr>
      </w:pPr>
      <w:r>
        <w:rPr>
          <w:rFonts w:hint="eastAsia" w:ascii="仿宋" w:hAnsi="仿宋" w:eastAsia="仿宋" w:cs="仿宋"/>
          <w:color w:val="auto"/>
        </w:rPr>
        <w:t>注：</w:t>
      </w:r>
      <w:r>
        <w:rPr>
          <w:rFonts w:hint="eastAsia" w:ascii="仿宋" w:hAnsi="仿宋" w:eastAsia="仿宋" w:cs="仿宋"/>
          <w:color w:val="auto"/>
          <w:sz w:val="24"/>
        </w:rPr>
        <w:t>1. 投标人为自然人的，应提供身份证明的复印件。</w:t>
      </w:r>
    </w:p>
    <w:p w14:paraId="7E98D51B">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 xml:space="preserve">    </w:t>
      </w:r>
    </w:p>
    <w:p w14:paraId="48406AED">
      <w:pPr>
        <w:pStyle w:val="4"/>
        <w:tabs>
          <w:tab w:val="left" w:pos="540"/>
        </w:tabs>
        <w:spacing w:line="240" w:lineRule="atLeast"/>
        <w:jc w:val="both"/>
        <w:rPr>
          <w:rFonts w:ascii="仿宋" w:hAnsi="仿宋" w:eastAsia="仿宋" w:cs="仿宋"/>
          <w:color w:val="auto"/>
          <w:szCs w:val="28"/>
        </w:rPr>
      </w:pPr>
      <w:r>
        <w:rPr>
          <w:rFonts w:hint="eastAsia" w:ascii="仿宋" w:hAnsi="仿宋" w:eastAsia="仿宋" w:cs="仿宋"/>
          <w:color w:val="auto"/>
          <w:sz w:val="24"/>
          <w:szCs w:val="24"/>
        </w:rPr>
        <w:br w:type="page"/>
      </w:r>
      <w:bookmarkStart w:id="279" w:name="_Toc23503"/>
      <w:bookmarkStart w:id="280" w:name="_Toc515647807"/>
      <w:bookmarkStart w:id="281" w:name="_Toc1083"/>
      <w:bookmarkStart w:id="282" w:name="_Toc22472"/>
      <w:r>
        <w:rPr>
          <w:rFonts w:hint="eastAsia" w:ascii="宋体" w:hAnsi="宋体" w:cs="宋体"/>
          <w:color w:val="auto"/>
          <w:sz w:val="24"/>
          <w:szCs w:val="24"/>
        </w:rPr>
        <w:t xml:space="preserve"> </w:t>
      </w:r>
      <w:bookmarkStart w:id="283" w:name="_Toc1846"/>
      <w:bookmarkStart w:id="284" w:name="_Toc29028"/>
      <w:bookmarkStart w:id="285" w:name="_Toc23386"/>
      <w:r>
        <w:rPr>
          <w:rFonts w:hint="eastAsia" w:ascii="仿宋" w:hAnsi="仿宋" w:eastAsia="仿宋" w:cs="仿宋"/>
          <w:color w:val="auto"/>
          <w:szCs w:val="28"/>
        </w:rPr>
        <w:t>（二）法定代表人授权委托书(附件二，自然人投标的无需提供)</w:t>
      </w:r>
      <w:bookmarkEnd w:id="279"/>
      <w:bookmarkEnd w:id="280"/>
      <w:bookmarkEnd w:id="281"/>
      <w:bookmarkEnd w:id="282"/>
      <w:bookmarkEnd w:id="283"/>
      <w:bookmarkEnd w:id="284"/>
      <w:bookmarkEnd w:id="285"/>
    </w:p>
    <w:p w14:paraId="0ED198A4">
      <w:pPr>
        <w:pStyle w:val="4"/>
        <w:tabs>
          <w:tab w:val="left" w:pos="540"/>
        </w:tabs>
        <w:jc w:val="both"/>
        <w:rPr>
          <w:rFonts w:ascii="宋体" w:hAnsi="宋体" w:cs="宋体"/>
          <w:color w:val="auto"/>
          <w:sz w:val="24"/>
        </w:rPr>
      </w:pPr>
      <w:bookmarkStart w:id="286" w:name="_Toc6592"/>
      <w:bookmarkStart w:id="287" w:name="_Toc30228"/>
      <w:bookmarkStart w:id="288" w:name="_Toc5232"/>
      <w:r>
        <w:rPr>
          <w:rFonts w:hint="eastAsia" w:ascii="宋体" w:hAnsi="宋体" w:cs="宋体"/>
          <w:color w:val="auto"/>
          <w:szCs w:val="28"/>
        </w:rPr>
        <w:cr/>
      </w:r>
      <w:r>
        <w:rPr>
          <w:rFonts w:hint="eastAsia" w:ascii="宋体" w:hAnsi="宋体" w:cs="宋体"/>
          <w:color w:val="auto"/>
          <w:sz w:val="24"/>
        </w:rPr>
        <w:t xml:space="preserve">  </w:t>
      </w:r>
      <w:r>
        <w:rPr>
          <w:rFonts w:hint="eastAsia" w:ascii="仿宋" w:hAnsi="仿宋" w:eastAsia="仿宋" w:cs="仿宋"/>
          <w:color w:val="auto"/>
          <w:sz w:val="24"/>
        </w:rPr>
        <w:t xml:space="preserve">  本授权书声明：注册于</w:t>
      </w:r>
      <w:r>
        <w:rPr>
          <w:rFonts w:hint="eastAsia" w:ascii="仿宋" w:hAnsi="仿宋" w:eastAsia="仿宋" w:cs="仿宋"/>
          <w:bCs/>
          <w:color w:val="auto"/>
          <w:sz w:val="24"/>
          <w:u w:val="single"/>
        </w:rPr>
        <w:t>（国家或地区的名称）</w:t>
      </w:r>
      <w:r>
        <w:rPr>
          <w:rFonts w:hint="eastAsia" w:ascii="仿宋" w:hAnsi="仿宋" w:eastAsia="仿宋" w:cs="仿宋"/>
          <w:color w:val="auto"/>
          <w:sz w:val="24"/>
        </w:rPr>
        <w:t>的</w:t>
      </w:r>
      <w:r>
        <w:rPr>
          <w:rFonts w:hint="eastAsia" w:ascii="仿宋" w:hAnsi="仿宋" w:eastAsia="仿宋" w:cs="仿宋"/>
          <w:bCs/>
          <w:color w:val="auto"/>
          <w:sz w:val="24"/>
        </w:rPr>
        <w:t>（</w:t>
      </w:r>
      <w:r>
        <w:rPr>
          <w:rFonts w:hint="eastAsia" w:ascii="仿宋" w:hAnsi="仿宋" w:eastAsia="仿宋" w:cs="仿宋"/>
          <w:bCs/>
          <w:color w:val="auto"/>
          <w:sz w:val="24"/>
          <w:u w:val="single"/>
        </w:rPr>
        <w:t>投标人</w:t>
      </w:r>
      <w:r>
        <w:rPr>
          <w:rFonts w:hint="eastAsia" w:ascii="仿宋" w:hAnsi="仿宋" w:eastAsia="仿宋" w:cs="仿宋"/>
          <w:bCs/>
          <w:color w:val="auto"/>
          <w:sz w:val="24"/>
        </w:rPr>
        <w:t>）</w:t>
      </w:r>
      <w:r>
        <w:rPr>
          <w:rFonts w:hint="eastAsia" w:ascii="仿宋" w:hAnsi="仿宋" w:eastAsia="仿宋" w:cs="仿宋"/>
          <w:color w:val="auto"/>
          <w:sz w:val="24"/>
        </w:rPr>
        <w:t>的在下面签字的</w:t>
      </w:r>
      <w:r>
        <w:rPr>
          <w:rFonts w:hint="eastAsia" w:ascii="仿宋" w:hAnsi="仿宋" w:eastAsia="仿宋" w:cs="仿宋"/>
          <w:bCs/>
          <w:color w:val="auto"/>
          <w:sz w:val="24"/>
        </w:rPr>
        <w:t>（</w:t>
      </w:r>
      <w:r>
        <w:rPr>
          <w:rFonts w:hint="eastAsia" w:ascii="仿宋" w:hAnsi="仿宋" w:eastAsia="仿宋" w:cs="仿宋"/>
          <w:bCs/>
          <w:color w:val="auto"/>
          <w:sz w:val="24"/>
          <w:u w:val="single"/>
        </w:rPr>
        <w:t>法人代表姓名、职务</w:t>
      </w:r>
      <w:r>
        <w:rPr>
          <w:rFonts w:hint="eastAsia" w:ascii="仿宋" w:hAnsi="仿宋" w:eastAsia="仿宋" w:cs="仿宋"/>
          <w:bCs/>
          <w:color w:val="auto"/>
          <w:sz w:val="24"/>
        </w:rPr>
        <w:t>）</w:t>
      </w:r>
      <w:r>
        <w:rPr>
          <w:rFonts w:hint="eastAsia" w:ascii="仿宋" w:hAnsi="仿宋" w:eastAsia="仿宋" w:cs="仿宋"/>
          <w:color w:val="auto"/>
          <w:sz w:val="24"/>
        </w:rPr>
        <w:t>代表我单位授权</w:t>
      </w:r>
      <w:r>
        <w:rPr>
          <w:rFonts w:hint="eastAsia" w:ascii="仿宋" w:hAnsi="仿宋" w:eastAsia="仿宋" w:cs="仿宋"/>
          <w:bCs/>
          <w:color w:val="auto"/>
          <w:sz w:val="24"/>
        </w:rPr>
        <w:t>（</w:t>
      </w:r>
      <w:r>
        <w:rPr>
          <w:rFonts w:hint="eastAsia" w:ascii="仿宋" w:hAnsi="仿宋" w:eastAsia="仿宋" w:cs="仿宋"/>
          <w:bCs/>
          <w:color w:val="auto"/>
          <w:sz w:val="24"/>
          <w:u w:val="single"/>
        </w:rPr>
        <w:t>单位名称</w:t>
      </w:r>
      <w:r>
        <w:rPr>
          <w:rFonts w:hint="eastAsia" w:ascii="仿宋" w:hAnsi="仿宋" w:eastAsia="仿宋" w:cs="仿宋"/>
          <w:bCs/>
          <w:color w:val="auto"/>
          <w:sz w:val="24"/>
        </w:rPr>
        <w:t>）</w:t>
      </w:r>
      <w:r>
        <w:rPr>
          <w:rFonts w:hint="eastAsia" w:ascii="仿宋" w:hAnsi="仿宋" w:eastAsia="仿宋" w:cs="仿宋"/>
          <w:color w:val="auto"/>
          <w:sz w:val="24"/>
        </w:rPr>
        <w:t>的在下面签字的</w:t>
      </w:r>
      <w:r>
        <w:rPr>
          <w:rFonts w:hint="eastAsia" w:ascii="仿宋" w:hAnsi="仿宋" w:eastAsia="仿宋" w:cs="仿宋"/>
          <w:bCs/>
          <w:color w:val="auto"/>
          <w:sz w:val="24"/>
        </w:rPr>
        <w:t>（</w:t>
      </w:r>
      <w:r>
        <w:rPr>
          <w:rFonts w:hint="eastAsia" w:ascii="仿宋" w:hAnsi="仿宋" w:eastAsia="仿宋" w:cs="仿宋"/>
          <w:bCs/>
          <w:color w:val="auto"/>
          <w:sz w:val="24"/>
          <w:u w:val="single"/>
        </w:rPr>
        <w:t>被授权人的姓名、职务</w:t>
      </w:r>
      <w:r>
        <w:rPr>
          <w:rFonts w:hint="eastAsia" w:ascii="仿宋" w:hAnsi="仿宋" w:eastAsia="仿宋" w:cs="仿宋"/>
          <w:bCs/>
          <w:color w:val="auto"/>
          <w:sz w:val="24"/>
        </w:rPr>
        <w:t>）</w:t>
      </w:r>
      <w:r>
        <w:rPr>
          <w:rFonts w:hint="eastAsia" w:ascii="仿宋" w:hAnsi="仿宋" w:eastAsia="仿宋" w:cs="仿宋"/>
          <w:color w:val="auto"/>
          <w:sz w:val="24"/>
        </w:rPr>
        <w:t>为我单位的合法代理人，就</w:t>
      </w:r>
      <w:r>
        <w:rPr>
          <w:rFonts w:hint="eastAsia" w:ascii="仿宋" w:hAnsi="仿宋" w:eastAsia="仿宋" w:cs="仿宋"/>
          <w:bCs/>
          <w:color w:val="auto"/>
          <w:sz w:val="24"/>
        </w:rPr>
        <w:t>（</w:t>
      </w:r>
      <w:r>
        <w:rPr>
          <w:rFonts w:hint="eastAsia" w:ascii="仿宋" w:hAnsi="仿宋" w:eastAsia="仿宋" w:cs="仿宋"/>
          <w:bCs/>
          <w:color w:val="auto"/>
          <w:sz w:val="24"/>
          <w:u w:val="single"/>
        </w:rPr>
        <w:t>项目名称</w:t>
      </w:r>
      <w:r>
        <w:rPr>
          <w:rFonts w:hint="eastAsia" w:ascii="仿宋" w:hAnsi="仿宋" w:eastAsia="仿宋" w:cs="仿宋"/>
          <w:bCs/>
          <w:color w:val="auto"/>
          <w:sz w:val="24"/>
        </w:rPr>
        <w:t>）</w:t>
      </w:r>
      <w:r>
        <w:rPr>
          <w:rFonts w:hint="eastAsia" w:ascii="仿宋" w:hAnsi="仿宋" w:eastAsia="仿宋" w:cs="仿宋"/>
          <w:color w:val="auto"/>
          <w:sz w:val="24"/>
        </w:rPr>
        <w:t>的</w:t>
      </w:r>
      <w:r>
        <w:rPr>
          <w:rFonts w:hint="eastAsia" w:ascii="仿宋" w:hAnsi="仿宋" w:eastAsia="仿宋" w:cs="仿宋"/>
          <w:bCs/>
          <w:color w:val="auto"/>
          <w:sz w:val="24"/>
        </w:rPr>
        <w:t>（</w:t>
      </w:r>
      <w:r>
        <w:rPr>
          <w:rFonts w:hint="eastAsia" w:ascii="仿宋" w:hAnsi="仿宋" w:eastAsia="仿宋" w:cs="仿宋"/>
          <w:bCs/>
          <w:color w:val="auto"/>
          <w:sz w:val="24"/>
          <w:u w:val="single"/>
        </w:rPr>
        <w:t>合同名称</w:t>
      </w:r>
      <w:r>
        <w:rPr>
          <w:rFonts w:hint="eastAsia" w:ascii="仿宋" w:hAnsi="仿宋" w:eastAsia="仿宋" w:cs="仿宋"/>
          <w:bCs/>
          <w:color w:val="auto"/>
          <w:sz w:val="24"/>
        </w:rPr>
        <w:t>）</w:t>
      </w:r>
      <w:r>
        <w:rPr>
          <w:rFonts w:hint="eastAsia" w:ascii="仿宋" w:hAnsi="仿宋" w:eastAsia="仿宋" w:cs="仿宋"/>
          <w:color w:val="auto"/>
          <w:sz w:val="24"/>
        </w:rPr>
        <w:t>投标，以我单位名义处理一切与之有关的事务。</w:t>
      </w:r>
      <w:r>
        <w:rPr>
          <w:rFonts w:hint="eastAsia" w:ascii="仿宋" w:hAnsi="仿宋" w:eastAsia="仿宋" w:cs="仿宋"/>
          <w:color w:val="auto"/>
          <w:sz w:val="24"/>
        </w:rPr>
        <w:cr/>
      </w:r>
      <w:bookmarkEnd w:id="286"/>
      <w:bookmarkEnd w:id="287"/>
      <w:bookmarkEnd w:id="288"/>
      <w:r>
        <w:rPr>
          <w:rFonts w:hint="eastAsia" w:ascii="宋体" w:hAnsi="宋体" w:cs="宋体"/>
          <w:color w:val="auto"/>
          <w:sz w:val="24"/>
        </w:rPr>
        <w:t>　　</w:t>
      </w:r>
    </w:p>
    <w:p w14:paraId="115C99AC">
      <w:pPr>
        <w:pStyle w:val="15"/>
        <w:tabs>
          <w:tab w:val="left" w:pos="5580"/>
        </w:tabs>
        <w:spacing w:line="240" w:lineRule="atLeast"/>
        <w:ind w:left="-539" w:leftChars="-257" w:firstLine="900" w:firstLineChars="375"/>
        <w:rPr>
          <w:rFonts w:hAnsi="宋体" w:cs="宋体"/>
          <w:color w:val="auto"/>
          <w:sz w:val="24"/>
        </w:rPr>
      </w:pPr>
      <w:r>
        <w:rPr>
          <w:rFonts w:hint="eastAsia" w:ascii="仿宋" w:hAnsi="仿宋" w:eastAsia="仿宋" w:cs="仿宋"/>
          <w:color w:val="auto"/>
          <w:sz w:val="24"/>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16510" b="17780"/>
                <wp:wrapNone/>
                <wp:docPr id="4" name="自选图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AC21025">
                            <w:pPr>
                              <w:jc w:val="center"/>
                              <w:rPr>
                                <w:rFonts w:hAnsi="宋体"/>
                              </w:rPr>
                            </w:pPr>
                            <w:r>
                              <w:rPr>
                                <w:rFonts w:hint="eastAsia" w:hAnsi="宋体"/>
                              </w:rPr>
                              <w:t xml:space="preserve">  </w:t>
                            </w:r>
                          </w:p>
                          <w:p w14:paraId="420E389A">
                            <w:pPr>
                              <w:rPr>
                                <w:rFonts w:hAnsi="宋体"/>
                              </w:rPr>
                            </w:pPr>
                          </w:p>
                          <w:p w14:paraId="4B6FE785">
                            <w:pPr>
                              <w:jc w:val="center"/>
                              <w:rPr>
                                <w:rFonts w:ascii="仿宋" w:hAnsi="仿宋" w:eastAsia="仿宋" w:cs="仿宋"/>
                                <w:szCs w:val="21"/>
                              </w:rPr>
                            </w:pPr>
                            <w:r>
                              <w:rPr>
                                <w:rFonts w:hint="eastAsia" w:ascii="仿宋" w:hAnsi="仿宋" w:eastAsia="仿宋" w:cs="仿宋"/>
                                <w:szCs w:val="21"/>
                              </w:rPr>
                              <w:t>法定代表人身份证复印件反面</w:t>
                            </w:r>
                          </w:p>
                          <w:p w14:paraId="38ACE121"/>
                        </w:txbxContent>
                      </wps:txbx>
                      <wps:bodyPr upright="1"/>
                    </wps:wsp>
                  </a:graphicData>
                </a:graphic>
              </wp:anchor>
            </w:drawing>
          </mc:Choice>
          <mc:Fallback>
            <w:pict>
              <v:roundrect id="自选图形 12"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pZqr3QAAAAoBAAAPAAAAAAAAAAEAIAAAACIAAABkcnMvZG93bnJldi54bWxQSwECFAAU&#10;AAAACACHTuJA0kL4hyUCAABZBAAADgAAAAAAAAABACAAAAAsAQAAZHJzL2Uyb0RvYy54bWxQSwUG&#10;AAAAAAYABgBZAQAAwwUAAAAA&#10;">
                <v:fill on="t" focussize="0,0"/>
                <v:stroke weight="1.25pt" color="#808080" joinstyle="round"/>
                <v:imagedata o:title=""/>
                <o:lock v:ext="edit" aspectratio="f"/>
                <v:textbox>
                  <w:txbxContent>
                    <w:p w14:paraId="2AC21025">
                      <w:pPr>
                        <w:jc w:val="center"/>
                        <w:rPr>
                          <w:rFonts w:hAnsi="宋体"/>
                        </w:rPr>
                      </w:pPr>
                      <w:r>
                        <w:rPr>
                          <w:rFonts w:hint="eastAsia" w:hAnsi="宋体"/>
                        </w:rPr>
                        <w:t xml:space="preserve">  </w:t>
                      </w:r>
                    </w:p>
                    <w:p w14:paraId="420E389A">
                      <w:pPr>
                        <w:rPr>
                          <w:rFonts w:hAnsi="宋体"/>
                        </w:rPr>
                      </w:pPr>
                    </w:p>
                    <w:p w14:paraId="4B6FE785">
                      <w:pPr>
                        <w:jc w:val="center"/>
                        <w:rPr>
                          <w:rFonts w:ascii="仿宋" w:hAnsi="仿宋" w:eastAsia="仿宋" w:cs="仿宋"/>
                          <w:szCs w:val="21"/>
                        </w:rPr>
                      </w:pPr>
                      <w:r>
                        <w:rPr>
                          <w:rFonts w:hint="eastAsia" w:ascii="仿宋" w:hAnsi="仿宋" w:eastAsia="仿宋" w:cs="仿宋"/>
                          <w:szCs w:val="21"/>
                        </w:rPr>
                        <w:t>法定代表人身份证复印件反面</w:t>
                      </w:r>
                    </w:p>
                    <w:p w14:paraId="38ACE121"/>
                  </w:txbxContent>
                </v:textbox>
              </v:roundrect>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2860" b="15875"/>
                <wp:wrapNone/>
                <wp:docPr id="3" name="自选图形 13"/>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301DD71">
                            <w:pPr>
                              <w:jc w:val="center"/>
                              <w:rPr>
                                <w:rFonts w:hAnsi="宋体"/>
                              </w:rPr>
                            </w:pPr>
                          </w:p>
                          <w:p w14:paraId="4C94363F">
                            <w:pPr>
                              <w:rPr>
                                <w:rFonts w:hAnsi="宋体"/>
                              </w:rPr>
                            </w:pPr>
                          </w:p>
                          <w:p w14:paraId="13901E4D">
                            <w:pPr>
                              <w:jc w:val="center"/>
                              <w:rPr>
                                <w:rFonts w:ascii="仿宋" w:hAnsi="仿宋" w:eastAsia="仿宋" w:cs="仿宋"/>
                                <w:szCs w:val="21"/>
                              </w:rPr>
                            </w:pPr>
                            <w:r>
                              <w:rPr>
                                <w:rFonts w:hint="eastAsia" w:ascii="仿宋" w:hAnsi="仿宋" w:eastAsia="仿宋" w:cs="仿宋"/>
                                <w:szCs w:val="21"/>
                              </w:rPr>
                              <w:t>法定代表人身份证复印件正面</w:t>
                            </w:r>
                          </w:p>
                          <w:p w14:paraId="75B01325"/>
                        </w:txbxContent>
                      </wps:txbx>
                      <wps:bodyPr upright="1"/>
                    </wps:wsp>
                  </a:graphicData>
                </a:graphic>
              </wp:anchor>
            </w:drawing>
          </mc:Choice>
          <mc:Fallback>
            <w:pict>
              <v:roundrect id="自选图形 13"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zEoV2wAAAAkBAAAPAAAAAAAAAAEAIAAAACIAAABkcnMvZG93bnJldi54bWxQSwECFAAUAAAA&#10;CACHTuJApRwcqiQCAABZBAAADgAAAAAAAAABACAAAAAqAQAAZHJzL2Uyb0RvYy54bWxQSwUGAAAA&#10;AAYABgBZAQAAwAUAAAAA&#10;">
                <v:fill on="t" focussize="0,0"/>
                <v:stroke weight="1.25pt" color="#808080" joinstyle="round"/>
                <v:imagedata o:title=""/>
                <o:lock v:ext="edit" aspectratio="f"/>
                <v:textbox>
                  <w:txbxContent>
                    <w:p w14:paraId="2301DD71">
                      <w:pPr>
                        <w:jc w:val="center"/>
                        <w:rPr>
                          <w:rFonts w:hAnsi="宋体"/>
                        </w:rPr>
                      </w:pPr>
                    </w:p>
                    <w:p w14:paraId="4C94363F">
                      <w:pPr>
                        <w:rPr>
                          <w:rFonts w:hAnsi="宋体"/>
                        </w:rPr>
                      </w:pPr>
                    </w:p>
                    <w:p w14:paraId="13901E4D">
                      <w:pPr>
                        <w:jc w:val="center"/>
                        <w:rPr>
                          <w:rFonts w:ascii="仿宋" w:hAnsi="仿宋" w:eastAsia="仿宋" w:cs="仿宋"/>
                          <w:szCs w:val="21"/>
                        </w:rPr>
                      </w:pPr>
                      <w:r>
                        <w:rPr>
                          <w:rFonts w:hint="eastAsia" w:ascii="仿宋" w:hAnsi="仿宋" w:eastAsia="仿宋" w:cs="仿宋"/>
                          <w:szCs w:val="21"/>
                        </w:rPr>
                        <w:t>法定代表人身份证复印件正面</w:t>
                      </w:r>
                    </w:p>
                    <w:p w14:paraId="75B01325"/>
                  </w:txbxContent>
                </v:textbox>
              </v:roundrect>
            </w:pict>
          </mc:Fallback>
        </mc:AlternateContent>
      </w:r>
      <w:r>
        <w:rPr>
          <w:rFonts w:hint="eastAsia" w:ascii="仿宋" w:hAnsi="仿宋" w:eastAsia="仿宋" w:cs="仿宋"/>
          <w:color w:val="auto"/>
          <w:sz w:val="24"/>
        </w:rPr>
        <w:t>本授权书于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日签字生效,特此声明。</w:t>
      </w:r>
      <w:r>
        <w:rPr>
          <w:rFonts w:hint="eastAsia" w:ascii="仿宋" w:hAnsi="仿宋" w:eastAsia="仿宋" w:cs="仿宋"/>
          <w:color w:val="auto"/>
          <w:sz w:val="24"/>
        </w:rPr>
        <w:cr/>
      </w:r>
      <w:r>
        <w:rPr>
          <w:rFonts w:hint="eastAsia" w:hAnsi="宋体" w:cs="宋体"/>
          <w:color w:val="auto"/>
          <w:sz w:val="24"/>
        </w:rPr>
        <w:cr/>
      </w:r>
    </w:p>
    <w:p w14:paraId="71B0FE90">
      <w:pPr>
        <w:pStyle w:val="15"/>
        <w:tabs>
          <w:tab w:val="left" w:pos="5580"/>
        </w:tabs>
        <w:spacing w:line="240" w:lineRule="atLeast"/>
        <w:ind w:left="-539" w:leftChars="-257" w:firstLine="900" w:firstLineChars="375"/>
        <w:rPr>
          <w:rFonts w:hAnsi="宋体" w:cs="宋体"/>
          <w:color w:val="auto"/>
          <w:sz w:val="24"/>
        </w:rPr>
      </w:pPr>
    </w:p>
    <w:p w14:paraId="6E416C96">
      <w:pPr>
        <w:spacing w:line="360" w:lineRule="auto"/>
        <w:ind w:firstLine="240" w:firstLineChars="100"/>
        <w:rPr>
          <w:rFonts w:ascii="宋体" w:hAnsi="宋体" w:cs="宋体"/>
          <w:color w:val="auto"/>
          <w:sz w:val="24"/>
        </w:rPr>
      </w:pPr>
    </w:p>
    <w:p w14:paraId="43E35608">
      <w:pPr>
        <w:spacing w:line="360" w:lineRule="auto"/>
        <w:ind w:firstLine="240" w:firstLineChars="100"/>
        <w:rPr>
          <w:rFonts w:ascii="宋体" w:hAnsi="宋体" w:cs="宋体"/>
          <w:color w:val="auto"/>
          <w:sz w:val="24"/>
        </w:rPr>
      </w:pPr>
    </w:p>
    <w:p w14:paraId="2CB08D68">
      <w:pPr>
        <w:spacing w:line="360" w:lineRule="auto"/>
        <w:ind w:firstLine="240" w:firstLineChars="100"/>
        <w:rPr>
          <w:rFonts w:ascii="宋体" w:hAnsi="宋体" w:cs="宋体"/>
          <w:color w:val="auto"/>
          <w:sz w:val="24"/>
        </w:rPr>
      </w:pPr>
    </w:p>
    <w:p w14:paraId="3710E518">
      <w:pPr>
        <w:spacing w:line="360" w:lineRule="auto"/>
        <w:ind w:firstLine="240" w:firstLineChars="100"/>
        <w:rPr>
          <w:rFonts w:ascii="宋体" w:hAnsi="宋体" w:cs="宋体"/>
          <w:color w:val="auto"/>
          <w:sz w:val="24"/>
        </w:rPr>
      </w:pPr>
    </w:p>
    <w:p w14:paraId="44977E3B">
      <w:pPr>
        <w:spacing w:line="360" w:lineRule="auto"/>
        <w:ind w:firstLine="240" w:firstLineChars="100"/>
        <w:rPr>
          <w:rFonts w:ascii="宋体" w:hAnsi="宋体" w:cs="宋体"/>
          <w:color w:val="auto"/>
          <w:sz w:val="24"/>
        </w:rPr>
      </w:pPr>
      <w:r>
        <w:rPr>
          <w:rFonts w:hint="eastAsia" w:ascii="宋体" w:hAnsi="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5240"/>
                <wp:wrapNone/>
                <wp:docPr id="2" name="自选图形 14"/>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FD5680A">
                            <w:pPr>
                              <w:rPr>
                                <w:rFonts w:hAnsi="宋体"/>
                              </w:rPr>
                            </w:pPr>
                          </w:p>
                          <w:p w14:paraId="47EB607C">
                            <w:pPr>
                              <w:rPr>
                                <w:rFonts w:hAnsi="宋体"/>
                              </w:rPr>
                            </w:pPr>
                          </w:p>
                          <w:p w14:paraId="45662D75">
                            <w:pPr>
                              <w:rPr>
                                <w:rFonts w:ascii="仿宋" w:hAnsi="仿宋" w:eastAsia="仿宋" w:cs="仿宋"/>
                              </w:rPr>
                            </w:pPr>
                            <w:r>
                              <w:rPr>
                                <w:rFonts w:hint="eastAsia" w:ascii="仿宋" w:hAnsi="仿宋" w:eastAsia="仿宋" w:cs="仿宋"/>
                              </w:rPr>
                              <w:t>被授权委托人身份证复印件反面</w:t>
                            </w:r>
                          </w:p>
                          <w:p w14:paraId="0E2DA999"/>
                        </w:txbxContent>
                      </wps:txbx>
                      <wps:bodyPr upright="1"/>
                    </wps:wsp>
                  </a:graphicData>
                </a:graphic>
              </wp:anchor>
            </w:drawing>
          </mc:Choice>
          <mc:Fallback>
            <w:pict>
              <v:roundrect id="自选图形 14"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iOrOvaAAAACQEAAA8AAAAAAAAAAQAgAAAAIgAAAGRycy9kb3ducmV2LnhtbFBLAQIUABQAAAAI&#10;AIdO4kAKrL1+JAIAAFkEAAAOAAAAAAAAAAEAIAAAACkBAABkcnMvZTJvRG9jLnhtbFBLBQYAAAAA&#10;BgAGAFkBAAC/BQAAAAA=&#10;">
                <v:fill on="t" focussize="0,0"/>
                <v:stroke weight="1.25pt" color="#808080" joinstyle="round"/>
                <v:imagedata o:title=""/>
                <o:lock v:ext="edit" aspectratio="f"/>
                <v:textbox>
                  <w:txbxContent>
                    <w:p w14:paraId="7FD5680A">
                      <w:pPr>
                        <w:rPr>
                          <w:rFonts w:hAnsi="宋体"/>
                        </w:rPr>
                      </w:pPr>
                    </w:p>
                    <w:p w14:paraId="47EB607C">
                      <w:pPr>
                        <w:rPr>
                          <w:rFonts w:hAnsi="宋体"/>
                        </w:rPr>
                      </w:pPr>
                    </w:p>
                    <w:p w14:paraId="45662D75">
                      <w:pPr>
                        <w:rPr>
                          <w:rFonts w:ascii="仿宋" w:hAnsi="仿宋" w:eastAsia="仿宋" w:cs="仿宋"/>
                        </w:rPr>
                      </w:pPr>
                      <w:r>
                        <w:rPr>
                          <w:rFonts w:hint="eastAsia" w:ascii="仿宋" w:hAnsi="仿宋" w:eastAsia="仿宋" w:cs="仿宋"/>
                        </w:rPr>
                        <w:t>被授权委托人身份证复印件反面</w:t>
                      </w:r>
                    </w:p>
                    <w:p w14:paraId="0E2DA999"/>
                  </w:txbxContent>
                </v:textbox>
              </v:roundrect>
            </w:pict>
          </mc:Fallback>
        </mc:AlternateContent>
      </w:r>
      <w:r>
        <w:rPr>
          <w:rFonts w:hint="eastAsia" w:ascii="宋体" w:hAnsi="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6350" b="5080"/>
                <wp:wrapNone/>
                <wp:docPr id="1" name="自选图形 15"/>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5A3B26">
                            <w:pPr>
                              <w:rPr>
                                <w:rFonts w:hAnsi="宋体"/>
                              </w:rPr>
                            </w:pPr>
                          </w:p>
                          <w:p w14:paraId="7800533B">
                            <w:pPr>
                              <w:jc w:val="center"/>
                              <w:rPr>
                                <w:rFonts w:hAnsi="宋体"/>
                              </w:rPr>
                            </w:pPr>
                          </w:p>
                          <w:p w14:paraId="6058100B">
                            <w:pPr>
                              <w:jc w:val="center"/>
                              <w:rPr>
                                <w:rFonts w:ascii="仿宋" w:hAnsi="仿宋" w:eastAsia="仿宋" w:cs="仿宋"/>
                              </w:rPr>
                            </w:pPr>
                            <w:r>
                              <w:rPr>
                                <w:rFonts w:hint="eastAsia" w:ascii="仿宋" w:hAnsi="仿宋" w:eastAsia="仿宋" w:cs="仿宋"/>
                              </w:rPr>
                              <w:t>被授权委托人身份证复印件正面</w:t>
                            </w:r>
                          </w:p>
                        </w:txbxContent>
                      </wps:txbx>
                      <wps:bodyPr upright="1"/>
                    </wps:wsp>
                  </a:graphicData>
                </a:graphic>
              </wp:anchor>
            </w:drawing>
          </mc:Choice>
          <mc:Fallback>
            <w:pict>
              <v:shape id="自选图形 15"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M+O7tYAAAAIAQAA&#10;DwAAAAAAAAABACAAAAAiAAAAZHJzL2Rvd25yZXYueG1sUEsBAhQAFAAAAAgAh07iQLwJBF8bAgAA&#10;RgQAAA4AAAAAAAAAAQAgAAAAJQEAAGRycy9lMm9Eb2MueG1sUEsFBgAAAAAGAAYAWQEAALIFAAAA&#10;AA==&#10;">
                <v:fill on="t" focussize="0,0"/>
                <v:stroke color="#000000" joinstyle="miter"/>
                <v:imagedata o:title=""/>
                <o:lock v:ext="edit" aspectratio="f"/>
                <v:textbox>
                  <w:txbxContent>
                    <w:p w14:paraId="355A3B26">
                      <w:pPr>
                        <w:rPr>
                          <w:rFonts w:hAnsi="宋体"/>
                        </w:rPr>
                      </w:pPr>
                    </w:p>
                    <w:p w14:paraId="7800533B">
                      <w:pPr>
                        <w:jc w:val="center"/>
                        <w:rPr>
                          <w:rFonts w:hAnsi="宋体"/>
                        </w:rPr>
                      </w:pPr>
                    </w:p>
                    <w:p w14:paraId="6058100B">
                      <w:pPr>
                        <w:jc w:val="center"/>
                        <w:rPr>
                          <w:rFonts w:ascii="仿宋" w:hAnsi="仿宋" w:eastAsia="仿宋" w:cs="仿宋"/>
                        </w:rPr>
                      </w:pPr>
                      <w:r>
                        <w:rPr>
                          <w:rFonts w:hint="eastAsia" w:ascii="仿宋" w:hAnsi="仿宋" w:eastAsia="仿宋" w:cs="仿宋"/>
                        </w:rPr>
                        <w:t>被授权委托人身份证复印件正面</w:t>
                      </w:r>
                    </w:p>
                  </w:txbxContent>
                </v:textbox>
              </v:shape>
            </w:pict>
          </mc:Fallback>
        </mc:AlternateContent>
      </w:r>
    </w:p>
    <w:p w14:paraId="1E9AC18A">
      <w:pPr>
        <w:spacing w:line="360" w:lineRule="auto"/>
        <w:ind w:firstLine="240" w:firstLineChars="100"/>
        <w:rPr>
          <w:rFonts w:ascii="宋体" w:hAnsi="宋体" w:cs="宋体"/>
          <w:color w:val="auto"/>
          <w:sz w:val="24"/>
        </w:rPr>
      </w:pPr>
    </w:p>
    <w:p w14:paraId="51D8648F">
      <w:pPr>
        <w:spacing w:line="360" w:lineRule="auto"/>
        <w:ind w:firstLine="240" w:firstLineChars="100"/>
        <w:rPr>
          <w:rFonts w:ascii="宋体" w:hAnsi="宋体" w:cs="宋体"/>
          <w:color w:val="auto"/>
          <w:sz w:val="24"/>
        </w:rPr>
      </w:pPr>
    </w:p>
    <w:p w14:paraId="6C6C3A27">
      <w:pPr>
        <w:spacing w:line="360" w:lineRule="auto"/>
        <w:rPr>
          <w:rFonts w:ascii="宋体" w:hAnsi="宋体" w:cs="宋体"/>
          <w:color w:val="auto"/>
          <w:sz w:val="24"/>
        </w:rPr>
      </w:pPr>
    </w:p>
    <w:p w14:paraId="785963D3">
      <w:pPr>
        <w:pStyle w:val="15"/>
        <w:tabs>
          <w:tab w:val="left" w:pos="5580"/>
        </w:tabs>
        <w:spacing w:line="240" w:lineRule="atLeast"/>
        <w:rPr>
          <w:rFonts w:hAnsi="宋体" w:cs="宋体"/>
          <w:color w:val="auto"/>
          <w:sz w:val="24"/>
        </w:rPr>
      </w:pPr>
    </w:p>
    <w:p w14:paraId="48258515">
      <w:pPr>
        <w:pStyle w:val="15"/>
        <w:tabs>
          <w:tab w:val="left" w:pos="5580"/>
        </w:tabs>
        <w:spacing w:line="360" w:lineRule="auto"/>
        <w:ind w:firstLine="960" w:firstLineChars="400"/>
        <w:rPr>
          <w:rFonts w:ascii="仿宋" w:hAnsi="仿宋" w:eastAsia="仿宋" w:cs="仿宋"/>
          <w:color w:val="auto"/>
          <w:sz w:val="24"/>
          <w:u w:val="single"/>
        </w:rPr>
      </w:pPr>
      <w:r>
        <w:rPr>
          <w:rFonts w:hint="eastAsia" w:ascii="仿宋" w:hAnsi="仿宋" w:eastAsia="仿宋" w:cs="仿宋"/>
          <w:color w:val="auto"/>
          <w:sz w:val="24"/>
        </w:rPr>
        <w:t>投 标 人</w:t>
      </w:r>
      <w:r>
        <w:rPr>
          <w:rFonts w:hint="eastAsia" w:ascii="仿宋" w:hAnsi="仿宋" w:eastAsia="仿宋" w:cs="仿宋"/>
          <w:color w:val="auto"/>
          <w:kern w:val="0"/>
          <w:sz w:val="24"/>
        </w:rPr>
        <w:t>（</w:t>
      </w:r>
      <w:r>
        <w:rPr>
          <w:rFonts w:hint="eastAsia" w:ascii="仿宋" w:hAnsi="仿宋" w:eastAsia="仿宋" w:cs="仿宋"/>
          <w:color w:val="auto"/>
          <w:sz w:val="24"/>
          <w:szCs w:val="24"/>
        </w:rPr>
        <w:t>单位盖章</w:t>
      </w:r>
      <w:r>
        <w:rPr>
          <w:rFonts w:hint="eastAsia" w:ascii="仿宋" w:hAnsi="仿宋" w:eastAsia="仿宋" w:cs="仿宋"/>
          <w:color w:val="auto"/>
          <w:kern w:val="0"/>
          <w:sz w:val="24"/>
        </w:rPr>
        <w:t>）</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14:paraId="730458AD">
      <w:pPr>
        <w:pStyle w:val="15"/>
        <w:tabs>
          <w:tab w:val="left" w:pos="5580"/>
        </w:tabs>
        <w:spacing w:line="360" w:lineRule="auto"/>
        <w:ind w:firstLine="960" w:firstLineChars="400"/>
        <w:rPr>
          <w:rFonts w:ascii="仿宋" w:hAnsi="仿宋" w:eastAsia="仿宋" w:cs="仿宋"/>
          <w:color w:val="auto"/>
          <w:sz w:val="24"/>
        </w:rPr>
      </w:pPr>
      <w:r>
        <w:rPr>
          <w:rFonts w:hint="eastAsia" w:ascii="仿宋" w:hAnsi="仿宋" w:eastAsia="仿宋" w:cs="仿宋"/>
          <w:color w:val="auto"/>
          <w:sz w:val="24"/>
        </w:rPr>
        <w:t>法定代表人</w:t>
      </w:r>
      <w:r>
        <w:rPr>
          <w:rFonts w:ascii="仿宋" w:hAnsi="仿宋" w:eastAsia="仿宋" w:cs="仿宋"/>
          <w:color w:val="auto"/>
          <w:sz w:val="24"/>
          <w:szCs w:val="24"/>
        </w:rPr>
        <w:t xml:space="preserve"> (</w:t>
      </w:r>
      <w:r>
        <w:rPr>
          <w:rFonts w:hint="eastAsia" w:ascii="仿宋" w:hAnsi="仿宋" w:eastAsia="仿宋" w:cs="仿宋"/>
          <w:color w:val="auto"/>
          <w:sz w:val="24"/>
          <w:szCs w:val="24"/>
        </w:rPr>
        <w:t>签字或盖章</w:t>
      </w:r>
      <w:r>
        <w:rPr>
          <w:rFonts w:ascii="仿宋" w:hAnsi="仿宋" w:eastAsia="仿宋" w:cs="仿宋"/>
          <w:color w:val="auto"/>
          <w:sz w:val="24"/>
          <w:szCs w:val="24"/>
        </w:rPr>
        <w:t>)</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14:paraId="564ACA05">
      <w:pPr>
        <w:pStyle w:val="15"/>
        <w:tabs>
          <w:tab w:val="left" w:pos="5580"/>
        </w:tabs>
        <w:spacing w:line="360" w:lineRule="auto"/>
        <w:ind w:firstLine="960" w:firstLineChars="400"/>
        <w:rPr>
          <w:rFonts w:ascii="仿宋" w:hAnsi="仿宋" w:eastAsia="仿宋" w:cs="仿宋"/>
          <w:color w:val="auto"/>
          <w:sz w:val="24"/>
        </w:rPr>
      </w:pPr>
      <w:r>
        <w:rPr>
          <w:rFonts w:hint="eastAsia" w:ascii="仿宋" w:hAnsi="仿宋" w:eastAsia="仿宋" w:cs="仿宋"/>
          <w:color w:val="auto"/>
          <w:sz w:val="24"/>
          <w:u w:val="single" w:color="EEECE1"/>
        </w:rPr>
        <w:t>身</w:t>
      </w:r>
      <w:r>
        <w:rPr>
          <w:rFonts w:hint="eastAsia" w:ascii="仿宋" w:hAnsi="仿宋" w:eastAsia="仿宋" w:cs="仿宋"/>
          <w:color w:val="auto"/>
          <w:sz w:val="24"/>
        </w:rPr>
        <w:t>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5B93AF07">
      <w:pPr>
        <w:pStyle w:val="15"/>
        <w:tabs>
          <w:tab w:val="left" w:pos="5580"/>
        </w:tabs>
        <w:spacing w:line="360" w:lineRule="auto"/>
        <w:ind w:firstLine="960" w:firstLineChars="400"/>
        <w:rPr>
          <w:rFonts w:ascii="仿宋" w:hAnsi="仿宋" w:eastAsia="仿宋" w:cs="仿宋"/>
          <w:color w:val="auto"/>
          <w:sz w:val="24"/>
          <w:u w:val="single"/>
        </w:rPr>
      </w:pPr>
      <w:r>
        <w:rPr>
          <w:rFonts w:hint="eastAsia" w:ascii="仿宋" w:hAnsi="仿宋" w:eastAsia="仿宋" w:cs="仿宋"/>
          <w:color w:val="auto"/>
          <w:sz w:val="24"/>
        </w:rPr>
        <w:t>委托代理人：</w:t>
      </w:r>
      <w:r>
        <w:rPr>
          <w:rFonts w:hint="eastAsia" w:ascii="仿宋" w:hAnsi="仿宋" w:eastAsia="仿宋" w:cs="仿宋"/>
          <w:color w:val="auto"/>
          <w:sz w:val="24"/>
          <w:u w:val="single"/>
        </w:rPr>
        <w:t xml:space="preserve">                                 </w:t>
      </w:r>
    </w:p>
    <w:p w14:paraId="56944DE7">
      <w:pPr>
        <w:pStyle w:val="15"/>
        <w:tabs>
          <w:tab w:val="left" w:pos="5580"/>
        </w:tabs>
        <w:spacing w:line="360" w:lineRule="auto"/>
        <w:ind w:firstLine="960" w:firstLineChars="400"/>
        <w:rPr>
          <w:rFonts w:ascii="仿宋" w:hAnsi="仿宋" w:eastAsia="仿宋" w:cs="仿宋"/>
          <w:color w:val="auto"/>
          <w:sz w:val="24"/>
        </w:rPr>
      </w:pPr>
      <w:r>
        <w:rPr>
          <w:rFonts w:hint="eastAsia" w:ascii="仿宋" w:hAnsi="仿宋" w:eastAsia="仿宋" w:cs="仿宋"/>
          <w:color w:val="auto"/>
          <w:sz w:val="24"/>
        </w:rPr>
        <w:t>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2211E9A1">
      <w:pPr>
        <w:pStyle w:val="15"/>
        <w:tabs>
          <w:tab w:val="left" w:pos="5580"/>
        </w:tabs>
        <w:spacing w:line="360" w:lineRule="auto"/>
        <w:ind w:firstLine="960" w:firstLineChars="400"/>
        <w:rPr>
          <w:rFonts w:ascii="仿宋" w:hAnsi="仿宋" w:eastAsia="仿宋" w:cs="仿宋"/>
          <w:color w:val="auto"/>
          <w:sz w:val="24"/>
        </w:rPr>
      </w:pPr>
      <w:r>
        <w:rPr>
          <w:rFonts w:hint="eastAsia" w:ascii="仿宋" w:hAnsi="仿宋" w:eastAsia="仿宋" w:cs="仿宋"/>
          <w:color w:val="auto"/>
          <w:sz w:val="24"/>
        </w:rPr>
        <w:t>详细通讯地址：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48D40022">
      <w:pPr>
        <w:pStyle w:val="15"/>
        <w:tabs>
          <w:tab w:val="left" w:pos="5580"/>
        </w:tabs>
        <w:spacing w:line="360" w:lineRule="auto"/>
        <w:ind w:firstLine="960" w:firstLineChars="400"/>
        <w:rPr>
          <w:rFonts w:ascii="仿宋" w:hAnsi="仿宋" w:eastAsia="仿宋" w:cs="仿宋"/>
          <w:color w:val="auto"/>
          <w:sz w:val="24"/>
          <w:u w:val="single"/>
        </w:rPr>
      </w:pPr>
      <w:r>
        <w:rPr>
          <w:rFonts w:hint="eastAsia" w:ascii="仿宋" w:hAnsi="仿宋" w:eastAsia="仿宋" w:cs="仿宋"/>
          <w:color w:val="auto"/>
          <w:sz w:val="24"/>
        </w:rPr>
        <w:t>邮 政 编 码 ：</w:t>
      </w:r>
      <w:r>
        <w:rPr>
          <w:rFonts w:hint="eastAsia" w:ascii="仿宋" w:hAnsi="仿宋" w:eastAsia="仿宋" w:cs="仿宋"/>
          <w:color w:val="auto"/>
          <w:sz w:val="24"/>
          <w:u w:val="single"/>
        </w:rPr>
        <w:t xml:space="preserve">                               </w:t>
      </w:r>
    </w:p>
    <w:p w14:paraId="58CC973D">
      <w:pPr>
        <w:pStyle w:val="15"/>
        <w:tabs>
          <w:tab w:val="left" w:pos="5580"/>
        </w:tabs>
        <w:spacing w:line="360" w:lineRule="auto"/>
        <w:ind w:firstLine="960" w:firstLineChars="400"/>
        <w:rPr>
          <w:rFonts w:ascii="仿宋" w:hAnsi="仿宋" w:eastAsia="仿宋" w:cs="仿宋"/>
          <w:color w:val="auto"/>
          <w:sz w:val="24"/>
          <w:u w:val="single"/>
        </w:rPr>
      </w:pPr>
      <w:r>
        <w:rPr>
          <w:rFonts w:hint="eastAsia" w:ascii="仿宋" w:hAnsi="仿宋" w:eastAsia="仿宋" w:cs="仿宋"/>
          <w:color w:val="auto"/>
          <w:sz w:val="24"/>
        </w:rPr>
        <w:t>日       期 ：</w:t>
      </w:r>
      <w:r>
        <w:rPr>
          <w:rFonts w:hint="eastAsia" w:ascii="仿宋" w:hAnsi="仿宋" w:eastAsia="仿宋" w:cs="仿宋"/>
          <w:color w:val="auto"/>
          <w:sz w:val="24"/>
          <w:u w:val="single"/>
        </w:rPr>
        <w:t xml:space="preserve">                               </w:t>
      </w:r>
    </w:p>
    <w:p w14:paraId="214E7227">
      <w:pPr>
        <w:pStyle w:val="15"/>
        <w:tabs>
          <w:tab w:val="left" w:pos="5580"/>
        </w:tabs>
        <w:spacing w:line="360" w:lineRule="auto"/>
        <w:ind w:firstLine="480" w:firstLineChars="200"/>
        <w:rPr>
          <w:rFonts w:hAnsi="宋体" w:cs="宋体"/>
          <w:color w:val="auto"/>
          <w:sz w:val="24"/>
          <w:u w:val="single"/>
        </w:rPr>
      </w:pPr>
    </w:p>
    <w:p w14:paraId="58F022E2">
      <w:pPr>
        <w:pStyle w:val="15"/>
        <w:tabs>
          <w:tab w:val="left" w:pos="5580"/>
        </w:tabs>
        <w:spacing w:line="360" w:lineRule="auto"/>
        <w:ind w:firstLine="480" w:firstLineChars="200"/>
        <w:rPr>
          <w:rFonts w:hAnsi="宋体" w:cs="宋体"/>
          <w:color w:val="auto"/>
          <w:sz w:val="24"/>
          <w:u w:val="single"/>
        </w:rPr>
      </w:pPr>
    </w:p>
    <w:p w14:paraId="3B71823C">
      <w:pPr>
        <w:tabs>
          <w:tab w:val="left" w:pos="5580"/>
        </w:tabs>
        <w:spacing w:line="360" w:lineRule="exact"/>
        <w:rPr>
          <w:rFonts w:ascii="宋体" w:hAnsi="宋体" w:cs="宋体"/>
          <w:b/>
          <w:bCs/>
          <w:color w:val="auto"/>
          <w:sz w:val="28"/>
          <w:szCs w:val="28"/>
        </w:rPr>
      </w:pPr>
    </w:p>
    <w:p w14:paraId="6CFE7327">
      <w:pPr>
        <w:spacing w:line="360" w:lineRule="exact"/>
        <w:ind w:left="617"/>
        <w:jc w:val="center"/>
        <w:rPr>
          <w:rFonts w:ascii="仿宋_GB2312" w:hAnsi="宋体" w:eastAsia="仿宋_GB2312" w:cs="宋体"/>
          <w:bCs/>
          <w:color w:val="auto"/>
          <w:sz w:val="24"/>
        </w:rPr>
      </w:pPr>
      <w:r>
        <w:rPr>
          <w:rFonts w:hint="eastAsia" w:ascii="仿宋" w:hAnsi="仿宋" w:eastAsia="仿宋" w:cs="仿宋"/>
          <w:b/>
          <w:bCs/>
          <w:color w:val="auto"/>
          <w:sz w:val="28"/>
          <w:szCs w:val="28"/>
        </w:rPr>
        <w:t>4、须具备有效的测绘乙级及以上（含乙级）资质证书；</w:t>
      </w:r>
    </w:p>
    <w:p w14:paraId="4663DDAA">
      <w:pPr>
        <w:tabs>
          <w:tab w:val="left" w:pos="5580"/>
        </w:tabs>
        <w:spacing w:line="240" w:lineRule="atLeast"/>
        <w:ind w:left="540"/>
        <w:jc w:val="center"/>
        <w:rPr>
          <w:rFonts w:ascii="宋体" w:hAnsi="宋体" w:cs="宋体"/>
          <w:color w:val="auto"/>
          <w:sz w:val="24"/>
        </w:rPr>
      </w:pPr>
    </w:p>
    <w:p w14:paraId="06DDFCC7">
      <w:pPr>
        <w:pStyle w:val="7"/>
        <w:ind w:firstLine="0"/>
        <w:rPr>
          <w:rFonts w:hAnsi="宋体" w:cs="宋体"/>
          <w:color w:val="auto"/>
          <w:szCs w:val="24"/>
        </w:rPr>
      </w:pPr>
    </w:p>
    <w:p w14:paraId="69C553E2">
      <w:pPr>
        <w:pStyle w:val="7"/>
        <w:rPr>
          <w:rFonts w:hAnsi="宋体" w:cs="宋体"/>
          <w:color w:val="auto"/>
          <w:szCs w:val="24"/>
        </w:rPr>
      </w:pPr>
    </w:p>
    <w:p w14:paraId="227965EB">
      <w:pPr>
        <w:pStyle w:val="7"/>
        <w:rPr>
          <w:rFonts w:hAnsi="宋体" w:cs="宋体"/>
          <w:color w:val="auto"/>
          <w:szCs w:val="24"/>
        </w:rPr>
      </w:pPr>
    </w:p>
    <w:p w14:paraId="31B453D0">
      <w:pPr>
        <w:pStyle w:val="8"/>
        <w:rPr>
          <w:color w:val="auto"/>
        </w:rPr>
      </w:pPr>
    </w:p>
    <w:p w14:paraId="06F4F22E">
      <w:pPr>
        <w:pStyle w:val="7"/>
        <w:rPr>
          <w:rFonts w:hAnsi="宋体" w:cs="宋体"/>
          <w:color w:val="auto"/>
          <w:szCs w:val="24"/>
        </w:rPr>
      </w:pPr>
    </w:p>
    <w:p w14:paraId="200F7907">
      <w:pPr>
        <w:tabs>
          <w:tab w:val="left" w:pos="5580"/>
        </w:tabs>
        <w:spacing w:line="240" w:lineRule="atLeast"/>
        <w:ind w:left="539" w:leftChars="257" w:firstLine="562"/>
        <w:rPr>
          <w:rFonts w:ascii="仿宋" w:hAnsi="仿宋" w:eastAsia="仿宋" w:cs="仿宋"/>
          <w:b/>
          <w:bCs/>
          <w:color w:val="auto"/>
          <w:sz w:val="28"/>
          <w:szCs w:val="28"/>
        </w:rPr>
      </w:pPr>
      <w:r>
        <w:rPr>
          <w:rFonts w:hint="eastAsia" w:ascii="仿宋" w:hAnsi="仿宋" w:eastAsia="仿宋" w:cs="仿宋"/>
          <w:b/>
          <w:bCs/>
          <w:color w:val="auto"/>
          <w:sz w:val="28"/>
          <w:szCs w:val="28"/>
        </w:rPr>
        <w:t>5、依法缴纳近六个月中任意一个月的社会保险社保缴纳凭证；依法缴纳近六个月任意一个月的完税证明；</w:t>
      </w:r>
    </w:p>
    <w:p w14:paraId="229D9CF2">
      <w:pPr>
        <w:pStyle w:val="7"/>
        <w:ind w:left="617" w:firstLine="480"/>
        <w:rPr>
          <w:color w:val="auto"/>
        </w:rPr>
      </w:pPr>
    </w:p>
    <w:p w14:paraId="74461B08">
      <w:pPr>
        <w:pStyle w:val="7"/>
        <w:ind w:left="617" w:firstLine="480"/>
        <w:rPr>
          <w:rFonts w:ascii="仿宋" w:hAnsi="仿宋" w:eastAsia="仿宋" w:cs="仿宋"/>
          <w:color w:val="auto"/>
        </w:rPr>
      </w:pPr>
      <w:r>
        <w:rPr>
          <w:rFonts w:hint="eastAsia" w:ascii="仿宋" w:hAnsi="仿宋" w:eastAsia="仿宋" w:cs="仿宋"/>
          <w:color w:val="auto"/>
        </w:rPr>
        <w:t>注：1.按照投标人须知资料表中的规定提供复印件。</w:t>
      </w:r>
    </w:p>
    <w:p w14:paraId="1F2E7C14">
      <w:pPr>
        <w:pStyle w:val="7"/>
        <w:ind w:left="617" w:firstLine="480"/>
        <w:rPr>
          <w:rFonts w:ascii="仿宋" w:hAnsi="仿宋" w:eastAsia="仿宋" w:cs="仿宋"/>
          <w:color w:val="auto"/>
        </w:rPr>
      </w:pPr>
      <w:r>
        <w:rPr>
          <w:rFonts w:hint="eastAsia" w:ascii="仿宋" w:hAnsi="仿宋" w:eastAsia="仿宋" w:cs="仿宋"/>
          <w:color w:val="auto"/>
        </w:rPr>
        <w:t xml:space="preserve">    2.复印件上应加盖本单位章。</w:t>
      </w:r>
    </w:p>
    <w:p w14:paraId="0321DE41">
      <w:pPr>
        <w:pStyle w:val="7"/>
        <w:ind w:firstLine="720" w:firstLineChars="300"/>
        <w:rPr>
          <w:rFonts w:ascii="仿宋" w:hAnsi="仿宋" w:eastAsia="仿宋"/>
          <w:color w:val="auto"/>
        </w:rPr>
      </w:pPr>
      <w:r>
        <w:rPr>
          <w:rFonts w:hint="eastAsia" w:ascii="仿宋" w:hAnsi="仿宋" w:eastAsia="仿宋"/>
          <w:color w:val="auto"/>
        </w:rPr>
        <w:t>说明：若投标人某月税收为零申报，须提供加盖税务局公章的无欠税证明或申报成功网页截图</w:t>
      </w:r>
      <w:r>
        <w:rPr>
          <w:rFonts w:ascii="仿宋" w:hAnsi="仿宋" w:eastAsia="仿宋"/>
          <w:color w:val="auto"/>
        </w:rPr>
        <w:t xml:space="preserve">( </w:t>
      </w:r>
      <w:r>
        <w:rPr>
          <w:rFonts w:hint="eastAsia" w:ascii="仿宋" w:hAnsi="仿宋" w:eastAsia="仿宋"/>
          <w:color w:val="auto"/>
        </w:rPr>
        <w:t>投标人可自主登录“</w:t>
      </w:r>
      <w:r>
        <w:rPr>
          <w:rFonts w:ascii="仿宋" w:hAnsi="仿宋" w:eastAsia="仿宋"/>
          <w:color w:val="auto"/>
        </w:rPr>
        <w:t xml:space="preserve"> </w:t>
      </w:r>
      <w:r>
        <w:rPr>
          <w:rFonts w:hint="eastAsia" w:ascii="仿宋" w:hAnsi="仿宋" w:eastAsia="仿宋"/>
          <w:color w:val="auto"/>
        </w:rPr>
        <w:t>国家税务总局电子税务局”</w:t>
      </w:r>
      <w:r>
        <w:rPr>
          <w:rFonts w:ascii="仿宋" w:hAnsi="仿宋" w:eastAsia="仿宋"/>
          <w:color w:val="auto"/>
        </w:rPr>
        <w:t>12366.chinatax.gov.cn/bsfw/onlinetaxation/main--</w:t>
      </w:r>
      <w:r>
        <w:rPr>
          <w:rFonts w:hint="eastAsia" w:ascii="仿宋" w:hAnsi="仿宋" w:eastAsia="仿宋"/>
          <w:color w:val="auto"/>
        </w:rPr>
        <w:t>税费申报及缴纳</w:t>
      </w:r>
      <w:r>
        <w:rPr>
          <w:rFonts w:ascii="仿宋" w:hAnsi="仿宋" w:eastAsia="仿宋"/>
          <w:color w:val="auto"/>
        </w:rPr>
        <w:t>--</w:t>
      </w:r>
      <w:r>
        <w:rPr>
          <w:rFonts w:hint="eastAsia" w:ascii="仿宋" w:hAnsi="仿宋" w:eastAsia="仿宋"/>
          <w:color w:val="auto"/>
        </w:rPr>
        <w:t>申报结果查询</w:t>
      </w:r>
      <w:r>
        <w:rPr>
          <w:rFonts w:ascii="仿宋" w:hAnsi="仿宋" w:eastAsia="仿宋"/>
          <w:color w:val="auto"/>
        </w:rPr>
        <w:t>)</w:t>
      </w:r>
      <w:r>
        <w:rPr>
          <w:rFonts w:hint="eastAsia" w:ascii="仿宋" w:hAnsi="仿宋" w:eastAsia="仿宋"/>
          <w:color w:val="auto"/>
        </w:rPr>
        <w:t>。②银行付款回执单、税务局代收的社保缴费证明不可作为本项目的完税证明</w:t>
      </w:r>
      <w:r>
        <w:rPr>
          <w:rFonts w:ascii="仿宋" w:hAnsi="仿宋" w:eastAsia="仿宋"/>
          <w:color w:val="auto"/>
        </w:rPr>
        <w:t>(</w:t>
      </w:r>
      <w:r>
        <w:rPr>
          <w:rFonts w:hint="eastAsia" w:ascii="仿宋" w:hAnsi="仿宋" w:eastAsia="仿宋"/>
          <w:color w:val="auto"/>
        </w:rPr>
        <w:t>“税种”不可为养老保险、医疗保险、失业保险、工伤保险和生育保险</w:t>
      </w:r>
      <w:r>
        <w:rPr>
          <w:rFonts w:ascii="仿宋" w:hAnsi="仿宋" w:eastAsia="仿宋"/>
          <w:color w:val="auto"/>
        </w:rPr>
        <w:t>)</w:t>
      </w:r>
      <w:r>
        <w:rPr>
          <w:rFonts w:hint="eastAsia" w:ascii="仿宋" w:hAnsi="仿宋" w:eastAsia="仿宋"/>
          <w:color w:val="auto"/>
        </w:rPr>
        <w:t xml:space="preserve">。请各投标人注意！   </w:t>
      </w:r>
    </w:p>
    <w:p w14:paraId="5430046E">
      <w:pPr>
        <w:pStyle w:val="7"/>
        <w:ind w:firstLine="0"/>
        <w:rPr>
          <w:color w:val="auto"/>
        </w:rPr>
      </w:pPr>
    </w:p>
    <w:p w14:paraId="386F944A">
      <w:pPr>
        <w:pStyle w:val="7"/>
        <w:ind w:firstLine="0"/>
        <w:rPr>
          <w:color w:val="auto"/>
        </w:rPr>
      </w:pPr>
    </w:p>
    <w:p w14:paraId="1DD51C87">
      <w:pPr>
        <w:pStyle w:val="7"/>
        <w:ind w:firstLine="0"/>
        <w:rPr>
          <w:color w:val="auto"/>
        </w:rPr>
      </w:pPr>
    </w:p>
    <w:p w14:paraId="30EB0A39">
      <w:pPr>
        <w:pStyle w:val="7"/>
        <w:ind w:firstLine="0"/>
        <w:rPr>
          <w:color w:val="auto"/>
        </w:rPr>
      </w:pPr>
    </w:p>
    <w:p w14:paraId="6977EB10">
      <w:pPr>
        <w:tabs>
          <w:tab w:val="left" w:pos="5580"/>
        </w:tabs>
        <w:spacing w:line="240" w:lineRule="atLeast"/>
        <w:ind w:left="539" w:leftChars="257" w:firstLine="562"/>
        <w:rPr>
          <w:rFonts w:ascii="仿宋" w:hAnsi="仿宋" w:eastAsia="仿宋" w:cs="仿宋"/>
          <w:b/>
          <w:bCs/>
          <w:color w:val="auto"/>
          <w:sz w:val="28"/>
          <w:szCs w:val="28"/>
        </w:rPr>
      </w:pPr>
      <w:r>
        <w:rPr>
          <w:rFonts w:hint="eastAsia" w:ascii="仿宋" w:hAnsi="仿宋" w:eastAsia="仿宋" w:cs="仿宋"/>
          <w:b/>
          <w:bCs/>
          <w:color w:val="auto"/>
          <w:sz w:val="28"/>
          <w:szCs w:val="28"/>
        </w:rPr>
        <w:t>6、</w:t>
      </w:r>
      <w:r>
        <w:rPr>
          <w:rFonts w:hint="eastAsia" w:ascii="仿宋" w:hAnsi="仿宋" w:eastAsia="仿宋" w:cs="仿宋"/>
          <w:b/>
          <w:bCs/>
          <w:color w:val="auto"/>
          <w:sz w:val="28"/>
          <w:szCs w:val="28"/>
        </w:rPr>
        <w:t>提供2024年或2025年任意一年</w:t>
      </w:r>
      <w:r>
        <w:rPr>
          <w:rFonts w:hint="eastAsia" w:ascii="仿宋" w:hAnsi="仿宋" w:eastAsia="仿宋" w:cs="仿宋"/>
          <w:b/>
          <w:bCs/>
          <w:color w:val="auto"/>
          <w:sz w:val="28"/>
          <w:szCs w:val="28"/>
        </w:rPr>
        <w:t>经会计事务所出具财务审计报告；（新成立的公司须提供近一个月的银行资信证明）；</w:t>
      </w:r>
      <w:r>
        <w:rPr>
          <w:rFonts w:ascii="仿宋" w:hAnsi="仿宋" w:eastAsia="仿宋" w:cs="仿宋"/>
          <w:b/>
          <w:bCs/>
          <w:color w:val="auto"/>
          <w:sz w:val="28"/>
          <w:szCs w:val="28"/>
        </w:rPr>
        <w:t xml:space="preserve"> </w:t>
      </w:r>
    </w:p>
    <w:p w14:paraId="57958BA9">
      <w:pPr>
        <w:pStyle w:val="7"/>
        <w:ind w:firstLine="720" w:firstLineChars="300"/>
        <w:rPr>
          <w:rFonts w:ascii="仿宋" w:hAnsi="仿宋" w:eastAsia="仿宋"/>
          <w:color w:val="auto"/>
        </w:rPr>
      </w:pPr>
      <w:r>
        <w:rPr>
          <w:rFonts w:hint="eastAsia" w:ascii="仿宋" w:hAnsi="仿宋" w:eastAsia="仿宋"/>
          <w:color w:val="auto"/>
        </w:rPr>
        <w:t>注：1、如提供本单位2024年或2025年任意一年经会计师事务所出具的审计报告复印件（成立不足一年的提供企业成立至今的财务报表复印件），须加盖本单位章。</w:t>
      </w:r>
    </w:p>
    <w:p w14:paraId="3A9CEFCE">
      <w:pPr>
        <w:pStyle w:val="7"/>
        <w:ind w:firstLine="720" w:firstLineChars="300"/>
        <w:rPr>
          <w:rFonts w:ascii="仿宋" w:hAnsi="仿宋" w:eastAsia="仿宋"/>
          <w:color w:val="auto"/>
        </w:rPr>
      </w:pPr>
      <w:r>
        <w:rPr>
          <w:rFonts w:hint="eastAsia" w:ascii="仿宋" w:hAnsi="仿宋" w:eastAsia="仿宋"/>
          <w:color w:val="auto"/>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54531AA2">
      <w:pPr>
        <w:rPr>
          <w:color w:val="auto"/>
        </w:rPr>
      </w:pPr>
    </w:p>
    <w:p w14:paraId="7875035C">
      <w:pPr>
        <w:pStyle w:val="7"/>
        <w:ind w:firstLine="0"/>
        <w:rPr>
          <w:color w:val="auto"/>
        </w:rPr>
      </w:pPr>
    </w:p>
    <w:p w14:paraId="6AB72197">
      <w:pPr>
        <w:rPr>
          <w:color w:val="auto"/>
        </w:rPr>
      </w:pPr>
    </w:p>
    <w:p w14:paraId="4FC9AD73">
      <w:pPr>
        <w:rPr>
          <w:color w:val="auto"/>
        </w:rPr>
      </w:pPr>
    </w:p>
    <w:p w14:paraId="41F252CC">
      <w:pPr>
        <w:pStyle w:val="7"/>
        <w:ind w:firstLine="0"/>
        <w:rPr>
          <w:color w:val="auto"/>
        </w:rPr>
      </w:pPr>
    </w:p>
    <w:p w14:paraId="0B7FA4C4">
      <w:pPr>
        <w:rPr>
          <w:color w:val="auto"/>
        </w:rPr>
      </w:pPr>
    </w:p>
    <w:p w14:paraId="553D4D92">
      <w:pPr>
        <w:pStyle w:val="7"/>
        <w:ind w:firstLine="0"/>
        <w:rPr>
          <w:color w:val="auto"/>
        </w:rPr>
      </w:pPr>
    </w:p>
    <w:p w14:paraId="70D8A345">
      <w:pPr>
        <w:rPr>
          <w:color w:val="auto"/>
        </w:rPr>
      </w:pPr>
    </w:p>
    <w:p w14:paraId="22D57607">
      <w:pPr>
        <w:tabs>
          <w:tab w:val="left" w:pos="5580"/>
        </w:tabs>
        <w:spacing w:line="240" w:lineRule="atLeast"/>
        <w:ind w:left="539" w:leftChars="257" w:firstLine="562"/>
        <w:rPr>
          <w:rFonts w:ascii="仿宋" w:hAnsi="仿宋" w:eastAsia="仿宋" w:cs="仿宋"/>
          <w:b/>
          <w:bCs/>
          <w:color w:val="auto"/>
          <w:sz w:val="28"/>
          <w:szCs w:val="28"/>
        </w:rPr>
      </w:pPr>
      <w:r>
        <w:rPr>
          <w:rFonts w:hint="eastAsia" w:ascii="仿宋" w:hAnsi="仿宋" w:eastAsia="仿宋" w:cs="仿宋"/>
          <w:b/>
          <w:bCs/>
          <w:color w:val="auto"/>
          <w:sz w:val="28"/>
          <w:szCs w:val="28"/>
        </w:rPr>
        <w:t>7、根据《财政部关于在政府采购活动中查询及使用信用记录有关问题的通知》（财库﹝</w:t>
      </w:r>
      <w:r>
        <w:rPr>
          <w:rFonts w:ascii="仿宋" w:hAnsi="仿宋" w:eastAsia="仿宋" w:cs="仿宋"/>
          <w:b/>
          <w:bCs/>
          <w:color w:val="auto"/>
          <w:sz w:val="28"/>
          <w:szCs w:val="28"/>
        </w:rPr>
        <w:t>2016</w:t>
      </w:r>
      <w:r>
        <w:rPr>
          <w:rFonts w:hint="eastAsia" w:ascii="仿宋" w:hAnsi="仿宋" w:eastAsia="仿宋" w:cs="仿宋"/>
          <w:b/>
          <w:bCs/>
          <w:color w:val="auto"/>
          <w:sz w:val="28"/>
          <w:szCs w:val="28"/>
        </w:rPr>
        <w:t>﹞</w:t>
      </w:r>
      <w:r>
        <w:rPr>
          <w:rFonts w:ascii="仿宋" w:hAnsi="仿宋" w:eastAsia="仿宋" w:cs="仿宋"/>
          <w:b/>
          <w:bCs/>
          <w:color w:val="auto"/>
          <w:sz w:val="28"/>
          <w:szCs w:val="28"/>
        </w:rPr>
        <w:t>125</w:t>
      </w:r>
      <w:r>
        <w:rPr>
          <w:rFonts w:hint="eastAsia" w:ascii="仿宋" w:hAnsi="仿宋" w:eastAsia="仿宋" w:cs="仿宋"/>
          <w:b/>
          <w:bCs/>
          <w:color w:val="auto"/>
          <w:sz w:val="28"/>
          <w:szCs w:val="28"/>
        </w:rPr>
        <w:t>号）的要求，凡拟参加本次招标项目的投标人，如在“信用中国”网站被列入失信被执行人、重大税收违法失信主体</w:t>
      </w:r>
      <w:r>
        <w:rPr>
          <w:rFonts w:ascii="仿宋" w:hAnsi="仿宋" w:eastAsia="仿宋" w:cs="仿宋"/>
          <w:b/>
          <w:bCs/>
          <w:color w:val="auto"/>
          <w:sz w:val="28"/>
          <w:szCs w:val="28"/>
        </w:rPr>
        <w:t>(</w:t>
      </w:r>
      <w:r>
        <w:rPr>
          <w:rFonts w:hint="eastAsia" w:ascii="仿宋" w:hAnsi="仿宋" w:eastAsia="仿宋" w:cs="仿宋"/>
          <w:b/>
          <w:bCs/>
          <w:color w:val="auto"/>
          <w:sz w:val="28"/>
          <w:szCs w:val="28"/>
        </w:rPr>
        <w:t>信用中国首页</w:t>
      </w:r>
      <w:r>
        <w:rPr>
          <w:rFonts w:ascii="仿宋" w:hAnsi="仿宋" w:eastAsia="仿宋" w:cs="仿宋"/>
          <w:b/>
          <w:bCs/>
          <w:color w:val="auto"/>
          <w:sz w:val="28"/>
          <w:szCs w:val="28"/>
        </w:rPr>
        <w:t>-</w:t>
      </w:r>
      <w:r>
        <w:rPr>
          <w:rFonts w:hint="eastAsia" w:ascii="仿宋" w:hAnsi="仿宋" w:eastAsia="仿宋" w:cs="仿宋"/>
          <w:b/>
          <w:bCs/>
          <w:color w:val="auto"/>
          <w:sz w:val="28"/>
          <w:szCs w:val="28"/>
        </w:rPr>
        <w:t>点击信用服务</w:t>
      </w:r>
      <w:r>
        <w:rPr>
          <w:rFonts w:ascii="仿宋" w:hAnsi="仿宋" w:eastAsia="仿宋" w:cs="仿宋"/>
          <w:b/>
          <w:bCs/>
          <w:color w:val="auto"/>
          <w:sz w:val="28"/>
          <w:szCs w:val="28"/>
        </w:rPr>
        <w:t>-</w:t>
      </w:r>
      <w:r>
        <w:rPr>
          <w:rFonts w:hint="eastAsia" w:ascii="仿宋" w:hAnsi="仿宋" w:eastAsia="仿宋" w:cs="仿宋"/>
          <w:b/>
          <w:bCs/>
          <w:color w:val="auto"/>
          <w:sz w:val="28"/>
          <w:szCs w:val="28"/>
        </w:rPr>
        <w:t>查询</w:t>
      </w:r>
      <w:r>
        <w:rPr>
          <w:rFonts w:ascii="仿宋" w:hAnsi="仿宋" w:eastAsia="仿宋" w:cs="仿宋"/>
          <w:b/>
          <w:bCs/>
          <w:color w:val="auto"/>
          <w:sz w:val="28"/>
          <w:szCs w:val="28"/>
        </w:rPr>
        <w:t>)</w:t>
      </w:r>
      <w:r>
        <w:rPr>
          <w:rFonts w:hint="eastAsia" w:ascii="仿宋" w:hAnsi="仿宋" w:eastAsia="仿宋" w:cs="仿宋"/>
          <w:b/>
          <w:bCs/>
          <w:color w:val="auto"/>
          <w:sz w:val="28"/>
          <w:szCs w:val="28"/>
        </w:rPr>
        <w:t>、“中国政府采购网“严重违法失信行为记录名单的（尚在处罚期内的）将拒绝其参加本次招标活动；附网站截图。（开标现场查询核实）</w:t>
      </w:r>
    </w:p>
    <w:p w14:paraId="58616F96">
      <w:pPr>
        <w:tabs>
          <w:tab w:val="left" w:pos="5580"/>
        </w:tabs>
        <w:spacing w:line="240" w:lineRule="atLeast"/>
        <w:ind w:left="539" w:leftChars="257" w:firstLine="562"/>
        <w:rPr>
          <w:rFonts w:ascii="仿宋" w:hAnsi="仿宋" w:eastAsia="仿宋" w:cs="仿宋"/>
          <w:b/>
          <w:bCs/>
          <w:color w:val="auto"/>
          <w:sz w:val="28"/>
          <w:szCs w:val="28"/>
        </w:rPr>
      </w:pPr>
    </w:p>
    <w:p w14:paraId="105EE181">
      <w:pPr>
        <w:pStyle w:val="2"/>
        <w:rPr>
          <w:color w:val="auto"/>
        </w:rPr>
      </w:pPr>
    </w:p>
    <w:p w14:paraId="0735479D">
      <w:pPr>
        <w:pStyle w:val="2"/>
        <w:rPr>
          <w:color w:val="auto"/>
        </w:rPr>
      </w:pPr>
    </w:p>
    <w:p w14:paraId="4C548568">
      <w:pPr>
        <w:pStyle w:val="2"/>
        <w:rPr>
          <w:color w:val="auto"/>
        </w:rPr>
      </w:pPr>
    </w:p>
    <w:p w14:paraId="52B92E08">
      <w:pPr>
        <w:pStyle w:val="2"/>
        <w:rPr>
          <w:color w:val="auto"/>
        </w:rPr>
      </w:pPr>
    </w:p>
    <w:p w14:paraId="72CA8AB1">
      <w:pPr>
        <w:pStyle w:val="2"/>
        <w:rPr>
          <w:color w:val="auto"/>
        </w:rPr>
      </w:pPr>
    </w:p>
    <w:p w14:paraId="3CF9DA31">
      <w:pPr>
        <w:pStyle w:val="2"/>
        <w:rPr>
          <w:color w:val="auto"/>
        </w:rPr>
      </w:pPr>
    </w:p>
    <w:p w14:paraId="12DB9B82">
      <w:pPr>
        <w:pStyle w:val="7"/>
        <w:ind w:firstLine="0"/>
        <w:rPr>
          <w:color w:val="auto"/>
        </w:rPr>
      </w:pPr>
    </w:p>
    <w:p w14:paraId="4E146D7C">
      <w:pPr>
        <w:tabs>
          <w:tab w:val="left" w:pos="5580"/>
        </w:tabs>
        <w:spacing w:line="360" w:lineRule="exact"/>
        <w:jc w:val="center"/>
        <w:rPr>
          <w:rFonts w:ascii="宋体" w:hAnsi="宋体" w:cs="宋体"/>
          <w:b/>
          <w:bCs/>
          <w:color w:val="auto"/>
          <w:sz w:val="28"/>
          <w:szCs w:val="28"/>
        </w:rPr>
      </w:pPr>
      <w:r>
        <w:rPr>
          <w:rFonts w:hint="eastAsia" w:ascii="仿宋" w:hAnsi="仿宋" w:eastAsia="仿宋" w:cs="仿宋"/>
          <w:b/>
          <w:bCs/>
          <w:color w:val="auto"/>
          <w:sz w:val="28"/>
          <w:szCs w:val="28"/>
        </w:rPr>
        <w:t>8、投标单位（供应商）提供针对本次项目《反商业贿赂承诺书》</w:t>
      </w:r>
    </w:p>
    <w:p w14:paraId="6822F76D">
      <w:pPr>
        <w:pStyle w:val="7"/>
        <w:ind w:firstLine="0"/>
        <w:rPr>
          <w:color w:val="auto"/>
        </w:rPr>
      </w:pPr>
    </w:p>
    <w:p w14:paraId="78290F40">
      <w:pPr>
        <w:widowControl/>
        <w:spacing w:before="100" w:beforeAutospacing="1" w:after="100" w:afterAutospacing="1"/>
        <w:ind w:firstLine="960" w:firstLineChars="400"/>
        <w:jc w:val="left"/>
        <w:rPr>
          <w:rFonts w:ascii="仿宋" w:hAnsi="仿宋" w:eastAsia="仿宋" w:cs="仿宋"/>
          <w:color w:val="auto"/>
          <w:sz w:val="24"/>
        </w:rPr>
      </w:pPr>
      <w:r>
        <w:rPr>
          <w:rFonts w:hint="eastAsia" w:ascii="仿宋" w:hAnsi="仿宋" w:eastAsia="仿宋" w:cs="仿宋"/>
          <w:color w:val="auto"/>
          <w:sz w:val="24"/>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F5C6F0E">
      <w:pPr>
        <w:autoSpaceDE w:val="0"/>
        <w:autoSpaceDN w:val="0"/>
        <w:adjustRightInd w:val="0"/>
        <w:spacing w:line="360" w:lineRule="auto"/>
        <w:ind w:right="246" w:firstLine="784" w:firstLineChars="327"/>
        <w:rPr>
          <w:rFonts w:ascii="仿宋" w:hAnsi="仿宋" w:eastAsia="仿宋" w:cs="仿宋"/>
          <w:color w:val="auto"/>
          <w:kern w:val="0"/>
          <w:sz w:val="24"/>
        </w:rPr>
      </w:pPr>
    </w:p>
    <w:p w14:paraId="632C62EE">
      <w:pPr>
        <w:autoSpaceDE w:val="0"/>
        <w:autoSpaceDN w:val="0"/>
        <w:adjustRightInd w:val="0"/>
        <w:spacing w:line="360" w:lineRule="auto"/>
        <w:ind w:right="246" w:firstLine="784" w:firstLineChars="327"/>
        <w:rPr>
          <w:rFonts w:ascii="仿宋" w:hAnsi="仿宋" w:eastAsia="仿宋" w:cs="仿宋"/>
          <w:color w:val="auto"/>
          <w:kern w:val="0"/>
          <w:sz w:val="24"/>
        </w:rPr>
      </w:pPr>
    </w:p>
    <w:p w14:paraId="4C54FEC9">
      <w:pPr>
        <w:autoSpaceDE w:val="0"/>
        <w:autoSpaceDN w:val="0"/>
        <w:adjustRightInd w:val="0"/>
        <w:spacing w:line="360" w:lineRule="auto"/>
        <w:ind w:right="246" w:firstLine="784" w:firstLineChars="327"/>
        <w:rPr>
          <w:rFonts w:ascii="仿宋" w:hAnsi="仿宋" w:eastAsia="仿宋" w:cs="仿宋"/>
          <w:color w:val="auto"/>
          <w:kern w:val="0"/>
          <w:sz w:val="24"/>
        </w:rPr>
      </w:pPr>
    </w:p>
    <w:p w14:paraId="29B23676">
      <w:pPr>
        <w:autoSpaceDE w:val="0"/>
        <w:autoSpaceDN w:val="0"/>
        <w:adjustRightInd w:val="0"/>
        <w:spacing w:line="360" w:lineRule="auto"/>
        <w:ind w:right="246" w:firstLine="784" w:firstLineChars="327"/>
        <w:rPr>
          <w:rFonts w:ascii="仿宋" w:hAnsi="仿宋" w:eastAsia="仿宋" w:cs="仿宋"/>
          <w:color w:val="auto"/>
          <w:kern w:val="0"/>
          <w:sz w:val="24"/>
        </w:rPr>
      </w:pPr>
    </w:p>
    <w:p w14:paraId="7F2D2D39">
      <w:pPr>
        <w:autoSpaceDE w:val="0"/>
        <w:autoSpaceDN w:val="0"/>
        <w:adjustRightInd w:val="0"/>
        <w:spacing w:line="360" w:lineRule="auto"/>
        <w:ind w:right="246" w:firstLine="784" w:firstLineChars="327"/>
        <w:rPr>
          <w:rFonts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sz w:val="24"/>
        </w:rPr>
        <w:t>单位盖章</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 xml:space="preserve">           </w:t>
      </w:r>
    </w:p>
    <w:p w14:paraId="1B839415">
      <w:pPr>
        <w:adjustRightInd w:val="0"/>
        <w:snapToGrid w:val="0"/>
        <w:spacing w:line="360" w:lineRule="auto"/>
        <w:ind w:firstLine="784" w:firstLineChars="327"/>
        <w:rPr>
          <w:rFonts w:ascii="仿宋" w:hAnsi="仿宋" w:eastAsia="仿宋" w:cs="仿宋"/>
          <w:color w:val="auto"/>
          <w:sz w:val="24"/>
        </w:rPr>
      </w:pPr>
      <w:r>
        <w:rPr>
          <w:rFonts w:hint="eastAsia" w:ascii="仿宋" w:hAnsi="仿宋" w:eastAsia="仿宋" w:cs="仿宋"/>
          <w:color w:val="auto"/>
          <w:sz w:val="24"/>
        </w:rPr>
        <w:t>法定代表人或其委托代理人</w:t>
      </w:r>
      <w:r>
        <w:rPr>
          <w:rFonts w:ascii="仿宋" w:hAnsi="仿宋" w:eastAsia="仿宋" w:cs="仿宋"/>
          <w:color w:val="auto"/>
          <w:sz w:val="24"/>
        </w:rPr>
        <w:t>(</w:t>
      </w:r>
      <w:r>
        <w:rPr>
          <w:rFonts w:hint="eastAsia" w:ascii="仿宋" w:hAnsi="仿宋" w:eastAsia="仿宋" w:cs="仿宋"/>
          <w:color w:val="auto"/>
          <w:sz w:val="24"/>
        </w:rPr>
        <w:t>签字或盖章</w:t>
      </w:r>
      <w:r>
        <w:rPr>
          <w:rFonts w:ascii="仿宋" w:hAnsi="仿宋" w:eastAsia="仿宋" w:cs="仿宋"/>
          <w:color w:val="auto"/>
          <w:sz w:val="24"/>
        </w:rPr>
        <w:t>)</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14:paraId="04AC2C24">
      <w:pPr>
        <w:pStyle w:val="2"/>
        <w:ind w:firstLine="720" w:firstLineChars="300"/>
        <w:rPr>
          <w:rFonts w:ascii="仿宋" w:hAnsi="仿宋" w:eastAsia="仿宋" w:cs="仿宋"/>
          <w:color w:val="auto"/>
          <w:kern w:val="0"/>
          <w:sz w:val="24"/>
          <w:szCs w:val="24"/>
        </w:rPr>
      </w:pPr>
      <w:r>
        <w:rPr>
          <w:rFonts w:hint="eastAsia" w:ascii="仿宋" w:hAnsi="仿宋" w:eastAsia="仿宋" w:cs="仿宋"/>
          <w:color w:val="auto"/>
          <w:kern w:val="0"/>
          <w:sz w:val="24"/>
          <w:szCs w:val="24"/>
        </w:rPr>
        <w:t>日期：年  月  日</w:t>
      </w:r>
    </w:p>
    <w:p w14:paraId="460AC1D9">
      <w:pPr>
        <w:pStyle w:val="7"/>
        <w:ind w:firstLine="0"/>
        <w:rPr>
          <w:color w:val="auto"/>
        </w:rPr>
      </w:pPr>
    </w:p>
    <w:p w14:paraId="06B58A8F">
      <w:pPr>
        <w:pStyle w:val="7"/>
        <w:ind w:firstLine="0"/>
        <w:rPr>
          <w:color w:val="auto"/>
        </w:rPr>
      </w:pPr>
    </w:p>
    <w:p w14:paraId="7D5747E2">
      <w:pPr>
        <w:pStyle w:val="2"/>
        <w:rPr>
          <w:color w:val="auto"/>
        </w:rPr>
      </w:pPr>
    </w:p>
    <w:p w14:paraId="614D0E6B">
      <w:pPr>
        <w:pStyle w:val="2"/>
        <w:rPr>
          <w:color w:val="auto"/>
        </w:rPr>
      </w:pPr>
    </w:p>
    <w:p w14:paraId="3365C152">
      <w:pPr>
        <w:pStyle w:val="2"/>
        <w:rPr>
          <w:color w:val="auto"/>
        </w:rPr>
      </w:pPr>
    </w:p>
    <w:p w14:paraId="25E171C4">
      <w:pPr>
        <w:pStyle w:val="7"/>
        <w:ind w:firstLine="0"/>
        <w:jc w:val="center"/>
        <w:rPr>
          <w:rFonts w:ascii="仿宋" w:hAnsi="仿宋" w:eastAsia="仿宋" w:cs="仿宋"/>
          <w:b/>
          <w:bCs/>
          <w:color w:val="auto"/>
          <w:sz w:val="28"/>
          <w:szCs w:val="28"/>
        </w:rPr>
      </w:pPr>
      <w:r>
        <w:rPr>
          <w:rFonts w:hint="eastAsia" w:ascii="仿宋" w:hAnsi="仿宋" w:eastAsia="仿宋" w:cs="仿宋"/>
          <w:b/>
          <w:bCs/>
          <w:color w:val="auto"/>
          <w:sz w:val="28"/>
          <w:szCs w:val="28"/>
        </w:rPr>
        <w:t>9、参加政府采购活动近3年内，在经营活动中没有重大违法记录的书面声明；</w:t>
      </w:r>
      <w:r>
        <w:rPr>
          <w:rFonts w:hint="eastAsia" w:ascii="仿宋" w:hAnsi="仿宋" w:eastAsia="仿宋" w:cs="仿宋"/>
          <w:b/>
          <w:bCs/>
          <w:color w:val="auto"/>
          <w:sz w:val="28"/>
          <w:szCs w:val="28"/>
        </w:rPr>
        <w:t>（格式自拟）</w:t>
      </w:r>
    </w:p>
    <w:p w14:paraId="288AB2E7">
      <w:pPr>
        <w:pStyle w:val="7"/>
        <w:ind w:firstLine="0"/>
        <w:rPr>
          <w:rFonts w:ascii="仿宋" w:hAnsi="仿宋" w:eastAsia="仿宋" w:cs="仿宋"/>
          <w:color w:val="auto"/>
        </w:rPr>
      </w:pPr>
      <w:r>
        <w:rPr>
          <w:rFonts w:hint="eastAsia" w:ascii="仿宋" w:hAnsi="仿宋" w:eastAsia="仿宋" w:cs="仿宋"/>
          <w:color w:val="auto"/>
        </w:rPr>
        <w:t>注：1.投标人应按照相关法规规定如实作出说明。</w:t>
      </w:r>
    </w:p>
    <w:p w14:paraId="5AFA7E32">
      <w:pPr>
        <w:pStyle w:val="7"/>
        <w:ind w:firstLine="540" w:firstLineChars="225"/>
        <w:rPr>
          <w:rFonts w:ascii="仿宋" w:hAnsi="仿宋" w:eastAsia="仿宋" w:cs="仿宋"/>
          <w:color w:val="auto"/>
        </w:rPr>
      </w:pPr>
      <w:r>
        <w:rPr>
          <w:rFonts w:hint="eastAsia" w:ascii="仿宋" w:hAnsi="仿宋" w:eastAsia="仿宋" w:cs="仿宋"/>
          <w:color w:val="auto"/>
        </w:rPr>
        <w:t>2．按照招标文件的规定加盖本单位章（自然人投标的无需盖章，需要签字）。</w:t>
      </w:r>
    </w:p>
    <w:p w14:paraId="17027202">
      <w:pPr>
        <w:pStyle w:val="7"/>
        <w:ind w:firstLine="0"/>
        <w:rPr>
          <w:rFonts w:ascii="仿宋" w:hAnsi="仿宋" w:eastAsia="仿宋" w:cs="仿宋"/>
          <w:color w:val="auto"/>
        </w:rPr>
      </w:pPr>
      <w:r>
        <w:rPr>
          <w:rFonts w:hint="eastAsia" w:ascii="仿宋" w:hAnsi="仿宋" w:eastAsia="仿宋" w:cs="仿宋"/>
          <w:color w:val="auto"/>
        </w:rPr>
        <w:t xml:space="preserve">   </w:t>
      </w:r>
    </w:p>
    <w:p w14:paraId="4FCEF490">
      <w:pPr>
        <w:pStyle w:val="8"/>
        <w:rPr>
          <w:color w:val="auto"/>
        </w:rPr>
      </w:pPr>
    </w:p>
    <w:p w14:paraId="18DFE9A1">
      <w:pPr>
        <w:rPr>
          <w:color w:val="auto"/>
        </w:rPr>
      </w:pPr>
    </w:p>
    <w:p w14:paraId="05D67E6B">
      <w:pPr>
        <w:pStyle w:val="2"/>
        <w:rPr>
          <w:color w:val="auto"/>
        </w:rPr>
      </w:pPr>
    </w:p>
    <w:p w14:paraId="2A9CA45B">
      <w:pPr>
        <w:pStyle w:val="2"/>
        <w:rPr>
          <w:color w:val="auto"/>
        </w:rPr>
      </w:pPr>
    </w:p>
    <w:p w14:paraId="208F82B5">
      <w:pPr>
        <w:pStyle w:val="2"/>
        <w:rPr>
          <w:color w:val="auto"/>
        </w:rPr>
      </w:pPr>
    </w:p>
    <w:p w14:paraId="5BD16FC3">
      <w:pPr>
        <w:pStyle w:val="2"/>
        <w:rPr>
          <w:color w:val="auto"/>
        </w:rPr>
      </w:pPr>
    </w:p>
    <w:p w14:paraId="60931E8C">
      <w:pPr>
        <w:pStyle w:val="2"/>
        <w:rPr>
          <w:color w:val="auto"/>
        </w:rPr>
      </w:pPr>
    </w:p>
    <w:p w14:paraId="7B0B7715">
      <w:pPr>
        <w:pStyle w:val="2"/>
        <w:rPr>
          <w:color w:val="auto"/>
        </w:rPr>
      </w:pPr>
    </w:p>
    <w:p w14:paraId="416C4EC7">
      <w:pPr>
        <w:pStyle w:val="2"/>
        <w:rPr>
          <w:color w:val="auto"/>
        </w:rPr>
      </w:pPr>
    </w:p>
    <w:p w14:paraId="22D558C2">
      <w:pPr>
        <w:pStyle w:val="2"/>
        <w:rPr>
          <w:color w:val="auto"/>
        </w:rPr>
      </w:pPr>
    </w:p>
    <w:p w14:paraId="7616175C">
      <w:pPr>
        <w:pStyle w:val="2"/>
        <w:rPr>
          <w:color w:val="auto"/>
        </w:rPr>
      </w:pPr>
    </w:p>
    <w:p w14:paraId="4EB73B43">
      <w:pPr>
        <w:pStyle w:val="2"/>
        <w:rPr>
          <w:color w:val="auto"/>
        </w:rPr>
      </w:pPr>
    </w:p>
    <w:p w14:paraId="2023D322">
      <w:pPr>
        <w:pStyle w:val="2"/>
        <w:rPr>
          <w:color w:val="auto"/>
        </w:rPr>
      </w:pPr>
    </w:p>
    <w:p w14:paraId="76310518">
      <w:pPr>
        <w:pStyle w:val="2"/>
        <w:rPr>
          <w:color w:val="auto"/>
        </w:rPr>
      </w:pPr>
    </w:p>
    <w:p w14:paraId="59C03A3E">
      <w:pPr>
        <w:pStyle w:val="2"/>
        <w:rPr>
          <w:color w:val="auto"/>
        </w:rPr>
      </w:pPr>
    </w:p>
    <w:p w14:paraId="3C09F7FC">
      <w:pPr>
        <w:pStyle w:val="2"/>
        <w:rPr>
          <w:color w:val="auto"/>
        </w:rPr>
      </w:pPr>
    </w:p>
    <w:p w14:paraId="5D8520FF">
      <w:pPr>
        <w:pStyle w:val="2"/>
        <w:rPr>
          <w:color w:val="auto"/>
        </w:rPr>
      </w:pPr>
    </w:p>
    <w:p w14:paraId="4A9005C8">
      <w:pPr>
        <w:pStyle w:val="2"/>
        <w:rPr>
          <w:color w:val="auto"/>
        </w:rPr>
      </w:pPr>
    </w:p>
    <w:p w14:paraId="1205A5E2">
      <w:pPr>
        <w:pStyle w:val="2"/>
        <w:rPr>
          <w:color w:val="auto"/>
        </w:rPr>
      </w:pPr>
    </w:p>
    <w:p w14:paraId="469015FA">
      <w:pPr>
        <w:pStyle w:val="2"/>
        <w:rPr>
          <w:color w:val="auto"/>
        </w:rPr>
      </w:pPr>
    </w:p>
    <w:p w14:paraId="5C21A5DB">
      <w:pPr>
        <w:pStyle w:val="2"/>
        <w:rPr>
          <w:color w:val="auto"/>
        </w:rPr>
      </w:pPr>
    </w:p>
    <w:p w14:paraId="58B0409C">
      <w:pPr>
        <w:pStyle w:val="2"/>
        <w:rPr>
          <w:color w:val="auto"/>
        </w:rPr>
      </w:pPr>
    </w:p>
    <w:p w14:paraId="38799352">
      <w:pPr>
        <w:pStyle w:val="2"/>
        <w:rPr>
          <w:color w:val="auto"/>
        </w:rPr>
      </w:pPr>
    </w:p>
    <w:p w14:paraId="02B2C0A4">
      <w:pPr>
        <w:pStyle w:val="2"/>
        <w:rPr>
          <w:color w:val="auto"/>
        </w:rPr>
      </w:pPr>
    </w:p>
    <w:p w14:paraId="73E71A1C">
      <w:pPr>
        <w:pStyle w:val="2"/>
        <w:rPr>
          <w:color w:val="auto"/>
        </w:rPr>
      </w:pPr>
    </w:p>
    <w:p w14:paraId="277F69D6">
      <w:pPr>
        <w:pStyle w:val="2"/>
        <w:rPr>
          <w:color w:val="auto"/>
        </w:rPr>
      </w:pPr>
    </w:p>
    <w:p w14:paraId="6DAC6FEB">
      <w:pPr>
        <w:pStyle w:val="2"/>
        <w:rPr>
          <w:color w:val="auto"/>
        </w:rPr>
      </w:pPr>
    </w:p>
    <w:p w14:paraId="7E2DC71C">
      <w:pPr>
        <w:pStyle w:val="2"/>
        <w:rPr>
          <w:color w:val="auto"/>
        </w:rPr>
      </w:pPr>
    </w:p>
    <w:p w14:paraId="16774C92">
      <w:pPr>
        <w:pStyle w:val="2"/>
        <w:rPr>
          <w:color w:val="auto"/>
        </w:rPr>
      </w:pPr>
    </w:p>
    <w:p w14:paraId="261D9A07">
      <w:pPr>
        <w:pStyle w:val="2"/>
        <w:rPr>
          <w:color w:val="auto"/>
        </w:rPr>
      </w:pPr>
    </w:p>
    <w:p w14:paraId="7EFA3572">
      <w:pPr>
        <w:pStyle w:val="2"/>
        <w:rPr>
          <w:color w:val="auto"/>
        </w:rPr>
      </w:pPr>
    </w:p>
    <w:p w14:paraId="6380A6A1">
      <w:pPr>
        <w:pStyle w:val="2"/>
        <w:rPr>
          <w:color w:val="auto"/>
        </w:rPr>
      </w:pPr>
    </w:p>
    <w:p w14:paraId="754D681C">
      <w:pPr>
        <w:pStyle w:val="2"/>
        <w:rPr>
          <w:color w:val="auto"/>
        </w:rPr>
      </w:pPr>
    </w:p>
    <w:p w14:paraId="3A429C82">
      <w:pPr>
        <w:pStyle w:val="2"/>
        <w:rPr>
          <w:color w:val="auto"/>
        </w:rPr>
      </w:pPr>
    </w:p>
    <w:p w14:paraId="79ECCCD7">
      <w:pPr>
        <w:pStyle w:val="2"/>
        <w:rPr>
          <w:color w:val="auto"/>
        </w:rPr>
      </w:pPr>
    </w:p>
    <w:p w14:paraId="4E10994F">
      <w:pPr>
        <w:pStyle w:val="2"/>
        <w:rPr>
          <w:color w:val="auto"/>
        </w:rPr>
      </w:pPr>
    </w:p>
    <w:p w14:paraId="47857DAA">
      <w:pPr>
        <w:pStyle w:val="2"/>
        <w:rPr>
          <w:color w:val="auto"/>
        </w:rPr>
      </w:pPr>
    </w:p>
    <w:p w14:paraId="1CC701B1">
      <w:pPr>
        <w:pStyle w:val="2"/>
        <w:rPr>
          <w:color w:val="auto"/>
        </w:rPr>
      </w:pPr>
    </w:p>
    <w:p w14:paraId="54E8B794">
      <w:pPr>
        <w:pStyle w:val="2"/>
        <w:rPr>
          <w:color w:val="auto"/>
        </w:rPr>
      </w:pPr>
    </w:p>
    <w:p w14:paraId="03F34727">
      <w:pPr>
        <w:pStyle w:val="2"/>
        <w:rPr>
          <w:color w:val="auto"/>
        </w:rPr>
      </w:pPr>
    </w:p>
    <w:p w14:paraId="261E69BC">
      <w:pPr>
        <w:pStyle w:val="2"/>
        <w:rPr>
          <w:color w:val="auto"/>
        </w:rPr>
      </w:pPr>
    </w:p>
    <w:p w14:paraId="5DEB6543">
      <w:pPr>
        <w:pStyle w:val="2"/>
        <w:rPr>
          <w:color w:val="auto"/>
        </w:rPr>
      </w:pPr>
    </w:p>
    <w:p w14:paraId="579830B6">
      <w:pPr>
        <w:pStyle w:val="2"/>
        <w:rPr>
          <w:color w:val="auto"/>
        </w:rPr>
      </w:pPr>
    </w:p>
    <w:p w14:paraId="5F5BAACD">
      <w:pPr>
        <w:pStyle w:val="2"/>
        <w:rPr>
          <w:color w:val="auto"/>
        </w:rPr>
      </w:pPr>
    </w:p>
    <w:p w14:paraId="397DD01A">
      <w:pPr>
        <w:pStyle w:val="2"/>
        <w:rPr>
          <w:color w:val="auto"/>
        </w:rPr>
      </w:pPr>
    </w:p>
    <w:p w14:paraId="09610D98">
      <w:pPr>
        <w:pStyle w:val="2"/>
        <w:rPr>
          <w:color w:val="auto"/>
        </w:rPr>
      </w:pPr>
    </w:p>
    <w:p w14:paraId="4C5DED26">
      <w:pPr>
        <w:pStyle w:val="2"/>
        <w:rPr>
          <w:color w:val="auto"/>
        </w:rPr>
      </w:pPr>
    </w:p>
    <w:p w14:paraId="5920052A">
      <w:pPr>
        <w:pStyle w:val="2"/>
        <w:rPr>
          <w:color w:val="auto"/>
        </w:rPr>
      </w:pPr>
    </w:p>
    <w:p w14:paraId="28913ABC">
      <w:pPr>
        <w:pStyle w:val="2"/>
        <w:rPr>
          <w:color w:val="auto"/>
        </w:rPr>
      </w:pPr>
    </w:p>
    <w:p w14:paraId="17E96F9E">
      <w:pPr>
        <w:pStyle w:val="2"/>
        <w:rPr>
          <w:color w:val="auto"/>
        </w:rPr>
      </w:pPr>
    </w:p>
    <w:p w14:paraId="620E4FF3">
      <w:pPr>
        <w:pStyle w:val="2"/>
        <w:rPr>
          <w:color w:val="auto"/>
        </w:rPr>
      </w:pPr>
    </w:p>
    <w:p w14:paraId="672C0989">
      <w:pPr>
        <w:pStyle w:val="2"/>
        <w:rPr>
          <w:color w:val="auto"/>
        </w:rPr>
      </w:pPr>
    </w:p>
    <w:p w14:paraId="132CFCD5">
      <w:pPr>
        <w:pStyle w:val="7"/>
        <w:ind w:firstLine="0"/>
        <w:rPr>
          <w:color w:val="auto"/>
        </w:rPr>
      </w:pPr>
    </w:p>
    <w:p w14:paraId="36610B42">
      <w:pPr>
        <w:pStyle w:val="2"/>
        <w:jc w:val="center"/>
        <w:rPr>
          <w:rFonts w:ascii="仿宋" w:hAnsi="仿宋" w:eastAsia="仿宋" w:cs="仿宋"/>
          <w:b/>
          <w:bCs/>
          <w:color w:val="auto"/>
          <w:sz w:val="24"/>
          <w:szCs w:val="24"/>
        </w:rPr>
      </w:pPr>
      <w:r>
        <w:rPr>
          <w:rFonts w:hint="eastAsia" w:ascii="仿宋" w:hAnsi="仿宋" w:eastAsia="仿宋" w:cs="仿宋"/>
          <w:b/>
          <w:bCs/>
          <w:color w:val="auto"/>
          <w:sz w:val="28"/>
          <w:szCs w:val="28"/>
        </w:rPr>
        <w:t>10、投标保证金缴纳凭证复印件或投标担保函</w:t>
      </w:r>
    </w:p>
    <w:p w14:paraId="59906828">
      <w:pPr>
        <w:pStyle w:val="2"/>
        <w:ind w:left="718" w:leftChars="342"/>
        <w:jc w:val="center"/>
        <w:rPr>
          <w:rFonts w:ascii="宋体" w:hAnsi="宋体" w:cs="宋体"/>
          <w:color w:val="auto"/>
        </w:rPr>
      </w:pPr>
    </w:p>
    <w:p w14:paraId="0452AA6F">
      <w:pPr>
        <w:rPr>
          <w:rFonts w:ascii="仿宋" w:hAnsi="仿宋" w:eastAsia="仿宋" w:cs="仿宋"/>
          <w:color w:val="auto"/>
          <w:sz w:val="24"/>
        </w:rPr>
      </w:pPr>
      <w:r>
        <w:rPr>
          <w:rFonts w:hint="eastAsia" w:ascii="宋体" w:hAnsi="宋体" w:cs="宋体"/>
          <w:color w:val="auto"/>
          <w:sz w:val="24"/>
        </w:rPr>
        <w:t xml:space="preserve">   </w:t>
      </w:r>
      <w:r>
        <w:rPr>
          <w:rFonts w:hint="eastAsia" w:ascii="仿宋" w:hAnsi="仿宋" w:eastAsia="仿宋" w:cs="仿宋"/>
          <w:color w:val="auto"/>
          <w:sz w:val="24"/>
        </w:rPr>
        <w:t xml:space="preserve"> 投标人可将本项目投标保证金支付的汇款凭证、支票、汇票或保证金收据（如有）的复印件作为缴纳凭证装订在本部分，复印件上应加盖本单位章；使用银行保函等其他投标担保函的，应将担保函扫描件做入电子文件中；如采用政府采购信用担保形式的，应使用政府采购投标担保函。</w:t>
      </w:r>
    </w:p>
    <w:p w14:paraId="11E4BCEC">
      <w:pPr>
        <w:pStyle w:val="2"/>
        <w:jc w:val="both"/>
        <w:rPr>
          <w:rFonts w:ascii="仿宋" w:hAnsi="仿宋" w:eastAsia="仿宋" w:cs="仿宋"/>
          <w:color w:val="auto"/>
        </w:rPr>
      </w:pPr>
    </w:p>
    <w:p w14:paraId="5479DC87">
      <w:pPr>
        <w:jc w:val="center"/>
        <w:rPr>
          <w:rFonts w:ascii="仿宋" w:hAnsi="仿宋" w:eastAsia="仿宋" w:cs="仿宋"/>
          <w:color w:val="auto"/>
          <w:sz w:val="24"/>
        </w:rPr>
      </w:pPr>
      <w:r>
        <w:rPr>
          <w:rFonts w:hint="eastAsia" w:ascii="仿宋" w:hAnsi="仿宋" w:eastAsia="仿宋" w:cs="仿宋"/>
          <w:color w:val="auto"/>
          <w:sz w:val="24"/>
        </w:rPr>
        <w:t xml:space="preserve">政府采购投标担保函 </w:t>
      </w:r>
    </w:p>
    <w:p w14:paraId="2B67989F">
      <w:pPr>
        <w:rPr>
          <w:rFonts w:ascii="仿宋" w:hAnsi="仿宋" w:eastAsia="仿宋" w:cs="仿宋"/>
          <w:color w:val="auto"/>
          <w:sz w:val="24"/>
        </w:rPr>
      </w:pPr>
      <w:r>
        <w:rPr>
          <w:rFonts w:hint="eastAsia" w:ascii="仿宋" w:hAnsi="仿宋" w:eastAsia="仿宋" w:cs="仿宋"/>
          <w:color w:val="auto"/>
          <w:sz w:val="24"/>
        </w:rPr>
        <w:t>编号：</w:t>
      </w:r>
    </w:p>
    <w:p w14:paraId="3EC86861">
      <w:pPr>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（采购人或采购代理机构）：</w:t>
      </w:r>
    </w:p>
    <w:p w14:paraId="6A9F6A98">
      <w:pPr>
        <w:ind w:firstLine="480" w:firstLineChars="200"/>
        <w:rPr>
          <w:rFonts w:ascii="仿宋" w:hAnsi="仿宋" w:eastAsia="仿宋" w:cs="仿宋"/>
          <w:color w:val="auto"/>
          <w:sz w:val="24"/>
        </w:rPr>
      </w:pPr>
      <w:r>
        <w:rPr>
          <w:rFonts w:hint="eastAsia" w:ascii="仿宋" w:hAnsi="仿宋" w:eastAsia="仿宋" w:cs="仿宋"/>
          <w:color w:val="auto"/>
          <w:sz w:val="24"/>
        </w:rPr>
        <w:t>鉴于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（以下简称“投标人”）拟参加编号为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2C777451">
      <w:pPr>
        <w:rPr>
          <w:rFonts w:ascii="仿宋" w:hAnsi="仿宋" w:eastAsia="仿宋" w:cs="仿宋"/>
          <w:color w:val="auto"/>
          <w:sz w:val="24"/>
        </w:rPr>
      </w:pPr>
      <w:r>
        <w:rPr>
          <w:rFonts w:hint="eastAsia" w:ascii="仿宋" w:hAnsi="仿宋" w:eastAsia="仿宋" w:cs="仿宋"/>
          <w:color w:val="auto"/>
          <w:sz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5EC4B3E">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14:paraId="0B11E674">
      <w:pPr>
        <w:ind w:firstLine="240" w:firstLineChars="100"/>
        <w:rPr>
          <w:rFonts w:ascii="仿宋" w:hAnsi="仿宋" w:eastAsia="仿宋" w:cs="仿宋"/>
          <w:color w:val="auto"/>
          <w:sz w:val="24"/>
        </w:rPr>
      </w:pPr>
      <w:r>
        <w:rPr>
          <w:rFonts w:hint="eastAsia" w:ascii="仿宋" w:hAnsi="仿宋" w:eastAsia="仿宋" w:cs="仿宋"/>
          <w:color w:val="auto"/>
          <w:sz w:val="24"/>
        </w:rPr>
        <w:t>（一）在投标人出现下列情形之一时，我方承担保证责任：</w:t>
      </w:r>
    </w:p>
    <w:p w14:paraId="0D9CB71E">
      <w:pPr>
        <w:ind w:firstLine="480" w:firstLineChars="200"/>
        <w:rPr>
          <w:rFonts w:ascii="仿宋" w:hAnsi="仿宋" w:eastAsia="仿宋" w:cs="仿宋"/>
          <w:color w:val="auto"/>
          <w:sz w:val="24"/>
        </w:rPr>
      </w:pPr>
      <w:r>
        <w:rPr>
          <w:rFonts w:hint="eastAsia" w:ascii="仿宋" w:hAnsi="仿宋" w:eastAsia="仿宋" w:cs="仿宋"/>
          <w:color w:val="auto"/>
          <w:sz w:val="24"/>
        </w:rPr>
        <w:t>1．中标后投标人无正当理由不与采购人或者采购代理机构签订《政府采购合同》；</w:t>
      </w:r>
    </w:p>
    <w:p w14:paraId="0758EA95">
      <w:pPr>
        <w:ind w:firstLine="480" w:firstLineChars="200"/>
        <w:rPr>
          <w:rFonts w:ascii="仿宋" w:hAnsi="仿宋" w:eastAsia="仿宋" w:cs="仿宋"/>
          <w:color w:val="auto"/>
          <w:sz w:val="24"/>
        </w:rPr>
      </w:pPr>
      <w:r>
        <w:rPr>
          <w:rFonts w:hint="eastAsia" w:ascii="仿宋" w:hAnsi="仿宋" w:eastAsia="仿宋" w:cs="仿宋"/>
          <w:color w:val="auto"/>
          <w:sz w:val="24"/>
        </w:rPr>
        <w:t>2．招标文件规定的投标人应当缴纳保证金的其他情形。</w:t>
      </w:r>
    </w:p>
    <w:p w14:paraId="52BA31C3">
      <w:pPr>
        <w:ind w:firstLine="240" w:firstLineChars="100"/>
        <w:rPr>
          <w:rFonts w:ascii="仿宋" w:hAnsi="仿宋" w:eastAsia="仿宋" w:cs="仿宋"/>
          <w:color w:val="auto"/>
          <w:sz w:val="24"/>
        </w:rPr>
      </w:pPr>
      <w:r>
        <w:rPr>
          <w:rFonts w:hint="eastAsia" w:ascii="仿宋" w:hAnsi="仿宋" w:eastAsia="仿宋" w:cs="仿宋"/>
          <w:color w:val="auto"/>
          <w:sz w:val="24"/>
        </w:rPr>
        <w:t>（二）我方承担保证责任的最高金额为人民币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），即本项目的投标保证金金额。</w:t>
      </w:r>
    </w:p>
    <w:p w14:paraId="079B3987">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14:paraId="2E7A02D2">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14:paraId="0C6ED715">
      <w:pPr>
        <w:ind w:firstLine="480" w:firstLineChars="200"/>
        <w:rPr>
          <w:rFonts w:ascii="仿宋" w:hAnsi="仿宋" w:eastAsia="仿宋" w:cs="仿宋"/>
          <w:color w:val="auto"/>
          <w:sz w:val="24"/>
        </w:rPr>
      </w:pPr>
      <w:r>
        <w:rPr>
          <w:rFonts w:hint="eastAsia" w:ascii="仿宋" w:hAnsi="仿宋" w:eastAsia="仿宋" w:cs="仿宋"/>
          <w:color w:val="auto"/>
          <w:sz w:val="24"/>
        </w:rPr>
        <w:t>我方的保证期间为：自本保函生效之日起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个月止。</w:t>
      </w:r>
    </w:p>
    <w:p w14:paraId="15A3BD07">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14:paraId="65680530">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085469F">
      <w:pPr>
        <w:ind w:firstLine="480" w:firstLineChars="200"/>
        <w:rPr>
          <w:rFonts w:ascii="仿宋" w:hAnsi="仿宋" w:eastAsia="仿宋" w:cs="仿宋"/>
          <w:color w:val="auto"/>
          <w:sz w:val="24"/>
        </w:rPr>
      </w:pPr>
      <w:r>
        <w:rPr>
          <w:rFonts w:hint="eastAsia" w:ascii="仿宋" w:hAnsi="仿宋" w:eastAsia="仿宋" w:cs="仿宋"/>
          <w:color w:val="auto"/>
          <w:sz w:val="24"/>
        </w:rPr>
        <w:t>2．我方在收到索赔通知及相关证明材料后，在</w:t>
      </w:r>
      <w:r>
        <w:rPr>
          <w:rFonts w:hint="eastAsia" w:ascii="仿宋" w:hAnsi="仿宋" w:eastAsia="仿宋" w:cs="仿宋"/>
          <w:color w:val="auto"/>
          <w:sz w:val="24"/>
          <w:u w:val="single"/>
        </w:rPr>
        <w:t>　　　</w:t>
      </w:r>
      <w:r>
        <w:rPr>
          <w:rFonts w:hint="eastAsia" w:ascii="仿宋" w:hAnsi="仿宋" w:eastAsia="仿宋" w:cs="仿宋"/>
          <w:color w:val="auto"/>
          <w:sz w:val="24"/>
        </w:rPr>
        <w:t>个工作日内进行审查，符合应承担保证责任情形的，我方应按照你方的要求代投标人向你方支付投标保证金。</w:t>
      </w:r>
    </w:p>
    <w:p w14:paraId="2A2AC641">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14:paraId="2C9450D7">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w:t>
      </w:r>
    </w:p>
    <w:p w14:paraId="454EF117">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2．我方按照本保函向你贵方履行了保证责任后，自我方向你贵方支付款项（支付款项从我方账户划出）之日起，保证责任终止。</w:t>
      </w:r>
    </w:p>
    <w:p w14:paraId="38AFAAF0">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3．按照法律法规的规定或出现我方保证责任终止的其它情形的，我方在本保函项下的保证责任亦终止。</w:t>
      </w:r>
    </w:p>
    <w:p w14:paraId="1C6DE415">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14:paraId="522BB456">
      <w:pPr>
        <w:ind w:firstLine="480" w:firstLineChars="200"/>
        <w:rPr>
          <w:rFonts w:ascii="仿宋" w:hAnsi="仿宋" w:eastAsia="仿宋" w:cs="仿宋"/>
          <w:color w:val="auto"/>
          <w:sz w:val="24"/>
        </w:rPr>
      </w:pPr>
      <w:r>
        <w:rPr>
          <w:rFonts w:hint="eastAsia" w:ascii="仿宋" w:hAnsi="仿宋" w:eastAsia="仿宋" w:cs="仿宋"/>
          <w:color w:val="auto"/>
          <w:sz w:val="24"/>
        </w:rPr>
        <w:t>1．依照法律规定或你方与投标人的另行约定，全部或者部分免除投标人投标保证金义务时，我方亦免除相应的保证责任。</w:t>
      </w:r>
    </w:p>
    <w:p w14:paraId="6F81CC66">
      <w:pPr>
        <w:ind w:firstLine="480" w:firstLineChars="200"/>
        <w:rPr>
          <w:rFonts w:ascii="仿宋" w:hAnsi="仿宋" w:eastAsia="仿宋" w:cs="仿宋"/>
          <w:color w:val="auto"/>
          <w:sz w:val="24"/>
        </w:rPr>
      </w:pPr>
      <w:r>
        <w:rPr>
          <w:rFonts w:hint="eastAsia" w:ascii="仿宋" w:hAnsi="仿宋" w:eastAsia="仿宋" w:cs="仿宋"/>
          <w:color w:val="auto"/>
          <w:sz w:val="24"/>
        </w:rPr>
        <w:t>2．因你方原因致使投标人发生本保函第一条第（一）款约定情形的，我方不承担保证责任。</w:t>
      </w:r>
    </w:p>
    <w:p w14:paraId="0DBC8B1D">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3．因不可抗力造成投标人发生本保函第一条约定情形的，我方不承担保证责任。</w:t>
      </w:r>
    </w:p>
    <w:p w14:paraId="36F37DF0">
      <w:pPr>
        <w:ind w:firstLine="480" w:firstLineChars="200"/>
        <w:rPr>
          <w:rFonts w:ascii="仿宋" w:hAnsi="仿宋" w:eastAsia="仿宋" w:cs="仿宋"/>
          <w:color w:val="auto"/>
          <w:sz w:val="24"/>
        </w:rPr>
      </w:pPr>
      <w:r>
        <w:rPr>
          <w:rFonts w:hint="eastAsia" w:ascii="仿宋" w:hAnsi="仿宋" w:eastAsia="仿宋" w:cs="仿宋"/>
          <w:color w:val="auto"/>
          <w:sz w:val="24"/>
        </w:rPr>
        <w:t>4．你方或其他有权机关对招标文件进行任何澄清或修改，加重我方保证责任的，我方对加重部分不承担保证责任，但该澄清或修改经我方事先书面同意的除外。</w:t>
      </w:r>
    </w:p>
    <w:p w14:paraId="2DACDBFD">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14:paraId="5F7210E8">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14:paraId="5842A16E">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14:paraId="71C530F6">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14:paraId="4D424627">
      <w:pPr>
        <w:ind w:firstLine="6360" w:firstLineChars="2650"/>
        <w:rPr>
          <w:rFonts w:ascii="仿宋" w:hAnsi="仿宋" w:eastAsia="仿宋" w:cs="仿宋"/>
          <w:color w:val="auto"/>
          <w:sz w:val="24"/>
        </w:rPr>
      </w:pPr>
      <w:r>
        <w:rPr>
          <w:rFonts w:hint="eastAsia" w:ascii="仿宋" w:hAnsi="仿宋" w:eastAsia="仿宋" w:cs="仿宋"/>
          <w:color w:val="auto"/>
          <w:sz w:val="24"/>
        </w:rPr>
        <w:t>保证人：（公章）</w:t>
      </w:r>
    </w:p>
    <w:p w14:paraId="7A12547C">
      <w:pPr>
        <w:rPr>
          <w:rFonts w:ascii="仿宋" w:hAnsi="仿宋" w:eastAsia="仿宋" w:cs="仿宋"/>
          <w:color w:val="auto"/>
          <w:sz w:val="24"/>
        </w:rPr>
      </w:pPr>
      <w:r>
        <w:rPr>
          <w:rFonts w:hint="eastAsia" w:ascii="仿宋" w:hAnsi="仿宋" w:eastAsia="仿宋" w:cs="仿宋"/>
          <w:color w:val="auto"/>
          <w:sz w:val="24"/>
        </w:rPr>
        <w:t xml:space="preserve">                               </w:t>
      </w:r>
    </w:p>
    <w:p w14:paraId="72CFCAF9">
      <w:pPr>
        <w:tabs>
          <w:tab w:val="left" w:pos="5580"/>
        </w:tabs>
        <w:spacing w:line="360" w:lineRule="exact"/>
        <w:ind w:left="617"/>
        <w:jc w:val="center"/>
        <w:rPr>
          <w:rFonts w:ascii="仿宋" w:hAnsi="仿宋" w:eastAsia="仿宋" w:cs="仿宋"/>
          <w:b/>
          <w:bCs/>
          <w:color w:val="auto"/>
          <w:sz w:val="28"/>
          <w:szCs w:val="28"/>
        </w:rPr>
      </w:pPr>
      <w:r>
        <w:rPr>
          <w:rFonts w:hint="eastAsia" w:ascii="仿宋" w:hAnsi="仿宋" w:eastAsia="仿宋" w:cs="仿宋"/>
          <w:color w:val="auto"/>
          <w:sz w:val="24"/>
        </w:rPr>
        <w:t xml:space="preserve">                                                年     月   日</w:t>
      </w:r>
      <w:r>
        <w:rPr>
          <w:rFonts w:hint="eastAsia" w:ascii="仿宋" w:hAnsi="仿宋" w:eastAsia="仿宋" w:cs="仿宋"/>
          <w:color w:val="auto"/>
        </w:rPr>
        <w:br w:type="page"/>
      </w:r>
      <w:r>
        <w:rPr>
          <w:rFonts w:hint="eastAsia" w:ascii="仿宋" w:hAnsi="仿宋" w:eastAsia="仿宋" w:cs="仿宋"/>
          <w:b/>
          <w:bCs/>
          <w:color w:val="auto"/>
          <w:sz w:val="28"/>
          <w:szCs w:val="28"/>
        </w:rPr>
        <w:t>11、投标人须知资料表要求的其他资格证明文件</w:t>
      </w:r>
    </w:p>
    <w:p w14:paraId="6ED929E4">
      <w:pPr>
        <w:pStyle w:val="2"/>
        <w:rPr>
          <w:color w:val="auto"/>
        </w:rPr>
      </w:pPr>
    </w:p>
    <w:p w14:paraId="048FD5C1">
      <w:pPr>
        <w:pStyle w:val="7"/>
        <w:ind w:left="720" w:hanging="720" w:hangingChars="300"/>
        <w:rPr>
          <w:rFonts w:ascii="仿宋" w:hAnsi="仿宋" w:eastAsia="仿宋" w:cs="仿宋"/>
          <w:color w:val="auto"/>
        </w:rPr>
      </w:pPr>
      <w:r>
        <w:rPr>
          <w:rFonts w:hint="eastAsia" w:ascii="仿宋" w:hAnsi="仿宋" w:eastAsia="仿宋" w:cs="仿宋"/>
          <w:color w:val="auto"/>
        </w:rPr>
        <w:t>注：1.应提供投标人须知资料表要求的其他资格证明文件。</w:t>
      </w:r>
    </w:p>
    <w:p w14:paraId="7553DA1B">
      <w:pPr>
        <w:pStyle w:val="7"/>
        <w:ind w:left="720" w:hanging="720" w:hangingChars="300"/>
        <w:rPr>
          <w:rFonts w:ascii="仿宋" w:hAnsi="仿宋" w:eastAsia="仿宋" w:cs="仿宋"/>
          <w:color w:val="auto"/>
        </w:rPr>
      </w:pPr>
      <w:r>
        <w:rPr>
          <w:rFonts w:hint="eastAsia" w:ascii="仿宋" w:hAnsi="仿宋" w:eastAsia="仿宋" w:cs="仿宋"/>
          <w:color w:val="auto"/>
        </w:rPr>
        <w:t xml:space="preserve">    2.复印件上应加盖本单位章（自然人投标的无需盖章，需要签字）。</w:t>
      </w:r>
    </w:p>
    <w:p w14:paraId="3A19E5CB">
      <w:pPr>
        <w:pStyle w:val="7"/>
        <w:ind w:left="720" w:hanging="720" w:hangingChars="300"/>
        <w:rPr>
          <w:rFonts w:ascii="仿宋" w:hAnsi="仿宋" w:eastAsia="仿宋" w:cs="仿宋"/>
          <w:color w:val="auto"/>
        </w:rPr>
      </w:pPr>
      <w:r>
        <w:rPr>
          <w:rFonts w:hint="eastAsia" w:ascii="仿宋" w:hAnsi="仿宋" w:eastAsia="仿宋" w:cs="仿宋"/>
          <w:color w:val="auto"/>
        </w:rPr>
        <w:t xml:space="preserve">   </w:t>
      </w:r>
    </w:p>
    <w:p w14:paraId="65B62B86">
      <w:pPr>
        <w:tabs>
          <w:tab w:val="left" w:pos="5580"/>
        </w:tabs>
        <w:spacing w:line="360" w:lineRule="exact"/>
        <w:jc w:val="center"/>
        <w:rPr>
          <w:rFonts w:ascii="仿宋" w:hAnsi="仿宋" w:eastAsia="仿宋" w:cs="仿宋"/>
          <w:color w:val="auto"/>
          <w:sz w:val="24"/>
        </w:rPr>
      </w:pPr>
    </w:p>
    <w:p w14:paraId="5604839E">
      <w:pPr>
        <w:pStyle w:val="35"/>
        <w:ind w:firstLine="240"/>
        <w:rPr>
          <w:rFonts w:hint="default" w:ascii="仿宋" w:hAnsi="仿宋" w:eastAsia="仿宋" w:cs="仿宋"/>
          <w:color w:val="auto"/>
        </w:rPr>
      </w:pPr>
    </w:p>
    <w:p w14:paraId="7ED74D02">
      <w:pPr>
        <w:rPr>
          <w:rFonts w:ascii="仿宋" w:hAnsi="仿宋" w:eastAsia="仿宋" w:cs="仿宋"/>
          <w:color w:val="auto"/>
          <w:sz w:val="24"/>
        </w:rPr>
      </w:pPr>
    </w:p>
    <w:p w14:paraId="18A588E7">
      <w:pPr>
        <w:pStyle w:val="4"/>
        <w:tabs>
          <w:tab w:val="left" w:pos="540"/>
        </w:tabs>
        <w:rPr>
          <w:rFonts w:ascii="仿宋" w:hAnsi="仿宋" w:eastAsia="仿宋" w:cs="仿宋"/>
          <w:color w:val="auto"/>
          <w:sz w:val="24"/>
          <w:szCs w:val="24"/>
        </w:rPr>
      </w:pPr>
    </w:p>
    <w:p w14:paraId="727E33CD">
      <w:pPr>
        <w:tabs>
          <w:tab w:val="left" w:pos="5580"/>
        </w:tabs>
        <w:spacing w:line="360" w:lineRule="exact"/>
        <w:jc w:val="center"/>
        <w:rPr>
          <w:rFonts w:ascii="仿宋" w:hAnsi="仿宋" w:eastAsia="仿宋" w:cs="仿宋"/>
          <w:b/>
          <w:bCs/>
          <w:color w:val="auto"/>
          <w:sz w:val="28"/>
          <w:szCs w:val="28"/>
        </w:rPr>
      </w:pPr>
      <w:bookmarkStart w:id="289" w:name="_Toc3644"/>
      <w:bookmarkStart w:id="290" w:name="_Toc22951"/>
      <w:bookmarkStart w:id="291" w:name="_Toc12856"/>
      <w:r>
        <w:rPr>
          <w:rFonts w:hint="eastAsia" w:ascii="仿宋" w:hAnsi="仿宋" w:eastAsia="仿宋" w:cs="仿宋"/>
          <w:b/>
          <w:bCs/>
          <w:color w:val="auto"/>
          <w:sz w:val="28"/>
          <w:szCs w:val="28"/>
        </w:rPr>
        <w:t>12、投标人可提供有利于投标的其他证明材料</w:t>
      </w:r>
      <w:bookmarkEnd w:id="289"/>
      <w:bookmarkEnd w:id="290"/>
      <w:bookmarkEnd w:id="291"/>
    </w:p>
    <w:p w14:paraId="6BF40461">
      <w:pPr>
        <w:tabs>
          <w:tab w:val="left" w:pos="5580"/>
        </w:tabs>
        <w:spacing w:line="360" w:lineRule="exact"/>
        <w:rPr>
          <w:rFonts w:ascii="仿宋" w:hAnsi="仿宋" w:eastAsia="仿宋" w:cs="仿宋"/>
          <w:b/>
          <w:bCs/>
          <w:color w:val="auto"/>
          <w:sz w:val="28"/>
          <w:szCs w:val="28"/>
        </w:rPr>
      </w:pPr>
    </w:p>
    <w:p w14:paraId="024B7768">
      <w:pPr>
        <w:pStyle w:val="31"/>
        <w:spacing w:line="360" w:lineRule="auto"/>
        <w:ind w:left="120"/>
        <w:rPr>
          <w:b/>
          <w:bCs/>
          <w:color w:val="auto"/>
        </w:rPr>
      </w:pPr>
    </w:p>
    <w:p w14:paraId="530DE3D9">
      <w:pPr>
        <w:pStyle w:val="31"/>
        <w:spacing w:line="360" w:lineRule="auto"/>
        <w:rPr>
          <w:b/>
          <w:bCs/>
          <w:color w:val="auto"/>
          <w:sz w:val="28"/>
          <w:szCs w:val="28"/>
        </w:rPr>
      </w:pPr>
    </w:p>
    <w:p w14:paraId="461AC07F">
      <w:pPr>
        <w:pStyle w:val="7"/>
        <w:ind w:firstLine="0"/>
        <w:rPr>
          <w:color w:val="auto"/>
        </w:rPr>
      </w:pPr>
    </w:p>
    <w:p w14:paraId="34E1BF5E">
      <w:pPr>
        <w:pStyle w:val="7"/>
        <w:ind w:firstLine="0"/>
        <w:rPr>
          <w:color w:val="auto"/>
        </w:rPr>
      </w:pPr>
    </w:p>
    <w:p w14:paraId="659F7598">
      <w:pPr>
        <w:pStyle w:val="7"/>
        <w:ind w:firstLine="0"/>
        <w:rPr>
          <w:color w:val="auto"/>
        </w:rPr>
      </w:pPr>
    </w:p>
    <w:p w14:paraId="2949E2C4">
      <w:pPr>
        <w:pStyle w:val="7"/>
        <w:ind w:firstLine="0"/>
        <w:rPr>
          <w:color w:val="auto"/>
        </w:rPr>
      </w:pPr>
    </w:p>
    <w:p w14:paraId="052B7EB6">
      <w:pPr>
        <w:pStyle w:val="7"/>
        <w:ind w:firstLine="0"/>
        <w:rPr>
          <w:color w:val="auto"/>
        </w:rPr>
      </w:pPr>
    </w:p>
    <w:p w14:paraId="40634F45">
      <w:pPr>
        <w:pStyle w:val="7"/>
        <w:ind w:firstLine="0"/>
        <w:rPr>
          <w:color w:val="auto"/>
        </w:rPr>
      </w:pPr>
    </w:p>
    <w:p w14:paraId="6401D551">
      <w:pPr>
        <w:pStyle w:val="7"/>
        <w:ind w:firstLine="0"/>
        <w:rPr>
          <w:color w:val="auto"/>
        </w:rPr>
      </w:pPr>
    </w:p>
    <w:p w14:paraId="7B42EF33">
      <w:pPr>
        <w:pStyle w:val="7"/>
        <w:ind w:firstLine="0"/>
        <w:rPr>
          <w:color w:val="auto"/>
        </w:rPr>
      </w:pPr>
    </w:p>
    <w:p w14:paraId="581B673B">
      <w:pPr>
        <w:pStyle w:val="7"/>
        <w:ind w:firstLine="0"/>
        <w:rPr>
          <w:color w:val="auto"/>
        </w:rPr>
      </w:pPr>
    </w:p>
    <w:p w14:paraId="45E9FBA7">
      <w:pPr>
        <w:pStyle w:val="7"/>
        <w:ind w:firstLine="0"/>
        <w:rPr>
          <w:color w:val="auto"/>
        </w:rPr>
      </w:pPr>
    </w:p>
    <w:p w14:paraId="53B9A825">
      <w:pPr>
        <w:pStyle w:val="7"/>
        <w:ind w:firstLine="0"/>
        <w:rPr>
          <w:color w:val="auto"/>
        </w:rPr>
      </w:pPr>
    </w:p>
    <w:p w14:paraId="63C74D8C">
      <w:pPr>
        <w:pStyle w:val="7"/>
        <w:ind w:firstLine="0"/>
        <w:rPr>
          <w:color w:val="auto"/>
        </w:rPr>
      </w:pPr>
    </w:p>
    <w:p w14:paraId="3006B066">
      <w:pPr>
        <w:pStyle w:val="7"/>
        <w:ind w:firstLine="0"/>
        <w:rPr>
          <w:color w:val="auto"/>
        </w:rPr>
      </w:pPr>
    </w:p>
    <w:p w14:paraId="0905700F">
      <w:pPr>
        <w:pStyle w:val="7"/>
        <w:ind w:firstLine="0"/>
        <w:rPr>
          <w:color w:val="auto"/>
        </w:rPr>
      </w:pPr>
    </w:p>
    <w:p w14:paraId="0F7EA8BA">
      <w:pPr>
        <w:pStyle w:val="7"/>
        <w:ind w:firstLine="0"/>
        <w:rPr>
          <w:color w:val="auto"/>
        </w:rPr>
      </w:pPr>
    </w:p>
    <w:p w14:paraId="292C9B07">
      <w:pPr>
        <w:pStyle w:val="7"/>
        <w:ind w:firstLine="0"/>
        <w:rPr>
          <w:color w:val="auto"/>
        </w:rPr>
      </w:pPr>
    </w:p>
    <w:p w14:paraId="005A4B6B">
      <w:pPr>
        <w:pStyle w:val="7"/>
        <w:ind w:firstLine="0"/>
        <w:rPr>
          <w:color w:val="auto"/>
        </w:rPr>
      </w:pPr>
    </w:p>
    <w:p w14:paraId="51F21B63">
      <w:pPr>
        <w:pStyle w:val="7"/>
        <w:ind w:firstLine="0"/>
        <w:rPr>
          <w:color w:val="auto"/>
        </w:rPr>
      </w:pPr>
    </w:p>
    <w:p w14:paraId="4A6B5AB4">
      <w:pPr>
        <w:pStyle w:val="7"/>
        <w:ind w:firstLine="0"/>
        <w:rPr>
          <w:color w:val="auto"/>
        </w:rPr>
      </w:pPr>
    </w:p>
    <w:p w14:paraId="2ECBBD59">
      <w:pPr>
        <w:pStyle w:val="7"/>
        <w:ind w:firstLine="0"/>
        <w:rPr>
          <w:color w:val="auto"/>
        </w:rPr>
      </w:pPr>
    </w:p>
    <w:p w14:paraId="5A7CD9E5">
      <w:pPr>
        <w:pStyle w:val="7"/>
        <w:ind w:firstLine="0"/>
        <w:rPr>
          <w:color w:val="auto"/>
        </w:rPr>
      </w:pPr>
    </w:p>
    <w:p w14:paraId="33DC9297">
      <w:pPr>
        <w:pStyle w:val="7"/>
        <w:ind w:firstLine="0"/>
        <w:rPr>
          <w:color w:val="auto"/>
        </w:rPr>
      </w:pPr>
    </w:p>
    <w:p w14:paraId="70F5C617">
      <w:pPr>
        <w:pStyle w:val="7"/>
        <w:ind w:firstLine="0"/>
        <w:rPr>
          <w:color w:val="auto"/>
        </w:rPr>
      </w:pPr>
    </w:p>
    <w:p w14:paraId="1C71827E">
      <w:pPr>
        <w:rPr>
          <w:color w:val="auto"/>
        </w:rPr>
      </w:pPr>
    </w:p>
    <w:p w14:paraId="4AA0E8BA">
      <w:pPr>
        <w:pStyle w:val="7"/>
        <w:ind w:firstLine="0"/>
        <w:rPr>
          <w:color w:val="auto"/>
        </w:rPr>
      </w:pPr>
    </w:p>
    <w:p w14:paraId="4B557FE6">
      <w:pPr>
        <w:pStyle w:val="7"/>
        <w:ind w:firstLine="0"/>
        <w:rPr>
          <w:color w:val="auto"/>
        </w:rPr>
      </w:pPr>
    </w:p>
    <w:p w14:paraId="4D0D44F4">
      <w:pPr>
        <w:pStyle w:val="4"/>
        <w:spacing w:before="0" w:line="240" w:lineRule="atLeast"/>
        <w:ind w:left="1079" w:leftChars="257" w:hanging="540"/>
        <w:rPr>
          <w:rFonts w:ascii="仿宋" w:hAnsi="仿宋" w:eastAsia="仿宋" w:cs="仿宋"/>
          <w:color w:val="auto"/>
          <w:sz w:val="24"/>
        </w:rPr>
      </w:pPr>
      <w:r>
        <w:rPr>
          <w:rFonts w:hint="eastAsia" w:ascii="仿宋" w:hAnsi="仿宋" w:eastAsia="仿宋" w:cs="仿宋"/>
          <w:color w:val="auto"/>
          <w:sz w:val="28"/>
          <w:szCs w:val="28"/>
        </w:rPr>
        <w:t>第二部分  商务及技术文件</w:t>
      </w:r>
    </w:p>
    <w:p w14:paraId="51279341">
      <w:pPr>
        <w:pStyle w:val="15"/>
        <w:spacing w:line="400" w:lineRule="exact"/>
        <w:rPr>
          <w:rFonts w:ascii="仿宋" w:hAnsi="仿宋" w:eastAsia="仿宋" w:cs="仿宋"/>
          <w:bCs/>
          <w:color w:val="auto"/>
          <w:sz w:val="24"/>
          <w:szCs w:val="24"/>
        </w:rPr>
      </w:pPr>
      <w:r>
        <w:rPr>
          <w:rFonts w:hint="eastAsia" w:ascii="仿宋" w:hAnsi="仿宋" w:eastAsia="仿宋" w:cs="仿宋"/>
          <w:bCs/>
          <w:color w:val="auto"/>
          <w:sz w:val="24"/>
          <w:szCs w:val="24"/>
        </w:rPr>
        <w:t>1、投标书（附件三）</w:t>
      </w:r>
    </w:p>
    <w:p w14:paraId="41A871DC">
      <w:pPr>
        <w:pStyle w:val="15"/>
        <w:spacing w:line="400" w:lineRule="exact"/>
        <w:rPr>
          <w:rFonts w:ascii="仿宋" w:hAnsi="仿宋" w:eastAsia="仿宋" w:cs="仿宋"/>
          <w:bCs/>
          <w:color w:val="auto"/>
          <w:sz w:val="24"/>
          <w:szCs w:val="24"/>
        </w:rPr>
      </w:pPr>
      <w:r>
        <w:rPr>
          <w:rFonts w:hint="eastAsia" w:ascii="仿宋" w:hAnsi="仿宋" w:eastAsia="仿宋" w:cs="仿宋"/>
          <w:bCs/>
          <w:color w:val="auto"/>
          <w:sz w:val="24"/>
          <w:szCs w:val="24"/>
        </w:rPr>
        <w:t>2、投标人企业（单位）类型声明函（附件四）</w:t>
      </w:r>
    </w:p>
    <w:p w14:paraId="50366D29">
      <w:pPr>
        <w:pStyle w:val="15"/>
        <w:spacing w:line="400" w:lineRule="exact"/>
        <w:rPr>
          <w:rFonts w:ascii="仿宋" w:hAnsi="仿宋" w:eastAsia="仿宋" w:cs="仿宋"/>
          <w:bCs/>
          <w:color w:val="auto"/>
          <w:sz w:val="24"/>
          <w:szCs w:val="24"/>
        </w:rPr>
      </w:pPr>
      <w:r>
        <w:rPr>
          <w:rFonts w:hint="eastAsia" w:ascii="仿宋" w:hAnsi="仿宋" w:eastAsia="仿宋" w:cs="仿宋"/>
          <w:bCs/>
          <w:color w:val="auto"/>
          <w:sz w:val="24"/>
          <w:szCs w:val="24"/>
        </w:rPr>
        <w:t>2-1中小企业声明函（附件五）</w:t>
      </w:r>
    </w:p>
    <w:p w14:paraId="2B9FEAEE">
      <w:pPr>
        <w:pStyle w:val="15"/>
        <w:spacing w:line="400" w:lineRule="exact"/>
        <w:rPr>
          <w:rFonts w:ascii="仿宋" w:hAnsi="仿宋" w:eastAsia="仿宋" w:cs="仿宋"/>
          <w:bCs/>
          <w:color w:val="auto"/>
          <w:sz w:val="24"/>
          <w:szCs w:val="24"/>
        </w:rPr>
      </w:pPr>
      <w:r>
        <w:rPr>
          <w:rFonts w:hint="eastAsia" w:ascii="仿宋" w:hAnsi="仿宋" w:eastAsia="仿宋" w:cs="仿宋"/>
          <w:bCs/>
          <w:color w:val="auto"/>
          <w:sz w:val="24"/>
          <w:szCs w:val="24"/>
        </w:rPr>
        <w:t>3、投标分项报价表（附件六）</w:t>
      </w:r>
    </w:p>
    <w:p w14:paraId="0742FD1E">
      <w:pPr>
        <w:pStyle w:val="15"/>
        <w:spacing w:line="400" w:lineRule="exact"/>
        <w:rPr>
          <w:rFonts w:ascii="仿宋" w:hAnsi="仿宋" w:eastAsia="仿宋" w:cs="仿宋"/>
          <w:bCs/>
          <w:color w:val="auto"/>
          <w:sz w:val="24"/>
          <w:szCs w:val="24"/>
        </w:rPr>
      </w:pPr>
      <w:r>
        <w:rPr>
          <w:rFonts w:hint="eastAsia" w:ascii="仿宋" w:hAnsi="仿宋" w:eastAsia="仿宋" w:cs="仿宋"/>
          <w:bCs/>
          <w:color w:val="auto"/>
          <w:sz w:val="24"/>
          <w:szCs w:val="24"/>
        </w:rPr>
        <w:t>4、服务需求偏离表（附件七）</w:t>
      </w:r>
    </w:p>
    <w:p w14:paraId="3EC6BB30">
      <w:pPr>
        <w:pStyle w:val="15"/>
        <w:spacing w:line="400" w:lineRule="exact"/>
        <w:rPr>
          <w:rFonts w:ascii="仿宋" w:hAnsi="仿宋" w:eastAsia="仿宋" w:cs="仿宋"/>
          <w:bCs/>
          <w:color w:val="auto"/>
          <w:sz w:val="24"/>
          <w:szCs w:val="24"/>
        </w:rPr>
      </w:pPr>
      <w:bookmarkStart w:id="292" w:name="_Toc425"/>
      <w:r>
        <w:rPr>
          <w:rFonts w:hint="eastAsia" w:ascii="仿宋" w:hAnsi="仿宋" w:eastAsia="仿宋" w:cs="仿宋"/>
          <w:bCs/>
          <w:color w:val="auto"/>
          <w:sz w:val="24"/>
          <w:szCs w:val="24"/>
        </w:rPr>
        <w:t>5、商务条款偏离表</w:t>
      </w:r>
      <w:bookmarkEnd w:id="292"/>
    </w:p>
    <w:p w14:paraId="063C6ECE">
      <w:pPr>
        <w:pStyle w:val="15"/>
        <w:spacing w:line="400" w:lineRule="exact"/>
        <w:rPr>
          <w:rFonts w:ascii="仿宋" w:hAnsi="仿宋" w:eastAsia="仿宋" w:cs="仿宋"/>
          <w:bCs/>
          <w:color w:val="auto"/>
          <w:sz w:val="24"/>
          <w:szCs w:val="24"/>
        </w:rPr>
      </w:pPr>
      <w:r>
        <w:rPr>
          <w:rFonts w:hint="eastAsia" w:ascii="仿宋" w:hAnsi="仿宋" w:eastAsia="仿宋" w:cs="仿宋"/>
          <w:bCs/>
          <w:color w:val="auto"/>
          <w:sz w:val="24"/>
          <w:szCs w:val="24"/>
        </w:rPr>
        <w:t>6、</w:t>
      </w:r>
      <w:r>
        <w:rPr>
          <w:rFonts w:hint="eastAsia" w:ascii="仿宋" w:hAnsi="仿宋" w:eastAsia="仿宋" w:cs="仿宋"/>
          <w:bCs/>
          <w:color w:val="auto"/>
          <w:sz w:val="24"/>
          <w:szCs w:val="24"/>
        </w:rPr>
        <w:t>项目负责人及实施班子人员简历表（需提供项目负责人及班子人员资格证明资料并附相关职称证书）（附件八）</w:t>
      </w:r>
    </w:p>
    <w:p w14:paraId="2E5B1A0C">
      <w:pPr>
        <w:autoSpaceDE w:val="0"/>
        <w:autoSpaceDN w:val="0"/>
        <w:adjustRightInd w:val="0"/>
        <w:spacing w:before="65"/>
        <w:ind w:right="120"/>
        <w:rPr>
          <w:rFonts w:ascii="仿宋" w:hAnsi="仿宋" w:eastAsia="仿宋" w:cs="宋体"/>
          <w:color w:val="auto"/>
          <w:kern w:val="0"/>
          <w:sz w:val="24"/>
        </w:rPr>
      </w:pPr>
      <w:r>
        <w:rPr>
          <w:rFonts w:hint="eastAsia" w:ascii="仿宋" w:hAnsi="仿宋" w:eastAsia="仿宋" w:cs="宋体"/>
          <w:color w:val="auto"/>
          <w:kern w:val="0"/>
          <w:sz w:val="24"/>
        </w:rPr>
        <w:t>7、对项目理解、重点与难点分析及应对措施方案</w:t>
      </w:r>
    </w:p>
    <w:p w14:paraId="3B828AA9">
      <w:pPr>
        <w:autoSpaceDE w:val="0"/>
        <w:autoSpaceDN w:val="0"/>
        <w:adjustRightInd w:val="0"/>
        <w:spacing w:before="65"/>
        <w:ind w:right="120"/>
        <w:rPr>
          <w:rFonts w:ascii="仿宋" w:hAnsi="仿宋" w:eastAsia="仿宋" w:cs="宋体"/>
          <w:color w:val="auto"/>
          <w:kern w:val="0"/>
          <w:sz w:val="24"/>
        </w:rPr>
      </w:pPr>
      <w:r>
        <w:rPr>
          <w:rFonts w:hint="eastAsia" w:ascii="仿宋" w:hAnsi="仿宋" w:eastAsia="仿宋" w:cs="宋体"/>
          <w:color w:val="auto"/>
          <w:kern w:val="0"/>
          <w:sz w:val="24"/>
        </w:rPr>
        <w:t>8、总体技术方案</w:t>
      </w:r>
    </w:p>
    <w:p w14:paraId="58C8023A">
      <w:pPr>
        <w:rPr>
          <w:rFonts w:ascii="仿宋" w:hAnsi="仿宋" w:eastAsia="仿宋" w:cs="宋体"/>
          <w:color w:val="auto"/>
          <w:kern w:val="0"/>
          <w:sz w:val="24"/>
        </w:rPr>
      </w:pPr>
      <w:r>
        <w:rPr>
          <w:rFonts w:hint="eastAsia" w:ascii="仿宋" w:hAnsi="仿宋" w:eastAsia="仿宋" w:cs="宋体"/>
          <w:color w:val="auto"/>
          <w:kern w:val="0"/>
          <w:sz w:val="24"/>
        </w:rPr>
        <w:t>9、质量保障</w:t>
      </w:r>
    </w:p>
    <w:p w14:paraId="0A5100C4">
      <w:pPr>
        <w:autoSpaceDE w:val="0"/>
        <w:autoSpaceDN w:val="0"/>
        <w:adjustRightInd w:val="0"/>
        <w:spacing w:before="65"/>
        <w:ind w:right="120"/>
        <w:rPr>
          <w:rFonts w:ascii="仿宋" w:hAnsi="仿宋" w:eastAsia="仿宋" w:cs="宋体"/>
          <w:color w:val="auto"/>
          <w:kern w:val="0"/>
          <w:sz w:val="24"/>
        </w:rPr>
      </w:pPr>
      <w:r>
        <w:rPr>
          <w:rFonts w:hint="eastAsia" w:ascii="仿宋" w:hAnsi="仿宋" w:eastAsia="仿宋" w:cs="宋体"/>
          <w:color w:val="auto"/>
          <w:kern w:val="0"/>
          <w:sz w:val="24"/>
        </w:rPr>
        <w:t>10、</w:t>
      </w:r>
      <w:r>
        <w:rPr>
          <w:rFonts w:ascii="仿宋" w:hAnsi="仿宋" w:eastAsia="仿宋" w:cs="宋体"/>
          <w:color w:val="auto"/>
          <w:kern w:val="0"/>
          <w:sz w:val="24"/>
        </w:rPr>
        <w:t>项目管理团队服务方案</w:t>
      </w:r>
    </w:p>
    <w:p w14:paraId="544FF83D">
      <w:pPr>
        <w:pStyle w:val="2"/>
        <w:rPr>
          <w:rFonts w:ascii="仿宋" w:hAnsi="仿宋" w:eastAsia="仿宋" w:cs="宋体"/>
          <w:color w:val="auto"/>
          <w:kern w:val="0"/>
          <w:sz w:val="24"/>
        </w:rPr>
      </w:pPr>
      <w:r>
        <w:rPr>
          <w:rFonts w:hint="eastAsia" w:ascii="仿宋" w:hAnsi="仿宋" w:eastAsia="仿宋" w:cs="宋体"/>
          <w:color w:val="auto"/>
          <w:kern w:val="0"/>
          <w:sz w:val="24"/>
        </w:rPr>
        <w:t>11、管理制度</w:t>
      </w:r>
    </w:p>
    <w:p w14:paraId="0A338B4F">
      <w:pPr>
        <w:pStyle w:val="2"/>
        <w:rPr>
          <w:rFonts w:ascii="仿宋" w:hAnsi="仿宋" w:eastAsia="仿宋" w:cs="宋体"/>
          <w:color w:val="auto"/>
          <w:kern w:val="0"/>
          <w:sz w:val="24"/>
        </w:rPr>
      </w:pPr>
      <w:r>
        <w:rPr>
          <w:rFonts w:hint="eastAsia" w:ascii="仿宋" w:hAnsi="仿宋" w:eastAsia="仿宋" w:cs="宋体"/>
          <w:color w:val="auto"/>
          <w:kern w:val="0"/>
          <w:sz w:val="24"/>
        </w:rPr>
        <w:t>12、售后服务承诺</w:t>
      </w:r>
    </w:p>
    <w:p w14:paraId="2A1F9059">
      <w:pPr>
        <w:pStyle w:val="15"/>
        <w:spacing w:line="400" w:lineRule="exact"/>
        <w:rPr>
          <w:rFonts w:ascii="仿宋" w:hAnsi="仿宋" w:eastAsia="仿宋" w:cs="仿宋"/>
          <w:bCs/>
          <w:color w:val="auto"/>
          <w:sz w:val="24"/>
          <w:szCs w:val="24"/>
        </w:rPr>
      </w:pPr>
      <w:r>
        <w:rPr>
          <w:rFonts w:hint="eastAsia" w:ascii="仿宋" w:hAnsi="仿宋" w:eastAsia="仿宋" w:cs="仿宋"/>
          <w:bCs/>
          <w:color w:val="auto"/>
          <w:sz w:val="24"/>
          <w:szCs w:val="24"/>
        </w:rPr>
        <w:t>13、其他资料</w:t>
      </w:r>
    </w:p>
    <w:p w14:paraId="41BDA747">
      <w:pPr>
        <w:rPr>
          <w:color w:val="auto"/>
        </w:rPr>
      </w:pPr>
    </w:p>
    <w:p w14:paraId="3AE50225">
      <w:pPr>
        <w:pStyle w:val="7"/>
        <w:ind w:firstLine="480"/>
        <w:rPr>
          <w:rFonts w:hAnsi="宋体" w:cs="宋体"/>
          <w:color w:val="auto"/>
          <w:szCs w:val="24"/>
        </w:rPr>
      </w:pPr>
      <w:bookmarkStart w:id="293" w:name="_Toc26126"/>
      <w:bookmarkStart w:id="294" w:name="_Toc518923116"/>
    </w:p>
    <w:p w14:paraId="6AA295B9">
      <w:pPr>
        <w:rPr>
          <w:color w:val="auto"/>
        </w:rPr>
      </w:pPr>
    </w:p>
    <w:p w14:paraId="484888DB">
      <w:pPr>
        <w:pStyle w:val="7"/>
        <w:ind w:firstLine="480"/>
        <w:rPr>
          <w:rFonts w:hAnsi="宋体" w:cs="宋体"/>
          <w:color w:val="auto"/>
          <w:szCs w:val="24"/>
        </w:rPr>
      </w:pPr>
    </w:p>
    <w:p w14:paraId="4D8E2809">
      <w:pPr>
        <w:pStyle w:val="7"/>
        <w:ind w:firstLine="480"/>
        <w:rPr>
          <w:rFonts w:hAnsi="宋体" w:cs="宋体"/>
          <w:color w:val="auto"/>
          <w:szCs w:val="24"/>
        </w:rPr>
      </w:pPr>
    </w:p>
    <w:p w14:paraId="70B0B136">
      <w:pPr>
        <w:pStyle w:val="7"/>
        <w:ind w:firstLine="480"/>
        <w:rPr>
          <w:rFonts w:hAnsi="宋体" w:cs="宋体"/>
          <w:color w:val="auto"/>
          <w:szCs w:val="24"/>
        </w:rPr>
      </w:pPr>
    </w:p>
    <w:p w14:paraId="687268EF">
      <w:pPr>
        <w:pStyle w:val="7"/>
        <w:ind w:firstLine="480"/>
        <w:rPr>
          <w:rFonts w:hAnsi="宋体" w:cs="宋体"/>
          <w:color w:val="auto"/>
          <w:szCs w:val="24"/>
        </w:rPr>
      </w:pPr>
    </w:p>
    <w:p w14:paraId="6300F782">
      <w:pPr>
        <w:pStyle w:val="7"/>
        <w:ind w:firstLine="480"/>
        <w:rPr>
          <w:rFonts w:hAnsi="宋体" w:cs="宋体"/>
          <w:color w:val="auto"/>
          <w:szCs w:val="24"/>
        </w:rPr>
      </w:pPr>
    </w:p>
    <w:p w14:paraId="2ED334A3">
      <w:pPr>
        <w:pStyle w:val="7"/>
        <w:ind w:firstLine="480"/>
        <w:rPr>
          <w:rFonts w:hAnsi="宋体" w:cs="宋体"/>
          <w:color w:val="auto"/>
          <w:szCs w:val="24"/>
        </w:rPr>
      </w:pPr>
    </w:p>
    <w:p w14:paraId="7EDC1ED0">
      <w:pPr>
        <w:rPr>
          <w:color w:val="auto"/>
        </w:rPr>
      </w:pPr>
    </w:p>
    <w:p w14:paraId="67FAF77C">
      <w:pPr>
        <w:pStyle w:val="7"/>
        <w:ind w:firstLine="480"/>
        <w:rPr>
          <w:rFonts w:hAnsi="宋体" w:cs="宋体"/>
          <w:color w:val="auto"/>
          <w:szCs w:val="24"/>
        </w:rPr>
      </w:pPr>
    </w:p>
    <w:p w14:paraId="2C6A467A">
      <w:pPr>
        <w:pStyle w:val="7"/>
        <w:ind w:firstLine="480"/>
        <w:rPr>
          <w:rFonts w:hAnsi="宋体" w:cs="宋体"/>
          <w:color w:val="auto"/>
          <w:szCs w:val="24"/>
        </w:rPr>
      </w:pPr>
    </w:p>
    <w:p w14:paraId="1DA4AEB9">
      <w:pPr>
        <w:pStyle w:val="7"/>
        <w:ind w:firstLine="480"/>
        <w:rPr>
          <w:rFonts w:hAnsi="宋体" w:cs="宋体"/>
          <w:color w:val="auto"/>
          <w:szCs w:val="24"/>
        </w:rPr>
      </w:pPr>
    </w:p>
    <w:p w14:paraId="14FF14FD">
      <w:pPr>
        <w:pStyle w:val="7"/>
        <w:ind w:firstLine="480"/>
        <w:rPr>
          <w:rFonts w:hAnsi="宋体" w:cs="宋体"/>
          <w:color w:val="auto"/>
          <w:szCs w:val="24"/>
        </w:rPr>
      </w:pPr>
    </w:p>
    <w:bookmarkEnd w:id="293"/>
    <w:bookmarkEnd w:id="294"/>
    <w:p w14:paraId="7BD934B3">
      <w:pPr>
        <w:pStyle w:val="7"/>
        <w:ind w:firstLine="480"/>
        <w:rPr>
          <w:rFonts w:hAnsi="宋体" w:cs="宋体"/>
          <w:color w:val="auto"/>
          <w:szCs w:val="24"/>
        </w:rPr>
      </w:pPr>
    </w:p>
    <w:p w14:paraId="3B890D47">
      <w:pPr>
        <w:pStyle w:val="7"/>
        <w:ind w:firstLine="480"/>
        <w:rPr>
          <w:rFonts w:hAnsi="宋体" w:cs="宋体"/>
          <w:color w:val="auto"/>
          <w:szCs w:val="24"/>
        </w:rPr>
      </w:pPr>
    </w:p>
    <w:p w14:paraId="3E7783BF">
      <w:pPr>
        <w:pStyle w:val="7"/>
        <w:ind w:firstLine="480"/>
        <w:rPr>
          <w:rFonts w:hAnsi="宋体" w:cs="宋体"/>
          <w:color w:val="auto"/>
          <w:szCs w:val="24"/>
        </w:rPr>
      </w:pPr>
    </w:p>
    <w:p w14:paraId="5C7CA8C1">
      <w:pPr>
        <w:pStyle w:val="7"/>
        <w:ind w:firstLine="480"/>
        <w:jc w:val="center"/>
        <w:rPr>
          <w:rFonts w:ascii="仿宋" w:hAnsi="仿宋" w:eastAsia="仿宋" w:cs="仿宋"/>
          <w:b/>
          <w:bCs/>
          <w:color w:val="auto"/>
          <w:sz w:val="28"/>
          <w:szCs w:val="28"/>
        </w:rPr>
      </w:pPr>
    </w:p>
    <w:p w14:paraId="0B41399E">
      <w:pPr>
        <w:rPr>
          <w:color w:val="auto"/>
        </w:rPr>
      </w:pPr>
    </w:p>
    <w:p w14:paraId="034F8892">
      <w:pPr>
        <w:pStyle w:val="2"/>
        <w:rPr>
          <w:color w:val="auto"/>
        </w:rPr>
      </w:pPr>
    </w:p>
    <w:p w14:paraId="4E152DE1">
      <w:pPr>
        <w:pStyle w:val="2"/>
        <w:rPr>
          <w:color w:val="auto"/>
        </w:rPr>
      </w:pPr>
    </w:p>
    <w:p w14:paraId="2E08D863">
      <w:pPr>
        <w:pStyle w:val="7"/>
        <w:ind w:firstLine="480"/>
        <w:jc w:val="center"/>
        <w:rPr>
          <w:rFonts w:hint="eastAsia" w:ascii="仿宋" w:hAnsi="仿宋" w:eastAsia="仿宋" w:cs="仿宋"/>
          <w:b/>
          <w:bCs/>
          <w:color w:val="auto"/>
          <w:sz w:val="28"/>
          <w:szCs w:val="28"/>
        </w:rPr>
      </w:pPr>
    </w:p>
    <w:p w14:paraId="12347B94">
      <w:pPr>
        <w:pStyle w:val="7"/>
        <w:ind w:firstLine="480"/>
        <w:jc w:val="center"/>
        <w:rPr>
          <w:rFonts w:ascii="仿宋" w:hAnsi="仿宋" w:eastAsia="仿宋" w:cs="仿宋"/>
          <w:color w:val="auto"/>
          <w:szCs w:val="24"/>
        </w:rPr>
      </w:pPr>
      <w:r>
        <w:rPr>
          <w:rFonts w:hint="eastAsia" w:ascii="仿宋" w:hAnsi="仿宋" w:eastAsia="仿宋" w:cs="仿宋"/>
          <w:b/>
          <w:bCs/>
          <w:color w:val="auto"/>
          <w:sz w:val="28"/>
          <w:szCs w:val="28"/>
        </w:rPr>
        <w:t xml:space="preserve">1   </w:t>
      </w:r>
      <w:bookmarkStart w:id="295" w:name="_Hlt520355504"/>
      <w:bookmarkEnd w:id="295"/>
      <w:r>
        <w:rPr>
          <w:rFonts w:hint="eastAsia" w:ascii="仿宋" w:hAnsi="仿宋" w:eastAsia="仿宋" w:cs="仿宋"/>
          <w:b/>
          <w:bCs/>
          <w:color w:val="auto"/>
          <w:sz w:val="28"/>
          <w:szCs w:val="28"/>
        </w:rPr>
        <w:t>投标书（附件三）</w:t>
      </w:r>
    </w:p>
    <w:p w14:paraId="37D784FC">
      <w:pPr>
        <w:tabs>
          <w:tab w:val="left" w:pos="5580"/>
        </w:tabs>
        <w:spacing w:line="360" w:lineRule="exact"/>
        <w:ind w:left="1079" w:leftChars="257" w:hanging="540"/>
        <w:rPr>
          <w:rFonts w:ascii="仿宋" w:hAnsi="仿宋" w:eastAsia="仿宋" w:cs="仿宋"/>
          <w:color w:val="auto"/>
          <w:sz w:val="24"/>
        </w:rPr>
      </w:pPr>
    </w:p>
    <w:p w14:paraId="1FC50D49">
      <w:pPr>
        <w:tabs>
          <w:tab w:val="left" w:pos="5580"/>
        </w:tabs>
        <w:spacing w:line="360" w:lineRule="exact"/>
        <w:ind w:left="1080" w:hanging="1080"/>
        <w:rPr>
          <w:rFonts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采购代理机构</w:t>
      </w:r>
    </w:p>
    <w:p w14:paraId="1854143D">
      <w:pPr>
        <w:pStyle w:val="15"/>
        <w:tabs>
          <w:tab w:val="left" w:pos="5580"/>
        </w:tabs>
        <w:spacing w:line="360" w:lineRule="atLeast"/>
        <w:ind w:left="2" w:leftChars="1" w:firstLine="480" w:firstLineChars="200"/>
        <w:rPr>
          <w:rFonts w:ascii="仿宋" w:hAnsi="仿宋" w:eastAsia="仿宋" w:cs="仿宋"/>
          <w:color w:val="auto"/>
          <w:sz w:val="24"/>
        </w:rPr>
      </w:pPr>
      <w:r>
        <w:rPr>
          <w:rFonts w:hint="eastAsia" w:ascii="仿宋" w:hAnsi="仿宋" w:eastAsia="仿宋" w:cs="仿宋"/>
          <w:color w:val="auto"/>
          <w:sz w:val="24"/>
        </w:rPr>
        <w:t>根据贵方(</w:t>
      </w:r>
      <w:r>
        <w:rPr>
          <w:rFonts w:hint="eastAsia" w:ascii="仿宋" w:hAnsi="仿宋" w:eastAsia="仿宋" w:cs="仿宋"/>
          <w:i/>
          <w:color w:val="auto"/>
          <w:sz w:val="24"/>
          <w:u w:val="single"/>
        </w:rPr>
        <w:t>项目名称</w:t>
      </w:r>
      <w:r>
        <w:rPr>
          <w:rFonts w:hint="eastAsia" w:ascii="仿宋" w:hAnsi="仿宋" w:eastAsia="仿宋" w:cs="仿宋"/>
          <w:color w:val="auto"/>
          <w:sz w:val="24"/>
        </w:rPr>
        <w:t>)项目的投标邀请(</w:t>
      </w:r>
      <w:r>
        <w:rPr>
          <w:rFonts w:hint="eastAsia" w:ascii="仿宋" w:hAnsi="仿宋" w:eastAsia="仿宋" w:cs="仿宋"/>
          <w:i/>
          <w:color w:val="auto"/>
          <w:sz w:val="24"/>
          <w:u w:val="single"/>
        </w:rPr>
        <w:t>招标编号</w:t>
      </w:r>
      <w:r>
        <w:rPr>
          <w:rFonts w:hint="eastAsia" w:ascii="仿宋" w:hAnsi="仿宋" w:eastAsia="仿宋" w:cs="仿宋"/>
          <w:color w:val="auto"/>
          <w:sz w:val="24"/>
        </w:rPr>
        <w:t>),签字代表(</w:t>
      </w:r>
      <w:r>
        <w:rPr>
          <w:rFonts w:hint="eastAsia" w:ascii="仿宋" w:hAnsi="仿宋" w:eastAsia="仿宋" w:cs="仿宋"/>
          <w:i/>
          <w:color w:val="auto"/>
          <w:sz w:val="24"/>
          <w:u w:val="single"/>
        </w:rPr>
        <w:t>姓名、职务</w:t>
      </w:r>
      <w:r>
        <w:rPr>
          <w:rFonts w:hint="eastAsia" w:ascii="仿宋" w:hAnsi="仿宋" w:eastAsia="仿宋" w:cs="仿宋"/>
          <w:color w:val="auto"/>
          <w:sz w:val="24"/>
        </w:rPr>
        <w:t>)经正式授权并代表投标人（</w:t>
      </w:r>
      <w:r>
        <w:rPr>
          <w:rFonts w:hint="eastAsia" w:ascii="仿宋" w:hAnsi="仿宋" w:eastAsia="仿宋" w:cs="仿宋"/>
          <w:i/>
          <w:color w:val="auto"/>
          <w:sz w:val="24"/>
          <w:u w:val="single"/>
        </w:rPr>
        <w:t>名称、地址</w:t>
      </w:r>
      <w:r>
        <w:rPr>
          <w:rFonts w:hint="eastAsia" w:ascii="仿宋" w:hAnsi="仿宋" w:eastAsia="仿宋" w:cs="仿宋"/>
          <w:color w:val="auto"/>
          <w:sz w:val="24"/>
        </w:rPr>
        <w:t>），以</w:t>
      </w:r>
      <w:r>
        <w:rPr>
          <w:rFonts w:hint="eastAsia" w:ascii="仿宋" w:hAnsi="仿宋" w:eastAsia="仿宋" w:cs="仿宋"/>
          <w:color w:val="auto"/>
          <w:sz w:val="24"/>
          <w:u w:val="single"/>
        </w:rPr>
        <w:t xml:space="preserve">         </w:t>
      </w:r>
      <w:r>
        <w:rPr>
          <w:rFonts w:hint="eastAsia" w:ascii="仿宋" w:hAnsi="仿宋" w:eastAsia="仿宋" w:cs="仿宋"/>
          <w:color w:val="auto"/>
          <w:sz w:val="24"/>
        </w:rPr>
        <w:t>形式出具的金额为人民币　　　　</w:t>
      </w:r>
      <w:r>
        <w:rPr>
          <w:rFonts w:hint="eastAsia" w:ascii="仿宋" w:hAnsi="仿宋" w:eastAsia="仿宋" w:cs="仿宋"/>
          <w:color w:val="auto"/>
          <w:sz w:val="24"/>
          <w:u w:val="single"/>
        </w:rPr>
        <w:t xml:space="preserve">             </w:t>
      </w:r>
      <w:r>
        <w:rPr>
          <w:rFonts w:hint="eastAsia" w:ascii="仿宋" w:hAnsi="仿宋" w:eastAsia="仿宋" w:cs="仿宋"/>
          <w:color w:val="auto"/>
          <w:sz w:val="24"/>
        </w:rPr>
        <w:t>元的投标保证金。</w:t>
      </w:r>
    </w:p>
    <w:p w14:paraId="1E418946">
      <w:pPr>
        <w:pStyle w:val="15"/>
        <w:tabs>
          <w:tab w:val="left" w:pos="5580"/>
        </w:tabs>
        <w:spacing w:line="360" w:lineRule="exac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据此，签字代表宣布同意如下：</w:t>
      </w:r>
    </w:p>
    <w:p w14:paraId="1B53092D">
      <w:pPr>
        <w:pStyle w:val="15"/>
        <w:tabs>
          <w:tab w:val="left" w:pos="720"/>
          <w:tab w:val="left" w:pos="900"/>
        </w:tabs>
        <w:spacing w:line="360" w:lineRule="exact"/>
        <w:rPr>
          <w:rFonts w:ascii="仿宋" w:hAnsi="仿宋" w:eastAsia="仿宋" w:cs="仿宋"/>
          <w:color w:val="auto"/>
          <w:sz w:val="24"/>
          <w:szCs w:val="24"/>
          <w:u w:val="single"/>
        </w:rPr>
      </w:pPr>
      <w:r>
        <w:rPr>
          <w:rFonts w:hint="eastAsia" w:ascii="仿宋" w:hAnsi="仿宋" w:eastAsia="仿宋" w:cs="仿宋"/>
          <w:color w:val="auto"/>
          <w:sz w:val="24"/>
          <w:szCs w:val="24"/>
        </w:rPr>
        <w:t>（1）附投标价格表中规定的应提供服务的投标总价详见开标一览表，价格为</w:t>
      </w:r>
      <w:r>
        <w:rPr>
          <w:rFonts w:hint="eastAsia" w:ascii="仿宋" w:hAnsi="仿宋" w:eastAsia="仿宋" w:cs="仿宋"/>
          <w:color w:val="auto"/>
          <w:sz w:val="24"/>
          <w:szCs w:val="24"/>
          <w:u w:val="single"/>
        </w:rPr>
        <w:t>　　  （用文字和数字表示），占投标总价   %</w:t>
      </w:r>
      <w:r>
        <w:rPr>
          <w:rFonts w:hint="eastAsia" w:ascii="仿宋" w:hAnsi="仿宋" w:eastAsia="仿宋" w:cs="仿宋"/>
          <w:color w:val="auto"/>
          <w:sz w:val="24"/>
          <w:szCs w:val="24"/>
        </w:rPr>
        <w:t>。</w:t>
      </w:r>
    </w:p>
    <w:p w14:paraId="1EEF1129">
      <w:pPr>
        <w:pStyle w:val="15"/>
        <w:tabs>
          <w:tab w:val="left" w:pos="5580"/>
        </w:tabs>
        <w:spacing w:line="360" w:lineRule="exact"/>
        <w:rPr>
          <w:rFonts w:ascii="仿宋" w:hAnsi="仿宋" w:eastAsia="仿宋" w:cs="仿宋"/>
          <w:color w:val="auto"/>
          <w:sz w:val="24"/>
          <w:szCs w:val="24"/>
        </w:rPr>
      </w:pPr>
      <w:r>
        <w:rPr>
          <w:rFonts w:hint="eastAsia" w:ascii="仿宋" w:hAnsi="仿宋" w:eastAsia="仿宋" w:cs="仿宋"/>
          <w:color w:val="auto"/>
          <w:sz w:val="24"/>
          <w:szCs w:val="24"/>
        </w:rPr>
        <w:t>（2）本投标有效期为自投标截止之日起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个日历日。</w:t>
      </w:r>
    </w:p>
    <w:p w14:paraId="295F32F2">
      <w:pPr>
        <w:pStyle w:val="15"/>
        <w:tabs>
          <w:tab w:val="left" w:pos="5580"/>
        </w:tabs>
        <w:spacing w:line="360" w:lineRule="exact"/>
        <w:rPr>
          <w:rFonts w:ascii="仿宋" w:hAnsi="仿宋" w:eastAsia="仿宋" w:cs="仿宋"/>
          <w:color w:val="auto"/>
          <w:sz w:val="24"/>
          <w:szCs w:val="24"/>
        </w:rPr>
      </w:pPr>
      <w:r>
        <w:rPr>
          <w:rFonts w:hint="eastAsia" w:ascii="仿宋" w:hAnsi="仿宋" w:eastAsia="仿宋" w:cs="仿宋"/>
          <w:color w:val="auto"/>
          <w:sz w:val="24"/>
          <w:szCs w:val="24"/>
        </w:rPr>
        <w:t>（3）联合体中的大中型企业和其他自然人、法人或者非法人组织，与联合体中的小型、微型企业之间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存在、不存在）投资关系（如果联合体的话）。</w:t>
      </w:r>
    </w:p>
    <w:p w14:paraId="4F7B9C2A">
      <w:pPr>
        <w:pStyle w:val="15"/>
        <w:tabs>
          <w:tab w:val="left" w:pos="5580"/>
        </w:tabs>
        <w:spacing w:line="360" w:lineRule="exact"/>
        <w:rPr>
          <w:rFonts w:ascii="仿宋" w:hAnsi="仿宋" w:eastAsia="仿宋" w:cs="仿宋"/>
          <w:color w:val="auto"/>
          <w:sz w:val="24"/>
          <w:szCs w:val="24"/>
        </w:rPr>
      </w:pPr>
      <w:r>
        <w:rPr>
          <w:rFonts w:hint="eastAsia" w:ascii="仿宋" w:hAnsi="仿宋" w:eastAsia="仿宋" w:cs="仿宋"/>
          <w:color w:val="auto"/>
          <w:sz w:val="24"/>
          <w:szCs w:val="24"/>
        </w:rPr>
        <w:t>（4）已详细审查全部招标文件，包括所有补充通知（如果有的话），完全理解并同意放弃对这方面有不明、误解和质疑的权力。</w:t>
      </w:r>
    </w:p>
    <w:p w14:paraId="25F0171B">
      <w:pPr>
        <w:pStyle w:val="15"/>
        <w:tabs>
          <w:tab w:val="left" w:pos="5580"/>
        </w:tabs>
        <w:spacing w:line="360" w:lineRule="exact"/>
        <w:rPr>
          <w:rFonts w:ascii="仿宋" w:hAnsi="仿宋" w:eastAsia="仿宋" w:cs="仿宋"/>
          <w:color w:val="auto"/>
          <w:sz w:val="24"/>
          <w:szCs w:val="24"/>
        </w:rPr>
      </w:pPr>
      <w:r>
        <w:rPr>
          <w:rFonts w:hint="eastAsia" w:ascii="仿宋" w:hAnsi="仿宋" w:eastAsia="仿宋" w:cs="仿宋"/>
          <w:color w:val="auto"/>
          <w:sz w:val="24"/>
          <w:szCs w:val="24"/>
        </w:rPr>
        <w:t>（5）在规定的开标时间后，遵守招标文件中有关保证金的规定。</w:t>
      </w:r>
    </w:p>
    <w:p w14:paraId="169DEA72">
      <w:pPr>
        <w:pStyle w:val="15"/>
        <w:tabs>
          <w:tab w:val="left" w:pos="5580"/>
        </w:tabs>
        <w:spacing w:line="360" w:lineRule="exact"/>
        <w:rPr>
          <w:rFonts w:ascii="仿宋" w:hAnsi="仿宋" w:eastAsia="仿宋" w:cs="仿宋"/>
          <w:color w:val="auto"/>
          <w:sz w:val="24"/>
          <w:szCs w:val="24"/>
        </w:rPr>
      </w:pPr>
      <w:r>
        <w:rPr>
          <w:rFonts w:hint="eastAsia" w:ascii="仿宋" w:hAnsi="仿宋" w:eastAsia="仿宋" w:cs="仿宋"/>
          <w:color w:val="auto"/>
          <w:sz w:val="24"/>
          <w:szCs w:val="24"/>
        </w:rPr>
        <w:t>（6）在领取中标通知书的同时按招标文件规定的形式，向贵方一次性支付中标服务费。</w:t>
      </w:r>
    </w:p>
    <w:p w14:paraId="68B3E659">
      <w:pPr>
        <w:pStyle w:val="15"/>
        <w:tabs>
          <w:tab w:val="left" w:pos="5580"/>
        </w:tabs>
        <w:spacing w:line="360" w:lineRule="exact"/>
        <w:rPr>
          <w:rFonts w:ascii="仿宋" w:hAnsi="仿宋" w:eastAsia="仿宋" w:cs="仿宋"/>
          <w:color w:val="auto"/>
          <w:sz w:val="24"/>
          <w:szCs w:val="24"/>
        </w:rPr>
      </w:pPr>
      <w:r>
        <w:rPr>
          <w:rFonts w:hint="eastAsia" w:ascii="仿宋" w:hAnsi="仿宋" w:eastAsia="仿宋" w:cs="仿宋"/>
          <w:color w:val="auto"/>
          <w:sz w:val="24"/>
          <w:szCs w:val="24"/>
        </w:rPr>
        <w:t>（7）按照贵方可能要求，提供与其投标有关的一切数据或资料，完全理解贵方不一定接受最低价的投标或收到的任何投标。</w:t>
      </w:r>
    </w:p>
    <w:p w14:paraId="25AB08EA">
      <w:pPr>
        <w:pStyle w:val="15"/>
        <w:tabs>
          <w:tab w:val="left" w:pos="5580"/>
        </w:tabs>
        <w:spacing w:line="360" w:lineRule="exact"/>
        <w:rPr>
          <w:rFonts w:ascii="仿宋" w:hAnsi="仿宋" w:eastAsia="仿宋" w:cs="仿宋"/>
          <w:color w:val="auto"/>
          <w:sz w:val="24"/>
          <w:szCs w:val="24"/>
        </w:rPr>
      </w:pPr>
      <w:r>
        <w:rPr>
          <w:rFonts w:hint="eastAsia" w:ascii="仿宋" w:hAnsi="仿宋" w:eastAsia="仿宋" w:cs="仿宋"/>
          <w:color w:val="auto"/>
          <w:sz w:val="24"/>
          <w:szCs w:val="24"/>
        </w:rPr>
        <w:t>（8）按照招标文件的规定履行合同责任和义务。</w:t>
      </w:r>
    </w:p>
    <w:p w14:paraId="0825D160">
      <w:pPr>
        <w:pStyle w:val="15"/>
        <w:tabs>
          <w:tab w:val="left" w:pos="5580"/>
        </w:tabs>
        <w:spacing w:line="360" w:lineRule="exact"/>
        <w:ind w:left="358" w:leftChars="68" w:hanging="216" w:hangingChars="90"/>
        <w:rPr>
          <w:rFonts w:ascii="仿宋" w:hAnsi="仿宋" w:eastAsia="仿宋" w:cs="仿宋"/>
          <w:color w:val="auto"/>
          <w:sz w:val="24"/>
          <w:szCs w:val="24"/>
        </w:rPr>
      </w:pPr>
      <w:r>
        <w:rPr>
          <w:rFonts w:hint="eastAsia" w:ascii="仿宋" w:hAnsi="仿宋" w:eastAsia="仿宋" w:cs="仿宋"/>
          <w:color w:val="auto"/>
          <w:sz w:val="24"/>
          <w:szCs w:val="24"/>
        </w:rPr>
        <w:t xml:space="preserve">  </w:t>
      </w:r>
    </w:p>
    <w:p w14:paraId="521E6A61">
      <w:pPr>
        <w:pStyle w:val="15"/>
        <w:tabs>
          <w:tab w:val="left" w:pos="5580"/>
        </w:tabs>
        <w:spacing w:line="360" w:lineRule="exact"/>
        <w:ind w:left="358" w:leftChars="68" w:hanging="216" w:hangingChars="90"/>
        <w:rPr>
          <w:rFonts w:ascii="仿宋" w:hAnsi="仿宋" w:eastAsia="仿宋" w:cs="仿宋"/>
          <w:color w:val="auto"/>
          <w:sz w:val="24"/>
          <w:szCs w:val="24"/>
        </w:rPr>
      </w:pPr>
      <w:r>
        <w:rPr>
          <w:rFonts w:hint="eastAsia" w:ascii="仿宋" w:hAnsi="仿宋" w:eastAsia="仿宋" w:cs="仿宋"/>
          <w:color w:val="auto"/>
          <w:sz w:val="24"/>
          <w:szCs w:val="24"/>
        </w:rPr>
        <w:t>与本投标有关的一切正式往来信函请寄：</w:t>
      </w:r>
    </w:p>
    <w:p w14:paraId="3C957EF2">
      <w:pPr>
        <w:pStyle w:val="15"/>
        <w:tabs>
          <w:tab w:val="left" w:pos="5580"/>
        </w:tabs>
        <w:spacing w:line="360" w:lineRule="exac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14:paraId="2321AF2F">
      <w:pPr>
        <w:pStyle w:val="15"/>
        <w:tabs>
          <w:tab w:val="left" w:pos="5580"/>
        </w:tabs>
        <w:spacing w:line="360" w:lineRule="exact"/>
        <w:ind w:left="1079" w:leftChars="257" w:hanging="540"/>
        <w:rPr>
          <w:rFonts w:ascii="仿宋" w:hAnsi="仿宋" w:eastAsia="仿宋" w:cs="仿宋"/>
          <w:color w:val="auto"/>
          <w:sz w:val="24"/>
          <w:szCs w:val="24"/>
          <w:u w:val="single"/>
        </w:rPr>
      </w:pP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p>
    <w:p w14:paraId="38FE1B8D">
      <w:pPr>
        <w:pStyle w:val="15"/>
        <w:tabs>
          <w:tab w:val="left" w:pos="5580"/>
        </w:tabs>
        <w:spacing w:line="360" w:lineRule="exact"/>
        <w:ind w:firstLine="480" w:firstLineChars="200"/>
        <w:rPr>
          <w:rFonts w:ascii="仿宋" w:hAnsi="仿宋" w:eastAsia="仿宋" w:cs="仿宋"/>
          <w:color w:val="auto"/>
          <w:sz w:val="24"/>
          <w:szCs w:val="24"/>
          <w:u w:val="single"/>
        </w:rPr>
      </w:pPr>
    </w:p>
    <w:p w14:paraId="3C5B8FAE">
      <w:pPr>
        <w:pStyle w:val="15"/>
        <w:tabs>
          <w:tab w:val="left" w:pos="5580"/>
        </w:tabs>
        <w:spacing w:line="360" w:lineRule="exact"/>
        <w:ind w:firstLine="600" w:firstLineChars="250"/>
        <w:rPr>
          <w:rFonts w:ascii="仿宋" w:hAnsi="仿宋" w:eastAsia="仿宋" w:cs="仿宋"/>
          <w:color w:val="auto"/>
          <w:sz w:val="24"/>
          <w:szCs w:val="24"/>
          <w:u w:val="single"/>
        </w:rPr>
      </w:pPr>
      <w:r>
        <w:rPr>
          <w:rFonts w:hint="eastAsia" w:ascii="仿宋" w:hAnsi="仿宋" w:eastAsia="仿宋" w:cs="仿宋"/>
          <w:color w:val="auto"/>
          <w:sz w:val="24"/>
          <w:szCs w:val="24"/>
        </w:rPr>
        <w:t>投标人名称（全称）：</w:t>
      </w:r>
      <w:r>
        <w:rPr>
          <w:rFonts w:hint="eastAsia" w:ascii="仿宋" w:hAnsi="仿宋" w:eastAsia="仿宋" w:cs="仿宋"/>
          <w:color w:val="auto"/>
          <w:sz w:val="24"/>
          <w:szCs w:val="24"/>
          <w:u w:val="single"/>
        </w:rPr>
        <w:t xml:space="preserve">                   </w:t>
      </w:r>
    </w:p>
    <w:p w14:paraId="695BED58">
      <w:pPr>
        <w:pStyle w:val="15"/>
        <w:tabs>
          <w:tab w:val="left" w:pos="5580"/>
        </w:tabs>
        <w:spacing w:line="360" w:lineRule="exac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ascii="仿宋" w:hAnsi="仿宋" w:eastAsia="仿宋" w:cs="仿宋"/>
          <w:color w:val="auto"/>
          <w:sz w:val="24"/>
          <w:szCs w:val="24"/>
        </w:rPr>
        <w:t>(</w:t>
      </w:r>
      <w:r>
        <w:rPr>
          <w:rFonts w:hint="eastAsia" w:ascii="仿宋" w:hAnsi="仿宋" w:eastAsia="仿宋" w:cs="仿宋"/>
          <w:color w:val="auto"/>
          <w:sz w:val="24"/>
          <w:szCs w:val="24"/>
        </w:rPr>
        <w:t>签字或盖章</w:t>
      </w:r>
      <w:r>
        <w:rPr>
          <w:rFonts w:ascii="仿宋" w:hAnsi="仿宋" w:eastAsia="仿宋" w:cs="仿宋"/>
          <w:color w:val="auto"/>
          <w:sz w:val="24"/>
          <w:szCs w:val="24"/>
        </w:rPr>
        <w:t>)</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p>
    <w:p w14:paraId="3D3854D2">
      <w:pPr>
        <w:pStyle w:val="15"/>
        <w:tabs>
          <w:tab w:val="left" w:pos="5580"/>
        </w:tabs>
        <w:spacing w:line="360" w:lineRule="exac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投标人开户银行（全称）：</w:t>
      </w:r>
      <w:r>
        <w:rPr>
          <w:rFonts w:hint="eastAsia" w:ascii="仿宋" w:hAnsi="仿宋" w:eastAsia="仿宋" w:cs="仿宋"/>
          <w:color w:val="auto"/>
          <w:sz w:val="24"/>
          <w:szCs w:val="24"/>
          <w:u w:val="single"/>
        </w:rPr>
        <w:t xml:space="preserve">　　　　　　 </w:t>
      </w:r>
    </w:p>
    <w:p w14:paraId="7969701A">
      <w:pPr>
        <w:pStyle w:val="15"/>
        <w:tabs>
          <w:tab w:val="left" w:pos="5580"/>
        </w:tabs>
        <w:spacing w:line="360" w:lineRule="exac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投标人银行帐号：</w:t>
      </w:r>
      <w:r>
        <w:rPr>
          <w:rFonts w:hint="eastAsia" w:ascii="仿宋" w:hAnsi="仿宋" w:eastAsia="仿宋" w:cs="仿宋"/>
          <w:color w:val="auto"/>
          <w:sz w:val="24"/>
          <w:szCs w:val="24"/>
          <w:u w:val="single"/>
        </w:rPr>
        <w:t xml:space="preserve">　　　　　　 </w:t>
      </w:r>
    </w:p>
    <w:p w14:paraId="6DB0307E">
      <w:pPr>
        <w:pStyle w:val="15"/>
        <w:tabs>
          <w:tab w:val="left" w:pos="5580"/>
        </w:tabs>
        <w:spacing w:line="360" w:lineRule="exac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宋体"/>
          <w:color w:val="auto"/>
          <w:kern w:val="0"/>
          <w:sz w:val="24"/>
        </w:rPr>
        <w:t>盖单位章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05D7E55B">
      <w:pPr>
        <w:pStyle w:val="15"/>
        <w:tabs>
          <w:tab w:val="left" w:pos="5580"/>
        </w:tabs>
        <w:spacing w:line="360" w:lineRule="exact"/>
        <w:ind w:left="1079" w:leftChars="257" w:hanging="540"/>
        <w:rPr>
          <w:rFonts w:ascii="仿宋" w:hAnsi="仿宋" w:eastAsia="仿宋" w:cs="仿宋"/>
          <w:color w:val="auto"/>
          <w:sz w:val="24"/>
          <w:szCs w:val="24"/>
        </w:rPr>
      </w:pPr>
      <w:r>
        <w:rPr>
          <w:rFonts w:hint="eastAsia" w:ascii="仿宋" w:hAnsi="仿宋" w:eastAsia="仿宋" w:cs="仿宋"/>
          <w:color w:val="auto"/>
          <w:sz w:val="24"/>
          <w:szCs w:val="24"/>
        </w:rPr>
        <w:t>日期：</w:t>
      </w:r>
      <w:bookmarkStart w:id="296" w:name="_Toc216582815"/>
      <w:r>
        <w:rPr>
          <w:rFonts w:hint="eastAsia" w:ascii="仿宋" w:hAnsi="仿宋" w:eastAsia="仿宋" w:cs="仿宋"/>
          <w:color w:val="auto"/>
          <w:sz w:val="24"/>
          <w:szCs w:val="24"/>
        </w:rPr>
        <w:t>年  月   日</w:t>
      </w:r>
      <w:r>
        <w:rPr>
          <w:rFonts w:ascii="仿宋" w:hAnsi="仿宋" w:eastAsia="仿宋" w:cs="仿宋"/>
          <w:color w:val="auto"/>
          <w:sz w:val="24"/>
          <w:szCs w:val="24"/>
        </w:rPr>
        <w:t xml:space="preserve"> </w:t>
      </w:r>
    </w:p>
    <w:p w14:paraId="5D7EF6E2">
      <w:pPr>
        <w:pStyle w:val="15"/>
        <w:spacing w:line="360" w:lineRule="auto"/>
        <w:rPr>
          <w:rFonts w:ascii="仿宋" w:hAnsi="仿宋" w:eastAsia="仿宋" w:cs="仿宋"/>
          <w:b/>
          <w:bCs/>
          <w:color w:val="auto"/>
          <w:sz w:val="24"/>
          <w:szCs w:val="24"/>
        </w:rPr>
      </w:pPr>
    </w:p>
    <w:p w14:paraId="66192755">
      <w:pPr>
        <w:pStyle w:val="16"/>
        <w:ind w:left="2520"/>
        <w:rPr>
          <w:rFonts w:ascii="宋体" w:hAnsi="宋体" w:cs="宋体"/>
          <w:b/>
          <w:bCs/>
          <w:color w:val="auto"/>
          <w:sz w:val="24"/>
        </w:rPr>
      </w:pPr>
    </w:p>
    <w:p w14:paraId="6EEF1CFD">
      <w:pPr>
        <w:pStyle w:val="15"/>
        <w:spacing w:line="360" w:lineRule="auto"/>
        <w:rPr>
          <w:rFonts w:hAnsi="宋体" w:cs="宋体"/>
          <w:b/>
          <w:bCs/>
          <w:color w:val="auto"/>
          <w:sz w:val="24"/>
          <w:szCs w:val="24"/>
        </w:rPr>
      </w:pPr>
    </w:p>
    <w:p w14:paraId="2F048668">
      <w:pPr>
        <w:pStyle w:val="16"/>
        <w:ind w:left="2520"/>
        <w:rPr>
          <w:color w:val="auto"/>
        </w:rPr>
      </w:pPr>
    </w:p>
    <w:p w14:paraId="0A1C21A9">
      <w:pPr>
        <w:rPr>
          <w:color w:val="auto"/>
        </w:rPr>
      </w:pPr>
    </w:p>
    <w:p w14:paraId="6F865284">
      <w:pPr>
        <w:pStyle w:val="2"/>
        <w:rPr>
          <w:color w:val="auto"/>
        </w:rPr>
      </w:pPr>
    </w:p>
    <w:p w14:paraId="05715E4A">
      <w:pPr>
        <w:pStyle w:val="16"/>
        <w:ind w:left="2520"/>
        <w:rPr>
          <w:color w:val="auto"/>
        </w:rPr>
      </w:pPr>
    </w:p>
    <w:p w14:paraId="61566C8A">
      <w:pPr>
        <w:pStyle w:val="15"/>
        <w:spacing w:line="240" w:lineRule="atLeast"/>
        <w:ind w:left="1079" w:leftChars="257" w:hanging="540"/>
        <w:jc w:val="center"/>
        <w:rPr>
          <w:rFonts w:ascii="仿宋" w:hAnsi="仿宋" w:eastAsia="仿宋" w:cs="宋体"/>
          <w:b/>
          <w:bCs/>
          <w:color w:val="auto"/>
          <w:sz w:val="28"/>
          <w:szCs w:val="28"/>
        </w:rPr>
      </w:pPr>
      <w:r>
        <w:rPr>
          <w:rFonts w:hint="eastAsia" w:ascii="仿宋" w:hAnsi="仿宋" w:eastAsia="仿宋" w:cs="宋体"/>
          <w:b/>
          <w:bCs/>
          <w:color w:val="auto"/>
          <w:sz w:val="28"/>
          <w:szCs w:val="28"/>
        </w:rPr>
        <w:t>2 投标人企业（单位）类型声明函（附件四）</w:t>
      </w:r>
    </w:p>
    <w:p w14:paraId="5909F158">
      <w:pPr>
        <w:spacing w:line="240" w:lineRule="atLeast"/>
        <w:ind w:left="1079" w:leftChars="257" w:hanging="540"/>
        <w:jc w:val="center"/>
        <w:rPr>
          <w:rFonts w:ascii="仿宋" w:hAnsi="仿宋" w:eastAsia="仿宋"/>
          <w:b/>
          <w:color w:val="auto"/>
          <w:kern w:val="0"/>
          <w:sz w:val="24"/>
          <w:szCs w:val="20"/>
        </w:rPr>
      </w:pPr>
    </w:p>
    <w:p w14:paraId="44F444E3">
      <w:pPr>
        <w:widowControl/>
        <w:spacing w:before="100" w:beforeAutospacing="1" w:after="100" w:afterAutospacing="1" w:line="330" w:lineRule="atLeas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本企业（单位）郑重声明下列事项（按照实际情况勾选或填空）：</w:t>
      </w:r>
    </w:p>
    <w:p w14:paraId="393A21EC">
      <w:pPr>
        <w:widowControl/>
        <w:spacing w:before="100" w:beforeAutospacing="1" w:after="100" w:afterAutospacing="1" w:line="330" w:lineRule="atLeast"/>
        <w:ind w:firstLine="420"/>
        <w:jc w:val="left"/>
        <w:rPr>
          <w:rFonts w:ascii="仿宋" w:hAnsi="仿宋" w:eastAsia="仿宋" w:cs="宋体"/>
          <w:color w:val="auto"/>
          <w:kern w:val="0"/>
          <w:sz w:val="24"/>
        </w:rPr>
      </w:pPr>
      <w:r>
        <w:rPr>
          <w:rFonts w:hint="eastAsia" w:ascii="仿宋" w:hAnsi="仿宋" w:eastAsia="仿宋" w:cs="宋体"/>
          <w:color w:val="auto"/>
          <w:kern w:val="0"/>
          <w:sz w:val="24"/>
        </w:rPr>
        <w:t>1、□本企业（单位）为直接投标人，提供本企业（单位）服务。</w:t>
      </w:r>
    </w:p>
    <w:p w14:paraId="618CC916">
      <w:pPr>
        <w:widowControl/>
        <w:spacing w:before="100" w:beforeAutospacing="1" w:after="100" w:afterAutospacing="1" w:line="330" w:lineRule="atLeas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（1）</w:t>
      </w:r>
      <w:r>
        <w:rPr>
          <w:rFonts w:hint="eastAsia" w:ascii="仿宋" w:hAnsi="仿宋" w:eastAsia="仿宋" w:cs="宋体"/>
          <w:color w:val="auto"/>
          <w:kern w:val="0"/>
          <w:sz w:val="24"/>
          <w:shd w:val="clear" w:color="auto" w:fill="FFFFFF"/>
        </w:rPr>
        <w:t>《政府采购促进中小企业发展管理办法》（财库﹝2020﹞46号）的规定</w:t>
      </w:r>
      <w:r>
        <w:rPr>
          <w:rFonts w:hint="eastAsia" w:ascii="仿宋" w:hAnsi="仿宋" w:eastAsia="仿宋" w:cs="宋体"/>
          <w:color w:val="auto"/>
          <w:kern w:val="0"/>
          <w:sz w:val="24"/>
        </w:rPr>
        <w:t>的划分标准，本企业为</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（请填写：中型、小型、微型）企业。</w:t>
      </w:r>
    </w:p>
    <w:p w14:paraId="4F98351F">
      <w:pPr>
        <w:widowControl/>
        <w:spacing w:before="100" w:beforeAutospacing="1" w:after="100" w:afterAutospacing="1" w:line="330" w:lineRule="atLeast"/>
        <w:ind w:firstLine="420"/>
        <w:jc w:val="left"/>
        <w:rPr>
          <w:rFonts w:ascii="仿宋" w:hAnsi="仿宋" w:eastAsia="仿宋" w:cs="宋体"/>
          <w:color w:val="auto"/>
          <w:kern w:val="0"/>
          <w:sz w:val="24"/>
        </w:rPr>
      </w:pPr>
      <w:r>
        <w:rPr>
          <w:rFonts w:hint="eastAsia" w:ascii="仿宋" w:hAnsi="仿宋" w:eastAsia="仿宋" w:cs="宋体"/>
          <w:color w:val="auto"/>
          <w:kern w:val="0"/>
          <w:sz w:val="24"/>
        </w:rPr>
        <w:t>（2）本企业</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（请填写：是、不是）监狱企业。后附省级以上监狱管理局、戒毒管理局（含新疆生产建设兵团）出具的属于监狱企业的证明文件。</w:t>
      </w:r>
    </w:p>
    <w:p w14:paraId="4869EA28">
      <w:pPr>
        <w:widowControl/>
        <w:spacing w:before="100" w:beforeAutospacing="1" w:after="100" w:afterAutospacing="1" w:line="330" w:lineRule="atLeast"/>
        <w:ind w:firstLine="420"/>
        <w:jc w:val="left"/>
        <w:rPr>
          <w:rFonts w:ascii="仿宋" w:hAnsi="仿宋" w:eastAsia="仿宋" w:cs="宋体"/>
          <w:color w:val="auto"/>
          <w:kern w:val="0"/>
          <w:sz w:val="24"/>
        </w:rPr>
      </w:pPr>
      <w:r>
        <w:rPr>
          <w:rFonts w:hint="eastAsia" w:ascii="仿宋" w:hAnsi="仿宋" w:eastAsia="仿宋" w:cs="宋体"/>
          <w:color w:val="auto"/>
          <w:kern w:val="0"/>
          <w:sz w:val="24"/>
        </w:rPr>
        <w:t>（3）根据《关于促进残疾人就业政府采购政策的通知》（财库〔2017〕141号）。本单位</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（请填写：是、不是）残疾人福利性单位。</w:t>
      </w:r>
    </w:p>
    <w:p w14:paraId="72B3BED2">
      <w:pPr>
        <w:widowControl/>
        <w:spacing w:before="100" w:beforeAutospacing="1" w:after="100" w:afterAutospacing="1" w:line="330" w:lineRule="atLeast"/>
        <w:ind w:firstLine="420"/>
        <w:jc w:val="left"/>
        <w:rPr>
          <w:rFonts w:ascii="仿宋" w:hAnsi="仿宋" w:eastAsia="仿宋" w:cs="宋体"/>
          <w:color w:val="auto"/>
          <w:kern w:val="0"/>
          <w:sz w:val="24"/>
        </w:rPr>
      </w:pPr>
      <w:r>
        <w:rPr>
          <w:rFonts w:hint="eastAsia" w:ascii="仿宋" w:hAnsi="仿宋" w:eastAsia="仿宋" w:cs="宋体"/>
          <w:color w:val="auto"/>
          <w:kern w:val="0"/>
          <w:sz w:val="24"/>
        </w:rPr>
        <w:t>2、□本企业（单位）为联合体一方，提供本企业（单位）服务，由本企业（单位）提供服务。本企业（单位）提供协议合同金额占到共同投标协议合同总金额的比例为</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w:t>
      </w:r>
    </w:p>
    <w:p w14:paraId="2C5052D4">
      <w:pPr>
        <w:widowControl/>
        <w:spacing w:before="100" w:beforeAutospacing="1" w:after="100" w:afterAutospacing="1" w:line="330" w:lineRule="atLeast"/>
        <w:jc w:val="left"/>
        <w:rPr>
          <w:rFonts w:ascii="仿宋" w:hAnsi="仿宋" w:eastAsia="仿宋" w:cs="宋体"/>
          <w:color w:val="auto"/>
          <w:kern w:val="0"/>
          <w:sz w:val="24"/>
        </w:rPr>
      </w:pPr>
      <w:r>
        <w:rPr>
          <w:rFonts w:hint="eastAsia" w:ascii="仿宋" w:hAnsi="仿宋" w:eastAsia="仿宋" w:cs="宋体"/>
          <w:color w:val="auto"/>
          <w:kern w:val="0"/>
          <w:sz w:val="24"/>
        </w:rPr>
        <w:t>　　本企业（单位）对上述声明的真实性负责。如有虚假，将依法承担相应责任。</w:t>
      </w:r>
    </w:p>
    <w:p w14:paraId="68CAAE81">
      <w:pPr>
        <w:widowControl/>
        <w:spacing w:before="100" w:beforeAutospacing="1" w:after="100" w:afterAutospacing="1" w:line="330" w:lineRule="atLeast"/>
        <w:jc w:val="left"/>
        <w:rPr>
          <w:rFonts w:ascii="仿宋" w:hAnsi="仿宋" w:eastAsia="仿宋" w:cs="宋体"/>
          <w:color w:val="auto"/>
          <w:kern w:val="0"/>
          <w:sz w:val="24"/>
        </w:rPr>
      </w:pPr>
      <w:r>
        <w:rPr>
          <w:rFonts w:hint="eastAsia" w:ascii="仿宋" w:hAnsi="仿宋" w:eastAsia="仿宋" w:cs="宋体"/>
          <w:color w:val="auto"/>
          <w:kern w:val="0"/>
          <w:sz w:val="24"/>
        </w:rPr>
        <w:t>　　</w:t>
      </w:r>
    </w:p>
    <w:p w14:paraId="48CAF0DF">
      <w:pPr>
        <w:widowControl/>
        <w:spacing w:before="100" w:beforeAutospacing="1" w:after="100" w:afterAutospacing="1" w:line="330" w:lineRule="atLeast"/>
        <w:jc w:val="left"/>
        <w:rPr>
          <w:rFonts w:ascii="仿宋" w:hAnsi="仿宋" w:eastAsia="仿宋" w:cs="宋体"/>
          <w:b/>
          <w:color w:val="auto"/>
          <w:kern w:val="0"/>
          <w:sz w:val="24"/>
        </w:rPr>
      </w:pPr>
    </w:p>
    <w:p w14:paraId="23CDB23A">
      <w:pPr>
        <w:widowControl/>
        <w:spacing w:before="100" w:beforeAutospacing="1" w:after="100" w:afterAutospacing="1" w:line="330" w:lineRule="atLeast"/>
        <w:jc w:val="left"/>
        <w:rPr>
          <w:rFonts w:ascii="仿宋" w:hAnsi="仿宋" w:eastAsia="仿宋" w:cs="宋体"/>
          <w:b/>
          <w:color w:val="auto"/>
          <w:kern w:val="0"/>
          <w:sz w:val="24"/>
        </w:rPr>
      </w:pPr>
    </w:p>
    <w:p w14:paraId="7385D365">
      <w:pPr>
        <w:pStyle w:val="2"/>
        <w:rPr>
          <w:rFonts w:ascii="仿宋" w:hAnsi="仿宋" w:eastAsia="仿宋" w:cs="宋体"/>
          <w:b/>
          <w:color w:val="auto"/>
          <w:kern w:val="0"/>
          <w:sz w:val="24"/>
        </w:rPr>
      </w:pPr>
    </w:p>
    <w:p w14:paraId="54CB5FD9">
      <w:pPr>
        <w:pStyle w:val="10"/>
        <w:rPr>
          <w:rFonts w:ascii="仿宋" w:hAnsi="仿宋" w:eastAsia="仿宋"/>
          <w:b/>
          <w:color w:val="auto"/>
        </w:rPr>
      </w:pPr>
    </w:p>
    <w:p w14:paraId="2C8D3DAF">
      <w:pPr>
        <w:spacing w:line="240" w:lineRule="atLeast"/>
        <w:ind w:left="1079" w:leftChars="257" w:hanging="540"/>
        <w:jc w:val="center"/>
        <w:rPr>
          <w:rFonts w:ascii="仿宋" w:hAnsi="仿宋" w:eastAsia="仿宋" w:cs="宋体"/>
          <w:b/>
          <w:color w:val="auto"/>
          <w:kern w:val="0"/>
          <w:sz w:val="24"/>
          <w:szCs w:val="20"/>
        </w:rPr>
      </w:pPr>
      <w:r>
        <w:rPr>
          <w:rFonts w:hint="eastAsia" w:ascii="仿宋" w:hAnsi="仿宋" w:eastAsia="仿宋" w:cs="宋体"/>
          <w:b/>
          <w:color w:val="auto"/>
          <w:kern w:val="0"/>
          <w:sz w:val="24"/>
          <w:szCs w:val="20"/>
        </w:rPr>
        <w:t>　</w:t>
      </w:r>
    </w:p>
    <w:p w14:paraId="767D656A">
      <w:pPr>
        <w:widowControl/>
        <w:spacing w:before="100" w:beforeAutospacing="1" w:after="100" w:afterAutospacing="1" w:line="330" w:lineRule="atLeast"/>
        <w:ind w:firstLine="3960" w:firstLineChars="1650"/>
        <w:jc w:val="left"/>
        <w:rPr>
          <w:rFonts w:ascii="仿宋" w:hAnsi="仿宋" w:eastAsia="仿宋" w:cs="宋体"/>
          <w:color w:val="auto"/>
          <w:kern w:val="0"/>
          <w:sz w:val="24"/>
        </w:rPr>
      </w:pPr>
      <w:r>
        <w:rPr>
          <w:rFonts w:hint="eastAsia" w:ascii="仿宋" w:hAnsi="仿宋" w:eastAsia="仿宋" w:cs="宋体"/>
          <w:color w:val="auto"/>
          <w:kern w:val="0"/>
          <w:sz w:val="24"/>
        </w:rPr>
        <w:t>投标人名称（盖单位章）：</w:t>
      </w:r>
      <w:r>
        <w:rPr>
          <w:rFonts w:hint="eastAsia" w:ascii="仿宋" w:hAnsi="仿宋" w:eastAsia="仿宋" w:cs="宋体"/>
          <w:color w:val="auto"/>
          <w:kern w:val="0"/>
          <w:sz w:val="24"/>
          <w:u w:val="single"/>
        </w:rPr>
        <w:t xml:space="preserve">             </w:t>
      </w:r>
    </w:p>
    <w:p w14:paraId="1033AB88">
      <w:pPr>
        <w:widowControl/>
        <w:spacing w:before="100" w:beforeAutospacing="1" w:after="100" w:afterAutospacing="1" w:line="330" w:lineRule="atLeast"/>
        <w:ind w:firstLine="3720" w:firstLineChars="1550"/>
        <w:jc w:val="left"/>
        <w:rPr>
          <w:rFonts w:ascii="仿宋" w:hAnsi="仿宋" w:eastAsia="仿宋" w:cs="宋体"/>
          <w:color w:val="auto"/>
          <w:kern w:val="0"/>
          <w:sz w:val="24"/>
          <w:u w:val="single"/>
        </w:rPr>
      </w:pPr>
      <w:r>
        <w:rPr>
          <w:rFonts w:hint="eastAsia" w:ascii="仿宋" w:hAnsi="仿宋" w:eastAsia="仿宋" w:cs="宋体"/>
          <w:color w:val="auto"/>
          <w:kern w:val="0"/>
          <w:sz w:val="24"/>
        </w:rPr>
        <w:t>　日　                期：</w:t>
      </w:r>
      <w:r>
        <w:rPr>
          <w:rFonts w:hint="eastAsia" w:ascii="仿宋" w:hAnsi="仿宋" w:eastAsia="仿宋" w:cs="宋体"/>
          <w:color w:val="auto"/>
          <w:kern w:val="0"/>
          <w:sz w:val="24"/>
          <w:u w:val="single"/>
        </w:rPr>
        <w:t xml:space="preserve">             </w:t>
      </w:r>
    </w:p>
    <w:p w14:paraId="05A2092E">
      <w:pPr>
        <w:widowControl/>
        <w:spacing w:before="100" w:beforeAutospacing="1" w:after="100" w:afterAutospacing="1" w:line="330" w:lineRule="atLeast"/>
        <w:jc w:val="left"/>
        <w:rPr>
          <w:color w:val="auto"/>
        </w:rPr>
      </w:pPr>
    </w:p>
    <w:p w14:paraId="17E2F0A3">
      <w:pPr>
        <w:rPr>
          <w:color w:val="auto"/>
        </w:rPr>
      </w:pPr>
    </w:p>
    <w:p w14:paraId="379F38D9">
      <w:pPr>
        <w:pStyle w:val="2"/>
        <w:rPr>
          <w:color w:val="auto"/>
        </w:rPr>
      </w:pPr>
    </w:p>
    <w:p w14:paraId="33BB4BCB">
      <w:pPr>
        <w:pStyle w:val="2"/>
        <w:rPr>
          <w:color w:val="auto"/>
        </w:rPr>
      </w:pPr>
    </w:p>
    <w:p w14:paraId="7082F5B1">
      <w:pPr>
        <w:pStyle w:val="2"/>
        <w:rPr>
          <w:color w:val="auto"/>
        </w:rPr>
      </w:pPr>
    </w:p>
    <w:p w14:paraId="6F49AA76">
      <w:pPr>
        <w:pStyle w:val="2"/>
        <w:rPr>
          <w:color w:val="auto"/>
        </w:rPr>
      </w:pPr>
    </w:p>
    <w:p w14:paraId="3C81880D">
      <w:pPr>
        <w:pStyle w:val="2"/>
        <w:rPr>
          <w:color w:val="auto"/>
        </w:rPr>
      </w:pPr>
    </w:p>
    <w:p w14:paraId="5EEFDA65">
      <w:pPr>
        <w:pStyle w:val="15"/>
        <w:spacing w:line="240" w:lineRule="atLeast"/>
        <w:ind w:left="1079" w:leftChars="257" w:hanging="540"/>
        <w:jc w:val="center"/>
        <w:rPr>
          <w:rFonts w:ascii="仿宋" w:hAnsi="仿宋" w:eastAsia="仿宋" w:cs="宋体"/>
          <w:b/>
          <w:bCs/>
          <w:color w:val="auto"/>
          <w:sz w:val="28"/>
          <w:szCs w:val="28"/>
        </w:rPr>
      </w:pPr>
      <w:r>
        <w:rPr>
          <w:rFonts w:hint="eastAsia" w:ascii="仿宋" w:hAnsi="仿宋" w:eastAsia="仿宋" w:cs="宋体"/>
          <w:b/>
          <w:bCs/>
          <w:color w:val="auto"/>
          <w:sz w:val="28"/>
          <w:szCs w:val="28"/>
        </w:rPr>
        <w:t>2-1中小企业声明函（附件五）</w:t>
      </w:r>
    </w:p>
    <w:p w14:paraId="460A9059">
      <w:pPr>
        <w:widowControl/>
        <w:spacing w:before="100" w:beforeAutospacing="1" w:after="100" w:afterAutospacing="1" w:line="348" w:lineRule="atLeast"/>
        <w:ind w:firstLine="676" w:firstLineChars="282"/>
        <w:jc w:val="left"/>
        <w:rPr>
          <w:rFonts w:ascii="仿宋" w:hAnsi="仿宋" w:eastAsia="仿宋" w:cs="宋体"/>
          <w:color w:val="auto"/>
          <w:sz w:val="24"/>
        </w:rPr>
      </w:pPr>
      <w:r>
        <w:rPr>
          <w:rFonts w:hint="eastAsia" w:ascii="仿宋" w:hAnsi="仿宋" w:eastAsia="仿宋" w:cs="宋体"/>
          <w:color w:val="auto"/>
          <w:kern w:val="0"/>
          <w:sz w:val="24"/>
          <w:shd w:val="clear" w:color="auto" w:fill="FFFFFF"/>
        </w:rPr>
        <w:t>本公司（联合体）郑重声明，根据《政府采购促进中小企业发展管理办法》（财库﹝2020﹞46</w:t>
      </w:r>
      <w:r>
        <w:rPr>
          <w:rFonts w:hint="eastAsia" w:ascii="宋体" w:hAnsi="宋体" w:cs="宋体"/>
          <w:color w:val="auto"/>
          <w:kern w:val="0"/>
          <w:sz w:val="24"/>
          <w:shd w:val="clear" w:color="auto" w:fill="FFFFFF"/>
        </w:rPr>
        <w:t> </w:t>
      </w:r>
      <w:r>
        <w:rPr>
          <w:rFonts w:hint="eastAsia" w:ascii="仿宋" w:hAnsi="仿宋" w:eastAsia="仿宋" w:cs="宋体"/>
          <w:color w:val="auto"/>
          <w:kern w:val="0"/>
          <w:sz w:val="24"/>
          <w:shd w:val="clear" w:color="auto" w:fill="FFFFFF"/>
        </w:rPr>
        <w:t>号）的规定，本公司（联合体）参加</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（单位名称）</w:t>
      </w:r>
      <w:r>
        <w:rPr>
          <w:rFonts w:hint="eastAsia" w:ascii="仿宋" w:hAnsi="仿宋" w:eastAsia="仿宋" w:cs="宋体"/>
          <w:color w:val="auto"/>
          <w:kern w:val="0"/>
          <w:sz w:val="24"/>
          <w:shd w:val="clear" w:color="auto" w:fill="FFFFFF"/>
        </w:rPr>
        <w:t>的</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 xml:space="preserve">（项目名称）  </w:t>
      </w:r>
      <w:r>
        <w:rPr>
          <w:rFonts w:hint="eastAsia" w:ascii="仿宋" w:hAnsi="仿宋" w:eastAsia="仿宋" w:cs="宋体"/>
          <w:color w:val="auto"/>
          <w:kern w:val="0"/>
          <w:sz w:val="24"/>
          <w:shd w:val="clear" w:color="auto" w:fill="FFFFFF"/>
        </w:rPr>
        <w:t>采购活动，服务全部由符合政策要求的中小企业承接。相关企业（含联合体中的中小企业、签订分包意向协议的中小企业）的具体情况如下：</w:t>
      </w:r>
    </w:p>
    <w:p w14:paraId="563E3A36">
      <w:pPr>
        <w:widowControl/>
        <w:spacing w:before="100" w:beforeAutospacing="1" w:after="100" w:afterAutospacing="1" w:line="348" w:lineRule="atLeast"/>
        <w:ind w:firstLine="384"/>
        <w:jc w:val="left"/>
        <w:rPr>
          <w:rFonts w:ascii="仿宋" w:hAnsi="仿宋" w:eastAsia="仿宋" w:cs="宋体"/>
          <w:color w:val="auto"/>
          <w:sz w:val="24"/>
        </w:rPr>
      </w:pPr>
      <w:r>
        <w:rPr>
          <w:rFonts w:hint="eastAsia" w:ascii="仿宋" w:hAnsi="仿宋" w:eastAsia="仿宋" w:cs="宋体"/>
          <w:color w:val="auto"/>
          <w:kern w:val="0"/>
          <w:sz w:val="24"/>
          <w:shd w:val="clear" w:color="auto" w:fill="FFFFFF"/>
        </w:rPr>
        <w:t>1.</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（标的名称）</w:t>
      </w:r>
      <w:r>
        <w:rPr>
          <w:rFonts w:hint="eastAsia" w:ascii="仿宋" w:hAnsi="仿宋" w:eastAsia="仿宋" w:cs="宋体"/>
          <w:color w:val="auto"/>
          <w:kern w:val="0"/>
          <w:sz w:val="24"/>
          <w:shd w:val="clear" w:color="auto" w:fill="FFFFFF"/>
        </w:rPr>
        <w:t>，属于</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（采购文件中明确的所属行业）</w:t>
      </w:r>
      <w:r>
        <w:rPr>
          <w:rFonts w:hint="eastAsia" w:ascii="仿宋" w:hAnsi="仿宋" w:eastAsia="仿宋" w:cs="宋体"/>
          <w:color w:val="auto"/>
          <w:kern w:val="0"/>
          <w:sz w:val="24"/>
          <w:shd w:val="clear" w:color="auto" w:fill="FFFFFF"/>
        </w:rPr>
        <w:t>行业；承接企业为</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（企业名称）</w:t>
      </w:r>
      <w:r>
        <w:rPr>
          <w:rFonts w:hint="eastAsia" w:ascii="仿宋" w:hAnsi="仿宋" w:eastAsia="仿宋" w:cs="宋体"/>
          <w:color w:val="auto"/>
          <w:kern w:val="0"/>
          <w:sz w:val="24"/>
          <w:shd w:val="clear" w:color="auto" w:fill="FFFFFF"/>
        </w:rPr>
        <w:t>，从业人员</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shd w:val="clear" w:color="auto" w:fill="FFFFFF"/>
        </w:rPr>
        <w:t>人，营业收入为</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shd w:val="clear" w:color="auto" w:fill="FFFFFF"/>
        </w:rPr>
        <w:t>万元，资产总额为</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shd w:val="clear" w:color="auto" w:fill="FFFFFF"/>
        </w:rPr>
        <w:t>万元，属于</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（中型企业、小型企业、微型企业）</w:t>
      </w:r>
      <w:r>
        <w:rPr>
          <w:rFonts w:hint="eastAsia" w:ascii="仿宋" w:hAnsi="仿宋" w:eastAsia="仿宋" w:cs="宋体"/>
          <w:color w:val="auto"/>
          <w:kern w:val="0"/>
          <w:sz w:val="24"/>
          <w:shd w:val="clear" w:color="auto" w:fill="FFFFFF"/>
        </w:rPr>
        <w:t>；</w:t>
      </w:r>
    </w:p>
    <w:p w14:paraId="5104534B">
      <w:pPr>
        <w:widowControl/>
        <w:spacing w:before="100" w:beforeAutospacing="1" w:after="100" w:afterAutospacing="1" w:line="348" w:lineRule="atLeast"/>
        <w:ind w:firstLine="384"/>
        <w:jc w:val="left"/>
        <w:rPr>
          <w:rFonts w:ascii="仿宋" w:hAnsi="仿宋" w:eastAsia="仿宋" w:cs="宋体"/>
          <w:color w:val="auto"/>
          <w:sz w:val="24"/>
        </w:rPr>
      </w:pPr>
      <w:r>
        <w:rPr>
          <w:rFonts w:hint="eastAsia" w:ascii="仿宋" w:hAnsi="仿宋" w:eastAsia="仿宋" w:cs="宋体"/>
          <w:color w:val="auto"/>
          <w:kern w:val="0"/>
          <w:sz w:val="24"/>
          <w:shd w:val="clear" w:color="auto" w:fill="FFFFFF"/>
        </w:rPr>
        <w:t>2.</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（标的名称）</w:t>
      </w:r>
      <w:r>
        <w:rPr>
          <w:rFonts w:hint="eastAsia" w:ascii="仿宋" w:hAnsi="仿宋" w:eastAsia="仿宋" w:cs="宋体"/>
          <w:color w:val="auto"/>
          <w:kern w:val="0"/>
          <w:sz w:val="24"/>
          <w:shd w:val="clear" w:color="auto" w:fill="FFFFFF"/>
        </w:rPr>
        <w:t>，属于</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（采购文件中明确的所属行业）</w:t>
      </w:r>
      <w:r>
        <w:rPr>
          <w:rFonts w:hint="eastAsia" w:ascii="仿宋" w:hAnsi="仿宋" w:eastAsia="仿宋" w:cs="宋体"/>
          <w:color w:val="auto"/>
          <w:kern w:val="0"/>
          <w:sz w:val="24"/>
          <w:shd w:val="clear" w:color="auto" w:fill="FFFFFF"/>
        </w:rPr>
        <w:t>行业；承接企业为</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（企业名称）</w:t>
      </w:r>
      <w:r>
        <w:rPr>
          <w:rFonts w:hint="eastAsia" w:ascii="仿宋" w:hAnsi="仿宋" w:eastAsia="仿宋" w:cs="宋体"/>
          <w:color w:val="auto"/>
          <w:kern w:val="0"/>
          <w:sz w:val="24"/>
          <w:shd w:val="clear" w:color="auto" w:fill="FFFFFF"/>
        </w:rPr>
        <w:t>，从业人员</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shd w:val="clear" w:color="auto" w:fill="FFFFFF"/>
        </w:rPr>
        <w:t>人，营业收入为</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shd w:val="clear" w:color="auto" w:fill="FFFFFF"/>
        </w:rPr>
        <w:t>万元，资产总额为</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shd w:val="clear" w:color="auto" w:fill="FFFFFF"/>
        </w:rPr>
        <w:t>万元，属于</w:t>
      </w:r>
      <w:r>
        <w:rPr>
          <w:rFonts w:hint="eastAsia" w:ascii="宋体" w:hAnsi="宋体" w:cs="宋体"/>
          <w:color w:val="auto"/>
          <w:kern w:val="0"/>
          <w:sz w:val="24"/>
          <w:u w:val="single"/>
          <w:shd w:val="clear" w:color="auto" w:fill="FFFFFF"/>
        </w:rPr>
        <w:t>     </w:t>
      </w:r>
      <w:r>
        <w:rPr>
          <w:rFonts w:hint="eastAsia" w:ascii="仿宋" w:hAnsi="仿宋" w:eastAsia="仿宋" w:cs="宋体"/>
          <w:color w:val="auto"/>
          <w:kern w:val="0"/>
          <w:sz w:val="24"/>
          <w:u w:val="single"/>
          <w:shd w:val="clear" w:color="auto" w:fill="FFFFFF"/>
        </w:rPr>
        <w:t>（中型企业、小型企业、微型企业）</w:t>
      </w:r>
      <w:r>
        <w:rPr>
          <w:rFonts w:hint="eastAsia" w:ascii="仿宋" w:hAnsi="仿宋" w:eastAsia="仿宋" w:cs="宋体"/>
          <w:color w:val="auto"/>
          <w:kern w:val="0"/>
          <w:sz w:val="24"/>
          <w:shd w:val="clear" w:color="auto" w:fill="FFFFFF"/>
        </w:rPr>
        <w:t>；</w:t>
      </w:r>
    </w:p>
    <w:p w14:paraId="632286CF">
      <w:pPr>
        <w:widowControl/>
        <w:spacing w:before="100" w:beforeAutospacing="1" w:after="100" w:afterAutospacing="1" w:line="348" w:lineRule="atLeast"/>
        <w:ind w:firstLine="384"/>
        <w:jc w:val="left"/>
        <w:rPr>
          <w:rFonts w:ascii="仿宋" w:hAnsi="仿宋" w:eastAsia="仿宋" w:cs="宋体"/>
          <w:color w:val="auto"/>
          <w:sz w:val="24"/>
        </w:rPr>
      </w:pPr>
      <w:r>
        <w:rPr>
          <w:rFonts w:hint="eastAsia" w:ascii="仿宋" w:hAnsi="仿宋" w:eastAsia="仿宋" w:cs="宋体"/>
          <w:color w:val="auto"/>
          <w:kern w:val="0"/>
          <w:sz w:val="24"/>
          <w:shd w:val="clear" w:color="auto" w:fill="FFFFFF"/>
        </w:rPr>
        <w:t>……</w:t>
      </w:r>
    </w:p>
    <w:p w14:paraId="4E2D0437">
      <w:pPr>
        <w:widowControl/>
        <w:spacing w:before="100" w:beforeAutospacing="1" w:after="100" w:afterAutospacing="1" w:line="348" w:lineRule="atLeast"/>
        <w:ind w:firstLine="384"/>
        <w:jc w:val="left"/>
        <w:rPr>
          <w:rFonts w:ascii="仿宋" w:hAnsi="仿宋" w:eastAsia="仿宋" w:cs="宋体"/>
          <w:color w:val="auto"/>
          <w:sz w:val="24"/>
        </w:rPr>
      </w:pPr>
      <w:r>
        <w:rPr>
          <w:rFonts w:hint="eastAsia" w:ascii="仿宋" w:hAnsi="仿宋" w:eastAsia="仿宋" w:cs="宋体"/>
          <w:color w:val="auto"/>
          <w:kern w:val="0"/>
          <w:sz w:val="24"/>
          <w:shd w:val="clear" w:color="auto" w:fill="FFFFFF"/>
        </w:rPr>
        <w:t>以上企业，不属于大企业的分支机构，不存在控股股东为大企业的情形，也不存在与大企业的负责人为同一人的情形。</w:t>
      </w:r>
    </w:p>
    <w:p w14:paraId="36466DAC">
      <w:pPr>
        <w:widowControl/>
        <w:spacing w:before="100" w:beforeAutospacing="1" w:after="100" w:afterAutospacing="1" w:line="348" w:lineRule="atLeast"/>
        <w:ind w:firstLine="384"/>
        <w:jc w:val="left"/>
        <w:rPr>
          <w:rFonts w:ascii="仿宋" w:hAnsi="仿宋" w:eastAsia="仿宋" w:cs="宋体"/>
          <w:color w:val="auto"/>
          <w:sz w:val="24"/>
        </w:rPr>
      </w:pPr>
      <w:r>
        <w:rPr>
          <w:rFonts w:hint="eastAsia" w:ascii="仿宋" w:hAnsi="仿宋" w:eastAsia="仿宋" w:cs="宋体"/>
          <w:color w:val="auto"/>
          <w:kern w:val="0"/>
          <w:sz w:val="24"/>
          <w:shd w:val="clear" w:color="auto" w:fill="FFFFFF"/>
        </w:rPr>
        <w:t>本企业对上述声明内容的真实性负责。如有虚假，将依法承担相应责任。</w:t>
      </w:r>
    </w:p>
    <w:p w14:paraId="1EE189CE">
      <w:pPr>
        <w:widowControl/>
        <w:spacing w:before="100" w:beforeAutospacing="1" w:after="100" w:afterAutospacing="1" w:line="348" w:lineRule="atLeast"/>
        <w:ind w:firstLine="384"/>
        <w:jc w:val="left"/>
        <w:rPr>
          <w:rFonts w:ascii="仿宋" w:hAnsi="仿宋" w:eastAsia="仿宋" w:cs="宋体"/>
          <w:color w:val="auto"/>
          <w:sz w:val="24"/>
        </w:rPr>
      </w:pPr>
      <w:r>
        <w:rPr>
          <w:rFonts w:hint="eastAsia" w:ascii="宋体" w:hAnsi="宋体" w:cs="宋体"/>
          <w:color w:val="auto"/>
          <w:kern w:val="0"/>
          <w:sz w:val="24"/>
          <w:shd w:val="clear" w:color="auto" w:fill="FFFFFF"/>
        </w:rPr>
        <w:t>  </w:t>
      </w:r>
    </w:p>
    <w:p w14:paraId="30D28114">
      <w:pPr>
        <w:widowControl/>
        <w:spacing w:before="100" w:beforeAutospacing="1" w:after="100" w:afterAutospacing="1" w:line="348" w:lineRule="atLeast"/>
        <w:ind w:firstLine="4224"/>
        <w:jc w:val="left"/>
        <w:rPr>
          <w:rFonts w:ascii="仿宋" w:hAnsi="仿宋" w:eastAsia="仿宋" w:cs="宋体"/>
          <w:color w:val="auto"/>
          <w:sz w:val="24"/>
          <w:u w:val="single"/>
        </w:rPr>
      </w:pPr>
      <w:r>
        <w:rPr>
          <w:rFonts w:hint="eastAsia" w:ascii="仿宋" w:hAnsi="仿宋" w:eastAsia="仿宋" w:cs="宋体"/>
          <w:color w:val="auto"/>
          <w:kern w:val="0"/>
          <w:sz w:val="24"/>
          <w:shd w:val="clear" w:color="auto" w:fill="FFFFFF"/>
        </w:rPr>
        <w:t>企业名称（盖章）：</w:t>
      </w:r>
      <w:r>
        <w:rPr>
          <w:rFonts w:hint="eastAsia" w:ascii="仿宋" w:hAnsi="仿宋" w:eastAsia="仿宋" w:cs="宋体"/>
          <w:color w:val="auto"/>
          <w:kern w:val="0"/>
          <w:sz w:val="24"/>
          <w:u w:val="single"/>
          <w:shd w:val="clear" w:color="auto" w:fill="FFFFFF"/>
        </w:rPr>
        <w:t xml:space="preserve">              </w:t>
      </w:r>
    </w:p>
    <w:p w14:paraId="4DCFCCC5">
      <w:pPr>
        <w:jc w:val="center"/>
        <w:rPr>
          <w:rFonts w:ascii="仿宋" w:hAnsi="仿宋" w:eastAsia="仿宋" w:cs="宋体"/>
          <w:color w:val="auto"/>
          <w:kern w:val="0"/>
          <w:sz w:val="24"/>
          <w:shd w:val="clear" w:color="auto" w:fill="FFFFFF"/>
        </w:rPr>
      </w:pPr>
      <w:r>
        <w:rPr>
          <w:rFonts w:hint="eastAsia" w:ascii="仿宋" w:hAnsi="仿宋" w:eastAsia="仿宋" w:cs="宋体"/>
          <w:color w:val="auto"/>
          <w:kern w:val="0"/>
          <w:sz w:val="24"/>
          <w:shd w:val="clear" w:color="auto" w:fill="FFFFFF"/>
        </w:rPr>
        <w:t xml:space="preserve">                             日 期：年   月   日</w:t>
      </w:r>
    </w:p>
    <w:p w14:paraId="473B1775">
      <w:pPr>
        <w:widowControl/>
        <w:spacing w:before="100" w:beforeAutospacing="1" w:after="100" w:afterAutospacing="1" w:line="348" w:lineRule="atLeast"/>
        <w:ind w:firstLine="384"/>
        <w:jc w:val="left"/>
        <w:rPr>
          <w:rFonts w:ascii="仿宋" w:hAnsi="仿宋" w:eastAsia="仿宋" w:cs="宋体"/>
          <w:color w:val="auto"/>
          <w:sz w:val="24"/>
        </w:rPr>
      </w:pPr>
    </w:p>
    <w:p w14:paraId="1AB628D8">
      <w:pPr>
        <w:widowControl/>
        <w:spacing w:before="100" w:beforeAutospacing="1" w:after="100" w:afterAutospacing="1" w:line="348" w:lineRule="atLeast"/>
        <w:ind w:firstLine="384"/>
        <w:jc w:val="left"/>
        <w:rPr>
          <w:rFonts w:ascii="仿宋" w:hAnsi="仿宋" w:eastAsia="仿宋" w:cs="宋体"/>
          <w:color w:val="auto"/>
          <w:sz w:val="24"/>
        </w:rPr>
      </w:pPr>
    </w:p>
    <w:p w14:paraId="54AB8E8A">
      <w:pPr>
        <w:widowControl/>
        <w:spacing w:before="100" w:beforeAutospacing="1" w:after="100" w:afterAutospacing="1" w:line="348" w:lineRule="atLeast"/>
        <w:ind w:firstLine="384"/>
        <w:jc w:val="left"/>
        <w:rPr>
          <w:rFonts w:ascii="仿宋" w:hAnsi="仿宋" w:eastAsia="仿宋" w:cs="宋体"/>
          <w:color w:val="auto"/>
          <w:sz w:val="24"/>
        </w:rPr>
      </w:pPr>
    </w:p>
    <w:p w14:paraId="0DD486CE">
      <w:pPr>
        <w:rPr>
          <w:rFonts w:ascii="仿宋" w:hAnsi="仿宋" w:eastAsia="仿宋" w:cs="宋体"/>
          <w:b/>
          <w:bCs/>
          <w:color w:val="auto"/>
          <w:kern w:val="0"/>
          <w:sz w:val="32"/>
          <w:szCs w:val="32"/>
        </w:rPr>
      </w:pPr>
      <w:r>
        <w:rPr>
          <w:rFonts w:hint="eastAsia" w:ascii="仿宋" w:hAnsi="仿宋" w:eastAsia="仿宋" w:cs="微软雅黑"/>
          <w:b/>
          <w:bCs/>
          <w:color w:val="auto"/>
          <w:kern w:val="0"/>
          <w:sz w:val="32"/>
          <w:szCs w:val="32"/>
        </w:rPr>
        <w:t>本项目所属行业为</w:t>
      </w:r>
      <w:r>
        <w:rPr>
          <w:rFonts w:hint="eastAsia" w:ascii="仿宋" w:hAnsi="仿宋" w:eastAsia="仿宋" w:cs="微软雅黑"/>
          <w:b/>
          <w:bCs/>
          <w:color w:val="auto"/>
          <w:kern w:val="0"/>
          <w:sz w:val="32"/>
          <w:szCs w:val="32"/>
        </w:rPr>
        <w:t>其他未列明行业。</w:t>
      </w:r>
    </w:p>
    <w:p w14:paraId="5E443271">
      <w:pPr>
        <w:rPr>
          <w:rFonts w:ascii="仿宋" w:hAnsi="仿宋" w:eastAsia="仿宋" w:cs="宋体"/>
          <w:b/>
          <w:bCs/>
          <w:color w:val="auto"/>
          <w:sz w:val="24"/>
        </w:rPr>
      </w:pPr>
      <w:r>
        <w:rPr>
          <w:rFonts w:hint="eastAsia" w:ascii="仿宋" w:hAnsi="仿宋" w:eastAsia="仿宋" w:cs="宋体"/>
          <w:b/>
          <w:bCs/>
          <w:color w:val="auto"/>
          <w:sz w:val="24"/>
        </w:rPr>
        <w:t>注：潜在投标企业属于中小微企业的，请在投标文件中提供“投标人企业（单位）类型声明函”，如果未提供或提供虚假的“中小企业声明函”，投标企业将承担由此造成的一切不利后果。</w:t>
      </w:r>
    </w:p>
    <w:p w14:paraId="7A2F77C8">
      <w:pPr>
        <w:ind w:firstLine="482"/>
        <w:jc w:val="left"/>
        <w:rPr>
          <w:rFonts w:ascii="仿宋" w:hAnsi="仿宋" w:eastAsia="仿宋" w:cs="宋体"/>
          <w:b/>
          <w:bCs/>
          <w:color w:val="auto"/>
          <w:kern w:val="0"/>
          <w:sz w:val="24"/>
        </w:rPr>
      </w:pPr>
      <w:r>
        <w:rPr>
          <w:rFonts w:hint="eastAsia" w:ascii="仿宋" w:hAnsi="仿宋" w:eastAsia="仿宋" w:cs="宋体"/>
          <w:b/>
          <w:bCs/>
          <w:color w:val="auto"/>
          <w:kern w:val="0"/>
          <w:sz w:val="24"/>
        </w:rPr>
        <w:t>附：</w:t>
      </w:r>
    </w:p>
    <w:p w14:paraId="6904EBCA">
      <w:pPr>
        <w:jc w:val="center"/>
        <w:rPr>
          <w:rFonts w:ascii="仿宋" w:hAnsi="仿宋" w:eastAsia="仿宋" w:cs="仿宋"/>
          <w:b/>
          <w:bCs/>
          <w:color w:val="auto"/>
          <w:kern w:val="0"/>
          <w:sz w:val="24"/>
        </w:rPr>
      </w:pPr>
      <w:r>
        <w:rPr>
          <w:rFonts w:hint="eastAsia" w:ascii="仿宋" w:hAnsi="仿宋" w:eastAsia="仿宋" w:cs="仿宋"/>
          <w:b/>
          <w:bCs/>
          <w:color w:val="auto"/>
          <w:kern w:val="0"/>
          <w:sz w:val="24"/>
        </w:rPr>
        <w:t>中小微企业划型标准</w:t>
      </w:r>
    </w:p>
    <w:tbl>
      <w:tblPr>
        <w:tblStyle w:val="36"/>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7DF2E2F1">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43741653">
            <w:pPr>
              <w:widowControl/>
              <w:snapToGrid w:val="0"/>
              <w:contextualSpacing/>
              <w:jc w:val="center"/>
              <w:rPr>
                <w:rFonts w:ascii="仿宋" w:hAnsi="仿宋" w:eastAsia="仿宋" w:cs="仿宋"/>
                <w:b/>
                <w:color w:val="auto"/>
                <w:kern w:val="0"/>
                <w:sz w:val="24"/>
              </w:rPr>
            </w:pPr>
            <w:r>
              <w:rPr>
                <w:rFonts w:hint="eastAsia" w:ascii="仿宋" w:hAnsi="仿宋" w:eastAsia="仿宋" w:cs="仿宋"/>
                <w:b/>
                <w:color w:val="auto"/>
                <w:kern w:val="0"/>
                <w:sz w:val="24"/>
              </w:rPr>
              <w:t>行业名称</w:t>
            </w:r>
          </w:p>
        </w:tc>
        <w:tc>
          <w:tcPr>
            <w:tcW w:w="1660" w:type="dxa"/>
            <w:tcBorders>
              <w:top w:val="single" w:color="auto" w:sz="4" w:space="0"/>
              <w:left w:val="nil"/>
              <w:bottom w:val="single" w:color="auto" w:sz="4" w:space="0"/>
              <w:right w:val="single" w:color="auto" w:sz="4" w:space="0"/>
            </w:tcBorders>
            <w:vAlign w:val="center"/>
          </w:tcPr>
          <w:p w14:paraId="4362A7CF">
            <w:pPr>
              <w:widowControl/>
              <w:snapToGrid w:val="0"/>
              <w:contextualSpacing/>
              <w:jc w:val="center"/>
              <w:rPr>
                <w:rFonts w:ascii="仿宋" w:hAnsi="仿宋" w:eastAsia="仿宋" w:cs="仿宋"/>
                <w:b/>
                <w:color w:val="auto"/>
                <w:kern w:val="0"/>
                <w:sz w:val="24"/>
              </w:rPr>
            </w:pPr>
            <w:r>
              <w:rPr>
                <w:rFonts w:hint="eastAsia" w:ascii="仿宋" w:hAnsi="仿宋" w:eastAsia="仿宋" w:cs="仿宋"/>
                <w:b/>
                <w:color w:val="auto"/>
                <w:kern w:val="0"/>
                <w:sz w:val="24"/>
              </w:rPr>
              <w:t>指标名称</w:t>
            </w:r>
          </w:p>
        </w:tc>
        <w:tc>
          <w:tcPr>
            <w:tcW w:w="1466" w:type="dxa"/>
            <w:tcBorders>
              <w:top w:val="single" w:color="auto" w:sz="4" w:space="0"/>
              <w:left w:val="nil"/>
              <w:bottom w:val="single" w:color="auto" w:sz="4" w:space="0"/>
              <w:right w:val="single" w:color="auto" w:sz="4" w:space="0"/>
            </w:tcBorders>
            <w:vAlign w:val="center"/>
          </w:tcPr>
          <w:p w14:paraId="3417CCFE">
            <w:pPr>
              <w:widowControl/>
              <w:snapToGrid w:val="0"/>
              <w:contextualSpacing/>
              <w:jc w:val="center"/>
              <w:rPr>
                <w:rFonts w:ascii="仿宋" w:hAnsi="仿宋" w:eastAsia="仿宋" w:cs="仿宋"/>
                <w:b/>
                <w:color w:val="auto"/>
                <w:kern w:val="0"/>
                <w:sz w:val="24"/>
              </w:rPr>
            </w:pPr>
            <w:r>
              <w:rPr>
                <w:rFonts w:hint="eastAsia" w:ascii="仿宋" w:hAnsi="仿宋" w:eastAsia="仿宋" w:cs="仿宋"/>
                <w:b/>
                <w:color w:val="auto"/>
                <w:kern w:val="0"/>
                <w:sz w:val="24"/>
              </w:rPr>
              <w:t>计量单位</w:t>
            </w:r>
          </w:p>
        </w:tc>
        <w:tc>
          <w:tcPr>
            <w:tcW w:w="1903" w:type="dxa"/>
            <w:tcBorders>
              <w:top w:val="single" w:color="auto" w:sz="4" w:space="0"/>
              <w:left w:val="nil"/>
              <w:bottom w:val="single" w:color="auto" w:sz="4" w:space="0"/>
              <w:right w:val="single" w:color="auto" w:sz="4" w:space="0"/>
            </w:tcBorders>
            <w:vAlign w:val="center"/>
          </w:tcPr>
          <w:p w14:paraId="3F7805CE">
            <w:pPr>
              <w:widowControl/>
              <w:snapToGrid w:val="0"/>
              <w:contextualSpacing/>
              <w:jc w:val="center"/>
              <w:rPr>
                <w:rFonts w:ascii="仿宋" w:hAnsi="仿宋" w:eastAsia="仿宋" w:cs="仿宋"/>
                <w:b/>
                <w:color w:val="auto"/>
                <w:kern w:val="0"/>
                <w:sz w:val="24"/>
              </w:rPr>
            </w:pPr>
            <w:r>
              <w:rPr>
                <w:rFonts w:hint="eastAsia" w:ascii="仿宋" w:hAnsi="仿宋" w:eastAsia="仿宋" w:cs="仿宋"/>
                <w:b/>
                <w:color w:val="auto"/>
                <w:kern w:val="0"/>
                <w:sz w:val="24"/>
              </w:rPr>
              <w:t>中型</w:t>
            </w:r>
          </w:p>
        </w:tc>
        <w:tc>
          <w:tcPr>
            <w:tcW w:w="1877" w:type="dxa"/>
            <w:tcBorders>
              <w:top w:val="single" w:color="auto" w:sz="4" w:space="0"/>
              <w:left w:val="nil"/>
              <w:bottom w:val="single" w:color="auto" w:sz="4" w:space="0"/>
              <w:right w:val="single" w:color="auto" w:sz="4" w:space="0"/>
            </w:tcBorders>
            <w:vAlign w:val="center"/>
          </w:tcPr>
          <w:p w14:paraId="09AD6D75">
            <w:pPr>
              <w:widowControl/>
              <w:snapToGrid w:val="0"/>
              <w:contextualSpacing/>
              <w:jc w:val="center"/>
              <w:rPr>
                <w:rFonts w:ascii="仿宋" w:hAnsi="仿宋" w:eastAsia="仿宋" w:cs="仿宋"/>
                <w:b/>
                <w:color w:val="auto"/>
                <w:kern w:val="0"/>
                <w:sz w:val="24"/>
              </w:rPr>
            </w:pPr>
            <w:r>
              <w:rPr>
                <w:rFonts w:hint="eastAsia" w:ascii="仿宋" w:hAnsi="仿宋" w:eastAsia="仿宋" w:cs="仿宋"/>
                <w:b/>
                <w:color w:val="auto"/>
                <w:kern w:val="0"/>
                <w:sz w:val="24"/>
              </w:rPr>
              <w:t>小型</w:t>
            </w:r>
          </w:p>
        </w:tc>
        <w:tc>
          <w:tcPr>
            <w:tcW w:w="1134" w:type="dxa"/>
            <w:tcBorders>
              <w:top w:val="single" w:color="auto" w:sz="4" w:space="0"/>
              <w:left w:val="nil"/>
              <w:bottom w:val="single" w:color="auto" w:sz="4" w:space="0"/>
              <w:right w:val="single" w:color="auto" w:sz="4" w:space="0"/>
            </w:tcBorders>
            <w:vAlign w:val="center"/>
          </w:tcPr>
          <w:p w14:paraId="62F0C7D6">
            <w:pPr>
              <w:widowControl/>
              <w:snapToGrid w:val="0"/>
              <w:contextualSpacing/>
              <w:jc w:val="center"/>
              <w:rPr>
                <w:rFonts w:ascii="仿宋" w:hAnsi="仿宋" w:eastAsia="仿宋" w:cs="仿宋"/>
                <w:b/>
                <w:color w:val="auto"/>
                <w:kern w:val="0"/>
                <w:sz w:val="24"/>
              </w:rPr>
            </w:pPr>
            <w:r>
              <w:rPr>
                <w:rFonts w:hint="eastAsia" w:ascii="仿宋" w:hAnsi="仿宋" w:eastAsia="仿宋" w:cs="仿宋"/>
                <w:b/>
                <w:color w:val="auto"/>
                <w:kern w:val="0"/>
                <w:sz w:val="24"/>
              </w:rPr>
              <w:t>微型</w:t>
            </w:r>
          </w:p>
        </w:tc>
      </w:tr>
      <w:tr w14:paraId="5548EE3C">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vAlign w:val="center"/>
          </w:tcPr>
          <w:p w14:paraId="52031F62">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农、林、牧、渔</w:t>
            </w:r>
          </w:p>
        </w:tc>
        <w:tc>
          <w:tcPr>
            <w:tcW w:w="1660" w:type="dxa"/>
            <w:tcBorders>
              <w:top w:val="nil"/>
              <w:left w:val="nil"/>
              <w:bottom w:val="single" w:color="auto" w:sz="4" w:space="0"/>
              <w:right w:val="single" w:color="auto" w:sz="4" w:space="0"/>
            </w:tcBorders>
            <w:vAlign w:val="center"/>
          </w:tcPr>
          <w:p w14:paraId="73FD1CAE">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1909314F">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75C21E0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500≤Y＜20000</w:t>
            </w:r>
          </w:p>
        </w:tc>
        <w:tc>
          <w:tcPr>
            <w:tcW w:w="1877" w:type="dxa"/>
            <w:tcBorders>
              <w:top w:val="nil"/>
              <w:left w:val="nil"/>
              <w:bottom w:val="single" w:color="auto" w:sz="4" w:space="0"/>
              <w:right w:val="single" w:color="auto" w:sz="4" w:space="0"/>
            </w:tcBorders>
            <w:vAlign w:val="center"/>
          </w:tcPr>
          <w:p w14:paraId="196FEEED">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50≤Y＜500</w:t>
            </w:r>
          </w:p>
        </w:tc>
        <w:tc>
          <w:tcPr>
            <w:tcW w:w="1134" w:type="dxa"/>
            <w:tcBorders>
              <w:top w:val="nil"/>
              <w:left w:val="nil"/>
              <w:bottom w:val="single" w:color="auto" w:sz="4" w:space="0"/>
              <w:right w:val="single" w:color="auto" w:sz="4" w:space="0"/>
            </w:tcBorders>
            <w:vAlign w:val="center"/>
          </w:tcPr>
          <w:p w14:paraId="1F2E5DA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Y＜50</w:t>
            </w:r>
          </w:p>
        </w:tc>
      </w:tr>
      <w:tr w14:paraId="2EBFDB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4B8B949">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工业</w:t>
            </w:r>
          </w:p>
        </w:tc>
        <w:tc>
          <w:tcPr>
            <w:tcW w:w="1660" w:type="dxa"/>
            <w:tcBorders>
              <w:top w:val="nil"/>
              <w:left w:val="nil"/>
              <w:bottom w:val="single" w:color="auto" w:sz="4" w:space="0"/>
              <w:right w:val="single" w:color="auto" w:sz="4" w:space="0"/>
            </w:tcBorders>
            <w:vAlign w:val="center"/>
          </w:tcPr>
          <w:p w14:paraId="7E308EB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446AC37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7518F5B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300≤X＜1000</w:t>
            </w:r>
          </w:p>
        </w:tc>
        <w:tc>
          <w:tcPr>
            <w:tcW w:w="1877" w:type="dxa"/>
            <w:tcBorders>
              <w:top w:val="nil"/>
              <w:left w:val="nil"/>
              <w:bottom w:val="single" w:color="auto" w:sz="4" w:space="0"/>
              <w:right w:val="single" w:color="auto" w:sz="4" w:space="0"/>
            </w:tcBorders>
            <w:vAlign w:val="center"/>
          </w:tcPr>
          <w:p w14:paraId="3453447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20≤X＜300</w:t>
            </w:r>
          </w:p>
        </w:tc>
        <w:tc>
          <w:tcPr>
            <w:tcW w:w="1134" w:type="dxa"/>
            <w:tcBorders>
              <w:top w:val="nil"/>
              <w:left w:val="nil"/>
              <w:bottom w:val="single" w:color="auto" w:sz="4" w:space="0"/>
              <w:right w:val="single" w:color="auto" w:sz="4" w:space="0"/>
            </w:tcBorders>
            <w:vAlign w:val="center"/>
          </w:tcPr>
          <w:p w14:paraId="5CEE053F">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X＜20</w:t>
            </w:r>
          </w:p>
        </w:tc>
      </w:tr>
      <w:tr w14:paraId="55A7389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05A2B77">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3DFDEA41">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2C26A3EE">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6BEE16F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2000≤Y＜40000</w:t>
            </w:r>
          </w:p>
        </w:tc>
        <w:tc>
          <w:tcPr>
            <w:tcW w:w="1877" w:type="dxa"/>
            <w:tcBorders>
              <w:top w:val="nil"/>
              <w:left w:val="nil"/>
              <w:bottom w:val="single" w:color="auto" w:sz="4" w:space="0"/>
              <w:right w:val="single" w:color="auto" w:sz="4" w:space="0"/>
            </w:tcBorders>
            <w:vAlign w:val="center"/>
          </w:tcPr>
          <w:p w14:paraId="5D88D43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300≤Y＜2000</w:t>
            </w:r>
          </w:p>
        </w:tc>
        <w:tc>
          <w:tcPr>
            <w:tcW w:w="1134" w:type="dxa"/>
            <w:tcBorders>
              <w:top w:val="nil"/>
              <w:left w:val="nil"/>
              <w:bottom w:val="single" w:color="auto" w:sz="4" w:space="0"/>
              <w:right w:val="single" w:color="auto" w:sz="4" w:space="0"/>
            </w:tcBorders>
            <w:vAlign w:val="center"/>
          </w:tcPr>
          <w:p w14:paraId="6245EFA2">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Y＜300</w:t>
            </w:r>
          </w:p>
        </w:tc>
      </w:tr>
      <w:tr w14:paraId="0CF2C02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6AEA29A">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建筑业</w:t>
            </w:r>
          </w:p>
        </w:tc>
        <w:tc>
          <w:tcPr>
            <w:tcW w:w="1660" w:type="dxa"/>
            <w:tcBorders>
              <w:top w:val="nil"/>
              <w:left w:val="nil"/>
              <w:bottom w:val="single" w:color="auto" w:sz="4" w:space="0"/>
              <w:right w:val="single" w:color="auto" w:sz="4" w:space="0"/>
            </w:tcBorders>
            <w:vAlign w:val="center"/>
          </w:tcPr>
          <w:p w14:paraId="758BBAE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135AF07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1F70BC4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6000≤Y＜80000</w:t>
            </w:r>
          </w:p>
        </w:tc>
        <w:tc>
          <w:tcPr>
            <w:tcW w:w="1877" w:type="dxa"/>
            <w:tcBorders>
              <w:top w:val="nil"/>
              <w:left w:val="nil"/>
              <w:bottom w:val="single" w:color="auto" w:sz="4" w:space="0"/>
              <w:right w:val="single" w:color="auto" w:sz="4" w:space="0"/>
            </w:tcBorders>
            <w:vAlign w:val="center"/>
          </w:tcPr>
          <w:p w14:paraId="551C8B2E">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300≤Y＜6000</w:t>
            </w:r>
          </w:p>
        </w:tc>
        <w:tc>
          <w:tcPr>
            <w:tcW w:w="1134" w:type="dxa"/>
            <w:tcBorders>
              <w:top w:val="nil"/>
              <w:left w:val="nil"/>
              <w:bottom w:val="single" w:color="auto" w:sz="4" w:space="0"/>
              <w:right w:val="single" w:color="auto" w:sz="4" w:space="0"/>
            </w:tcBorders>
            <w:vAlign w:val="center"/>
          </w:tcPr>
          <w:p w14:paraId="1A27F0D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Y＜300</w:t>
            </w:r>
          </w:p>
        </w:tc>
      </w:tr>
      <w:tr w14:paraId="0D4F836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F4C42F4">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3B6F5C1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资产总额（Z）</w:t>
            </w:r>
          </w:p>
        </w:tc>
        <w:tc>
          <w:tcPr>
            <w:tcW w:w="1466" w:type="dxa"/>
            <w:tcBorders>
              <w:top w:val="nil"/>
              <w:left w:val="nil"/>
              <w:bottom w:val="single" w:color="auto" w:sz="4" w:space="0"/>
              <w:right w:val="single" w:color="auto" w:sz="4" w:space="0"/>
            </w:tcBorders>
            <w:vAlign w:val="center"/>
          </w:tcPr>
          <w:p w14:paraId="6B84623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1183B43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5000≤Z＜80000</w:t>
            </w:r>
          </w:p>
        </w:tc>
        <w:tc>
          <w:tcPr>
            <w:tcW w:w="1877" w:type="dxa"/>
            <w:tcBorders>
              <w:top w:val="nil"/>
              <w:left w:val="nil"/>
              <w:bottom w:val="single" w:color="auto" w:sz="4" w:space="0"/>
              <w:right w:val="single" w:color="auto" w:sz="4" w:space="0"/>
            </w:tcBorders>
            <w:vAlign w:val="center"/>
          </w:tcPr>
          <w:p w14:paraId="3A6AE17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300≤Z＜5000</w:t>
            </w:r>
          </w:p>
        </w:tc>
        <w:tc>
          <w:tcPr>
            <w:tcW w:w="1134" w:type="dxa"/>
            <w:tcBorders>
              <w:top w:val="nil"/>
              <w:left w:val="nil"/>
              <w:bottom w:val="single" w:color="auto" w:sz="4" w:space="0"/>
              <w:right w:val="single" w:color="auto" w:sz="4" w:space="0"/>
            </w:tcBorders>
            <w:vAlign w:val="center"/>
          </w:tcPr>
          <w:p w14:paraId="0EDDA34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Z＜300</w:t>
            </w:r>
          </w:p>
        </w:tc>
      </w:tr>
      <w:tr w14:paraId="667EE2F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108DE6B">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批发业</w:t>
            </w:r>
          </w:p>
        </w:tc>
        <w:tc>
          <w:tcPr>
            <w:tcW w:w="1660" w:type="dxa"/>
            <w:tcBorders>
              <w:top w:val="nil"/>
              <w:left w:val="nil"/>
              <w:bottom w:val="single" w:color="auto" w:sz="4" w:space="0"/>
              <w:right w:val="single" w:color="auto" w:sz="4" w:space="0"/>
            </w:tcBorders>
            <w:vAlign w:val="center"/>
          </w:tcPr>
          <w:p w14:paraId="2D4E78C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27D3C78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62DFA71D">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20≤X＜200</w:t>
            </w:r>
          </w:p>
        </w:tc>
        <w:tc>
          <w:tcPr>
            <w:tcW w:w="1877" w:type="dxa"/>
            <w:tcBorders>
              <w:top w:val="nil"/>
              <w:left w:val="nil"/>
              <w:bottom w:val="single" w:color="auto" w:sz="4" w:space="0"/>
              <w:right w:val="single" w:color="auto" w:sz="4" w:space="0"/>
            </w:tcBorders>
            <w:vAlign w:val="center"/>
          </w:tcPr>
          <w:p w14:paraId="37A678A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5≤X＜20</w:t>
            </w:r>
          </w:p>
        </w:tc>
        <w:tc>
          <w:tcPr>
            <w:tcW w:w="1134" w:type="dxa"/>
            <w:tcBorders>
              <w:top w:val="nil"/>
              <w:left w:val="nil"/>
              <w:bottom w:val="single" w:color="auto" w:sz="4" w:space="0"/>
              <w:right w:val="single" w:color="auto" w:sz="4" w:space="0"/>
            </w:tcBorders>
            <w:vAlign w:val="center"/>
          </w:tcPr>
          <w:p w14:paraId="5F655E9D">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X＜5</w:t>
            </w:r>
          </w:p>
        </w:tc>
      </w:tr>
      <w:tr w14:paraId="028C89F5">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2890A81">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6BE9CE7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7F8DA03F">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3902A1C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5000≤Y＜40000</w:t>
            </w:r>
          </w:p>
        </w:tc>
        <w:tc>
          <w:tcPr>
            <w:tcW w:w="1877" w:type="dxa"/>
            <w:tcBorders>
              <w:top w:val="nil"/>
              <w:left w:val="nil"/>
              <w:bottom w:val="single" w:color="auto" w:sz="4" w:space="0"/>
              <w:right w:val="single" w:color="auto" w:sz="4" w:space="0"/>
            </w:tcBorders>
            <w:vAlign w:val="center"/>
          </w:tcPr>
          <w:p w14:paraId="79D9E3E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1000≤Y＜5000</w:t>
            </w:r>
          </w:p>
        </w:tc>
        <w:tc>
          <w:tcPr>
            <w:tcW w:w="1134" w:type="dxa"/>
            <w:tcBorders>
              <w:top w:val="nil"/>
              <w:left w:val="nil"/>
              <w:bottom w:val="single" w:color="auto" w:sz="4" w:space="0"/>
              <w:right w:val="single" w:color="auto" w:sz="4" w:space="0"/>
            </w:tcBorders>
            <w:vAlign w:val="center"/>
          </w:tcPr>
          <w:p w14:paraId="4B10702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Y＜1000</w:t>
            </w:r>
          </w:p>
        </w:tc>
      </w:tr>
      <w:tr w14:paraId="27CCF3B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BE86D1D">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零售业</w:t>
            </w:r>
          </w:p>
        </w:tc>
        <w:tc>
          <w:tcPr>
            <w:tcW w:w="1660" w:type="dxa"/>
            <w:tcBorders>
              <w:top w:val="nil"/>
              <w:left w:val="nil"/>
              <w:bottom w:val="single" w:color="auto" w:sz="4" w:space="0"/>
              <w:right w:val="single" w:color="auto" w:sz="4" w:space="0"/>
            </w:tcBorders>
            <w:vAlign w:val="center"/>
          </w:tcPr>
          <w:p w14:paraId="3DA939E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021148AE">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497F596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50≤X＜300</w:t>
            </w:r>
          </w:p>
        </w:tc>
        <w:tc>
          <w:tcPr>
            <w:tcW w:w="1877" w:type="dxa"/>
            <w:tcBorders>
              <w:top w:val="nil"/>
              <w:left w:val="nil"/>
              <w:bottom w:val="single" w:color="auto" w:sz="4" w:space="0"/>
              <w:right w:val="single" w:color="auto" w:sz="4" w:space="0"/>
            </w:tcBorders>
            <w:vAlign w:val="center"/>
          </w:tcPr>
          <w:p w14:paraId="025AEEA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10≤X＜50</w:t>
            </w:r>
          </w:p>
        </w:tc>
        <w:tc>
          <w:tcPr>
            <w:tcW w:w="1134" w:type="dxa"/>
            <w:tcBorders>
              <w:top w:val="nil"/>
              <w:left w:val="nil"/>
              <w:bottom w:val="single" w:color="auto" w:sz="4" w:space="0"/>
              <w:right w:val="single" w:color="auto" w:sz="4" w:space="0"/>
            </w:tcBorders>
            <w:vAlign w:val="center"/>
          </w:tcPr>
          <w:p w14:paraId="11AB1DE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w:t>
            </w:r>
          </w:p>
        </w:tc>
      </w:tr>
      <w:tr w14:paraId="5CE9CFF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3AC96BE">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1019F0EE">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3A011D8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72A9E45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500≤Y＜20000</w:t>
            </w:r>
          </w:p>
        </w:tc>
        <w:tc>
          <w:tcPr>
            <w:tcW w:w="1877" w:type="dxa"/>
            <w:tcBorders>
              <w:top w:val="nil"/>
              <w:left w:val="nil"/>
              <w:bottom w:val="single" w:color="auto" w:sz="4" w:space="0"/>
              <w:right w:val="single" w:color="auto" w:sz="4" w:space="0"/>
            </w:tcBorders>
            <w:vAlign w:val="center"/>
          </w:tcPr>
          <w:p w14:paraId="66FE0BD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100≤Y＜500</w:t>
            </w:r>
          </w:p>
        </w:tc>
        <w:tc>
          <w:tcPr>
            <w:tcW w:w="1134" w:type="dxa"/>
            <w:tcBorders>
              <w:top w:val="nil"/>
              <w:left w:val="nil"/>
              <w:bottom w:val="single" w:color="auto" w:sz="4" w:space="0"/>
              <w:right w:val="single" w:color="auto" w:sz="4" w:space="0"/>
            </w:tcBorders>
            <w:vAlign w:val="center"/>
          </w:tcPr>
          <w:p w14:paraId="7D59B23D">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w:t>
            </w:r>
          </w:p>
        </w:tc>
      </w:tr>
      <w:tr w14:paraId="418566F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B2860B1">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交通运输业</w:t>
            </w:r>
          </w:p>
        </w:tc>
        <w:tc>
          <w:tcPr>
            <w:tcW w:w="1660" w:type="dxa"/>
            <w:tcBorders>
              <w:top w:val="nil"/>
              <w:left w:val="nil"/>
              <w:bottom w:val="single" w:color="auto" w:sz="4" w:space="0"/>
              <w:right w:val="single" w:color="auto" w:sz="4" w:space="0"/>
            </w:tcBorders>
            <w:vAlign w:val="center"/>
          </w:tcPr>
          <w:p w14:paraId="0A9F071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0F7DB10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6259F90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300≤X＜1000</w:t>
            </w:r>
          </w:p>
        </w:tc>
        <w:tc>
          <w:tcPr>
            <w:tcW w:w="1877" w:type="dxa"/>
            <w:tcBorders>
              <w:top w:val="nil"/>
              <w:left w:val="nil"/>
              <w:bottom w:val="single" w:color="auto" w:sz="4" w:space="0"/>
              <w:right w:val="single" w:color="auto" w:sz="4" w:space="0"/>
            </w:tcBorders>
            <w:vAlign w:val="center"/>
          </w:tcPr>
          <w:p w14:paraId="71A2489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20≤X＜300</w:t>
            </w:r>
          </w:p>
        </w:tc>
        <w:tc>
          <w:tcPr>
            <w:tcW w:w="1134" w:type="dxa"/>
            <w:tcBorders>
              <w:top w:val="nil"/>
              <w:left w:val="nil"/>
              <w:bottom w:val="single" w:color="auto" w:sz="4" w:space="0"/>
              <w:right w:val="single" w:color="auto" w:sz="4" w:space="0"/>
            </w:tcBorders>
            <w:vAlign w:val="center"/>
          </w:tcPr>
          <w:p w14:paraId="7E0C479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X＜20</w:t>
            </w:r>
          </w:p>
        </w:tc>
      </w:tr>
      <w:tr w14:paraId="4997CFC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443768A">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6B9E4D0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71F7A91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55B571D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3000≤Y＜30000</w:t>
            </w:r>
          </w:p>
        </w:tc>
        <w:tc>
          <w:tcPr>
            <w:tcW w:w="1877" w:type="dxa"/>
            <w:tcBorders>
              <w:top w:val="nil"/>
              <w:left w:val="nil"/>
              <w:bottom w:val="single" w:color="auto" w:sz="4" w:space="0"/>
              <w:right w:val="single" w:color="auto" w:sz="4" w:space="0"/>
            </w:tcBorders>
            <w:vAlign w:val="center"/>
          </w:tcPr>
          <w:p w14:paraId="21E873D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200≤Y＜3000</w:t>
            </w:r>
          </w:p>
        </w:tc>
        <w:tc>
          <w:tcPr>
            <w:tcW w:w="1134" w:type="dxa"/>
            <w:tcBorders>
              <w:top w:val="nil"/>
              <w:left w:val="nil"/>
              <w:bottom w:val="single" w:color="auto" w:sz="4" w:space="0"/>
              <w:right w:val="single" w:color="auto" w:sz="4" w:space="0"/>
            </w:tcBorders>
            <w:vAlign w:val="center"/>
          </w:tcPr>
          <w:p w14:paraId="37C5BF8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Y＜200</w:t>
            </w:r>
          </w:p>
        </w:tc>
      </w:tr>
      <w:tr w14:paraId="43E979B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6D00C8A">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仓储业</w:t>
            </w:r>
          </w:p>
        </w:tc>
        <w:tc>
          <w:tcPr>
            <w:tcW w:w="1660" w:type="dxa"/>
            <w:tcBorders>
              <w:top w:val="nil"/>
              <w:left w:val="nil"/>
              <w:bottom w:val="single" w:color="auto" w:sz="4" w:space="0"/>
              <w:right w:val="single" w:color="auto" w:sz="4" w:space="0"/>
            </w:tcBorders>
            <w:vAlign w:val="center"/>
          </w:tcPr>
          <w:p w14:paraId="1B2ED3C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0D49FB5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2D421FA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100≤X＜200</w:t>
            </w:r>
          </w:p>
        </w:tc>
        <w:tc>
          <w:tcPr>
            <w:tcW w:w="1877" w:type="dxa"/>
            <w:tcBorders>
              <w:top w:val="nil"/>
              <w:left w:val="nil"/>
              <w:bottom w:val="single" w:color="auto" w:sz="4" w:space="0"/>
              <w:right w:val="single" w:color="auto" w:sz="4" w:space="0"/>
            </w:tcBorders>
            <w:vAlign w:val="center"/>
          </w:tcPr>
          <w:p w14:paraId="5D0E1FD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20≤X＜100</w:t>
            </w:r>
          </w:p>
        </w:tc>
        <w:tc>
          <w:tcPr>
            <w:tcW w:w="1134" w:type="dxa"/>
            <w:tcBorders>
              <w:top w:val="nil"/>
              <w:left w:val="nil"/>
              <w:bottom w:val="single" w:color="auto" w:sz="4" w:space="0"/>
              <w:right w:val="single" w:color="auto" w:sz="4" w:space="0"/>
            </w:tcBorders>
            <w:vAlign w:val="center"/>
          </w:tcPr>
          <w:p w14:paraId="0232659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X＜20</w:t>
            </w:r>
          </w:p>
        </w:tc>
      </w:tr>
      <w:tr w14:paraId="7182F47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462C75B">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4340609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11465EE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7D54AA0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1000≤Y＜30000</w:t>
            </w:r>
          </w:p>
        </w:tc>
        <w:tc>
          <w:tcPr>
            <w:tcW w:w="1877" w:type="dxa"/>
            <w:tcBorders>
              <w:top w:val="nil"/>
              <w:left w:val="nil"/>
              <w:bottom w:val="single" w:color="auto" w:sz="4" w:space="0"/>
              <w:right w:val="single" w:color="auto" w:sz="4" w:space="0"/>
            </w:tcBorders>
            <w:vAlign w:val="center"/>
          </w:tcPr>
          <w:p w14:paraId="0BBC8D0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100≤Y＜1000</w:t>
            </w:r>
          </w:p>
        </w:tc>
        <w:tc>
          <w:tcPr>
            <w:tcW w:w="1134" w:type="dxa"/>
            <w:tcBorders>
              <w:top w:val="nil"/>
              <w:left w:val="nil"/>
              <w:bottom w:val="single" w:color="auto" w:sz="4" w:space="0"/>
              <w:right w:val="single" w:color="auto" w:sz="4" w:space="0"/>
            </w:tcBorders>
            <w:vAlign w:val="center"/>
          </w:tcPr>
          <w:p w14:paraId="08447DB2">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w:t>
            </w:r>
          </w:p>
        </w:tc>
      </w:tr>
      <w:tr w14:paraId="4F0939E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BD378C7">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邮政业</w:t>
            </w:r>
          </w:p>
        </w:tc>
        <w:tc>
          <w:tcPr>
            <w:tcW w:w="1660" w:type="dxa"/>
            <w:tcBorders>
              <w:top w:val="nil"/>
              <w:left w:val="nil"/>
              <w:bottom w:val="single" w:color="auto" w:sz="4" w:space="0"/>
              <w:right w:val="single" w:color="auto" w:sz="4" w:space="0"/>
            </w:tcBorders>
            <w:vAlign w:val="center"/>
          </w:tcPr>
          <w:p w14:paraId="6B6E074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2E7F9DB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707C07D1">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300≤X＜1000</w:t>
            </w:r>
          </w:p>
        </w:tc>
        <w:tc>
          <w:tcPr>
            <w:tcW w:w="1877" w:type="dxa"/>
            <w:tcBorders>
              <w:top w:val="nil"/>
              <w:left w:val="nil"/>
              <w:bottom w:val="single" w:color="auto" w:sz="4" w:space="0"/>
              <w:right w:val="single" w:color="auto" w:sz="4" w:space="0"/>
            </w:tcBorders>
            <w:vAlign w:val="center"/>
          </w:tcPr>
          <w:p w14:paraId="02037E1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20≤X＜300</w:t>
            </w:r>
          </w:p>
        </w:tc>
        <w:tc>
          <w:tcPr>
            <w:tcW w:w="1134" w:type="dxa"/>
            <w:tcBorders>
              <w:top w:val="nil"/>
              <w:left w:val="nil"/>
              <w:bottom w:val="single" w:color="auto" w:sz="4" w:space="0"/>
              <w:right w:val="single" w:color="auto" w:sz="4" w:space="0"/>
            </w:tcBorders>
            <w:vAlign w:val="center"/>
          </w:tcPr>
          <w:p w14:paraId="39DBDF0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X＜20</w:t>
            </w:r>
          </w:p>
        </w:tc>
      </w:tr>
      <w:tr w14:paraId="5C92FE7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28B97B4">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664534F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6687686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681CA7B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2000≤Y＜30000</w:t>
            </w:r>
          </w:p>
        </w:tc>
        <w:tc>
          <w:tcPr>
            <w:tcW w:w="1877" w:type="dxa"/>
            <w:tcBorders>
              <w:top w:val="nil"/>
              <w:left w:val="nil"/>
              <w:bottom w:val="single" w:color="auto" w:sz="4" w:space="0"/>
              <w:right w:val="single" w:color="auto" w:sz="4" w:space="0"/>
            </w:tcBorders>
            <w:vAlign w:val="center"/>
          </w:tcPr>
          <w:p w14:paraId="40E17D7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100≤Y＜2000</w:t>
            </w:r>
          </w:p>
        </w:tc>
        <w:tc>
          <w:tcPr>
            <w:tcW w:w="1134" w:type="dxa"/>
            <w:tcBorders>
              <w:top w:val="nil"/>
              <w:left w:val="nil"/>
              <w:bottom w:val="single" w:color="auto" w:sz="4" w:space="0"/>
              <w:right w:val="single" w:color="auto" w:sz="4" w:space="0"/>
            </w:tcBorders>
            <w:vAlign w:val="center"/>
          </w:tcPr>
          <w:p w14:paraId="4690BC8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w:t>
            </w:r>
          </w:p>
        </w:tc>
      </w:tr>
      <w:tr w14:paraId="5238FC4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17E49D6">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住宿业</w:t>
            </w:r>
          </w:p>
        </w:tc>
        <w:tc>
          <w:tcPr>
            <w:tcW w:w="1660" w:type="dxa"/>
            <w:tcBorders>
              <w:top w:val="nil"/>
              <w:left w:val="nil"/>
              <w:bottom w:val="single" w:color="auto" w:sz="4" w:space="0"/>
              <w:right w:val="single" w:color="auto" w:sz="4" w:space="0"/>
            </w:tcBorders>
            <w:vAlign w:val="center"/>
          </w:tcPr>
          <w:p w14:paraId="3B48DF4F">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1D0AE04D">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249F690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100≤X＜300</w:t>
            </w:r>
          </w:p>
        </w:tc>
        <w:tc>
          <w:tcPr>
            <w:tcW w:w="1877" w:type="dxa"/>
            <w:tcBorders>
              <w:top w:val="nil"/>
              <w:left w:val="nil"/>
              <w:bottom w:val="single" w:color="auto" w:sz="4" w:space="0"/>
              <w:right w:val="single" w:color="auto" w:sz="4" w:space="0"/>
            </w:tcBorders>
            <w:vAlign w:val="center"/>
          </w:tcPr>
          <w:p w14:paraId="65CE51F2">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10≤X＜100</w:t>
            </w:r>
          </w:p>
        </w:tc>
        <w:tc>
          <w:tcPr>
            <w:tcW w:w="1134" w:type="dxa"/>
            <w:tcBorders>
              <w:top w:val="nil"/>
              <w:left w:val="nil"/>
              <w:bottom w:val="single" w:color="auto" w:sz="4" w:space="0"/>
              <w:right w:val="single" w:color="auto" w:sz="4" w:space="0"/>
            </w:tcBorders>
            <w:vAlign w:val="center"/>
          </w:tcPr>
          <w:p w14:paraId="496B6A9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w:t>
            </w:r>
          </w:p>
        </w:tc>
      </w:tr>
      <w:tr w14:paraId="58BAE5D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206DB81">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636E55D1">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0F41F08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3FA2D75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2000≤Y＜10000</w:t>
            </w:r>
          </w:p>
        </w:tc>
        <w:tc>
          <w:tcPr>
            <w:tcW w:w="1877" w:type="dxa"/>
            <w:tcBorders>
              <w:top w:val="nil"/>
              <w:left w:val="nil"/>
              <w:bottom w:val="single" w:color="auto" w:sz="4" w:space="0"/>
              <w:right w:val="single" w:color="auto" w:sz="4" w:space="0"/>
            </w:tcBorders>
            <w:vAlign w:val="center"/>
          </w:tcPr>
          <w:p w14:paraId="0046BC3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100≤Y＜2000</w:t>
            </w:r>
          </w:p>
        </w:tc>
        <w:tc>
          <w:tcPr>
            <w:tcW w:w="1134" w:type="dxa"/>
            <w:tcBorders>
              <w:top w:val="nil"/>
              <w:left w:val="nil"/>
              <w:bottom w:val="single" w:color="auto" w:sz="4" w:space="0"/>
              <w:right w:val="single" w:color="auto" w:sz="4" w:space="0"/>
            </w:tcBorders>
            <w:vAlign w:val="center"/>
          </w:tcPr>
          <w:p w14:paraId="5FB204E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w:t>
            </w:r>
          </w:p>
        </w:tc>
      </w:tr>
      <w:tr w14:paraId="3850BD8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C4FCA4E">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餐饮业</w:t>
            </w:r>
          </w:p>
        </w:tc>
        <w:tc>
          <w:tcPr>
            <w:tcW w:w="1660" w:type="dxa"/>
            <w:tcBorders>
              <w:top w:val="nil"/>
              <w:left w:val="nil"/>
              <w:bottom w:val="single" w:color="auto" w:sz="4" w:space="0"/>
              <w:right w:val="single" w:color="auto" w:sz="4" w:space="0"/>
            </w:tcBorders>
            <w:vAlign w:val="center"/>
          </w:tcPr>
          <w:p w14:paraId="446094B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453C8262">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7DAACC6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100≤X＜300</w:t>
            </w:r>
          </w:p>
        </w:tc>
        <w:tc>
          <w:tcPr>
            <w:tcW w:w="1877" w:type="dxa"/>
            <w:tcBorders>
              <w:top w:val="nil"/>
              <w:left w:val="nil"/>
              <w:bottom w:val="single" w:color="auto" w:sz="4" w:space="0"/>
              <w:right w:val="single" w:color="auto" w:sz="4" w:space="0"/>
            </w:tcBorders>
            <w:vAlign w:val="center"/>
          </w:tcPr>
          <w:p w14:paraId="4C6E12C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10≤X＜100</w:t>
            </w:r>
          </w:p>
        </w:tc>
        <w:tc>
          <w:tcPr>
            <w:tcW w:w="1134" w:type="dxa"/>
            <w:tcBorders>
              <w:top w:val="nil"/>
              <w:left w:val="nil"/>
              <w:bottom w:val="single" w:color="auto" w:sz="4" w:space="0"/>
              <w:right w:val="single" w:color="auto" w:sz="4" w:space="0"/>
            </w:tcBorders>
            <w:vAlign w:val="center"/>
          </w:tcPr>
          <w:p w14:paraId="5FC537D2">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w:t>
            </w:r>
          </w:p>
        </w:tc>
      </w:tr>
      <w:tr w14:paraId="640049C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B3ADE20">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2795EB01">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577ACE5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684EA55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2000≤Y＜10000</w:t>
            </w:r>
          </w:p>
        </w:tc>
        <w:tc>
          <w:tcPr>
            <w:tcW w:w="1877" w:type="dxa"/>
            <w:tcBorders>
              <w:top w:val="nil"/>
              <w:left w:val="nil"/>
              <w:bottom w:val="single" w:color="auto" w:sz="4" w:space="0"/>
              <w:right w:val="single" w:color="auto" w:sz="4" w:space="0"/>
            </w:tcBorders>
            <w:vAlign w:val="center"/>
          </w:tcPr>
          <w:p w14:paraId="22F58E6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100≤Y＜2000</w:t>
            </w:r>
          </w:p>
        </w:tc>
        <w:tc>
          <w:tcPr>
            <w:tcW w:w="1134" w:type="dxa"/>
            <w:tcBorders>
              <w:top w:val="nil"/>
              <w:left w:val="nil"/>
              <w:bottom w:val="single" w:color="auto" w:sz="4" w:space="0"/>
              <w:right w:val="single" w:color="auto" w:sz="4" w:space="0"/>
            </w:tcBorders>
            <w:vAlign w:val="center"/>
          </w:tcPr>
          <w:p w14:paraId="36CB19E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w:t>
            </w:r>
          </w:p>
        </w:tc>
      </w:tr>
      <w:tr w14:paraId="57AB642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FF9EC64">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信息传输业</w:t>
            </w:r>
          </w:p>
        </w:tc>
        <w:tc>
          <w:tcPr>
            <w:tcW w:w="1660" w:type="dxa"/>
            <w:tcBorders>
              <w:top w:val="nil"/>
              <w:left w:val="nil"/>
              <w:bottom w:val="single" w:color="auto" w:sz="4" w:space="0"/>
              <w:right w:val="single" w:color="auto" w:sz="4" w:space="0"/>
            </w:tcBorders>
            <w:vAlign w:val="center"/>
          </w:tcPr>
          <w:p w14:paraId="41A9374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7CD3475D">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3019956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100≤X＜2000</w:t>
            </w:r>
          </w:p>
        </w:tc>
        <w:tc>
          <w:tcPr>
            <w:tcW w:w="1877" w:type="dxa"/>
            <w:tcBorders>
              <w:top w:val="nil"/>
              <w:left w:val="nil"/>
              <w:bottom w:val="single" w:color="auto" w:sz="4" w:space="0"/>
              <w:right w:val="single" w:color="auto" w:sz="4" w:space="0"/>
            </w:tcBorders>
            <w:vAlign w:val="center"/>
          </w:tcPr>
          <w:p w14:paraId="60E76CD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10≤X＜100</w:t>
            </w:r>
          </w:p>
        </w:tc>
        <w:tc>
          <w:tcPr>
            <w:tcW w:w="1134" w:type="dxa"/>
            <w:tcBorders>
              <w:top w:val="nil"/>
              <w:left w:val="nil"/>
              <w:bottom w:val="single" w:color="auto" w:sz="4" w:space="0"/>
              <w:right w:val="single" w:color="auto" w:sz="4" w:space="0"/>
            </w:tcBorders>
            <w:vAlign w:val="center"/>
          </w:tcPr>
          <w:p w14:paraId="0DCAC59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w:t>
            </w:r>
          </w:p>
        </w:tc>
      </w:tr>
      <w:tr w14:paraId="51C342A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3F73B83">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1C21805E">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49C377F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4B0E52B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1000≤Y＜100000</w:t>
            </w:r>
          </w:p>
        </w:tc>
        <w:tc>
          <w:tcPr>
            <w:tcW w:w="1877" w:type="dxa"/>
            <w:tcBorders>
              <w:top w:val="nil"/>
              <w:left w:val="nil"/>
              <w:bottom w:val="single" w:color="auto" w:sz="4" w:space="0"/>
              <w:right w:val="single" w:color="auto" w:sz="4" w:space="0"/>
            </w:tcBorders>
            <w:vAlign w:val="center"/>
          </w:tcPr>
          <w:p w14:paraId="090C239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100≤Y＜1000</w:t>
            </w:r>
          </w:p>
        </w:tc>
        <w:tc>
          <w:tcPr>
            <w:tcW w:w="1134" w:type="dxa"/>
            <w:tcBorders>
              <w:top w:val="nil"/>
              <w:left w:val="nil"/>
              <w:bottom w:val="single" w:color="auto" w:sz="4" w:space="0"/>
              <w:right w:val="single" w:color="auto" w:sz="4" w:space="0"/>
            </w:tcBorders>
            <w:vAlign w:val="center"/>
          </w:tcPr>
          <w:p w14:paraId="5A0CA37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w:t>
            </w:r>
          </w:p>
        </w:tc>
      </w:tr>
      <w:tr w14:paraId="000BEC24">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76C3FBB">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软件和信息技术服务业</w:t>
            </w:r>
          </w:p>
        </w:tc>
        <w:tc>
          <w:tcPr>
            <w:tcW w:w="1660" w:type="dxa"/>
            <w:tcBorders>
              <w:top w:val="nil"/>
              <w:left w:val="nil"/>
              <w:bottom w:val="single" w:color="auto" w:sz="4" w:space="0"/>
              <w:right w:val="single" w:color="auto" w:sz="4" w:space="0"/>
            </w:tcBorders>
            <w:vAlign w:val="center"/>
          </w:tcPr>
          <w:p w14:paraId="19D553F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5DBF145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7408A47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100≤X＜300</w:t>
            </w:r>
          </w:p>
        </w:tc>
        <w:tc>
          <w:tcPr>
            <w:tcW w:w="1877" w:type="dxa"/>
            <w:tcBorders>
              <w:top w:val="nil"/>
              <w:left w:val="nil"/>
              <w:bottom w:val="single" w:color="auto" w:sz="4" w:space="0"/>
              <w:right w:val="single" w:color="auto" w:sz="4" w:space="0"/>
            </w:tcBorders>
            <w:vAlign w:val="center"/>
          </w:tcPr>
          <w:p w14:paraId="5F0C1FC2">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10≤X＜100</w:t>
            </w:r>
          </w:p>
        </w:tc>
        <w:tc>
          <w:tcPr>
            <w:tcW w:w="1134" w:type="dxa"/>
            <w:tcBorders>
              <w:top w:val="nil"/>
              <w:left w:val="nil"/>
              <w:bottom w:val="single" w:color="auto" w:sz="4" w:space="0"/>
              <w:right w:val="single" w:color="auto" w:sz="4" w:space="0"/>
            </w:tcBorders>
            <w:vAlign w:val="center"/>
          </w:tcPr>
          <w:p w14:paraId="44C63552">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w:t>
            </w:r>
          </w:p>
        </w:tc>
      </w:tr>
      <w:tr w14:paraId="2C7A9E3B">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A70A1DA">
            <w:pPr>
              <w:widowControl/>
              <w:snapToGrid w:val="0"/>
              <w:contextualSpacing/>
              <w:jc w:val="center"/>
              <w:rPr>
                <w:rFonts w:ascii="仿宋" w:hAnsi="仿宋" w:eastAsia="仿宋" w:cs="仿宋"/>
                <w:color w:val="auto"/>
                <w:kern w:val="0"/>
                <w:sz w:val="24"/>
              </w:rPr>
            </w:pPr>
          </w:p>
        </w:tc>
        <w:tc>
          <w:tcPr>
            <w:tcW w:w="1660" w:type="dxa"/>
            <w:tcBorders>
              <w:top w:val="nil"/>
              <w:left w:val="nil"/>
              <w:bottom w:val="single" w:color="auto" w:sz="4" w:space="0"/>
              <w:right w:val="single" w:color="auto" w:sz="4" w:space="0"/>
            </w:tcBorders>
            <w:vAlign w:val="center"/>
          </w:tcPr>
          <w:p w14:paraId="6921742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017969A1">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4671EF41">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1000≤Y＜10000</w:t>
            </w:r>
          </w:p>
        </w:tc>
        <w:tc>
          <w:tcPr>
            <w:tcW w:w="1877" w:type="dxa"/>
            <w:tcBorders>
              <w:top w:val="nil"/>
              <w:left w:val="nil"/>
              <w:bottom w:val="single" w:color="auto" w:sz="4" w:space="0"/>
              <w:right w:val="single" w:color="auto" w:sz="4" w:space="0"/>
            </w:tcBorders>
            <w:vAlign w:val="center"/>
          </w:tcPr>
          <w:p w14:paraId="62EBEF8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50≤Y＜1000</w:t>
            </w:r>
          </w:p>
        </w:tc>
        <w:tc>
          <w:tcPr>
            <w:tcW w:w="1134" w:type="dxa"/>
            <w:tcBorders>
              <w:top w:val="nil"/>
              <w:left w:val="nil"/>
              <w:bottom w:val="single" w:color="auto" w:sz="4" w:space="0"/>
              <w:right w:val="single" w:color="auto" w:sz="4" w:space="0"/>
            </w:tcBorders>
            <w:vAlign w:val="center"/>
          </w:tcPr>
          <w:p w14:paraId="411E34B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Y＜50</w:t>
            </w:r>
          </w:p>
        </w:tc>
      </w:tr>
      <w:tr w14:paraId="73C416D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B5206C9">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房地产开发经营</w:t>
            </w:r>
          </w:p>
        </w:tc>
        <w:tc>
          <w:tcPr>
            <w:tcW w:w="1660" w:type="dxa"/>
            <w:tcBorders>
              <w:top w:val="nil"/>
              <w:left w:val="nil"/>
              <w:bottom w:val="single" w:color="auto" w:sz="4" w:space="0"/>
              <w:right w:val="single" w:color="auto" w:sz="4" w:space="0"/>
            </w:tcBorders>
            <w:vAlign w:val="center"/>
          </w:tcPr>
          <w:p w14:paraId="13F7F39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6104C95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56719D6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1000≤Y＜200000</w:t>
            </w:r>
          </w:p>
        </w:tc>
        <w:tc>
          <w:tcPr>
            <w:tcW w:w="1877" w:type="dxa"/>
            <w:tcBorders>
              <w:top w:val="nil"/>
              <w:left w:val="nil"/>
              <w:bottom w:val="single" w:color="auto" w:sz="4" w:space="0"/>
              <w:right w:val="single" w:color="auto" w:sz="4" w:space="0"/>
            </w:tcBorders>
            <w:vAlign w:val="center"/>
          </w:tcPr>
          <w:p w14:paraId="4D060E7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100≤X＜1000</w:t>
            </w:r>
          </w:p>
        </w:tc>
        <w:tc>
          <w:tcPr>
            <w:tcW w:w="1134" w:type="dxa"/>
            <w:tcBorders>
              <w:top w:val="nil"/>
              <w:left w:val="nil"/>
              <w:bottom w:val="single" w:color="auto" w:sz="4" w:space="0"/>
              <w:right w:val="single" w:color="auto" w:sz="4" w:space="0"/>
            </w:tcBorders>
            <w:vAlign w:val="center"/>
          </w:tcPr>
          <w:p w14:paraId="0392E84E">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X＜100</w:t>
            </w:r>
          </w:p>
        </w:tc>
      </w:tr>
      <w:tr w14:paraId="35E741D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23C4DDC">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7E5FE23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资产总额（Z）</w:t>
            </w:r>
          </w:p>
        </w:tc>
        <w:tc>
          <w:tcPr>
            <w:tcW w:w="1466" w:type="dxa"/>
            <w:tcBorders>
              <w:top w:val="nil"/>
              <w:left w:val="nil"/>
              <w:bottom w:val="single" w:color="auto" w:sz="4" w:space="0"/>
              <w:right w:val="single" w:color="auto" w:sz="4" w:space="0"/>
            </w:tcBorders>
            <w:vAlign w:val="center"/>
          </w:tcPr>
          <w:p w14:paraId="4269078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69C8F21B">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5000≤Z＜10000</w:t>
            </w:r>
          </w:p>
        </w:tc>
        <w:tc>
          <w:tcPr>
            <w:tcW w:w="1877" w:type="dxa"/>
            <w:tcBorders>
              <w:top w:val="nil"/>
              <w:left w:val="nil"/>
              <w:bottom w:val="single" w:color="auto" w:sz="4" w:space="0"/>
              <w:right w:val="single" w:color="auto" w:sz="4" w:space="0"/>
            </w:tcBorders>
            <w:vAlign w:val="center"/>
          </w:tcPr>
          <w:p w14:paraId="798BAD33">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2000≤Y＜5000</w:t>
            </w:r>
          </w:p>
        </w:tc>
        <w:tc>
          <w:tcPr>
            <w:tcW w:w="1134" w:type="dxa"/>
            <w:tcBorders>
              <w:top w:val="nil"/>
              <w:left w:val="nil"/>
              <w:bottom w:val="single" w:color="auto" w:sz="4" w:space="0"/>
              <w:right w:val="single" w:color="auto" w:sz="4" w:space="0"/>
            </w:tcBorders>
            <w:vAlign w:val="center"/>
          </w:tcPr>
          <w:p w14:paraId="67B4185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Y＜2000</w:t>
            </w:r>
          </w:p>
        </w:tc>
      </w:tr>
      <w:tr w14:paraId="5EE3676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CFD553E">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物业管理</w:t>
            </w:r>
          </w:p>
        </w:tc>
        <w:tc>
          <w:tcPr>
            <w:tcW w:w="1660" w:type="dxa"/>
            <w:tcBorders>
              <w:top w:val="nil"/>
              <w:left w:val="nil"/>
              <w:bottom w:val="single" w:color="auto" w:sz="4" w:space="0"/>
              <w:right w:val="single" w:color="auto" w:sz="4" w:space="0"/>
            </w:tcBorders>
            <w:vAlign w:val="center"/>
          </w:tcPr>
          <w:p w14:paraId="08595CBA">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0AE4144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1C1FCCF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300≤X＜1000</w:t>
            </w:r>
          </w:p>
        </w:tc>
        <w:tc>
          <w:tcPr>
            <w:tcW w:w="1877" w:type="dxa"/>
            <w:tcBorders>
              <w:top w:val="nil"/>
              <w:left w:val="nil"/>
              <w:bottom w:val="single" w:color="auto" w:sz="4" w:space="0"/>
              <w:right w:val="single" w:color="auto" w:sz="4" w:space="0"/>
            </w:tcBorders>
            <w:vAlign w:val="center"/>
          </w:tcPr>
          <w:p w14:paraId="6DBFAF50">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100≤X＜300</w:t>
            </w:r>
          </w:p>
        </w:tc>
        <w:tc>
          <w:tcPr>
            <w:tcW w:w="1134" w:type="dxa"/>
            <w:tcBorders>
              <w:top w:val="nil"/>
              <w:left w:val="nil"/>
              <w:bottom w:val="single" w:color="auto" w:sz="4" w:space="0"/>
              <w:right w:val="single" w:color="auto" w:sz="4" w:space="0"/>
            </w:tcBorders>
            <w:vAlign w:val="center"/>
          </w:tcPr>
          <w:p w14:paraId="59CA1CE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X＜100</w:t>
            </w:r>
          </w:p>
        </w:tc>
      </w:tr>
      <w:tr w14:paraId="3B557388">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3A251BB">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63C79B0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营业收入（Y）</w:t>
            </w:r>
          </w:p>
        </w:tc>
        <w:tc>
          <w:tcPr>
            <w:tcW w:w="1466" w:type="dxa"/>
            <w:tcBorders>
              <w:top w:val="nil"/>
              <w:left w:val="nil"/>
              <w:bottom w:val="single" w:color="auto" w:sz="4" w:space="0"/>
              <w:right w:val="single" w:color="auto" w:sz="4" w:space="0"/>
            </w:tcBorders>
            <w:vAlign w:val="center"/>
          </w:tcPr>
          <w:p w14:paraId="3033C08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584130AF">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1000≤Y＜5000</w:t>
            </w:r>
          </w:p>
        </w:tc>
        <w:tc>
          <w:tcPr>
            <w:tcW w:w="1877" w:type="dxa"/>
            <w:tcBorders>
              <w:top w:val="nil"/>
              <w:left w:val="nil"/>
              <w:bottom w:val="single" w:color="auto" w:sz="4" w:space="0"/>
              <w:right w:val="single" w:color="auto" w:sz="4" w:space="0"/>
            </w:tcBorders>
            <w:vAlign w:val="center"/>
          </w:tcPr>
          <w:p w14:paraId="18B44C2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500≤Y＜1000</w:t>
            </w:r>
          </w:p>
        </w:tc>
        <w:tc>
          <w:tcPr>
            <w:tcW w:w="1134" w:type="dxa"/>
            <w:tcBorders>
              <w:top w:val="nil"/>
              <w:left w:val="nil"/>
              <w:bottom w:val="single" w:color="auto" w:sz="4" w:space="0"/>
              <w:right w:val="single" w:color="auto" w:sz="4" w:space="0"/>
            </w:tcBorders>
            <w:vAlign w:val="center"/>
          </w:tcPr>
          <w:p w14:paraId="19FF1B9F">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Y＜500</w:t>
            </w:r>
          </w:p>
        </w:tc>
      </w:tr>
      <w:tr w14:paraId="40459D3D">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CD89149">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租赁和商务服务业</w:t>
            </w:r>
          </w:p>
        </w:tc>
        <w:tc>
          <w:tcPr>
            <w:tcW w:w="1660" w:type="dxa"/>
            <w:tcBorders>
              <w:top w:val="nil"/>
              <w:left w:val="nil"/>
              <w:bottom w:val="single" w:color="auto" w:sz="4" w:space="0"/>
              <w:right w:val="single" w:color="auto" w:sz="4" w:space="0"/>
            </w:tcBorders>
            <w:vAlign w:val="center"/>
          </w:tcPr>
          <w:p w14:paraId="1CBF277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0A31A47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006F77E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100≤X＜300</w:t>
            </w:r>
          </w:p>
        </w:tc>
        <w:tc>
          <w:tcPr>
            <w:tcW w:w="1877" w:type="dxa"/>
            <w:tcBorders>
              <w:top w:val="nil"/>
              <w:left w:val="nil"/>
              <w:bottom w:val="single" w:color="auto" w:sz="4" w:space="0"/>
              <w:right w:val="single" w:color="auto" w:sz="4" w:space="0"/>
            </w:tcBorders>
            <w:vAlign w:val="center"/>
          </w:tcPr>
          <w:p w14:paraId="748EAA2C">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10≤X＜100</w:t>
            </w:r>
          </w:p>
        </w:tc>
        <w:tc>
          <w:tcPr>
            <w:tcW w:w="1134" w:type="dxa"/>
            <w:tcBorders>
              <w:top w:val="nil"/>
              <w:left w:val="nil"/>
              <w:bottom w:val="single" w:color="auto" w:sz="4" w:space="0"/>
              <w:right w:val="single" w:color="auto" w:sz="4" w:space="0"/>
            </w:tcBorders>
            <w:vAlign w:val="center"/>
          </w:tcPr>
          <w:p w14:paraId="5C10A3A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w:t>
            </w:r>
          </w:p>
        </w:tc>
      </w:tr>
      <w:tr w14:paraId="0C196EC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E265AC8">
            <w:pPr>
              <w:widowControl/>
              <w:snapToGrid w:val="0"/>
              <w:contextualSpacing/>
              <w:jc w:val="center"/>
              <w:rPr>
                <w:rFonts w:ascii="仿宋" w:hAnsi="仿宋" w:eastAsia="仿宋" w:cs="仿宋"/>
                <w:b/>
                <w:bCs/>
                <w:color w:val="auto"/>
                <w:kern w:val="0"/>
                <w:sz w:val="24"/>
              </w:rPr>
            </w:pPr>
          </w:p>
        </w:tc>
        <w:tc>
          <w:tcPr>
            <w:tcW w:w="1660" w:type="dxa"/>
            <w:tcBorders>
              <w:top w:val="nil"/>
              <w:left w:val="nil"/>
              <w:bottom w:val="single" w:color="auto" w:sz="4" w:space="0"/>
              <w:right w:val="single" w:color="auto" w:sz="4" w:space="0"/>
            </w:tcBorders>
            <w:vAlign w:val="center"/>
          </w:tcPr>
          <w:p w14:paraId="0FF96D8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资产总额（Z）</w:t>
            </w:r>
          </w:p>
        </w:tc>
        <w:tc>
          <w:tcPr>
            <w:tcW w:w="1466" w:type="dxa"/>
            <w:tcBorders>
              <w:top w:val="nil"/>
              <w:left w:val="nil"/>
              <w:bottom w:val="single" w:color="auto" w:sz="4" w:space="0"/>
              <w:right w:val="single" w:color="auto" w:sz="4" w:space="0"/>
            </w:tcBorders>
            <w:vAlign w:val="center"/>
          </w:tcPr>
          <w:p w14:paraId="16A061B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万元</w:t>
            </w:r>
          </w:p>
        </w:tc>
        <w:tc>
          <w:tcPr>
            <w:tcW w:w="1903" w:type="dxa"/>
            <w:tcBorders>
              <w:top w:val="nil"/>
              <w:left w:val="nil"/>
              <w:bottom w:val="single" w:color="auto" w:sz="4" w:space="0"/>
              <w:right w:val="single" w:color="auto" w:sz="4" w:space="0"/>
            </w:tcBorders>
            <w:vAlign w:val="center"/>
          </w:tcPr>
          <w:p w14:paraId="2F5C534F">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8000≤Z＜120000</w:t>
            </w:r>
          </w:p>
        </w:tc>
        <w:tc>
          <w:tcPr>
            <w:tcW w:w="1877" w:type="dxa"/>
            <w:tcBorders>
              <w:top w:val="nil"/>
              <w:left w:val="nil"/>
              <w:bottom w:val="single" w:color="auto" w:sz="4" w:space="0"/>
              <w:right w:val="single" w:color="auto" w:sz="4" w:space="0"/>
            </w:tcBorders>
            <w:vAlign w:val="center"/>
          </w:tcPr>
          <w:p w14:paraId="1C6CC3B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100≤Z＜8000</w:t>
            </w:r>
          </w:p>
        </w:tc>
        <w:tc>
          <w:tcPr>
            <w:tcW w:w="1134" w:type="dxa"/>
            <w:tcBorders>
              <w:top w:val="nil"/>
              <w:left w:val="nil"/>
              <w:bottom w:val="single" w:color="auto" w:sz="4" w:space="0"/>
              <w:right w:val="single" w:color="auto" w:sz="4" w:space="0"/>
            </w:tcBorders>
            <w:vAlign w:val="center"/>
          </w:tcPr>
          <w:p w14:paraId="0D3F83D4">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Y＜100</w:t>
            </w:r>
          </w:p>
        </w:tc>
      </w:tr>
      <w:tr w14:paraId="4AD3D730">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4649E0A7">
            <w:pPr>
              <w:widowControl/>
              <w:snapToGrid w:val="0"/>
              <w:contextualSpacing/>
              <w:jc w:val="center"/>
              <w:rPr>
                <w:rFonts w:ascii="仿宋" w:hAnsi="仿宋" w:eastAsia="仿宋" w:cs="仿宋"/>
                <w:b/>
                <w:bCs/>
                <w:color w:val="auto"/>
                <w:kern w:val="0"/>
                <w:sz w:val="24"/>
              </w:rPr>
            </w:pPr>
            <w:r>
              <w:rPr>
                <w:rFonts w:hint="eastAsia" w:ascii="仿宋" w:hAnsi="仿宋" w:eastAsia="仿宋" w:cs="仿宋"/>
                <w:b/>
                <w:bCs/>
                <w:color w:val="auto"/>
                <w:kern w:val="0"/>
                <w:sz w:val="24"/>
              </w:rPr>
              <w:t>其他未列明行业</w:t>
            </w:r>
          </w:p>
        </w:tc>
        <w:tc>
          <w:tcPr>
            <w:tcW w:w="1660" w:type="dxa"/>
            <w:tcBorders>
              <w:top w:val="nil"/>
              <w:left w:val="nil"/>
              <w:bottom w:val="single" w:color="auto" w:sz="4" w:space="0"/>
              <w:right w:val="single" w:color="auto" w:sz="4" w:space="0"/>
            </w:tcBorders>
            <w:vAlign w:val="center"/>
          </w:tcPr>
          <w:p w14:paraId="500368B9">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从业人员（X）</w:t>
            </w:r>
          </w:p>
        </w:tc>
        <w:tc>
          <w:tcPr>
            <w:tcW w:w="1466" w:type="dxa"/>
            <w:tcBorders>
              <w:top w:val="nil"/>
              <w:left w:val="nil"/>
              <w:bottom w:val="single" w:color="auto" w:sz="4" w:space="0"/>
              <w:right w:val="single" w:color="auto" w:sz="4" w:space="0"/>
            </w:tcBorders>
            <w:vAlign w:val="center"/>
          </w:tcPr>
          <w:p w14:paraId="42B91447">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人</w:t>
            </w:r>
          </w:p>
        </w:tc>
        <w:tc>
          <w:tcPr>
            <w:tcW w:w="1903" w:type="dxa"/>
            <w:tcBorders>
              <w:top w:val="nil"/>
              <w:left w:val="nil"/>
              <w:bottom w:val="single" w:color="auto" w:sz="4" w:space="0"/>
              <w:right w:val="single" w:color="auto" w:sz="4" w:space="0"/>
            </w:tcBorders>
            <w:vAlign w:val="center"/>
          </w:tcPr>
          <w:p w14:paraId="1784C625">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100≤X＜300</w:t>
            </w:r>
          </w:p>
        </w:tc>
        <w:tc>
          <w:tcPr>
            <w:tcW w:w="1877" w:type="dxa"/>
            <w:tcBorders>
              <w:top w:val="nil"/>
              <w:left w:val="nil"/>
              <w:bottom w:val="single" w:color="auto" w:sz="4" w:space="0"/>
              <w:right w:val="single" w:color="auto" w:sz="4" w:space="0"/>
            </w:tcBorders>
            <w:vAlign w:val="center"/>
          </w:tcPr>
          <w:p w14:paraId="35FD66F8">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10≤X＜100</w:t>
            </w:r>
          </w:p>
        </w:tc>
        <w:tc>
          <w:tcPr>
            <w:tcW w:w="1134" w:type="dxa"/>
            <w:tcBorders>
              <w:top w:val="nil"/>
              <w:left w:val="nil"/>
              <w:bottom w:val="single" w:color="auto" w:sz="4" w:space="0"/>
              <w:right w:val="single" w:color="auto" w:sz="4" w:space="0"/>
            </w:tcBorders>
            <w:vAlign w:val="center"/>
          </w:tcPr>
          <w:p w14:paraId="7CC358E6">
            <w:pPr>
              <w:widowControl/>
              <w:snapToGrid w:val="0"/>
              <w:contextualSpacing/>
              <w:jc w:val="center"/>
              <w:rPr>
                <w:rFonts w:ascii="仿宋" w:hAnsi="仿宋" w:eastAsia="仿宋" w:cs="仿宋"/>
                <w:color w:val="auto"/>
                <w:kern w:val="0"/>
                <w:sz w:val="24"/>
              </w:rPr>
            </w:pPr>
            <w:r>
              <w:rPr>
                <w:rFonts w:hint="eastAsia" w:ascii="仿宋" w:hAnsi="仿宋" w:eastAsia="仿宋" w:cs="仿宋"/>
                <w:color w:val="auto"/>
                <w:kern w:val="0"/>
                <w:sz w:val="24"/>
              </w:rPr>
              <w:t>X＜10</w:t>
            </w:r>
          </w:p>
        </w:tc>
      </w:tr>
    </w:tbl>
    <w:p w14:paraId="024F1906">
      <w:pPr>
        <w:widowControl/>
        <w:spacing w:before="100" w:beforeAutospacing="1" w:after="100" w:afterAutospacing="1" w:line="330" w:lineRule="atLeast"/>
        <w:jc w:val="left"/>
        <w:rPr>
          <w:rFonts w:ascii="仿宋" w:hAnsi="仿宋" w:eastAsia="仿宋" w:cs="宋体"/>
          <w:color w:val="auto"/>
          <w:kern w:val="0"/>
          <w:sz w:val="24"/>
          <w:u w:val="single"/>
        </w:rPr>
      </w:pPr>
      <w:r>
        <w:rPr>
          <w:rFonts w:hint="eastAsia" w:ascii="仿宋" w:hAnsi="仿宋" w:eastAsia="仿宋" w:cs="仿宋"/>
          <w:b/>
          <w:color w:val="auto"/>
          <w:sz w:val="24"/>
        </w:rPr>
        <w:t>说明：</w:t>
      </w:r>
      <w:r>
        <w:rPr>
          <w:rFonts w:hint="eastAsia" w:ascii="仿宋" w:hAnsi="仿宋" w:eastAsia="仿宋" w:cs="仿宋"/>
          <w:color w:val="auto"/>
          <w:sz w:val="24"/>
        </w:rPr>
        <w:t>上述标准参照《关于印发中小企业划型标准规定的通知》（工信部联企业[2011]300号），大型、中型和小型企业须同时满足所列指标的下限，否则下划一档；微型企业只须满足所列指标中的一项即可。</w:t>
      </w:r>
    </w:p>
    <w:p w14:paraId="2447190B">
      <w:pPr>
        <w:pStyle w:val="15"/>
        <w:tabs>
          <w:tab w:val="left" w:pos="5580"/>
        </w:tabs>
        <w:spacing w:line="360" w:lineRule="exact"/>
        <w:rPr>
          <w:rFonts w:hAnsi="宋体" w:cs="宋体"/>
          <w:color w:val="auto"/>
          <w:sz w:val="24"/>
          <w:szCs w:val="24"/>
        </w:rPr>
        <w:sectPr>
          <w:footerReference r:id="rId8" w:type="first"/>
          <w:headerReference r:id="rId5" w:type="default"/>
          <w:footerReference r:id="rId6" w:type="default"/>
          <w:footerReference r:id="rId7" w:type="even"/>
          <w:pgSz w:w="11906" w:h="16838"/>
          <w:pgMar w:top="1474" w:right="1701" w:bottom="1474" w:left="1701" w:header="851" w:footer="992" w:gutter="0"/>
          <w:pgNumType w:start="1"/>
          <w:cols w:space="720" w:num="1"/>
          <w:docGrid w:type="linesAndChars" w:linePitch="312" w:charSpace="0"/>
        </w:sectPr>
      </w:pPr>
    </w:p>
    <w:bookmarkEnd w:id="296"/>
    <w:p w14:paraId="18D7CEBC">
      <w:pPr>
        <w:pStyle w:val="15"/>
        <w:spacing w:line="240" w:lineRule="atLeast"/>
        <w:ind w:left="1378" w:leftChars="656" w:firstLine="961" w:firstLineChars="342"/>
        <w:rPr>
          <w:rFonts w:ascii="仿宋" w:hAnsi="仿宋" w:eastAsia="仿宋" w:cs="宋体"/>
          <w:b/>
          <w:bCs/>
          <w:color w:val="auto"/>
          <w:sz w:val="28"/>
          <w:szCs w:val="28"/>
        </w:rPr>
      </w:pPr>
      <w:r>
        <w:rPr>
          <w:rFonts w:hint="eastAsia" w:ascii="仿宋" w:hAnsi="仿宋" w:eastAsia="仿宋" w:cs="宋体"/>
          <w:b/>
          <w:bCs/>
          <w:color w:val="auto"/>
          <w:sz w:val="28"/>
          <w:szCs w:val="28"/>
        </w:rPr>
        <w:t>3   投标分项报价表（附件六）</w:t>
      </w:r>
    </w:p>
    <w:p w14:paraId="67356CD5">
      <w:pPr>
        <w:pStyle w:val="15"/>
        <w:spacing w:line="240" w:lineRule="atLeast"/>
        <w:ind w:left="540" w:leftChars="257" w:firstLine="480"/>
        <w:rPr>
          <w:rFonts w:ascii="仿宋" w:hAnsi="仿宋" w:eastAsia="仿宋" w:cs="宋体"/>
          <w:color w:val="auto"/>
          <w:sz w:val="24"/>
          <w:szCs w:val="24"/>
        </w:rPr>
      </w:pPr>
    </w:p>
    <w:p w14:paraId="423694F1">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项目名称:                      招标编号:                    　</w:t>
      </w:r>
    </w:p>
    <w:p w14:paraId="2F154943">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 xml:space="preserve">报价单位：人民币   </w:t>
      </w:r>
      <w:r>
        <w:rPr>
          <w:rFonts w:hint="eastAsia" w:ascii="仿宋" w:hAnsi="仿宋" w:eastAsia="仿宋" w:cs="宋体"/>
          <w:color w:val="auto"/>
          <w:sz w:val="24"/>
          <w:szCs w:val="24"/>
        </w:rPr>
        <w:t>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14:paraId="67A5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1" w:type="dxa"/>
            <w:vAlign w:val="center"/>
          </w:tcPr>
          <w:p w14:paraId="010B8375">
            <w:pPr>
              <w:pStyle w:val="15"/>
              <w:spacing w:line="240" w:lineRule="atLeast"/>
              <w:rPr>
                <w:rFonts w:ascii="仿宋" w:hAnsi="仿宋" w:eastAsia="仿宋" w:cs="宋体"/>
                <w:color w:val="auto"/>
                <w:sz w:val="24"/>
                <w:szCs w:val="24"/>
              </w:rPr>
            </w:pPr>
            <w:r>
              <w:rPr>
                <w:rFonts w:hint="eastAsia" w:ascii="仿宋" w:hAnsi="仿宋" w:eastAsia="仿宋" w:cs="宋体"/>
                <w:color w:val="auto"/>
                <w:sz w:val="24"/>
                <w:szCs w:val="24"/>
              </w:rPr>
              <w:t>序号</w:t>
            </w:r>
          </w:p>
        </w:tc>
        <w:tc>
          <w:tcPr>
            <w:tcW w:w="3796" w:type="dxa"/>
            <w:vAlign w:val="center"/>
          </w:tcPr>
          <w:p w14:paraId="50DBEC52">
            <w:pPr>
              <w:pStyle w:val="15"/>
              <w:spacing w:line="240" w:lineRule="atLeast"/>
              <w:ind w:firstLine="1320" w:firstLineChars="550"/>
              <w:rPr>
                <w:rFonts w:ascii="仿宋" w:hAnsi="仿宋" w:eastAsia="仿宋" w:cs="宋体"/>
                <w:color w:val="auto"/>
                <w:sz w:val="24"/>
                <w:szCs w:val="24"/>
              </w:rPr>
            </w:pPr>
            <w:r>
              <w:rPr>
                <w:rFonts w:hint="eastAsia" w:ascii="仿宋" w:hAnsi="仿宋" w:eastAsia="仿宋" w:cs="宋体"/>
                <w:color w:val="auto"/>
                <w:sz w:val="24"/>
                <w:szCs w:val="24"/>
              </w:rPr>
              <w:t>名称</w:t>
            </w:r>
          </w:p>
        </w:tc>
        <w:tc>
          <w:tcPr>
            <w:tcW w:w="2162" w:type="dxa"/>
            <w:vAlign w:val="center"/>
          </w:tcPr>
          <w:p w14:paraId="25D15BAF">
            <w:pPr>
              <w:pStyle w:val="15"/>
              <w:spacing w:line="240" w:lineRule="atLeast"/>
              <w:ind w:firstLine="600" w:firstLineChars="250"/>
              <w:rPr>
                <w:rFonts w:ascii="仿宋" w:hAnsi="仿宋" w:eastAsia="仿宋" w:cs="宋体"/>
                <w:color w:val="auto"/>
                <w:sz w:val="24"/>
                <w:szCs w:val="24"/>
              </w:rPr>
            </w:pPr>
            <w:r>
              <w:rPr>
                <w:rFonts w:hint="eastAsia" w:ascii="仿宋" w:hAnsi="仿宋" w:eastAsia="仿宋" w:cs="宋体"/>
                <w:color w:val="auto"/>
                <w:sz w:val="24"/>
                <w:szCs w:val="24"/>
              </w:rPr>
              <w:t>报价</w:t>
            </w:r>
          </w:p>
        </w:tc>
        <w:tc>
          <w:tcPr>
            <w:tcW w:w="1667" w:type="dxa"/>
            <w:vAlign w:val="center"/>
          </w:tcPr>
          <w:p w14:paraId="472ABD2A">
            <w:pPr>
              <w:pStyle w:val="15"/>
              <w:spacing w:line="240" w:lineRule="atLeast"/>
              <w:ind w:left="540" w:leftChars="257"/>
              <w:rPr>
                <w:rFonts w:ascii="仿宋" w:hAnsi="仿宋" w:eastAsia="仿宋" w:cs="宋体"/>
                <w:color w:val="auto"/>
                <w:sz w:val="24"/>
                <w:szCs w:val="24"/>
              </w:rPr>
            </w:pPr>
            <w:r>
              <w:rPr>
                <w:rFonts w:hint="eastAsia" w:ascii="仿宋" w:hAnsi="仿宋" w:eastAsia="仿宋" w:cs="宋体"/>
                <w:color w:val="auto"/>
                <w:sz w:val="24"/>
                <w:szCs w:val="24"/>
              </w:rPr>
              <w:t>备注</w:t>
            </w:r>
          </w:p>
        </w:tc>
      </w:tr>
      <w:tr w14:paraId="6F73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vAlign w:val="center"/>
          </w:tcPr>
          <w:p w14:paraId="5679BB97">
            <w:pPr>
              <w:pStyle w:val="15"/>
              <w:spacing w:line="240" w:lineRule="atLeast"/>
              <w:ind w:left="540" w:leftChars="257" w:firstLine="480"/>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3796" w:type="dxa"/>
            <w:vAlign w:val="center"/>
          </w:tcPr>
          <w:p w14:paraId="5B37FF65">
            <w:pPr>
              <w:pStyle w:val="15"/>
              <w:spacing w:line="240" w:lineRule="atLeast"/>
              <w:ind w:left="540" w:leftChars="257" w:firstLine="480"/>
              <w:jc w:val="center"/>
              <w:rPr>
                <w:rFonts w:ascii="仿宋" w:hAnsi="仿宋" w:eastAsia="仿宋" w:cs="宋体"/>
                <w:color w:val="auto"/>
                <w:sz w:val="24"/>
                <w:szCs w:val="24"/>
              </w:rPr>
            </w:pPr>
          </w:p>
        </w:tc>
        <w:tc>
          <w:tcPr>
            <w:tcW w:w="2162" w:type="dxa"/>
            <w:vAlign w:val="center"/>
          </w:tcPr>
          <w:p w14:paraId="22C0FFE6">
            <w:pPr>
              <w:pStyle w:val="15"/>
              <w:spacing w:line="240" w:lineRule="atLeast"/>
              <w:ind w:left="540" w:leftChars="257" w:firstLine="480"/>
              <w:jc w:val="center"/>
              <w:rPr>
                <w:rFonts w:ascii="仿宋" w:hAnsi="仿宋" w:eastAsia="仿宋" w:cs="宋体"/>
                <w:color w:val="auto"/>
                <w:sz w:val="24"/>
                <w:szCs w:val="24"/>
              </w:rPr>
            </w:pPr>
          </w:p>
        </w:tc>
        <w:tc>
          <w:tcPr>
            <w:tcW w:w="1667" w:type="dxa"/>
            <w:vAlign w:val="center"/>
          </w:tcPr>
          <w:p w14:paraId="38694CC8">
            <w:pPr>
              <w:pStyle w:val="15"/>
              <w:spacing w:line="240" w:lineRule="atLeast"/>
              <w:ind w:left="540" w:leftChars="257" w:firstLine="480"/>
              <w:jc w:val="center"/>
              <w:rPr>
                <w:rFonts w:ascii="仿宋" w:hAnsi="仿宋" w:eastAsia="仿宋" w:cs="宋体"/>
                <w:color w:val="auto"/>
                <w:sz w:val="24"/>
                <w:szCs w:val="24"/>
              </w:rPr>
            </w:pPr>
          </w:p>
        </w:tc>
      </w:tr>
      <w:tr w14:paraId="7D1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14:paraId="11AFCD9E">
            <w:pPr>
              <w:pStyle w:val="15"/>
              <w:spacing w:line="240" w:lineRule="atLeast"/>
              <w:ind w:left="540" w:leftChars="257" w:firstLine="480"/>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3796" w:type="dxa"/>
            <w:vAlign w:val="center"/>
          </w:tcPr>
          <w:p w14:paraId="0E3D913C">
            <w:pPr>
              <w:pStyle w:val="15"/>
              <w:spacing w:line="240" w:lineRule="atLeast"/>
              <w:ind w:left="540" w:leftChars="257" w:firstLine="480"/>
              <w:jc w:val="center"/>
              <w:rPr>
                <w:rFonts w:ascii="仿宋" w:hAnsi="仿宋" w:eastAsia="仿宋" w:cs="宋体"/>
                <w:color w:val="auto"/>
                <w:sz w:val="24"/>
                <w:szCs w:val="24"/>
              </w:rPr>
            </w:pPr>
          </w:p>
        </w:tc>
        <w:tc>
          <w:tcPr>
            <w:tcW w:w="2162" w:type="dxa"/>
            <w:vAlign w:val="center"/>
          </w:tcPr>
          <w:p w14:paraId="512A71E4">
            <w:pPr>
              <w:pStyle w:val="15"/>
              <w:spacing w:line="240" w:lineRule="atLeast"/>
              <w:ind w:left="540" w:leftChars="257" w:firstLine="480"/>
              <w:jc w:val="center"/>
              <w:rPr>
                <w:rFonts w:ascii="仿宋" w:hAnsi="仿宋" w:eastAsia="仿宋" w:cs="宋体"/>
                <w:color w:val="auto"/>
                <w:sz w:val="24"/>
                <w:szCs w:val="24"/>
              </w:rPr>
            </w:pPr>
          </w:p>
        </w:tc>
        <w:tc>
          <w:tcPr>
            <w:tcW w:w="1667" w:type="dxa"/>
            <w:vAlign w:val="center"/>
          </w:tcPr>
          <w:p w14:paraId="0A81FF3D">
            <w:pPr>
              <w:pStyle w:val="15"/>
              <w:spacing w:line="240" w:lineRule="atLeast"/>
              <w:ind w:left="540" w:leftChars="257" w:firstLine="480"/>
              <w:jc w:val="center"/>
              <w:rPr>
                <w:rFonts w:ascii="仿宋" w:hAnsi="仿宋" w:eastAsia="仿宋" w:cs="宋体"/>
                <w:color w:val="auto"/>
                <w:sz w:val="24"/>
                <w:szCs w:val="24"/>
              </w:rPr>
            </w:pPr>
          </w:p>
        </w:tc>
      </w:tr>
      <w:tr w14:paraId="3B6D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14:paraId="04D31DB6">
            <w:pPr>
              <w:pStyle w:val="15"/>
              <w:spacing w:line="240" w:lineRule="atLeast"/>
              <w:ind w:left="540" w:leftChars="257" w:firstLine="480"/>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3796" w:type="dxa"/>
            <w:vAlign w:val="center"/>
          </w:tcPr>
          <w:p w14:paraId="5F818A6E">
            <w:pPr>
              <w:pStyle w:val="15"/>
              <w:spacing w:line="240" w:lineRule="atLeast"/>
              <w:ind w:left="540" w:leftChars="257" w:firstLine="480"/>
              <w:jc w:val="center"/>
              <w:rPr>
                <w:rFonts w:ascii="仿宋" w:hAnsi="仿宋" w:eastAsia="仿宋" w:cs="宋体"/>
                <w:color w:val="auto"/>
                <w:sz w:val="24"/>
                <w:szCs w:val="24"/>
              </w:rPr>
            </w:pPr>
          </w:p>
        </w:tc>
        <w:tc>
          <w:tcPr>
            <w:tcW w:w="2162" w:type="dxa"/>
            <w:vAlign w:val="center"/>
          </w:tcPr>
          <w:p w14:paraId="1D5647C8">
            <w:pPr>
              <w:pStyle w:val="15"/>
              <w:spacing w:line="240" w:lineRule="atLeast"/>
              <w:ind w:left="540" w:leftChars="257" w:firstLine="480"/>
              <w:jc w:val="center"/>
              <w:rPr>
                <w:rFonts w:ascii="仿宋" w:hAnsi="仿宋" w:eastAsia="仿宋" w:cs="宋体"/>
                <w:color w:val="auto"/>
                <w:sz w:val="24"/>
                <w:szCs w:val="24"/>
              </w:rPr>
            </w:pPr>
          </w:p>
        </w:tc>
        <w:tc>
          <w:tcPr>
            <w:tcW w:w="1667" w:type="dxa"/>
            <w:vAlign w:val="center"/>
          </w:tcPr>
          <w:p w14:paraId="6A74E8D9">
            <w:pPr>
              <w:pStyle w:val="15"/>
              <w:spacing w:line="240" w:lineRule="atLeast"/>
              <w:ind w:left="540" w:leftChars="257" w:firstLine="480"/>
              <w:jc w:val="center"/>
              <w:rPr>
                <w:rFonts w:ascii="仿宋" w:hAnsi="仿宋" w:eastAsia="仿宋" w:cs="宋体"/>
                <w:color w:val="auto"/>
                <w:sz w:val="24"/>
                <w:szCs w:val="24"/>
              </w:rPr>
            </w:pPr>
          </w:p>
        </w:tc>
      </w:tr>
      <w:tr w14:paraId="1D5F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14:paraId="4FA18844">
            <w:pPr>
              <w:pStyle w:val="15"/>
              <w:spacing w:line="240" w:lineRule="atLeast"/>
              <w:ind w:left="540" w:leftChars="257" w:firstLine="480"/>
              <w:jc w:val="center"/>
              <w:rPr>
                <w:rFonts w:ascii="仿宋" w:hAnsi="仿宋" w:eastAsia="仿宋" w:cs="宋体"/>
                <w:color w:val="auto"/>
                <w:sz w:val="24"/>
                <w:szCs w:val="24"/>
              </w:rPr>
            </w:pPr>
            <w:r>
              <w:rPr>
                <w:rFonts w:hint="eastAsia" w:ascii="仿宋" w:hAnsi="仿宋" w:eastAsia="仿宋" w:cs="宋体"/>
                <w:color w:val="auto"/>
                <w:sz w:val="24"/>
                <w:szCs w:val="24"/>
              </w:rPr>
              <w:t>4.</w:t>
            </w:r>
          </w:p>
        </w:tc>
        <w:tc>
          <w:tcPr>
            <w:tcW w:w="3796" w:type="dxa"/>
            <w:vAlign w:val="center"/>
          </w:tcPr>
          <w:p w14:paraId="150BD128">
            <w:pPr>
              <w:pStyle w:val="15"/>
              <w:spacing w:line="240" w:lineRule="atLeast"/>
              <w:ind w:left="540" w:leftChars="257" w:firstLine="480"/>
              <w:jc w:val="center"/>
              <w:rPr>
                <w:rFonts w:ascii="仿宋" w:hAnsi="仿宋" w:eastAsia="仿宋" w:cs="宋体"/>
                <w:color w:val="auto"/>
                <w:sz w:val="24"/>
                <w:szCs w:val="24"/>
              </w:rPr>
            </w:pPr>
          </w:p>
        </w:tc>
        <w:tc>
          <w:tcPr>
            <w:tcW w:w="2162" w:type="dxa"/>
            <w:vAlign w:val="center"/>
          </w:tcPr>
          <w:p w14:paraId="0F62C400">
            <w:pPr>
              <w:pStyle w:val="15"/>
              <w:spacing w:line="240" w:lineRule="atLeast"/>
              <w:ind w:left="540" w:leftChars="257" w:firstLine="480"/>
              <w:jc w:val="center"/>
              <w:rPr>
                <w:rFonts w:ascii="仿宋" w:hAnsi="仿宋" w:eastAsia="仿宋" w:cs="宋体"/>
                <w:color w:val="auto"/>
                <w:sz w:val="24"/>
                <w:szCs w:val="24"/>
              </w:rPr>
            </w:pPr>
          </w:p>
        </w:tc>
        <w:tc>
          <w:tcPr>
            <w:tcW w:w="1667" w:type="dxa"/>
            <w:vAlign w:val="center"/>
          </w:tcPr>
          <w:p w14:paraId="10D91805">
            <w:pPr>
              <w:pStyle w:val="15"/>
              <w:spacing w:line="240" w:lineRule="atLeast"/>
              <w:ind w:left="540" w:leftChars="257" w:firstLine="480"/>
              <w:jc w:val="center"/>
              <w:rPr>
                <w:rFonts w:ascii="仿宋" w:hAnsi="仿宋" w:eastAsia="仿宋" w:cs="宋体"/>
                <w:color w:val="auto"/>
                <w:sz w:val="24"/>
                <w:szCs w:val="24"/>
              </w:rPr>
            </w:pPr>
          </w:p>
        </w:tc>
      </w:tr>
      <w:tr w14:paraId="3149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vAlign w:val="center"/>
          </w:tcPr>
          <w:p w14:paraId="59300C94">
            <w:pPr>
              <w:pStyle w:val="15"/>
              <w:spacing w:line="240" w:lineRule="atLeast"/>
              <w:ind w:left="540" w:leftChars="257" w:firstLine="480"/>
              <w:jc w:val="center"/>
              <w:rPr>
                <w:rFonts w:ascii="仿宋" w:hAnsi="仿宋" w:eastAsia="仿宋" w:cs="宋体"/>
                <w:color w:val="auto"/>
                <w:sz w:val="24"/>
                <w:szCs w:val="24"/>
              </w:rPr>
            </w:pPr>
            <w:r>
              <w:rPr>
                <w:rFonts w:hint="eastAsia" w:ascii="仿宋" w:hAnsi="仿宋" w:eastAsia="仿宋" w:cs="宋体"/>
                <w:color w:val="auto"/>
                <w:sz w:val="24"/>
                <w:szCs w:val="24"/>
              </w:rPr>
              <w:t>5.</w:t>
            </w:r>
          </w:p>
        </w:tc>
        <w:tc>
          <w:tcPr>
            <w:tcW w:w="3796" w:type="dxa"/>
            <w:vAlign w:val="center"/>
          </w:tcPr>
          <w:p w14:paraId="419819B9">
            <w:pPr>
              <w:pStyle w:val="15"/>
              <w:spacing w:line="240" w:lineRule="atLeast"/>
              <w:ind w:left="540" w:leftChars="257" w:firstLine="480"/>
              <w:jc w:val="center"/>
              <w:rPr>
                <w:rFonts w:ascii="仿宋" w:hAnsi="仿宋" w:eastAsia="仿宋" w:cs="宋体"/>
                <w:color w:val="auto"/>
                <w:sz w:val="24"/>
                <w:szCs w:val="24"/>
              </w:rPr>
            </w:pPr>
          </w:p>
        </w:tc>
        <w:tc>
          <w:tcPr>
            <w:tcW w:w="2162" w:type="dxa"/>
            <w:vAlign w:val="center"/>
          </w:tcPr>
          <w:p w14:paraId="7A7C678C">
            <w:pPr>
              <w:pStyle w:val="15"/>
              <w:spacing w:line="240" w:lineRule="atLeast"/>
              <w:ind w:left="540" w:leftChars="257" w:firstLine="480"/>
              <w:jc w:val="center"/>
              <w:rPr>
                <w:rFonts w:ascii="仿宋" w:hAnsi="仿宋" w:eastAsia="仿宋" w:cs="宋体"/>
                <w:color w:val="auto"/>
                <w:sz w:val="24"/>
                <w:szCs w:val="24"/>
              </w:rPr>
            </w:pPr>
          </w:p>
        </w:tc>
        <w:tc>
          <w:tcPr>
            <w:tcW w:w="1667" w:type="dxa"/>
            <w:vAlign w:val="center"/>
          </w:tcPr>
          <w:p w14:paraId="13B70FAD">
            <w:pPr>
              <w:pStyle w:val="15"/>
              <w:spacing w:line="240" w:lineRule="atLeast"/>
              <w:ind w:left="540" w:leftChars="257" w:firstLine="480"/>
              <w:jc w:val="center"/>
              <w:rPr>
                <w:rFonts w:ascii="仿宋" w:hAnsi="仿宋" w:eastAsia="仿宋" w:cs="宋体"/>
                <w:color w:val="auto"/>
                <w:sz w:val="24"/>
                <w:szCs w:val="24"/>
              </w:rPr>
            </w:pPr>
          </w:p>
        </w:tc>
      </w:tr>
      <w:tr w14:paraId="6F4A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91" w:type="dxa"/>
            <w:vAlign w:val="center"/>
          </w:tcPr>
          <w:p w14:paraId="580CE407">
            <w:pPr>
              <w:pStyle w:val="15"/>
              <w:spacing w:line="240" w:lineRule="atLeast"/>
              <w:ind w:left="540" w:leftChars="257" w:firstLine="480"/>
              <w:jc w:val="center"/>
              <w:rPr>
                <w:rFonts w:ascii="仿宋" w:hAnsi="仿宋" w:eastAsia="仿宋" w:cs="宋体"/>
                <w:color w:val="auto"/>
                <w:sz w:val="24"/>
                <w:szCs w:val="24"/>
              </w:rPr>
            </w:pPr>
            <w:r>
              <w:rPr>
                <w:rFonts w:hint="eastAsia" w:ascii="仿宋" w:hAnsi="仿宋" w:eastAsia="仿宋" w:cs="宋体"/>
                <w:color w:val="auto"/>
                <w:sz w:val="24"/>
                <w:szCs w:val="24"/>
              </w:rPr>
              <w:t>6.</w:t>
            </w:r>
          </w:p>
        </w:tc>
        <w:tc>
          <w:tcPr>
            <w:tcW w:w="3796" w:type="dxa"/>
            <w:vAlign w:val="center"/>
          </w:tcPr>
          <w:p w14:paraId="4F940B8C">
            <w:pPr>
              <w:pStyle w:val="15"/>
              <w:spacing w:line="240" w:lineRule="atLeast"/>
              <w:ind w:left="540" w:leftChars="257" w:firstLine="480"/>
              <w:jc w:val="center"/>
              <w:rPr>
                <w:rFonts w:ascii="仿宋" w:hAnsi="仿宋" w:eastAsia="仿宋" w:cs="宋体"/>
                <w:color w:val="auto"/>
                <w:sz w:val="24"/>
                <w:szCs w:val="24"/>
              </w:rPr>
            </w:pPr>
          </w:p>
        </w:tc>
        <w:tc>
          <w:tcPr>
            <w:tcW w:w="2162" w:type="dxa"/>
            <w:vAlign w:val="center"/>
          </w:tcPr>
          <w:p w14:paraId="14BA9DEE">
            <w:pPr>
              <w:pStyle w:val="15"/>
              <w:spacing w:line="240" w:lineRule="atLeast"/>
              <w:ind w:left="540" w:leftChars="257" w:firstLine="480"/>
              <w:jc w:val="center"/>
              <w:rPr>
                <w:rFonts w:ascii="仿宋" w:hAnsi="仿宋" w:eastAsia="仿宋" w:cs="宋体"/>
                <w:color w:val="auto"/>
                <w:sz w:val="24"/>
                <w:szCs w:val="24"/>
              </w:rPr>
            </w:pPr>
          </w:p>
        </w:tc>
        <w:tc>
          <w:tcPr>
            <w:tcW w:w="1667" w:type="dxa"/>
            <w:vAlign w:val="center"/>
          </w:tcPr>
          <w:p w14:paraId="6784A1F2">
            <w:pPr>
              <w:pStyle w:val="15"/>
              <w:spacing w:line="240" w:lineRule="atLeast"/>
              <w:ind w:left="540" w:leftChars="257" w:firstLine="480"/>
              <w:jc w:val="center"/>
              <w:rPr>
                <w:rFonts w:ascii="仿宋" w:hAnsi="仿宋" w:eastAsia="仿宋" w:cs="宋体"/>
                <w:color w:val="auto"/>
                <w:sz w:val="24"/>
                <w:szCs w:val="24"/>
              </w:rPr>
            </w:pPr>
          </w:p>
        </w:tc>
      </w:tr>
      <w:tr w14:paraId="62EC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vAlign w:val="center"/>
          </w:tcPr>
          <w:p w14:paraId="734696B0">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总价：</w:t>
            </w:r>
          </w:p>
        </w:tc>
        <w:tc>
          <w:tcPr>
            <w:tcW w:w="1667" w:type="dxa"/>
            <w:vAlign w:val="center"/>
          </w:tcPr>
          <w:p w14:paraId="4ECB44D8">
            <w:pPr>
              <w:pStyle w:val="15"/>
              <w:spacing w:line="240" w:lineRule="atLeast"/>
              <w:ind w:left="540" w:leftChars="257" w:firstLine="480"/>
              <w:jc w:val="center"/>
              <w:rPr>
                <w:rFonts w:ascii="仿宋" w:hAnsi="仿宋" w:eastAsia="仿宋" w:cs="宋体"/>
                <w:color w:val="auto"/>
                <w:sz w:val="24"/>
                <w:szCs w:val="24"/>
              </w:rPr>
            </w:pPr>
          </w:p>
        </w:tc>
      </w:tr>
    </w:tbl>
    <w:p w14:paraId="41F74251">
      <w:pPr>
        <w:pStyle w:val="15"/>
        <w:spacing w:line="240" w:lineRule="atLeast"/>
        <w:ind w:left="540" w:leftChars="257" w:firstLine="480"/>
        <w:rPr>
          <w:rFonts w:ascii="仿宋" w:hAnsi="仿宋" w:eastAsia="仿宋" w:cs="宋体"/>
          <w:color w:val="auto"/>
          <w:sz w:val="24"/>
          <w:szCs w:val="24"/>
        </w:rPr>
      </w:pPr>
    </w:p>
    <w:p w14:paraId="6160082A">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法定代表人或其</w:t>
      </w:r>
      <w:r>
        <w:rPr>
          <w:rFonts w:hint="eastAsia" w:ascii="仿宋" w:hAnsi="仿宋" w:eastAsia="仿宋" w:cs="宋体"/>
          <w:color w:val="auto"/>
          <w:sz w:val="24"/>
          <w:szCs w:val="24"/>
        </w:rPr>
        <w:t>委托代理人</w:t>
      </w:r>
      <w:r>
        <w:rPr>
          <w:rFonts w:ascii="MicrosoftYaHei" w:eastAsia="MicrosoftYaHei" w:cs="MicrosoftYaHei"/>
          <w:color w:val="auto"/>
          <w:kern w:val="0"/>
          <w:sz w:val="24"/>
        </w:rPr>
        <w:t xml:space="preserve"> </w:t>
      </w:r>
      <w:r>
        <w:rPr>
          <w:rFonts w:ascii="仿宋" w:hAnsi="仿宋" w:eastAsia="仿宋" w:cs="宋体"/>
          <w:color w:val="auto"/>
          <w:sz w:val="24"/>
          <w:szCs w:val="24"/>
        </w:rPr>
        <w:t>(</w:t>
      </w:r>
      <w:r>
        <w:rPr>
          <w:rFonts w:hint="eastAsia" w:ascii="仿宋" w:hAnsi="仿宋" w:eastAsia="仿宋" w:cs="宋体"/>
          <w:color w:val="auto"/>
          <w:sz w:val="24"/>
          <w:szCs w:val="24"/>
        </w:rPr>
        <w:t>签字或盖章</w:t>
      </w:r>
      <w:r>
        <w:rPr>
          <w:rFonts w:ascii="仿宋" w:hAnsi="仿宋" w:eastAsia="仿宋" w:cs="宋体"/>
          <w:color w:val="auto"/>
          <w:sz w:val="24"/>
          <w:szCs w:val="24"/>
        </w:rPr>
        <w:t>)</w:t>
      </w:r>
      <w:r>
        <w:rPr>
          <w:rFonts w:ascii="仿宋" w:hAnsi="仿宋" w:eastAsia="仿宋" w:cs="宋体"/>
          <w:color w:val="auto"/>
          <w:sz w:val="24"/>
          <w:szCs w:val="24"/>
        </w:rPr>
        <w:t>:</w:t>
      </w:r>
      <w:r>
        <w:rPr>
          <w:rFonts w:hint="eastAsia" w:ascii="仿宋" w:hAnsi="仿宋" w:eastAsia="仿宋" w:cs="宋体"/>
          <w:color w:val="auto"/>
          <w:sz w:val="24"/>
          <w:szCs w:val="24"/>
        </w:rPr>
        <w:t xml:space="preserve"> </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ab/>
      </w:r>
      <w:r>
        <w:rPr>
          <w:rFonts w:hint="eastAsia" w:ascii="仿宋" w:hAnsi="仿宋" w:eastAsia="仿宋" w:cs="宋体"/>
          <w:color w:val="auto"/>
          <w:sz w:val="24"/>
          <w:szCs w:val="24"/>
        </w:rPr>
        <w:t xml:space="preserve">                 </w:t>
      </w:r>
    </w:p>
    <w:p w14:paraId="0F309E1A">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投标人(盖单位章):</w:t>
      </w:r>
      <w:r>
        <w:rPr>
          <w:rFonts w:hint="eastAsia" w:ascii="仿宋" w:hAnsi="仿宋" w:eastAsia="仿宋" w:cs="宋体"/>
          <w:color w:val="auto"/>
          <w:sz w:val="24"/>
          <w:szCs w:val="24"/>
        </w:rPr>
        <w:tab/>
      </w:r>
    </w:p>
    <w:p w14:paraId="318E8F54">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日期：年   月   日</w:t>
      </w:r>
    </w:p>
    <w:p w14:paraId="0106802C">
      <w:pPr>
        <w:pStyle w:val="16"/>
        <w:ind w:left="2520"/>
        <w:rPr>
          <w:color w:val="auto"/>
        </w:rPr>
      </w:pPr>
    </w:p>
    <w:p w14:paraId="35404988">
      <w:pPr>
        <w:rPr>
          <w:color w:val="auto"/>
        </w:rPr>
      </w:pPr>
    </w:p>
    <w:p w14:paraId="2695A618">
      <w:pPr>
        <w:pStyle w:val="2"/>
        <w:rPr>
          <w:color w:val="auto"/>
        </w:rPr>
      </w:pPr>
    </w:p>
    <w:p w14:paraId="5EBEB117">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注:1. 如果按分项报价计算的结果与总价不一致,以分项报价为准修正总价。</w:t>
      </w:r>
    </w:p>
    <w:p w14:paraId="4442CA98">
      <w:pPr>
        <w:pStyle w:val="15"/>
        <w:spacing w:line="240" w:lineRule="atLeast"/>
        <w:ind w:left="1155" w:leftChars="550" w:firstLine="120" w:firstLineChars="50"/>
        <w:rPr>
          <w:rFonts w:ascii="仿宋" w:hAnsi="仿宋" w:eastAsia="仿宋" w:cs="宋体"/>
          <w:color w:val="auto"/>
          <w:sz w:val="24"/>
          <w:szCs w:val="24"/>
        </w:rPr>
      </w:pPr>
      <w:r>
        <w:rPr>
          <w:rFonts w:hint="eastAsia" w:ascii="仿宋" w:hAnsi="仿宋" w:eastAsia="仿宋" w:cs="宋体"/>
          <w:color w:val="auto"/>
          <w:sz w:val="24"/>
          <w:szCs w:val="24"/>
        </w:rPr>
        <w:t>2. 上述各项的详细分项报价，可另页描述。</w:t>
      </w:r>
    </w:p>
    <w:p w14:paraId="5C81EF9F">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 xml:space="preserve">  3. 如果开标一览表（报价表）内容与投标文件中明细表内容不一致的，以开标一览表（报价表）内容为准。  </w:t>
      </w:r>
    </w:p>
    <w:p w14:paraId="65A4389F">
      <w:pPr>
        <w:pStyle w:val="16"/>
        <w:ind w:left="2520"/>
        <w:rPr>
          <w:color w:val="auto"/>
        </w:rPr>
      </w:pPr>
    </w:p>
    <w:p w14:paraId="7A37CC28">
      <w:pPr>
        <w:ind w:firstLine="480"/>
        <w:rPr>
          <w:color w:val="auto"/>
        </w:rPr>
      </w:pPr>
      <w:r>
        <w:rPr>
          <w:rFonts w:hint="eastAsia" w:hAnsi="宋体" w:cs="宋体"/>
          <w:color w:val="auto"/>
          <w:sz w:val="24"/>
        </w:rPr>
        <w:br w:type="page"/>
      </w:r>
      <w:bookmarkStart w:id="297" w:name="_Toc518923119"/>
      <w:bookmarkStart w:id="298" w:name="_Toc8079"/>
      <w:bookmarkStart w:id="299" w:name="_Toc216582818"/>
      <w:r>
        <w:rPr>
          <w:rFonts w:hint="eastAsia" w:hAnsi="宋体" w:cs="宋体"/>
          <w:color w:val="auto"/>
          <w:sz w:val="24"/>
        </w:rPr>
        <w:t xml:space="preserve">       </w:t>
      </w:r>
    </w:p>
    <w:p w14:paraId="02C30F56">
      <w:pPr>
        <w:pStyle w:val="15"/>
        <w:spacing w:line="240" w:lineRule="atLeast"/>
        <w:ind w:left="540" w:leftChars="257" w:firstLine="562"/>
        <w:jc w:val="center"/>
        <w:rPr>
          <w:rFonts w:ascii="仿宋" w:hAnsi="仿宋" w:eastAsia="仿宋" w:cs="宋体"/>
          <w:b/>
          <w:bCs/>
          <w:color w:val="auto"/>
          <w:sz w:val="28"/>
          <w:szCs w:val="28"/>
        </w:rPr>
      </w:pPr>
      <w:r>
        <w:rPr>
          <w:rFonts w:hint="eastAsia" w:ascii="仿宋" w:hAnsi="仿宋" w:eastAsia="仿宋" w:cs="宋体"/>
          <w:b/>
          <w:bCs/>
          <w:color w:val="auto"/>
          <w:sz w:val="28"/>
          <w:szCs w:val="28"/>
        </w:rPr>
        <w:t>4   服务需求偏离表（附件七）</w:t>
      </w:r>
    </w:p>
    <w:p w14:paraId="28534CDC">
      <w:pPr>
        <w:pStyle w:val="7"/>
        <w:ind w:firstLine="480"/>
        <w:rPr>
          <w:rFonts w:ascii="仿宋" w:hAnsi="仿宋" w:eastAsia="仿宋" w:cs="宋体"/>
          <w:color w:val="auto"/>
          <w:szCs w:val="24"/>
        </w:rPr>
      </w:pPr>
      <w:r>
        <w:rPr>
          <w:rFonts w:hint="eastAsia" w:ascii="仿宋" w:hAnsi="仿宋" w:eastAsia="仿宋" w:cs="宋体"/>
          <w:color w:val="auto"/>
          <w:szCs w:val="24"/>
        </w:rPr>
        <w:t xml:space="preserve">项目名称:                      招标编号: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14:paraId="60A3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vAlign w:val="center"/>
          </w:tcPr>
          <w:p w14:paraId="714F9A34">
            <w:pPr>
              <w:snapToGrid w:val="0"/>
              <w:spacing w:line="360" w:lineRule="auto"/>
              <w:jc w:val="center"/>
              <w:rPr>
                <w:rFonts w:ascii="仿宋" w:hAnsi="仿宋" w:eastAsia="仿宋" w:cs="宋体"/>
                <w:bCs/>
                <w:color w:val="auto"/>
                <w:sz w:val="24"/>
              </w:rPr>
            </w:pPr>
            <w:r>
              <w:rPr>
                <w:rFonts w:hint="eastAsia" w:ascii="仿宋" w:hAnsi="仿宋" w:eastAsia="仿宋" w:cs="宋体"/>
                <w:bCs/>
                <w:color w:val="auto"/>
                <w:sz w:val="24"/>
              </w:rPr>
              <w:t>序号</w:t>
            </w:r>
          </w:p>
        </w:tc>
        <w:tc>
          <w:tcPr>
            <w:tcW w:w="1278" w:type="dxa"/>
            <w:vAlign w:val="center"/>
          </w:tcPr>
          <w:p w14:paraId="3E10DA19">
            <w:pPr>
              <w:snapToGrid w:val="0"/>
              <w:spacing w:line="360" w:lineRule="auto"/>
              <w:jc w:val="center"/>
              <w:rPr>
                <w:rFonts w:ascii="仿宋" w:hAnsi="仿宋" w:eastAsia="仿宋" w:cs="宋体"/>
                <w:bCs/>
                <w:color w:val="auto"/>
                <w:sz w:val="24"/>
              </w:rPr>
            </w:pPr>
            <w:r>
              <w:rPr>
                <w:rFonts w:hint="eastAsia" w:ascii="仿宋" w:hAnsi="仿宋" w:eastAsia="仿宋" w:cs="宋体"/>
                <w:bCs/>
                <w:color w:val="auto"/>
                <w:sz w:val="24"/>
              </w:rPr>
              <w:t>项目名称</w:t>
            </w:r>
          </w:p>
        </w:tc>
        <w:tc>
          <w:tcPr>
            <w:tcW w:w="2090" w:type="dxa"/>
            <w:vAlign w:val="center"/>
          </w:tcPr>
          <w:p w14:paraId="3FB3152E">
            <w:pPr>
              <w:snapToGrid w:val="0"/>
              <w:spacing w:line="360" w:lineRule="auto"/>
              <w:jc w:val="center"/>
              <w:rPr>
                <w:rFonts w:ascii="仿宋" w:hAnsi="仿宋" w:eastAsia="仿宋" w:cs="宋体"/>
                <w:bCs/>
                <w:color w:val="auto"/>
                <w:sz w:val="24"/>
              </w:rPr>
            </w:pPr>
            <w:r>
              <w:rPr>
                <w:rFonts w:hint="eastAsia" w:ascii="仿宋" w:hAnsi="仿宋" w:eastAsia="仿宋" w:cs="宋体"/>
                <w:bCs/>
                <w:color w:val="auto"/>
                <w:sz w:val="24"/>
              </w:rPr>
              <w:t>招标服务内容</w:t>
            </w:r>
          </w:p>
        </w:tc>
        <w:tc>
          <w:tcPr>
            <w:tcW w:w="1755" w:type="dxa"/>
            <w:vAlign w:val="center"/>
          </w:tcPr>
          <w:p w14:paraId="6C902829">
            <w:pPr>
              <w:snapToGrid w:val="0"/>
              <w:spacing w:line="360" w:lineRule="auto"/>
              <w:jc w:val="center"/>
              <w:rPr>
                <w:rFonts w:ascii="仿宋" w:hAnsi="仿宋" w:eastAsia="仿宋" w:cs="宋体"/>
                <w:bCs/>
                <w:color w:val="auto"/>
                <w:sz w:val="24"/>
              </w:rPr>
            </w:pPr>
            <w:r>
              <w:rPr>
                <w:rFonts w:hint="eastAsia" w:ascii="仿宋" w:hAnsi="仿宋" w:eastAsia="仿宋" w:cs="宋体"/>
                <w:bCs/>
                <w:color w:val="auto"/>
                <w:sz w:val="24"/>
              </w:rPr>
              <w:t>响应服务内容</w:t>
            </w:r>
          </w:p>
        </w:tc>
        <w:tc>
          <w:tcPr>
            <w:tcW w:w="1425" w:type="dxa"/>
            <w:vAlign w:val="center"/>
          </w:tcPr>
          <w:p w14:paraId="323718AC">
            <w:pPr>
              <w:snapToGrid w:val="0"/>
              <w:spacing w:line="360" w:lineRule="auto"/>
              <w:jc w:val="center"/>
              <w:rPr>
                <w:rFonts w:ascii="仿宋" w:hAnsi="仿宋" w:eastAsia="仿宋" w:cs="宋体"/>
                <w:bCs/>
                <w:color w:val="auto"/>
                <w:sz w:val="24"/>
              </w:rPr>
            </w:pPr>
            <w:r>
              <w:rPr>
                <w:rFonts w:hint="eastAsia" w:ascii="仿宋" w:hAnsi="仿宋" w:eastAsia="仿宋" w:cs="宋体"/>
                <w:bCs/>
                <w:color w:val="auto"/>
                <w:sz w:val="24"/>
              </w:rPr>
              <w:t>偏离情况</w:t>
            </w:r>
          </w:p>
        </w:tc>
        <w:tc>
          <w:tcPr>
            <w:tcW w:w="1593" w:type="dxa"/>
            <w:vAlign w:val="center"/>
          </w:tcPr>
          <w:p w14:paraId="2C44F38E">
            <w:pPr>
              <w:snapToGrid w:val="0"/>
              <w:spacing w:line="360" w:lineRule="auto"/>
              <w:jc w:val="center"/>
              <w:rPr>
                <w:rFonts w:ascii="仿宋" w:hAnsi="仿宋" w:eastAsia="仿宋" w:cs="宋体"/>
                <w:bCs/>
                <w:color w:val="auto"/>
                <w:sz w:val="24"/>
              </w:rPr>
            </w:pPr>
            <w:r>
              <w:rPr>
                <w:rFonts w:hint="eastAsia" w:ascii="仿宋" w:hAnsi="仿宋" w:eastAsia="仿宋" w:cs="宋体"/>
                <w:bCs/>
                <w:color w:val="auto"/>
                <w:sz w:val="24"/>
              </w:rPr>
              <w:t>说明</w:t>
            </w:r>
          </w:p>
        </w:tc>
      </w:tr>
      <w:tr w14:paraId="74EA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0554DD06">
            <w:pPr>
              <w:snapToGrid w:val="0"/>
              <w:spacing w:line="360" w:lineRule="auto"/>
              <w:jc w:val="center"/>
              <w:rPr>
                <w:rFonts w:ascii="仿宋" w:hAnsi="仿宋" w:eastAsia="仿宋" w:cs="宋体"/>
                <w:bCs/>
                <w:color w:val="auto"/>
                <w:sz w:val="24"/>
              </w:rPr>
            </w:pPr>
            <w:r>
              <w:rPr>
                <w:rFonts w:hint="eastAsia" w:ascii="仿宋" w:hAnsi="仿宋" w:eastAsia="仿宋" w:cs="宋体"/>
                <w:bCs/>
                <w:color w:val="auto"/>
                <w:sz w:val="24"/>
              </w:rPr>
              <w:t>1</w:t>
            </w:r>
          </w:p>
        </w:tc>
        <w:tc>
          <w:tcPr>
            <w:tcW w:w="1278" w:type="dxa"/>
          </w:tcPr>
          <w:p w14:paraId="113CA04F">
            <w:pPr>
              <w:snapToGrid w:val="0"/>
              <w:spacing w:line="360" w:lineRule="auto"/>
              <w:rPr>
                <w:rFonts w:ascii="仿宋" w:hAnsi="仿宋" w:eastAsia="仿宋" w:cs="宋体"/>
                <w:bCs/>
                <w:color w:val="auto"/>
                <w:sz w:val="24"/>
              </w:rPr>
            </w:pPr>
          </w:p>
        </w:tc>
        <w:tc>
          <w:tcPr>
            <w:tcW w:w="2090" w:type="dxa"/>
          </w:tcPr>
          <w:p w14:paraId="5790E6B7">
            <w:pPr>
              <w:snapToGrid w:val="0"/>
              <w:spacing w:line="360" w:lineRule="auto"/>
              <w:rPr>
                <w:rFonts w:ascii="仿宋" w:hAnsi="仿宋" w:eastAsia="仿宋" w:cs="宋体"/>
                <w:bCs/>
                <w:color w:val="auto"/>
                <w:sz w:val="24"/>
              </w:rPr>
            </w:pPr>
          </w:p>
        </w:tc>
        <w:tc>
          <w:tcPr>
            <w:tcW w:w="1755" w:type="dxa"/>
          </w:tcPr>
          <w:p w14:paraId="5E21A455">
            <w:pPr>
              <w:snapToGrid w:val="0"/>
              <w:spacing w:line="360" w:lineRule="auto"/>
              <w:rPr>
                <w:rFonts w:ascii="仿宋" w:hAnsi="仿宋" w:eastAsia="仿宋" w:cs="宋体"/>
                <w:bCs/>
                <w:color w:val="auto"/>
                <w:sz w:val="24"/>
              </w:rPr>
            </w:pPr>
          </w:p>
        </w:tc>
        <w:tc>
          <w:tcPr>
            <w:tcW w:w="1425" w:type="dxa"/>
          </w:tcPr>
          <w:p w14:paraId="25E7C5EA">
            <w:pPr>
              <w:snapToGrid w:val="0"/>
              <w:spacing w:line="360" w:lineRule="auto"/>
              <w:rPr>
                <w:rFonts w:ascii="仿宋" w:hAnsi="仿宋" w:eastAsia="仿宋" w:cs="宋体"/>
                <w:bCs/>
                <w:color w:val="auto"/>
                <w:sz w:val="24"/>
              </w:rPr>
            </w:pPr>
          </w:p>
        </w:tc>
        <w:tc>
          <w:tcPr>
            <w:tcW w:w="1593" w:type="dxa"/>
          </w:tcPr>
          <w:p w14:paraId="47540677">
            <w:pPr>
              <w:snapToGrid w:val="0"/>
              <w:spacing w:line="360" w:lineRule="auto"/>
              <w:rPr>
                <w:rFonts w:ascii="仿宋" w:hAnsi="仿宋" w:eastAsia="仿宋" w:cs="宋体"/>
                <w:bCs/>
                <w:color w:val="auto"/>
                <w:sz w:val="24"/>
              </w:rPr>
            </w:pPr>
          </w:p>
        </w:tc>
      </w:tr>
      <w:tr w14:paraId="695C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55951738">
            <w:pPr>
              <w:snapToGrid w:val="0"/>
              <w:spacing w:line="36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1278" w:type="dxa"/>
          </w:tcPr>
          <w:p w14:paraId="01D526BD">
            <w:pPr>
              <w:snapToGrid w:val="0"/>
              <w:spacing w:line="360" w:lineRule="auto"/>
              <w:rPr>
                <w:rFonts w:ascii="仿宋" w:hAnsi="仿宋" w:eastAsia="仿宋" w:cs="宋体"/>
                <w:color w:val="auto"/>
                <w:sz w:val="24"/>
              </w:rPr>
            </w:pPr>
          </w:p>
        </w:tc>
        <w:tc>
          <w:tcPr>
            <w:tcW w:w="2090" w:type="dxa"/>
          </w:tcPr>
          <w:p w14:paraId="6F07AE0E">
            <w:pPr>
              <w:snapToGrid w:val="0"/>
              <w:spacing w:line="360" w:lineRule="auto"/>
              <w:rPr>
                <w:rFonts w:ascii="仿宋" w:hAnsi="仿宋" w:eastAsia="仿宋" w:cs="宋体"/>
                <w:color w:val="auto"/>
                <w:sz w:val="24"/>
              </w:rPr>
            </w:pPr>
          </w:p>
        </w:tc>
        <w:tc>
          <w:tcPr>
            <w:tcW w:w="1755" w:type="dxa"/>
          </w:tcPr>
          <w:p w14:paraId="40079306">
            <w:pPr>
              <w:snapToGrid w:val="0"/>
              <w:spacing w:line="360" w:lineRule="auto"/>
              <w:rPr>
                <w:rFonts w:ascii="仿宋" w:hAnsi="仿宋" w:eastAsia="仿宋" w:cs="宋体"/>
                <w:color w:val="auto"/>
                <w:sz w:val="24"/>
              </w:rPr>
            </w:pPr>
          </w:p>
        </w:tc>
        <w:tc>
          <w:tcPr>
            <w:tcW w:w="1425" w:type="dxa"/>
          </w:tcPr>
          <w:p w14:paraId="2ACD0D22">
            <w:pPr>
              <w:snapToGrid w:val="0"/>
              <w:spacing w:line="360" w:lineRule="auto"/>
              <w:rPr>
                <w:rFonts w:ascii="仿宋" w:hAnsi="仿宋" w:eastAsia="仿宋" w:cs="宋体"/>
                <w:color w:val="auto"/>
                <w:sz w:val="24"/>
              </w:rPr>
            </w:pPr>
          </w:p>
        </w:tc>
        <w:tc>
          <w:tcPr>
            <w:tcW w:w="1593" w:type="dxa"/>
          </w:tcPr>
          <w:p w14:paraId="3DBD9548">
            <w:pPr>
              <w:snapToGrid w:val="0"/>
              <w:spacing w:line="360" w:lineRule="auto"/>
              <w:rPr>
                <w:rFonts w:ascii="仿宋" w:hAnsi="仿宋" w:eastAsia="仿宋" w:cs="宋体"/>
                <w:color w:val="auto"/>
                <w:sz w:val="24"/>
              </w:rPr>
            </w:pPr>
          </w:p>
        </w:tc>
      </w:tr>
      <w:tr w14:paraId="0FE3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2C4DF9A7">
            <w:pPr>
              <w:snapToGrid w:val="0"/>
              <w:spacing w:line="360" w:lineRule="auto"/>
              <w:jc w:val="center"/>
              <w:rPr>
                <w:rFonts w:ascii="仿宋" w:hAnsi="仿宋" w:eastAsia="仿宋" w:cs="宋体"/>
                <w:color w:val="auto"/>
                <w:sz w:val="24"/>
              </w:rPr>
            </w:pPr>
            <w:r>
              <w:rPr>
                <w:rFonts w:hint="eastAsia" w:ascii="仿宋" w:hAnsi="仿宋" w:eastAsia="仿宋" w:cs="宋体"/>
                <w:color w:val="auto"/>
                <w:sz w:val="24"/>
              </w:rPr>
              <w:t>3</w:t>
            </w:r>
          </w:p>
        </w:tc>
        <w:tc>
          <w:tcPr>
            <w:tcW w:w="1278" w:type="dxa"/>
          </w:tcPr>
          <w:p w14:paraId="2D50BC9B">
            <w:pPr>
              <w:snapToGrid w:val="0"/>
              <w:spacing w:line="360" w:lineRule="auto"/>
              <w:rPr>
                <w:rFonts w:ascii="仿宋" w:hAnsi="仿宋" w:eastAsia="仿宋" w:cs="宋体"/>
                <w:color w:val="auto"/>
                <w:sz w:val="24"/>
              </w:rPr>
            </w:pPr>
          </w:p>
        </w:tc>
        <w:tc>
          <w:tcPr>
            <w:tcW w:w="2090" w:type="dxa"/>
          </w:tcPr>
          <w:p w14:paraId="3B3BB5BC">
            <w:pPr>
              <w:snapToGrid w:val="0"/>
              <w:spacing w:line="360" w:lineRule="auto"/>
              <w:rPr>
                <w:rFonts w:ascii="仿宋" w:hAnsi="仿宋" w:eastAsia="仿宋" w:cs="宋体"/>
                <w:color w:val="auto"/>
                <w:sz w:val="24"/>
              </w:rPr>
            </w:pPr>
          </w:p>
        </w:tc>
        <w:tc>
          <w:tcPr>
            <w:tcW w:w="1755" w:type="dxa"/>
          </w:tcPr>
          <w:p w14:paraId="3D018772">
            <w:pPr>
              <w:snapToGrid w:val="0"/>
              <w:spacing w:line="360" w:lineRule="auto"/>
              <w:rPr>
                <w:rFonts w:ascii="仿宋" w:hAnsi="仿宋" w:eastAsia="仿宋" w:cs="宋体"/>
                <w:color w:val="auto"/>
                <w:sz w:val="24"/>
              </w:rPr>
            </w:pPr>
          </w:p>
        </w:tc>
        <w:tc>
          <w:tcPr>
            <w:tcW w:w="1425" w:type="dxa"/>
          </w:tcPr>
          <w:p w14:paraId="723B31BE">
            <w:pPr>
              <w:snapToGrid w:val="0"/>
              <w:spacing w:line="360" w:lineRule="auto"/>
              <w:rPr>
                <w:rFonts w:ascii="仿宋" w:hAnsi="仿宋" w:eastAsia="仿宋" w:cs="宋体"/>
                <w:color w:val="auto"/>
                <w:sz w:val="24"/>
              </w:rPr>
            </w:pPr>
          </w:p>
        </w:tc>
        <w:tc>
          <w:tcPr>
            <w:tcW w:w="1593" w:type="dxa"/>
          </w:tcPr>
          <w:p w14:paraId="7668F5B5">
            <w:pPr>
              <w:snapToGrid w:val="0"/>
              <w:spacing w:line="360" w:lineRule="auto"/>
              <w:rPr>
                <w:rFonts w:ascii="仿宋" w:hAnsi="仿宋" w:eastAsia="仿宋" w:cs="宋体"/>
                <w:color w:val="auto"/>
                <w:sz w:val="24"/>
              </w:rPr>
            </w:pPr>
          </w:p>
        </w:tc>
      </w:tr>
      <w:tr w14:paraId="3492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37FD684F">
            <w:pPr>
              <w:snapToGrid w:val="0"/>
              <w:spacing w:line="360" w:lineRule="auto"/>
              <w:jc w:val="center"/>
              <w:rPr>
                <w:rFonts w:ascii="仿宋" w:hAnsi="仿宋" w:eastAsia="仿宋" w:cs="宋体"/>
                <w:color w:val="auto"/>
                <w:sz w:val="24"/>
              </w:rPr>
            </w:pPr>
            <w:r>
              <w:rPr>
                <w:rFonts w:hint="eastAsia" w:ascii="仿宋" w:hAnsi="仿宋" w:eastAsia="仿宋" w:cs="宋体"/>
                <w:color w:val="auto"/>
                <w:sz w:val="24"/>
              </w:rPr>
              <w:t>……</w:t>
            </w:r>
          </w:p>
        </w:tc>
        <w:tc>
          <w:tcPr>
            <w:tcW w:w="1278" w:type="dxa"/>
          </w:tcPr>
          <w:p w14:paraId="53D0B868">
            <w:pPr>
              <w:snapToGrid w:val="0"/>
              <w:spacing w:line="360" w:lineRule="auto"/>
              <w:rPr>
                <w:rFonts w:ascii="仿宋" w:hAnsi="仿宋" w:eastAsia="仿宋" w:cs="宋体"/>
                <w:color w:val="auto"/>
                <w:sz w:val="24"/>
              </w:rPr>
            </w:pPr>
          </w:p>
        </w:tc>
        <w:tc>
          <w:tcPr>
            <w:tcW w:w="2090" w:type="dxa"/>
          </w:tcPr>
          <w:p w14:paraId="6A5F82A4">
            <w:pPr>
              <w:snapToGrid w:val="0"/>
              <w:spacing w:line="360" w:lineRule="auto"/>
              <w:rPr>
                <w:rFonts w:ascii="仿宋" w:hAnsi="仿宋" w:eastAsia="仿宋" w:cs="宋体"/>
                <w:color w:val="auto"/>
                <w:sz w:val="24"/>
              </w:rPr>
            </w:pPr>
          </w:p>
        </w:tc>
        <w:tc>
          <w:tcPr>
            <w:tcW w:w="1755" w:type="dxa"/>
          </w:tcPr>
          <w:p w14:paraId="7AA10385">
            <w:pPr>
              <w:snapToGrid w:val="0"/>
              <w:spacing w:line="360" w:lineRule="auto"/>
              <w:rPr>
                <w:rFonts w:ascii="仿宋" w:hAnsi="仿宋" w:eastAsia="仿宋" w:cs="宋体"/>
                <w:color w:val="auto"/>
                <w:sz w:val="24"/>
              </w:rPr>
            </w:pPr>
          </w:p>
        </w:tc>
        <w:tc>
          <w:tcPr>
            <w:tcW w:w="1425" w:type="dxa"/>
          </w:tcPr>
          <w:p w14:paraId="507E2CA6">
            <w:pPr>
              <w:snapToGrid w:val="0"/>
              <w:spacing w:line="360" w:lineRule="auto"/>
              <w:rPr>
                <w:rFonts w:ascii="仿宋" w:hAnsi="仿宋" w:eastAsia="仿宋" w:cs="宋体"/>
                <w:color w:val="auto"/>
                <w:sz w:val="24"/>
              </w:rPr>
            </w:pPr>
          </w:p>
        </w:tc>
        <w:tc>
          <w:tcPr>
            <w:tcW w:w="1593" w:type="dxa"/>
          </w:tcPr>
          <w:p w14:paraId="3DCC66CE">
            <w:pPr>
              <w:snapToGrid w:val="0"/>
              <w:spacing w:line="360" w:lineRule="auto"/>
              <w:rPr>
                <w:rFonts w:ascii="仿宋" w:hAnsi="仿宋" w:eastAsia="仿宋" w:cs="宋体"/>
                <w:color w:val="auto"/>
                <w:sz w:val="24"/>
              </w:rPr>
            </w:pPr>
          </w:p>
        </w:tc>
      </w:tr>
      <w:tr w14:paraId="0BDF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14:paraId="5BAAA7EA">
            <w:pPr>
              <w:snapToGrid w:val="0"/>
              <w:spacing w:line="360" w:lineRule="auto"/>
              <w:jc w:val="center"/>
              <w:rPr>
                <w:rFonts w:ascii="仿宋" w:hAnsi="仿宋" w:eastAsia="仿宋" w:cs="宋体"/>
                <w:color w:val="auto"/>
                <w:sz w:val="24"/>
              </w:rPr>
            </w:pPr>
          </w:p>
        </w:tc>
        <w:tc>
          <w:tcPr>
            <w:tcW w:w="1278" w:type="dxa"/>
          </w:tcPr>
          <w:p w14:paraId="62E4D18F">
            <w:pPr>
              <w:snapToGrid w:val="0"/>
              <w:spacing w:line="360" w:lineRule="auto"/>
              <w:rPr>
                <w:rFonts w:ascii="仿宋" w:hAnsi="仿宋" w:eastAsia="仿宋" w:cs="宋体"/>
                <w:color w:val="auto"/>
                <w:sz w:val="24"/>
              </w:rPr>
            </w:pPr>
          </w:p>
        </w:tc>
        <w:tc>
          <w:tcPr>
            <w:tcW w:w="2090" w:type="dxa"/>
          </w:tcPr>
          <w:p w14:paraId="385663C3">
            <w:pPr>
              <w:snapToGrid w:val="0"/>
              <w:spacing w:line="360" w:lineRule="auto"/>
              <w:rPr>
                <w:rFonts w:ascii="仿宋" w:hAnsi="仿宋" w:eastAsia="仿宋" w:cs="宋体"/>
                <w:color w:val="auto"/>
                <w:sz w:val="24"/>
              </w:rPr>
            </w:pPr>
          </w:p>
        </w:tc>
        <w:tc>
          <w:tcPr>
            <w:tcW w:w="1755" w:type="dxa"/>
          </w:tcPr>
          <w:p w14:paraId="11BEC8D3">
            <w:pPr>
              <w:snapToGrid w:val="0"/>
              <w:spacing w:line="360" w:lineRule="auto"/>
              <w:rPr>
                <w:rFonts w:ascii="仿宋" w:hAnsi="仿宋" w:eastAsia="仿宋" w:cs="宋体"/>
                <w:color w:val="auto"/>
                <w:sz w:val="24"/>
              </w:rPr>
            </w:pPr>
          </w:p>
        </w:tc>
        <w:tc>
          <w:tcPr>
            <w:tcW w:w="1425" w:type="dxa"/>
          </w:tcPr>
          <w:p w14:paraId="1E13AD74">
            <w:pPr>
              <w:snapToGrid w:val="0"/>
              <w:spacing w:line="360" w:lineRule="auto"/>
              <w:rPr>
                <w:rFonts w:ascii="仿宋" w:hAnsi="仿宋" w:eastAsia="仿宋" w:cs="宋体"/>
                <w:color w:val="auto"/>
                <w:sz w:val="24"/>
              </w:rPr>
            </w:pPr>
          </w:p>
        </w:tc>
        <w:tc>
          <w:tcPr>
            <w:tcW w:w="1593" w:type="dxa"/>
          </w:tcPr>
          <w:p w14:paraId="18637DE8">
            <w:pPr>
              <w:snapToGrid w:val="0"/>
              <w:spacing w:line="360" w:lineRule="auto"/>
              <w:rPr>
                <w:rFonts w:ascii="仿宋" w:hAnsi="仿宋" w:eastAsia="仿宋" w:cs="宋体"/>
                <w:color w:val="auto"/>
                <w:sz w:val="24"/>
              </w:rPr>
            </w:pPr>
          </w:p>
        </w:tc>
      </w:tr>
    </w:tbl>
    <w:p w14:paraId="3A926D3A">
      <w:pPr>
        <w:pStyle w:val="7"/>
        <w:ind w:firstLine="480"/>
        <w:rPr>
          <w:rFonts w:ascii="仿宋" w:hAnsi="仿宋" w:eastAsia="仿宋" w:cs="宋体"/>
          <w:color w:val="auto"/>
          <w:szCs w:val="24"/>
        </w:rPr>
      </w:pPr>
      <w:r>
        <w:rPr>
          <w:rFonts w:hint="eastAsia" w:ascii="仿宋" w:hAnsi="仿宋" w:eastAsia="仿宋" w:cs="宋体"/>
          <w:color w:val="auto"/>
          <w:szCs w:val="24"/>
        </w:rPr>
        <w:t xml:space="preserve"> </w:t>
      </w:r>
    </w:p>
    <w:p w14:paraId="5ADE77C3">
      <w:pPr>
        <w:pStyle w:val="15"/>
        <w:spacing w:line="240" w:lineRule="atLeast"/>
        <w:ind w:left="540" w:leftChars="257" w:firstLine="480"/>
        <w:rPr>
          <w:rFonts w:ascii="仿宋" w:hAnsi="仿宋" w:eastAsia="仿宋" w:cs="宋体"/>
          <w:color w:val="auto"/>
          <w:sz w:val="24"/>
          <w:szCs w:val="24"/>
        </w:rPr>
      </w:pPr>
    </w:p>
    <w:p w14:paraId="6C7BD154">
      <w:pPr>
        <w:pStyle w:val="15"/>
        <w:spacing w:line="240" w:lineRule="atLeast"/>
        <w:ind w:left="540" w:leftChars="257" w:firstLine="480"/>
        <w:rPr>
          <w:rFonts w:ascii="仿宋" w:hAnsi="仿宋" w:eastAsia="仿宋" w:cs="宋体"/>
          <w:color w:val="auto"/>
          <w:sz w:val="24"/>
          <w:szCs w:val="24"/>
        </w:rPr>
      </w:pPr>
    </w:p>
    <w:p w14:paraId="0909FCAA">
      <w:pPr>
        <w:pStyle w:val="15"/>
        <w:spacing w:line="240" w:lineRule="atLeast"/>
        <w:ind w:left="540" w:leftChars="257" w:firstLine="480"/>
        <w:rPr>
          <w:rFonts w:ascii="仿宋" w:hAnsi="仿宋" w:eastAsia="仿宋" w:cs="宋体"/>
          <w:color w:val="auto"/>
          <w:sz w:val="24"/>
          <w:szCs w:val="24"/>
        </w:rPr>
      </w:pPr>
    </w:p>
    <w:p w14:paraId="3231E206">
      <w:pPr>
        <w:snapToGrid w:val="0"/>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注：凡投标文件中服务条款（包括项目服务期、内容）与公开招标文件有偏差的，均应在此表中列出（内容较多的可以标注见投标文件第几页，偏差包括正偏差和负偏差），未在此表中列出的视同完全满足招标文件要求。</w:t>
      </w:r>
    </w:p>
    <w:p w14:paraId="69202978">
      <w:pPr>
        <w:pStyle w:val="15"/>
        <w:spacing w:line="240" w:lineRule="atLeast"/>
        <w:ind w:left="540" w:leftChars="257" w:firstLine="480"/>
        <w:rPr>
          <w:rFonts w:ascii="仿宋" w:hAnsi="仿宋" w:eastAsia="仿宋" w:cs="宋体"/>
          <w:color w:val="auto"/>
          <w:sz w:val="24"/>
          <w:szCs w:val="24"/>
        </w:rPr>
      </w:pPr>
    </w:p>
    <w:p w14:paraId="457E3EC1">
      <w:pPr>
        <w:pStyle w:val="35"/>
        <w:ind w:firstLine="240"/>
        <w:rPr>
          <w:rFonts w:hint="default" w:ascii="仿宋" w:hAnsi="仿宋" w:eastAsia="仿宋" w:cs="宋体"/>
          <w:color w:val="auto"/>
          <w:szCs w:val="24"/>
        </w:rPr>
      </w:pPr>
    </w:p>
    <w:p w14:paraId="7BFF80ED">
      <w:pPr>
        <w:pStyle w:val="15"/>
        <w:tabs>
          <w:tab w:val="left" w:pos="5370"/>
        </w:tabs>
        <w:spacing w:line="240" w:lineRule="atLeast"/>
        <w:ind w:left="1154" w:leftChars="485" w:hanging="136" w:hangingChars="57"/>
        <w:rPr>
          <w:rFonts w:ascii="仿宋" w:hAnsi="仿宋" w:eastAsia="仿宋" w:cs="宋体"/>
          <w:color w:val="auto"/>
          <w:sz w:val="24"/>
          <w:szCs w:val="24"/>
          <w:u w:val="single"/>
        </w:rPr>
      </w:pPr>
      <w:r>
        <w:rPr>
          <w:rFonts w:hint="eastAsia" w:ascii="仿宋" w:hAnsi="仿宋" w:eastAsia="仿宋" w:cs="宋体"/>
          <w:color w:val="auto"/>
          <w:sz w:val="24"/>
          <w:szCs w:val="24"/>
        </w:rPr>
        <w:t>投标人(盖单位章):</w:t>
      </w:r>
      <w:r>
        <w:rPr>
          <w:rFonts w:hint="eastAsia" w:ascii="仿宋" w:hAnsi="仿宋" w:eastAsia="仿宋" w:cs="宋体"/>
          <w:color w:val="auto"/>
          <w:sz w:val="24"/>
          <w:szCs w:val="24"/>
          <w:u w:val="single"/>
        </w:rPr>
        <w:tab/>
      </w:r>
      <w:r>
        <w:rPr>
          <w:rFonts w:hint="eastAsia" w:ascii="仿宋" w:hAnsi="仿宋" w:eastAsia="仿宋" w:cs="宋体"/>
          <w:color w:val="auto"/>
          <w:sz w:val="24"/>
          <w:szCs w:val="24"/>
          <w:u w:val="single"/>
        </w:rPr>
        <w:t xml:space="preserve">      </w:t>
      </w:r>
    </w:p>
    <w:p w14:paraId="23DD050B">
      <w:pPr>
        <w:pStyle w:val="15"/>
        <w:tabs>
          <w:tab w:val="left" w:pos="5370"/>
        </w:tabs>
        <w:spacing w:line="240" w:lineRule="atLeast"/>
        <w:ind w:left="540" w:leftChars="257" w:firstLine="480"/>
        <w:rPr>
          <w:rFonts w:ascii="仿宋" w:hAnsi="仿宋" w:eastAsia="仿宋" w:cs="宋体"/>
          <w:color w:val="auto"/>
          <w:sz w:val="24"/>
          <w:szCs w:val="24"/>
          <w:u w:val="single"/>
        </w:rPr>
      </w:pPr>
    </w:p>
    <w:p w14:paraId="7104234D">
      <w:pPr>
        <w:pStyle w:val="35"/>
        <w:ind w:firstLine="960" w:firstLineChars="400"/>
        <w:rPr>
          <w:rFonts w:hint="default" w:ascii="仿宋" w:hAnsi="仿宋" w:eastAsia="仿宋" w:cs="宋体"/>
          <w:color w:val="auto"/>
          <w:szCs w:val="24"/>
        </w:rPr>
      </w:pPr>
      <w:r>
        <w:rPr>
          <w:rFonts w:ascii="仿宋" w:hAnsi="仿宋" w:eastAsia="仿宋" w:cs="宋体"/>
          <w:color w:val="auto"/>
          <w:szCs w:val="24"/>
        </w:rPr>
        <w:t>法定代表人或其委托代理人(签字或盖章):</w:t>
      </w:r>
      <w:r>
        <w:rPr>
          <w:rFonts w:ascii="仿宋" w:hAnsi="仿宋" w:eastAsia="仿宋" w:cs="宋体"/>
          <w:color w:val="auto"/>
          <w:szCs w:val="24"/>
          <w:u w:val="single"/>
        </w:rPr>
        <w:t xml:space="preserve">     </w:t>
      </w:r>
      <w:r>
        <w:rPr>
          <w:rFonts w:ascii="仿宋" w:hAnsi="仿宋" w:eastAsia="仿宋" w:cs="宋体"/>
          <w:color w:val="auto"/>
          <w:szCs w:val="24"/>
          <w:u w:val="single"/>
        </w:rPr>
        <w:tab/>
      </w:r>
      <w:r>
        <w:rPr>
          <w:rFonts w:ascii="仿宋" w:hAnsi="仿宋" w:eastAsia="仿宋" w:cs="宋体"/>
          <w:color w:val="auto"/>
          <w:szCs w:val="24"/>
          <w:u w:val="single"/>
        </w:rPr>
        <w:t xml:space="preserve">   </w:t>
      </w:r>
    </w:p>
    <w:bookmarkEnd w:id="297"/>
    <w:bookmarkEnd w:id="298"/>
    <w:bookmarkEnd w:id="299"/>
    <w:p w14:paraId="4B10A4EA">
      <w:pPr>
        <w:pStyle w:val="15"/>
        <w:spacing w:line="240" w:lineRule="atLeast"/>
        <w:ind w:left="540" w:leftChars="257" w:firstLine="480"/>
        <w:rPr>
          <w:rFonts w:ascii="仿宋" w:hAnsi="仿宋" w:eastAsia="仿宋" w:cs="宋体"/>
          <w:color w:val="auto"/>
          <w:sz w:val="24"/>
          <w:szCs w:val="24"/>
        </w:rPr>
      </w:pPr>
    </w:p>
    <w:p w14:paraId="3E9A48D8">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日期：年   月   日</w:t>
      </w:r>
    </w:p>
    <w:p w14:paraId="113E7B3D">
      <w:pPr>
        <w:snapToGrid w:val="0"/>
        <w:spacing w:line="360" w:lineRule="auto"/>
        <w:ind w:right="105" w:rightChars="50"/>
        <w:rPr>
          <w:rFonts w:ascii="宋体" w:hAnsi="宋体" w:cs="宋体"/>
          <w:color w:val="auto"/>
          <w:sz w:val="24"/>
        </w:rPr>
      </w:pPr>
    </w:p>
    <w:p w14:paraId="078C085E">
      <w:pPr>
        <w:pStyle w:val="15"/>
        <w:spacing w:line="240" w:lineRule="atLeast"/>
        <w:ind w:left="1080" w:leftChars="257" w:hanging="540"/>
        <w:rPr>
          <w:rFonts w:hAnsi="宋体" w:cs="宋体"/>
          <w:color w:val="auto"/>
          <w:sz w:val="24"/>
          <w:szCs w:val="24"/>
          <w:u w:val="single"/>
        </w:rPr>
      </w:pPr>
    </w:p>
    <w:p w14:paraId="2931E4FA">
      <w:pPr>
        <w:pStyle w:val="15"/>
        <w:spacing w:line="240" w:lineRule="atLeast"/>
        <w:ind w:left="1080" w:leftChars="257" w:hanging="540"/>
        <w:rPr>
          <w:rFonts w:hAnsi="宋体" w:cs="宋体"/>
          <w:color w:val="auto"/>
          <w:sz w:val="24"/>
          <w:szCs w:val="24"/>
          <w:u w:val="single"/>
        </w:rPr>
      </w:pPr>
    </w:p>
    <w:p w14:paraId="4CAA6D36">
      <w:pPr>
        <w:pStyle w:val="15"/>
        <w:spacing w:line="240" w:lineRule="atLeast"/>
        <w:ind w:left="1080" w:leftChars="257" w:hanging="540"/>
        <w:rPr>
          <w:rFonts w:hAnsi="宋体" w:cs="宋体"/>
          <w:color w:val="auto"/>
          <w:sz w:val="24"/>
          <w:szCs w:val="24"/>
          <w:u w:val="single"/>
        </w:rPr>
      </w:pPr>
    </w:p>
    <w:p w14:paraId="1403B281">
      <w:pPr>
        <w:pStyle w:val="15"/>
        <w:spacing w:line="240" w:lineRule="atLeast"/>
        <w:ind w:left="1080" w:leftChars="257" w:hanging="540"/>
        <w:rPr>
          <w:rFonts w:hAnsi="宋体" w:cs="宋体"/>
          <w:color w:val="auto"/>
          <w:sz w:val="24"/>
          <w:szCs w:val="24"/>
          <w:u w:val="single"/>
        </w:rPr>
      </w:pPr>
    </w:p>
    <w:p w14:paraId="320A451F">
      <w:pPr>
        <w:pStyle w:val="15"/>
        <w:spacing w:line="240" w:lineRule="atLeast"/>
        <w:ind w:left="1080" w:leftChars="257" w:hanging="540"/>
        <w:rPr>
          <w:rFonts w:hAnsi="宋体" w:cs="宋体"/>
          <w:color w:val="auto"/>
          <w:sz w:val="24"/>
          <w:szCs w:val="24"/>
          <w:u w:val="single"/>
        </w:rPr>
      </w:pPr>
    </w:p>
    <w:p w14:paraId="4786BFBB">
      <w:pPr>
        <w:pStyle w:val="15"/>
        <w:spacing w:line="240" w:lineRule="atLeast"/>
        <w:ind w:left="1080" w:leftChars="257" w:hanging="540"/>
        <w:rPr>
          <w:rFonts w:hAnsi="宋体" w:cs="宋体"/>
          <w:color w:val="auto"/>
          <w:sz w:val="24"/>
          <w:szCs w:val="24"/>
          <w:u w:val="single"/>
        </w:rPr>
      </w:pPr>
    </w:p>
    <w:p w14:paraId="4641B00D">
      <w:pPr>
        <w:pStyle w:val="15"/>
        <w:spacing w:line="240" w:lineRule="atLeast"/>
        <w:ind w:left="1080" w:leftChars="257" w:hanging="540"/>
        <w:rPr>
          <w:rFonts w:hAnsi="宋体" w:cs="宋体"/>
          <w:color w:val="auto"/>
          <w:sz w:val="24"/>
          <w:szCs w:val="24"/>
          <w:u w:val="single"/>
        </w:rPr>
      </w:pPr>
    </w:p>
    <w:p w14:paraId="22A7F9DC">
      <w:pPr>
        <w:pStyle w:val="15"/>
        <w:spacing w:line="240" w:lineRule="atLeast"/>
        <w:ind w:left="1080" w:leftChars="257" w:hanging="540"/>
        <w:rPr>
          <w:rFonts w:hAnsi="宋体" w:cs="宋体"/>
          <w:color w:val="auto"/>
          <w:sz w:val="24"/>
          <w:szCs w:val="24"/>
          <w:u w:val="single"/>
        </w:rPr>
      </w:pPr>
    </w:p>
    <w:p w14:paraId="11B606B3">
      <w:pPr>
        <w:pStyle w:val="15"/>
        <w:spacing w:line="240" w:lineRule="atLeast"/>
        <w:ind w:left="1080" w:leftChars="257" w:hanging="540"/>
        <w:rPr>
          <w:rFonts w:hAnsi="宋体" w:cs="宋体"/>
          <w:color w:val="auto"/>
          <w:sz w:val="24"/>
          <w:szCs w:val="24"/>
          <w:u w:val="single"/>
        </w:rPr>
      </w:pPr>
    </w:p>
    <w:p w14:paraId="1A1FB8D3">
      <w:pPr>
        <w:rPr>
          <w:color w:val="auto"/>
        </w:rPr>
      </w:pPr>
    </w:p>
    <w:p w14:paraId="38593F04">
      <w:pPr>
        <w:pStyle w:val="4"/>
        <w:spacing w:before="0" w:line="440" w:lineRule="exact"/>
        <w:rPr>
          <w:rFonts w:ascii="仿宋" w:hAnsi="仿宋" w:eastAsia="仿宋" w:cs="仿宋"/>
          <w:color w:val="auto"/>
          <w:sz w:val="28"/>
          <w:szCs w:val="28"/>
        </w:rPr>
      </w:pPr>
      <w:r>
        <w:rPr>
          <w:rFonts w:hint="eastAsia" w:ascii="仿宋" w:hAnsi="仿宋" w:eastAsia="仿宋" w:cs="仿宋"/>
          <w:color w:val="auto"/>
          <w:sz w:val="28"/>
          <w:szCs w:val="28"/>
        </w:rPr>
        <w:t>5.商务条款偏离表</w:t>
      </w:r>
    </w:p>
    <w:p w14:paraId="7C7F1C81">
      <w:pPr>
        <w:pStyle w:val="15"/>
        <w:spacing w:line="400" w:lineRule="exact"/>
        <w:ind w:left="1080" w:leftChars="257" w:hanging="540"/>
        <w:rPr>
          <w:rFonts w:ascii="仿宋" w:hAnsi="仿宋" w:eastAsia="仿宋" w:cs="仿宋"/>
          <w:color w:val="auto"/>
          <w:sz w:val="24"/>
          <w:szCs w:val="24"/>
        </w:rPr>
      </w:pPr>
      <w:r>
        <w:rPr>
          <w:rFonts w:hint="eastAsia" w:ascii="仿宋" w:hAnsi="仿宋" w:eastAsia="仿宋" w:cs="仿宋"/>
          <w:color w:val="auto"/>
          <w:sz w:val="24"/>
          <w:szCs w:val="24"/>
        </w:rPr>
        <w:t>项目名称:                      项目编号:         包号：</w:t>
      </w:r>
    </w:p>
    <w:tbl>
      <w:tblPr>
        <w:tblStyle w:val="36"/>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14:paraId="5C8C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6B148168">
            <w:pPr>
              <w:pStyle w:val="15"/>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085" w:type="pct"/>
          </w:tcPr>
          <w:p w14:paraId="456117DC">
            <w:pPr>
              <w:pStyle w:val="15"/>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招标文件条款号</w:t>
            </w:r>
          </w:p>
        </w:tc>
        <w:tc>
          <w:tcPr>
            <w:tcW w:w="1360" w:type="pct"/>
          </w:tcPr>
          <w:p w14:paraId="3C12B8CC">
            <w:pPr>
              <w:pStyle w:val="15"/>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招标文件的商务条款</w:t>
            </w:r>
          </w:p>
        </w:tc>
        <w:tc>
          <w:tcPr>
            <w:tcW w:w="1360" w:type="pct"/>
          </w:tcPr>
          <w:p w14:paraId="7FDA3F92">
            <w:pPr>
              <w:pStyle w:val="15"/>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投标文件的商务条款</w:t>
            </w:r>
          </w:p>
        </w:tc>
        <w:tc>
          <w:tcPr>
            <w:tcW w:w="398" w:type="pct"/>
            <w:vAlign w:val="center"/>
          </w:tcPr>
          <w:p w14:paraId="5BA43B45">
            <w:pPr>
              <w:pStyle w:val="15"/>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偏离</w:t>
            </w:r>
          </w:p>
        </w:tc>
        <w:tc>
          <w:tcPr>
            <w:tcW w:w="398" w:type="pct"/>
            <w:vAlign w:val="center"/>
          </w:tcPr>
          <w:p w14:paraId="31370523">
            <w:pPr>
              <w:pStyle w:val="15"/>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说明</w:t>
            </w:r>
          </w:p>
        </w:tc>
      </w:tr>
      <w:tr w14:paraId="7E5B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6F052C55">
            <w:pPr>
              <w:pStyle w:val="15"/>
              <w:spacing w:line="400" w:lineRule="exact"/>
              <w:ind w:left="1080" w:leftChars="257" w:hanging="540"/>
              <w:rPr>
                <w:rFonts w:ascii="仿宋" w:hAnsi="仿宋" w:eastAsia="仿宋" w:cs="仿宋"/>
                <w:color w:val="auto"/>
                <w:sz w:val="24"/>
                <w:szCs w:val="24"/>
              </w:rPr>
            </w:pPr>
          </w:p>
        </w:tc>
        <w:tc>
          <w:tcPr>
            <w:tcW w:w="1085" w:type="pct"/>
          </w:tcPr>
          <w:p w14:paraId="34F9B3BA">
            <w:pPr>
              <w:pStyle w:val="15"/>
              <w:spacing w:line="400" w:lineRule="exact"/>
              <w:ind w:left="1080" w:leftChars="257" w:hanging="540"/>
              <w:rPr>
                <w:rFonts w:ascii="仿宋" w:hAnsi="仿宋" w:eastAsia="仿宋" w:cs="仿宋"/>
                <w:color w:val="auto"/>
                <w:sz w:val="24"/>
                <w:szCs w:val="24"/>
              </w:rPr>
            </w:pPr>
          </w:p>
        </w:tc>
        <w:tc>
          <w:tcPr>
            <w:tcW w:w="1360" w:type="pct"/>
          </w:tcPr>
          <w:p w14:paraId="78FD8F6F">
            <w:pPr>
              <w:pStyle w:val="15"/>
              <w:spacing w:line="400" w:lineRule="exact"/>
              <w:ind w:left="1080" w:leftChars="257" w:hanging="540"/>
              <w:jc w:val="center"/>
              <w:rPr>
                <w:rFonts w:ascii="仿宋" w:hAnsi="仿宋" w:eastAsia="仿宋" w:cs="仿宋"/>
                <w:color w:val="auto"/>
                <w:sz w:val="24"/>
                <w:szCs w:val="24"/>
              </w:rPr>
            </w:pPr>
          </w:p>
        </w:tc>
        <w:tc>
          <w:tcPr>
            <w:tcW w:w="1360" w:type="pct"/>
          </w:tcPr>
          <w:p w14:paraId="6836A2DC">
            <w:pPr>
              <w:pStyle w:val="15"/>
              <w:spacing w:line="400" w:lineRule="exact"/>
              <w:ind w:left="1080" w:leftChars="257" w:hanging="540"/>
              <w:jc w:val="center"/>
              <w:rPr>
                <w:rFonts w:ascii="仿宋" w:hAnsi="仿宋" w:eastAsia="仿宋" w:cs="仿宋"/>
                <w:color w:val="auto"/>
                <w:sz w:val="24"/>
                <w:szCs w:val="24"/>
              </w:rPr>
            </w:pPr>
          </w:p>
        </w:tc>
        <w:tc>
          <w:tcPr>
            <w:tcW w:w="398" w:type="pct"/>
          </w:tcPr>
          <w:p w14:paraId="0124A892">
            <w:pPr>
              <w:pStyle w:val="15"/>
              <w:spacing w:line="400" w:lineRule="exact"/>
              <w:ind w:left="1080" w:leftChars="257" w:hanging="540"/>
              <w:rPr>
                <w:rFonts w:ascii="仿宋" w:hAnsi="仿宋" w:eastAsia="仿宋" w:cs="仿宋"/>
                <w:color w:val="auto"/>
                <w:sz w:val="24"/>
                <w:szCs w:val="24"/>
              </w:rPr>
            </w:pPr>
          </w:p>
        </w:tc>
        <w:tc>
          <w:tcPr>
            <w:tcW w:w="398" w:type="pct"/>
          </w:tcPr>
          <w:p w14:paraId="4885693E">
            <w:pPr>
              <w:pStyle w:val="15"/>
              <w:spacing w:line="400" w:lineRule="exact"/>
              <w:ind w:left="1080" w:leftChars="257" w:hanging="540"/>
              <w:rPr>
                <w:rFonts w:ascii="仿宋" w:hAnsi="仿宋" w:eastAsia="仿宋" w:cs="仿宋"/>
                <w:color w:val="auto"/>
                <w:sz w:val="24"/>
                <w:szCs w:val="24"/>
              </w:rPr>
            </w:pPr>
          </w:p>
        </w:tc>
      </w:tr>
      <w:tr w14:paraId="3B46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78F8414C">
            <w:pPr>
              <w:pStyle w:val="15"/>
              <w:spacing w:line="400" w:lineRule="exact"/>
              <w:ind w:left="1080" w:leftChars="257" w:hanging="540"/>
              <w:rPr>
                <w:rFonts w:ascii="仿宋" w:hAnsi="仿宋" w:eastAsia="仿宋" w:cs="仿宋"/>
                <w:color w:val="auto"/>
                <w:sz w:val="24"/>
                <w:szCs w:val="24"/>
              </w:rPr>
            </w:pPr>
          </w:p>
        </w:tc>
        <w:tc>
          <w:tcPr>
            <w:tcW w:w="1085" w:type="pct"/>
          </w:tcPr>
          <w:p w14:paraId="21C5F42A">
            <w:pPr>
              <w:pStyle w:val="15"/>
              <w:spacing w:line="400" w:lineRule="exact"/>
              <w:ind w:left="1080" w:leftChars="257" w:hanging="540"/>
              <w:rPr>
                <w:rFonts w:ascii="仿宋" w:hAnsi="仿宋" w:eastAsia="仿宋" w:cs="仿宋"/>
                <w:color w:val="auto"/>
                <w:sz w:val="24"/>
                <w:szCs w:val="24"/>
              </w:rPr>
            </w:pPr>
          </w:p>
        </w:tc>
        <w:tc>
          <w:tcPr>
            <w:tcW w:w="1360" w:type="pct"/>
          </w:tcPr>
          <w:p w14:paraId="2AE68002">
            <w:pPr>
              <w:pStyle w:val="15"/>
              <w:spacing w:line="400" w:lineRule="exact"/>
              <w:ind w:left="1080" w:leftChars="257" w:hanging="540"/>
              <w:rPr>
                <w:rFonts w:ascii="仿宋" w:hAnsi="仿宋" w:eastAsia="仿宋" w:cs="仿宋"/>
                <w:color w:val="auto"/>
                <w:sz w:val="24"/>
                <w:szCs w:val="24"/>
              </w:rPr>
            </w:pPr>
          </w:p>
        </w:tc>
        <w:tc>
          <w:tcPr>
            <w:tcW w:w="1360" w:type="pct"/>
          </w:tcPr>
          <w:p w14:paraId="786A8AA1">
            <w:pPr>
              <w:pStyle w:val="15"/>
              <w:spacing w:line="400" w:lineRule="exact"/>
              <w:ind w:left="1080" w:leftChars="257" w:hanging="540"/>
              <w:rPr>
                <w:rFonts w:ascii="仿宋" w:hAnsi="仿宋" w:eastAsia="仿宋" w:cs="仿宋"/>
                <w:color w:val="auto"/>
                <w:sz w:val="24"/>
                <w:szCs w:val="24"/>
              </w:rPr>
            </w:pPr>
          </w:p>
        </w:tc>
        <w:tc>
          <w:tcPr>
            <w:tcW w:w="398" w:type="pct"/>
          </w:tcPr>
          <w:p w14:paraId="35BBABEA">
            <w:pPr>
              <w:pStyle w:val="15"/>
              <w:spacing w:line="400" w:lineRule="exact"/>
              <w:ind w:left="1080" w:leftChars="257" w:hanging="540"/>
              <w:rPr>
                <w:rFonts w:ascii="仿宋" w:hAnsi="仿宋" w:eastAsia="仿宋" w:cs="仿宋"/>
                <w:color w:val="auto"/>
                <w:sz w:val="24"/>
                <w:szCs w:val="24"/>
              </w:rPr>
            </w:pPr>
          </w:p>
        </w:tc>
        <w:tc>
          <w:tcPr>
            <w:tcW w:w="398" w:type="pct"/>
          </w:tcPr>
          <w:p w14:paraId="11F58DE7">
            <w:pPr>
              <w:pStyle w:val="15"/>
              <w:spacing w:line="400" w:lineRule="exact"/>
              <w:ind w:left="1080" w:leftChars="257" w:hanging="540"/>
              <w:rPr>
                <w:rFonts w:ascii="仿宋" w:hAnsi="仿宋" w:eastAsia="仿宋" w:cs="仿宋"/>
                <w:color w:val="auto"/>
                <w:sz w:val="24"/>
                <w:szCs w:val="24"/>
              </w:rPr>
            </w:pPr>
          </w:p>
        </w:tc>
      </w:tr>
      <w:tr w14:paraId="39EC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773E9204">
            <w:pPr>
              <w:pStyle w:val="15"/>
              <w:spacing w:line="400" w:lineRule="exact"/>
              <w:ind w:left="1080" w:leftChars="257" w:hanging="540"/>
              <w:rPr>
                <w:rFonts w:ascii="仿宋" w:hAnsi="仿宋" w:eastAsia="仿宋" w:cs="仿宋"/>
                <w:color w:val="auto"/>
                <w:sz w:val="24"/>
                <w:szCs w:val="24"/>
              </w:rPr>
            </w:pPr>
          </w:p>
        </w:tc>
        <w:tc>
          <w:tcPr>
            <w:tcW w:w="1085" w:type="pct"/>
          </w:tcPr>
          <w:p w14:paraId="4AF1ECDA">
            <w:pPr>
              <w:pStyle w:val="15"/>
              <w:spacing w:line="400" w:lineRule="exact"/>
              <w:ind w:left="1080" w:leftChars="257" w:hanging="540"/>
              <w:rPr>
                <w:rFonts w:ascii="仿宋" w:hAnsi="仿宋" w:eastAsia="仿宋" w:cs="仿宋"/>
                <w:color w:val="auto"/>
                <w:sz w:val="24"/>
                <w:szCs w:val="24"/>
              </w:rPr>
            </w:pPr>
          </w:p>
        </w:tc>
        <w:tc>
          <w:tcPr>
            <w:tcW w:w="1360" w:type="pct"/>
          </w:tcPr>
          <w:p w14:paraId="6DBCE85D">
            <w:pPr>
              <w:pStyle w:val="15"/>
              <w:spacing w:line="400" w:lineRule="exact"/>
              <w:ind w:left="1080" w:leftChars="257" w:hanging="540"/>
              <w:rPr>
                <w:rFonts w:ascii="仿宋" w:hAnsi="仿宋" w:eastAsia="仿宋" w:cs="仿宋"/>
                <w:color w:val="auto"/>
                <w:sz w:val="24"/>
                <w:szCs w:val="24"/>
              </w:rPr>
            </w:pPr>
          </w:p>
        </w:tc>
        <w:tc>
          <w:tcPr>
            <w:tcW w:w="1360" w:type="pct"/>
          </w:tcPr>
          <w:p w14:paraId="6537F243">
            <w:pPr>
              <w:pStyle w:val="15"/>
              <w:spacing w:line="400" w:lineRule="exact"/>
              <w:ind w:left="1080" w:leftChars="257" w:hanging="540"/>
              <w:rPr>
                <w:rFonts w:ascii="仿宋" w:hAnsi="仿宋" w:eastAsia="仿宋" w:cs="仿宋"/>
                <w:color w:val="auto"/>
                <w:sz w:val="24"/>
                <w:szCs w:val="24"/>
              </w:rPr>
            </w:pPr>
          </w:p>
        </w:tc>
        <w:tc>
          <w:tcPr>
            <w:tcW w:w="398" w:type="pct"/>
          </w:tcPr>
          <w:p w14:paraId="2FBE4CF8">
            <w:pPr>
              <w:pStyle w:val="15"/>
              <w:spacing w:line="400" w:lineRule="exact"/>
              <w:ind w:left="1080" w:leftChars="257" w:hanging="540"/>
              <w:rPr>
                <w:rFonts w:ascii="仿宋" w:hAnsi="仿宋" w:eastAsia="仿宋" w:cs="仿宋"/>
                <w:color w:val="auto"/>
                <w:sz w:val="24"/>
                <w:szCs w:val="24"/>
              </w:rPr>
            </w:pPr>
          </w:p>
        </w:tc>
        <w:tc>
          <w:tcPr>
            <w:tcW w:w="398" w:type="pct"/>
          </w:tcPr>
          <w:p w14:paraId="5F6BC99B">
            <w:pPr>
              <w:pStyle w:val="15"/>
              <w:spacing w:line="400" w:lineRule="exact"/>
              <w:ind w:left="1080" w:leftChars="257" w:hanging="540"/>
              <w:rPr>
                <w:rFonts w:ascii="仿宋" w:hAnsi="仿宋" w:eastAsia="仿宋" w:cs="仿宋"/>
                <w:color w:val="auto"/>
                <w:sz w:val="24"/>
                <w:szCs w:val="24"/>
              </w:rPr>
            </w:pPr>
          </w:p>
        </w:tc>
      </w:tr>
      <w:tr w14:paraId="63D9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75B51495">
            <w:pPr>
              <w:pStyle w:val="15"/>
              <w:spacing w:line="400" w:lineRule="exact"/>
              <w:ind w:left="1080" w:leftChars="257" w:hanging="540"/>
              <w:rPr>
                <w:rFonts w:ascii="仿宋" w:hAnsi="仿宋" w:eastAsia="仿宋" w:cs="仿宋"/>
                <w:color w:val="auto"/>
                <w:sz w:val="24"/>
                <w:szCs w:val="24"/>
              </w:rPr>
            </w:pPr>
          </w:p>
        </w:tc>
        <w:tc>
          <w:tcPr>
            <w:tcW w:w="1085" w:type="pct"/>
          </w:tcPr>
          <w:p w14:paraId="5F526D4E">
            <w:pPr>
              <w:pStyle w:val="15"/>
              <w:spacing w:line="400" w:lineRule="exact"/>
              <w:ind w:left="1080" w:leftChars="257" w:hanging="540"/>
              <w:rPr>
                <w:rFonts w:ascii="仿宋" w:hAnsi="仿宋" w:eastAsia="仿宋" w:cs="仿宋"/>
                <w:color w:val="auto"/>
                <w:sz w:val="24"/>
                <w:szCs w:val="24"/>
              </w:rPr>
            </w:pPr>
          </w:p>
        </w:tc>
        <w:tc>
          <w:tcPr>
            <w:tcW w:w="1360" w:type="pct"/>
          </w:tcPr>
          <w:p w14:paraId="7593F1D9">
            <w:pPr>
              <w:pStyle w:val="15"/>
              <w:spacing w:line="400" w:lineRule="exact"/>
              <w:ind w:left="1080" w:leftChars="257" w:hanging="540"/>
              <w:rPr>
                <w:rFonts w:ascii="仿宋" w:hAnsi="仿宋" w:eastAsia="仿宋" w:cs="仿宋"/>
                <w:color w:val="auto"/>
                <w:sz w:val="24"/>
                <w:szCs w:val="24"/>
              </w:rPr>
            </w:pPr>
          </w:p>
        </w:tc>
        <w:tc>
          <w:tcPr>
            <w:tcW w:w="1360" w:type="pct"/>
          </w:tcPr>
          <w:p w14:paraId="108A5293">
            <w:pPr>
              <w:pStyle w:val="15"/>
              <w:spacing w:line="400" w:lineRule="exact"/>
              <w:ind w:left="1080" w:leftChars="257" w:hanging="540"/>
              <w:rPr>
                <w:rFonts w:ascii="仿宋" w:hAnsi="仿宋" w:eastAsia="仿宋" w:cs="仿宋"/>
                <w:color w:val="auto"/>
                <w:sz w:val="24"/>
                <w:szCs w:val="24"/>
              </w:rPr>
            </w:pPr>
          </w:p>
        </w:tc>
        <w:tc>
          <w:tcPr>
            <w:tcW w:w="398" w:type="pct"/>
          </w:tcPr>
          <w:p w14:paraId="24CA9120">
            <w:pPr>
              <w:pStyle w:val="15"/>
              <w:spacing w:line="400" w:lineRule="exact"/>
              <w:ind w:left="1080" w:leftChars="257" w:hanging="540"/>
              <w:rPr>
                <w:rFonts w:ascii="仿宋" w:hAnsi="仿宋" w:eastAsia="仿宋" w:cs="仿宋"/>
                <w:color w:val="auto"/>
                <w:sz w:val="24"/>
                <w:szCs w:val="24"/>
              </w:rPr>
            </w:pPr>
          </w:p>
        </w:tc>
        <w:tc>
          <w:tcPr>
            <w:tcW w:w="398" w:type="pct"/>
          </w:tcPr>
          <w:p w14:paraId="45F59276">
            <w:pPr>
              <w:pStyle w:val="15"/>
              <w:spacing w:line="400" w:lineRule="exact"/>
              <w:ind w:left="1080" w:leftChars="257" w:hanging="540"/>
              <w:rPr>
                <w:rFonts w:ascii="仿宋" w:hAnsi="仿宋" w:eastAsia="仿宋" w:cs="仿宋"/>
                <w:color w:val="auto"/>
                <w:sz w:val="24"/>
                <w:szCs w:val="24"/>
              </w:rPr>
            </w:pPr>
          </w:p>
        </w:tc>
      </w:tr>
      <w:tr w14:paraId="173E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4D801091">
            <w:pPr>
              <w:pStyle w:val="15"/>
              <w:spacing w:line="400" w:lineRule="exact"/>
              <w:ind w:left="1080" w:leftChars="257" w:hanging="540"/>
              <w:rPr>
                <w:rFonts w:ascii="仿宋" w:hAnsi="仿宋" w:eastAsia="仿宋" w:cs="仿宋"/>
                <w:color w:val="auto"/>
                <w:sz w:val="24"/>
                <w:szCs w:val="24"/>
              </w:rPr>
            </w:pPr>
          </w:p>
        </w:tc>
        <w:tc>
          <w:tcPr>
            <w:tcW w:w="1085" w:type="pct"/>
          </w:tcPr>
          <w:p w14:paraId="70EE3D5A">
            <w:pPr>
              <w:pStyle w:val="15"/>
              <w:spacing w:line="400" w:lineRule="exact"/>
              <w:ind w:left="1080" w:leftChars="257" w:hanging="540"/>
              <w:rPr>
                <w:rFonts w:ascii="仿宋" w:hAnsi="仿宋" w:eastAsia="仿宋" w:cs="仿宋"/>
                <w:color w:val="auto"/>
                <w:sz w:val="24"/>
                <w:szCs w:val="24"/>
              </w:rPr>
            </w:pPr>
          </w:p>
        </w:tc>
        <w:tc>
          <w:tcPr>
            <w:tcW w:w="1360" w:type="pct"/>
          </w:tcPr>
          <w:p w14:paraId="5B6B8363">
            <w:pPr>
              <w:pStyle w:val="15"/>
              <w:spacing w:line="400" w:lineRule="exact"/>
              <w:ind w:left="1080" w:leftChars="257" w:hanging="540"/>
              <w:rPr>
                <w:rFonts w:ascii="仿宋" w:hAnsi="仿宋" w:eastAsia="仿宋" w:cs="仿宋"/>
                <w:color w:val="auto"/>
                <w:sz w:val="24"/>
                <w:szCs w:val="24"/>
              </w:rPr>
            </w:pPr>
          </w:p>
        </w:tc>
        <w:tc>
          <w:tcPr>
            <w:tcW w:w="1360" w:type="pct"/>
          </w:tcPr>
          <w:p w14:paraId="0B69212E">
            <w:pPr>
              <w:pStyle w:val="15"/>
              <w:spacing w:line="400" w:lineRule="exact"/>
              <w:ind w:left="1080" w:leftChars="257" w:hanging="540"/>
              <w:rPr>
                <w:rFonts w:ascii="仿宋" w:hAnsi="仿宋" w:eastAsia="仿宋" w:cs="仿宋"/>
                <w:color w:val="auto"/>
                <w:sz w:val="24"/>
                <w:szCs w:val="24"/>
              </w:rPr>
            </w:pPr>
          </w:p>
        </w:tc>
        <w:tc>
          <w:tcPr>
            <w:tcW w:w="398" w:type="pct"/>
          </w:tcPr>
          <w:p w14:paraId="5E1D9DAC">
            <w:pPr>
              <w:pStyle w:val="15"/>
              <w:spacing w:line="400" w:lineRule="exact"/>
              <w:ind w:left="1080" w:leftChars="257" w:hanging="540"/>
              <w:rPr>
                <w:rFonts w:ascii="仿宋" w:hAnsi="仿宋" w:eastAsia="仿宋" w:cs="仿宋"/>
                <w:color w:val="auto"/>
                <w:sz w:val="24"/>
                <w:szCs w:val="24"/>
              </w:rPr>
            </w:pPr>
          </w:p>
        </w:tc>
        <w:tc>
          <w:tcPr>
            <w:tcW w:w="398" w:type="pct"/>
          </w:tcPr>
          <w:p w14:paraId="49931280">
            <w:pPr>
              <w:pStyle w:val="15"/>
              <w:spacing w:line="400" w:lineRule="exact"/>
              <w:ind w:left="1080" w:leftChars="257" w:hanging="540"/>
              <w:rPr>
                <w:rFonts w:ascii="仿宋" w:hAnsi="仿宋" w:eastAsia="仿宋" w:cs="仿宋"/>
                <w:color w:val="auto"/>
                <w:sz w:val="24"/>
                <w:szCs w:val="24"/>
              </w:rPr>
            </w:pPr>
          </w:p>
        </w:tc>
      </w:tr>
      <w:tr w14:paraId="59F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663B3874">
            <w:pPr>
              <w:pStyle w:val="15"/>
              <w:spacing w:line="400" w:lineRule="exact"/>
              <w:ind w:left="1080" w:leftChars="257" w:hanging="540"/>
              <w:rPr>
                <w:rFonts w:ascii="仿宋" w:hAnsi="仿宋" w:eastAsia="仿宋" w:cs="仿宋"/>
                <w:color w:val="auto"/>
                <w:sz w:val="24"/>
                <w:szCs w:val="24"/>
              </w:rPr>
            </w:pPr>
          </w:p>
        </w:tc>
        <w:tc>
          <w:tcPr>
            <w:tcW w:w="1085" w:type="pct"/>
          </w:tcPr>
          <w:p w14:paraId="20A9F527">
            <w:pPr>
              <w:pStyle w:val="15"/>
              <w:spacing w:line="400" w:lineRule="exact"/>
              <w:ind w:left="1080" w:leftChars="257" w:hanging="540"/>
              <w:rPr>
                <w:rFonts w:ascii="仿宋" w:hAnsi="仿宋" w:eastAsia="仿宋" w:cs="仿宋"/>
                <w:color w:val="auto"/>
                <w:sz w:val="24"/>
                <w:szCs w:val="24"/>
              </w:rPr>
            </w:pPr>
          </w:p>
        </w:tc>
        <w:tc>
          <w:tcPr>
            <w:tcW w:w="1360" w:type="pct"/>
          </w:tcPr>
          <w:p w14:paraId="6CCA57B9">
            <w:pPr>
              <w:pStyle w:val="15"/>
              <w:spacing w:line="400" w:lineRule="exact"/>
              <w:ind w:left="1080" w:leftChars="257" w:hanging="540"/>
              <w:rPr>
                <w:rFonts w:ascii="仿宋" w:hAnsi="仿宋" w:eastAsia="仿宋" w:cs="仿宋"/>
                <w:color w:val="auto"/>
                <w:sz w:val="24"/>
                <w:szCs w:val="24"/>
              </w:rPr>
            </w:pPr>
          </w:p>
        </w:tc>
        <w:tc>
          <w:tcPr>
            <w:tcW w:w="1360" w:type="pct"/>
          </w:tcPr>
          <w:p w14:paraId="62B623A2">
            <w:pPr>
              <w:pStyle w:val="15"/>
              <w:spacing w:line="400" w:lineRule="exact"/>
              <w:ind w:left="1080" w:leftChars="257" w:hanging="540"/>
              <w:rPr>
                <w:rFonts w:ascii="仿宋" w:hAnsi="仿宋" w:eastAsia="仿宋" w:cs="仿宋"/>
                <w:color w:val="auto"/>
                <w:sz w:val="24"/>
                <w:szCs w:val="24"/>
              </w:rPr>
            </w:pPr>
          </w:p>
        </w:tc>
        <w:tc>
          <w:tcPr>
            <w:tcW w:w="398" w:type="pct"/>
          </w:tcPr>
          <w:p w14:paraId="500D055A">
            <w:pPr>
              <w:pStyle w:val="15"/>
              <w:spacing w:line="400" w:lineRule="exact"/>
              <w:ind w:left="1080" w:leftChars="257" w:hanging="540"/>
              <w:rPr>
                <w:rFonts w:ascii="仿宋" w:hAnsi="仿宋" w:eastAsia="仿宋" w:cs="仿宋"/>
                <w:color w:val="auto"/>
                <w:sz w:val="24"/>
                <w:szCs w:val="24"/>
              </w:rPr>
            </w:pPr>
          </w:p>
        </w:tc>
        <w:tc>
          <w:tcPr>
            <w:tcW w:w="398" w:type="pct"/>
          </w:tcPr>
          <w:p w14:paraId="15D3F7FA">
            <w:pPr>
              <w:pStyle w:val="15"/>
              <w:spacing w:line="400" w:lineRule="exact"/>
              <w:ind w:left="1080" w:leftChars="257" w:hanging="540"/>
              <w:rPr>
                <w:rFonts w:ascii="仿宋" w:hAnsi="仿宋" w:eastAsia="仿宋" w:cs="仿宋"/>
                <w:color w:val="auto"/>
                <w:sz w:val="24"/>
                <w:szCs w:val="24"/>
              </w:rPr>
            </w:pPr>
          </w:p>
        </w:tc>
      </w:tr>
      <w:tr w14:paraId="2D6F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09A62578">
            <w:pPr>
              <w:pStyle w:val="15"/>
              <w:spacing w:line="400" w:lineRule="exact"/>
              <w:ind w:left="1080" w:leftChars="257" w:hanging="540"/>
              <w:rPr>
                <w:rFonts w:ascii="仿宋" w:hAnsi="仿宋" w:eastAsia="仿宋" w:cs="仿宋"/>
                <w:color w:val="auto"/>
                <w:sz w:val="24"/>
                <w:szCs w:val="24"/>
              </w:rPr>
            </w:pPr>
          </w:p>
        </w:tc>
        <w:tc>
          <w:tcPr>
            <w:tcW w:w="1085" w:type="pct"/>
          </w:tcPr>
          <w:p w14:paraId="3F886176">
            <w:pPr>
              <w:pStyle w:val="15"/>
              <w:spacing w:line="400" w:lineRule="exact"/>
              <w:ind w:left="1080" w:leftChars="257" w:hanging="540"/>
              <w:rPr>
                <w:rFonts w:ascii="仿宋" w:hAnsi="仿宋" w:eastAsia="仿宋" w:cs="仿宋"/>
                <w:color w:val="auto"/>
                <w:sz w:val="24"/>
                <w:szCs w:val="24"/>
              </w:rPr>
            </w:pPr>
          </w:p>
        </w:tc>
        <w:tc>
          <w:tcPr>
            <w:tcW w:w="1360" w:type="pct"/>
          </w:tcPr>
          <w:p w14:paraId="2DB31C79">
            <w:pPr>
              <w:pStyle w:val="15"/>
              <w:spacing w:line="400" w:lineRule="exact"/>
              <w:ind w:left="1080" w:leftChars="257" w:hanging="540"/>
              <w:rPr>
                <w:rFonts w:ascii="仿宋" w:hAnsi="仿宋" w:eastAsia="仿宋" w:cs="仿宋"/>
                <w:color w:val="auto"/>
                <w:sz w:val="24"/>
                <w:szCs w:val="24"/>
              </w:rPr>
            </w:pPr>
          </w:p>
        </w:tc>
        <w:tc>
          <w:tcPr>
            <w:tcW w:w="1360" w:type="pct"/>
          </w:tcPr>
          <w:p w14:paraId="2435EDD3">
            <w:pPr>
              <w:pStyle w:val="15"/>
              <w:spacing w:line="400" w:lineRule="exact"/>
              <w:ind w:left="1080" w:leftChars="257" w:hanging="540"/>
              <w:rPr>
                <w:rFonts w:ascii="仿宋" w:hAnsi="仿宋" w:eastAsia="仿宋" w:cs="仿宋"/>
                <w:color w:val="auto"/>
                <w:sz w:val="24"/>
                <w:szCs w:val="24"/>
              </w:rPr>
            </w:pPr>
          </w:p>
        </w:tc>
        <w:tc>
          <w:tcPr>
            <w:tcW w:w="398" w:type="pct"/>
          </w:tcPr>
          <w:p w14:paraId="5AD01070">
            <w:pPr>
              <w:pStyle w:val="15"/>
              <w:spacing w:line="400" w:lineRule="exact"/>
              <w:ind w:left="1080" w:leftChars="257" w:hanging="540"/>
              <w:rPr>
                <w:rFonts w:ascii="仿宋" w:hAnsi="仿宋" w:eastAsia="仿宋" w:cs="仿宋"/>
                <w:color w:val="auto"/>
                <w:sz w:val="24"/>
                <w:szCs w:val="24"/>
              </w:rPr>
            </w:pPr>
          </w:p>
        </w:tc>
        <w:tc>
          <w:tcPr>
            <w:tcW w:w="398" w:type="pct"/>
          </w:tcPr>
          <w:p w14:paraId="656A98B2">
            <w:pPr>
              <w:pStyle w:val="15"/>
              <w:spacing w:line="400" w:lineRule="exact"/>
              <w:ind w:left="1080" w:leftChars="257" w:hanging="540"/>
              <w:rPr>
                <w:rFonts w:ascii="仿宋" w:hAnsi="仿宋" w:eastAsia="仿宋" w:cs="仿宋"/>
                <w:color w:val="auto"/>
                <w:sz w:val="24"/>
                <w:szCs w:val="24"/>
              </w:rPr>
            </w:pPr>
          </w:p>
        </w:tc>
      </w:tr>
      <w:tr w14:paraId="2195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65E15303">
            <w:pPr>
              <w:pStyle w:val="15"/>
              <w:spacing w:line="400" w:lineRule="exact"/>
              <w:ind w:left="1080" w:leftChars="257" w:hanging="540"/>
              <w:rPr>
                <w:rFonts w:ascii="仿宋" w:hAnsi="仿宋" w:eastAsia="仿宋" w:cs="仿宋"/>
                <w:color w:val="auto"/>
                <w:sz w:val="24"/>
                <w:szCs w:val="24"/>
              </w:rPr>
            </w:pPr>
          </w:p>
        </w:tc>
        <w:tc>
          <w:tcPr>
            <w:tcW w:w="1085" w:type="pct"/>
          </w:tcPr>
          <w:p w14:paraId="04A99B22">
            <w:pPr>
              <w:pStyle w:val="15"/>
              <w:spacing w:line="400" w:lineRule="exact"/>
              <w:ind w:left="1080" w:leftChars="257" w:hanging="540"/>
              <w:rPr>
                <w:rFonts w:ascii="仿宋" w:hAnsi="仿宋" w:eastAsia="仿宋" w:cs="仿宋"/>
                <w:color w:val="auto"/>
                <w:sz w:val="24"/>
                <w:szCs w:val="24"/>
              </w:rPr>
            </w:pPr>
          </w:p>
        </w:tc>
        <w:tc>
          <w:tcPr>
            <w:tcW w:w="1360" w:type="pct"/>
          </w:tcPr>
          <w:p w14:paraId="202D80B6">
            <w:pPr>
              <w:pStyle w:val="15"/>
              <w:spacing w:line="400" w:lineRule="exact"/>
              <w:ind w:left="1080" w:leftChars="257" w:hanging="540"/>
              <w:rPr>
                <w:rFonts w:ascii="仿宋" w:hAnsi="仿宋" w:eastAsia="仿宋" w:cs="仿宋"/>
                <w:color w:val="auto"/>
                <w:sz w:val="24"/>
                <w:szCs w:val="24"/>
              </w:rPr>
            </w:pPr>
          </w:p>
        </w:tc>
        <w:tc>
          <w:tcPr>
            <w:tcW w:w="1360" w:type="pct"/>
          </w:tcPr>
          <w:p w14:paraId="6AD812F8">
            <w:pPr>
              <w:pStyle w:val="15"/>
              <w:spacing w:line="400" w:lineRule="exact"/>
              <w:ind w:left="1080" w:leftChars="257" w:hanging="540"/>
              <w:rPr>
                <w:rFonts w:ascii="仿宋" w:hAnsi="仿宋" w:eastAsia="仿宋" w:cs="仿宋"/>
                <w:color w:val="auto"/>
                <w:sz w:val="24"/>
                <w:szCs w:val="24"/>
              </w:rPr>
            </w:pPr>
          </w:p>
        </w:tc>
        <w:tc>
          <w:tcPr>
            <w:tcW w:w="398" w:type="pct"/>
          </w:tcPr>
          <w:p w14:paraId="7EB4FD49">
            <w:pPr>
              <w:pStyle w:val="15"/>
              <w:spacing w:line="400" w:lineRule="exact"/>
              <w:ind w:left="1080" w:leftChars="257" w:hanging="540"/>
              <w:rPr>
                <w:rFonts w:ascii="仿宋" w:hAnsi="仿宋" w:eastAsia="仿宋" w:cs="仿宋"/>
                <w:color w:val="auto"/>
                <w:sz w:val="24"/>
                <w:szCs w:val="24"/>
              </w:rPr>
            </w:pPr>
          </w:p>
        </w:tc>
        <w:tc>
          <w:tcPr>
            <w:tcW w:w="398" w:type="pct"/>
          </w:tcPr>
          <w:p w14:paraId="63BEB56C">
            <w:pPr>
              <w:pStyle w:val="15"/>
              <w:spacing w:line="400" w:lineRule="exact"/>
              <w:ind w:left="1080" w:leftChars="257" w:hanging="540"/>
              <w:rPr>
                <w:rFonts w:ascii="仿宋" w:hAnsi="仿宋" w:eastAsia="仿宋" w:cs="仿宋"/>
                <w:color w:val="auto"/>
                <w:sz w:val="24"/>
                <w:szCs w:val="24"/>
              </w:rPr>
            </w:pPr>
          </w:p>
        </w:tc>
      </w:tr>
      <w:tr w14:paraId="532A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069FB6B5">
            <w:pPr>
              <w:pStyle w:val="15"/>
              <w:spacing w:line="400" w:lineRule="exact"/>
              <w:ind w:left="1080" w:leftChars="257" w:hanging="540"/>
              <w:rPr>
                <w:rFonts w:ascii="仿宋" w:hAnsi="仿宋" w:eastAsia="仿宋" w:cs="仿宋"/>
                <w:color w:val="auto"/>
                <w:sz w:val="24"/>
                <w:szCs w:val="24"/>
              </w:rPr>
            </w:pPr>
          </w:p>
        </w:tc>
        <w:tc>
          <w:tcPr>
            <w:tcW w:w="1085" w:type="pct"/>
          </w:tcPr>
          <w:p w14:paraId="19580427">
            <w:pPr>
              <w:pStyle w:val="15"/>
              <w:spacing w:line="400" w:lineRule="exact"/>
              <w:ind w:left="1080" w:leftChars="257" w:hanging="540"/>
              <w:rPr>
                <w:rFonts w:ascii="仿宋" w:hAnsi="仿宋" w:eastAsia="仿宋" w:cs="仿宋"/>
                <w:color w:val="auto"/>
                <w:sz w:val="24"/>
                <w:szCs w:val="24"/>
              </w:rPr>
            </w:pPr>
          </w:p>
        </w:tc>
        <w:tc>
          <w:tcPr>
            <w:tcW w:w="1360" w:type="pct"/>
          </w:tcPr>
          <w:p w14:paraId="2F1B5640">
            <w:pPr>
              <w:pStyle w:val="15"/>
              <w:spacing w:line="400" w:lineRule="exact"/>
              <w:ind w:left="1080" w:leftChars="257" w:hanging="540"/>
              <w:rPr>
                <w:rFonts w:ascii="仿宋" w:hAnsi="仿宋" w:eastAsia="仿宋" w:cs="仿宋"/>
                <w:color w:val="auto"/>
                <w:sz w:val="24"/>
                <w:szCs w:val="24"/>
              </w:rPr>
            </w:pPr>
          </w:p>
        </w:tc>
        <w:tc>
          <w:tcPr>
            <w:tcW w:w="1360" w:type="pct"/>
          </w:tcPr>
          <w:p w14:paraId="70E123A5">
            <w:pPr>
              <w:pStyle w:val="15"/>
              <w:spacing w:line="400" w:lineRule="exact"/>
              <w:ind w:left="1080" w:leftChars="257" w:hanging="540"/>
              <w:rPr>
                <w:rFonts w:ascii="仿宋" w:hAnsi="仿宋" w:eastAsia="仿宋" w:cs="仿宋"/>
                <w:color w:val="auto"/>
                <w:sz w:val="24"/>
                <w:szCs w:val="24"/>
              </w:rPr>
            </w:pPr>
          </w:p>
        </w:tc>
        <w:tc>
          <w:tcPr>
            <w:tcW w:w="398" w:type="pct"/>
          </w:tcPr>
          <w:p w14:paraId="766820BD">
            <w:pPr>
              <w:pStyle w:val="15"/>
              <w:spacing w:line="400" w:lineRule="exact"/>
              <w:ind w:left="1080" w:leftChars="257" w:hanging="540"/>
              <w:rPr>
                <w:rFonts w:ascii="仿宋" w:hAnsi="仿宋" w:eastAsia="仿宋" w:cs="仿宋"/>
                <w:color w:val="auto"/>
                <w:sz w:val="24"/>
                <w:szCs w:val="24"/>
              </w:rPr>
            </w:pPr>
          </w:p>
        </w:tc>
        <w:tc>
          <w:tcPr>
            <w:tcW w:w="398" w:type="pct"/>
          </w:tcPr>
          <w:p w14:paraId="64504BAC">
            <w:pPr>
              <w:pStyle w:val="15"/>
              <w:spacing w:line="400" w:lineRule="exact"/>
              <w:ind w:left="1080" w:leftChars="257" w:hanging="540"/>
              <w:rPr>
                <w:rFonts w:ascii="仿宋" w:hAnsi="仿宋" w:eastAsia="仿宋" w:cs="仿宋"/>
                <w:color w:val="auto"/>
                <w:sz w:val="24"/>
                <w:szCs w:val="24"/>
              </w:rPr>
            </w:pPr>
          </w:p>
        </w:tc>
      </w:tr>
      <w:tr w14:paraId="0E48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4D100FEF">
            <w:pPr>
              <w:pStyle w:val="15"/>
              <w:spacing w:line="400" w:lineRule="exact"/>
              <w:ind w:left="1080" w:leftChars="257" w:hanging="540"/>
              <w:rPr>
                <w:rFonts w:ascii="仿宋" w:hAnsi="仿宋" w:eastAsia="仿宋" w:cs="仿宋"/>
                <w:color w:val="auto"/>
                <w:sz w:val="24"/>
                <w:szCs w:val="24"/>
              </w:rPr>
            </w:pPr>
          </w:p>
        </w:tc>
        <w:tc>
          <w:tcPr>
            <w:tcW w:w="1085" w:type="pct"/>
          </w:tcPr>
          <w:p w14:paraId="2915E7BF">
            <w:pPr>
              <w:pStyle w:val="15"/>
              <w:spacing w:line="400" w:lineRule="exact"/>
              <w:ind w:left="1080" w:leftChars="257" w:hanging="540"/>
              <w:rPr>
                <w:rFonts w:ascii="仿宋" w:hAnsi="仿宋" w:eastAsia="仿宋" w:cs="仿宋"/>
                <w:color w:val="auto"/>
                <w:sz w:val="24"/>
                <w:szCs w:val="24"/>
              </w:rPr>
            </w:pPr>
          </w:p>
        </w:tc>
        <w:tc>
          <w:tcPr>
            <w:tcW w:w="1360" w:type="pct"/>
          </w:tcPr>
          <w:p w14:paraId="24DA17A7">
            <w:pPr>
              <w:pStyle w:val="15"/>
              <w:spacing w:line="400" w:lineRule="exact"/>
              <w:ind w:left="1080" w:leftChars="257" w:hanging="540"/>
              <w:rPr>
                <w:rFonts w:ascii="仿宋" w:hAnsi="仿宋" w:eastAsia="仿宋" w:cs="仿宋"/>
                <w:color w:val="auto"/>
                <w:sz w:val="24"/>
                <w:szCs w:val="24"/>
              </w:rPr>
            </w:pPr>
          </w:p>
        </w:tc>
        <w:tc>
          <w:tcPr>
            <w:tcW w:w="1360" w:type="pct"/>
          </w:tcPr>
          <w:p w14:paraId="4148D4CD">
            <w:pPr>
              <w:pStyle w:val="15"/>
              <w:spacing w:line="400" w:lineRule="exact"/>
              <w:ind w:left="1080" w:leftChars="257" w:hanging="540"/>
              <w:rPr>
                <w:rFonts w:ascii="仿宋" w:hAnsi="仿宋" w:eastAsia="仿宋" w:cs="仿宋"/>
                <w:color w:val="auto"/>
                <w:sz w:val="24"/>
                <w:szCs w:val="24"/>
              </w:rPr>
            </w:pPr>
          </w:p>
        </w:tc>
        <w:tc>
          <w:tcPr>
            <w:tcW w:w="398" w:type="pct"/>
          </w:tcPr>
          <w:p w14:paraId="1E89A429">
            <w:pPr>
              <w:pStyle w:val="15"/>
              <w:spacing w:line="400" w:lineRule="exact"/>
              <w:ind w:left="1080" w:leftChars="257" w:hanging="540"/>
              <w:rPr>
                <w:rFonts w:ascii="仿宋" w:hAnsi="仿宋" w:eastAsia="仿宋" w:cs="仿宋"/>
                <w:color w:val="auto"/>
                <w:sz w:val="24"/>
                <w:szCs w:val="24"/>
              </w:rPr>
            </w:pPr>
          </w:p>
        </w:tc>
        <w:tc>
          <w:tcPr>
            <w:tcW w:w="398" w:type="pct"/>
          </w:tcPr>
          <w:p w14:paraId="3E7686AD">
            <w:pPr>
              <w:pStyle w:val="15"/>
              <w:spacing w:line="400" w:lineRule="exact"/>
              <w:ind w:left="1080" w:leftChars="257" w:hanging="540"/>
              <w:rPr>
                <w:rFonts w:ascii="仿宋" w:hAnsi="仿宋" w:eastAsia="仿宋" w:cs="仿宋"/>
                <w:color w:val="auto"/>
                <w:sz w:val="24"/>
                <w:szCs w:val="24"/>
              </w:rPr>
            </w:pPr>
          </w:p>
        </w:tc>
      </w:tr>
      <w:tr w14:paraId="4490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41691349">
            <w:pPr>
              <w:pStyle w:val="15"/>
              <w:spacing w:line="400" w:lineRule="exact"/>
              <w:ind w:left="1080" w:leftChars="257" w:hanging="540"/>
              <w:rPr>
                <w:rFonts w:ascii="仿宋" w:hAnsi="仿宋" w:eastAsia="仿宋" w:cs="仿宋"/>
                <w:color w:val="auto"/>
                <w:sz w:val="24"/>
                <w:szCs w:val="24"/>
              </w:rPr>
            </w:pPr>
          </w:p>
        </w:tc>
        <w:tc>
          <w:tcPr>
            <w:tcW w:w="1085" w:type="pct"/>
          </w:tcPr>
          <w:p w14:paraId="36F2EA0D">
            <w:pPr>
              <w:pStyle w:val="15"/>
              <w:spacing w:line="400" w:lineRule="exact"/>
              <w:ind w:left="1080" w:leftChars="257" w:hanging="540"/>
              <w:rPr>
                <w:rFonts w:ascii="仿宋" w:hAnsi="仿宋" w:eastAsia="仿宋" w:cs="仿宋"/>
                <w:color w:val="auto"/>
                <w:sz w:val="24"/>
                <w:szCs w:val="24"/>
              </w:rPr>
            </w:pPr>
          </w:p>
        </w:tc>
        <w:tc>
          <w:tcPr>
            <w:tcW w:w="1360" w:type="pct"/>
          </w:tcPr>
          <w:p w14:paraId="19095E23">
            <w:pPr>
              <w:pStyle w:val="15"/>
              <w:spacing w:line="400" w:lineRule="exact"/>
              <w:ind w:left="1080" w:leftChars="257" w:hanging="540"/>
              <w:rPr>
                <w:rFonts w:ascii="仿宋" w:hAnsi="仿宋" w:eastAsia="仿宋" w:cs="仿宋"/>
                <w:color w:val="auto"/>
                <w:sz w:val="24"/>
                <w:szCs w:val="24"/>
              </w:rPr>
            </w:pPr>
          </w:p>
        </w:tc>
        <w:tc>
          <w:tcPr>
            <w:tcW w:w="1360" w:type="pct"/>
          </w:tcPr>
          <w:p w14:paraId="2C1EA336">
            <w:pPr>
              <w:pStyle w:val="15"/>
              <w:spacing w:line="400" w:lineRule="exact"/>
              <w:ind w:left="1080" w:leftChars="257" w:hanging="540"/>
              <w:rPr>
                <w:rFonts w:ascii="仿宋" w:hAnsi="仿宋" w:eastAsia="仿宋" w:cs="仿宋"/>
                <w:color w:val="auto"/>
                <w:sz w:val="24"/>
                <w:szCs w:val="24"/>
              </w:rPr>
            </w:pPr>
          </w:p>
        </w:tc>
        <w:tc>
          <w:tcPr>
            <w:tcW w:w="398" w:type="pct"/>
          </w:tcPr>
          <w:p w14:paraId="1435C769">
            <w:pPr>
              <w:pStyle w:val="15"/>
              <w:spacing w:line="400" w:lineRule="exact"/>
              <w:ind w:left="1080" w:leftChars="257" w:hanging="540"/>
              <w:rPr>
                <w:rFonts w:ascii="仿宋" w:hAnsi="仿宋" w:eastAsia="仿宋" w:cs="仿宋"/>
                <w:color w:val="auto"/>
                <w:sz w:val="24"/>
                <w:szCs w:val="24"/>
              </w:rPr>
            </w:pPr>
          </w:p>
        </w:tc>
        <w:tc>
          <w:tcPr>
            <w:tcW w:w="398" w:type="pct"/>
          </w:tcPr>
          <w:p w14:paraId="3588F89A">
            <w:pPr>
              <w:pStyle w:val="15"/>
              <w:spacing w:line="400" w:lineRule="exact"/>
              <w:ind w:left="1080" w:leftChars="257" w:hanging="540"/>
              <w:rPr>
                <w:rFonts w:ascii="仿宋" w:hAnsi="仿宋" w:eastAsia="仿宋" w:cs="仿宋"/>
                <w:color w:val="auto"/>
                <w:sz w:val="24"/>
                <w:szCs w:val="24"/>
              </w:rPr>
            </w:pPr>
          </w:p>
        </w:tc>
      </w:tr>
      <w:tr w14:paraId="65B4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6FB154F3">
            <w:pPr>
              <w:pStyle w:val="15"/>
              <w:spacing w:line="400" w:lineRule="exact"/>
              <w:ind w:left="1080" w:leftChars="257" w:hanging="540"/>
              <w:rPr>
                <w:rFonts w:ascii="仿宋" w:hAnsi="仿宋" w:eastAsia="仿宋" w:cs="仿宋"/>
                <w:color w:val="auto"/>
                <w:sz w:val="24"/>
                <w:szCs w:val="24"/>
              </w:rPr>
            </w:pPr>
          </w:p>
        </w:tc>
        <w:tc>
          <w:tcPr>
            <w:tcW w:w="1085" w:type="pct"/>
          </w:tcPr>
          <w:p w14:paraId="59D7B2EE">
            <w:pPr>
              <w:pStyle w:val="15"/>
              <w:spacing w:line="400" w:lineRule="exact"/>
              <w:ind w:left="1080" w:leftChars="257" w:hanging="540"/>
              <w:rPr>
                <w:rFonts w:ascii="仿宋" w:hAnsi="仿宋" w:eastAsia="仿宋" w:cs="仿宋"/>
                <w:color w:val="auto"/>
                <w:sz w:val="24"/>
                <w:szCs w:val="24"/>
              </w:rPr>
            </w:pPr>
          </w:p>
        </w:tc>
        <w:tc>
          <w:tcPr>
            <w:tcW w:w="1360" w:type="pct"/>
          </w:tcPr>
          <w:p w14:paraId="1F537856">
            <w:pPr>
              <w:pStyle w:val="15"/>
              <w:spacing w:line="400" w:lineRule="exact"/>
              <w:ind w:left="1080" w:leftChars="257" w:hanging="540"/>
              <w:rPr>
                <w:rFonts w:ascii="仿宋" w:hAnsi="仿宋" w:eastAsia="仿宋" w:cs="仿宋"/>
                <w:color w:val="auto"/>
                <w:sz w:val="24"/>
                <w:szCs w:val="24"/>
              </w:rPr>
            </w:pPr>
          </w:p>
        </w:tc>
        <w:tc>
          <w:tcPr>
            <w:tcW w:w="1360" w:type="pct"/>
          </w:tcPr>
          <w:p w14:paraId="27A2F7C0">
            <w:pPr>
              <w:pStyle w:val="15"/>
              <w:spacing w:line="400" w:lineRule="exact"/>
              <w:ind w:left="1080" w:leftChars="257" w:hanging="540"/>
              <w:rPr>
                <w:rFonts w:ascii="仿宋" w:hAnsi="仿宋" w:eastAsia="仿宋" w:cs="仿宋"/>
                <w:color w:val="auto"/>
                <w:sz w:val="24"/>
                <w:szCs w:val="24"/>
              </w:rPr>
            </w:pPr>
          </w:p>
        </w:tc>
        <w:tc>
          <w:tcPr>
            <w:tcW w:w="398" w:type="pct"/>
          </w:tcPr>
          <w:p w14:paraId="6880C571">
            <w:pPr>
              <w:pStyle w:val="15"/>
              <w:spacing w:line="400" w:lineRule="exact"/>
              <w:ind w:left="1080" w:leftChars="257" w:hanging="540"/>
              <w:rPr>
                <w:rFonts w:ascii="仿宋" w:hAnsi="仿宋" w:eastAsia="仿宋" w:cs="仿宋"/>
                <w:color w:val="auto"/>
                <w:sz w:val="24"/>
                <w:szCs w:val="24"/>
              </w:rPr>
            </w:pPr>
          </w:p>
        </w:tc>
        <w:tc>
          <w:tcPr>
            <w:tcW w:w="398" w:type="pct"/>
          </w:tcPr>
          <w:p w14:paraId="407B0904">
            <w:pPr>
              <w:pStyle w:val="15"/>
              <w:spacing w:line="400" w:lineRule="exact"/>
              <w:ind w:left="1080" w:leftChars="257" w:hanging="540"/>
              <w:rPr>
                <w:rFonts w:ascii="仿宋" w:hAnsi="仿宋" w:eastAsia="仿宋" w:cs="仿宋"/>
                <w:color w:val="auto"/>
                <w:sz w:val="24"/>
                <w:szCs w:val="24"/>
              </w:rPr>
            </w:pPr>
          </w:p>
        </w:tc>
      </w:tr>
      <w:tr w14:paraId="2266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tcPr>
          <w:p w14:paraId="58F4EE0B">
            <w:pPr>
              <w:pStyle w:val="15"/>
              <w:spacing w:line="400" w:lineRule="exact"/>
              <w:ind w:left="1080" w:leftChars="257" w:hanging="540"/>
              <w:rPr>
                <w:rFonts w:ascii="仿宋" w:hAnsi="仿宋" w:eastAsia="仿宋" w:cs="仿宋"/>
                <w:color w:val="auto"/>
                <w:sz w:val="24"/>
                <w:szCs w:val="24"/>
              </w:rPr>
            </w:pPr>
          </w:p>
        </w:tc>
        <w:tc>
          <w:tcPr>
            <w:tcW w:w="1085" w:type="pct"/>
          </w:tcPr>
          <w:p w14:paraId="60EC880A">
            <w:pPr>
              <w:pStyle w:val="15"/>
              <w:spacing w:line="400" w:lineRule="exact"/>
              <w:ind w:left="1080" w:leftChars="257" w:hanging="540"/>
              <w:rPr>
                <w:rFonts w:ascii="仿宋" w:hAnsi="仿宋" w:eastAsia="仿宋" w:cs="仿宋"/>
                <w:color w:val="auto"/>
                <w:sz w:val="24"/>
                <w:szCs w:val="24"/>
              </w:rPr>
            </w:pPr>
          </w:p>
        </w:tc>
        <w:tc>
          <w:tcPr>
            <w:tcW w:w="1360" w:type="pct"/>
          </w:tcPr>
          <w:p w14:paraId="11575B6F">
            <w:pPr>
              <w:pStyle w:val="15"/>
              <w:spacing w:line="400" w:lineRule="exact"/>
              <w:ind w:left="1080" w:leftChars="257" w:hanging="540"/>
              <w:rPr>
                <w:rFonts w:ascii="仿宋" w:hAnsi="仿宋" w:eastAsia="仿宋" w:cs="仿宋"/>
                <w:color w:val="auto"/>
                <w:sz w:val="24"/>
                <w:szCs w:val="24"/>
              </w:rPr>
            </w:pPr>
          </w:p>
        </w:tc>
        <w:tc>
          <w:tcPr>
            <w:tcW w:w="1360" w:type="pct"/>
          </w:tcPr>
          <w:p w14:paraId="23E4B560">
            <w:pPr>
              <w:pStyle w:val="15"/>
              <w:spacing w:line="400" w:lineRule="exact"/>
              <w:ind w:left="1080" w:leftChars="257" w:hanging="540"/>
              <w:rPr>
                <w:rFonts w:ascii="仿宋" w:hAnsi="仿宋" w:eastAsia="仿宋" w:cs="仿宋"/>
                <w:color w:val="auto"/>
                <w:sz w:val="24"/>
                <w:szCs w:val="24"/>
              </w:rPr>
            </w:pPr>
          </w:p>
        </w:tc>
        <w:tc>
          <w:tcPr>
            <w:tcW w:w="398" w:type="pct"/>
          </w:tcPr>
          <w:p w14:paraId="41765F85">
            <w:pPr>
              <w:pStyle w:val="15"/>
              <w:spacing w:line="400" w:lineRule="exact"/>
              <w:ind w:left="1080" w:leftChars="257" w:hanging="540"/>
              <w:rPr>
                <w:rFonts w:ascii="仿宋" w:hAnsi="仿宋" w:eastAsia="仿宋" w:cs="仿宋"/>
                <w:color w:val="auto"/>
                <w:sz w:val="24"/>
                <w:szCs w:val="24"/>
              </w:rPr>
            </w:pPr>
          </w:p>
        </w:tc>
        <w:tc>
          <w:tcPr>
            <w:tcW w:w="398" w:type="pct"/>
          </w:tcPr>
          <w:p w14:paraId="3FBBE0D5">
            <w:pPr>
              <w:pStyle w:val="15"/>
              <w:spacing w:line="400" w:lineRule="exact"/>
              <w:ind w:left="1080" w:leftChars="257" w:hanging="540"/>
              <w:rPr>
                <w:rFonts w:ascii="仿宋" w:hAnsi="仿宋" w:eastAsia="仿宋" w:cs="仿宋"/>
                <w:color w:val="auto"/>
                <w:sz w:val="24"/>
                <w:szCs w:val="24"/>
              </w:rPr>
            </w:pPr>
          </w:p>
        </w:tc>
      </w:tr>
    </w:tbl>
    <w:p w14:paraId="000C5745">
      <w:pPr>
        <w:pStyle w:val="15"/>
        <w:spacing w:line="400" w:lineRule="exact"/>
        <w:ind w:left="1080" w:leftChars="257" w:hanging="540"/>
        <w:rPr>
          <w:rFonts w:ascii="仿宋" w:hAnsi="仿宋" w:eastAsia="仿宋" w:cs="仿宋"/>
          <w:color w:val="auto"/>
          <w:sz w:val="24"/>
          <w:szCs w:val="24"/>
        </w:rPr>
      </w:pPr>
    </w:p>
    <w:p w14:paraId="7C07F90B">
      <w:pPr>
        <w:pStyle w:val="15"/>
        <w:spacing w:line="400" w:lineRule="exact"/>
        <w:ind w:left="1080" w:leftChars="257" w:hanging="540"/>
        <w:rPr>
          <w:rFonts w:ascii="仿宋" w:hAnsi="仿宋" w:eastAsia="仿宋" w:cs="仿宋"/>
          <w:color w:val="auto"/>
          <w:sz w:val="24"/>
          <w:szCs w:val="24"/>
        </w:rPr>
      </w:pPr>
    </w:p>
    <w:p w14:paraId="06B69FB1">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注：凡投标文件中商务条款与公开招标文件有偏差的，均应在此表中列出（内容较多的可以标注见投标文件第几页，偏差包括正偏差和负偏差），未在此表中列出的视同完全满足招标文件要求。</w:t>
      </w:r>
    </w:p>
    <w:p w14:paraId="44B9AB31">
      <w:pPr>
        <w:pStyle w:val="15"/>
        <w:spacing w:line="240" w:lineRule="atLeast"/>
        <w:ind w:left="1080" w:leftChars="257" w:hanging="540"/>
        <w:rPr>
          <w:rFonts w:ascii="仿宋" w:hAnsi="仿宋" w:eastAsia="仿宋" w:cs="仿宋"/>
          <w:color w:val="auto"/>
          <w:sz w:val="24"/>
          <w:szCs w:val="24"/>
        </w:rPr>
      </w:pPr>
    </w:p>
    <w:p w14:paraId="116EFD6D">
      <w:pPr>
        <w:pStyle w:val="35"/>
        <w:ind w:firstLine="240"/>
        <w:rPr>
          <w:rFonts w:hint="default" w:ascii="仿宋" w:hAnsi="仿宋" w:eastAsia="仿宋" w:cs="仿宋"/>
          <w:color w:val="auto"/>
          <w:szCs w:val="24"/>
        </w:rPr>
      </w:pPr>
    </w:p>
    <w:p w14:paraId="21D2423F">
      <w:pPr>
        <w:rPr>
          <w:rFonts w:ascii="仿宋" w:hAnsi="仿宋" w:eastAsia="仿宋" w:cs="仿宋"/>
          <w:color w:val="auto"/>
        </w:rPr>
      </w:pPr>
    </w:p>
    <w:p w14:paraId="734F3BF7">
      <w:pPr>
        <w:pStyle w:val="2"/>
        <w:rPr>
          <w:rFonts w:ascii="仿宋" w:hAnsi="仿宋" w:eastAsia="仿宋" w:cs="仿宋"/>
          <w:color w:val="auto"/>
        </w:rPr>
      </w:pPr>
    </w:p>
    <w:p w14:paraId="64C63B59">
      <w:pPr>
        <w:pStyle w:val="15"/>
        <w:tabs>
          <w:tab w:val="left" w:pos="5370"/>
        </w:tabs>
        <w:spacing w:line="240" w:lineRule="atLeast"/>
        <w:ind w:left="1154" w:leftChars="485" w:hanging="136" w:hangingChars="57"/>
        <w:rPr>
          <w:rFonts w:ascii="仿宋" w:hAnsi="仿宋" w:eastAsia="仿宋" w:cs="仿宋"/>
          <w:color w:val="auto"/>
          <w:sz w:val="24"/>
          <w:szCs w:val="24"/>
          <w:u w:val="single"/>
        </w:rPr>
      </w:pPr>
      <w:r>
        <w:rPr>
          <w:rFonts w:hint="eastAsia" w:ascii="仿宋" w:hAnsi="仿宋" w:eastAsia="仿宋" w:cs="仿宋"/>
          <w:color w:val="auto"/>
          <w:sz w:val="24"/>
          <w:szCs w:val="24"/>
        </w:rPr>
        <w:t>投标人(盖单位章):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p>
    <w:p w14:paraId="55218B39">
      <w:pPr>
        <w:pStyle w:val="15"/>
        <w:tabs>
          <w:tab w:val="left" w:pos="5370"/>
        </w:tabs>
        <w:spacing w:line="240" w:lineRule="atLeast"/>
        <w:ind w:left="1080" w:leftChars="257" w:hanging="540"/>
        <w:rPr>
          <w:rFonts w:ascii="仿宋" w:hAnsi="仿宋" w:eastAsia="仿宋" w:cs="仿宋"/>
          <w:color w:val="auto"/>
          <w:sz w:val="24"/>
          <w:szCs w:val="24"/>
          <w:u w:val="single"/>
        </w:rPr>
      </w:pPr>
    </w:p>
    <w:p w14:paraId="0295FF7B">
      <w:pPr>
        <w:pStyle w:val="35"/>
        <w:ind w:firstLine="960" w:firstLineChars="400"/>
        <w:rPr>
          <w:rFonts w:hint="default" w:ascii="仿宋" w:hAnsi="仿宋" w:eastAsia="仿宋" w:cs="宋体"/>
          <w:color w:val="auto"/>
          <w:szCs w:val="24"/>
        </w:rPr>
      </w:pPr>
      <w:r>
        <w:rPr>
          <w:rFonts w:ascii="仿宋" w:hAnsi="仿宋" w:eastAsia="仿宋" w:cs="仿宋"/>
          <w:color w:val="auto"/>
          <w:szCs w:val="24"/>
        </w:rPr>
        <w:t>法定代表人或其委托代理人</w:t>
      </w:r>
      <w:r>
        <w:rPr>
          <w:rFonts w:ascii="仿宋" w:hAnsi="仿宋" w:eastAsia="仿宋" w:cs="宋体"/>
          <w:color w:val="auto"/>
          <w:szCs w:val="24"/>
        </w:rPr>
        <w:t>(签字或盖章):</w:t>
      </w:r>
      <w:r>
        <w:rPr>
          <w:rFonts w:ascii="仿宋" w:hAnsi="仿宋" w:eastAsia="仿宋" w:cs="宋体"/>
          <w:color w:val="auto"/>
          <w:szCs w:val="24"/>
          <w:u w:val="single"/>
        </w:rPr>
        <w:t xml:space="preserve">     </w:t>
      </w:r>
      <w:r>
        <w:rPr>
          <w:rFonts w:ascii="仿宋" w:hAnsi="仿宋" w:eastAsia="仿宋" w:cs="宋体"/>
          <w:color w:val="auto"/>
          <w:szCs w:val="24"/>
          <w:u w:val="single"/>
        </w:rPr>
        <w:tab/>
      </w:r>
      <w:r>
        <w:rPr>
          <w:rFonts w:ascii="仿宋" w:hAnsi="仿宋" w:eastAsia="仿宋" w:cs="宋体"/>
          <w:color w:val="auto"/>
          <w:szCs w:val="24"/>
          <w:u w:val="single"/>
        </w:rPr>
        <w:t xml:space="preserve">   </w:t>
      </w:r>
    </w:p>
    <w:p w14:paraId="3B707AAF">
      <w:pPr>
        <w:pStyle w:val="15"/>
        <w:spacing w:line="240" w:lineRule="atLeast"/>
        <w:ind w:left="540" w:leftChars="257" w:firstLine="480"/>
        <w:rPr>
          <w:rFonts w:ascii="仿宋" w:hAnsi="仿宋" w:eastAsia="仿宋" w:cs="宋体"/>
          <w:color w:val="auto"/>
          <w:sz w:val="24"/>
          <w:szCs w:val="24"/>
        </w:rPr>
      </w:pPr>
    </w:p>
    <w:p w14:paraId="087876B5">
      <w:pPr>
        <w:pStyle w:val="15"/>
        <w:spacing w:line="240" w:lineRule="atLeast"/>
        <w:ind w:left="540" w:leftChars="257" w:firstLine="480"/>
        <w:rPr>
          <w:rFonts w:ascii="仿宋" w:hAnsi="仿宋" w:eastAsia="仿宋" w:cs="宋体"/>
          <w:color w:val="auto"/>
          <w:sz w:val="24"/>
          <w:szCs w:val="24"/>
        </w:rPr>
      </w:pPr>
      <w:r>
        <w:rPr>
          <w:rFonts w:hint="eastAsia" w:ascii="仿宋" w:hAnsi="仿宋" w:eastAsia="仿宋" w:cs="宋体"/>
          <w:color w:val="auto"/>
          <w:sz w:val="24"/>
          <w:szCs w:val="24"/>
        </w:rPr>
        <w:t>日期：年   月   日</w:t>
      </w:r>
    </w:p>
    <w:p w14:paraId="59376C36">
      <w:pPr>
        <w:pStyle w:val="35"/>
        <w:ind w:firstLine="960" w:firstLineChars="400"/>
        <w:rPr>
          <w:rFonts w:hint="default" w:hAnsi="宋体" w:cs="宋体"/>
          <w:b/>
          <w:bCs/>
          <w:color w:val="auto"/>
          <w:szCs w:val="24"/>
        </w:rPr>
      </w:pPr>
      <w:r>
        <w:rPr>
          <w:rFonts w:hAnsi="宋体" w:cs="宋体"/>
          <w:b/>
          <w:bCs/>
          <w:color w:val="auto"/>
          <w:szCs w:val="24"/>
        </w:rPr>
        <w:br w:type="page"/>
      </w:r>
    </w:p>
    <w:p w14:paraId="3AA34753">
      <w:pPr>
        <w:pStyle w:val="15"/>
        <w:spacing w:line="240" w:lineRule="atLeast"/>
        <w:ind w:left="1077" w:leftChars="513"/>
        <w:rPr>
          <w:rFonts w:hAnsi="宋体" w:cs="宋体"/>
          <w:b/>
          <w:color w:val="auto"/>
          <w:sz w:val="28"/>
          <w:szCs w:val="28"/>
        </w:rPr>
      </w:pPr>
      <w:r>
        <w:rPr>
          <w:rFonts w:hint="eastAsia" w:ascii="仿宋" w:hAnsi="仿宋" w:eastAsia="仿宋" w:cs="仿宋"/>
          <w:b/>
          <w:bCs/>
          <w:color w:val="auto"/>
          <w:sz w:val="28"/>
          <w:szCs w:val="28"/>
        </w:rPr>
        <w:t>6  项目负责人及实施班子人员简历表</w:t>
      </w:r>
      <w:r>
        <w:rPr>
          <w:rFonts w:hint="eastAsia" w:ascii="仿宋" w:hAnsi="仿宋" w:eastAsia="仿宋" w:cs="宋体"/>
          <w:b/>
          <w:bCs/>
          <w:color w:val="auto"/>
          <w:sz w:val="28"/>
          <w:szCs w:val="28"/>
        </w:rPr>
        <w:t>（附件七）</w:t>
      </w:r>
    </w:p>
    <w:p w14:paraId="653F1AFF">
      <w:pPr>
        <w:pStyle w:val="15"/>
        <w:spacing w:line="360" w:lineRule="auto"/>
        <w:jc w:val="center"/>
        <w:rPr>
          <w:rFonts w:ascii="仿宋" w:hAnsi="仿宋" w:eastAsia="仿宋" w:cs="宋体"/>
          <w:b/>
          <w:color w:val="auto"/>
          <w:sz w:val="28"/>
          <w:szCs w:val="28"/>
        </w:rPr>
      </w:pPr>
      <w:r>
        <w:rPr>
          <w:rFonts w:hint="eastAsia" w:hAnsi="宋体" w:cs="宋体"/>
          <w:b/>
          <w:bCs/>
          <w:color w:val="auto"/>
          <w:sz w:val="28"/>
          <w:szCs w:val="28"/>
        </w:rPr>
        <w:t xml:space="preserve">    </w:t>
      </w:r>
      <w:r>
        <w:rPr>
          <w:rFonts w:hint="eastAsia" w:ascii="仿宋" w:hAnsi="仿宋" w:eastAsia="仿宋" w:cs="宋体"/>
          <w:b/>
          <w:bCs/>
          <w:color w:val="auto"/>
          <w:sz w:val="28"/>
          <w:szCs w:val="28"/>
        </w:rPr>
        <w:t xml:space="preserve"> 6.1项目负责人简历表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96"/>
        <w:gridCol w:w="1219"/>
        <w:gridCol w:w="2521"/>
        <w:gridCol w:w="2068"/>
      </w:tblGrid>
      <w:tr w14:paraId="7938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Align w:val="center"/>
          </w:tcPr>
          <w:p w14:paraId="05D20866">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姓名</w:t>
            </w:r>
          </w:p>
        </w:tc>
        <w:tc>
          <w:tcPr>
            <w:tcW w:w="1219" w:type="dxa"/>
            <w:vAlign w:val="center"/>
          </w:tcPr>
          <w:p w14:paraId="7E9DAA11">
            <w:pPr>
              <w:pStyle w:val="15"/>
              <w:spacing w:line="360" w:lineRule="auto"/>
              <w:jc w:val="center"/>
              <w:rPr>
                <w:rFonts w:ascii="仿宋" w:hAnsi="仿宋" w:eastAsia="仿宋" w:cs="宋体"/>
                <w:color w:val="auto"/>
                <w:sz w:val="24"/>
                <w:szCs w:val="24"/>
              </w:rPr>
            </w:pPr>
          </w:p>
        </w:tc>
        <w:tc>
          <w:tcPr>
            <w:tcW w:w="2521" w:type="dxa"/>
            <w:vAlign w:val="center"/>
          </w:tcPr>
          <w:p w14:paraId="3B5CBB26">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性别</w:t>
            </w:r>
          </w:p>
        </w:tc>
        <w:tc>
          <w:tcPr>
            <w:tcW w:w="2068" w:type="dxa"/>
            <w:vAlign w:val="center"/>
          </w:tcPr>
          <w:p w14:paraId="3BB40BAC">
            <w:pPr>
              <w:pStyle w:val="15"/>
              <w:spacing w:line="360" w:lineRule="auto"/>
              <w:jc w:val="center"/>
              <w:rPr>
                <w:rFonts w:ascii="仿宋" w:hAnsi="仿宋" w:eastAsia="仿宋" w:cs="宋体"/>
                <w:color w:val="auto"/>
                <w:sz w:val="24"/>
                <w:szCs w:val="24"/>
              </w:rPr>
            </w:pPr>
          </w:p>
        </w:tc>
      </w:tr>
      <w:tr w14:paraId="46F8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Align w:val="center"/>
          </w:tcPr>
          <w:p w14:paraId="6EBFA51D">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职务</w:t>
            </w:r>
          </w:p>
        </w:tc>
        <w:tc>
          <w:tcPr>
            <w:tcW w:w="1219" w:type="dxa"/>
            <w:vAlign w:val="center"/>
          </w:tcPr>
          <w:p w14:paraId="420E8272">
            <w:pPr>
              <w:pStyle w:val="15"/>
              <w:spacing w:line="360" w:lineRule="auto"/>
              <w:jc w:val="center"/>
              <w:rPr>
                <w:rFonts w:ascii="仿宋" w:hAnsi="仿宋" w:eastAsia="仿宋" w:cs="宋体"/>
                <w:color w:val="auto"/>
                <w:sz w:val="24"/>
                <w:szCs w:val="24"/>
              </w:rPr>
            </w:pPr>
          </w:p>
        </w:tc>
        <w:tc>
          <w:tcPr>
            <w:tcW w:w="2521" w:type="dxa"/>
            <w:vAlign w:val="center"/>
          </w:tcPr>
          <w:p w14:paraId="7FE361F4">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职称</w:t>
            </w:r>
          </w:p>
        </w:tc>
        <w:tc>
          <w:tcPr>
            <w:tcW w:w="2068" w:type="dxa"/>
            <w:vAlign w:val="center"/>
          </w:tcPr>
          <w:p w14:paraId="3FB9CB41">
            <w:pPr>
              <w:pStyle w:val="15"/>
              <w:spacing w:line="360" w:lineRule="auto"/>
              <w:jc w:val="center"/>
              <w:rPr>
                <w:rFonts w:ascii="仿宋" w:hAnsi="仿宋" w:eastAsia="仿宋" w:cs="宋体"/>
                <w:color w:val="auto"/>
                <w:sz w:val="24"/>
                <w:szCs w:val="24"/>
              </w:rPr>
            </w:pPr>
          </w:p>
        </w:tc>
      </w:tr>
      <w:tr w14:paraId="4B8B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Align w:val="center"/>
          </w:tcPr>
          <w:p w14:paraId="66DC7CC4">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毕业学校、专业</w:t>
            </w:r>
          </w:p>
        </w:tc>
        <w:tc>
          <w:tcPr>
            <w:tcW w:w="5808" w:type="dxa"/>
            <w:gridSpan w:val="3"/>
            <w:vAlign w:val="center"/>
          </w:tcPr>
          <w:p w14:paraId="1F7B0D83">
            <w:pPr>
              <w:pStyle w:val="15"/>
              <w:spacing w:line="360" w:lineRule="auto"/>
              <w:jc w:val="center"/>
              <w:rPr>
                <w:rFonts w:ascii="仿宋" w:hAnsi="仿宋" w:eastAsia="仿宋" w:cs="宋体"/>
                <w:color w:val="auto"/>
                <w:sz w:val="24"/>
                <w:szCs w:val="24"/>
              </w:rPr>
            </w:pPr>
          </w:p>
        </w:tc>
      </w:tr>
      <w:tr w14:paraId="5BDF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vAlign w:val="center"/>
          </w:tcPr>
          <w:p w14:paraId="67801492">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身份证号</w:t>
            </w:r>
          </w:p>
        </w:tc>
        <w:tc>
          <w:tcPr>
            <w:tcW w:w="1219" w:type="dxa"/>
            <w:vAlign w:val="center"/>
          </w:tcPr>
          <w:p w14:paraId="3FFAB81D">
            <w:pPr>
              <w:pStyle w:val="15"/>
              <w:spacing w:line="360" w:lineRule="auto"/>
              <w:jc w:val="center"/>
              <w:rPr>
                <w:rFonts w:ascii="仿宋" w:hAnsi="仿宋" w:eastAsia="仿宋" w:cs="宋体"/>
                <w:color w:val="auto"/>
                <w:sz w:val="24"/>
                <w:szCs w:val="24"/>
              </w:rPr>
            </w:pPr>
          </w:p>
        </w:tc>
        <w:tc>
          <w:tcPr>
            <w:tcW w:w="2521" w:type="dxa"/>
            <w:vAlign w:val="center"/>
          </w:tcPr>
          <w:p w14:paraId="708DF826">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拟在本项目任职</w:t>
            </w:r>
          </w:p>
        </w:tc>
        <w:tc>
          <w:tcPr>
            <w:tcW w:w="2068" w:type="dxa"/>
            <w:vAlign w:val="center"/>
          </w:tcPr>
          <w:p w14:paraId="1C8A599B">
            <w:pPr>
              <w:pStyle w:val="15"/>
              <w:spacing w:line="360" w:lineRule="auto"/>
              <w:jc w:val="center"/>
              <w:rPr>
                <w:rFonts w:ascii="仿宋" w:hAnsi="仿宋" w:eastAsia="仿宋" w:cs="宋体"/>
                <w:color w:val="auto"/>
                <w:sz w:val="24"/>
                <w:szCs w:val="24"/>
              </w:rPr>
            </w:pPr>
          </w:p>
        </w:tc>
      </w:tr>
      <w:tr w14:paraId="03DB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gridSpan w:val="2"/>
            <w:vAlign w:val="center"/>
          </w:tcPr>
          <w:p w14:paraId="1C91E652">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执业资格证</w:t>
            </w:r>
          </w:p>
        </w:tc>
        <w:tc>
          <w:tcPr>
            <w:tcW w:w="1219" w:type="dxa"/>
            <w:vAlign w:val="center"/>
          </w:tcPr>
          <w:p w14:paraId="2635A433">
            <w:pPr>
              <w:pStyle w:val="15"/>
              <w:spacing w:line="360" w:lineRule="auto"/>
              <w:jc w:val="center"/>
              <w:rPr>
                <w:rFonts w:ascii="仿宋" w:hAnsi="仿宋" w:eastAsia="仿宋" w:cs="宋体"/>
                <w:color w:val="auto"/>
                <w:sz w:val="24"/>
                <w:szCs w:val="24"/>
              </w:rPr>
            </w:pPr>
          </w:p>
        </w:tc>
        <w:tc>
          <w:tcPr>
            <w:tcW w:w="2521" w:type="dxa"/>
            <w:vAlign w:val="center"/>
          </w:tcPr>
          <w:p w14:paraId="2C210978">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执业资格证书号</w:t>
            </w:r>
          </w:p>
        </w:tc>
        <w:tc>
          <w:tcPr>
            <w:tcW w:w="2068" w:type="dxa"/>
            <w:vAlign w:val="center"/>
          </w:tcPr>
          <w:p w14:paraId="53821D2D">
            <w:pPr>
              <w:pStyle w:val="15"/>
              <w:spacing w:line="360" w:lineRule="auto"/>
              <w:jc w:val="center"/>
              <w:rPr>
                <w:rFonts w:ascii="仿宋" w:hAnsi="仿宋" w:eastAsia="仿宋" w:cs="宋体"/>
                <w:color w:val="auto"/>
                <w:sz w:val="24"/>
                <w:szCs w:val="24"/>
              </w:rPr>
            </w:pPr>
          </w:p>
        </w:tc>
      </w:tr>
      <w:tr w14:paraId="5CFE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5"/>
            <w:vAlign w:val="center"/>
          </w:tcPr>
          <w:p w14:paraId="4EFBF0AB">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近</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rPr>
              <w:t>年承担项目情况</w:t>
            </w:r>
          </w:p>
        </w:tc>
      </w:tr>
      <w:tr w14:paraId="7BFE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0" w:type="dxa"/>
            <w:vAlign w:val="center"/>
          </w:tcPr>
          <w:p w14:paraId="3FEEC5FD">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时间</w:t>
            </w:r>
          </w:p>
        </w:tc>
        <w:tc>
          <w:tcPr>
            <w:tcW w:w="2315" w:type="dxa"/>
            <w:gridSpan w:val="2"/>
            <w:vAlign w:val="center"/>
          </w:tcPr>
          <w:p w14:paraId="262B04AD">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类似项目名称</w:t>
            </w:r>
          </w:p>
        </w:tc>
        <w:tc>
          <w:tcPr>
            <w:tcW w:w="2521" w:type="dxa"/>
            <w:vAlign w:val="center"/>
          </w:tcPr>
          <w:p w14:paraId="0DB9E88D">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项目单位名称</w:t>
            </w:r>
          </w:p>
        </w:tc>
        <w:tc>
          <w:tcPr>
            <w:tcW w:w="2068" w:type="dxa"/>
            <w:vAlign w:val="center"/>
          </w:tcPr>
          <w:p w14:paraId="7668626B">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电话</w:t>
            </w:r>
          </w:p>
        </w:tc>
      </w:tr>
      <w:tr w14:paraId="6FA1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70AF88F1">
            <w:pPr>
              <w:pStyle w:val="15"/>
              <w:spacing w:line="360" w:lineRule="auto"/>
              <w:jc w:val="center"/>
              <w:rPr>
                <w:rFonts w:ascii="仿宋" w:hAnsi="仿宋" w:eastAsia="仿宋" w:cs="宋体"/>
                <w:color w:val="auto"/>
                <w:sz w:val="24"/>
                <w:szCs w:val="24"/>
              </w:rPr>
            </w:pPr>
          </w:p>
        </w:tc>
        <w:tc>
          <w:tcPr>
            <w:tcW w:w="2315" w:type="dxa"/>
            <w:gridSpan w:val="2"/>
            <w:vAlign w:val="center"/>
          </w:tcPr>
          <w:p w14:paraId="53E2750F">
            <w:pPr>
              <w:pStyle w:val="15"/>
              <w:spacing w:line="360" w:lineRule="auto"/>
              <w:jc w:val="center"/>
              <w:rPr>
                <w:rFonts w:ascii="仿宋" w:hAnsi="仿宋" w:eastAsia="仿宋" w:cs="宋体"/>
                <w:color w:val="auto"/>
                <w:sz w:val="24"/>
                <w:szCs w:val="24"/>
              </w:rPr>
            </w:pPr>
          </w:p>
        </w:tc>
        <w:tc>
          <w:tcPr>
            <w:tcW w:w="2521" w:type="dxa"/>
            <w:vAlign w:val="center"/>
          </w:tcPr>
          <w:p w14:paraId="2CA76620">
            <w:pPr>
              <w:pStyle w:val="15"/>
              <w:spacing w:line="360" w:lineRule="auto"/>
              <w:jc w:val="center"/>
              <w:rPr>
                <w:rFonts w:ascii="仿宋" w:hAnsi="仿宋" w:eastAsia="仿宋" w:cs="宋体"/>
                <w:color w:val="auto"/>
                <w:sz w:val="24"/>
                <w:szCs w:val="24"/>
              </w:rPr>
            </w:pPr>
          </w:p>
        </w:tc>
        <w:tc>
          <w:tcPr>
            <w:tcW w:w="2068" w:type="dxa"/>
            <w:vAlign w:val="center"/>
          </w:tcPr>
          <w:p w14:paraId="1C8D2D00">
            <w:pPr>
              <w:pStyle w:val="15"/>
              <w:spacing w:line="360" w:lineRule="auto"/>
              <w:jc w:val="center"/>
              <w:rPr>
                <w:rFonts w:ascii="仿宋" w:hAnsi="仿宋" w:eastAsia="仿宋" w:cs="宋体"/>
                <w:color w:val="auto"/>
                <w:sz w:val="24"/>
                <w:szCs w:val="24"/>
              </w:rPr>
            </w:pPr>
          </w:p>
        </w:tc>
      </w:tr>
      <w:tr w14:paraId="5645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56E5ADA6">
            <w:pPr>
              <w:pStyle w:val="15"/>
              <w:spacing w:line="360" w:lineRule="auto"/>
              <w:jc w:val="center"/>
              <w:rPr>
                <w:rFonts w:ascii="仿宋" w:hAnsi="仿宋" w:eastAsia="仿宋" w:cs="宋体"/>
                <w:color w:val="auto"/>
                <w:sz w:val="24"/>
                <w:szCs w:val="24"/>
              </w:rPr>
            </w:pPr>
          </w:p>
        </w:tc>
        <w:tc>
          <w:tcPr>
            <w:tcW w:w="2315" w:type="dxa"/>
            <w:gridSpan w:val="2"/>
            <w:vAlign w:val="center"/>
          </w:tcPr>
          <w:p w14:paraId="46B2CA35">
            <w:pPr>
              <w:pStyle w:val="15"/>
              <w:spacing w:line="360" w:lineRule="auto"/>
              <w:jc w:val="center"/>
              <w:rPr>
                <w:rFonts w:ascii="仿宋" w:hAnsi="仿宋" w:eastAsia="仿宋" w:cs="宋体"/>
                <w:color w:val="auto"/>
                <w:sz w:val="24"/>
                <w:szCs w:val="24"/>
              </w:rPr>
            </w:pPr>
          </w:p>
        </w:tc>
        <w:tc>
          <w:tcPr>
            <w:tcW w:w="2521" w:type="dxa"/>
            <w:vAlign w:val="center"/>
          </w:tcPr>
          <w:p w14:paraId="2A94204E">
            <w:pPr>
              <w:pStyle w:val="15"/>
              <w:spacing w:line="360" w:lineRule="auto"/>
              <w:jc w:val="center"/>
              <w:rPr>
                <w:rFonts w:ascii="仿宋" w:hAnsi="仿宋" w:eastAsia="仿宋" w:cs="宋体"/>
                <w:color w:val="auto"/>
                <w:sz w:val="24"/>
                <w:szCs w:val="24"/>
              </w:rPr>
            </w:pPr>
          </w:p>
        </w:tc>
        <w:tc>
          <w:tcPr>
            <w:tcW w:w="2068" w:type="dxa"/>
            <w:vAlign w:val="center"/>
          </w:tcPr>
          <w:p w14:paraId="74091BFF">
            <w:pPr>
              <w:pStyle w:val="15"/>
              <w:spacing w:line="360" w:lineRule="auto"/>
              <w:jc w:val="center"/>
              <w:rPr>
                <w:rFonts w:ascii="仿宋" w:hAnsi="仿宋" w:eastAsia="仿宋" w:cs="宋体"/>
                <w:color w:val="auto"/>
                <w:sz w:val="24"/>
                <w:szCs w:val="24"/>
              </w:rPr>
            </w:pPr>
          </w:p>
        </w:tc>
      </w:tr>
      <w:tr w14:paraId="7A49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306719E4">
            <w:pPr>
              <w:pStyle w:val="15"/>
              <w:spacing w:line="360" w:lineRule="auto"/>
              <w:jc w:val="center"/>
              <w:rPr>
                <w:rFonts w:ascii="仿宋" w:hAnsi="仿宋" w:eastAsia="仿宋" w:cs="宋体"/>
                <w:color w:val="auto"/>
                <w:sz w:val="24"/>
                <w:szCs w:val="24"/>
              </w:rPr>
            </w:pPr>
          </w:p>
        </w:tc>
        <w:tc>
          <w:tcPr>
            <w:tcW w:w="2315" w:type="dxa"/>
            <w:gridSpan w:val="2"/>
            <w:vAlign w:val="center"/>
          </w:tcPr>
          <w:p w14:paraId="4EE74396">
            <w:pPr>
              <w:pStyle w:val="15"/>
              <w:spacing w:line="360" w:lineRule="auto"/>
              <w:jc w:val="center"/>
              <w:rPr>
                <w:rFonts w:ascii="仿宋" w:hAnsi="仿宋" w:eastAsia="仿宋" w:cs="宋体"/>
                <w:color w:val="auto"/>
                <w:sz w:val="24"/>
                <w:szCs w:val="24"/>
              </w:rPr>
            </w:pPr>
          </w:p>
        </w:tc>
        <w:tc>
          <w:tcPr>
            <w:tcW w:w="2521" w:type="dxa"/>
            <w:vAlign w:val="center"/>
          </w:tcPr>
          <w:p w14:paraId="6AE4F8F2">
            <w:pPr>
              <w:pStyle w:val="15"/>
              <w:spacing w:line="360" w:lineRule="auto"/>
              <w:jc w:val="center"/>
              <w:rPr>
                <w:rFonts w:ascii="仿宋" w:hAnsi="仿宋" w:eastAsia="仿宋" w:cs="宋体"/>
                <w:color w:val="auto"/>
                <w:sz w:val="24"/>
                <w:szCs w:val="24"/>
              </w:rPr>
            </w:pPr>
          </w:p>
        </w:tc>
        <w:tc>
          <w:tcPr>
            <w:tcW w:w="2068" w:type="dxa"/>
            <w:vAlign w:val="center"/>
          </w:tcPr>
          <w:p w14:paraId="10F000B0">
            <w:pPr>
              <w:pStyle w:val="15"/>
              <w:spacing w:line="360" w:lineRule="auto"/>
              <w:jc w:val="center"/>
              <w:rPr>
                <w:rFonts w:ascii="仿宋" w:hAnsi="仿宋" w:eastAsia="仿宋" w:cs="宋体"/>
                <w:color w:val="auto"/>
                <w:sz w:val="24"/>
                <w:szCs w:val="24"/>
              </w:rPr>
            </w:pPr>
          </w:p>
        </w:tc>
      </w:tr>
      <w:tr w14:paraId="606D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6FBBC6AD">
            <w:pPr>
              <w:pStyle w:val="15"/>
              <w:spacing w:line="360" w:lineRule="auto"/>
              <w:jc w:val="center"/>
              <w:rPr>
                <w:rFonts w:ascii="仿宋" w:hAnsi="仿宋" w:eastAsia="仿宋" w:cs="宋体"/>
                <w:color w:val="auto"/>
                <w:sz w:val="24"/>
                <w:szCs w:val="24"/>
              </w:rPr>
            </w:pPr>
          </w:p>
        </w:tc>
        <w:tc>
          <w:tcPr>
            <w:tcW w:w="2315" w:type="dxa"/>
            <w:gridSpan w:val="2"/>
            <w:vAlign w:val="center"/>
          </w:tcPr>
          <w:p w14:paraId="287A7264">
            <w:pPr>
              <w:pStyle w:val="15"/>
              <w:spacing w:line="360" w:lineRule="auto"/>
              <w:jc w:val="center"/>
              <w:rPr>
                <w:rFonts w:ascii="仿宋" w:hAnsi="仿宋" w:eastAsia="仿宋" w:cs="宋体"/>
                <w:color w:val="auto"/>
                <w:sz w:val="24"/>
                <w:szCs w:val="24"/>
              </w:rPr>
            </w:pPr>
          </w:p>
        </w:tc>
        <w:tc>
          <w:tcPr>
            <w:tcW w:w="2521" w:type="dxa"/>
            <w:vAlign w:val="center"/>
          </w:tcPr>
          <w:p w14:paraId="0872739A">
            <w:pPr>
              <w:pStyle w:val="15"/>
              <w:spacing w:line="360" w:lineRule="auto"/>
              <w:jc w:val="center"/>
              <w:rPr>
                <w:rFonts w:ascii="仿宋" w:hAnsi="仿宋" w:eastAsia="仿宋" w:cs="宋体"/>
                <w:color w:val="auto"/>
                <w:sz w:val="24"/>
                <w:szCs w:val="24"/>
              </w:rPr>
            </w:pPr>
          </w:p>
        </w:tc>
        <w:tc>
          <w:tcPr>
            <w:tcW w:w="2068" w:type="dxa"/>
            <w:vAlign w:val="center"/>
          </w:tcPr>
          <w:p w14:paraId="43E3E414">
            <w:pPr>
              <w:pStyle w:val="15"/>
              <w:spacing w:line="360" w:lineRule="auto"/>
              <w:jc w:val="center"/>
              <w:rPr>
                <w:rFonts w:ascii="仿宋" w:hAnsi="仿宋" w:eastAsia="仿宋" w:cs="宋体"/>
                <w:color w:val="auto"/>
                <w:sz w:val="24"/>
                <w:szCs w:val="24"/>
              </w:rPr>
            </w:pPr>
          </w:p>
        </w:tc>
      </w:tr>
      <w:tr w14:paraId="5C84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2E936B7B">
            <w:pPr>
              <w:pStyle w:val="15"/>
              <w:spacing w:line="360" w:lineRule="auto"/>
              <w:jc w:val="center"/>
              <w:rPr>
                <w:rFonts w:ascii="仿宋" w:hAnsi="仿宋" w:eastAsia="仿宋" w:cs="宋体"/>
                <w:color w:val="auto"/>
                <w:sz w:val="24"/>
                <w:szCs w:val="24"/>
              </w:rPr>
            </w:pPr>
          </w:p>
        </w:tc>
        <w:tc>
          <w:tcPr>
            <w:tcW w:w="2315" w:type="dxa"/>
            <w:gridSpan w:val="2"/>
            <w:vAlign w:val="center"/>
          </w:tcPr>
          <w:p w14:paraId="1BC20B91">
            <w:pPr>
              <w:pStyle w:val="15"/>
              <w:spacing w:line="360" w:lineRule="auto"/>
              <w:jc w:val="center"/>
              <w:rPr>
                <w:rFonts w:ascii="仿宋" w:hAnsi="仿宋" w:eastAsia="仿宋" w:cs="宋体"/>
                <w:color w:val="auto"/>
                <w:sz w:val="24"/>
                <w:szCs w:val="24"/>
              </w:rPr>
            </w:pPr>
          </w:p>
        </w:tc>
        <w:tc>
          <w:tcPr>
            <w:tcW w:w="2521" w:type="dxa"/>
            <w:vAlign w:val="center"/>
          </w:tcPr>
          <w:p w14:paraId="36A273E6">
            <w:pPr>
              <w:pStyle w:val="15"/>
              <w:spacing w:line="360" w:lineRule="auto"/>
              <w:jc w:val="center"/>
              <w:rPr>
                <w:rFonts w:ascii="仿宋" w:hAnsi="仿宋" w:eastAsia="仿宋" w:cs="宋体"/>
                <w:color w:val="auto"/>
                <w:sz w:val="24"/>
                <w:szCs w:val="24"/>
              </w:rPr>
            </w:pPr>
          </w:p>
        </w:tc>
        <w:tc>
          <w:tcPr>
            <w:tcW w:w="2068" w:type="dxa"/>
            <w:vAlign w:val="center"/>
          </w:tcPr>
          <w:p w14:paraId="58759397">
            <w:pPr>
              <w:pStyle w:val="15"/>
              <w:spacing w:line="360" w:lineRule="auto"/>
              <w:jc w:val="center"/>
              <w:rPr>
                <w:rFonts w:ascii="仿宋" w:hAnsi="仿宋" w:eastAsia="仿宋" w:cs="宋体"/>
                <w:color w:val="auto"/>
                <w:sz w:val="24"/>
                <w:szCs w:val="24"/>
              </w:rPr>
            </w:pPr>
          </w:p>
        </w:tc>
      </w:tr>
      <w:tr w14:paraId="7150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70CC0153">
            <w:pPr>
              <w:pStyle w:val="15"/>
              <w:spacing w:line="360" w:lineRule="auto"/>
              <w:jc w:val="center"/>
              <w:rPr>
                <w:rFonts w:ascii="仿宋" w:hAnsi="仿宋" w:eastAsia="仿宋" w:cs="宋体"/>
                <w:color w:val="auto"/>
                <w:sz w:val="24"/>
                <w:szCs w:val="24"/>
              </w:rPr>
            </w:pPr>
          </w:p>
        </w:tc>
        <w:tc>
          <w:tcPr>
            <w:tcW w:w="2315" w:type="dxa"/>
            <w:gridSpan w:val="2"/>
            <w:vAlign w:val="center"/>
          </w:tcPr>
          <w:p w14:paraId="0DC741C2">
            <w:pPr>
              <w:pStyle w:val="15"/>
              <w:spacing w:line="360" w:lineRule="auto"/>
              <w:jc w:val="center"/>
              <w:rPr>
                <w:rFonts w:ascii="仿宋" w:hAnsi="仿宋" w:eastAsia="仿宋" w:cs="宋体"/>
                <w:color w:val="auto"/>
                <w:sz w:val="24"/>
                <w:szCs w:val="24"/>
              </w:rPr>
            </w:pPr>
          </w:p>
        </w:tc>
        <w:tc>
          <w:tcPr>
            <w:tcW w:w="2521" w:type="dxa"/>
            <w:vAlign w:val="center"/>
          </w:tcPr>
          <w:p w14:paraId="7617ACD2">
            <w:pPr>
              <w:pStyle w:val="15"/>
              <w:spacing w:line="360" w:lineRule="auto"/>
              <w:jc w:val="center"/>
              <w:rPr>
                <w:rFonts w:ascii="仿宋" w:hAnsi="仿宋" w:eastAsia="仿宋" w:cs="宋体"/>
                <w:color w:val="auto"/>
                <w:sz w:val="24"/>
                <w:szCs w:val="24"/>
              </w:rPr>
            </w:pPr>
          </w:p>
        </w:tc>
        <w:tc>
          <w:tcPr>
            <w:tcW w:w="2068" w:type="dxa"/>
            <w:vAlign w:val="center"/>
          </w:tcPr>
          <w:p w14:paraId="18878250">
            <w:pPr>
              <w:pStyle w:val="15"/>
              <w:spacing w:line="360" w:lineRule="auto"/>
              <w:jc w:val="center"/>
              <w:rPr>
                <w:rFonts w:ascii="仿宋" w:hAnsi="仿宋" w:eastAsia="仿宋" w:cs="宋体"/>
                <w:color w:val="auto"/>
                <w:sz w:val="24"/>
                <w:szCs w:val="24"/>
              </w:rPr>
            </w:pPr>
          </w:p>
        </w:tc>
      </w:tr>
      <w:tr w14:paraId="5E69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0A03D36C">
            <w:pPr>
              <w:pStyle w:val="15"/>
              <w:spacing w:line="360" w:lineRule="auto"/>
              <w:jc w:val="center"/>
              <w:rPr>
                <w:rFonts w:ascii="仿宋" w:hAnsi="仿宋" w:eastAsia="仿宋" w:cs="宋体"/>
                <w:color w:val="auto"/>
                <w:sz w:val="24"/>
                <w:szCs w:val="24"/>
              </w:rPr>
            </w:pPr>
          </w:p>
        </w:tc>
        <w:tc>
          <w:tcPr>
            <w:tcW w:w="2315" w:type="dxa"/>
            <w:gridSpan w:val="2"/>
            <w:vAlign w:val="center"/>
          </w:tcPr>
          <w:p w14:paraId="45C4A8A5">
            <w:pPr>
              <w:pStyle w:val="15"/>
              <w:spacing w:line="360" w:lineRule="auto"/>
              <w:jc w:val="center"/>
              <w:rPr>
                <w:rFonts w:ascii="仿宋" w:hAnsi="仿宋" w:eastAsia="仿宋" w:cs="宋体"/>
                <w:color w:val="auto"/>
                <w:sz w:val="24"/>
                <w:szCs w:val="24"/>
              </w:rPr>
            </w:pPr>
          </w:p>
        </w:tc>
        <w:tc>
          <w:tcPr>
            <w:tcW w:w="2521" w:type="dxa"/>
            <w:vAlign w:val="center"/>
          </w:tcPr>
          <w:p w14:paraId="6C06D71C">
            <w:pPr>
              <w:pStyle w:val="15"/>
              <w:spacing w:line="360" w:lineRule="auto"/>
              <w:jc w:val="center"/>
              <w:rPr>
                <w:rFonts w:ascii="仿宋" w:hAnsi="仿宋" w:eastAsia="仿宋" w:cs="宋体"/>
                <w:color w:val="auto"/>
                <w:sz w:val="24"/>
                <w:szCs w:val="24"/>
              </w:rPr>
            </w:pPr>
          </w:p>
        </w:tc>
        <w:tc>
          <w:tcPr>
            <w:tcW w:w="2068" w:type="dxa"/>
            <w:vAlign w:val="center"/>
          </w:tcPr>
          <w:p w14:paraId="2C2819FE">
            <w:pPr>
              <w:pStyle w:val="15"/>
              <w:spacing w:line="360" w:lineRule="auto"/>
              <w:jc w:val="center"/>
              <w:rPr>
                <w:rFonts w:ascii="仿宋" w:hAnsi="仿宋" w:eastAsia="仿宋" w:cs="宋体"/>
                <w:color w:val="auto"/>
                <w:sz w:val="24"/>
                <w:szCs w:val="24"/>
              </w:rPr>
            </w:pPr>
          </w:p>
        </w:tc>
      </w:tr>
      <w:tr w14:paraId="3C7B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6133C105">
            <w:pPr>
              <w:pStyle w:val="15"/>
              <w:spacing w:line="360" w:lineRule="auto"/>
              <w:jc w:val="center"/>
              <w:rPr>
                <w:rFonts w:ascii="仿宋" w:hAnsi="仿宋" w:eastAsia="仿宋" w:cs="宋体"/>
                <w:color w:val="auto"/>
                <w:sz w:val="24"/>
                <w:szCs w:val="24"/>
              </w:rPr>
            </w:pPr>
          </w:p>
        </w:tc>
        <w:tc>
          <w:tcPr>
            <w:tcW w:w="2315" w:type="dxa"/>
            <w:gridSpan w:val="2"/>
            <w:vAlign w:val="center"/>
          </w:tcPr>
          <w:p w14:paraId="0E924E6E">
            <w:pPr>
              <w:pStyle w:val="15"/>
              <w:spacing w:line="360" w:lineRule="auto"/>
              <w:jc w:val="center"/>
              <w:rPr>
                <w:rFonts w:ascii="仿宋" w:hAnsi="仿宋" w:eastAsia="仿宋" w:cs="宋体"/>
                <w:color w:val="auto"/>
                <w:sz w:val="24"/>
                <w:szCs w:val="24"/>
              </w:rPr>
            </w:pPr>
          </w:p>
        </w:tc>
        <w:tc>
          <w:tcPr>
            <w:tcW w:w="2521" w:type="dxa"/>
            <w:vAlign w:val="center"/>
          </w:tcPr>
          <w:p w14:paraId="1C073D7C">
            <w:pPr>
              <w:pStyle w:val="15"/>
              <w:spacing w:line="360" w:lineRule="auto"/>
              <w:jc w:val="center"/>
              <w:rPr>
                <w:rFonts w:ascii="仿宋" w:hAnsi="仿宋" w:eastAsia="仿宋" w:cs="宋体"/>
                <w:color w:val="auto"/>
                <w:sz w:val="24"/>
                <w:szCs w:val="24"/>
              </w:rPr>
            </w:pPr>
          </w:p>
        </w:tc>
        <w:tc>
          <w:tcPr>
            <w:tcW w:w="2068" w:type="dxa"/>
            <w:vAlign w:val="center"/>
          </w:tcPr>
          <w:p w14:paraId="30263ACE">
            <w:pPr>
              <w:pStyle w:val="15"/>
              <w:spacing w:line="360" w:lineRule="auto"/>
              <w:jc w:val="center"/>
              <w:rPr>
                <w:rFonts w:ascii="仿宋" w:hAnsi="仿宋" w:eastAsia="仿宋" w:cs="宋体"/>
                <w:color w:val="auto"/>
                <w:sz w:val="24"/>
                <w:szCs w:val="24"/>
              </w:rPr>
            </w:pPr>
          </w:p>
        </w:tc>
      </w:tr>
    </w:tbl>
    <w:p w14:paraId="0024CF58">
      <w:pPr>
        <w:pStyle w:val="15"/>
        <w:rPr>
          <w:rFonts w:hAnsi="宋体" w:cs="宋体"/>
          <w:b/>
          <w:bCs/>
          <w:color w:val="auto"/>
          <w:sz w:val="24"/>
          <w:szCs w:val="24"/>
        </w:rPr>
      </w:pPr>
    </w:p>
    <w:p w14:paraId="06C8AC8B">
      <w:pPr>
        <w:widowControl/>
        <w:autoSpaceDE w:val="0"/>
        <w:autoSpaceDN w:val="0"/>
        <w:adjustRightInd w:val="0"/>
        <w:spacing w:line="360" w:lineRule="auto"/>
        <w:ind w:left="562" w:hanging="562" w:hangingChars="200"/>
        <w:rPr>
          <w:rFonts w:ascii="仿宋" w:hAnsi="仿宋" w:eastAsia="仿宋" w:cs="宋体"/>
          <w:b/>
          <w:bCs/>
          <w:color w:val="auto"/>
          <w:sz w:val="28"/>
          <w:szCs w:val="28"/>
        </w:rPr>
      </w:pPr>
      <w:r>
        <w:rPr>
          <w:rFonts w:hint="eastAsia" w:ascii="仿宋" w:hAnsi="仿宋" w:eastAsia="仿宋" w:cs="宋体"/>
          <w:b/>
          <w:bCs/>
          <w:color w:val="auto"/>
          <w:sz w:val="28"/>
          <w:szCs w:val="28"/>
        </w:rPr>
        <w:t>注：</w:t>
      </w:r>
      <w:r>
        <w:rPr>
          <w:rFonts w:hint="eastAsia" w:ascii="仿宋" w:hAnsi="仿宋" w:eastAsia="仿宋" w:cs="仿宋"/>
          <w:b/>
          <w:color w:val="auto"/>
          <w:kern w:val="0"/>
          <w:sz w:val="28"/>
          <w:szCs w:val="28"/>
        </w:rPr>
        <w:t>需提供人员相关证明资料（附相关职称证书）</w:t>
      </w:r>
      <w:r>
        <w:rPr>
          <w:rFonts w:hint="eastAsia" w:ascii="仿宋" w:hAnsi="仿宋" w:eastAsia="仿宋" w:cs="宋体"/>
          <w:b/>
          <w:bCs/>
          <w:color w:val="auto"/>
          <w:sz w:val="28"/>
          <w:szCs w:val="28"/>
        </w:rPr>
        <w:t>；</w:t>
      </w:r>
    </w:p>
    <w:p w14:paraId="0A636414">
      <w:pPr>
        <w:pStyle w:val="15"/>
        <w:spacing w:line="360" w:lineRule="auto"/>
        <w:ind w:firstLine="480" w:firstLineChars="200"/>
        <w:rPr>
          <w:rFonts w:hAnsi="宋体" w:cs="宋体"/>
          <w:color w:val="auto"/>
          <w:sz w:val="24"/>
          <w:szCs w:val="24"/>
        </w:rPr>
      </w:pPr>
    </w:p>
    <w:p w14:paraId="72A8CDBB">
      <w:pPr>
        <w:pStyle w:val="15"/>
        <w:tabs>
          <w:tab w:val="left" w:pos="5370"/>
        </w:tabs>
        <w:spacing w:line="240" w:lineRule="atLeast"/>
        <w:ind w:left="1155" w:leftChars="550" w:right="480" w:firstLine="2040" w:firstLineChars="850"/>
        <w:rPr>
          <w:rFonts w:ascii="仿宋" w:hAnsi="仿宋" w:eastAsia="仿宋" w:cs="仿宋"/>
          <w:color w:val="auto"/>
          <w:sz w:val="24"/>
          <w:szCs w:val="24"/>
          <w:u w:val="single"/>
        </w:rPr>
      </w:pPr>
      <w:r>
        <w:rPr>
          <w:rFonts w:hint="eastAsia" w:ascii="仿宋" w:hAnsi="仿宋" w:eastAsia="仿宋" w:cs="仿宋"/>
          <w:color w:val="auto"/>
          <w:sz w:val="24"/>
          <w:szCs w:val="24"/>
        </w:rPr>
        <w:t>投标人(盖单位章):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p>
    <w:p w14:paraId="2099C186">
      <w:pPr>
        <w:pStyle w:val="15"/>
        <w:tabs>
          <w:tab w:val="left" w:pos="5370"/>
        </w:tabs>
        <w:spacing w:line="240" w:lineRule="atLeast"/>
        <w:ind w:left="1080" w:leftChars="257" w:hanging="540"/>
        <w:jc w:val="right"/>
        <w:rPr>
          <w:rFonts w:ascii="仿宋" w:hAnsi="仿宋" w:eastAsia="仿宋" w:cs="仿宋"/>
          <w:color w:val="auto"/>
          <w:sz w:val="24"/>
          <w:szCs w:val="24"/>
          <w:u w:val="single"/>
        </w:rPr>
      </w:pPr>
    </w:p>
    <w:p w14:paraId="09FCD4F2">
      <w:pPr>
        <w:pStyle w:val="35"/>
        <w:ind w:right="480" w:firstLine="1800" w:firstLineChars="750"/>
        <w:rPr>
          <w:rFonts w:hint="default" w:ascii="仿宋" w:hAnsi="仿宋" w:eastAsia="仿宋" w:cs="宋体"/>
          <w:color w:val="auto"/>
          <w:szCs w:val="24"/>
        </w:rPr>
      </w:pPr>
      <w:r>
        <w:rPr>
          <w:rFonts w:ascii="仿宋" w:hAnsi="仿宋" w:eastAsia="仿宋" w:cs="仿宋"/>
          <w:color w:val="auto"/>
          <w:szCs w:val="24"/>
        </w:rPr>
        <w:t>法定代表人或其委托代理人</w:t>
      </w:r>
      <w:r>
        <w:rPr>
          <w:rFonts w:ascii="仿宋" w:hAnsi="仿宋" w:eastAsia="仿宋" w:cs="宋体"/>
          <w:color w:val="auto"/>
          <w:szCs w:val="24"/>
        </w:rPr>
        <w:t>(签字或盖章)</w:t>
      </w:r>
      <w:r>
        <w:rPr>
          <w:rFonts w:ascii="仿宋" w:hAnsi="仿宋" w:eastAsia="仿宋" w:cs="宋体"/>
          <w:color w:val="auto"/>
          <w:szCs w:val="24"/>
        </w:rPr>
        <w:t>:</w:t>
      </w:r>
      <w:r>
        <w:rPr>
          <w:rFonts w:ascii="仿宋" w:hAnsi="仿宋" w:eastAsia="仿宋" w:cs="宋体"/>
          <w:color w:val="auto"/>
          <w:szCs w:val="24"/>
          <w:u w:val="single"/>
        </w:rPr>
        <w:t xml:space="preserve">        </w:t>
      </w:r>
      <w:r>
        <w:rPr>
          <w:rFonts w:ascii="仿宋" w:hAnsi="仿宋" w:eastAsia="仿宋" w:cs="宋体"/>
          <w:color w:val="auto"/>
          <w:szCs w:val="24"/>
          <w:u w:val="single"/>
        </w:rPr>
        <w:tab/>
      </w:r>
      <w:r>
        <w:rPr>
          <w:rFonts w:ascii="仿宋" w:hAnsi="仿宋" w:eastAsia="仿宋" w:cs="宋体"/>
          <w:color w:val="auto"/>
          <w:szCs w:val="24"/>
          <w:u w:val="single"/>
        </w:rPr>
        <w:t xml:space="preserve">   </w:t>
      </w:r>
    </w:p>
    <w:p w14:paraId="061DB94B">
      <w:pPr>
        <w:pStyle w:val="15"/>
        <w:spacing w:line="240" w:lineRule="atLeast"/>
        <w:ind w:left="540" w:leftChars="257" w:firstLine="480"/>
        <w:jc w:val="right"/>
        <w:rPr>
          <w:rFonts w:ascii="仿宋" w:hAnsi="仿宋" w:eastAsia="仿宋" w:cs="宋体"/>
          <w:color w:val="auto"/>
          <w:sz w:val="24"/>
          <w:szCs w:val="24"/>
        </w:rPr>
      </w:pPr>
    </w:p>
    <w:p w14:paraId="32D1B3C0">
      <w:pPr>
        <w:pStyle w:val="15"/>
        <w:spacing w:line="240" w:lineRule="atLeast"/>
        <w:ind w:left="540" w:leftChars="257" w:right="480" w:firstLine="4320" w:firstLineChars="1800"/>
        <w:rPr>
          <w:rFonts w:ascii="仿宋" w:hAnsi="仿宋" w:eastAsia="仿宋" w:cs="宋体"/>
          <w:color w:val="auto"/>
          <w:sz w:val="24"/>
          <w:szCs w:val="24"/>
        </w:rPr>
      </w:pPr>
      <w:r>
        <w:rPr>
          <w:rFonts w:hint="eastAsia" w:ascii="仿宋" w:hAnsi="仿宋" w:eastAsia="仿宋" w:cs="宋体"/>
          <w:color w:val="auto"/>
          <w:sz w:val="24"/>
          <w:szCs w:val="24"/>
        </w:rPr>
        <w:t>日期：年   月   日</w:t>
      </w:r>
    </w:p>
    <w:p w14:paraId="3583331D">
      <w:pPr>
        <w:pStyle w:val="90"/>
        <w:ind w:firstLine="482"/>
        <w:rPr>
          <w:rFonts w:hAnsi="宋体"/>
          <w:b/>
          <w:bCs/>
          <w:color w:val="auto"/>
        </w:rPr>
      </w:pPr>
    </w:p>
    <w:p w14:paraId="29AA7311">
      <w:pPr>
        <w:pStyle w:val="90"/>
        <w:ind w:firstLine="482"/>
        <w:rPr>
          <w:rFonts w:hint="eastAsia" w:hAnsi="宋体"/>
          <w:b/>
          <w:bCs/>
          <w:color w:val="auto"/>
        </w:rPr>
      </w:pPr>
    </w:p>
    <w:p w14:paraId="5A87B911">
      <w:pPr>
        <w:pStyle w:val="90"/>
        <w:ind w:firstLine="482"/>
        <w:rPr>
          <w:rFonts w:hAnsi="宋体"/>
          <w:b/>
          <w:bCs/>
          <w:color w:val="auto"/>
        </w:rPr>
      </w:pPr>
    </w:p>
    <w:p w14:paraId="50A7F14C">
      <w:pPr>
        <w:pStyle w:val="90"/>
        <w:ind w:firstLine="482"/>
        <w:rPr>
          <w:rFonts w:hAnsi="宋体"/>
          <w:b/>
          <w:bCs/>
          <w:color w:val="auto"/>
        </w:rPr>
      </w:pPr>
    </w:p>
    <w:p w14:paraId="089BC86E">
      <w:pPr>
        <w:pStyle w:val="90"/>
        <w:ind w:firstLine="482"/>
        <w:rPr>
          <w:rFonts w:hAnsi="宋体"/>
          <w:b/>
          <w:bCs/>
          <w:color w:val="auto"/>
        </w:rPr>
      </w:pPr>
    </w:p>
    <w:p w14:paraId="1DC84527">
      <w:pPr>
        <w:pStyle w:val="90"/>
        <w:ind w:firstLine="482"/>
        <w:rPr>
          <w:rFonts w:hAnsi="宋体"/>
          <w:b/>
          <w:bCs/>
          <w:color w:val="auto"/>
        </w:rPr>
      </w:pPr>
    </w:p>
    <w:p w14:paraId="14567C6B">
      <w:pPr>
        <w:pStyle w:val="90"/>
        <w:ind w:firstLine="482"/>
        <w:rPr>
          <w:rFonts w:hAnsi="宋体"/>
          <w:b/>
          <w:bCs/>
          <w:color w:val="auto"/>
        </w:rPr>
      </w:pPr>
    </w:p>
    <w:p w14:paraId="750A52BF">
      <w:pPr>
        <w:pStyle w:val="15"/>
        <w:spacing w:line="360" w:lineRule="auto"/>
        <w:jc w:val="center"/>
        <w:rPr>
          <w:rFonts w:ascii="仿宋" w:hAnsi="仿宋" w:eastAsia="仿宋" w:cs="宋体"/>
          <w:b/>
          <w:bCs/>
          <w:color w:val="auto"/>
          <w:sz w:val="28"/>
          <w:szCs w:val="28"/>
        </w:rPr>
      </w:pPr>
      <w:r>
        <w:rPr>
          <w:rFonts w:hint="eastAsia" w:ascii="仿宋" w:hAnsi="仿宋" w:eastAsia="仿宋" w:cs="宋体"/>
          <w:b/>
          <w:bCs/>
          <w:color w:val="auto"/>
          <w:sz w:val="28"/>
          <w:szCs w:val="28"/>
        </w:rPr>
        <w:t>6.2   项目实施团队人员情况表</w:t>
      </w:r>
    </w:p>
    <w:tbl>
      <w:tblPr>
        <w:tblStyle w:val="3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63"/>
        <w:gridCol w:w="833"/>
        <w:gridCol w:w="1807"/>
        <w:gridCol w:w="1706"/>
        <w:gridCol w:w="1425"/>
        <w:gridCol w:w="1406"/>
      </w:tblGrid>
      <w:tr w14:paraId="0B79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27" w:type="dxa"/>
            <w:vAlign w:val="center"/>
          </w:tcPr>
          <w:p w14:paraId="45497688">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序号</w:t>
            </w:r>
          </w:p>
        </w:tc>
        <w:tc>
          <w:tcPr>
            <w:tcW w:w="1163" w:type="dxa"/>
            <w:vAlign w:val="center"/>
          </w:tcPr>
          <w:p w14:paraId="49C26DA6">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姓名</w:t>
            </w:r>
          </w:p>
        </w:tc>
        <w:tc>
          <w:tcPr>
            <w:tcW w:w="833" w:type="dxa"/>
            <w:vAlign w:val="center"/>
          </w:tcPr>
          <w:p w14:paraId="05D353AB">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年龄</w:t>
            </w:r>
          </w:p>
        </w:tc>
        <w:tc>
          <w:tcPr>
            <w:tcW w:w="1807" w:type="dxa"/>
            <w:vAlign w:val="center"/>
          </w:tcPr>
          <w:p w14:paraId="4174ED64">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毕业学校、专业</w:t>
            </w:r>
          </w:p>
        </w:tc>
        <w:tc>
          <w:tcPr>
            <w:tcW w:w="1706" w:type="dxa"/>
            <w:vAlign w:val="center"/>
          </w:tcPr>
          <w:p w14:paraId="4B26A09C">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执业资格及职称</w:t>
            </w:r>
          </w:p>
        </w:tc>
        <w:tc>
          <w:tcPr>
            <w:tcW w:w="1425" w:type="dxa"/>
            <w:vAlign w:val="center"/>
          </w:tcPr>
          <w:p w14:paraId="535A504A">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从事专业工作年限</w:t>
            </w:r>
          </w:p>
        </w:tc>
        <w:tc>
          <w:tcPr>
            <w:tcW w:w="1406" w:type="dxa"/>
            <w:vAlign w:val="center"/>
          </w:tcPr>
          <w:p w14:paraId="68BAD408">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拟在本项目任职</w:t>
            </w:r>
          </w:p>
        </w:tc>
      </w:tr>
      <w:tr w14:paraId="4233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7" w:type="dxa"/>
            <w:vAlign w:val="center"/>
          </w:tcPr>
          <w:p w14:paraId="21146CEF">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163" w:type="dxa"/>
            <w:vAlign w:val="center"/>
          </w:tcPr>
          <w:p w14:paraId="611B266F">
            <w:pPr>
              <w:pStyle w:val="15"/>
              <w:spacing w:line="360" w:lineRule="auto"/>
              <w:jc w:val="center"/>
              <w:rPr>
                <w:rFonts w:ascii="仿宋" w:hAnsi="仿宋" w:eastAsia="仿宋" w:cs="宋体"/>
                <w:color w:val="auto"/>
                <w:sz w:val="24"/>
                <w:szCs w:val="24"/>
              </w:rPr>
            </w:pPr>
          </w:p>
        </w:tc>
        <w:tc>
          <w:tcPr>
            <w:tcW w:w="833" w:type="dxa"/>
            <w:vAlign w:val="center"/>
          </w:tcPr>
          <w:p w14:paraId="0978FDC2">
            <w:pPr>
              <w:pStyle w:val="15"/>
              <w:spacing w:line="360" w:lineRule="auto"/>
              <w:jc w:val="center"/>
              <w:rPr>
                <w:rFonts w:ascii="仿宋" w:hAnsi="仿宋" w:eastAsia="仿宋" w:cs="宋体"/>
                <w:color w:val="auto"/>
                <w:sz w:val="24"/>
                <w:szCs w:val="24"/>
              </w:rPr>
            </w:pPr>
          </w:p>
        </w:tc>
        <w:tc>
          <w:tcPr>
            <w:tcW w:w="1807" w:type="dxa"/>
            <w:vAlign w:val="center"/>
          </w:tcPr>
          <w:p w14:paraId="0D107002">
            <w:pPr>
              <w:pStyle w:val="15"/>
              <w:spacing w:line="360" w:lineRule="auto"/>
              <w:jc w:val="center"/>
              <w:rPr>
                <w:rFonts w:ascii="仿宋" w:hAnsi="仿宋" w:eastAsia="仿宋" w:cs="宋体"/>
                <w:color w:val="auto"/>
                <w:sz w:val="24"/>
                <w:szCs w:val="24"/>
              </w:rPr>
            </w:pPr>
          </w:p>
        </w:tc>
        <w:tc>
          <w:tcPr>
            <w:tcW w:w="1706" w:type="dxa"/>
            <w:vAlign w:val="center"/>
          </w:tcPr>
          <w:p w14:paraId="3FC26779">
            <w:pPr>
              <w:pStyle w:val="15"/>
              <w:spacing w:line="360" w:lineRule="auto"/>
              <w:jc w:val="center"/>
              <w:rPr>
                <w:rFonts w:ascii="仿宋" w:hAnsi="仿宋" w:eastAsia="仿宋" w:cs="宋体"/>
                <w:color w:val="auto"/>
                <w:sz w:val="24"/>
                <w:szCs w:val="24"/>
              </w:rPr>
            </w:pPr>
          </w:p>
        </w:tc>
        <w:tc>
          <w:tcPr>
            <w:tcW w:w="1425" w:type="dxa"/>
            <w:vAlign w:val="center"/>
          </w:tcPr>
          <w:p w14:paraId="4113BBE9">
            <w:pPr>
              <w:pStyle w:val="15"/>
              <w:spacing w:line="360" w:lineRule="auto"/>
              <w:jc w:val="center"/>
              <w:rPr>
                <w:rFonts w:ascii="仿宋" w:hAnsi="仿宋" w:eastAsia="仿宋" w:cs="宋体"/>
                <w:color w:val="auto"/>
                <w:sz w:val="24"/>
                <w:szCs w:val="24"/>
              </w:rPr>
            </w:pPr>
          </w:p>
        </w:tc>
        <w:tc>
          <w:tcPr>
            <w:tcW w:w="1406" w:type="dxa"/>
            <w:vAlign w:val="center"/>
          </w:tcPr>
          <w:p w14:paraId="312F8B5F">
            <w:pPr>
              <w:pStyle w:val="15"/>
              <w:spacing w:line="360" w:lineRule="auto"/>
              <w:jc w:val="center"/>
              <w:rPr>
                <w:rFonts w:ascii="仿宋" w:hAnsi="仿宋" w:eastAsia="仿宋" w:cs="宋体"/>
                <w:color w:val="auto"/>
                <w:sz w:val="24"/>
                <w:szCs w:val="24"/>
              </w:rPr>
            </w:pPr>
          </w:p>
        </w:tc>
      </w:tr>
      <w:tr w14:paraId="1FF7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7" w:type="dxa"/>
            <w:vAlign w:val="center"/>
          </w:tcPr>
          <w:p w14:paraId="059E1C5D">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163" w:type="dxa"/>
            <w:vAlign w:val="center"/>
          </w:tcPr>
          <w:p w14:paraId="66EB3F66">
            <w:pPr>
              <w:pStyle w:val="15"/>
              <w:spacing w:line="360" w:lineRule="auto"/>
              <w:jc w:val="center"/>
              <w:rPr>
                <w:rFonts w:ascii="仿宋" w:hAnsi="仿宋" w:eastAsia="仿宋" w:cs="宋体"/>
                <w:color w:val="auto"/>
                <w:sz w:val="24"/>
                <w:szCs w:val="24"/>
              </w:rPr>
            </w:pPr>
          </w:p>
        </w:tc>
        <w:tc>
          <w:tcPr>
            <w:tcW w:w="833" w:type="dxa"/>
            <w:vAlign w:val="center"/>
          </w:tcPr>
          <w:p w14:paraId="230520E7">
            <w:pPr>
              <w:pStyle w:val="15"/>
              <w:spacing w:line="360" w:lineRule="auto"/>
              <w:jc w:val="center"/>
              <w:rPr>
                <w:rFonts w:ascii="仿宋" w:hAnsi="仿宋" w:eastAsia="仿宋" w:cs="宋体"/>
                <w:color w:val="auto"/>
                <w:sz w:val="24"/>
                <w:szCs w:val="24"/>
              </w:rPr>
            </w:pPr>
          </w:p>
        </w:tc>
        <w:tc>
          <w:tcPr>
            <w:tcW w:w="1807" w:type="dxa"/>
            <w:vAlign w:val="center"/>
          </w:tcPr>
          <w:p w14:paraId="7DA7BD3A">
            <w:pPr>
              <w:pStyle w:val="15"/>
              <w:spacing w:line="360" w:lineRule="auto"/>
              <w:jc w:val="center"/>
              <w:rPr>
                <w:rFonts w:ascii="仿宋" w:hAnsi="仿宋" w:eastAsia="仿宋" w:cs="宋体"/>
                <w:color w:val="auto"/>
                <w:sz w:val="24"/>
                <w:szCs w:val="24"/>
              </w:rPr>
            </w:pPr>
          </w:p>
        </w:tc>
        <w:tc>
          <w:tcPr>
            <w:tcW w:w="1706" w:type="dxa"/>
            <w:vAlign w:val="center"/>
          </w:tcPr>
          <w:p w14:paraId="166C6EDC">
            <w:pPr>
              <w:pStyle w:val="15"/>
              <w:spacing w:line="360" w:lineRule="auto"/>
              <w:jc w:val="center"/>
              <w:rPr>
                <w:rFonts w:ascii="仿宋" w:hAnsi="仿宋" w:eastAsia="仿宋" w:cs="宋体"/>
                <w:color w:val="auto"/>
                <w:sz w:val="24"/>
                <w:szCs w:val="24"/>
              </w:rPr>
            </w:pPr>
          </w:p>
        </w:tc>
        <w:tc>
          <w:tcPr>
            <w:tcW w:w="1425" w:type="dxa"/>
            <w:vAlign w:val="center"/>
          </w:tcPr>
          <w:p w14:paraId="7763A80C">
            <w:pPr>
              <w:pStyle w:val="15"/>
              <w:spacing w:line="360" w:lineRule="auto"/>
              <w:jc w:val="center"/>
              <w:rPr>
                <w:rFonts w:ascii="仿宋" w:hAnsi="仿宋" w:eastAsia="仿宋" w:cs="宋体"/>
                <w:color w:val="auto"/>
                <w:sz w:val="24"/>
                <w:szCs w:val="24"/>
              </w:rPr>
            </w:pPr>
          </w:p>
        </w:tc>
        <w:tc>
          <w:tcPr>
            <w:tcW w:w="1406" w:type="dxa"/>
            <w:vAlign w:val="center"/>
          </w:tcPr>
          <w:p w14:paraId="721F11F2">
            <w:pPr>
              <w:pStyle w:val="15"/>
              <w:spacing w:line="360" w:lineRule="auto"/>
              <w:jc w:val="center"/>
              <w:rPr>
                <w:rFonts w:ascii="仿宋" w:hAnsi="仿宋" w:eastAsia="仿宋" w:cs="宋体"/>
                <w:color w:val="auto"/>
                <w:sz w:val="24"/>
                <w:szCs w:val="24"/>
              </w:rPr>
            </w:pPr>
          </w:p>
        </w:tc>
      </w:tr>
      <w:tr w14:paraId="03A9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7" w:type="dxa"/>
            <w:vAlign w:val="center"/>
          </w:tcPr>
          <w:p w14:paraId="265FD1BF">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163" w:type="dxa"/>
            <w:vAlign w:val="center"/>
          </w:tcPr>
          <w:p w14:paraId="417F897A">
            <w:pPr>
              <w:pStyle w:val="15"/>
              <w:spacing w:line="360" w:lineRule="auto"/>
              <w:jc w:val="center"/>
              <w:rPr>
                <w:rFonts w:ascii="仿宋" w:hAnsi="仿宋" w:eastAsia="仿宋" w:cs="宋体"/>
                <w:color w:val="auto"/>
                <w:sz w:val="24"/>
                <w:szCs w:val="24"/>
              </w:rPr>
            </w:pPr>
          </w:p>
        </w:tc>
        <w:tc>
          <w:tcPr>
            <w:tcW w:w="833" w:type="dxa"/>
            <w:vAlign w:val="center"/>
          </w:tcPr>
          <w:p w14:paraId="2D27D5F9">
            <w:pPr>
              <w:pStyle w:val="15"/>
              <w:spacing w:line="360" w:lineRule="auto"/>
              <w:jc w:val="center"/>
              <w:rPr>
                <w:rFonts w:ascii="仿宋" w:hAnsi="仿宋" w:eastAsia="仿宋" w:cs="宋体"/>
                <w:color w:val="auto"/>
                <w:sz w:val="24"/>
                <w:szCs w:val="24"/>
              </w:rPr>
            </w:pPr>
          </w:p>
        </w:tc>
        <w:tc>
          <w:tcPr>
            <w:tcW w:w="1807" w:type="dxa"/>
            <w:vAlign w:val="center"/>
          </w:tcPr>
          <w:p w14:paraId="20B35E05">
            <w:pPr>
              <w:pStyle w:val="15"/>
              <w:spacing w:line="360" w:lineRule="auto"/>
              <w:jc w:val="center"/>
              <w:rPr>
                <w:rFonts w:ascii="仿宋" w:hAnsi="仿宋" w:eastAsia="仿宋" w:cs="宋体"/>
                <w:color w:val="auto"/>
                <w:sz w:val="24"/>
                <w:szCs w:val="24"/>
              </w:rPr>
            </w:pPr>
          </w:p>
        </w:tc>
        <w:tc>
          <w:tcPr>
            <w:tcW w:w="1706" w:type="dxa"/>
            <w:vAlign w:val="center"/>
          </w:tcPr>
          <w:p w14:paraId="10393F95">
            <w:pPr>
              <w:pStyle w:val="15"/>
              <w:spacing w:line="360" w:lineRule="auto"/>
              <w:jc w:val="center"/>
              <w:rPr>
                <w:rFonts w:ascii="仿宋" w:hAnsi="仿宋" w:eastAsia="仿宋" w:cs="宋体"/>
                <w:color w:val="auto"/>
                <w:sz w:val="24"/>
                <w:szCs w:val="24"/>
              </w:rPr>
            </w:pPr>
          </w:p>
        </w:tc>
        <w:tc>
          <w:tcPr>
            <w:tcW w:w="1425" w:type="dxa"/>
            <w:vAlign w:val="center"/>
          </w:tcPr>
          <w:p w14:paraId="711C60A3">
            <w:pPr>
              <w:pStyle w:val="15"/>
              <w:spacing w:line="360" w:lineRule="auto"/>
              <w:jc w:val="center"/>
              <w:rPr>
                <w:rFonts w:ascii="仿宋" w:hAnsi="仿宋" w:eastAsia="仿宋" w:cs="宋体"/>
                <w:color w:val="auto"/>
                <w:sz w:val="24"/>
                <w:szCs w:val="24"/>
              </w:rPr>
            </w:pPr>
          </w:p>
        </w:tc>
        <w:tc>
          <w:tcPr>
            <w:tcW w:w="1406" w:type="dxa"/>
            <w:vAlign w:val="center"/>
          </w:tcPr>
          <w:p w14:paraId="61FA321C">
            <w:pPr>
              <w:pStyle w:val="15"/>
              <w:spacing w:line="360" w:lineRule="auto"/>
              <w:jc w:val="center"/>
              <w:rPr>
                <w:rFonts w:ascii="仿宋" w:hAnsi="仿宋" w:eastAsia="仿宋" w:cs="宋体"/>
                <w:color w:val="auto"/>
                <w:sz w:val="24"/>
                <w:szCs w:val="24"/>
              </w:rPr>
            </w:pPr>
          </w:p>
        </w:tc>
      </w:tr>
      <w:tr w14:paraId="63FE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7" w:type="dxa"/>
            <w:vAlign w:val="center"/>
          </w:tcPr>
          <w:p w14:paraId="719DD1C1">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4</w:t>
            </w:r>
          </w:p>
        </w:tc>
        <w:tc>
          <w:tcPr>
            <w:tcW w:w="1163" w:type="dxa"/>
            <w:vAlign w:val="center"/>
          </w:tcPr>
          <w:p w14:paraId="698B4227">
            <w:pPr>
              <w:pStyle w:val="15"/>
              <w:spacing w:line="360" w:lineRule="auto"/>
              <w:jc w:val="center"/>
              <w:rPr>
                <w:rFonts w:ascii="仿宋" w:hAnsi="仿宋" w:eastAsia="仿宋" w:cs="宋体"/>
                <w:color w:val="auto"/>
                <w:sz w:val="24"/>
                <w:szCs w:val="24"/>
              </w:rPr>
            </w:pPr>
          </w:p>
        </w:tc>
        <w:tc>
          <w:tcPr>
            <w:tcW w:w="833" w:type="dxa"/>
            <w:vAlign w:val="center"/>
          </w:tcPr>
          <w:p w14:paraId="339BD8AA">
            <w:pPr>
              <w:pStyle w:val="15"/>
              <w:spacing w:line="360" w:lineRule="auto"/>
              <w:jc w:val="center"/>
              <w:rPr>
                <w:rFonts w:ascii="仿宋" w:hAnsi="仿宋" w:eastAsia="仿宋" w:cs="宋体"/>
                <w:color w:val="auto"/>
                <w:sz w:val="24"/>
                <w:szCs w:val="24"/>
              </w:rPr>
            </w:pPr>
          </w:p>
        </w:tc>
        <w:tc>
          <w:tcPr>
            <w:tcW w:w="1807" w:type="dxa"/>
            <w:vAlign w:val="center"/>
          </w:tcPr>
          <w:p w14:paraId="5F74D8A3">
            <w:pPr>
              <w:pStyle w:val="15"/>
              <w:spacing w:line="360" w:lineRule="auto"/>
              <w:jc w:val="center"/>
              <w:rPr>
                <w:rFonts w:ascii="仿宋" w:hAnsi="仿宋" w:eastAsia="仿宋" w:cs="宋体"/>
                <w:color w:val="auto"/>
                <w:sz w:val="24"/>
                <w:szCs w:val="24"/>
              </w:rPr>
            </w:pPr>
          </w:p>
        </w:tc>
        <w:tc>
          <w:tcPr>
            <w:tcW w:w="1706" w:type="dxa"/>
            <w:vAlign w:val="center"/>
          </w:tcPr>
          <w:p w14:paraId="0C39ACE8">
            <w:pPr>
              <w:pStyle w:val="15"/>
              <w:spacing w:line="360" w:lineRule="auto"/>
              <w:jc w:val="center"/>
              <w:rPr>
                <w:rFonts w:ascii="仿宋" w:hAnsi="仿宋" w:eastAsia="仿宋" w:cs="宋体"/>
                <w:color w:val="auto"/>
                <w:sz w:val="24"/>
                <w:szCs w:val="24"/>
              </w:rPr>
            </w:pPr>
          </w:p>
        </w:tc>
        <w:tc>
          <w:tcPr>
            <w:tcW w:w="1425" w:type="dxa"/>
            <w:vAlign w:val="center"/>
          </w:tcPr>
          <w:p w14:paraId="7DA4F7FC">
            <w:pPr>
              <w:pStyle w:val="15"/>
              <w:spacing w:line="360" w:lineRule="auto"/>
              <w:jc w:val="center"/>
              <w:rPr>
                <w:rFonts w:ascii="仿宋" w:hAnsi="仿宋" w:eastAsia="仿宋" w:cs="宋体"/>
                <w:color w:val="auto"/>
                <w:sz w:val="24"/>
                <w:szCs w:val="24"/>
              </w:rPr>
            </w:pPr>
          </w:p>
        </w:tc>
        <w:tc>
          <w:tcPr>
            <w:tcW w:w="1406" w:type="dxa"/>
            <w:vAlign w:val="center"/>
          </w:tcPr>
          <w:p w14:paraId="65765FFB">
            <w:pPr>
              <w:pStyle w:val="15"/>
              <w:spacing w:line="360" w:lineRule="auto"/>
              <w:jc w:val="center"/>
              <w:rPr>
                <w:rFonts w:ascii="仿宋" w:hAnsi="仿宋" w:eastAsia="仿宋" w:cs="宋体"/>
                <w:color w:val="auto"/>
                <w:sz w:val="24"/>
                <w:szCs w:val="24"/>
              </w:rPr>
            </w:pPr>
          </w:p>
        </w:tc>
      </w:tr>
      <w:tr w14:paraId="017B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7" w:type="dxa"/>
            <w:vAlign w:val="center"/>
          </w:tcPr>
          <w:p w14:paraId="2910D4DF">
            <w:pPr>
              <w:pStyle w:val="15"/>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5</w:t>
            </w:r>
          </w:p>
        </w:tc>
        <w:tc>
          <w:tcPr>
            <w:tcW w:w="1163" w:type="dxa"/>
            <w:vAlign w:val="center"/>
          </w:tcPr>
          <w:p w14:paraId="40F93B35">
            <w:pPr>
              <w:pStyle w:val="15"/>
              <w:spacing w:line="360" w:lineRule="auto"/>
              <w:jc w:val="center"/>
              <w:rPr>
                <w:rFonts w:ascii="仿宋" w:hAnsi="仿宋" w:eastAsia="仿宋" w:cs="宋体"/>
                <w:color w:val="auto"/>
                <w:sz w:val="24"/>
                <w:szCs w:val="24"/>
              </w:rPr>
            </w:pPr>
          </w:p>
        </w:tc>
        <w:tc>
          <w:tcPr>
            <w:tcW w:w="833" w:type="dxa"/>
            <w:vAlign w:val="center"/>
          </w:tcPr>
          <w:p w14:paraId="1EF00D8B">
            <w:pPr>
              <w:pStyle w:val="15"/>
              <w:spacing w:line="360" w:lineRule="auto"/>
              <w:jc w:val="center"/>
              <w:rPr>
                <w:rFonts w:ascii="仿宋" w:hAnsi="仿宋" w:eastAsia="仿宋" w:cs="宋体"/>
                <w:color w:val="auto"/>
                <w:sz w:val="24"/>
                <w:szCs w:val="24"/>
              </w:rPr>
            </w:pPr>
          </w:p>
        </w:tc>
        <w:tc>
          <w:tcPr>
            <w:tcW w:w="1807" w:type="dxa"/>
            <w:vAlign w:val="center"/>
          </w:tcPr>
          <w:p w14:paraId="4472FF61">
            <w:pPr>
              <w:pStyle w:val="15"/>
              <w:spacing w:line="360" w:lineRule="auto"/>
              <w:jc w:val="center"/>
              <w:rPr>
                <w:rFonts w:ascii="仿宋" w:hAnsi="仿宋" w:eastAsia="仿宋" w:cs="宋体"/>
                <w:color w:val="auto"/>
                <w:sz w:val="24"/>
                <w:szCs w:val="24"/>
              </w:rPr>
            </w:pPr>
          </w:p>
        </w:tc>
        <w:tc>
          <w:tcPr>
            <w:tcW w:w="1706" w:type="dxa"/>
            <w:vAlign w:val="center"/>
          </w:tcPr>
          <w:p w14:paraId="07E3D615">
            <w:pPr>
              <w:pStyle w:val="15"/>
              <w:spacing w:line="360" w:lineRule="auto"/>
              <w:jc w:val="center"/>
              <w:rPr>
                <w:rFonts w:ascii="仿宋" w:hAnsi="仿宋" w:eastAsia="仿宋" w:cs="宋体"/>
                <w:color w:val="auto"/>
                <w:sz w:val="24"/>
                <w:szCs w:val="24"/>
              </w:rPr>
            </w:pPr>
          </w:p>
        </w:tc>
        <w:tc>
          <w:tcPr>
            <w:tcW w:w="1425" w:type="dxa"/>
            <w:vAlign w:val="center"/>
          </w:tcPr>
          <w:p w14:paraId="54A515E7">
            <w:pPr>
              <w:pStyle w:val="15"/>
              <w:spacing w:line="360" w:lineRule="auto"/>
              <w:jc w:val="center"/>
              <w:rPr>
                <w:rFonts w:ascii="仿宋" w:hAnsi="仿宋" w:eastAsia="仿宋" w:cs="宋体"/>
                <w:color w:val="auto"/>
                <w:sz w:val="24"/>
                <w:szCs w:val="24"/>
              </w:rPr>
            </w:pPr>
          </w:p>
        </w:tc>
        <w:tc>
          <w:tcPr>
            <w:tcW w:w="1406" w:type="dxa"/>
            <w:vAlign w:val="center"/>
          </w:tcPr>
          <w:p w14:paraId="0710AC6A">
            <w:pPr>
              <w:pStyle w:val="15"/>
              <w:spacing w:line="360" w:lineRule="auto"/>
              <w:jc w:val="center"/>
              <w:rPr>
                <w:rFonts w:ascii="仿宋" w:hAnsi="仿宋" w:eastAsia="仿宋" w:cs="宋体"/>
                <w:color w:val="auto"/>
                <w:sz w:val="24"/>
                <w:szCs w:val="24"/>
              </w:rPr>
            </w:pPr>
          </w:p>
        </w:tc>
      </w:tr>
      <w:tr w14:paraId="0737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7" w:type="dxa"/>
            <w:vAlign w:val="center"/>
          </w:tcPr>
          <w:p w14:paraId="6B6ABA5F">
            <w:pPr>
              <w:pStyle w:val="15"/>
              <w:spacing w:line="360" w:lineRule="auto"/>
              <w:jc w:val="center"/>
              <w:rPr>
                <w:rFonts w:ascii="仿宋" w:hAnsi="仿宋" w:eastAsia="仿宋" w:cs="宋体"/>
                <w:color w:val="auto"/>
                <w:sz w:val="24"/>
                <w:szCs w:val="24"/>
              </w:rPr>
            </w:pPr>
          </w:p>
        </w:tc>
        <w:tc>
          <w:tcPr>
            <w:tcW w:w="1163" w:type="dxa"/>
            <w:vAlign w:val="center"/>
          </w:tcPr>
          <w:p w14:paraId="0698ABF4">
            <w:pPr>
              <w:pStyle w:val="15"/>
              <w:spacing w:line="360" w:lineRule="auto"/>
              <w:jc w:val="center"/>
              <w:rPr>
                <w:rFonts w:ascii="仿宋" w:hAnsi="仿宋" w:eastAsia="仿宋" w:cs="宋体"/>
                <w:color w:val="auto"/>
                <w:sz w:val="24"/>
                <w:szCs w:val="24"/>
              </w:rPr>
            </w:pPr>
          </w:p>
        </w:tc>
        <w:tc>
          <w:tcPr>
            <w:tcW w:w="833" w:type="dxa"/>
            <w:vAlign w:val="center"/>
          </w:tcPr>
          <w:p w14:paraId="526EC93E">
            <w:pPr>
              <w:pStyle w:val="15"/>
              <w:spacing w:line="360" w:lineRule="auto"/>
              <w:jc w:val="center"/>
              <w:rPr>
                <w:rFonts w:ascii="仿宋" w:hAnsi="仿宋" w:eastAsia="仿宋" w:cs="宋体"/>
                <w:color w:val="auto"/>
                <w:sz w:val="24"/>
                <w:szCs w:val="24"/>
              </w:rPr>
            </w:pPr>
          </w:p>
        </w:tc>
        <w:tc>
          <w:tcPr>
            <w:tcW w:w="1807" w:type="dxa"/>
            <w:vAlign w:val="center"/>
          </w:tcPr>
          <w:p w14:paraId="68F04404">
            <w:pPr>
              <w:pStyle w:val="15"/>
              <w:spacing w:line="360" w:lineRule="auto"/>
              <w:jc w:val="center"/>
              <w:rPr>
                <w:rFonts w:ascii="仿宋" w:hAnsi="仿宋" w:eastAsia="仿宋" w:cs="宋体"/>
                <w:color w:val="auto"/>
                <w:sz w:val="24"/>
                <w:szCs w:val="24"/>
              </w:rPr>
            </w:pPr>
          </w:p>
        </w:tc>
        <w:tc>
          <w:tcPr>
            <w:tcW w:w="1706" w:type="dxa"/>
            <w:vAlign w:val="center"/>
          </w:tcPr>
          <w:p w14:paraId="41005059">
            <w:pPr>
              <w:pStyle w:val="15"/>
              <w:spacing w:line="360" w:lineRule="auto"/>
              <w:jc w:val="center"/>
              <w:rPr>
                <w:rFonts w:ascii="仿宋" w:hAnsi="仿宋" w:eastAsia="仿宋" w:cs="宋体"/>
                <w:color w:val="auto"/>
                <w:sz w:val="24"/>
                <w:szCs w:val="24"/>
              </w:rPr>
            </w:pPr>
          </w:p>
        </w:tc>
        <w:tc>
          <w:tcPr>
            <w:tcW w:w="1425" w:type="dxa"/>
            <w:vAlign w:val="center"/>
          </w:tcPr>
          <w:p w14:paraId="1AD2BAFB">
            <w:pPr>
              <w:pStyle w:val="15"/>
              <w:spacing w:line="360" w:lineRule="auto"/>
              <w:jc w:val="center"/>
              <w:rPr>
                <w:rFonts w:ascii="仿宋" w:hAnsi="仿宋" w:eastAsia="仿宋" w:cs="宋体"/>
                <w:color w:val="auto"/>
                <w:sz w:val="24"/>
                <w:szCs w:val="24"/>
              </w:rPr>
            </w:pPr>
          </w:p>
        </w:tc>
        <w:tc>
          <w:tcPr>
            <w:tcW w:w="1406" w:type="dxa"/>
            <w:vAlign w:val="center"/>
          </w:tcPr>
          <w:p w14:paraId="08DB0057">
            <w:pPr>
              <w:pStyle w:val="15"/>
              <w:spacing w:line="360" w:lineRule="auto"/>
              <w:jc w:val="center"/>
              <w:rPr>
                <w:rFonts w:ascii="仿宋" w:hAnsi="仿宋" w:eastAsia="仿宋" w:cs="宋体"/>
                <w:color w:val="auto"/>
                <w:sz w:val="24"/>
                <w:szCs w:val="24"/>
              </w:rPr>
            </w:pPr>
          </w:p>
        </w:tc>
      </w:tr>
      <w:tr w14:paraId="61FE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7" w:type="dxa"/>
            <w:vAlign w:val="center"/>
          </w:tcPr>
          <w:p w14:paraId="32D2BE4E">
            <w:pPr>
              <w:pStyle w:val="15"/>
              <w:spacing w:line="360" w:lineRule="auto"/>
              <w:jc w:val="center"/>
              <w:rPr>
                <w:rFonts w:ascii="仿宋" w:hAnsi="仿宋" w:eastAsia="仿宋" w:cs="宋体"/>
                <w:color w:val="auto"/>
                <w:sz w:val="24"/>
                <w:szCs w:val="24"/>
              </w:rPr>
            </w:pPr>
          </w:p>
        </w:tc>
        <w:tc>
          <w:tcPr>
            <w:tcW w:w="1163" w:type="dxa"/>
            <w:vAlign w:val="center"/>
          </w:tcPr>
          <w:p w14:paraId="4E6B1A90">
            <w:pPr>
              <w:pStyle w:val="15"/>
              <w:spacing w:line="360" w:lineRule="auto"/>
              <w:jc w:val="center"/>
              <w:rPr>
                <w:rFonts w:ascii="仿宋" w:hAnsi="仿宋" w:eastAsia="仿宋" w:cs="宋体"/>
                <w:color w:val="auto"/>
                <w:sz w:val="24"/>
                <w:szCs w:val="24"/>
              </w:rPr>
            </w:pPr>
          </w:p>
        </w:tc>
        <w:tc>
          <w:tcPr>
            <w:tcW w:w="833" w:type="dxa"/>
            <w:vAlign w:val="center"/>
          </w:tcPr>
          <w:p w14:paraId="18575BD5">
            <w:pPr>
              <w:pStyle w:val="15"/>
              <w:spacing w:line="360" w:lineRule="auto"/>
              <w:jc w:val="center"/>
              <w:rPr>
                <w:rFonts w:ascii="仿宋" w:hAnsi="仿宋" w:eastAsia="仿宋" w:cs="宋体"/>
                <w:color w:val="auto"/>
                <w:sz w:val="24"/>
                <w:szCs w:val="24"/>
              </w:rPr>
            </w:pPr>
          </w:p>
        </w:tc>
        <w:tc>
          <w:tcPr>
            <w:tcW w:w="1807" w:type="dxa"/>
            <w:vAlign w:val="center"/>
          </w:tcPr>
          <w:p w14:paraId="7E97D029">
            <w:pPr>
              <w:pStyle w:val="15"/>
              <w:spacing w:line="360" w:lineRule="auto"/>
              <w:jc w:val="center"/>
              <w:rPr>
                <w:rFonts w:ascii="仿宋" w:hAnsi="仿宋" w:eastAsia="仿宋" w:cs="宋体"/>
                <w:color w:val="auto"/>
                <w:sz w:val="24"/>
                <w:szCs w:val="24"/>
              </w:rPr>
            </w:pPr>
          </w:p>
        </w:tc>
        <w:tc>
          <w:tcPr>
            <w:tcW w:w="1706" w:type="dxa"/>
            <w:vAlign w:val="center"/>
          </w:tcPr>
          <w:p w14:paraId="21EEEC4B">
            <w:pPr>
              <w:pStyle w:val="15"/>
              <w:spacing w:line="360" w:lineRule="auto"/>
              <w:jc w:val="center"/>
              <w:rPr>
                <w:rFonts w:ascii="仿宋" w:hAnsi="仿宋" w:eastAsia="仿宋" w:cs="宋体"/>
                <w:color w:val="auto"/>
                <w:sz w:val="24"/>
                <w:szCs w:val="24"/>
              </w:rPr>
            </w:pPr>
          </w:p>
        </w:tc>
        <w:tc>
          <w:tcPr>
            <w:tcW w:w="1425" w:type="dxa"/>
            <w:vAlign w:val="center"/>
          </w:tcPr>
          <w:p w14:paraId="7CC0FD98">
            <w:pPr>
              <w:pStyle w:val="15"/>
              <w:spacing w:line="360" w:lineRule="auto"/>
              <w:jc w:val="center"/>
              <w:rPr>
                <w:rFonts w:ascii="仿宋" w:hAnsi="仿宋" w:eastAsia="仿宋" w:cs="宋体"/>
                <w:color w:val="auto"/>
                <w:sz w:val="24"/>
                <w:szCs w:val="24"/>
              </w:rPr>
            </w:pPr>
          </w:p>
        </w:tc>
        <w:tc>
          <w:tcPr>
            <w:tcW w:w="1406" w:type="dxa"/>
            <w:vAlign w:val="center"/>
          </w:tcPr>
          <w:p w14:paraId="339F5CCC">
            <w:pPr>
              <w:pStyle w:val="15"/>
              <w:spacing w:line="360" w:lineRule="auto"/>
              <w:jc w:val="center"/>
              <w:rPr>
                <w:rFonts w:ascii="仿宋" w:hAnsi="仿宋" w:eastAsia="仿宋" w:cs="宋体"/>
                <w:color w:val="auto"/>
                <w:sz w:val="24"/>
                <w:szCs w:val="24"/>
              </w:rPr>
            </w:pPr>
          </w:p>
        </w:tc>
      </w:tr>
      <w:tr w14:paraId="7284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7" w:type="dxa"/>
            <w:vAlign w:val="center"/>
          </w:tcPr>
          <w:p w14:paraId="37AC2F03">
            <w:pPr>
              <w:pStyle w:val="15"/>
              <w:spacing w:line="360" w:lineRule="auto"/>
              <w:jc w:val="center"/>
              <w:rPr>
                <w:rFonts w:ascii="仿宋" w:hAnsi="仿宋" w:eastAsia="仿宋" w:cs="宋体"/>
                <w:color w:val="auto"/>
                <w:sz w:val="24"/>
                <w:szCs w:val="24"/>
              </w:rPr>
            </w:pPr>
          </w:p>
        </w:tc>
        <w:tc>
          <w:tcPr>
            <w:tcW w:w="1163" w:type="dxa"/>
            <w:vAlign w:val="center"/>
          </w:tcPr>
          <w:p w14:paraId="74EAA522">
            <w:pPr>
              <w:pStyle w:val="15"/>
              <w:spacing w:line="360" w:lineRule="auto"/>
              <w:jc w:val="center"/>
              <w:rPr>
                <w:rFonts w:ascii="仿宋" w:hAnsi="仿宋" w:eastAsia="仿宋" w:cs="宋体"/>
                <w:color w:val="auto"/>
                <w:sz w:val="24"/>
                <w:szCs w:val="24"/>
              </w:rPr>
            </w:pPr>
          </w:p>
        </w:tc>
        <w:tc>
          <w:tcPr>
            <w:tcW w:w="833" w:type="dxa"/>
            <w:vAlign w:val="center"/>
          </w:tcPr>
          <w:p w14:paraId="690ADE9C">
            <w:pPr>
              <w:pStyle w:val="15"/>
              <w:spacing w:line="360" w:lineRule="auto"/>
              <w:jc w:val="center"/>
              <w:rPr>
                <w:rFonts w:ascii="仿宋" w:hAnsi="仿宋" w:eastAsia="仿宋" w:cs="宋体"/>
                <w:color w:val="auto"/>
                <w:sz w:val="24"/>
                <w:szCs w:val="24"/>
              </w:rPr>
            </w:pPr>
          </w:p>
        </w:tc>
        <w:tc>
          <w:tcPr>
            <w:tcW w:w="1807" w:type="dxa"/>
            <w:vAlign w:val="center"/>
          </w:tcPr>
          <w:p w14:paraId="4EAB76BA">
            <w:pPr>
              <w:pStyle w:val="15"/>
              <w:spacing w:line="360" w:lineRule="auto"/>
              <w:jc w:val="center"/>
              <w:rPr>
                <w:rFonts w:ascii="仿宋" w:hAnsi="仿宋" w:eastAsia="仿宋" w:cs="宋体"/>
                <w:color w:val="auto"/>
                <w:sz w:val="24"/>
                <w:szCs w:val="24"/>
              </w:rPr>
            </w:pPr>
          </w:p>
        </w:tc>
        <w:tc>
          <w:tcPr>
            <w:tcW w:w="1706" w:type="dxa"/>
            <w:vAlign w:val="center"/>
          </w:tcPr>
          <w:p w14:paraId="4F1E1B89">
            <w:pPr>
              <w:pStyle w:val="15"/>
              <w:spacing w:line="360" w:lineRule="auto"/>
              <w:jc w:val="center"/>
              <w:rPr>
                <w:rFonts w:ascii="仿宋" w:hAnsi="仿宋" w:eastAsia="仿宋" w:cs="宋体"/>
                <w:color w:val="auto"/>
                <w:sz w:val="24"/>
                <w:szCs w:val="24"/>
              </w:rPr>
            </w:pPr>
          </w:p>
        </w:tc>
        <w:tc>
          <w:tcPr>
            <w:tcW w:w="1425" w:type="dxa"/>
            <w:vAlign w:val="center"/>
          </w:tcPr>
          <w:p w14:paraId="6F455876">
            <w:pPr>
              <w:pStyle w:val="15"/>
              <w:spacing w:line="360" w:lineRule="auto"/>
              <w:jc w:val="center"/>
              <w:rPr>
                <w:rFonts w:ascii="仿宋" w:hAnsi="仿宋" w:eastAsia="仿宋" w:cs="宋体"/>
                <w:color w:val="auto"/>
                <w:sz w:val="24"/>
                <w:szCs w:val="24"/>
              </w:rPr>
            </w:pPr>
          </w:p>
        </w:tc>
        <w:tc>
          <w:tcPr>
            <w:tcW w:w="1406" w:type="dxa"/>
            <w:vAlign w:val="center"/>
          </w:tcPr>
          <w:p w14:paraId="53D3D452">
            <w:pPr>
              <w:pStyle w:val="15"/>
              <w:spacing w:line="360" w:lineRule="auto"/>
              <w:jc w:val="center"/>
              <w:rPr>
                <w:rFonts w:ascii="仿宋" w:hAnsi="仿宋" w:eastAsia="仿宋" w:cs="宋体"/>
                <w:color w:val="auto"/>
                <w:sz w:val="24"/>
                <w:szCs w:val="24"/>
              </w:rPr>
            </w:pPr>
          </w:p>
        </w:tc>
      </w:tr>
    </w:tbl>
    <w:p w14:paraId="7980328E">
      <w:pPr>
        <w:pStyle w:val="15"/>
        <w:rPr>
          <w:rFonts w:hAnsi="宋体" w:cs="宋体"/>
          <w:b/>
          <w:bCs/>
          <w:color w:val="auto"/>
          <w:sz w:val="24"/>
          <w:szCs w:val="24"/>
        </w:rPr>
      </w:pPr>
    </w:p>
    <w:p w14:paraId="17877675">
      <w:pPr>
        <w:widowControl/>
        <w:autoSpaceDE w:val="0"/>
        <w:autoSpaceDN w:val="0"/>
        <w:adjustRightInd w:val="0"/>
        <w:spacing w:line="360" w:lineRule="auto"/>
        <w:ind w:left="562" w:hanging="562" w:hangingChars="200"/>
        <w:rPr>
          <w:rFonts w:ascii="仿宋" w:hAnsi="仿宋" w:eastAsia="仿宋" w:cs="宋体"/>
          <w:b/>
          <w:bCs/>
          <w:color w:val="auto"/>
          <w:sz w:val="28"/>
          <w:szCs w:val="28"/>
        </w:rPr>
      </w:pPr>
      <w:r>
        <w:rPr>
          <w:rFonts w:hint="eastAsia" w:ascii="仿宋" w:hAnsi="仿宋" w:eastAsia="仿宋" w:cs="宋体"/>
          <w:b/>
          <w:bCs/>
          <w:color w:val="auto"/>
          <w:sz w:val="28"/>
          <w:szCs w:val="28"/>
        </w:rPr>
        <w:t>注：需提供</w:t>
      </w:r>
      <w:r>
        <w:rPr>
          <w:rFonts w:hint="eastAsia" w:ascii="仿宋" w:hAnsi="仿宋" w:eastAsia="仿宋" w:cs="宋体"/>
          <w:b/>
          <w:bCs/>
          <w:color w:val="auto"/>
          <w:sz w:val="28"/>
          <w:szCs w:val="28"/>
        </w:rPr>
        <w:t>主要人员的相关证明资料（附相关职称证书）；</w:t>
      </w:r>
    </w:p>
    <w:p w14:paraId="14A8422E">
      <w:pPr>
        <w:rPr>
          <w:rFonts w:ascii="仿宋" w:hAnsi="仿宋" w:eastAsia="仿宋" w:cs="宋体"/>
          <w:b/>
          <w:bCs/>
          <w:color w:val="auto"/>
          <w:sz w:val="24"/>
        </w:rPr>
      </w:pPr>
    </w:p>
    <w:p w14:paraId="6743F09F">
      <w:pPr>
        <w:pStyle w:val="90"/>
        <w:ind w:firstLine="480"/>
        <w:rPr>
          <w:rFonts w:ascii="仿宋" w:hAnsi="仿宋" w:eastAsia="仿宋"/>
          <w:color w:val="auto"/>
        </w:rPr>
      </w:pPr>
    </w:p>
    <w:p w14:paraId="69F5C3A7">
      <w:pPr>
        <w:pStyle w:val="15"/>
        <w:tabs>
          <w:tab w:val="left" w:pos="5370"/>
        </w:tabs>
        <w:spacing w:line="240" w:lineRule="atLeast"/>
        <w:ind w:left="1258" w:leftChars="599" w:firstLine="2020" w:firstLineChars="842"/>
        <w:rPr>
          <w:rFonts w:ascii="仿宋" w:hAnsi="仿宋" w:eastAsia="仿宋" w:cs="宋体"/>
          <w:color w:val="auto"/>
          <w:sz w:val="24"/>
          <w:szCs w:val="24"/>
          <w:u w:val="single"/>
        </w:rPr>
      </w:pPr>
      <w:r>
        <w:rPr>
          <w:rFonts w:hint="eastAsia" w:ascii="仿宋" w:hAnsi="仿宋" w:eastAsia="仿宋" w:cs="宋体"/>
          <w:color w:val="auto"/>
          <w:sz w:val="24"/>
          <w:szCs w:val="24"/>
        </w:rPr>
        <w:t>投标人(盖单位章):</w:t>
      </w:r>
      <w:r>
        <w:rPr>
          <w:rFonts w:hint="eastAsia" w:ascii="仿宋" w:hAnsi="仿宋" w:eastAsia="仿宋" w:cs="宋体"/>
          <w:color w:val="auto"/>
          <w:sz w:val="24"/>
          <w:szCs w:val="24"/>
          <w:u w:val="single"/>
        </w:rPr>
        <w:tab/>
      </w:r>
      <w:r>
        <w:rPr>
          <w:rFonts w:hint="eastAsia" w:ascii="仿宋" w:hAnsi="仿宋" w:eastAsia="仿宋" w:cs="宋体"/>
          <w:color w:val="auto"/>
          <w:sz w:val="24"/>
          <w:szCs w:val="24"/>
          <w:u w:val="single"/>
        </w:rPr>
        <w:t xml:space="preserve">                          </w:t>
      </w:r>
    </w:p>
    <w:p w14:paraId="780E6A90">
      <w:pPr>
        <w:pStyle w:val="15"/>
        <w:tabs>
          <w:tab w:val="left" w:pos="5370"/>
        </w:tabs>
        <w:spacing w:line="240" w:lineRule="atLeast"/>
        <w:ind w:left="1080" w:leftChars="257" w:hanging="540"/>
        <w:rPr>
          <w:rFonts w:ascii="仿宋" w:hAnsi="仿宋" w:eastAsia="仿宋" w:cs="宋体"/>
          <w:color w:val="auto"/>
          <w:sz w:val="24"/>
          <w:szCs w:val="24"/>
          <w:u w:val="single"/>
        </w:rPr>
      </w:pPr>
    </w:p>
    <w:p w14:paraId="488FBB50">
      <w:pPr>
        <w:pStyle w:val="15"/>
        <w:spacing w:line="360" w:lineRule="auto"/>
        <w:ind w:firstLine="2160" w:firstLineChars="900"/>
        <w:rPr>
          <w:rFonts w:ascii="仿宋" w:hAnsi="仿宋" w:eastAsia="仿宋" w:cs="宋体"/>
          <w:color w:val="auto"/>
          <w:sz w:val="24"/>
          <w:szCs w:val="24"/>
        </w:rPr>
      </w:pPr>
      <w:r>
        <w:rPr>
          <w:rFonts w:hint="eastAsia" w:ascii="仿宋" w:hAnsi="仿宋" w:eastAsia="仿宋" w:cs="宋体"/>
          <w:color w:val="auto"/>
          <w:sz w:val="24"/>
          <w:szCs w:val="24"/>
        </w:rPr>
        <w:t>法定代表人或其委托代理人</w:t>
      </w:r>
      <w:r>
        <w:rPr>
          <w:rFonts w:ascii="仿宋" w:hAnsi="仿宋" w:eastAsia="仿宋" w:cs="宋体"/>
          <w:color w:val="auto"/>
          <w:sz w:val="24"/>
          <w:szCs w:val="24"/>
        </w:rPr>
        <w:t>(</w:t>
      </w:r>
      <w:r>
        <w:rPr>
          <w:rFonts w:hint="eastAsia" w:ascii="仿宋" w:hAnsi="仿宋" w:eastAsia="仿宋" w:cs="宋体"/>
          <w:color w:val="auto"/>
          <w:sz w:val="24"/>
          <w:szCs w:val="24"/>
        </w:rPr>
        <w:t>签字或盖章</w:t>
      </w:r>
      <w:r>
        <w:rPr>
          <w:rFonts w:ascii="仿宋" w:hAnsi="仿宋" w:eastAsia="仿宋" w:cs="宋体"/>
          <w:color w:val="auto"/>
          <w:sz w:val="24"/>
          <w:szCs w:val="24"/>
        </w:rPr>
        <w:t>)</w:t>
      </w:r>
      <w:r>
        <w:rPr>
          <w:rFonts w:hint="eastAsia" w:ascii="仿宋" w:hAnsi="仿宋" w:eastAsia="仿宋" w:cs="宋体"/>
          <w:color w:val="auto"/>
          <w:sz w:val="24"/>
          <w:szCs w:val="24"/>
        </w:rPr>
        <w:t>:</w:t>
      </w:r>
      <w:r>
        <w:rPr>
          <w:rFonts w:hint="eastAsia" w:ascii="仿宋" w:hAnsi="仿宋" w:eastAsia="仿宋" w:cs="宋体"/>
          <w:color w:val="auto"/>
          <w:sz w:val="24"/>
          <w:szCs w:val="24"/>
          <w:u w:val="single"/>
        </w:rPr>
        <w:t xml:space="preserve">            </w:t>
      </w:r>
      <w:r>
        <w:rPr>
          <w:rFonts w:hint="eastAsia" w:ascii="仿宋" w:hAnsi="仿宋" w:eastAsia="仿宋" w:cs="宋体"/>
          <w:color w:val="auto"/>
          <w:sz w:val="24"/>
          <w:szCs w:val="24"/>
          <w:u w:val="single"/>
        </w:rPr>
        <w:tab/>
      </w:r>
      <w:r>
        <w:rPr>
          <w:rFonts w:hint="eastAsia" w:ascii="仿宋" w:hAnsi="仿宋" w:eastAsia="仿宋" w:cs="宋体"/>
          <w:color w:val="auto"/>
          <w:sz w:val="24"/>
          <w:szCs w:val="24"/>
          <w:u w:val="single"/>
        </w:rPr>
        <w:t xml:space="preserve"> </w:t>
      </w:r>
    </w:p>
    <w:p w14:paraId="30C105B1">
      <w:pPr>
        <w:pStyle w:val="90"/>
        <w:ind w:firstLine="482"/>
        <w:rPr>
          <w:rFonts w:hAnsi="宋体"/>
          <w:b/>
          <w:bCs/>
          <w:color w:val="auto"/>
        </w:rPr>
      </w:pPr>
    </w:p>
    <w:p w14:paraId="78D9EE4E">
      <w:pPr>
        <w:pStyle w:val="90"/>
        <w:ind w:firstLine="482"/>
        <w:rPr>
          <w:rFonts w:hAnsi="宋体"/>
          <w:b/>
          <w:bCs/>
          <w:color w:val="auto"/>
        </w:rPr>
      </w:pPr>
    </w:p>
    <w:p w14:paraId="0A499EEE">
      <w:pPr>
        <w:pStyle w:val="15"/>
        <w:spacing w:line="240" w:lineRule="atLeast"/>
        <w:ind w:left="540" w:leftChars="257" w:right="480" w:firstLine="4320" w:firstLineChars="1800"/>
        <w:rPr>
          <w:rFonts w:ascii="仿宋" w:hAnsi="仿宋" w:eastAsia="仿宋" w:cs="宋体"/>
          <w:color w:val="auto"/>
          <w:sz w:val="24"/>
          <w:szCs w:val="24"/>
        </w:rPr>
      </w:pPr>
      <w:r>
        <w:rPr>
          <w:rFonts w:hint="eastAsia" w:ascii="仿宋" w:hAnsi="仿宋" w:eastAsia="仿宋" w:cs="宋体"/>
          <w:color w:val="auto"/>
          <w:sz w:val="24"/>
          <w:szCs w:val="24"/>
        </w:rPr>
        <w:t>日期：年   月   日</w:t>
      </w:r>
    </w:p>
    <w:p w14:paraId="36BD94C2">
      <w:pPr>
        <w:pStyle w:val="90"/>
        <w:ind w:firstLine="482"/>
        <w:rPr>
          <w:rFonts w:hAnsi="宋体"/>
          <w:b/>
          <w:bCs/>
          <w:color w:val="auto"/>
        </w:rPr>
      </w:pPr>
    </w:p>
    <w:p w14:paraId="25AAF2DD">
      <w:pPr>
        <w:pStyle w:val="90"/>
        <w:ind w:firstLine="482"/>
        <w:rPr>
          <w:rFonts w:hAnsi="宋体"/>
          <w:b/>
          <w:bCs/>
          <w:color w:val="auto"/>
        </w:rPr>
      </w:pPr>
    </w:p>
    <w:p w14:paraId="3728984B">
      <w:pPr>
        <w:pStyle w:val="90"/>
        <w:ind w:firstLine="482"/>
        <w:rPr>
          <w:rFonts w:hAnsi="宋体"/>
          <w:b/>
          <w:bCs/>
          <w:color w:val="auto"/>
        </w:rPr>
      </w:pPr>
    </w:p>
    <w:p w14:paraId="7ECE71C4">
      <w:pPr>
        <w:pStyle w:val="90"/>
        <w:ind w:firstLine="482"/>
        <w:rPr>
          <w:rFonts w:hAnsi="宋体"/>
          <w:b/>
          <w:bCs/>
          <w:color w:val="auto"/>
        </w:rPr>
      </w:pPr>
    </w:p>
    <w:p w14:paraId="754C499F">
      <w:pPr>
        <w:pStyle w:val="90"/>
        <w:ind w:firstLine="482"/>
        <w:rPr>
          <w:rFonts w:hAnsi="宋体"/>
          <w:b/>
          <w:bCs/>
          <w:color w:val="auto"/>
        </w:rPr>
      </w:pPr>
    </w:p>
    <w:p w14:paraId="6A241E47">
      <w:pPr>
        <w:pStyle w:val="90"/>
        <w:ind w:firstLine="482"/>
        <w:rPr>
          <w:rFonts w:hAnsi="宋体"/>
          <w:b/>
          <w:bCs/>
          <w:color w:val="auto"/>
        </w:rPr>
      </w:pPr>
    </w:p>
    <w:p w14:paraId="44A2B483">
      <w:pPr>
        <w:pStyle w:val="90"/>
        <w:ind w:firstLine="482"/>
        <w:rPr>
          <w:rFonts w:hAnsi="宋体"/>
          <w:b/>
          <w:bCs/>
          <w:color w:val="auto"/>
        </w:rPr>
      </w:pPr>
    </w:p>
    <w:p w14:paraId="6CF6E31B">
      <w:pPr>
        <w:pStyle w:val="90"/>
        <w:ind w:firstLine="482"/>
        <w:rPr>
          <w:rFonts w:hAnsi="宋体"/>
          <w:b/>
          <w:bCs/>
          <w:color w:val="auto"/>
        </w:rPr>
      </w:pPr>
    </w:p>
    <w:p w14:paraId="081CC206">
      <w:pPr>
        <w:pStyle w:val="90"/>
        <w:ind w:firstLine="482"/>
        <w:rPr>
          <w:rFonts w:hAnsi="宋体"/>
          <w:b/>
          <w:bCs/>
          <w:color w:val="auto"/>
        </w:rPr>
      </w:pPr>
    </w:p>
    <w:p w14:paraId="6B68FD64">
      <w:pPr>
        <w:pStyle w:val="90"/>
        <w:ind w:firstLine="482"/>
        <w:rPr>
          <w:rFonts w:hAnsi="宋体"/>
          <w:b/>
          <w:bCs/>
          <w:color w:val="auto"/>
        </w:rPr>
      </w:pPr>
    </w:p>
    <w:p w14:paraId="1F8CDD66">
      <w:pPr>
        <w:pStyle w:val="90"/>
        <w:ind w:firstLine="482"/>
        <w:rPr>
          <w:rFonts w:hAnsi="宋体"/>
          <w:b/>
          <w:bCs/>
          <w:color w:val="auto"/>
        </w:rPr>
      </w:pPr>
    </w:p>
    <w:p w14:paraId="7C967BCC">
      <w:pPr>
        <w:pStyle w:val="90"/>
        <w:ind w:firstLine="482"/>
        <w:rPr>
          <w:rFonts w:hint="eastAsia" w:hAnsi="宋体"/>
          <w:b/>
          <w:bCs/>
          <w:color w:val="auto"/>
        </w:rPr>
      </w:pPr>
    </w:p>
    <w:p w14:paraId="1F899761">
      <w:pPr>
        <w:pStyle w:val="90"/>
        <w:ind w:firstLine="482"/>
        <w:rPr>
          <w:rFonts w:hint="eastAsia" w:hAnsi="宋体"/>
          <w:b/>
          <w:bCs/>
          <w:color w:val="auto"/>
        </w:rPr>
      </w:pPr>
    </w:p>
    <w:p w14:paraId="1E795B47">
      <w:pPr>
        <w:pStyle w:val="90"/>
        <w:ind w:firstLine="482"/>
        <w:rPr>
          <w:rFonts w:hint="eastAsia" w:hAnsi="宋体"/>
          <w:b/>
          <w:bCs/>
          <w:color w:val="auto"/>
        </w:rPr>
      </w:pPr>
    </w:p>
    <w:p w14:paraId="26E0D81F">
      <w:pPr>
        <w:pStyle w:val="90"/>
        <w:ind w:firstLine="482"/>
        <w:rPr>
          <w:rFonts w:hAnsi="宋体"/>
          <w:b/>
          <w:bCs/>
          <w:color w:val="auto"/>
        </w:rPr>
      </w:pPr>
    </w:p>
    <w:p w14:paraId="1B5E1E02">
      <w:pPr>
        <w:pStyle w:val="90"/>
        <w:ind w:firstLine="482"/>
        <w:rPr>
          <w:rFonts w:hAnsi="宋体"/>
          <w:b/>
          <w:bCs/>
          <w:color w:val="auto"/>
        </w:rPr>
      </w:pPr>
    </w:p>
    <w:p w14:paraId="09A16F27">
      <w:pPr>
        <w:autoSpaceDE w:val="0"/>
        <w:autoSpaceDN w:val="0"/>
        <w:adjustRightInd w:val="0"/>
        <w:spacing w:before="65" w:line="1000" w:lineRule="exact"/>
        <w:ind w:right="119"/>
        <w:rPr>
          <w:rFonts w:ascii="仿宋" w:hAnsi="仿宋" w:eastAsia="仿宋" w:cs="仿宋"/>
          <w:b/>
          <w:color w:val="auto"/>
          <w:sz w:val="28"/>
          <w:szCs w:val="28"/>
        </w:rPr>
      </w:pPr>
      <w:r>
        <w:rPr>
          <w:rFonts w:hint="eastAsia" w:ascii="仿宋" w:hAnsi="仿宋" w:eastAsia="仿宋" w:cs="仿宋"/>
          <w:b/>
          <w:color w:val="auto"/>
          <w:sz w:val="28"/>
          <w:szCs w:val="28"/>
        </w:rPr>
        <w:t>7、对项目理解、重点与难点分析及应对措施方案</w:t>
      </w:r>
    </w:p>
    <w:p w14:paraId="43834440">
      <w:pPr>
        <w:autoSpaceDE w:val="0"/>
        <w:autoSpaceDN w:val="0"/>
        <w:adjustRightInd w:val="0"/>
        <w:spacing w:before="65" w:line="1000" w:lineRule="exact"/>
        <w:ind w:right="119"/>
        <w:rPr>
          <w:rFonts w:ascii="仿宋" w:hAnsi="仿宋" w:eastAsia="仿宋" w:cs="仿宋"/>
          <w:b/>
          <w:color w:val="auto"/>
          <w:sz w:val="28"/>
          <w:szCs w:val="28"/>
        </w:rPr>
      </w:pPr>
      <w:r>
        <w:rPr>
          <w:rFonts w:hint="eastAsia" w:ascii="仿宋" w:hAnsi="仿宋" w:eastAsia="仿宋" w:cs="仿宋"/>
          <w:b/>
          <w:color w:val="auto"/>
          <w:sz w:val="28"/>
          <w:szCs w:val="28"/>
        </w:rPr>
        <w:t>8、总体技术方案</w:t>
      </w:r>
    </w:p>
    <w:p w14:paraId="654368F9">
      <w:pPr>
        <w:autoSpaceDE w:val="0"/>
        <w:autoSpaceDN w:val="0"/>
        <w:adjustRightInd w:val="0"/>
        <w:spacing w:before="65" w:line="1000" w:lineRule="exact"/>
        <w:ind w:right="119"/>
        <w:rPr>
          <w:rFonts w:ascii="仿宋" w:hAnsi="仿宋" w:eastAsia="仿宋" w:cs="仿宋"/>
          <w:b/>
          <w:color w:val="auto"/>
          <w:sz w:val="28"/>
          <w:szCs w:val="28"/>
        </w:rPr>
      </w:pPr>
      <w:r>
        <w:rPr>
          <w:rFonts w:hint="eastAsia" w:ascii="仿宋" w:hAnsi="仿宋" w:eastAsia="仿宋" w:cs="仿宋"/>
          <w:b/>
          <w:color w:val="auto"/>
          <w:sz w:val="28"/>
          <w:szCs w:val="28"/>
        </w:rPr>
        <w:t>9、质量保障</w:t>
      </w:r>
    </w:p>
    <w:p w14:paraId="540FCB6A">
      <w:pPr>
        <w:autoSpaceDE w:val="0"/>
        <w:autoSpaceDN w:val="0"/>
        <w:adjustRightInd w:val="0"/>
        <w:spacing w:before="65" w:line="1000" w:lineRule="exact"/>
        <w:ind w:right="119"/>
        <w:rPr>
          <w:rFonts w:ascii="仿宋" w:hAnsi="仿宋" w:eastAsia="仿宋" w:cs="仿宋"/>
          <w:b/>
          <w:color w:val="auto"/>
          <w:sz w:val="28"/>
          <w:szCs w:val="28"/>
        </w:rPr>
      </w:pPr>
      <w:r>
        <w:rPr>
          <w:rFonts w:hint="eastAsia" w:ascii="仿宋" w:hAnsi="仿宋" w:eastAsia="仿宋" w:cs="仿宋"/>
          <w:b/>
          <w:color w:val="auto"/>
          <w:sz w:val="28"/>
          <w:szCs w:val="28"/>
        </w:rPr>
        <w:t>10、</w:t>
      </w:r>
      <w:r>
        <w:rPr>
          <w:rFonts w:ascii="仿宋" w:hAnsi="仿宋" w:eastAsia="仿宋" w:cs="仿宋"/>
          <w:b/>
          <w:color w:val="auto"/>
          <w:sz w:val="28"/>
          <w:szCs w:val="28"/>
        </w:rPr>
        <w:t>项目管理团队服务方案</w:t>
      </w:r>
    </w:p>
    <w:p w14:paraId="2E9CEA0F">
      <w:pPr>
        <w:autoSpaceDE w:val="0"/>
        <w:autoSpaceDN w:val="0"/>
        <w:adjustRightInd w:val="0"/>
        <w:spacing w:before="65" w:line="1000" w:lineRule="exact"/>
        <w:ind w:right="119"/>
        <w:rPr>
          <w:rFonts w:ascii="仿宋" w:hAnsi="仿宋" w:eastAsia="仿宋" w:cs="仿宋"/>
          <w:b/>
          <w:color w:val="auto"/>
          <w:sz w:val="28"/>
          <w:szCs w:val="28"/>
        </w:rPr>
      </w:pPr>
      <w:r>
        <w:rPr>
          <w:rFonts w:hint="eastAsia" w:ascii="仿宋" w:hAnsi="仿宋" w:eastAsia="仿宋" w:cs="仿宋"/>
          <w:b/>
          <w:color w:val="auto"/>
          <w:sz w:val="28"/>
          <w:szCs w:val="28"/>
        </w:rPr>
        <w:t xml:space="preserve">11、管理制度  </w:t>
      </w:r>
    </w:p>
    <w:p w14:paraId="6A1A6F7A">
      <w:pPr>
        <w:autoSpaceDE w:val="0"/>
        <w:autoSpaceDN w:val="0"/>
        <w:adjustRightInd w:val="0"/>
        <w:spacing w:before="65" w:line="1000" w:lineRule="exact"/>
        <w:ind w:right="119"/>
        <w:rPr>
          <w:rFonts w:ascii="仿宋" w:hAnsi="仿宋" w:eastAsia="仿宋" w:cs="仿宋"/>
          <w:b/>
          <w:color w:val="auto"/>
          <w:sz w:val="28"/>
          <w:szCs w:val="28"/>
        </w:rPr>
      </w:pPr>
      <w:r>
        <w:rPr>
          <w:rFonts w:hint="eastAsia" w:ascii="仿宋" w:hAnsi="仿宋" w:eastAsia="仿宋" w:cs="仿宋"/>
          <w:b/>
          <w:color w:val="auto"/>
          <w:sz w:val="28"/>
          <w:szCs w:val="28"/>
        </w:rPr>
        <w:t>12、售后服务承诺</w:t>
      </w:r>
    </w:p>
    <w:p w14:paraId="4DC4FCF1">
      <w:pPr>
        <w:autoSpaceDE w:val="0"/>
        <w:autoSpaceDN w:val="0"/>
        <w:adjustRightInd w:val="0"/>
        <w:spacing w:before="65" w:line="1000" w:lineRule="exact"/>
        <w:ind w:right="119"/>
        <w:rPr>
          <w:rFonts w:ascii="仿宋" w:hAnsi="仿宋" w:eastAsia="仿宋" w:cs="仿宋"/>
          <w:b/>
          <w:color w:val="auto"/>
          <w:sz w:val="28"/>
          <w:szCs w:val="28"/>
        </w:rPr>
      </w:pPr>
      <w:r>
        <w:rPr>
          <w:rFonts w:hint="eastAsia" w:ascii="仿宋" w:hAnsi="仿宋" w:eastAsia="仿宋" w:cs="仿宋"/>
          <w:b/>
          <w:color w:val="auto"/>
          <w:sz w:val="28"/>
          <w:szCs w:val="28"/>
        </w:rPr>
        <w:t>13、其他资料</w:t>
      </w:r>
    </w:p>
    <w:p w14:paraId="09DE6C73">
      <w:pPr>
        <w:pStyle w:val="7"/>
        <w:ind w:firstLine="480"/>
        <w:rPr>
          <w:rFonts w:hAnsi="宋体" w:cs="宋体"/>
          <w:b/>
          <w:color w:val="auto"/>
          <w:szCs w:val="24"/>
        </w:rPr>
      </w:pPr>
    </w:p>
    <w:p w14:paraId="4ABB6DF9">
      <w:pPr>
        <w:snapToGrid w:val="0"/>
        <w:spacing w:line="720" w:lineRule="auto"/>
        <w:rPr>
          <w:rFonts w:ascii="宋体" w:hAnsi="宋体" w:cs="宋体"/>
          <w:b/>
          <w:color w:val="auto"/>
          <w:sz w:val="28"/>
          <w:szCs w:val="28"/>
        </w:rPr>
      </w:pPr>
    </w:p>
    <w:p w14:paraId="3A1C2349">
      <w:pPr>
        <w:pStyle w:val="7"/>
        <w:rPr>
          <w:rFonts w:hAnsi="宋体" w:cs="宋体"/>
          <w:b/>
          <w:color w:val="auto"/>
          <w:sz w:val="30"/>
          <w:szCs w:val="30"/>
        </w:rPr>
      </w:pPr>
    </w:p>
    <w:p w14:paraId="00E6184D">
      <w:pPr>
        <w:pStyle w:val="7"/>
        <w:rPr>
          <w:rFonts w:hAnsi="宋体" w:cs="宋体"/>
          <w:b/>
          <w:color w:val="auto"/>
          <w:sz w:val="30"/>
          <w:szCs w:val="30"/>
        </w:rPr>
      </w:pPr>
    </w:p>
    <w:p w14:paraId="01A499C9">
      <w:pPr>
        <w:pStyle w:val="7"/>
        <w:rPr>
          <w:rFonts w:hAnsi="宋体" w:cs="宋体"/>
          <w:b/>
          <w:color w:val="auto"/>
          <w:sz w:val="30"/>
          <w:szCs w:val="30"/>
        </w:rPr>
      </w:pPr>
    </w:p>
    <w:p w14:paraId="38545D99">
      <w:pPr>
        <w:pStyle w:val="7"/>
        <w:rPr>
          <w:rFonts w:hAnsi="宋体" w:cs="宋体"/>
          <w:b/>
          <w:color w:val="auto"/>
          <w:sz w:val="30"/>
          <w:szCs w:val="30"/>
        </w:rPr>
      </w:pPr>
    </w:p>
    <w:p w14:paraId="357B9B77">
      <w:pPr>
        <w:pStyle w:val="7"/>
        <w:rPr>
          <w:rFonts w:hAnsi="宋体" w:cs="宋体"/>
          <w:b/>
          <w:color w:val="auto"/>
          <w:sz w:val="30"/>
          <w:szCs w:val="30"/>
        </w:rPr>
      </w:pPr>
    </w:p>
    <w:p w14:paraId="68617F6C">
      <w:pPr>
        <w:pStyle w:val="7"/>
        <w:rPr>
          <w:rFonts w:hAnsi="宋体" w:cs="宋体"/>
          <w:b/>
          <w:color w:val="auto"/>
          <w:sz w:val="30"/>
          <w:szCs w:val="30"/>
        </w:rPr>
      </w:pPr>
    </w:p>
    <w:p w14:paraId="12BCD13B">
      <w:pPr>
        <w:pStyle w:val="7"/>
        <w:rPr>
          <w:rFonts w:hAnsi="宋体" w:cs="宋体"/>
          <w:b/>
          <w:color w:val="auto"/>
          <w:sz w:val="30"/>
          <w:szCs w:val="30"/>
        </w:rPr>
      </w:pPr>
    </w:p>
    <w:p w14:paraId="206C960F">
      <w:pPr>
        <w:rPr>
          <w:color w:val="auto"/>
        </w:rPr>
      </w:pPr>
    </w:p>
    <w:p w14:paraId="7E4D4323">
      <w:pPr>
        <w:pStyle w:val="7"/>
        <w:rPr>
          <w:rFonts w:hAnsi="宋体" w:cs="宋体"/>
          <w:b/>
          <w:color w:val="auto"/>
          <w:sz w:val="30"/>
          <w:szCs w:val="30"/>
        </w:rPr>
      </w:pPr>
    </w:p>
    <w:p w14:paraId="5E6C3919">
      <w:pPr>
        <w:pStyle w:val="7"/>
        <w:rPr>
          <w:rFonts w:hAnsi="宋体" w:cs="宋体"/>
          <w:b/>
          <w:color w:val="auto"/>
          <w:sz w:val="30"/>
          <w:szCs w:val="30"/>
        </w:rPr>
      </w:pPr>
    </w:p>
    <w:p w14:paraId="4763B870">
      <w:pPr>
        <w:pStyle w:val="7"/>
        <w:rPr>
          <w:rFonts w:hAnsi="宋体" w:cs="宋体"/>
          <w:b/>
          <w:color w:val="auto"/>
          <w:sz w:val="30"/>
          <w:szCs w:val="30"/>
        </w:rPr>
      </w:pPr>
    </w:p>
    <w:p w14:paraId="0AAC55A0">
      <w:pPr>
        <w:rPr>
          <w:color w:val="auto"/>
        </w:rPr>
      </w:pPr>
    </w:p>
    <w:p w14:paraId="01A462FC">
      <w:pPr>
        <w:pStyle w:val="7"/>
        <w:rPr>
          <w:rFonts w:hAnsi="宋体" w:cs="宋体"/>
          <w:b/>
          <w:color w:val="auto"/>
          <w:sz w:val="30"/>
          <w:szCs w:val="30"/>
        </w:rPr>
      </w:pPr>
    </w:p>
    <w:p w14:paraId="64058189">
      <w:pPr>
        <w:rPr>
          <w:color w:val="auto"/>
        </w:rPr>
      </w:pPr>
    </w:p>
    <w:p w14:paraId="28A260A1">
      <w:pPr>
        <w:pStyle w:val="15"/>
        <w:spacing w:line="360" w:lineRule="exact"/>
        <w:outlineLvl w:val="2"/>
        <w:rPr>
          <w:rFonts w:ascii="仿宋" w:hAnsi="仿宋" w:eastAsia="仿宋" w:cs="仿宋"/>
          <w:color w:val="auto"/>
          <w:sz w:val="24"/>
        </w:rPr>
      </w:pPr>
      <w:r>
        <w:rPr>
          <w:rFonts w:hint="eastAsia" w:ascii="仿宋" w:hAnsi="仿宋" w:eastAsia="仿宋" w:cs="仿宋"/>
          <w:b/>
          <w:color w:val="auto"/>
          <w:kern w:val="0"/>
          <w:sz w:val="24"/>
        </w:rPr>
        <w:t>投标文件格式范本</w:t>
      </w:r>
    </w:p>
    <w:p w14:paraId="61D5D365">
      <w:pPr>
        <w:spacing w:line="240" w:lineRule="atLeast"/>
        <w:outlineLvl w:val="2"/>
        <w:rPr>
          <w:rFonts w:ascii="宋体" w:hAnsi="宋体" w:cs="宋体"/>
          <w:b/>
          <w:color w:val="auto"/>
          <w:kern w:val="0"/>
          <w:sz w:val="24"/>
          <w:szCs w:val="20"/>
        </w:rPr>
      </w:pPr>
    </w:p>
    <w:tbl>
      <w:tblPr>
        <w:tblStyle w:val="36"/>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0248AAB1">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14:paraId="0311A8D1">
            <w:pPr>
              <w:pStyle w:val="10"/>
              <w:jc w:val="right"/>
              <w:rPr>
                <w:rFonts w:cs="宋体"/>
                <w:b/>
                <w:bCs/>
                <w:color w:val="auto"/>
                <w:sz w:val="28"/>
                <w:szCs w:val="28"/>
              </w:rPr>
            </w:pPr>
          </w:p>
          <w:p w14:paraId="2EDCDC9C">
            <w:pPr>
              <w:pStyle w:val="10"/>
              <w:ind w:firstLine="4216" w:firstLineChars="1500"/>
              <w:rPr>
                <w:rFonts w:cs="宋体"/>
                <w:b/>
                <w:bCs/>
                <w:color w:val="auto"/>
                <w:sz w:val="28"/>
                <w:szCs w:val="28"/>
              </w:rPr>
            </w:pPr>
          </w:p>
          <w:p w14:paraId="733112FF">
            <w:pPr>
              <w:pStyle w:val="10"/>
              <w:ind w:firstLine="4216" w:firstLineChars="1500"/>
              <w:rPr>
                <w:rFonts w:cs="宋体"/>
                <w:b/>
                <w:bCs/>
                <w:color w:val="auto"/>
                <w:sz w:val="28"/>
                <w:szCs w:val="28"/>
              </w:rPr>
            </w:pPr>
          </w:p>
          <w:p w14:paraId="617D974A">
            <w:pPr>
              <w:pStyle w:val="10"/>
              <w:rPr>
                <w:rFonts w:cs="宋体"/>
                <w:b/>
                <w:bCs/>
                <w:color w:val="auto"/>
                <w:sz w:val="28"/>
                <w:szCs w:val="28"/>
              </w:rPr>
            </w:pPr>
          </w:p>
          <w:p w14:paraId="7567F7DF">
            <w:pPr>
              <w:pStyle w:val="10"/>
              <w:ind w:firstLine="2530" w:firstLineChars="900"/>
              <w:rPr>
                <w:rFonts w:ascii="仿宋" w:hAnsi="仿宋" w:eastAsia="仿宋" w:cs="仿宋"/>
                <w:b/>
                <w:bCs/>
                <w:color w:val="auto"/>
                <w:sz w:val="28"/>
                <w:szCs w:val="28"/>
              </w:rPr>
            </w:pPr>
            <w:r>
              <w:rPr>
                <w:rFonts w:hint="eastAsia" w:ascii="仿宋" w:hAnsi="仿宋" w:eastAsia="仿宋" w:cs="仿宋"/>
                <w:b/>
                <w:bCs/>
                <w:color w:val="auto"/>
                <w:sz w:val="28"/>
                <w:szCs w:val="28"/>
              </w:rPr>
              <w:t>***** *** *** *** ***   项目</w:t>
            </w:r>
          </w:p>
          <w:p w14:paraId="37352A75">
            <w:pPr>
              <w:pStyle w:val="10"/>
              <w:jc w:val="center"/>
              <w:rPr>
                <w:rFonts w:ascii="仿宋" w:hAnsi="仿宋" w:eastAsia="仿宋" w:cs="仿宋"/>
                <w:b/>
                <w:bCs/>
                <w:color w:val="auto"/>
                <w:sz w:val="21"/>
                <w:szCs w:val="21"/>
              </w:rPr>
            </w:pPr>
          </w:p>
          <w:p w14:paraId="27E996ED">
            <w:pPr>
              <w:pStyle w:val="10"/>
              <w:ind w:firstLine="3162" w:firstLineChars="1500"/>
              <w:rPr>
                <w:rFonts w:ascii="仿宋" w:hAnsi="仿宋" w:eastAsia="仿宋" w:cs="仿宋"/>
                <w:b/>
                <w:bCs/>
                <w:color w:val="auto"/>
                <w:sz w:val="21"/>
                <w:szCs w:val="21"/>
              </w:rPr>
            </w:pPr>
            <w:r>
              <w:rPr>
                <w:rFonts w:hint="eastAsia" w:ascii="仿宋" w:hAnsi="仿宋" w:eastAsia="仿宋" w:cs="仿宋"/>
                <w:b/>
                <w:bCs/>
                <w:color w:val="auto"/>
                <w:sz w:val="21"/>
                <w:szCs w:val="21"/>
              </w:rPr>
              <w:t>编号*****************</w:t>
            </w:r>
          </w:p>
          <w:p w14:paraId="4CE102F4">
            <w:pPr>
              <w:pStyle w:val="10"/>
              <w:jc w:val="center"/>
              <w:rPr>
                <w:rFonts w:ascii="仿宋" w:hAnsi="仿宋" w:eastAsia="仿宋" w:cs="仿宋"/>
                <w:b/>
                <w:bCs/>
                <w:color w:val="auto"/>
                <w:sz w:val="48"/>
              </w:rPr>
            </w:pPr>
          </w:p>
          <w:p w14:paraId="5A1AC428">
            <w:pPr>
              <w:pStyle w:val="10"/>
              <w:jc w:val="center"/>
              <w:rPr>
                <w:rFonts w:ascii="仿宋" w:hAnsi="仿宋" w:eastAsia="仿宋" w:cs="仿宋"/>
                <w:b/>
                <w:bCs/>
                <w:color w:val="auto"/>
                <w:sz w:val="48"/>
              </w:rPr>
            </w:pPr>
            <w:r>
              <w:rPr>
                <w:rFonts w:hint="eastAsia" w:ascii="仿宋" w:hAnsi="仿宋" w:eastAsia="仿宋" w:cs="仿宋"/>
                <w:b/>
                <w:bCs/>
                <w:color w:val="auto"/>
                <w:sz w:val="48"/>
              </w:rPr>
              <w:t>投标文件</w:t>
            </w:r>
          </w:p>
          <w:p w14:paraId="36FE9733">
            <w:pPr>
              <w:jc w:val="center"/>
              <w:rPr>
                <w:rFonts w:ascii="仿宋" w:hAnsi="仿宋" w:eastAsia="仿宋" w:cs="仿宋"/>
                <w:b/>
                <w:color w:val="auto"/>
                <w:sz w:val="32"/>
              </w:rPr>
            </w:pPr>
          </w:p>
          <w:p w14:paraId="67D3D43E">
            <w:pPr>
              <w:pStyle w:val="7"/>
              <w:rPr>
                <w:rFonts w:ascii="仿宋" w:hAnsi="仿宋" w:eastAsia="仿宋" w:cs="仿宋"/>
                <w:b/>
                <w:color w:val="auto"/>
                <w:sz w:val="32"/>
              </w:rPr>
            </w:pPr>
          </w:p>
          <w:p w14:paraId="6AF1AE00">
            <w:pPr>
              <w:pStyle w:val="7"/>
              <w:rPr>
                <w:rFonts w:ascii="仿宋" w:hAnsi="仿宋" w:eastAsia="仿宋" w:cs="仿宋"/>
                <w:b/>
                <w:color w:val="auto"/>
                <w:sz w:val="32"/>
              </w:rPr>
            </w:pPr>
          </w:p>
          <w:p w14:paraId="2D4B214C">
            <w:pPr>
              <w:spacing w:line="360" w:lineRule="auto"/>
              <w:ind w:left="176" w:leftChars="84" w:firstLine="840" w:firstLineChars="400"/>
              <w:rPr>
                <w:rFonts w:ascii="仿宋" w:hAnsi="仿宋" w:eastAsia="仿宋" w:cs="仿宋"/>
                <w:color w:val="auto"/>
                <w:szCs w:val="21"/>
              </w:rPr>
            </w:pPr>
            <w:r>
              <w:rPr>
                <w:rFonts w:hint="eastAsia" w:ascii="仿宋" w:hAnsi="仿宋" w:eastAsia="仿宋" w:cs="仿宋"/>
                <w:color w:val="auto"/>
                <w:szCs w:val="21"/>
              </w:rPr>
              <w:t>投标单位：（公章）</w:t>
            </w:r>
          </w:p>
          <w:p w14:paraId="3DF6D896">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项目名称：</w:t>
            </w:r>
          </w:p>
          <w:p w14:paraId="4CCB8785">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项目编号：</w:t>
            </w:r>
          </w:p>
          <w:p w14:paraId="2709D92C">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联系人：</w:t>
            </w:r>
          </w:p>
          <w:p w14:paraId="4D66D6F7">
            <w:pPr>
              <w:spacing w:line="360" w:lineRule="auto"/>
              <w:ind w:left="176" w:leftChars="84" w:firstLine="840" w:firstLineChars="400"/>
              <w:rPr>
                <w:rFonts w:ascii="仿宋" w:hAnsi="仿宋" w:eastAsia="仿宋" w:cs="仿宋"/>
                <w:color w:val="auto"/>
                <w:szCs w:val="21"/>
              </w:rPr>
            </w:pPr>
            <w:r>
              <w:rPr>
                <w:rFonts w:hint="eastAsia" w:ascii="仿宋" w:hAnsi="仿宋" w:eastAsia="仿宋" w:cs="仿宋"/>
                <w:color w:val="auto"/>
                <w:szCs w:val="21"/>
              </w:rPr>
              <w:t>电话：</w:t>
            </w:r>
          </w:p>
          <w:p w14:paraId="262B6657">
            <w:pPr>
              <w:spacing w:line="360" w:lineRule="auto"/>
              <w:ind w:left="176" w:leftChars="84" w:firstLine="840" w:firstLineChars="400"/>
              <w:rPr>
                <w:rFonts w:ascii="仿宋" w:hAnsi="仿宋" w:eastAsia="仿宋" w:cs="仿宋"/>
                <w:color w:val="auto"/>
                <w:szCs w:val="21"/>
                <w:u w:val="single"/>
              </w:rPr>
            </w:pPr>
            <w:r>
              <w:rPr>
                <w:rFonts w:hint="eastAsia" w:ascii="仿宋" w:hAnsi="仿宋" w:eastAsia="仿宋" w:cs="仿宋"/>
                <w:color w:val="auto"/>
                <w:szCs w:val="21"/>
              </w:rPr>
              <w:t>地址：</w:t>
            </w:r>
          </w:p>
          <w:p w14:paraId="497AC9C7">
            <w:pPr>
              <w:spacing w:line="360" w:lineRule="auto"/>
              <w:ind w:left="176" w:leftChars="84" w:firstLine="960" w:firstLineChars="400"/>
              <w:rPr>
                <w:rFonts w:ascii="宋体" w:hAnsi="宋体" w:cs="宋体"/>
                <w:color w:val="auto"/>
                <w:sz w:val="24"/>
              </w:rPr>
            </w:pPr>
          </w:p>
          <w:p w14:paraId="3EF797FE">
            <w:pPr>
              <w:jc w:val="center"/>
              <w:rPr>
                <w:rFonts w:ascii="宋体" w:hAnsi="宋体" w:cs="宋体"/>
                <w:b/>
                <w:bCs/>
                <w:color w:val="auto"/>
              </w:rPr>
            </w:pPr>
          </w:p>
          <w:p w14:paraId="53F1FE81">
            <w:pPr>
              <w:jc w:val="center"/>
              <w:rPr>
                <w:rFonts w:ascii="宋体" w:hAnsi="宋体" w:cs="宋体"/>
                <w:b/>
                <w:bCs/>
                <w:color w:val="auto"/>
              </w:rPr>
            </w:pPr>
          </w:p>
          <w:p w14:paraId="5ED23283">
            <w:pPr>
              <w:jc w:val="center"/>
              <w:rPr>
                <w:rFonts w:ascii="宋体" w:hAnsi="宋体" w:cs="宋体"/>
                <w:b/>
                <w:bCs/>
                <w:color w:val="auto"/>
              </w:rPr>
            </w:pPr>
          </w:p>
        </w:tc>
      </w:tr>
    </w:tbl>
    <w:p w14:paraId="2ED2FB51">
      <w:pPr>
        <w:pStyle w:val="7"/>
        <w:rPr>
          <w:rFonts w:hAnsi="宋体" w:cs="宋体"/>
          <w:color w:val="auto"/>
        </w:rPr>
      </w:pPr>
    </w:p>
    <w:p w14:paraId="72F72163">
      <w:pPr>
        <w:spacing w:line="240" w:lineRule="atLeast"/>
        <w:ind w:left="1080" w:leftChars="257" w:hanging="540"/>
        <w:jc w:val="center"/>
        <w:rPr>
          <w:rFonts w:ascii="宋体" w:hAnsi="宋体" w:cs="宋体"/>
          <w:b/>
          <w:color w:val="auto"/>
          <w:sz w:val="48"/>
          <w:szCs w:val="48"/>
        </w:rPr>
      </w:pPr>
    </w:p>
    <w:p w14:paraId="3F185231">
      <w:pPr>
        <w:spacing w:line="240" w:lineRule="atLeast"/>
        <w:ind w:left="1080" w:leftChars="257" w:hanging="540"/>
        <w:jc w:val="center"/>
        <w:rPr>
          <w:rFonts w:ascii="宋体" w:hAnsi="宋体" w:cs="宋体"/>
          <w:b/>
          <w:color w:val="auto"/>
          <w:sz w:val="48"/>
          <w:szCs w:val="48"/>
        </w:rPr>
      </w:pPr>
    </w:p>
    <w:p w14:paraId="62B9C323">
      <w:pPr>
        <w:spacing w:line="240" w:lineRule="atLeast"/>
        <w:ind w:left="1080" w:leftChars="257" w:hanging="540"/>
        <w:jc w:val="center"/>
        <w:rPr>
          <w:rFonts w:ascii="宋体" w:hAnsi="宋体" w:cs="宋体"/>
          <w:b/>
          <w:color w:val="auto"/>
          <w:sz w:val="48"/>
          <w:szCs w:val="48"/>
        </w:rPr>
      </w:pPr>
    </w:p>
    <w:p w14:paraId="5E58EA01">
      <w:pPr>
        <w:spacing w:line="240" w:lineRule="atLeast"/>
        <w:ind w:left="1080" w:leftChars="257" w:hanging="540"/>
        <w:jc w:val="center"/>
        <w:rPr>
          <w:rFonts w:ascii="宋体" w:hAnsi="宋体" w:cs="宋体"/>
          <w:b/>
          <w:color w:val="auto"/>
          <w:sz w:val="48"/>
          <w:szCs w:val="48"/>
        </w:rPr>
      </w:pPr>
    </w:p>
    <w:p w14:paraId="5FAA39E7">
      <w:pPr>
        <w:pStyle w:val="7"/>
        <w:rPr>
          <w:rFonts w:hAnsi="宋体" w:cs="宋体"/>
          <w:b/>
          <w:color w:val="auto"/>
          <w:sz w:val="48"/>
          <w:szCs w:val="48"/>
        </w:rPr>
      </w:pPr>
    </w:p>
    <w:p w14:paraId="5577F076">
      <w:pPr>
        <w:pStyle w:val="7"/>
        <w:rPr>
          <w:rFonts w:hAnsi="宋体" w:cs="宋体"/>
          <w:b/>
          <w:color w:val="auto"/>
          <w:sz w:val="48"/>
          <w:szCs w:val="48"/>
        </w:rPr>
      </w:pPr>
    </w:p>
    <w:p w14:paraId="607B5C24">
      <w:pPr>
        <w:pStyle w:val="7"/>
        <w:rPr>
          <w:rFonts w:hAnsi="宋体" w:cs="宋体"/>
          <w:b/>
          <w:color w:val="auto"/>
          <w:sz w:val="48"/>
          <w:szCs w:val="48"/>
        </w:rPr>
      </w:pPr>
    </w:p>
    <w:p w14:paraId="1F8C30B6">
      <w:pPr>
        <w:pStyle w:val="7"/>
        <w:rPr>
          <w:rFonts w:hAnsi="宋体" w:cs="宋体"/>
          <w:b/>
          <w:color w:val="auto"/>
          <w:sz w:val="48"/>
          <w:szCs w:val="48"/>
        </w:rPr>
      </w:pPr>
    </w:p>
    <w:p w14:paraId="41BE3163">
      <w:pPr>
        <w:spacing w:line="240" w:lineRule="atLeast"/>
        <w:ind w:left="1080" w:leftChars="257" w:hanging="540"/>
        <w:jc w:val="center"/>
        <w:rPr>
          <w:rFonts w:ascii="宋体" w:hAnsi="宋体" w:cs="宋体"/>
          <w:b/>
          <w:color w:val="auto"/>
          <w:sz w:val="48"/>
          <w:szCs w:val="48"/>
        </w:rPr>
      </w:pPr>
    </w:p>
    <w:p w14:paraId="283D525F">
      <w:pPr>
        <w:spacing w:line="240" w:lineRule="atLeast"/>
        <w:ind w:left="1080" w:leftChars="257" w:hanging="540"/>
        <w:jc w:val="center"/>
        <w:rPr>
          <w:rFonts w:ascii="仿宋" w:hAnsi="仿宋" w:eastAsia="仿宋" w:cs="仿宋"/>
          <w:b/>
          <w:color w:val="auto"/>
          <w:sz w:val="48"/>
          <w:szCs w:val="48"/>
        </w:rPr>
      </w:pPr>
      <w:r>
        <w:rPr>
          <w:rFonts w:hint="eastAsia" w:ascii="仿宋" w:hAnsi="仿宋" w:eastAsia="仿宋" w:cs="仿宋"/>
          <w:b/>
          <w:color w:val="auto"/>
          <w:sz w:val="48"/>
          <w:szCs w:val="48"/>
        </w:rPr>
        <w:t>第二册</w:t>
      </w:r>
    </w:p>
    <w:p w14:paraId="303BF1D9">
      <w:pPr>
        <w:spacing w:line="240" w:lineRule="atLeast"/>
        <w:ind w:left="1080" w:leftChars="257" w:hanging="540"/>
        <w:rPr>
          <w:rFonts w:ascii="宋体" w:hAnsi="宋体" w:cs="宋体"/>
          <w:b/>
          <w:color w:val="auto"/>
          <w:sz w:val="28"/>
        </w:rPr>
      </w:pPr>
    </w:p>
    <w:p w14:paraId="25C7B00A">
      <w:pPr>
        <w:spacing w:line="240" w:lineRule="atLeast"/>
        <w:ind w:left="1080" w:leftChars="257" w:hanging="540"/>
        <w:rPr>
          <w:rFonts w:ascii="宋体" w:hAnsi="宋体" w:cs="宋体"/>
          <w:b/>
          <w:color w:val="auto"/>
          <w:sz w:val="28"/>
        </w:rPr>
      </w:pPr>
    </w:p>
    <w:p w14:paraId="74DB92F0">
      <w:pPr>
        <w:spacing w:line="240" w:lineRule="atLeast"/>
        <w:ind w:left="1080" w:leftChars="257" w:hanging="540"/>
        <w:rPr>
          <w:rFonts w:ascii="宋体" w:hAnsi="宋体" w:cs="宋体"/>
          <w:b/>
          <w:color w:val="auto"/>
          <w:sz w:val="28"/>
        </w:rPr>
      </w:pPr>
    </w:p>
    <w:p w14:paraId="2ED7F415">
      <w:pPr>
        <w:spacing w:line="240" w:lineRule="atLeast"/>
        <w:ind w:left="1080" w:leftChars="257" w:hanging="540"/>
        <w:rPr>
          <w:rFonts w:ascii="宋体" w:hAnsi="宋体" w:cs="宋体"/>
          <w:b/>
          <w:color w:val="auto"/>
          <w:sz w:val="28"/>
        </w:rPr>
      </w:pPr>
    </w:p>
    <w:p w14:paraId="7D5A3D06">
      <w:pPr>
        <w:spacing w:line="240" w:lineRule="atLeast"/>
        <w:ind w:left="1080" w:leftChars="257" w:hanging="540"/>
        <w:jc w:val="center"/>
        <w:rPr>
          <w:rFonts w:ascii="宋体" w:hAnsi="宋体" w:cs="宋体"/>
          <w:b/>
          <w:color w:val="auto"/>
          <w:sz w:val="52"/>
        </w:rPr>
      </w:pPr>
    </w:p>
    <w:p w14:paraId="650D45D8">
      <w:pPr>
        <w:spacing w:line="240" w:lineRule="atLeast"/>
        <w:ind w:left="1080" w:leftChars="257" w:hanging="540"/>
        <w:jc w:val="center"/>
        <w:rPr>
          <w:rFonts w:ascii="宋体" w:hAnsi="宋体" w:cs="宋体"/>
          <w:b/>
          <w:color w:val="auto"/>
          <w:sz w:val="52"/>
        </w:rPr>
      </w:pPr>
    </w:p>
    <w:p w14:paraId="5F3D0F97">
      <w:pPr>
        <w:spacing w:line="240" w:lineRule="atLeast"/>
        <w:ind w:left="1080" w:leftChars="257" w:hanging="540"/>
        <w:jc w:val="center"/>
        <w:rPr>
          <w:rFonts w:ascii="宋体" w:hAnsi="宋体" w:cs="宋体"/>
          <w:b/>
          <w:color w:val="auto"/>
          <w:sz w:val="52"/>
        </w:rPr>
      </w:pPr>
    </w:p>
    <w:p w14:paraId="3CC43208">
      <w:pPr>
        <w:spacing w:line="240" w:lineRule="atLeast"/>
        <w:ind w:left="1080" w:leftChars="257" w:hanging="540"/>
        <w:jc w:val="center"/>
        <w:rPr>
          <w:rFonts w:ascii="宋体" w:hAnsi="宋体" w:cs="宋体"/>
          <w:b/>
          <w:color w:val="auto"/>
          <w:sz w:val="52"/>
        </w:rPr>
      </w:pPr>
    </w:p>
    <w:p w14:paraId="6908B510">
      <w:pPr>
        <w:spacing w:line="240" w:lineRule="atLeast"/>
        <w:rPr>
          <w:rFonts w:ascii="宋体" w:hAnsi="宋体" w:cs="宋体"/>
          <w:b/>
          <w:color w:val="auto"/>
          <w:sz w:val="52"/>
        </w:rPr>
      </w:pPr>
    </w:p>
    <w:p w14:paraId="473B4304">
      <w:pPr>
        <w:pStyle w:val="7"/>
        <w:rPr>
          <w:rFonts w:hAnsi="宋体" w:cs="宋体"/>
          <w:b/>
          <w:color w:val="auto"/>
          <w:sz w:val="52"/>
        </w:rPr>
      </w:pPr>
    </w:p>
    <w:p w14:paraId="621B57E6">
      <w:pPr>
        <w:spacing w:line="240" w:lineRule="atLeast"/>
        <w:ind w:left="1080" w:leftChars="257" w:hanging="540"/>
        <w:jc w:val="center"/>
        <w:rPr>
          <w:rFonts w:ascii="宋体" w:hAnsi="宋体" w:cs="宋体"/>
          <w:b/>
          <w:color w:val="auto"/>
          <w:sz w:val="52"/>
        </w:rPr>
      </w:pPr>
    </w:p>
    <w:p w14:paraId="36659FBA">
      <w:pPr>
        <w:spacing w:line="240" w:lineRule="atLeast"/>
        <w:ind w:left="1080" w:leftChars="257" w:hanging="540"/>
        <w:jc w:val="center"/>
        <w:rPr>
          <w:rFonts w:ascii="宋体" w:hAnsi="宋体" w:cs="宋体"/>
          <w:b/>
          <w:color w:val="auto"/>
          <w:sz w:val="52"/>
        </w:rPr>
      </w:pPr>
    </w:p>
    <w:p w14:paraId="7BEFDBB1">
      <w:pPr>
        <w:rPr>
          <w:color w:val="auto"/>
        </w:rPr>
      </w:pPr>
    </w:p>
    <w:p w14:paraId="58147D7D">
      <w:pPr>
        <w:pStyle w:val="7"/>
        <w:ind w:firstLine="0"/>
        <w:rPr>
          <w:rFonts w:hAnsi="宋体" w:cs="宋体"/>
          <w:b/>
          <w:color w:val="auto"/>
          <w:sz w:val="52"/>
        </w:rPr>
      </w:pPr>
    </w:p>
    <w:p w14:paraId="17DAF892">
      <w:pPr>
        <w:pStyle w:val="3"/>
        <w:tabs>
          <w:tab w:val="left" w:pos="0"/>
          <w:tab w:val="left" w:pos="3165"/>
          <w:tab w:val="center" w:pos="4153"/>
        </w:tabs>
        <w:spacing w:before="0" w:after="0" w:line="240" w:lineRule="auto"/>
        <w:rPr>
          <w:rFonts w:ascii="仿宋" w:hAnsi="仿宋" w:eastAsia="仿宋" w:cs="仿宋"/>
          <w:color w:val="auto"/>
          <w:szCs w:val="32"/>
        </w:rPr>
      </w:pPr>
      <w:r>
        <w:rPr>
          <w:rFonts w:hint="eastAsia" w:ascii="仿宋" w:hAnsi="仿宋" w:eastAsia="仿宋" w:cs="仿宋"/>
          <w:color w:val="auto"/>
          <w:szCs w:val="32"/>
        </w:rPr>
        <w:t>第3章 招标公告</w:t>
      </w:r>
    </w:p>
    <w:p w14:paraId="71BCBF83">
      <w:pPr>
        <w:pStyle w:val="89"/>
        <w:widowControl/>
        <w:spacing w:line="240" w:lineRule="atLeast"/>
        <w:rPr>
          <w:rFonts w:ascii="仿宋" w:hAnsi="仿宋" w:eastAsia="仿宋" w:cs="仿宋"/>
          <w:color w:val="auto"/>
        </w:rPr>
      </w:pPr>
      <w:bookmarkStart w:id="300" w:name="_Toc507399903"/>
      <w:bookmarkStart w:id="301" w:name="_Toc515647830"/>
      <w:bookmarkStart w:id="302" w:name="_Toc10488"/>
      <w:bookmarkStart w:id="303" w:name="_Toc31583"/>
      <w:bookmarkStart w:id="304" w:name="_Toc216582823"/>
      <w:bookmarkStart w:id="305" w:name="_Toc20439"/>
      <w:bookmarkStart w:id="306" w:name="_Toc512937850"/>
      <w:r>
        <w:rPr>
          <w:rFonts w:hint="eastAsia" w:ascii="仿宋" w:hAnsi="仿宋" w:eastAsia="仿宋" w:cs="仿宋"/>
          <w:b/>
          <w:bCs/>
          <w:color w:val="auto"/>
        </w:rPr>
        <w:t>一、项目基本情况</w:t>
      </w:r>
    </w:p>
    <w:p w14:paraId="084E1AD7">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项目编号：</w:t>
      </w:r>
      <w:r>
        <w:rPr>
          <w:rFonts w:ascii="仿宋" w:hAnsi="仿宋" w:eastAsia="仿宋" w:cs="仿宋"/>
          <w:color w:val="auto"/>
        </w:rPr>
        <w:t>HZY-2026</w:t>
      </w:r>
      <w:r>
        <w:rPr>
          <w:rFonts w:hint="eastAsia" w:ascii="仿宋" w:hAnsi="仿宋" w:eastAsia="仿宋" w:cs="仿宋"/>
          <w:color w:val="auto"/>
        </w:rPr>
        <w:t>14</w:t>
      </w:r>
      <w:r>
        <w:rPr>
          <w:rFonts w:ascii="仿宋" w:hAnsi="仿宋" w:eastAsia="仿宋" w:cs="仿宋"/>
          <w:color w:val="auto"/>
        </w:rPr>
        <w:t>-</w:t>
      </w:r>
      <w:r>
        <w:rPr>
          <w:rFonts w:hint="eastAsia" w:ascii="仿宋" w:hAnsi="仿宋" w:eastAsia="仿宋" w:cs="仿宋"/>
          <w:color w:val="auto"/>
        </w:rPr>
        <w:t>GK</w:t>
      </w:r>
    </w:p>
    <w:p w14:paraId="72226C92">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项目名称：</w:t>
      </w:r>
      <w:r>
        <w:rPr>
          <w:rFonts w:hint="eastAsia" w:ascii="仿宋" w:hAnsi="仿宋" w:eastAsia="仿宋" w:cs="仿宋"/>
          <w:color w:val="auto"/>
        </w:rPr>
        <w:t>伽师县城镇单元详细规划1:500基础地形测绘项目 </w:t>
      </w:r>
    </w:p>
    <w:p w14:paraId="648F790F">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采购方式：公开招标 </w:t>
      </w:r>
    </w:p>
    <w:p w14:paraId="0B260D3D">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预算金额（元）：</w:t>
      </w:r>
      <w:r>
        <w:rPr>
          <w:rFonts w:hint="eastAsia" w:ascii="仿宋" w:hAnsi="仿宋" w:eastAsia="仿宋" w:cs="仿宋"/>
          <w:color w:val="auto"/>
          <w:lang w:bidi="ar"/>
        </w:rPr>
        <w:t>1760000.00</w:t>
      </w:r>
      <w:r>
        <w:rPr>
          <w:rFonts w:hint="eastAsia" w:ascii="仿宋" w:hAnsi="仿宋" w:eastAsia="仿宋" w:cs="仿宋"/>
          <w:color w:val="auto"/>
        </w:rPr>
        <w:t> </w:t>
      </w:r>
    </w:p>
    <w:p w14:paraId="5C372EC1">
      <w:pPr>
        <w:pStyle w:val="89"/>
        <w:widowControl/>
        <w:spacing w:line="380" w:lineRule="exact"/>
        <w:ind w:firstLine="480" w:firstLineChars="200"/>
        <w:rPr>
          <w:rFonts w:ascii="仿宋" w:hAnsi="仿宋" w:eastAsia="仿宋" w:cs="仿宋"/>
          <w:color w:val="auto"/>
          <w:lang w:bidi="ar"/>
        </w:rPr>
      </w:pPr>
      <w:r>
        <w:rPr>
          <w:rFonts w:hint="eastAsia" w:ascii="仿宋" w:hAnsi="仿宋" w:eastAsia="仿宋" w:cs="仿宋"/>
          <w:color w:val="auto"/>
        </w:rPr>
        <w:t>最高限价（元）：</w:t>
      </w:r>
      <w:r>
        <w:rPr>
          <w:rFonts w:hint="eastAsia" w:ascii="仿宋" w:hAnsi="仿宋" w:eastAsia="仿宋" w:cs="仿宋"/>
          <w:color w:val="auto"/>
          <w:lang w:bidi="ar"/>
        </w:rPr>
        <w:t>960000.00，800000.00，</w:t>
      </w:r>
    </w:p>
    <w:p w14:paraId="18FE23E4">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采购需求：</w:t>
      </w:r>
    </w:p>
    <w:p w14:paraId="0A8612F6">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标项1：</w:t>
      </w:r>
    </w:p>
    <w:p w14:paraId="0E7A1DE3">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标项名称：</w:t>
      </w:r>
      <w:r>
        <w:rPr>
          <w:rFonts w:hint="eastAsia" w:ascii="仿宋" w:hAnsi="仿宋" w:eastAsia="仿宋" w:cs="仿宋"/>
          <w:color w:val="auto"/>
        </w:rPr>
        <w:t>伽师县城镇单元详细规划1:500基础地形测绘项目（第一包：工业园区及建制镇）</w:t>
      </w:r>
    </w:p>
    <w:p w14:paraId="5FEE3C39">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数量:1</w:t>
      </w:r>
    </w:p>
    <w:p w14:paraId="05C3464E">
      <w:pPr>
        <w:pStyle w:val="89"/>
        <w:widowControl/>
        <w:spacing w:line="240" w:lineRule="atLeast"/>
        <w:ind w:firstLine="480"/>
        <w:rPr>
          <w:rFonts w:ascii="仿宋" w:hAnsi="仿宋" w:eastAsia="仿宋" w:cs="仿宋"/>
          <w:color w:val="auto"/>
          <w:lang w:bidi="ar"/>
        </w:rPr>
      </w:pPr>
      <w:r>
        <w:rPr>
          <w:rFonts w:hint="eastAsia" w:ascii="仿宋" w:hAnsi="仿宋" w:eastAsia="仿宋" w:cs="仿宋"/>
          <w:color w:val="auto"/>
        </w:rPr>
        <w:t>预算金额（元）:</w:t>
      </w:r>
      <w:r>
        <w:rPr>
          <w:rFonts w:hint="eastAsia" w:ascii="仿宋" w:hAnsi="仿宋" w:eastAsia="仿宋" w:cs="仿宋"/>
          <w:color w:val="auto"/>
          <w:lang w:bidi="ar"/>
        </w:rPr>
        <w:t xml:space="preserve"> 960000.00</w:t>
      </w:r>
    </w:p>
    <w:p w14:paraId="4064C69C">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单位：次</w:t>
      </w:r>
    </w:p>
    <w:p w14:paraId="3CD9E10F">
      <w:pPr>
        <w:pStyle w:val="89"/>
        <w:widowControl/>
        <w:spacing w:line="380" w:lineRule="exact"/>
        <w:ind w:firstLine="480" w:firstLineChars="200"/>
        <w:rPr>
          <w:rFonts w:ascii="仿宋" w:hAnsi="仿宋" w:eastAsia="仿宋" w:cs="仿宋"/>
          <w:color w:val="auto"/>
          <w:lang w:bidi="ar"/>
        </w:rPr>
      </w:pPr>
      <w:r>
        <w:rPr>
          <w:rFonts w:hint="eastAsia" w:ascii="仿宋" w:hAnsi="仿宋" w:eastAsia="仿宋" w:cs="仿宋"/>
          <w:color w:val="auto"/>
        </w:rPr>
        <w:t>简要规格描述或项目基本概况介绍、用途：</w:t>
      </w:r>
      <w:r>
        <w:rPr>
          <w:rFonts w:hint="eastAsia" w:ascii="仿宋" w:hAnsi="仿宋" w:eastAsia="仿宋" w:cs="仿宋"/>
          <w:color w:val="auto"/>
          <w:lang w:bidi="ar"/>
        </w:rPr>
        <w:t>完成伽师县工业园区及建制镇19.2平方公里的区域开展1:500基础地形数据测绘，为伽师县工业园区及建制镇详细规划编制提供数据支撑。</w:t>
      </w:r>
    </w:p>
    <w:p w14:paraId="5D751989">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标项2：</w:t>
      </w:r>
    </w:p>
    <w:p w14:paraId="4FAA3A3B">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标项名称：</w:t>
      </w:r>
      <w:r>
        <w:rPr>
          <w:rFonts w:hint="eastAsia" w:ascii="仿宋" w:hAnsi="仿宋" w:eastAsia="仿宋" w:cs="仿宋"/>
          <w:color w:val="auto"/>
        </w:rPr>
        <w:t>伽师县城镇单元详细规划1:500基础地形测绘项目（第二包：中心城区）</w:t>
      </w:r>
    </w:p>
    <w:p w14:paraId="5E3FBBEC">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数量:1</w:t>
      </w:r>
    </w:p>
    <w:p w14:paraId="1E99B6E7">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预算金额（元）:</w:t>
      </w:r>
      <w:r>
        <w:rPr>
          <w:rFonts w:ascii="仿宋" w:hAnsi="仿宋" w:eastAsia="仿宋" w:cs="仿宋"/>
          <w:color w:val="auto"/>
          <w:lang w:bidi="ar"/>
        </w:rPr>
        <w:t xml:space="preserve"> </w:t>
      </w:r>
      <w:r>
        <w:rPr>
          <w:rFonts w:hint="eastAsia" w:ascii="仿宋" w:hAnsi="仿宋" w:eastAsia="仿宋" w:cs="仿宋"/>
          <w:color w:val="auto"/>
          <w:lang w:bidi="ar"/>
        </w:rPr>
        <w:t>800000.00</w:t>
      </w:r>
      <w:r>
        <w:rPr>
          <w:rFonts w:hint="eastAsia" w:ascii="宋体" w:hAnsi="宋体" w:cs="宋体"/>
          <w:color w:val="auto"/>
          <w:lang w:bidi="ar"/>
        </w:rPr>
        <w:t>，</w:t>
      </w:r>
    </w:p>
    <w:p w14:paraId="293EFA73">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单位：次</w:t>
      </w:r>
    </w:p>
    <w:p w14:paraId="50FD657E">
      <w:pPr>
        <w:pStyle w:val="89"/>
        <w:widowControl/>
        <w:spacing w:line="380" w:lineRule="exact"/>
        <w:ind w:firstLine="480" w:firstLineChars="200"/>
        <w:rPr>
          <w:rFonts w:ascii="仿宋" w:hAnsi="仿宋" w:eastAsia="仿宋" w:cs="仿宋"/>
          <w:color w:val="auto"/>
          <w:lang w:bidi="ar"/>
        </w:rPr>
      </w:pPr>
      <w:r>
        <w:rPr>
          <w:rFonts w:hint="eastAsia" w:ascii="仿宋" w:hAnsi="仿宋" w:eastAsia="仿宋" w:cs="仿宋"/>
          <w:color w:val="auto"/>
        </w:rPr>
        <w:t>简要规格描述或项目基本概况介绍、用途：</w:t>
      </w:r>
      <w:r>
        <w:rPr>
          <w:rFonts w:hint="eastAsia" w:ascii="仿宋" w:hAnsi="仿宋" w:eastAsia="仿宋" w:cs="仿宋"/>
          <w:color w:val="auto"/>
        </w:rPr>
        <w:t>完成伽师县中心城区16平方公里的区域开展1:500基础地形数据测绘，为中心城区详细规划编制提供数据支撑。</w:t>
      </w:r>
    </w:p>
    <w:p w14:paraId="7D0C264F">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合同履约期限：标项 1、2，详见招标文件</w:t>
      </w:r>
    </w:p>
    <w:p w14:paraId="55084BD6">
      <w:pPr>
        <w:pStyle w:val="89"/>
        <w:widowControl/>
        <w:spacing w:line="240" w:lineRule="atLeast"/>
        <w:ind w:firstLine="480"/>
        <w:rPr>
          <w:rFonts w:ascii="宋体" w:hAnsi="宋体" w:cs="宋体"/>
          <w:color w:val="auto"/>
        </w:rPr>
      </w:pPr>
      <w:r>
        <w:rPr>
          <w:rFonts w:hint="eastAsia" w:ascii="仿宋" w:hAnsi="仿宋" w:eastAsia="仿宋" w:cs="仿宋"/>
          <w:color w:val="auto"/>
        </w:rPr>
        <w:t>本项目</w:t>
      </w:r>
      <w:r>
        <w:rPr>
          <w:rFonts w:hint="eastAsia" w:ascii="仿宋" w:hAnsi="仿宋" w:eastAsia="仿宋" w:cs="仿宋"/>
          <w:b/>
          <w:color w:val="auto"/>
        </w:rPr>
        <w:t>（否）</w:t>
      </w:r>
      <w:r>
        <w:rPr>
          <w:rFonts w:hint="eastAsia" w:ascii="仿宋" w:hAnsi="仿宋" w:eastAsia="仿宋" w:cs="仿宋"/>
          <w:color w:val="auto"/>
        </w:rPr>
        <w:t>接受联合体投标。</w:t>
      </w:r>
      <w:r>
        <w:rPr>
          <w:rFonts w:hint="eastAsia" w:ascii="宋体" w:hAnsi="宋体" w:cs="宋体"/>
          <w:color w:val="auto"/>
        </w:rPr>
        <w:t>  </w:t>
      </w:r>
    </w:p>
    <w:p w14:paraId="13107716">
      <w:pPr>
        <w:pStyle w:val="89"/>
        <w:widowControl/>
        <w:spacing w:line="240" w:lineRule="atLeast"/>
        <w:rPr>
          <w:rFonts w:ascii="仿宋" w:hAnsi="仿宋" w:eastAsia="仿宋" w:cs="仿宋"/>
          <w:b/>
          <w:bCs/>
          <w:color w:val="auto"/>
        </w:rPr>
      </w:pPr>
      <w:r>
        <w:rPr>
          <w:rFonts w:hint="eastAsia" w:ascii="仿宋" w:hAnsi="仿宋" w:eastAsia="仿宋" w:cs="仿宋"/>
          <w:b/>
          <w:bCs/>
          <w:color w:val="auto"/>
        </w:rPr>
        <w:t>二、申请人的资格要求：</w:t>
      </w:r>
    </w:p>
    <w:p w14:paraId="36BE41F7">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1.满足《中华人民共和国政府采购法》第二十二条规定；</w:t>
      </w:r>
    </w:p>
    <w:p w14:paraId="7F9B41D2">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2.落实政府采购政策需满足的资格要求：</w:t>
      </w:r>
      <w:r>
        <w:rPr>
          <w:rFonts w:hint="eastAsia" w:ascii="仿宋" w:hAnsi="仿宋" w:eastAsia="仿宋" w:cs="仿宋"/>
          <w:color w:val="auto"/>
        </w:rPr>
        <w:t>标项1、2，</w:t>
      </w:r>
      <w:r>
        <w:rPr>
          <w:rFonts w:ascii="仿宋" w:hAnsi="仿宋" w:eastAsia="仿宋" w:cs="仿宋"/>
          <w:color w:val="auto"/>
        </w:rPr>
        <w:t>本项目</w:t>
      </w:r>
      <w:r>
        <w:rPr>
          <w:rFonts w:hint="eastAsia" w:ascii="仿宋" w:hAnsi="仿宋" w:eastAsia="仿宋" w:cs="仿宋"/>
          <w:color w:val="auto"/>
        </w:rPr>
        <w:t>专门面向中小企业</w:t>
      </w:r>
      <w:r>
        <w:rPr>
          <w:rFonts w:ascii="仿宋" w:hAnsi="仿宋" w:eastAsia="仿宋" w:cs="仿宋"/>
          <w:color w:val="auto"/>
        </w:rPr>
        <w:t>。</w:t>
      </w:r>
      <w:r>
        <w:rPr>
          <w:rFonts w:hint="eastAsia" w:ascii="宋体" w:hAnsi="宋体" w:cs="宋体"/>
          <w:color w:val="auto"/>
        </w:rPr>
        <w:t> </w:t>
      </w:r>
    </w:p>
    <w:p w14:paraId="2598EB78">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3.本项目的特定资格要求：</w:t>
      </w:r>
      <w:r>
        <w:rPr>
          <w:rFonts w:hint="eastAsia" w:ascii="仿宋" w:hAnsi="仿宋" w:eastAsia="仿宋" w:cs="仿宋"/>
          <w:color w:val="auto"/>
        </w:rPr>
        <w:t>【标项1、2】须具备有效的测绘乙级及以上（含乙级）资质证书；</w:t>
      </w:r>
    </w:p>
    <w:p w14:paraId="02D7691C">
      <w:pPr>
        <w:pStyle w:val="89"/>
        <w:widowControl/>
        <w:spacing w:line="240" w:lineRule="atLeast"/>
        <w:ind w:firstLine="480"/>
        <w:rPr>
          <w:rFonts w:ascii="仿宋" w:hAnsi="仿宋" w:eastAsia="仿宋" w:cs="仿宋"/>
          <w:color w:val="auto"/>
        </w:rPr>
      </w:pPr>
      <w:r>
        <w:rPr>
          <w:rFonts w:hint="eastAsia" w:ascii="仿宋" w:hAnsi="仿宋" w:eastAsia="仿宋" w:cs="仿宋"/>
          <w:b/>
          <w:bCs/>
          <w:color w:val="auto"/>
        </w:rPr>
        <w:t>三、获取招标文件</w:t>
      </w:r>
    </w:p>
    <w:p w14:paraId="1995332C">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时间：</w:t>
      </w:r>
      <w:r>
        <w:rPr>
          <w:rFonts w:hint="eastAsia" w:ascii="仿宋" w:hAnsi="仿宋" w:eastAsia="仿宋" w:cs="仿宋"/>
          <w:color w:val="auto"/>
        </w:rPr>
        <w:t>2026年4月</w:t>
      </w:r>
      <w:r>
        <w:rPr>
          <w:rFonts w:hint="eastAsia" w:ascii="仿宋" w:hAnsi="仿宋" w:eastAsia="仿宋" w:cs="仿宋"/>
          <w:color w:val="auto"/>
          <w:lang w:val="en-US" w:eastAsia="zh-CN"/>
        </w:rPr>
        <w:t>3</w:t>
      </w:r>
      <w:r>
        <w:rPr>
          <w:rFonts w:hint="eastAsia" w:ascii="仿宋" w:hAnsi="仿宋" w:eastAsia="仿宋" w:cs="仿宋"/>
          <w:color w:val="auto"/>
        </w:rPr>
        <w:t>日至2026年4月</w:t>
      </w:r>
      <w:r>
        <w:rPr>
          <w:rFonts w:hint="eastAsia" w:ascii="仿宋" w:hAnsi="仿宋" w:eastAsia="仿宋" w:cs="仿宋"/>
          <w:color w:val="auto"/>
          <w:lang w:val="en-US" w:eastAsia="zh-CN"/>
        </w:rPr>
        <w:t>13</w:t>
      </w:r>
      <w:r>
        <w:rPr>
          <w:rFonts w:hint="eastAsia" w:ascii="仿宋" w:hAnsi="仿宋" w:eastAsia="仿宋" w:cs="仿宋"/>
          <w:color w:val="auto"/>
        </w:rPr>
        <w:t>日</w:t>
      </w:r>
      <w:r>
        <w:rPr>
          <w:rFonts w:hint="eastAsia" w:ascii="仿宋" w:hAnsi="仿宋" w:eastAsia="仿宋" w:cs="仿宋"/>
          <w:color w:val="auto"/>
        </w:rPr>
        <w:t>，每天上午00:00至14:00，下午14:00至23:59（北京时间，法定节假日除外）</w:t>
      </w:r>
    </w:p>
    <w:p w14:paraId="38C0BAD5">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地点：政采云平台线上（ http://www.ccgp-xinjiang.gov.cn /）</w:t>
      </w:r>
    </w:p>
    <w:p w14:paraId="4BF22C4D">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方式：供应商登录政采云平台https://www.zcygov.cn/在线申请获取采购文件（进入“项目采购”应用，在获取采购文件菜单中选择项目，申请获取采购文件）</w:t>
      </w:r>
    </w:p>
    <w:p w14:paraId="0B6E1EA7">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售价（元）：0</w:t>
      </w:r>
    </w:p>
    <w:p w14:paraId="3FA625E8">
      <w:pPr>
        <w:pStyle w:val="89"/>
        <w:widowControl/>
        <w:spacing w:line="240" w:lineRule="atLeast"/>
        <w:rPr>
          <w:rFonts w:ascii="仿宋" w:hAnsi="仿宋" w:eastAsia="仿宋" w:cs="仿宋"/>
          <w:b/>
          <w:bCs/>
          <w:color w:val="auto"/>
        </w:rPr>
      </w:pPr>
      <w:r>
        <w:rPr>
          <w:rFonts w:hint="eastAsia" w:ascii="仿宋" w:hAnsi="仿宋" w:eastAsia="仿宋" w:cs="仿宋"/>
          <w:b/>
          <w:bCs/>
          <w:color w:val="auto"/>
        </w:rPr>
        <w:t>四、提交投标文件截止时间、开标时间和地点</w:t>
      </w:r>
    </w:p>
    <w:p w14:paraId="1B14F4B6">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提交投标文件截止时间：</w:t>
      </w:r>
      <w:r>
        <w:rPr>
          <w:rFonts w:hint="eastAsia" w:ascii="仿宋" w:hAnsi="仿宋" w:eastAsia="仿宋" w:cs="仿宋"/>
          <w:color w:val="auto"/>
        </w:rPr>
        <w:t>2026年4月</w:t>
      </w:r>
      <w:r>
        <w:rPr>
          <w:rFonts w:hint="eastAsia" w:ascii="仿宋" w:hAnsi="仿宋" w:eastAsia="仿宋" w:cs="仿宋"/>
          <w:color w:val="auto"/>
          <w:lang w:val="en-US" w:eastAsia="zh-CN"/>
        </w:rPr>
        <w:t>23</w:t>
      </w:r>
      <w:r>
        <w:rPr>
          <w:rFonts w:hint="eastAsia" w:ascii="仿宋" w:hAnsi="仿宋" w:eastAsia="仿宋" w:cs="仿宋"/>
          <w:color w:val="auto"/>
        </w:rPr>
        <w:t>日11:00（</w:t>
      </w:r>
      <w:r>
        <w:rPr>
          <w:rFonts w:hint="eastAsia" w:ascii="仿宋" w:hAnsi="仿宋" w:eastAsia="仿宋" w:cs="仿宋"/>
          <w:color w:val="auto"/>
        </w:rPr>
        <w:t>北京时间）</w:t>
      </w:r>
    </w:p>
    <w:p w14:paraId="28372562">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投标地点：https://www.zcygov.cn在线投标</w:t>
      </w:r>
    </w:p>
    <w:p w14:paraId="2887E0AD">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开标时间</w:t>
      </w:r>
      <w:r>
        <w:rPr>
          <w:rFonts w:hint="eastAsia" w:ascii="仿宋" w:hAnsi="仿宋" w:eastAsia="仿宋" w:cs="仿宋"/>
          <w:color w:val="auto"/>
        </w:rPr>
        <w:t>：2026年4月</w:t>
      </w:r>
      <w:r>
        <w:rPr>
          <w:rFonts w:hint="eastAsia" w:ascii="仿宋" w:hAnsi="仿宋" w:eastAsia="仿宋" w:cs="仿宋"/>
          <w:color w:val="auto"/>
          <w:lang w:val="en-US" w:eastAsia="zh-CN"/>
        </w:rPr>
        <w:t>23</w:t>
      </w:r>
      <w:r>
        <w:rPr>
          <w:rFonts w:hint="eastAsia" w:ascii="仿宋" w:hAnsi="仿宋" w:eastAsia="仿宋" w:cs="仿宋"/>
          <w:color w:val="auto"/>
        </w:rPr>
        <w:t>日 11:00（北京时间</w:t>
      </w:r>
      <w:r>
        <w:rPr>
          <w:rFonts w:hint="eastAsia" w:ascii="仿宋" w:hAnsi="仿宋" w:eastAsia="仿宋" w:cs="仿宋"/>
          <w:color w:val="auto"/>
        </w:rPr>
        <w:t>）</w:t>
      </w:r>
    </w:p>
    <w:p w14:paraId="0A8E7EAF">
      <w:pPr>
        <w:pStyle w:val="89"/>
        <w:widowControl/>
        <w:spacing w:line="270" w:lineRule="atLeast"/>
        <w:ind w:firstLine="482"/>
        <w:rPr>
          <w:rFonts w:ascii="仿宋" w:hAnsi="仿宋" w:eastAsia="仿宋" w:cs="仿宋"/>
          <w:color w:val="auto"/>
        </w:rPr>
      </w:pPr>
      <w:r>
        <w:rPr>
          <w:rFonts w:hint="eastAsia" w:ascii="仿宋" w:hAnsi="仿宋" w:eastAsia="仿宋" w:cs="仿宋"/>
          <w:color w:val="auto"/>
        </w:rPr>
        <w:t>开标地点：投标人登录政采云平台https://www.zcygov.cn/，进入“项目采购-开标评标-右边选择对应项目点击“进入项目”进入开标大厅。</w:t>
      </w:r>
    </w:p>
    <w:p w14:paraId="3740B870">
      <w:pPr>
        <w:pStyle w:val="89"/>
        <w:widowControl/>
        <w:spacing w:line="240" w:lineRule="atLeast"/>
        <w:rPr>
          <w:rFonts w:ascii="仿宋" w:hAnsi="仿宋" w:eastAsia="仿宋" w:cs="仿宋"/>
          <w:color w:val="auto"/>
        </w:rPr>
      </w:pPr>
      <w:r>
        <w:rPr>
          <w:rFonts w:hint="eastAsia" w:ascii="仿宋" w:hAnsi="仿宋" w:eastAsia="仿宋" w:cs="仿宋"/>
          <w:b/>
          <w:bCs/>
          <w:color w:val="auto"/>
        </w:rPr>
        <w:t>五、公告期限</w:t>
      </w:r>
    </w:p>
    <w:p w14:paraId="0A70C32B">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自本公告发布之日起5个工作日。</w:t>
      </w:r>
    </w:p>
    <w:p w14:paraId="5C69A7C3">
      <w:pPr>
        <w:pStyle w:val="89"/>
        <w:widowControl/>
        <w:spacing w:line="240" w:lineRule="atLeast"/>
        <w:rPr>
          <w:rFonts w:ascii="仿宋" w:hAnsi="仿宋" w:eastAsia="仿宋" w:cs="仿宋"/>
          <w:color w:val="auto"/>
        </w:rPr>
      </w:pPr>
      <w:r>
        <w:rPr>
          <w:rFonts w:hint="eastAsia" w:ascii="仿宋" w:hAnsi="仿宋" w:eastAsia="仿宋" w:cs="仿宋"/>
          <w:b/>
          <w:bCs/>
          <w:color w:val="auto"/>
        </w:rPr>
        <w:t>六、其他补充事宜</w:t>
      </w:r>
    </w:p>
    <w:p w14:paraId="7EB77999">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仿宋"/>
          <w:color w:val="auto"/>
        </w:rPr>
        <w:br w:type="textWrapping"/>
      </w:r>
      <w:r>
        <w:rPr>
          <w:rFonts w:hint="eastAsia" w:ascii="仿宋" w:hAnsi="仿宋" w:eastAsia="仿宋" w:cs="仿宋"/>
          <w:color w:val="auto"/>
        </w:rPr>
        <w:t xml:space="preserve">   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14:paraId="0316881F">
      <w:pPr>
        <w:pStyle w:val="89"/>
        <w:widowControl/>
        <w:spacing w:line="240" w:lineRule="atLeast"/>
        <w:rPr>
          <w:rFonts w:ascii="仿宋" w:hAnsi="仿宋" w:eastAsia="仿宋" w:cs="仿宋"/>
          <w:color w:val="auto"/>
        </w:rPr>
      </w:pPr>
      <w:r>
        <w:rPr>
          <w:rFonts w:hint="eastAsia" w:ascii="仿宋" w:hAnsi="仿宋" w:eastAsia="仿宋" w:cs="仿宋"/>
          <w:b/>
          <w:bCs/>
          <w:color w:val="auto"/>
        </w:rPr>
        <w:t>七、对本次招标提出询问，请按以下方式联系</w:t>
      </w:r>
    </w:p>
    <w:p w14:paraId="496F9D8B">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1.采购人信息</w:t>
      </w:r>
    </w:p>
    <w:p w14:paraId="6B5F8CB2">
      <w:pPr>
        <w:pStyle w:val="89"/>
        <w:widowControl/>
        <w:spacing w:line="240" w:lineRule="atLeast"/>
        <w:ind w:firstLine="480"/>
        <w:rPr>
          <w:rFonts w:ascii="仿宋" w:hAnsi="仿宋" w:eastAsia="仿宋" w:cs="仿宋"/>
          <w:color w:val="auto"/>
        </w:rPr>
      </w:pPr>
      <w:bookmarkStart w:id="307" w:name="_Toc28359086"/>
      <w:bookmarkStart w:id="308" w:name="_Toc28359009"/>
      <w:r>
        <w:rPr>
          <w:rFonts w:hint="eastAsia" w:ascii="仿宋" w:hAnsi="仿宋" w:eastAsia="仿宋" w:cs="仿宋"/>
          <w:color w:val="auto"/>
        </w:rPr>
        <w:t>名 称：</w:t>
      </w:r>
      <w:r>
        <w:rPr>
          <w:rFonts w:hint="eastAsia" w:ascii="仿宋" w:hAnsi="仿宋" w:eastAsia="仿宋" w:cs="仿宋"/>
          <w:color w:val="auto"/>
        </w:rPr>
        <w:t>伽师县自然资源局</w:t>
      </w:r>
    </w:p>
    <w:p w14:paraId="45A2B66A">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地 址：</w:t>
      </w:r>
      <w:r>
        <w:rPr>
          <w:rFonts w:ascii="仿宋" w:hAnsi="仿宋" w:eastAsia="仿宋" w:cs="仿宋"/>
          <w:color w:val="auto"/>
        </w:rPr>
        <w:t>伽师县迎宾路30号</w:t>
      </w:r>
    </w:p>
    <w:p w14:paraId="6ACFB1D6">
      <w:pPr>
        <w:pStyle w:val="89"/>
        <w:widowControl/>
        <w:spacing w:line="240" w:lineRule="atLeast"/>
        <w:ind w:firstLine="480"/>
        <w:rPr>
          <w:rFonts w:hint="eastAsia" w:ascii="仿宋" w:hAnsi="仿宋" w:eastAsia="仿宋" w:cs="仿宋"/>
          <w:color w:val="auto"/>
          <w:lang w:eastAsia="zh-CN"/>
        </w:rPr>
      </w:pPr>
      <w:r>
        <w:rPr>
          <w:rFonts w:hint="eastAsia" w:ascii="仿宋" w:hAnsi="仿宋" w:eastAsia="仿宋" w:cs="仿宋"/>
          <w:color w:val="auto"/>
        </w:rPr>
        <w:t>联系方式：</w:t>
      </w:r>
      <w:r>
        <w:rPr>
          <w:rFonts w:hint="eastAsia" w:ascii="仿宋" w:hAnsi="仿宋" w:eastAsia="仿宋" w:cs="仿宋"/>
          <w:color w:val="auto"/>
          <w:lang w:eastAsia="zh-CN"/>
        </w:rPr>
        <w:t>13592652077</w:t>
      </w:r>
    </w:p>
    <w:bookmarkEnd w:id="307"/>
    <w:bookmarkEnd w:id="308"/>
    <w:p w14:paraId="2AAA00B6">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2.采购代理机构信息</w:t>
      </w:r>
    </w:p>
    <w:p w14:paraId="7211588D">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名 称：</w:t>
      </w:r>
      <w:r>
        <w:rPr>
          <w:rFonts w:hint="eastAsia" w:ascii="仿宋" w:hAnsi="仿宋" w:eastAsia="仿宋" w:cs="仿宋"/>
          <w:color w:val="auto"/>
        </w:rPr>
        <w:t>新疆惠中源项目管理有限公司 　</w:t>
      </w:r>
    </w:p>
    <w:p w14:paraId="65B66249">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rPr>
        <w:t>喀什经济开发区深喀大道总部经济区陕西大厦10楼1005室　</w:t>
      </w:r>
    </w:p>
    <w:p w14:paraId="23592F02">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联系方式：</w:t>
      </w:r>
      <w:bookmarkStart w:id="309" w:name="_Toc28359010"/>
      <w:bookmarkStart w:id="310" w:name="_Toc28359087"/>
      <w:r>
        <w:rPr>
          <w:rFonts w:hint="eastAsia" w:ascii="仿宋" w:hAnsi="仿宋" w:eastAsia="仿宋" w:cs="仿宋"/>
          <w:color w:val="auto"/>
        </w:rPr>
        <w:t>18999110912</w:t>
      </w:r>
    </w:p>
    <w:p w14:paraId="399CB7C2">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3.项目联系方式</w:t>
      </w:r>
      <w:bookmarkEnd w:id="309"/>
      <w:bookmarkEnd w:id="310"/>
    </w:p>
    <w:p w14:paraId="40326766">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项目联系人：于大海</w:t>
      </w:r>
    </w:p>
    <w:p w14:paraId="0826F800">
      <w:pPr>
        <w:pStyle w:val="89"/>
        <w:widowControl/>
        <w:spacing w:line="240" w:lineRule="atLeast"/>
        <w:ind w:firstLine="480"/>
        <w:rPr>
          <w:rFonts w:ascii="仿宋" w:hAnsi="仿宋" w:eastAsia="仿宋" w:cs="仿宋"/>
          <w:color w:val="auto"/>
        </w:rPr>
      </w:pPr>
      <w:r>
        <w:rPr>
          <w:rFonts w:hint="eastAsia" w:ascii="仿宋" w:hAnsi="仿宋" w:eastAsia="仿宋" w:cs="仿宋"/>
          <w:color w:val="auto"/>
        </w:rPr>
        <w:t>电　话：</w:t>
      </w:r>
      <w:r>
        <w:rPr>
          <w:rFonts w:hint="eastAsia" w:ascii="仿宋" w:hAnsi="仿宋" w:eastAsia="仿宋" w:cs="仿宋"/>
          <w:color w:val="auto"/>
        </w:rPr>
        <w:t>18999110912</w:t>
      </w:r>
    </w:p>
    <w:p w14:paraId="76ECAC8A">
      <w:pPr>
        <w:pStyle w:val="3"/>
        <w:tabs>
          <w:tab w:val="left" w:pos="0"/>
        </w:tabs>
        <w:spacing w:before="0" w:after="0" w:line="240" w:lineRule="atLeast"/>
        <w:rPr>
          <w:rFonts w:ascii="仿宋" w:hAnsi="仿宋" w:eastAsia="仿宋" w:cs="仿宋"/>
          <w:b w:val="0"/>
          <w:color w:val="auto"/>
          <w:szCs w:val="32"/>
        </w:rPr>
      </w:pPr>
      <w:r>
        <w:rPr>
          <w:rFonts w:hint="eastAsia" w:ascii="仿宋" w:hAnsi="仿宋" w:eastAsia="仿宋" w:cs="仿宋"/>
          <w:color w:val="auto"/>
        </w:rPr>
        <w:t>第4章 投标人须知资料表</w:t>
      </w:r>
      <w:bookmarkEnd w:id="300"/>
      <w:bookmarkEnd w:id="301"/>
      <w:bookmarkEnd w:id="302"/>
      <w:bookmarkEnd w:id="303"/>
      <w:bookmarkEnd w:id="304"/>
      <w:bookmarkEnd w:id="305"/>
    </w:p>
    <w:bookmarkEnd w:id="306"/>
    <w:p w14:paraId="39B39B39">
      <w:pPr>
        <w:spacing w:line="240" w:lineRule="atLeast"/>
        <w:ind w:left="1080" w:leftChars="257" w:hanging="540"/>
        <w:rPr>
          <w:rFonts w:ascii="仿宋" w:hAnsi="仿宋" w:eastAsia="仿宋" w:cs="仿宋"/>
          <w:color w:val="auto"/>
          <w:sz w:val="24"/>
        </w:rPr>
      </w:pPr>
    </w:p>
    <w:p w14:paraId="796C8C31">
      <w:pPr>
        <w:spacing w:line="240" w:lineRule="atLeast"/>
        <w:ind w:firstLine="330" w:firstLineChars="150"/>
        <w:rPr>
          <w:rFonts w:ascii="仿宋" w:hAnsi="仿宋" w:eastAsia="仿宋" w:cs="仿宋"/>
          <w:color w:val="auto"/>
          <w:sz w:val="22"/>
          <w:szCs w:val="22"/>
        </w:rPr>
      </w:pPr>
      <w:r>
        <w:rPr>
          <w:rFonts w:hint="eastAsia" w:ascii="仿宋" w:hAnsi="仿宋" w:eastAsia="仿宋" w:cs="仿宋"/>
          <w:color w:val="auto"/>
          <w:sz w:val="22"/>
          <w:szCs w:val="22"/>
        </w:rPr>
        <w:t xml:space="preserve"> 本表是本招标项目的具体资料，是对投标人须知的具体补充和修改，如有矛盾，应以本资料表为准。</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5C625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vAlign w:val="center"/>
          </w:tcPr>
          <w:p w14:paraId="24C94E77">
            <w:pPr>
              <w:spacing w:line="240" w:lineRule="atLeast"/>
              <w:ind w:firstLine="241" w:firstLineChars="100"/>
              <w:rPr>
                <w:rFonts w:ascii="仿宋" w:hAnsi="仿宋" w:eastAsia="仿宋" w:cs="宋体"/>
                <w:b/>
                <w:color w:val="auto"/>
                <w:sz w:val="24"/>
              </w:rPr>
            </w:pPr>
            <w:r>
              <w:rPr>
                <w:rFonts w:hint="eastAsia" w:ascii="仿宋" w:hAnsi="仿宋" w:eastAsia="仿宋" w:cs="宋体"/>
                <w:b/>
                <w:color w:val="auto"/>
                <w:sz w:val="24"/>
              </w:rPr>
              <w:t>条款号</w:t>
            </w:r>
          </w:p>
        </w:tc>
        <w:tc>
          <w:tcPr>
            <w:tcW w:w="7050" w:type="dxa"/>
            <w:vAlign w:val="center"/>
          </w:tcPr>
          <w:p w14:paraId="27813EBE">
            <w:pPr>
              <w:spacing w:line="240" w:lineRule="atLeast"/>
              <w:ind w:left="1080" w:leftChars="257" w:hanging="540"/>
              <w:jc w:val="center"/>
              <w:rPr>
                <w:rFonts w:ascii="仿宋" w:hAnsi="仿宋" w:eastAsia="仿宋" w:cs="宋体"/>
                <w:b/>
                <w:color w:val="auto"/>
                <w:sz w:val="24"/>
              </w:rPr>
            </w:pPr>
            <w:r>
              <w:rPr>
                <w:rFonts w:hint="eastAsia" w:ascii="仿宋" w:hAnsi="仿宋" w:eastAsia="仿宋" w:cs="宋体"/>
                <w:b/>
                <w:color w:val="auto"/>
                <w:sz w:val="24"/>
              </w:rPr>
              <w:t>内      容</w:t>
            </w:r>
          </w:p>
        </w:tc>
      </w:tr>
      <w:tr w14:paraId="4A8E7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14:paraId="0DF3B57C">
            <w:pPr>
              <w:spacing w:line="240" w:lineRule="atLeast"/>
              <w:ind w:left="1080" w:leftChars="257" w:hanging="540"/>
              <w:rPr>
                <w:rFonts w:ascii="宋体" w:hAnsi="宋体" w:cs="宋体"/>
                <w:color w:val="auto"/>
                <w:sz w:val="24"/>
              </w:rPr>
            </w:pPr>
            <w:r>
              <w:rPr>
                <w:rFonts w:hint="eastAsia" w:ascii="宋体" w:hAnsi="宋体" w:cs="宋体"/>
                <w:color w:val="auto"/>
                <w:sz w:val="24"/>
              </w:rPr>
              <w:t>1.1</w:t>
            </w:r>
          </w:p>
        </w:tc>
        <w:tc>
          <w:tcPr>
            <w:tcW w:w="7050" w:type="dxa"/>
            <w:vAlign w:val="center"/>
          </w:tcPr>
          <w:p w14:paraId="609521EB">
            <w:pPr>
              <w:spacing w:line="240" w:lineRule="atLeast"/>
              <w:rPr>
                <w:rFonts w:ascii="仿宋" w:hAnsi="仿宋" w:eastAsia="仿宋" w:cs="仿宋"/>
                <w:color w:val="auto"/>
                <w:sz w:val="24"/>
              </w:rPr>
            </w:pPr>
            <w:r>
              <w:rPr>
                <w:rFonts w:hint="eastAsia" w:ascii="仿宋" w:hAnsi="仿宋" w:eastAsia="仿宋" w:cs="仿宋"/>
                <w:color w:val="auto"/>
                <w:sz w:val="24"/>
              </w:rPr>
              <w:t>采 购 人：</w:t>
            </w:r>
            <w:r>
              <w:rPr>
                <w:rFonts w:hint="eastAsia" w:ascii="仿宋" w:hAnsi="仿宋" w:eastAsia="仿宋" w:cs="仿宋"/>
                <w:color w:val="auto"/>
                <w:sz w:val="24"/>
              </w:rPr>
              <w:t>伽师县自然资源局</w:t>
            </w:r>
            <w:r>
              <w:rPr>
                <w:rFonts w:hint="eastAsia" w:ascii="仿宋" w:hAnsi="仿宋" w:eastAsia="仿宋" w:cs="仿宋"/>
                <w:color w:val="auto"/>
                <w:sz w:val="24"/>
              </w:rPr>
              <w:t xml:space="preserve">　　　　 </w:t>
            </w:r>
          </w:p>
          <w:p w14:paraId="26D9A57D">
            <w:pPr>
              <w:spacing w:line="240" w:lineRule="atLeast"/>
              <w:rPr>
                <w:rFonts w:hint="eastAsia" w:ascii="仿宋" w:hAnsi="仿宋" w:eastAsia="仿宋" w:cs="仿宋"/>
                <w:color w:val="auto"/>
                <w:sz w:val="24"/>
                <w:lang w:eastAsia="zh-CN"/>
              </w:rPr>
            </w:pPr>
            <w:r>
              <w:rPr>
                <w:rFonts w:hint="eastAsia" w:ascii="仿宋" w:hAnsi="仿宋" w:eastAsia="仿宋" w:cs="仿宋"/>
                <w:color w:val="auto"/>
                <w:sz w:val="24"/>
              </w:rPr>
              <w:t>联系方式：</w:t>
            </w:r>
            <w:r>
              <w:rPr>
                <w:rFonts w:hint="eastAsia" w:ascii="仿宋" w:hAnsi="仿宋" w:eastAsia="仿宋" w:cs="仿宋"/>
                <w:color w:val="auto"/>
                <w:sz w:val="24"/>
                <w:lang w:eastAsia="zh-CN"/>
              </w:rPr>
              <w:t>13592652077</w:t>
            </w:r>
          </w:p>
        </w:tc>
      </w:tr>
      <w:tr w14:paraId="4C4EE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1E2CB112">
            <w:pPr>
              <w:spacing w:line="240" w:lineRule="atLeast"/>
              <w:ind w:left="1080" w:leftChars="257" w:hanging="540"/>
              <w:rPr>
                <w:rFonts w:ascii="宋体" w:hAnsi="宋体" w:cs="宋体"/>
                <w:color w:val="auto"/>
                <w:sz w:val="24"/>
              </w:rPr>
            </w:pPr>
            <w:r>
              <w:rPr>
                <w:rFonts w:hint="eastAsia" w:ascii="宋体" w:hAnsi="宋体" w:cs="宋体"/>
                <w:color w:val="auto"/>
                <w:sz w:val="24"/>
              </w:rPr>
              <w:t>1.2</w:t>
            </w:r>
          </w:p>
        </w:tc>
        <w:tc>
          <w:tcPr>
            <w:tcW w:w="7050" w:type="dxa"/>
            <w:vAlign w:val="center"/>
          </w:tcPr>
          <w:p w14:paraId="00C9223E">
            <w:pPr>
              <w:spacing w:line="240" w:lineRule="atLeast"/>
              <w:rPr>
                <w:rFonts w:ascii="仿宋" w:hAnsi="仿宋" w:eastAsia="仿宋" w:cs="仿宋"/>
                <w:color w:val="auto"/>
                <w:sz w:val="24"/>
              </w:rPr>
            </w:pPr>
            <w:r>
              <w:rPr>
                <w:rFonts w:hint="eastAsia" w:ascii="仿宋" w:hAnsi="仿宋" w:eastAsia="仿宋" w:cs="仿宋"/>
                <w:color w:val="auto"/>
                <w:sz w:val="24"/>
              </w:rPr>
              <w:t xml:space="preserve">采购代理机构：新疆惠中源项目管理有限公司 </w:t>
            </w:r>
          </w:p>
          <w:p w14:paraId="6BADBB87">
            <w:pPr>
              <w:spacing w:line="240" w:lineRule="atLeast"/>
              <w:rPr>
                <w:rFonts w:ascii="仿宋" w:hAnsi="仿宋" w:eastAsia="仿宋" w:cs="仿宋"/>
                <w:color w:val="auto"/>
                <w:sz w:val="24"/>
              </w:rPr>
            </w:pPr>
            <w:r>
              <w:rPr>
                <w:rFonts w:hint="eastAsia" w:ascii="仿宋" w:hAnsi="仿宋" w:eastAsia="仿宋" w:cs="仿宋"/>
                <w:color w:val="auto"/>
                <w:sz w:val="24"/>
              </w:rPr>
              <w:t>地址：喀什经济开发区深喀大道总部经济区陕西大厦10楼1005室</w:t>
            </w:r>
          </w:p>
          <w:p w14:paraId="25DB79E5">
            <w:pPr>
              <w:spacing w:line="240" w:lineRule="atLeast"/>
              <w:rPr>
                <w:rFonts w:ascii="仿宋" w:hAnsi="仿宋" w:eastAsia="仿宋" w:cs="仿宋"/>
                <w:color w:val="auto"/>
                <w:sz w:val="24"/>
              </w:rPr>
            </w:pPr>
            <w:r>
              <w:rPr>
                <w:rFonts w:hint="eastAsia" w:ascii="仿宋" w:hAnsi="仿宋" w:eastAsia="仿宋" w:cs="仿宋"/>
                <w:color w:val="auto"/>
                <w:sz w:val="24"/>
              </w:rPr>
              <w:t>业务联系人：</w:t>
            </w:r>
            <w:r>
              <w:rPr>
                <w:rFonts w:hint="eastAsia" w:ascii="仿宋" w:hAnsi="仿宋" w:eastAsia="仿宋" w:cs="仿宋"/>
                <w:color w:val="auto"/>
                <w:sz w:val="24"/>
              </w:rPr>
              <w:t xml:space="preserve">于大海 电话：18999110912 </w:t>
            </w:r>
          </w:p>
        </w:tc>
      </w:tr>
      <w:tr w14:paraId="5AEC5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vAlign w:val="center"/>
          </w:tcPr>
          <w:p w14:paraId="6ED83384">
            <w:pPr>
              <w:spacing w:line="240" w:lineRule="atLeast"/>
              <w:ind w:left="1080" w:leftChars="257" w:hanging="540"/>
              <w:rPr>
                <w:rFonts w:ascii="仿宋_GB2312" w:hAnsi="宋体" w:eastAsia="仿宋_GB2312" w:cs="宋体"/>
                <w:color w:val="auto"/>
                <w:sz w:val="24"/>
              </w:rPr>
            </w:pPr>
            <w:r>
              <w:rPr>
                <w:rFonts w:hint="eastAsia" w:ascii="仿宋_GB2312" w:hAnsi="宋体" w:eastAsia="仿宋_GB2312" w:cs="宋体"/>
                <w:color w:val="auto"/>
                <w:sz w:val="24"/>
              </w:rPr>
              <w:t>1.3.4</w:t>
            </w:r>
          </w:p>
        </w:tc>
        <w:tc>
          <w:tcPr>
            <w:tcW w:w="7050" w:type="dxa"/>
            <w:vAlign w:val="center"/>
          </w:tcPr>
          <w:p w14:paraId="409C9A2D">
            <w:pPr>
              <w:pStyle w:val="7"/>
              <w:ind w:firstLine="0"/>
              <w:rPr>
                <w:rFonts w:ascii="仿宋" w:hAnsi="仿宋" w:eastAsia="仿宋" w:cs="宋体"/>
                <w:b/>
                <w:bCs/>
                <w:color w:val="auto"/>
                <w:szCs w:val="24"/>
              </w:rPr>
            </w:pPr>
            <w:r>
              <w:rPr>
                <w:rFonts w:hint="eastAsia" w:ascii="仿宋" w:hAnsi="仿宋" w:eastAsia="仿宋"/>
                <w:b/>
                <w:color w:val="auto"/>
              </w:rPr>
              <w:t>合格投标人的资格要求：投标人必须符合《中华人民共和国政府采购法》第二十二条的相关规定</w:t>
            </w:r>
            <w:r>
              <w:rPr>
                <w:rFonts w:hint="eastAsia" w:ascii="仿宋" w:hAnsi="仿宋" w:eastAsia="仿宋" w:cs="宋体"/>
                <w:b/>
                <w:bCs/>
                <w:color w:val="auto"/>
                <w:szCs w:val="24"/>
              </w:rPr>
              <w:t>；</w:t>
            </w:r>
          </w:p>
          <w:p w14:paraId="2959643B">
            <w:pPr>
              <w:pStyle w:val="7"/>
              <w:ind w:firstLine="0"/>
              <w:rPr>
                <w:rFonts w:ascii="仿宋" w:hAnsi="仿宋" w:eastAsia="仿宋" w:cs="宋体"/>
                <w:b/>
                <w:bCs/>
                <w:color w:val="auto"/>
                <w:szCs w:val="24"/>
              </w:rPr>
            </w:pPr>
            <w:r>
              <w:rPr>
                <w:rFonts w:hint="eastAsia" w:ascii="仿宋" w:hAnsi="仿宋" w:eastAsia="仿宋" w:cs="宋体"/>
                <w:b/>
                <w:bCs/>
                <w:color w:val="auto"/>
                <w:szCs w:val="24"/>
              </w:rPr>
              <w:t>1.</w:t>
            </w:r>
            <w:r>
              <w:rPr>
                <w:rFonts w:hint="eastAsia" w:ascii="仿宋" w:hAnsi="仿宋" w:eastAsia="仿宋" w:cs="宋体"/>
                <w:b/>
                <w:bCs/>
                <w:color w:val="auto"/>
                <w:szCs w:val="24"/>
              </w:rPr>
              <w:t>合格三证合一营业执照；</w:t>
            </w:r>
          </w:p>
          <w:p w14:paraId="700DB435">
            <w:pPr>
              <w:pStyle w:val="7"/>
              <w:ind w:firstLine="0"/>
              <w:rPr>
                <w:rFonts w:ascii="仿宋" w:hAnsi="仿宋" w:eastAsia="仿宋" w:cs="宋体"/>
                <w:b/>
                <w:bCs/>
                <w:color w:val="auto"/>
                <w:szCs w:val="24"/>
              </w:rPr>
            </w:pPr>
            <w:r>
              <w:rPr>
                <w:rFonts w:hint="eastAsia" w:ascii="仿宋" w:hAnsi="仿宋" w:eastAsia="仿宋" w:cs="宋体"/>
                <w:b/>
                <w:bCs/>
                <w:color w:val="auto"/>
                <w:szCs w:val="24"/>
              </w:rPr>
              <w:t>2.</w:t>
            </w:r>
            <w:r>
              <w:rPr>
                <w:rFonts w:hint="eastAsia" w:ascii="仿宋" w:hAnsi="仿宋" w:eastAsia="仿宋" w:cs="宋体"/>
                <w:b/>
                <w:bCs/>
                <w:color w:val="auto"/>
                <w:szCs w:val="24"/>
              </w:rPr>
              <w:t>法人本人投标的需提供法定代表人身份证明书；被授权委托人需提供法人授权委托书；</w:t>
            </w:r>
          </w:p>
          <w:p w14:paraId="2D8AE0F7">
            <w:pPr>
              <w:pStyle w:val="7"/>
              <w:ind w:firstLine="0"/>
              <w:rPr>
                <w:rFonts w:ascii="仿宋" w:hAnsi="仿宋" w:eastAsia="仿宋" w:cs="宋体"/>
                <w:b/>
                <w:bCs/>
                <w:color w:val="auto"/>
                <w:szCs w:val="24"/>
              </w:rPr>
            </w:pPr>
            <w:r>
              <w:rPr>
                <w:rFonts w:hint="eastAsia" w:ascii="仿宋" w:hAnsi="仿宋" w:eastAsia="仿宋" w:cs="宋体"/>
                <w:b/>
                <w:bCs/>
                <w:color w:val="auto"/>
                <w:szCs w:val="24"/>
              </w:rPr>
              <w:t>3.</w:t>
            </w:r>
            <w:r>
              <w:rPr>
                <w:rFonts w:hint="eastAsia" w:ascii="仿宋" w:hAnsi="仿宋" w:eastAsia="仿宋" w:cs="宋体"/>
                <w:b/>
                <w:bCs/>
                <w:color w:val="auto"/>
                <w:szCs w:val="24"/>
              </w:rPr>
              <w:t>须具备有效的测绘乙级及以上（含乙级）资质证书；</w:t>
            </w:r>
          </w:p>
          <w:p w14:paraId="43CF5ECD">
            <w:pPr>
              <w:widowControl/>
              <w:spacing w:line="360" w:lineRule="exact"/>
              <w:jc w:val="left"/>
              <w:rPr>
                <w:rFonts w:ascii="仿宋" w:hAnsi="仿宋" w:eastAsia="仿宋" w:cs="宋体"/>
                <w:b/>
                <w:bCs/>
                <w:color w:val="auto"/>
                <w:kern w:val="0"/>
                <w:sz w:val="24"/>
              </w:rPr>
            </w:pPr>
            <w:r>
              <w:rPr>
                <w:rFonts w:hint="eastAsia" w:ascii="仿宋" w:hAnsi="仿宋" w:eastAsia="仿宋" w:cs="宋体"/>
                <w:b/>
                <w:bCs/>
                <w:color w:val="auto"/>
              </w:rPr>
              <w:t>4.</w:t>
            </w:r>
            <w:r>
              <w:rPr>
                <w:rFonts w:hint="eastAsia" w:ascii="仿宋" w:hAnsi="仿宋" w:eastAsia="仿宋" w:cs="宋体"/>
                <w:b/>
                <w:bCs/>
                <w:color w:val="auto"/>
                <w:kern w:val="0"/>
                <w:sz w:val="24"/>
              </w:rPr>
              <w:t>依法缴纳近六个月中任意一个月的社会保险社保缴纳凭证；依法缴纳近六个月任意一个月的完税证明；</w:t>
            </w:r>
          </w:p>
          <w:p w14:paraId="3F9953B7">
            <w:pPr>
              <w:widowControl/>
              <w:spacing w:line="360" w:lineRule="exact"/>
              <w:jc w:val="left"/>
              <w:rPr>
                <w:rFonts w:ascii="仿宋" w:hAnsi="仿宋" w:eastAsia="仿宋" w:cs="仿宋"/>
                <w:color w:val="auto"/>
                <w:sz w:val="24"/>
              </w:rPr>
            </w:pPr>
            <w:r>
              <w:rPr>
                <w:rFonts w:hint="eastAsia" w:ascii="仿宋" w:hAnsi="仿宋" w:eastAsia="仿宋" w:cs="宋体"/>
                <w:b/>
                <w:bCs/>
                <w:color w:val="auto"/>
              </w:rPr>
              <w:t>5.</w:t>
            </w:r>
            <w:r>
              <w:rPr>
                <w:rFonts w:hint="eastAsia" w:ascii="仿宋" w:hAnsi="仿宋" w:eastAsia="仿宋" w:cs="仿宋"/>
                <w:color w:val="auto"/>
                <w:sz w:val="24"/>
              </w:rPr>
              <w:t xml:space="preserve"> </w:t>
            </w:r>
            <w:r>
              <w:rPr>
                <w:rFonts w:hint="eastAsia" w:ascii="仿宋" w:hAnsi="仿宋" w:eastAsia="仿宋" w:cs="宋体"/>
                <w:b/>
                <w:bCs/>
                <w:color w:val="auto"/>
                <w:kern w:val="0"/>
                <w:sz w:val="24"/>
              </w:rPr>
              <w:t xml:space="preserve">2024年或2025年任意一年经会计事务所出具财务审计报告；（新成立的公司须提供近一个月的银行资信证明）； </w:t>
            </w:r>
          </w:p>
          <w:p w14:paraId="346429B7">
            <w:pPr>
              <w:pStyle w:val="7"/>
              <w:ind w:firstLine="0"/>
              <w:rPr>
                <w:rFonts w:ascii="仿宋" w:hAnsi="仿宋" w:eastAsia="仿宋" w:cs="宋体"/>
                <w:b/>
                <w:bCs/>
                <w:color w:val="auto"/>
                <w:szCs w:val="24"/>
              </w:rPr>
            </w:pPr>
            <w:r>
              <w:rPr>
                <w:rFonts w:hint="eastAsia" w:ascii="仿宋" w:hAnsi="仿宋" w:eastAsia="仿宋" w:cs="宋体"/>
                <w:b/>
                <w:bCs/>
                <w:color w:val="auto"/>
                <w:szCs w:val="24"/>
              </w:rPr>
              <w:t>6.</w:t>
            </w:r>
            <w:r>
              <w:rPr>
                <w:rFonts w:hint="eastAsia" w:ascii="仿宋" w:hAnsi="仿宋" w:eastAsia="仿宋" w:cs="仿宋"/>
                <w:color w:val="auto"/>
                <w:kern w:val="2"/>
              </w:rPr>
              <w:t xml:space="preserve"> </w:t>
            </w:r>
            <w:r>
              <w:rPr>
                <w:rFonts w:hint="eastAsia" w:ascii="仿宋" w:hAnsi="仿宋" w:eastAsia="仿宋" w:cs="宋体"/>
                <w:b/>
                <w:bCs/>
                <w:color w:val="auto"/>
                <w:szCs w:val="24"/>
              </w:rPr>
              <w:t>根据《财政部关于在政府采购活动中查询及使用信用记录有关问题的通知》（财库﹝</w:t>
            </w:r>
            <w:r>
              <w:rPr>
                <w:rFonts w:ascii="仿宋" w:hAnsi="仿宋" w:eastAsia="仿宋" w:cs="宋体"/>
                <w:b/>
                <w:bCs/>
                <w:color w:val="auto"/>
                <w:szCs w:val="24"/>
              </w:rPr>
              <w:t>2016</w:t>
            </w:r>
            <w:r>
              <w:rPr>
                <w:rFonts w:hint="eastAsia" w:ascii="仿宋" w:hAnsi="仿宋" w:eastAsia="仿宋" w:cs="宋体"/>
                <w:b/>
                <w:bCs/>
                <w:color w:val="auto"/>
                <w:szCs w:val="24"/>
              </w:rPr>
              <w:t>﹞</w:t>
            </w:r>
            <w:r>
              <w:rPr>
                <w:rFonts w:ascii="仿宋" w:hAnsi="仿宋" w:eastAsia="仿宋" w:cs="宋体"/>
                <w:b/>
                <w:bCs/>
                <w:color w:val="auto"/>
                <w:szCs w:val="24"/>
              </w:rPr>
              <w:t>125</w:t>
            </w:r>
            <w:r>
              <w:rPr>
                <w:rFonts w:hint="eastAsia" w:ascii="仿宋" w:hAnsi="仿宋" w:eastAsia="仿宋" w:cs="宋体"/>
                <w:b/>
                <w:bCs/>
                <w:color w:val="auto"/>
                <w:szCs w:val="24"/>
              </w:rPr>
              <w:t>号）的要求，凡拟参加本次招标项目的投标人，如在“信用中国”网站被列入失信被执行人、重大税收违法失信主体</w:t>
            </w:r>
            <w:r>
              <w:rPr>
                <w:rFonts w:ascii="仿宋" w:hAnsi="仿宋" w:eastAsia="仿宋" w:cs="宋体"/>
                <w:b/>
                <w:bCs/>
                <w:color w:val="auto"/>
                <w:szCs w:val="24"/>
              </w:rPr>
              <w:t>(</w:t>
            </w:r>
            <w:r>
              <w:rPr>
                <w:rFonts w:hint="eastAsia" w:ascii="仿宋" w:hAnsi="仿宋" w:eastAsia="仿宋" w:cs="宋体"/>
                <w:b/>
                <w:bCs/>
                <w:color w:val="auto"/>
                <w:szCs w:val="24"/>
              </w:rPr>
              <w:t>信用中国首页</w:t>
            </w:r>
            <w:r>
              <w:rPr>
                <w:rFonts w:ascii="仿宋" w:hAnsi="仿宋" w:eastAsia="仿宋" w:cs="宋体"/>
                <w:b/>
                <w:bCs/>
                <w:color w:val="auto"/>
                <w:szCs w:val="24"/>
              </w:rPr>
              <w:t>-</w:t>
            </w:r>
            <w:r>
              <w:rPr>
                <w:rFonts w:hint="eastAsia" w:ascii="仿宋" w:hAnsi="仿宋" w:eastAsia="仿宋" w:cs="宋体"/>
                <w:b/>
                <w:bCs/>
                <w:color w:val="auto"/>
                <w:szCs w:val="24"/>
              </w:rPr>
              <w:t>点击信用服务</w:t>
            </w:r>
            <w:r>
              <w:rPr>
                <w:rFonts w:ascii="仿宋" w:hAnsi="仿宋" w:eastAsia="仿宋" w:cs="宋体"/>
                <w:b/>
                <w:bCs/>
                <w:color w:val="auto"/>
                <w:szCs w:val="24"/>
              </w:rPr>
              <w:t>-</w:t>
            </w:r>
            <w:r>
              <w:rPr>
                <w:rFonts w:hint="eastAsia" w:ascii="仿宋" w:hAnsi="仿宋" w:eastAsia="仿宋" w:cs="宋体"/>
                <w:b/>
                <w:bCs/>
                <w:color w:val="auto"/>
                <w:szCs w:val="24"/>
              </w:rPr>
              <w:t>查询</w:t>
            </w:r>
            <w:r>
              <w:rPr>
                <w:rFonts w:ascii="仿宋" w:hAnsi="仿宋" w:eastAsia="仿宋" w:cs="宋体"/>
                <w:b/>
                <w:bCs/>
                <w:color w:val="auto"/>
                <w:szCs w:val="24"/>
              </w:rPr>
              <w:t>)</w:t>
            </w:r>
            <w:r>
              <w:rPr>
                <w:rFonts w:hint="eastAsia" w:ascii="仿宋" w:hAnsi="仿宋" w:eastAsia="仿宋" w:cs="宋体"/>
                <w:b/>
                <w:bCs/>
                <w:color w:val="auto"/>
                <w:szCs w:val="24"/>
              </w:rPr>
              <w:t>、“中国政府采购网“严重违法失信行为记录名单的（尚在处罚期内的）将拒绝其参加本次招标活动；附网站截图。</w:t>
            </w:r>
          </w:p>
          <w:p w14:paraId="031D4788">
            <w:pPr>
              <w:pStyle w:val="7"/>
              <w:ind w:firstLine="0"/>
              <w:rPr>
                <w:rFonts w:ascii="仿宋" w:hAnsi="仿宋" w:eastAsia="仿宋" w:cs="宋体"/>
                <w:b/>
                <w:bCs/>
                <w:color w:val="auto"/>
                <w:szCs w:val="24"/>
              </w:rPr>
            </w:pPr>
            <w:r>
              <w:rPr>
                <w:rFonts w:hint="eastAsia" w:ascii="仿宋" w:hAnsi="仿宋" w:eastAsia="仿宋" w:cs="宋体"/>
                <w:b/>
                <w:bCs/>
                <w:color w:val="auto"/>
                <w:szCs w:val="24"/>
              </w:rPr>
              <w:t>7.</w:t>
            </w:r>
            <w:r>
              <w:rPr>
                <w:rFonts w:hint="eastAsia" w:ascii="仿宋" w:hAnsi="仿宋" w:eastAsia="仿宋" w:cs="宋体"/>
                <w:b/>
                <w:bCs/>
                <w:color w:val="auto"/>
                <w:szCs w:val="24"/>
              </w:rPr>
              <w:t>提供针对本次项目《反商业贿赂承诺书》；</w:t>
            </w:r>
          </w:p>
          <w:p w14:paraId="173D8BF2">
            <w:pPr>
              <w:pStyle w:val="7"/>
              <w:ind w:firstLine="0"/>
              <w:rPr>
                <w:rFonts w:ascii="仿宋" w:hAnsi="仿宋" w:eastAsia="仿宋" w:cs="宋体"/>
                <w:b/>
                <w:bCs/>
                <w:color w:val="auto"/>
                <w:szCs w:val="24"/>
              </w:rPr>
            </w:pPr>
            <w:r>
              <w:rPr>
                <w:rFonts w:hint="eastAsia" w:ascii="仿宋" w:hAnsi="仿宋" w:eastAsia="仿宋" w:cs="宋体"/>
                <w:b/>
                <w:bCs/>
                <w:color w:val="auto"/>
                <w:szCs w:val="24"/>
              </w:rPr>
              <w:t>8.提供本单位</w:t>
            </w:r>
            <w:r>
              <w:rPr>
                <w:rFonts w:hint="eastAsia" w:ascii="仿宋" w:hAnsi="仿宋" w:eastAsia="仿宋" w:cs="宋体"/>
                <w:b/>
                <w:bCs/>
                <w:color w:val="auto"/>
                <w:szCs w:val="24"/>
              </w:rPr>
              <w:t>参加政府采购活动近3年内，在经营活动中没有重大违法记录的书面声明；</w:t>
            </w:r>
          </w:p>
          <w:p w14:paraId="58722589">
            <w:pPr>
              <w:pStyle w:val="7"/>
              <w:ind w:firstLine="0"/>
              <w:rPr>
                <w:rFonts w:ascii="仿宋" w:hAnsi="仿宋" w:eastAsia="仿宋" w:cs="宋体"/>
                <w:b/>
                <w:bCs/>
                <w:color w:val="auto"/>
                <w:szCs w:val="24"/>
              </w:rPr>
            </w:pPr>
            <w:r>
              <w:rPr>
                <w:rFonts w:hint="eastAsia" w:ascii="仿宋" w:hAnsi="仿宋" w:eastAsia="仿宋" w:cs="宋体"/>
                <w:b/>
                <w:bCs/>
                <w:color w:val="auto"/>
                <w:szCs w:val="24"/>
              </w:rPr>
              <w:t xml:space="preserve">9. 投标保证金缴纳凭证或投标担保函；   </w:t>
            </w:r>
          </w:p>
          <w:p w14:paraId="3C2FF102">
            <w:pPr>
              <w:pStyle w:val="7"/>
              <w:ind w:firstLine="0"/>
              <w:rPr>
                <w:rFonts w:hAnsi="宋体" w:cs="宋体"/>
                <w:color w:val="auto"/>
              </w:rPr>
            </w:pPr>
            <w:r>
              <w:rPr>
                <w:rFonts w:hint="eastAsia" w:ascii="仿宋" w:hAnsi="仿宋" w:eastAsia="仿宋" w:cs="宋体"/>
                <w:b/>
                <w:bCs/>
                <w:color w:val="auto"/>
                <w:szCs w:val="24"/>
              </w:rPr>
              <w:t xml:space="preserve">10.《中小企业声明函》。 </w:t>
            </w:r>
            <w:r>
              <w:rPr>
                <w:rFonts w:hint="eastAsia" w:hAnsi="宋体" w:cs="宋体"/>
                <w:b/>
                <w:bCs/>
                <w:color w:val="auto"/>
                <w:szCs w:val="24"/>
              </w:rPr>
              <w:t xml:space="preserve"> </w:t>
            </w:r>
            <w:r>
              <w:rPr>
                <w:rFonts w:hint="eastAsia" w:hAnsi="宋体" w:cs="宋体"/>
                <w:b/>
                <w:bCs/>
                <w:color w:val="auto"/>
                <w:szCs w:val="24"/>
              </w:rPr>
              <w:t xml:space="preserve"> </w:t>
            </w:r>
          </w:p>
        </w:tc>
      </w:tr>
      <w:tr w14:paraId="5DE55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vAlign w:val="center"/>
          </w:tcPr>
          <w:p w14:paraId="4C0E2769">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 xml:space="preserve">1.3.5   </w:t>
            </w:r>
          </w:p>
        </w:tc>
        <w:tc>
          <w:tcPr>
            <w:tcW w:w="7050" w:type="dxa"/>
            <w:vAlign w:val="center"/>
          </w:tcPr>
          <w:p w14:paraId="1A0DF5C9">
            <w:pPr>
              <w:spacing w:line="240" w:lineRule="atLeast"/>
              <w:rPr>
                <w:rFonts w:ascii="仿宋" w:hAnsi="仿宋" w:eastAsia="仿宋" w:cs="仿宋"/>
                <w:color w:val="auto"/>
                <w:sz w:val="24"/>
              </w:rPr>
            </w:pPr>
            <w:r>
              <w:rPr>
                <w:rFonts w:hint="eastAsia" w:ascii="仿宋" w:hAnsi="仿宋" w:eastAsia="仿宋" w:cs="仿宋"/>
                <w:color w:val="auto"/>
                <w:sz w:val="24"/>
              </w:rPr>
              <w:t>是否允许采购进口产品：</w:t>
            </w:r>
            <w:r>
              <w:rPr>
                <w:rFonts w:hint="eastAsia" w:ascii="仿宋" w:hAnsi="仿宋" w:eastAsia="仿宋" w:cs="仿宋"/>
                <w:b/>
                <w:color w:val="auto"/>
                <w:sz w:val="24"/>
                <w:u w:val="single"/>
              </w:rPr>
              <w:t xml:space="preserve"> 否</w:t>
            </w:r>
          </w:p>
        </w:tc>
      </w:tr>
      <w:tr w14:paraId="14A75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vAlign w:val="center"/>
          </w:tcPr>
          <w:p w14:paraId="5EF44C71">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1.3.6</w:t>
            </w:r>
          </w:p>
        </w:tc>
        <w:tc>
          <w:tcPr>
            <w:tcW w:w="7050" w:type="dxa"/>
            <w:vAlign w:val="center"/>
          </w:tcPr>
          <w:p w14:paraId="1C2ED429">
            <w:pPr>
              <w:spacing w:line="240" w:lineRule="atLeast"/>
              <w:rPr>
                <w:rFonts w:ascii="仿宋" w:hAnsi="仿宋" w:eastAsia="仿宋" w:cs="仿宋"/>
                <w:b/>
                <w:color w:val="auto"/>
                <w:sz w:val="24"/>
                <w:u w:val="single"/>
              </w:rPr>
            </w:pPr>
            <w:r>
              <w:rPr>
                <w:rFonts w:hint="eastAsia" w:ascii="仿宋" w:hAnsi="仿宋" w:eastAsia="仿宋" w:cs="仿宋"/>
                <w:color w:val="auto"/>
                <w:sz w:val="24"/>
              </w:rPr>
              <w:t>是否为专门面向中小企业采购：</w:t>
            </w:r>
            <w:r>
              <w:rPr>
                <w:rFonts w:hint="eastAsia" w:ascii="仿宋" w:hAnsi="仿宋" w:eastAsia="仿宋" w:cs="仿宋"/>
                <w:b/>
                <w:color w:val="auto"/>
                <w:sz w:val="24"/>
                <w:u w:val="single"/>
              </w:rPr>
              <w:t>是</w:t>
            </w:r>
            <w:r>
              <w:rPr>
                <w:rFonts w:hint="eastAsia" w:ascii="仿宋_GB2312" w:hAnsi="宋体" w:eastAsia="仿宋_GB2312" w:cs="宋体"/>
                <w:color w:val="auto"/>
                <w:sz w:val="24"/>
              </w:rPr>
              <w:t>（潜在投标人属于中小微企业的，请在投标文件中提供“</w:t>
            </w:r>
            <w:r>
              <w:rPr>
                <w:rFonts w:hint="eastAsia" w:ascii="仿宋_GB2312" w:hAnsi="宋体" w:eastAsia="仿宋_GB2312" w:cs="宋体"/>
                <w:color w:val="auto"/>
                <w:sz w:val="24"/>
              </w:rPr>
              <w:t>中小企业声明函”，如果未提供或提供虚假的“中小企业声明函”，投标人将承担由此造成的一切不利后果）。</w:t>
            </w:r>
          </w:p>
          <w:p w14:paraId="021F1223">
            <w:pPr>
              <w:spacing w:line="240" w:lineRule="atLeast"/>
              <w:rPr>
                <w:rFonts w:ascii="仿宋" w:hAnsi="仿宋" w:eastAsia="仿宋" w:cs="仿宋"/>
                <w:color w:val="auto"/>
                <w:sz w:val="24"/>
              </w:rPr>
            </w:pPr>
            <w:r>
              <w:rPr>
                <w:rFonts w:hint="eastAsia" w:ascii="仿宋_GB2312" w:hAnsi="宋体" w:eastAsia="仿宋_GB2312" w:cs="宋体"/>
                <w:color w:val="auto"/>
                <w:sz w:val="24"/>
              </w:rPr>
              <w:t>行业类型：</w:t>
            </w:r>
            <w:r>
              <w:rPr>
                <w:rFonts w:hint="eastAsia" w:ascii="仿宋_GB2312" w:hAnsi="宋体" w:eastAsia="仿宋_GB2312" w:cs="宋体"/>
                <w:b/>
                <w:color w:val="auto"/>
                <w:sz w:val="24"/>
              </w:rPr>
              <w:t>其他未列明行业。</w:t>
            </w:r>
          </w:p>
        </w:tc>
      </w:tr>
      <w:tr w14:paraId="16576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14:paraId="79A64E78">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1.4</w:t>
            </w:r>
          </w:p>
        </w:tc>
        <w:tc>
          <w:tcPr>
            <w:tcW w:w="7050" w:type="dxa"/>
            <w:vAlign w:val="center"/>
          </w:tcPr>
          <w:p w14:paraId="2759C565">
            <w:pPr>
              <w:spacing w:line="240" w:lineRule="atLeast"/>
              <w:rPr>
                <w:rFonts w:ascii="仿宋" w:hAnsi="仿宋" w:eastAsia="仿宋" w:cs="仿宋"/>
                <w:color w:val="auto"/>
                <w:sz w:val="24"/>
              </w:rPr>
            </w:pPr>
            <w:r>
              <w:rPr>
                <w:rFonts w:hint="eastAsia" w:ascii="仿宋" w:hAnsi="仿宋" w:eastAsia="仿宋" w:cs="仿宋"/>
                <w:color w:val="auto"/>
                <w:sz w:val="24"/>
              </w:rPr>
              <w:t>是否允许联合体投标</w:t>
            </w:r>
            <w:r>
              <w:rPr>
                <w:rFonts w:hint="eastAsia" w:ascii="仿宋" w:hAnsi="仿宋" w:eastAsia="仿宋" w:cs="仿宋"/>
                <w:color w:val="auto"/>
                <w:sz w:val="24"/>
              </w:rPr>
              <w:t>：</w:t>
            </w:r>
            <w:r>
              <w:rPr>
                <w:rFonts w:hint="eastAsia" w:ascii="仿宋" w:hAnsi="仿宋" w:eastAsia="仿宋" w:cs="仿宋"/>
                <w:b/>
                <w:color w:val="auto"/>
                <w:sz w:val="24"/>
                <w:u w:val="single"/>
              </w:rPr>
              <w:t xml:space="preserve">否 </w:t>
            </w:r>
            <w:r>
              <w:rPr>
                <w:rFonts w:hint="eastAsia" w:ascii="仿宋" w:hAnsi="仿宋" w:eastAsia="仿宋" w:cs="仿宋"/>
                <w:b/>
                <w:color w:val="auto"/>
                <w:sz w:val="24"/>
              </w:rPr>
              <w:t xml:space="preserve">  </w:t>
            </w:r>
          </w:p>
        </w:tc>
      </w:tr>
      <w:tr w14:paraId="30330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1468" w:type="dxa"/>
            <w:vAlign w:val="center"/>
          </w:tcPr>
          <w:p w14:paraId="3B62DFC8">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1.4.8</w:t>
            </w:r>
          </w:p>
        </w:tc>
        <w:tc>
          <w:tcPr>
            <w:tcW w:w="7050" w:type="dxa"/>
            <w:vAlign w:val="center"/>
          </w:tcPr>
          <w:p w14:paraId="14453B1E">
            <w:pPr>
              <w:spacing w:line="240" w:lineRule="atLeast"/>
              <w:rPr>
                <w:rFonts w:ascii="仿宋" w:hAnsi="仿宋" w:eastAsia="仿宋" w:cs="仿宋"/>
                <w:color w:val="auto"/>
                <w:sz w:val="24"/>
              </w:rPr>
            </w:pPr>
            <w:r>
              <w:rPr>
                <w:rFonts w:hint="eastAsia" w:ascii="仿宋" w:hAnsi="仿宋" w:eastAsia="仿宋" w:cs="仿宋"/>
                <w:color w:val="auto"/>
                <w:sz w:val="24"/>
              </w:rPr>
              <w:t>联合体的其他资格要求：无</w:t>
            </w:r>
          </w:p>
        </w:tc>
      </w:tr>
      <w:tr w14:paraId="5FA8D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1468" w:type="dxa"/>
            <w:vAlign w:val="center"/>
          </w:tcPr>
          <w:p w14:paraId="7E152BB3">
            <w:pPr>
              <w:widowControl/>
              <w:spacing w:line="300" w:lineRule="exact"/>
              <w:jc w:val="center"/>
              <w:rPr>
                <w:rFonts w:ascii="仿宋_GB2312" w:hAnsi="仿宋" w:eastAsia="仿宋_GB2312" w:cs="仿宋"/>
                <w:color w:val="auto"/>
                <w:sz w:val="24"/>
              </w:rPr>
            </w:pPr>
            <w:r>
              <w:rPr>
                <w:rFonts w:hint="eastAsia" w:ascii="仿宋_GB2312" w:hAnsi="仿宋" w:eastAsia="仿宋_GB2312" w:cs="仿宋"/>
                <w:color w:val="auto"/>
                <w:sz w:val="24"/>
              </w:rPr>
              <w:t>2.2</w:t>
            </w:r>
          </w:p>
        </w:tc>
        <w:tc>
          <w:tcPr>
            <w:tcW w:w="7050" w:type="dxa"/>
            <w:vAlign w:val="center"/>
          </w:tcPr>
          <w:p w14:paraId="63A72681">
            <w:pPr>
              <w:spacing w:line="240" w:lineRule="atLeast"/>
              <w:rPr>
                <w:rFonts w:ascii="仿宋" w:hAnsi="仿宋" w:eastAsia="仿宋" w:cs="仿宋"/>
                <w:color w:val="auto"/>
                <w:sz w:val="24"/>
              </w:rPr>
            </w:pPr>
            <w:r>
              <w:rPr>
                <w:rFonts w:hint="eastAsia" w:ascii="仿宋" w:hAnsi="仿宋" w:eastAsia="仿宋" w:cs="仿宋"/>
                <w:color w:val="auto"/>
                <w:sz w:val="24"/>
              </w:rPr>
              <w:t>第</w:t>
            </w:r>
            <w:r>
              <w:rPr>
                <w:rFonts w:hint="eastAsia" w:ascii="仿宋" w:hAnsi="仿宋" w:eastAsia="仿宋" w:cs="仿宋"/>
                <w:color w:val="auto"/>
                <w:sz w:val="24"/>
              </w:rPr>
              <w:t>一包预算价</w:t>
            </w:r>
            <w:r>
              <w:rPr>
                <w:rFonts w:hint="eastAsia" w:ascii="仿宋" w:hAnsi="仿宋" w:eastAsia="仿宋" w:cs="仿宋"/>
                <w:color w:val="auto"/>
                <w:sz w:val="24"/>
              </w:rPr>
              <w:t>960000.00</w:t>
            </w:r>
            <w:r>
              <w:rPr>
                <w:rFonts w:hint="eastAsia" w:ascii="仿宋" w:hAnsi="仿宋" w:eastAsia="仿宋" w:cs="仿宋"/>
                <w:color w:val="auto"/>
                <w:sz w:val="24"/>
              </w:rPr>
              <w:t>元；第一包最高限价</w:t>
            </w:r>
            <w:r>
              <w:rPr>
                <w:rFonts w:hint="eastAsia" w:ascii="仿宋" w:hAnsi="仿宋" w:eastAsia="仿宋" w:cs="仿宋"/>
                <w:color w:val="auto"/>
                <w:sz w:val="24"/>
              </w:rPr>
              <w:t>960000.00</w:t>
            </w:r>
            <w:r>
              <w:rPr>
                <w:rFonts w:hint="eastAsia" w:ascii="仿宋" w:hAnsi="仿宋" w:eastAsia="仿宋" w:cs="仿宋"/>
                <w:color w:val="auto"/>
                <w:sz w:val="24"/>
              </w:rPr>
              <w:t>元。</w:t>
            </w:r>
          </w:p>
          <w:p w14:paraId="50A9EBE1">
            <w:pPr>
              <w:spacing w:line="240" w:lineRule="atLeast"/>
              <w:rPr>
                <w:rFonts w:ascii="仿宋" w:hAnsi="仿宋" w:eastAsia="仿宋" w:cs="仿宋"/>
                <w:color w:val="auto"/>
                <w:sz w:val="24"/>
              </w:rPr>
            </w:pPr>
            <w:r>
              <w:rPr>
                <w:rFonts w:hint="eastAsia" w:ascii="仿宋" w:hAnsi="仿宋" w:eastAsia="仿宋" w:cs="仿宋"/>
                <w:color w:val="auto"/>
                <w:sz w:val="24"/>
              </w:rPr>
              <w:t>第二包预算价</w:t>
            </w:r>
            <w:r>
              <w:rPr>
                <w:rFonts w:hint="eastAsia" w:ascii="仿宋" w:hAnsi="仿宋" w:eastAsia="仿宋" w:cs="仿宋"/>
                <w:color w:val="auto"/>
                <w:sz w:val="24"/>
              </w:rPr>
              <w:t>800000.00</w:t>
            </w:r>
            <w:r>
              <w:rPr>
                <w:rFonts w:hint="eastAsia" w:ascii="仿宋" w:hAnsi="仿宋" w:eastAsia="仿宋" w:cs="仿宋"/>
                <w:color w:val="auto"/>
                <w:sz w:val="24"/>
              </w:rPr>
              <w:t>元；第二包最高限价</w:t>
            </w:r>
            <w:r>
              <w:rPr>
                <w:rFonts w:hint="eastAsia" w:ascii="仿宋" w:hAnsi="仿宋" w:eastAsia="仿宋" w:cs="仿宋"/>
                <w:color w:val="auto"/>
                <w:sz w:val="24"/>
              </w:rPr>
              <w:t>800000.00</w:t>
            </w:r>
            <w:r>
              <w:rPr>
                <w:rFonts w:hint="eastAsia" w:ascii="仿宋" w:hAnsi="仿宋" w:eastAsia="仿宋" w:cs="仿宋"/>
                <w:color w:val="auto"/>
                <w:sz w:val="24"/>
              </w:rPr>
              <w:t>元。</w:t>
            </w:r>
          </w:p>
        </w:tc>
      </w:tr>
      <w:tr w14:paraId="3AB71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1468" w:type="dxa"/>
            <w:vAlign w:val="center"/>
          </w:tcPr>
          <w:p w14:paraId="188EB7C7">
            <w:pPr>
              <w:spacing w:line="240" w:lineRule="atLeast"/>
              <w:ind w:left="1080" w:leftChars="257" w:hanging="540"/>
              <w:rPr>
                <w:rFonts w:ascii="宋体" w:hAnsi="宋体" w:cs="宋体"/>
                <w:b/>
                <w:bCs/>
                <w:color w:val="auto"/>
                <w:sz w:val="24"/>
              </w:rPr>
            </w:pPr>
            <w:r>
              <w:rPr>
                <w:rFonts w:hint="eastAsia" w:ascii="宋体" w:hAnsi="宋体" w:cs="宋体"/>
                <w:color w:val="auto"/>
                <w:sz w:val="24"/>
              </w:rPr>
              <w:t>8.1</w:t>
            </w:r>
          </w:p>
        </w:tc>
        <w:tc>
          <w:tcPr>
            <w:tcW w:w="7050" w:type="dxa"/>
            <w:vAlign w:val="center"/>
          </w:tcPr>
          <w:p w14:paraId="00A1ECC0">
            <w:pPr>
              <w:spacing w:line="240" w:lineRule="atLeast"/>
              <w:rPr>
                <w:rFonts w:ascii="宋体" w:hAnsi="宋体" w:cs="宋体"/>
                <w:b/>
                <w:bCs/>
                <w:color w:val="auto"/>
                <w:sz w:val="24"/>
              </w:rPr>
            </w:pPr>
            <w:r>
              <w:rPr>
                <w:rFonts w:hint="eastAsia" w:ascii="仿宋" w:hAnsi="仿宋" w:eastAsia="仿宋" w:cs="仿宋"/>
                <w:b/>
                <w:color w:val="auto"/>
                <w:sz w:val="24"/>
              </w:rPr>
              <w:t>投标人可以对多个分包进行投标，最多可以中标1个包（不可兼中兼得）</w:t>
            </w:r>
          </w:p>
        </w:tc>
      </w:tr>
      <w:tr w14:paraId="4736E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1468" w:type="dxa"/>
            <w:vAlign w:val="center"/>
          </w:tcPr>
          <w:p w14:paraId="1F71511E">
            <w:pPr>
              <w:spacing w:line="240" w:lineRule="atLeast"/>
              <w:ind w:firstLine="360" w:firstLineChars="150"/>
              <w:rPr>
                <w:rFonts w:ascii="仿宋_GB2312" w:hAnsi="仿宋" w:eastAsia="仿宋_GB2312" w:cs="仿宋"/>
                <w:color w:val="auto"/>
                <w:sz w:val="24"/>
              </w:rPr>
            </w:pPr>
            <w:r>
              <w:rPr>
                <w:rFonts w:hint="eastAsia" w:ascii="仿宋_GB2312" w:hAnsi="仿宋" w:eastAsia="仿宋_GB2312" w:cs="仿宋"/>
                <w:color w:val="auto"/>
                <w:sz w:val="24"/>
              </w:rPr>
              <w:t>12.1</w:t>
            </w:r>
          </w:p>
        </w:tc>
        <w:tc>
          <w:tcPr>
            <w:tcW w:w="7050" w:type="dxa"/>
            <w:vAlign w:val="center"/>
          </w:tcPr>
          <w:p w14:paraId="07129C5A">
            <w:pPr>
              <w:spacing w:line="360" w:lineRule="auto"/>
              <w:rPr>
                <w:rFonts w:ascii="仿宋" w:hAnsi="仿宋" w:eastAsia="仿宋" w:cs="仿宋"/>
                <w:color w:val="auto"/>
                <w:sz w:val="24"/>
              </w:rPr>
            </w:pPr>
            <w:r>
              <w:rPr>
                <w:rFonts w:hint="eastAsia" w:ascii="仿宋" w:hAnsi="仿宋" w:eastAsia="仿宋" w:cs="仿宋"/>
                <w:color w:val="auto"/>
                <w:sz w:val="24"/>
              </w:rPr>
              <w:t xml:space="preserve">保证金形式：☑电汇☑银行保函☑电子保函☑转账（本项目允许的其他形式） </w:t>
            </w:r>
          </w:p>
          <w:p w14:paraId="0AFCDCDC">
            <w:pPr>
              <w:spacing w:line="240" w:lineRule="atLeast"/>
              <w:rPr>
                <w:rFonts w:ascii="仿宋" w:hAnsi="仿宋" w:eastAsia="仿宋" w:cs="仿宋"/>
                <w:color w:val="auto"/>
                <w:sz w:val="24"/>
              </w:rPr>
            </w:pPr>
            <w:r>
              <w:rPr>
                <w:rFonts w:hint="eastAsia" w:ascii="仿宋" w:hAnsi="仿宋" w:eastAsia="仿宋" w:cs="仿宋"/>
                <w:color w:val="auto"/>
                <w:sz w:val="24"/>
              </w:rPr>
              <w:t>第一包保证金数额：</w:t>
            </w:r>
            <w:r>
              <w:rPr>
                <w:rFonts w:hint="eastAsia" w:ascii="仿宋" w:hAnsi="仿宋" w:eastAsia="仿宋" w:cs="仿宋"/>
                <w:b/>
                <w:color w:val="auto"/>
                <w:sz w:val="24"/>
              </w:rPr>
              <w:t>18000.00元（壹万捌仟元整）</w:t>
            </w:r>
            <w:r>
              <w:rPr>
                <w:rFonts w:hint="eastAsia" w:ascii="仿宋" w:hAnsi="仿宋" w:eastAsia="仿宋" w:cs="仿宋"/>
                <w:color w:val="auto"/>
                <w:sz w:val="24"/>
              </w:rPr>
              <w:t>；</w:t>
            </w:r>
          </w:p>
          <w:p w14:paraId="5C4F206F">
            <w:pPr>
              <w:spacing w:line="240" w:lineRule="atLeast"/>
              <w:rPr>
                <w:rFonts w:ascii="仿宋" w:hAnsi="仿宋" w:eastAsia="仿宋" w:cs="仿宋"/>
                <w:b/>
                <w:color w:val="auto"/>
                <w:sz w:val="24"/>
              </w:rPr>
            </w:pPr>
            <w:r>
              <w:rPr>
                <w:rFonts w:hint="eastAsia" w:ascii="仿宋" w:hAnsi="仿宋" w:eastAsia="仿宋" w:cs="仿宋"/>
                <w:color w:val="auto"/>
                <w:sz w:val="24"/>
              </w:rPr>
              <w:t>第二包保证金数额：</w:t>
            </w:r>
            <w:r>
              <w:rPr>
                <w:rFonts w:hint="eastAsia" w:ascii="仿宋" w:hAnsi="仿宋" w:eastAsia="仿宋" w:cs="仿宋"/>
                <w:b/>
                <w:color w:val="auto"/>
                <w:sz w:val="24"/>
              </w:rPr>
              <w:t>15000.00元（壹万伍仟元整）；</w:t>
            </w:r>
          </w:p>
          <w:p w14:paraId="426EB440">
            <w:pPr>
              <w:spacing w:before="43" w:line="243" w:lineRule="auto"/>
              <w:ind w:left="30" w:right="16"/>
              <w:rPr>
                <w:rFonts w:ascii="仿宋" w:hAnsi="仿宋" w:eastAsia="仿宋" w:cs="仿宋"/>
                <w:b/>
                <w:color w:val="auto"/>
                <w:sz w:val="24"/>
              </w:rPr>
            </w:pPr>
            <w:r>
              <w:rPr>
                <w:rFonts w:hint="eastAsia" w:ascii="仿宋" w:hAnsi="仿宋" w:eastAsia="仿宋" w:cs="仿宋"/>
                <w:snapToGrid w:val="0"/>
                <w:color w:val="auto"/>
                <w:sz w:val="24"/>
              </w:rPr>
              <w:t>开 户 名：</w:t>
            </w:r>
            <w:r>
              <w:rPr>
                <w:rFonts w:hint="eastAsia" w:ascii="仿宋" w:hAnsi="仿宋" w:eastAsia="仿宋" w:cs="仿宋"/>
                <w:b/>
                <w:snapToGrid w:val="0"/>
                <w:color w:val="auto"/>
                <w:sz w:val="24"/>
              </w:rPr>
              <w:t>新疆惠中源项目管理有限公司</w:t>
            </w:r>
          </w:p>
          <w:p w14:paraId="30F5427C">
            <w:pPr>
              <w:spacing w:before="43" w:line="243" w:lineRule="auto"/>
              <w:ind w:left="30" w:right="16"/>
              <w:rPr>
                <w:rFonts w:ascii="仿宋" w:hAnsi="仿宋" w:eastAsia="仿宋" w:cs="仿宋"/>
                <w:b/>
                <w:color w:val="auto"/>
                <w:sz w:val="24"/>
              </w:rPr>
            </w:pPr>
            <w:r>
              <w:rPr>
                <w:rFonts w:hint="eastAsia" w:ascii="仿宋" w:hAnsi="仿宋" w:eastAsia="仿宋" w:cs="仿宋"/>
                <w:snapToGrid w:val="0"/>
                <w:color w:val="auto"/>
                <w:sz w:val="24"/>
              </w:rPr>
              <w:t>开户银行：</w:t>
            </w:r>
            <w:r>
              <w:rPr>
                <w:rFonts w:hint="eastAsia" w:ascii="仿宋" w:hAnsi="仿宋" w:eastAsia="仿宋" w:cs="仿宋"/>
                <w:b/>
                <w:snapToGrid w:val="0"/>
                <w:color w:val="auto"/>
                <w:sz w:val="24"/>
              </w:rPr>
              <w:t>新疆农村商业银行股份有限公司喀什经开区支行</w:t>
            </w:r>
          </w:p>
          <w:p w14:paraId="72550155">
            <w:pPr>
              <w:spacing w:before="43" w:line="243" w:lineRule="auto"/>
              <w:ind w:left="30" w:right="16"/>
              <w:rPr>
                <w:rFonts w:ascii="仿宋" w:hAnsi="仿宋" w:eastAsia="仿宋" w:cs="仿宋"/>
                <w:b/>
                <w:color w:val="auto"/>
                <w:sz w:val="24"/>
              </w:rPr>
            </w:pPr>
            <w:r>
              <w:rPr>
                <w:rFonts w:hint="eastAsia" w:ascii="仿宋" w:hAnsi="仿宋" w:eastAsia="仿宋" w:cs="仿宋"/>
                <w:snapToGrid w:val="0"/>
                <w:color w:val="auto"/>
                <w:sz w:val="24"/>
              </w:rPr>
              <w:t>账    号：</w:t>
            </w:r>
            <w:r>
              <w:rPr>
                <w:rFonts w:ascii="仿宋" w:hAnsi="仿宋" w:eastAsia="仿宋" w:cs="仿宋"/>
                <w:b/>
                <w:snapToGrid w:val="0"/>
                <w:color w:val="auto"/>
                <w:sz w:val="24"/>
              </w:rPr>
              <w:t>860010012010115598702</w:t>
            </w:r>
          </w:p>
          <w:p w14:paraId="567AA53D">
            <w:pPr>
              <w:spacing w:before="43" w:line="243" w:lineRule="auto"/>
              <w:ind w:left="30" w:right="16"/>
              <w:rPr>
                <w:rFonts w:ascii="仿宋" w:hAnsi="仿宋" w:eastAsia="仿宋" w:cs="仿宋"/>
                <w:b/>
                <w:snapToGrid w:val="0"/>
                <w:color w:val="auto"/>
                <w:sz w:val="24"/>
              </w:rPr>
            </w:pPr>
            <w:r>
              <w:rPr>
                <w:rFonts w:hint="eastAsia" w:ascii="仿宋" w:hAnsi="仿宋" w:eastAsia="仿宋" w:cs="仿宋"/>
                <w:snapToGrid w:val="0"/>
                <w:color w:val="auto"/>
                <w:sz w:val="24"/>
              </w:rPr>
              <w:t>行     号：</w:t>
            </w:r>
            <w:r>
              <w:rPr>
                <w:rFonts w:ascii="仿宋" w:hAnsi="仿宋" w:eastAsia="仿宋" w:cs="仿宋"/>
                <w:b/>
                <w:snapToGrid w:val="0"/>
                <w:color w:val="auto"/>
                <w:sz w:val="24"/>
              </w:rPr>
              <w:t>402894000010</w:t>
            </w:r>
          </w:p>
          <w:p w14:paraId="3BB5926F">
            <w:pPr>
              <w:spacing w:line="240" w:lineRule="atLeast"/>
              <w:rPr>
                <w:rFonts w:ascii="仿宋_GB2312" w:hAnsi="宋体" w:eastAsia="仿宋_GB2312" w:cs="宋体"/>
                <w:color w:val="auto"/>
                <w:sz w:val="24"/>
              </w:rPr>
            </w:pPr>
            <w:r>
              <w:rPr>
                <w:rFonts w:hint="eastAsia" w:ascii="仿宋_GB2312" w:hAnsi="宋体" w:eastAsia="仿宋_GB2312" w:cs="宋体"/>
                <w:color w:val="auto"/>
                <w:sz w:val="24"/>
              </w:rPr>
              <w:t>到账截止时间：</w:t>
            </w:r>
            <w:r>
              <w:rPr>
                <w:rFonts w:hint="eastAsia" w:ascii="仿宋" w:hAnsi="仿宋" w:eastAsia="仿宋" w:cs="仿宋"/>
                <w:color w:val="auto"/>
                <w:sz w:val="24"/>
              </w:rPr>
              <w:t>同投标截止时间</w:t>
            </w:r>
          </w:p>
          <w:p w14:paraId="19FA1789">
            <w:pPr>
              <w:spacing w:line="240" w:lineRule="atLeast"/>
              <w:rPr>
                <w:rFonts w:ascii="仿宋_GB2312" w:hAnsi="宋体" w:eastAsia="仿宋_GB2312" w:cs="宋体"/>
                <w:color w:val="auto"/>
                <w:sz w:val="24"/>
              </w:rPr>
            </w:pPr>
            <w:r>
              <w:rPr>
                <w:rFonts w:hint="eastAsia" w:ascii="仿宋_GB2312" w:hAnsi="宋体" w:eastAsia="仿宋_GB2312" w:cs="宋体"/>
                <w:color w:val="auto"/>
                <w:sz w:val="24"/>
              </w:rPr>
              <w:t>打款后请联系我方确认是否到账</w:t>
            </w:r>
          </w:p>
          <w:p w14:paraId="3908E599">
            <w:pPr>
              <w:spacing w:line="240" w:lineRule="atLeast"/>
              <w:rPr>
                <w:rFonts w:ascii="仿宋" w:hAnsi="仿宋" w:eastAsia="仿宋" w:cs="仿宋"/>
                <w:snapToGrid w:val="0"/>
                <w:color w:val="auto"/>
                <w:sz w:val="24"/>
              </w:rPr>
            </w:pPr>
            <w:r>
              <w:rPr>
                <w:rFonts w:hint="eastAsia" w:ascii="仿宋_GB2312" w:hAnsi="宋体" w:eastAsia="仿宋_GB2312" w:cs="宋体"/>
                <w:color w:val="auto"/>
                <w:sz w:val="24"/>
              </w:rPr>
              <w:t>联系人：于大海     联系电话：</w:t>
            </w:r>
            <w:r>
              <w:rPr>
                <w:rFonts w:hint="eastAsia" w:ascii="仿宋" w:hAnsi="仿宋" w:eastAsia="仿宋" w:cs="仿宋"/>
                <w:snapToGrid w:val="0"/>
                <w:color w:val="auto"/>
                <w:sz w:val="24"/>
              </w:rPr>
              <w:t>18999110912</w:t>
            </w:r>
          </w:p>
          <w:p w14:paraId="54F030F9">
            <w:pPr>
              <w:spacing w:line="240" w:lineRule="atLeast"/>
              <w:rPr>
                <w:rFonts w:ascii="仿宋_GB2312" w:hAnsi="宋体" w:eastAsia="仿宋_GB2312" w:cs="宋体"/>
                <w:color w:val="auto"/>
                <w:sz w:val="24"/>
              </w:rPr>
            </w:pPr>
            <w:r>
              <w:rPr>
                <w:rFonts w:hint="eastAsia" w:ascii="仿宋_GB2312" w:hAnsi="宋体" w:eastAsia="仿宋_GB2312" w:cs="宋体"/>
                <w:color w:val="auto"/>
                <w:sz w:val="24"/>
              </w:rPr>
              <w:t>电汇或转账时请在汇款备注栏：项目名称或编号、包号 (如有) ，并注明是投标保证金。</w:t>
            </w:r>
          </w:p>
        </w:tc>
      </w:tr>
      <w:tr w14:paraId="14414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14:paraId="4A9074A0">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13.1</w:t>
            </w:r>
          </w:p>
        </w:tc>
        <w:tc>
          <w:tcPr>
            <w:tcW w:w="7050" w:type="dxa"/>
            <w:vAlign w:val="center"/>
          </w:tcPr>
          <w:p w14:paraId="5BC5D2AD">
            <w:pPr>
              <w:spacing w:line="240" w:lineRule="atLeast"/>
              <w:rPr>
                <w:rFonts w:ascii="仿宋" w:hAnsi="仿宋" w:eastAsia="仿宋" w:cs="仿宋"/>
                <w:color w:val="auto"/>
                <w:sz w:val="24"/>
                <w:u w:val="single"/>
              </w:rPr>
            </w:pPr>
            <w:r>
              <w:rPr>
                <w:rFonts w:hint="eastAsia" w:ascii="仿宋" w:hAnsi="仿宋" w:eastAsia="仿宋" w:cs="仿宋"/>
                <w:color w:val="auto"/>
                <w:sz w:val="24"/>
              </w:rPr>
              <w:t>投标有效期</w:t>
            </w:r>
            <w:r>
              <w:rPr>
                <w:rFonts w:hint="eastAsia" w:ascii="仿宋" w:hAnsi="仿宋" w:eastAsia="仿宋" w:cs="仿宋"/>
                <w:b/>
                <w:color w:val="auto"/>
                <w:sz w:val="24"/>
              </w:rPr>
              <w:t>：</w:t>
            </w:r>
            <w:r>
              <w:rPr>
                <w:rFonts w:hint="eastAsia" w:ascii="仿宋" w:hAnsi="仿宋" w:eastAsia="仿宋" w:cs="仿宋"/>
                <w:b/>
                <w:color w:val="auto"/>
                <w:sz w:val="24"/>
                <w:u w:val="single"/>
              </w:rPr>
              <w:t>90</w:t>
            </w:r>
            <w:r>
              <w:rPr>
                <w:rFonts w:hint="eastAsia" w:ascii="仿宋" w:hAnsi="仿宋" w:eastAsia="仿宋" w:cs="仿宋"/>
                <w:color w:val="auto"/>
                <w:sz w:val="24"/>
              </w:rPr>
              <w:t>日历日</w:t>
            </w:r>
          </w:p>
        </w:tc>
      </w:tr>
      <w:tr w14:paraId="4D6E4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14:paraId="0A132B9E">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14.1</w:t>
            </w:r>
          </w:p>
        </w:tc>
        <w:tc>
          <w:tcPr>
            <w:tcW w:w="7050" w:type="dxa"/>
            <w:vAlign w:val="center"/>
          </w:tcPr>
          <w:p w14:paraId="4A7DAC9B">
            <w:pPr>
              <w:spacing w:line="240" w:lineRule="atLeast"/>
              <w:rPr>
                <w:rFonts w:ascii="仿宋" w:hAnsi="仿宋" w:eastAsia="仿宋" w:cs="仿宋"/>
                <w:color w:val="auto"/>
                <w:sz w:val="24"/>
              </w:rPr>
            </w:pPr>
            <w:r>
              <w:rPr>
                <w:rFonts w:hint="eastAsia" w:ascii="仿宋" w:hAnsi="仿宋" w:eastAsia="仿宋" w:cs="仿宋"/>
                <w:color w:val="auto"/>
                <w:sz w:val="24"/>
              </w:rPr>
              <w:t>本项目实行全流程电子化“不见面”网上开标，请各潜在投标人自行下载学习（新疆政府采购网下载专区）注：投标截止时间前按要求在政采云上传电子版投标文件。</w:t>
            </w:r>
          </w:p>
        </w:tc>
      </w:tr>
      <w:tr w14:paraId="3C82C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14:paraId="32EA9B1E">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16.1</w:t>
            </w:r>
          </w:p>
        </w:tc>
        <w:tc>
          <w:tcPr>
            <w:tcW w:w="7050" w:type="dxa"/>
            <w:vAlign w:val="center"/>
          </w:tcPr>
          <w:p w14:paraId="5240030D">
            <w:pPr>
              <w:spacing w:line="240" w:lineRule="atLeast"/>
              <w:rPr>
                <w:rFonts w:ascii="仿宋" w:hAnsi="仿宋" w:eastAsia="仿宋" w:cs="仿宋"/>
                <w:color w:val="auto"/>
                <w:sz w:val="24"/>
              </w:rPr>
            </w:pPr>
            <w:r>
              <w:rPr>
                <w:rFonts w:hint="eastAsia" w:ascii="仿宋" w:hAnsi="仿宋" w:eastAsia="仿宋" w:cs="仿宋"/>
                <w:color w:val="auto"/>
                <w:sz w:val="24"/>
              </w:rPr>
              <w:t>投标截止时间：</w:t>
            </w:r>
            <w:r>
              <w:rPr>
                <w:rFonts w:hint="eastAsia" w:ascii="仿宋" w:hAnsi="仿宋" w:eastAsia="仿宋" w:cs="仿宋"/>
                <w:color w:val="auto"/>
                <w:sz w:val="24"/>
              </w:rPr>
              <w:t>2026年4月</w:t>
            </w:r>
            <w:r>
              <w:rPr>
                <w:rFonts w:hint="eastAsia" w:ascii="仿宋" w:hAnsi="仿宋" w:eastAsia="仿宋" w:cs="仿宋"/>
                <w:color w:val="auto"/>
                <w:sz w:val="24"/>
                <w:lang w:val="en-US" w:eastAsia="zh-CN"/>
              </w:rPr>
              <w:t>23</w:t>
            </w:r>
            <w:r>
              <w:rPr>
                <w:rFonts w:hint="eastAsia" w:ascii="仿宋" w:hAnsi="仿宋" w:eastAsia="仿宋" w:cs="仿宋"/>
                <w:color w:val="auto"/>
                <w:sz w:val="24"/>
              </w:rPr>
              <w:t>日 11:00</w:t>
            </w:r>
            <w:r>
              <w:rPr>
                <w:rFonts w:hint="eastAsia" w:ascii="仿宋" w:hAnsi="仿宋" w:eastAsia="仿宋" w:cs="仿宋"/>
                <w:color w:val="auto"/>
                <w:sz w:val="24"/>
              </w:rPr>
              <w:t>（北京时间）</w:t>
            </w:r>
          </w:p>
        </w:tc>
      </w:tr>
      <w:tr w14:paraId="0FC1A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14:paraId="57B6B8CE">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18.1</w:t>
            </w:r>
          </w:p>
        </w:tc>
        <w:tc>
          <w:tcPr>
            <w:tcW w:w="7050" w:type="dxa"/>
            <w:vAlign w:val="center"/>
          </w:tcPr>
          <w:p w14:paraId="14F01FF3">
            <w:pPr>
              <w:spacing w:line="240" w:lineRule="atLeast"/>
              <w:rPr>
                <w:rFonts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rPr>
              <w:t>2026年4月</w:t>
            </w:r>
            <w:r>
              <w:rPr>
                <w:rFonts w:hint="eastAsia" w:ascii="仿宋" w:hAnsi="仿宋" w:eastAsia="仿宋" w:cs="仿宋"/>
                <w:color w:val="auto"/>
                <w:sz w:val="24"/>
                <w:lang w:val="en-US" w:eastAsia="zh-CN"/>
              </w:rPr>
              <w:t>23</w:t>
            </w:r>
            <w:r>
              <w:rPr>
                <w:rFonts w:hint="eastAsia" w:ascii="仿宋" w:hAnsi="仿宋" w:eastAsia="仿宋" w:cs="仿宋"/>
                <w:color w:val="auto"/>
                <w:sz w:val="24"/>
              </w:rPr>
              <w:t>日 11:00</w:t>
            </w:r>
            <w:r>
              <w:rPr>
                <w:rFonts w:hint="eastAsia" w:ascii="仿宋" w:hAnsi="仿宋" w:eastAsia="仿宋" w:cs="仿宋"/>
                <w:color w:val="auto"/>
                <w:sz w:val="24"/>
              </w:rPr>
              <w:t>（北京时间）</w:t>
            </w:r>
          </w:p>
          <w:p w14:paraId="4D485401">
            <w:pPr>
              <w:spacing w:line="240" w:lineRule="atLeast"/>
              <w:rPr>
                <w:rFonts w:ascii="仿宋" w:hAnsi="仿宋" w:eastAsia="仿宋" w:cs="仿宋"/>
                <w:color w:val="auto"/>
              </w:rPr>
            </w:pPr>
            <w:r>
              <w:rPr>
                <w:rFonts w:hint="eastAsia" w:ascii="仿宋" w:hAnsi="仿宋" w:eastAsia="仿宋" w:cs="仿宋"/>
                <w:color w:val="auto"/>
                <w:sz w:val="24"/>
              </w:rPr>
              <w:t>开标地点：</w:t>
            </w:r>
            <w:r>
              <w:rPr>
                <w:color w:val="auto"/>
              </w:rPr>
              <w:fldChar w:fldCharType="begin"/>
            </w:r>
            <w:r>
              <w:rPr>
                <w:color w:val="auto"/>
              </w:rPr>
              <w:instrText xml:space="preserve"> HYPERLINK "https://www.zcygov.cn在线投标" </w:instrText>
            </w:r>
            <w:r>
              <w:rPr>
                <w:color w:val="auto"/>
              </w:rPr>
              <w:fldChar w:fldCharType="separate"/>
            </w:r>
            <w:r>
              <w:rPr>
                <w:rFonts w:hint="eastAsia" w:ascii="仿宋" w:hAnsi="仿宋" w:eastAsia="仿宋" w:cs="仿宋"/>
                <w:color w:val="auto"/>
                <w:sz w:val="24"/>
              </w:rPr>
              <w:t>https://www.zcygov.cn在线投标</w:t>
            </w:r>
            <w:r>
              <w:rPr>
                <w:rFonts w:hint="eastAsia" w:ascii="仿宋" w:hAnsi="仿宋" w:eastAsia="仿宋" w:cs="仿宋"/>
                <w:color w:val="auto"/>
                <w:sz w:val="24"/>
              </w:rPr>
              <w:fldChar w:fldCharType="end"/>
            </w:r>
            <w:r>
              <w:rPr>
                <w:rFonts w:hint="eastAsia" w:ascii="仿宋" w:hAnsi="仿宋" w:eastAsia="仿宋" w:cs="仿宋"/>
                <w:color w:val="auto"/>
                <w:sz w:val="24"/>
              </w:rPr>
              <w:t xml:space="preserve"> </w:t>
            </w:r>
          </w:p>
        </w:tc>
      </w:tr>
      <w:tr w14:paraId="10932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14:paraId="31A9EE77">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20.5</w:t>
            </w:r>
          </w:p>
        </w:tc>
        <w:tc>
          <w:tcPr>
            <w:tcW w:w="7050" w:type="dxa"/>
            <w:vAlign w:val="center"/>
          </w:tcPr>
          <w:p w14:paraId="3B70052D">
            <w:pPr>
              <w:pStyle w:val="89"/>
              <w:widowControl/>
              <w:spacing w:line="240" w:lineRule="atLeast"/>
              <w:rPr>
                <w:rFonts w:ascii="仿宋" w:hAnsi="仿宋" w:eastAsia="仿宋" w:cs="仿宋"/>
                <w:color w:val="auto"/>
              </w:rPr>
            </w:pPr>
            <w:r>
              <w:rPr>
                <w:rFonts w:hint="eastAsia" w:ascii="仿宋" w:hAnsi="仿宋" w:eastAsia="仿宋" w:cs="仿宋"/>
                <w:color w:val="auto"/>
              </w:rPr>
              <w:t>核心内容：</w:t>
            </w:r>
            <w:r>
              <w:rPr>
                <w:rFonts w:hint="eastAsia" w:ascii="仿宋" w:hAnsi="仿宋" w:eastAsia="仿宋" w:cs="仿宋"/>
                <w:color w:val="auto"/>
              </w:rPr>
              <w:t>完成伽师县工业园区及建制镇19.2平方公里的区域开展1:500基础地形数据测绘，为伽师县工业园区及建制镇详细规划编制提供数据支撑。完成伽师县中心城区16平方公里的区域开展1:500基础地形数据测绘，为中心城区详细规划编制提供数据支撑。</w:t>
            </w:r>
          </w:p>
        </w:tc>
      </w:tr>
      <w:tr w14:paraId="15176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8" w:hRule="atLeast"/>
        </w:trPr>
        <w:tc>
          <w:tcPr>
            <w:tcW w:w="1468" w:type="dxa"/>
            <w:vAlign w:val="center"/>
          </w:tcPr>
          <w:p w14:paraId="75F65D18">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23.2</w:t>
            </w:r>
          </w:p>
        </w:tc>
        <w:tc>
          <w:tcPr>
            <w:tcW w:w="7050" w:type="dxa"/>
            <w:vAlign w:val="center"/>
          </w:tcPr>
          <w:p w14:paraId="1C663A7B">
            <w:pPr>
              <w:spacing w:line="240" w:lineRule="atLeast"/>
              <w:rPr>
                <w:rFonts w:ascii="仿宋" w:hAnsi="仿宋" w:eastAsia="仿宋" w:cs="仿宋"/>
                <w:color w:val="auto"/>
                <w:sz w:val="24"/>
              </w:rPr>
            </w:pPr>
            <w:r>
              <w:rPr>
                <w:rFonts w:hint="eastAsia" w:ascii="仿宋" w:hAnsi="仿宋" w:eastAsia="仿宋" w:cs="仿宋"/>
                <w:color w:val="auto"/>
                <w:sz w:val="24"/>
              </w:rPr>
              <w:t>评标方法：综合评分法    　　　　　</w:t>
            </w:r>
          </w:p>
        </w:tc>
      </w:tr>
      <w:tr w14:paraId="296BC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vAlign w:val="center"/>
          </w:tcPr>
          <w:p w14:paraId="74E3DBFE">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27</w:t>
            </w:r>
          </w:p>
        </w:tc>
        <w:tc>
          <w:tcPr>
            <w:tcW w:w="7050" w:type="dxa"/>
            <w:vAlign w:val="center"/>
          </w:tcPr>
          <w:p w14:paraId="59AEA538">
            <w:pPr>
              <w:spacing w:line="240" w:lineRule="atLeast"/>
              <w:rPr>
                <w:rFonts w:ascii="仿宋" w:hAnsi="仿宋" w:eastAsia="仿宋" w:cs="仿宋"/>
                <w:color w:val="auto"/>
                <w:sz w:val="24"/>
              </w:rPr>
            </w:pPr>
            <w:r>
              <w:rPr>
                <w:rFonts w:hint="eastAsia" w:ascii="仿宋" w:hAnsi="仿宋" w:eastAsia="仿宋" w:cs="仿宋"/>
                <w:color w:val="auto"/>
                <w:sz w:val="24"/>
              </w:rPr>
              <w:t>推荐中标候选供应商的数量：</w:t>
            </w:r>
            <w:r>
              <w:rPr>
                <w:rFonts w:hint="eastAsia" w:ascii="仿宋" w:hAnsi="仿宋" w:eastAsia="仿宋" w:cs="仿宋"/>
                <w:color w:val="auto"/>
                <w:sz w:val="24"/>
                <w:u w:val="single"/>
              </w:rPr>
              <w:t>3个</w:t>
            </w:r>
          </w:p>
        </w:tc>
      </w:tr>
      <w:tr w14:paraId="2B555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vAlign w:val="center"/>
          </w:tcPr>
          <w:p w14:paraId="1CAF2D55">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27</w:t>
            </w:r>
          </w:p>
        </w:tc>
        <w:tc>
          <w:tcPr>
            <w:tcW w:w="7050" w:type="dxa"/>
            <w:vAlign w:val="center"/>
          </w:tcPr>
          <w:p w14:paraId="34A0E3C6">
            <w:pPr>
              <w:spacing w:line="240" w:lineRule="atLeast"/>
              <w:rPr>
                <w:rFonts w:ascii="仿宋" w:hAnsi="仿宋" w:eastAsia="仿宋" w:cs="仿宋"/>
                <w:color w:val="auto"/>
                <w:sz w:val="24"/>
              </w:rPr>
            </w:pPr>
            <w:r>
              <w:rPr>
                <w:rFonts w:hint="eastAsia" w:ascii="仿宋" w:hAnsi="仿宋" w:eastAsia="仿宋" w:cs="仿宋"/>
                <w:color w:val="auto"/>
                <w:sz w:val="24"/>
              </w:rPr>
              <w:t>招标人是否委托评标委员会直接确定中标人：</w:t>
            </w:r>
            <w:r>
              <w:rPr>
                <w:rFonts w:hint="eastAsia" w:ascii="仿宋" w:hAnsi="仿宋" w:eastAsia="仿宋" w:cs="仿宋"/>
                <w:color w:val="auto"/>
                <w:sz w:val="24"/>
                <w:u w:val="single"/>
              </w:rPr>
              <w:t>否</w:t>
            </w:r>
            <w:r>
              <w:rPr>
                <w:rFonts w:hint="eastAsia" w:ascii="仿宋" w:hAnsi="仿宋" w:eastAsia="仿宋" w:cs="仿宋"/>
                <w:color w:val="auto"/>
                <w:sz w:val="24"/>
              </w:rPr>
              <w:t xml:space="preserve"> </w:t>
            </w:r>
          </w:p>
        </w:tc>
      </w:tr>
      <w:tr w14:paraId="4E012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vAlign w:val="center"/>
          </w:tcPr>
          <w:p w14:paraId="0F05DC8B">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31.1</w:t>
            </w:r>
          </w:p>
        </w:tc>
        <w:tc>
          <w:tcPr>
            <w:tcW w:w="7050" w:type="dxa"/>
            <w:vAlign w:val="center"/>
          </w:tcPr>
          <w:p w14:paraId="6E787746">
            <w:pPr>
              <w:spacing w:line="240" w:lineRule="atLeast"/>
              <w:rPr>
                <w:rFonts w:ascii="仿宋" w:hAnsi="仿宋" w:eastAsia="仿宋" w:cs="仿宋"/>
                <w:color w:val="auto"/>
                <w:sz w:val="24"/>
              </w:rPr>
            </w:pPr>
            <w:r>
              <w:rPr>
                <w:rFonts w:hint="eastAsia" w:ascii="仿宋" w:hAnsi="仿宋" w:eastAsia="仿宋" w:cs="仿宋"/>
                <w:color w:val="auto"/>
                <w:sz w:val="24"/>
              </w:rPr>
              <w:t>履约保证金金额：</w:t>
            </w:r>
            <w:r>
              <w:rPr>
                <w:rFonts w:hint="eastAsia" w:ascii="仿宋" w:hAnsi="仿宋" w:eastAsia="仿宋" w:cs="仿宋"/>
                <w:color w:val="auto"/>
                <w:sz w:val="24"/>
              </w:rPr>
              <w:t>中标价的5%。</w:t>
            </w:r>
          </w:p>
          <w:p w14:paraId="5EB0FD97">
            <w:pPr>
              <w:spacing w:line="240" w:lineRule="atLeast"/>
              <w:rPr>
                <w:rFonts w:ascii="仿宋" w:hAnsi="仿宋" w:eastAsia="仿宋" w:cs="仿宋"/>
                <w:color w:val="auto"/>
                <w:sz w:val="24"/>
              </w:rPr>
            </w:pPr>
            <w:r>
              <w:rPr>
                <w:rFonts w:hint="eastAsia" w:ascii="仿宋" w:hAnsi="仿宋" w:eastAsia="仿宋" w:cs="仿宋"/>
                <w:color w:val="auto"/>
                <w:sz w:val="24"/>
              </w:rPr>
              <w:t>履约保证金形式：转账、电汇、保函</w:t>
            </w:r>
          </w:p>
          <w:p w14:paraId="0BCD258A">
            <w:pPr>
              <w:spacing w:line="240" w:lineRule="atLeast"/>
              <w:rPr>
                <w:rFonts w:ascii="仿宋" w:hAnsi="仿宋" w:eastAsia="仿宋" w:cs="仿宋"/>
                <w:color w:val="auto"/>
                <w:sz w:val="24"/>
              </w:rPr>
            </w:pPr>
            <w:r>
              <w:rPr>
                <w:rFonts w:hint="eastAsia" w:ascii="仿宋" w:hAnsi="仿宋" w:eastAsia="仿宋" w:cs="仿宋"/>
                <w:color w:val="auto"/>
                <w:sz w:val="24"/>
              </w:rPr>
              <w:t>提交履约保证金的时间：与业主自行商定</w:t>
            </w:r>
          </w:p>
          <w:p w14:paraId="21DC4082">
            <w:pPr>
              <w:spacing w:line="240" w:lineRule="atLeast"/>
              <w:rPr>
                <w:rFonts w:ascii="仿宋" w:hAnsi="仿宋" w:eastAsia="仿宋" w:cs="仿宋"/>
                <w:color w:val="auto"/>
                <w:sz w:val="24"/>
                <w:u w:val="single"/>
              </w:rPr>
            </w:pPr>
            <w:r>
              <w:rPr>
                <w:rFonts w:hint="eastAsia" w:ascii="仿宋" w:hAnsi="仿宋" w:eastAsia="仿宋" w:cs="仿宋"/>
                <w:color w:val="auto"/>
                <w:sz w:val="24"/>
              </w:rPr>
              <w:t>服务验收合格后无息返还（双方也可以通过协商另行约定其他退还时间和方式及用途）。</w:t>
            </w:r>
          </w:p>
        </w:tc>
      </w:tr>
      <w:tr w14:paraId="0BDF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2A01D7A1">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32</w:t>
            </w:r>
          </w:p>
        </w:tc>
        <w:tc>
          <w:tcPr>
            <w:tcW w:w="7050" w:type="dxa"/>
            <w:vAlign w:val="center"/>
          </w:tcPr>
          <w:p w14:paraId="7079407B">
            <w:pPr>
              <w:spacing w:line="240" w:lineRule="atLeast"/>
              <w:rPr>
                <w:rFonts w:ascii="仿宋" w:hAnsi="仿宋" w:eastAsia="仿宋" w:cs="宋体"/>
                <w:color w:val="auto"/>
                <w:spacing w:val="-1"/>
                <w:sz w:val="24"/>
              </w:rPr>
            </w:pPr>
            <w:r>
              <w:rPr>
                <w:rFonts w:ascii="仿宋" w:hAnsi="仿宋" w:eastAsia="仿宋" w:cs="宋体"/>
                <w:color w:val="auto"/>
                <w:spacing w:val="1"/>
                <w:sz w:val="24"/>
              </w:rPr>
              <w:t>中标服务费：</w:t>
            </w:r>
            <w:r>
              <w:rPr>
                <w:rFonts w:hint="eastAsia" w:ascii="仿宋" w:hAnsi="仿宋" w:eastAsia="仿宋" w:cs="仿宋"/>
                <w:color w:val="auto"/>
                <w:sz w:val="24"/>
              </w:rPr>
              <w:t>根据发改价格【2015】299号文件《关于进一步放开建设项目专业服务价格的通知》确定，由中标单位支付。</w:t>
            </w:r>
          </w:p>
          <w:p w14:paraId="12A97E04">
            <w:pPr>
              <w:spacing w:line="240" w:lineRule="atLeast"/>
              <w:rPr>
                <w:rFonts w:ascii="仿宋" w:hAnsi="仿宋" w:eastAsia="仿宋" w:cs="宋体"/>
                <w:color w:val="auto"/>
                <w:spacing w:val="1"/>
                <w:sz w:val="24"/>
              </w:rPr>
            </w:pPr>
            <w:r>
              <w:rPr>
                <w:rFonts w:ascii="宋体" w:hAnsi="宋体" w:cs="宋体"/>
                <w:color w:val="auto"/>
                <w:spacing w:val="1"/>
                <w:sz w:val="24"/>
              </w:rPr>
              <w:t>1</w:t>
            </w:r>
            <w:r>
              <w:rPr>
                <w:rFonts w:ascii="仿宋" w:hAnsi="仿宋" w:eastAsia="仿宋" w:cs="宋体"/>
                <w:color w:val="auto"/>
                <w:spacing w:val="1"/>
                <w:sz w:val="24"/>
              </w:rPr>
              <w:t>.代理服务收费标准：本项目服务费按照差额定律累进计费方式计算，标准如下:</w:t>
            </w:r>
          </w:p>
          <w:p w14:paraId="21501A6E">
            <w:pPr>
              <w:spacing w:line="240" w:lineRule="atLeast"/>
              <w:rPr>
                <w:rFonts w:ascii="仿宋" w:hAnsi="仿宋" w:eastAsia="仿宋" w:cs="宋体"/>
                <w:color w:val="auto"/>
                <w:spacing w:val="1"/>
                <w:sz w:val="24"/>
              </w:rPr>
            </w:pPr>
            <w:r>
              <w:rPr>
                <w:rFonts w:ascii="仿宋" w:hAnsi="仿宋" w:eastAsia="仿宋" w:cs="宋体"/>
                <w:color w:val="auto"/>
                <w:spacing w:val="1"/>
                <w:sz w:val="24"/>
              </w:rPr>
              <w:t>成交金额 100 万元以下的部分,货物类采购费率 1.50%,服务类采购费率 1.50%; 成交金额 100 万元至 500 万元的部分,货物类采购费率 1.10%,服务类采购费率 0.80%;</w:t>
            </w:r>
          </w:p>
          <w:p w14:paraId="187091F0">
            <w:pPr>
              <w:spacing w:line="240" w:lineRule="atLeast"/>
              <w:rPr>
                <w:rFonts w:ascii="仿宋" w:hAnsi="仿宋" w:eastAsia="仿宋" w:cs="宋体"/>
                <w:color w:val="auto"/>
                <w:spacing w:val="1"/>
                <w:sz w:val="24"/>
              </w:rPr>
            </w:pPr>
            <w:r>
              <w:rPr>
                <w:rFonts w:ascii="仿宋" w:hAnsi="仿宋" w:eastAsia="仿宋" w:cs="宋体"/>
                <w:color w:val="auto"/>
                <w:spacing w:val="1"/>
                <w:sz w:val="24"/>
              </w:rPr>
              <w:t>成交金额 500 万元至 1000 万元的部分,货物类采购费率 0.80%,服务类采购费率 0.45%;</w:t>
            </w:r>
          </w:p>
          <w:p w14:paraId="739CB27E">
            <w:pPr>
              <w:spacing w:line="240" w:lineRule="atLeast"/>
              <w:rPr>
                <w:rFonts w:ascii="仿宋" w:hAnsi="仿宋" w:eastAsia="仿宋" w:cs="宋体"/>
                <w:color w:val="auto"/>
                <w:spacing w:val="1"/>
                <w:sz w:val="24"/>
              </w:rPr>
            </w:pPr>
            <w:r>
              <w:rPr>
                <w:rFonts w:ascii="仿宋" w:hAnsi="仿宋" w:eastAsia="仿宋" w:cs="宋体"/>
                <w:color w:val="auto"/>
                <w:spacing w:val="1"/>
                <w:sz w:val="24"/>
              </w:rPr>
              <w:t>成交金额 1000 万元至 5000 万元的部分,货物类采购费率 0.50%,服务类采购费 率 0.25%;</w:t>
            </w:r>
          </w:p>
          <w:p w14:paraId="2C1B71D2">
            <w:pPr>
              <w:spacing w:line="240" w:lineRule="atLeast"/>
              <w:rPr>
                <w:rFonts w:ascii="仿宋" w:hAnsi="仿宋" w:eastAsia="仿宋" w:cs="宋体"/>
                <w:color w:val="auto"/>
                <w:spacing w:val="1"/>
                <w:sz w:val="24"/>
              </w:rPr>
            </w:pPr>
            <w:r>
              <w:rPr>
                <w:rFonts w:ascii="仿宋" w:hAnsi="仿宋" w:eastAsia="仿宋" w:cs="宋体"/>
                <w:color w:val="auto"/>
                <w:spacing w:val="1"/>
                <w:sz w:val="24"/>
              </w:rPr>
              <w:t xml:space="preserve">支付形式：对公转账  </w:t>
            </w:r>
            <w:r>
              <w:rPr>
                <w:rFonts w:hint="eastAsia" w:ascii="仿宋" w:hAnsi="仿宋" w:eastAsia="仿宋" w:cs="宋体"/>
                <w:color w:val="auto"/>
                <w:spacing w:val="1"/>
                <w:sz w:val="24"/>
              </w:rPr>
              <w:t>。</w:t>
            </w:r>
          </w:p>
          <w:p w14:paraId="63909CB0">
            <w:pPr>
              <w:spacing w:line="240" w:lineRule="atLeast"/>
              <w:rPr>
                <w:rFonts w:ascii="仿宋" w:hAnsi="仿宋" w:eastAsia="仿宋" w:cs="宋体"/>
                <w:color w:val="auto"/>
                <w:spacing w:val="1"/>
                <w:sz w:val="22"/>
                <w:szCs w:val="22"/>
              </w:rPr>
            </w:pPr>
            <w:r>
              <w:rPr>
                <w:rFonts w:ascii="仿宋" w:hAnsi="仿宋" w:eastAsia="仿宋" w:cs="宋体"/>
                <w:color w:val="auto"/>
                <w:spacing w:val="1"/>
                <w:sz w:val="24"/>
              </w:rPr>
              <w:t>支付时间</w:t>
            </w:r>
            <w:r>
              <w:rPr>
                <w:rFonts w:hint="eastAsia" w:ascii="仿宋" w:hAnsi="仿宋" w:eastAsia="仿宋" w:cs="宋体"/>
                <w:color w:val="auto"/>
                <w:spacing w:val="1"/>
                <w:sz w:val="24"/>
              </w:rPr>
              <w:t>：</w:t>
            </w:r>
            <w:r>
              <w:rPr>
                <w:rFonts w:ascii="仿宋" w:hAnsi="仿宋" w:eastAsia="仿宋" w:cs="宋体"/>
                <w:color w:val="auto"/>
                <w:spacing w:val="1"/>
                <w:sz w:val="24"/>
              </w:rPr>
              <w:t>中标人在领取中标通知书时一次性支付</w:t>
            </w:r>
            <w:r>
              <w:rPr>
                <w:rFonts w:hint="eastAsia" w:ascii="仿宋" w:hAnsi="仿宋" w:eastAsia="仿宋" w:cs="宋体"/>
                <w:color w:val="auto"/>
                <w:spacing w:val="1"/>
                <w:sz w:val="24"/>
              </w:rPr>
              <w:t>。</w:t>
            </w:r>
          </w:p>
        </w:tc>
      </w:tr>
      <w:tr w14:paraId="4938E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7E3F229E">
            <w:pPr>
              <w:spacing w:line="240" w:lineRule="atLeast"/>
              <w:ind w:left="1080" w:leftChars="257" w:hanging="540"/>
              <w:rPr>
                <w:rFonts w:ascii="仿宋_GB2312" w:hAnsi="仿宋" w:eastAsia="仿宋_GB2312" w:cs="仿宋"/>
                <w:color w:val="auto"/>
                <w:sz w:val="24"/>
              </w:rPr>
            </w:pPr>
            <w:r>
              <w:rPr>
                <w:rFonts w:hint="eastAsia" w:ascii="仿宋_GB2312" w:hAnsi="仿宋" w:eastAsia="仿宋_GB2312" w:cs="仿宋"/>
                <w:color w:val="auto"/>
                <w:sz w:val="24"/>
              </w:rPr>
              <w:t>33.1</w:t>
            </w:r>
          </w:p>
        </w:tc>
        <w:tc>
          <w:tcPr>
            <w:tcW w:w="7050" w:type="dxa"/>
            <w:vAlign w:val="center"/>
          </w:tcPr>
          <w:p w14:paraId="02480059">
            <w:pPr>
              <w:spacing w:line="240" w:lineRule="atLeast"/>
              <w:rPr>
                <w:rFonts w:ascii="仿宋_GB2312" w:hAnsi="仿宋" w:eastAsia="仿宋_GB2312" w:cs="仿宋"/>
                <w:color w:val="auto"/>
                <w:sz w:val="24"/>
              </w:rPr>
            </w:pPr>
            <w:r>
              <w:rPr>
                <w:rFonts w:hint="eastAsia" w:ascii="仿宋_GB2312" w:hAnsi="仿宋" w:eastAsia="仿宋_GB2312" w:cs="仿宋"/>
                <w:color w:val="auto"/>
                <w:sz w:val="24"/>
              </w:rPr>
              <w:t>本项目是否属于信用担保试点范围：否</w:t>
            </w:r>
          </w:p>
        </w:tc>
      </w:tr>
      <w:tr w14:paraId="677EE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06758E53">
            <w:pPr>
              <w:spacing w:line="240" w:lineRule="atLeast"/>
              <w:jc w:val="center"/>
              <w:rPr>
                <w:rFonts w:ascii="仿宋_GB2312" w:hAnsi="仿宋" w:eastAsia="仿宋_GB2312" w:cs="仿宋"/>
                <w:color w:val="auto"/>
                <w:sz w:val="24"/>
              </w:rPr>
            </w:pPr>
            <w:r>
              <w:rPr>
                <w:rFonts w:hint="eastAsia" w:ascii="仿宋_GB2312" w:hAnsi="仿宋" w:eastAsia="仿宋_GB2312" w:cs="仿宋"/>
                <w:color w:val="auto"/>
                <w:sz w:val="24"/>
              </w:rPr>
              <w:t>低于成本价不正当竞争预防措施</w:t>
            </w:r>
          </w:p>
        </w:tc>
        <w:tc>
          <w:tcPr>
            <w:tcW w:w="7050" w:type="dxa"/>
            <w:vAlign w:val="center"/>
          </w:tcPr>
          <w:p w14:paraId="2C55F0D9">
            <w:pPr>
              <w:spacing w:line="240" w:lineRule="atLeast"/>
              <w:rPr>
                <w:rFonts w:ascii="仿宋_GB2312" w:hAnsi="仿宋" w:eastAsia="仿宋_GB2312" w:cs="仿宋"/>
                <w:color w:val="auto"/>
                <w:sz w:val="24"/>
              </w:rPr>
            </w:pPr>
            <w:r>
              <w:rPr>
                <w:rFonts w:ascii="仿宋_GB2312" w:hAnsi="仿宋" w:eastAsia="仿宋_GB2312" w:cs="仿宋"/>
                <w:color w:val="auto"/>
                <w:sz w:val="24"/>
              </w:rPr>
              <w:t>1.</w:t>
            </w:r>
            <w:r>
              <w:rPr>
                <w:rFonts w:hint="eastAsia" w:ascii="仿宋_GB2312" w:hAnsi="仿宋" w:eastAsia="仿宋_GB2312" w:cs="仿宋"/>
                <w:color w:val="auto"/>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C6282A">
            <w:pPr>
              <w:autoSpaceDE w:val="0"/>
              <w:autoSpaceDN w:val="0"/>
              <w:adjustRightInd w:val="0"/>
              <w:jc w:val="left"/>
              <w:rPr>
                <w:rFonts w:ascii="仿宋_GB2312" w:hAnsi="仿宋" w:eastAsia="仿宋_GB2312" w:cs="仿宋"/>
                <w:color w:val="auto"/>
                <w:sz w:val="24"/>
              </w:rPr>
            </w:pPr>
            <w:r>
              <w:rPr>
                <w:rFonts w:ascii="仿宋_GB2312" w:hAnsi="仿宋" w:eastAsia="仿宋_GB2312" w:cs="仿宋"/>
                <w:color w:val="auto"/>
                <w:sz w:val="24"/>
              </w:rPr>
              <w:t>2.</w:t>
            </w:r>
            <w:r>
              <w:rPr>
                <w:rFonts w:hint="eastAsia" w:ascii="仿宋_GB2312" w:hAnsi="仿宋" w:eastAsia="仿宋_GB2312" w:cs="仿宋"/>
                <w:color w:val="auto"/>
                <w:sz w:val="24"/>
              </w:rPr>
              <w:t>投标人书面说明应当签字确认并且加盖公章，否则无效。书面说明的签字确认，投标人为法人的，由其法定代表人或者代理人签字确认。</w:t>
            </w:r>
          </w:p>
          <w:p w14:paraId="7D655807">
            <w:pPr>
              <w:autoSpaceDE w:val="0"/>
              <w:autoSpaceDN w:val="0"/>
              <w:adjustRightInd w:val="0"/>
              <w:jc w:val="left"/>
              <w:rPr>
                <w:rFonts w:ascii="仿宋_GB2312" w:hAnsi="仿宋" w:eastAsia="仿宋_GB2312" w:cs="仿宋"/>
                <w:color w:val="auto"/>
                <w:sz w:val="24"/>
              </w:rPr>
            </w:pPr>
            <w:r>
              <w:rPr>
                <w:rFonts w:ascii="仿宋_GB2312" w:hAnsi="仿宋" w:eastAsia="仿宋_GB2312" w:cs="仿宋"/>
                <w:color w:val="auto"/>
                <w:sz w:val="24"/>
              </w:rPr>
              <w:t>3.</w:t>
            </w:r>
            <w:r>
              <w:rPr>
                <w:rFonts w:hint="eastAsia" w:ascii="仿宋_GB2312" w:hAnsi="仿宋" w:eastAsia="仿宋_GB2312" w:cs="仿宋"/>
                <w:color w:val="auto"/>
                <w:sz w:val="24"/>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14:paraId="2A1F433C">
            <w:pPr>
              <w:autoSpaceDE w:val="0"/>
              <w:autoSpaceDN w:val="0"/>
              <w:adjustRightInd w:val="0"/>
              <w:jc w:val="left"/>
              <w:rPr>
                <w:rFonts w:ascii="仿宋_GB2312" w:hAnsi="仿宋" w:eastAsia="仿宋_GB2312" w:cs="仿宋"/>
                <w:color w:val="auto"/>
                <w:sz w:val="24"/>
              </w:rPr>
            </w:pPr>
            <w:r>
              <w:rPr>
                <w:rFonts w:ascii="仿宋_GB2312" w:hAnsi="仿宋" w:eastAsia="仿宋_GB2312" w:cs="仿宋"/>
                <w:color w:val="auto"/>
                <w:sz w:val="24"/>
              </w:rPr>
              <w:t>4.</w:t>
            </w:r>
            <w:r>
              <w:rPr>
                <w:rFonts w:hint="eastAsia" w:ascii="仿宋_GB2312" w:hAnsi="仿宋" w:eastAsia="仿宋_GB2312" w:cs="仿宋"/>
                <w:color w:val="auto"/>
                <w:sz w:val="24"/>
              </w:rPr>
              <w:t>根据关于推动解决政府采购异常低价问题的通知：财库〔</w:t>
            </w:r>
            <w:r>
              <w:rPr>
                <w:rFonts w:ascii="仿宋_GB2312" w:hAnsi="仿宋" w:eastAsia="仿宋_GB2312" w:cs="仿宋"/>
                <w:color w:val="auto"/>
                <w:sz w:val="24"/>
              </w:rPr>
              <w:t>2026</w:t>
            </w:r>
            <w:r>
              <w:rPr>
                <w:rFonts w:hint="eastAsia" w:ascii="仿宋_GB2312" w:hAnsi="仿宋" w:eastAsia="仿宋_GB2312" w:cs="仿宋"/>
                <w:color w:val="auto"/>
                <w:sz w:val="24"/>
              </w:rPr>
              <w:t>〕</w:t>
            </w:r>
            <w:r>
              <w:rPr>
                <w:rFonts w:ascii="仿宋_GB2312" w:hAnsi="仿宋" w:eastAsia="仿宋_GB2312" w:cs="仿宋"/>
                <w:color w:val="auto"/>
                <w:sz w:val="24"/>
              </w:rPr>
              <w:t>2</w:t>
            </w:r>
            <w:r>
              <w:rPr>
                <w:rFonts w:hint="eastAsia" w:ascii="仿宋_GB2312" w:hAnsi="仿宋" w:eastAsia="仿宋_GB2312" w:cs="仿宋"/>
                <w:color w:val="auto"/>
                <w:sz w:val="24"/>
              </w:rPr>
              <w:t>号：政府采购评审中出现下列情形之一的，评审委员会应当启动异常低价投标（响应）审查程序：（一）采购人应当在采购文件中明确，政府采购评审中出现下列情形之一的，评审委员会应当启动异常低价投标（响应）审查程序：</w:t>
            </w:r>
            <w:r>
              <w:rPr>
                <w:rFonts w:ascii="仿宋_GB2312" w:hAnsi="仿宋" w:eastAsia="仿宋_GB2312" w:cs="仿宋"/>
                <w:color w:val="auto"/>
                <w:sz w:val="24"/>
              </w:rPr>
              <w:t>1.</w:t>
            </w:r>
            <w:r>
              <w:rPr>
                <w:rFonts w:hint="eastAsia" w:ascii="仿宋_GB2312" w:hAnsi="仿宋" w:eastAsia="仿宋_GB2312" w:cs="仿宋"/>
                <w:color w:val="auto"/>
                <w:sz w:val="24"/>
              </w:rPr>
              <w:t>投标（响应）报价低于全部通过符合性审查供应商投标（响应）报价平均值</w:t>
            </w:r>
            <w:r>
              <w:rPr>
                <w:rFonts w:ascii="仿宋_GB2312" w:hAnsi="仿宋" w:eastAsia="仿宋_GB2312" w:cs="仿宋"/>
                <w:color w:val="auto"/>
                <w:sz w:val="24"/>
              </w:rPr>
              <w:t>50%</w:t>
            </w:r>
            <w:r>
              <w:rPr>
                <w:rFonts w:hint="eastAsia" w:ascii="仿宋_GB2312" w:hAnsi="仿宋" w:eastAsia="仿宋_GB2312" w:cs="仿宋"/>
                <w:color w:val="auto"/>
                <w:sz w:val="24"/>
              </w:rPr>
              <w:t>的，即投标（响</w:t>
            </w:r>
          </w:p>
          <w:p w14:paraId="120223F3">
            <w:pPr>
              <w:autoSpaceDE w:val="0"/>
              <w:autoSpaceDN w:val="0"/>
              <w:adjustRightInd w:val="0"/>
              <w:jc w:val="left"/>
              <w:rPr>
                <w:rFonts w:ascii="仿宋_GB2312" w:hAnsi="仿宋" w:eastAsia="仿宋_GB2312" w:cs="仿宋"/>
                <w:color w:val="auto"/>
                <w:sz w:val="24"/>
              </w:rPr>
            </w:pPr>
            <w:r>
              <w:rPr>
                <w:rFonts w:hint="eastAsia" w:ascii="仿宋_GB2312" w:hAnsi="仿宋" w:eastAsia="仿宋_GB2312" w:cs="仿宋"/>
                <w:color w:val="auto"/>
                <w:sz w:val="24"/>
              </w:rPr>
              <w:t>应）报价</w:t>
            </w:r>
            <w:r>
              <w:rPr>
                <w:rFonts w:ascii="仿宋_GB2312" w:hAnsi="仿宋" w:eastAsia="仿宋_GB2312" w:cs="仿宋"/>
                <w:color w:val="auto"/>
                <w:sz w:val="24"/>
              </w:rPr>
              <w:t>&lt;</w:t>
            </w:r>
            <w:r>
              <w:rPr>
                <w:rFonts w:hint="eastAsia" w:ascii="仿宋_GB2312" w:hAnsi="仿宋" w:eastAsia="仿宋_GB2312" w:cs="仿宋"/>
                <w:color w:val="auto"/>
                <w:sz w:val="24"/>
              </w:rPr>
              <w:t>全部通过符合性审查供应商投标（响应）报价平均值×</w:t>
            </w:r>
            <w:r>
              <w:rPr>
                <w:rFonts w:ascii="仿宋_GB2312" w:hAnsi="仿宋" w:eastAsia="仿宋_GB2312" w:cs="仿宋"/>
                <w:color w:val="auto"/>
                <w:sz w:val="24"/>
              </w:rPr>
              <w:t>50%</w:t>
            </w:r>
            <w:r>
              <w:rPr>
                <w:rFonts w:hint="eastAsia" w:ascii="仿宋_GB2312" w:hAnsi="仿宋" w:eastAsia="仿宋_GB2312" w:cs="仿宋"/>
                <w:color w:val="auto"/>
                <w:sz w:val="24"/>
              </w:rPr>
              <w:t>；</w:t>
            </w:r>
            <w:r>
              <w:rPr>
                <w:rFonts w:ascii="仿宋_GB2312" w:hAnsi="仿宋" w:eastAsia="仿宋_GB2312" w:cs="仿宋"/>
                <w:color w:val="auto"/>
                <w:sz w:val="24"/>
              </w:rPr>
              <w:t>2.</w:t>
            </w:r>
            <w:r>
              <w:rPr>
                <w:rFonts w:hint="eastAsia" w:ascii="仿宋_GB2312" w:hAnsi="仿宋" w:eastAsia="仿宋_GB2312" w:cs="仿宋"/>
                <w:color w:val="auto"/>
                <w:sz w:val="24"/>
              </w:rPr>
              <w:t>投标（响应）报价低于通过符合性审查的次低报价供应商投标（响应）报价</w:t>
            </w:r>
            <w:r>
              <w:rPr>
                <w:rFonts w:ascii="仿宋_GB2312" w:hAnsi="仿宋" w:eastAsia="仿宋_GB2312" w:cs="仿宋"/>
                <w:color w:val="auto"/>
                <w:sz w:val="24"/>
              </w:rPr>
              <w:t>50%</w:t>
            </w:r>
            <w:r>
              <w:rPr>
                <w:rFonts w:hint="eastAsia" w:ascii="仿宋_GB2312" w:hAnsi="仿宋" w:eastAsia="仿宋_GB2312" w:cs="仿宋"/>
                <w:color w:val="auto"/>
                <w:sz w:val="24"/>
              </w:rPr>
              <w:t>的，即投标（响应）报价</w:t>
            </w:r>
            <w:r>
              <w:rPr>
                <w:rFonts w:ascii="仿宋_GB2312" w:hAnsi="仿宋" w:eastAsia="仿宋_GB2312" w:cs="仿宋"/>
                <w:color w:val="auto"/>
                <w:sz w:val="24"/>
              </w:rPr>
              <w:t>&lt;</w:t>
            </w:r>
            <w:r>
              <w:rPr>
                <w:rFonts w:hint="eastAsia" w:ascii="仿宋_GB2312" w:hAnsi="仿宋" w:eastAsia="仿宋_GB2312" w:cs="仿宋"/>
                <w:color w:val="auto"/>
                <w:sz w:val="24"/>
              </w:rPr>
              <w:t>通过符合性审查的次低报价供应商投标（响应）报价×</w:t>
            </w:r>
            <w:r>
              <w:rPr>
                <w:rFonts w:ascii="仿宋_GB2312" w:hAnsi="仿宋" w:eastAsia="仿宋_GB2312" w:cs="仿宋"/>
                <w:color w:val="auto"/>
                <w:sz w:val="24"/>
              </w:rPr>
              <w:t>50%</w:t>
            </w:r>
            <w:r>
              <w:rPr>
                <w:rFonts w:hint="eastAsia" w:ascii="仿宋_GB2312" w:hAnsi="仿宋" w:eastAsia="仿宋_GB2312" w:cs="仿宋"/>
                <w:color w:val="auto"/>
                <w:sz w:val="24"/>
              </w:rPr>
              <w:t>；</w:t>
            </w:r>
            <w:r>
              <w:rPr>
                <w:rFonts w:ascii="仿宋_GB2312" w:hAnsi="仿宋" w:eastAsia="仿宋_GB2312" w:cs="仿宋"/>
                <w:color w:val="auto"/>
                <w:sz w:val="24"/>
              </w:rPr>
              <w:t>3.</w:t>
            </w:r>
            <w:r>
              <w:rPr>
                <w:rFonts w:hint="eastAsia" w:ascii="仿宋_GB2312" w:hAnsi="仿宋" w:eastAsia="仿宋_GB2312" w:cs="仿宋"/>
                <w:color w:val="auto"/>
                <w:sz w:val="24"/>
              </w:rPr>
              <w:t>投标（响应）报价低于采购项目最高限价</w:t>
            </w:r>
            <w:r>
              <w:rPr>
                <w:rFonts w:ascii="仿宋_GB2312" w:hAnsi="仿宋" w:eastAsia="仿宋_GB2312" w:cs="仿宋"/>
                <w:color w:val="auto"/>
                <w:sz w:val="24"/>
              </w:rPr>
              <w:t>45%</w:t>
            </w:r>
            <w:r>
              <w:rPr>
                <w:rFonts w:hint="eastAsia" w:ascii="仿宋_GB2312" w:hAnsi="仿宋" w:eastAsia="仿宋_GB2312" w:cs="仿宋"/>
                <w:color w:val="auto"/>
                <w:sz w:val="24"/>
              </w:rPr>
              <w:t>的，即投标（响应）报价</w:t>
            </w:r>
            <w:r>
              <w:rPr>
                <w:rFonts w:ascii="仿宋_GB2312" w:hAnsi="仿宋" w:eastAsia="仿宋_GB2312" w:cs="仿宋"/>
                <w:color w:val="auto"/>
                <w:sz w:val="24"/>
              </w:rPr>
              <w:t>&lt;</w:t>
            </w:r>
            <w:r>
              <w:rPr>
                <w:rFonts w:hint="eastAsia" w:ascii="仿宋_GB2312" w:hAnsi="仿宋" w:eastAsia="仿宋_GB2312" w:cs="仿宋"/>
                <w:color w:val="auto"/>
                <w:sz w:val="24"/>
              </w:rPr>
              <w:t>采购项目最高限价×</w:t>
            </w:r>
            <w:r>
              <w:rPr>
                <w:rFonts w:ascii="仿宋_GB2312" w:hAnsi="仿宋" w:eastAsia="仿宋_GB2312" w:cs="仿宋"/>
                <w:color w:val="auto"/>
                <w:sz w:val="24"/>
              </w:rPr>
              <w:t>45%</w:t>
            </w:r>
            <w:r>
              <w:rPr>
                <w:rFonts w:hint="eastAsia" w:ascii="仿宋_GB2312" w:hAnsi="仿宋" w:eastAsia="仿宋_GB2312" w:cs="仿宋"/>
                <w:color w:val="auto"/>
                <w:sz w:val="24"/>
              </w:rPr>
              <w:t>；</w:t>
            </w:r>
            <w:r>
              <w:rPr>
                <w:rFonts w:ascii="仿宋_GB2312" w:hAnsi="仿宋" w:eastAsia="仿宋_GB2312" w:cs="仿宋"/>
                <w:color w:val="auto"/>
                <w:sz w:val="24"/>
              </w:rPr>
              <w:t>4.</w:t>
            </w:r>
            <w:r>
              <w:rPr>
                <w:rFonts w:hint="eastAsia" w:ascii="仿宋_GB2312" w:hAnsi="仿宋" w:eastAsia="仿宋_GB2312" w:cs="仿宋"/>
                <w:color w:val="auto"/>
                <w:sz w:val="24"/>
              </w:rPr>
              <w:t>评审委员会基于专业判断，认为供应商报价过低，有可能影响产品质量或者不能诚信履约的其他情形。</w:t>
            </w:r>
          </w:p>
          <w:p w14:paraId="3EECDB30">
            <w:pPr>
              <w:autoSpaceDE w:val="0"/>
              <w:autoSpaceDN w:val="0"/>
              <w:adjustRightInd w:val="0"/>
              <w:jc w:val="left"/>
              <w:rPr>
                <w:rFonts w:ascii="仿宋_GB2312" w:hAnsi="仿宋" w:eastAsia="仿宋_GB2312" w:cs="仿宋"/>
                <w:color w:val="auto"/>
                <w:sz w:val="24"/>
              </w:rPr>
            </w:pPr>
            <w:r>
              <w:rPr>
                <w:rFonts w:hint="eastAsia" w:ascii="仿宋_GB2312" w:hAnsi="仿宋" w:eastAsia="仿宋_GB2312" w:cs="仿宋"/>
                <w:color w:val="auto"/>
                <w:sz w:val="24"/>
              </w:rPr>
              <w:t>评审委员会启动异常低价投标（响应）审查程序，对异常低价投标人做出废标处理。采购人可以结合具体项目实际情况，提高上述第</w:t>
            </w:r>
            <w:r>
              <w:rPr>
                <w:rFonts w:ascii="仿宋_GB2312" w:hAnsi="仿宋" w:eastAsia="仿宋_GB2312" w:cs="仿宋"/>
                <w:color w:val="auto"/>
                <w:sz w:val="24"/>
              </w:rPr>
              <w:t>1</w:t>
            </w:r>
            <w:r>
              <w:rPr>
                <w:rFonts w:hint="eastAsia" w:ascii="仿宋_GB2312" w:hAnsi="仿宋" w:eastAsia="仿宋_GB2312" w:cs="仿宋"/>
                <w:color w:val="auto"/>
                <w:sz w:val="24"/>
              </w:rPr>
              <w:t>项至第</w:t>
            </w:r>
            <w:r>
              <w:rPr>
                <w:rFonts w:ascii="仿宋_GB2312" w:hAnsi="仿宋" w:eastAsia="仿宋_GB2312" w:cs="仿宋"/>
                <w:color w:val="auto"/>
                <w:sz w:val="24"/>
              </w:rPr>
              <w:t>3</w:t>
            </w:r>
            <w:r>
              <w:rPr>
                <w:rFonts w:hint="eastAsia" w:ascii="仿宋_GB2312" w:hAnsi="仿宋" w:eastAsia="仿宋_GB2312" w:cs="仿宋"/>
                <w:color w:val="auto"/>
                <w:sz w:val="24"/>
              </w:rPr>
              <w:t>项中启动异常低价投标（响应）审查的数值标准，但是最高不得超过</w:t>
            </w:r>
            <w:r>
              <w:rPr>
                <w:rFonts w:ascii="仿宋_GB2312" w:hAnsi="仿宋" w:eastAsia="仿宋_GB2312" w:cs="仿宋"/>
                <w:color w:val="auto"/>
                <w:sz w:val="24"/>
              </w:rPr>
              <w:t>65%</w:t>
            </w:r>
            <w:r>
              <w:rPr>
                <w:rFonts w:hint="eastAsia" w:ascii="仿宋_GB2312" w:hAnsi="仿宋" w:eastAsia="仿宋_GB2312" w:cs="仿宋"/>
                <w:color w:val="auto"/>
                <w:sz w:val="24"/>
              </w:rPr>
              <w:t>。</w:t>
            </w:r>
          </w:p>
          <w:p w14:paraId="14438801">
            <w:pPr>
              <w:pStyle w:val="2"/>
              <w:rPr>
                <w:rFonts w:ascii="仿宋_GB2312" w:hAnsi="仿宋" w:eastAsia="仿宋_GB2312" w:cs="仿宋"/>
                <w:color w:val="auto"/>
                <w:sz w:val="24"/>
                <w:szCs w:val="24"/>
              </w:rPr>
            </w:pPr>
            <w:r>
              <w:rPr>
                <w:rFonts w:hint="eastAsia" w:ascii="仿宋_GB2312" w:hAnsi="仿宋" w:eastAsia="仿宋_GB2312" w:cs="仿宋"/>
                <w:color w:val="auto"/>
                <w:sz w:val="24"/>
                <w:szCs w:val="24"/>
              </w:rPr>
              <w:t>相关法律法规对供应商报价有规定的，从其规定。</w:t>
            </w:r>
          </w:p>
          <w:p w14:paraId="058360E2">
            <w:pPr>
              <w:autoSpaceDE w:val="0"/>
              <w:autoSpaceDN w:val="0"/>
              <w:adjustRightInd w:val="0"/>
              <w:jc w:val="left"/>
              <w:rPr>
                <w:rFonts w:ascii="仿宋_GB2312" w:hAnsi="仿宋" w:eastAsia="仿宋_GB2312" w:cs="仿宋"/>
                <w:color w:val="auto"/>
                <w:sz w:val="24"/>
              </w:rPr>
            </w:pPr>
            <w:r>
              <w:rPr>
                <w:rFonts w:hint="eastAsia" w:ascii="仿宋_GB2312" w:hAnsi="仿宋" w:eastAsia="仿宋_GB2312" w:cs="仿宋"/>
                <w:color w:val="auto"/>
                <w:sz w:val="24"/>
              </w:rPr>
              <w:t>（二）评审委员会启动异常低价投标（响应）审查后，属于前述第</w:t>
            </w:r>
            <w:r>
              <w:rPr>
                <w:rFonts w:ascii="仿宋_GB2312" w:hAnsi="仿宋" w:eastAsia="仿宋_GB2312" w:cs="仿宋"/>
                <w:color w:val="auto"/>
                <w:sz w:val="24"/>
              </w:rPr>
              <w:t>1</w:t>
            </w:r>
            <w:r>
              <w:rPr>
                <w:rFonts w:hint="eastAsia" w:ascii="仿宋_GB2312" w:hAnsi="仿宋" w:eastAsia="仿宋_GB2312" w:cs="仿宋"/>
                <w:color w:val="auto"/>
                <w:sz w:val="24"/>
              </w:rPr>
              <w:t>项至第</w:t>
            </w:r>
            <w:r>
              <w:rPr>
                <w:rFonts w:ascii="仿宋_GB2312" w:hAnsi="仿宋" w:eastAsia="仿宋_GB2312" w:cs="仿宋"/>
                <w:color w:val="auto"/>
                <w:sz w:val="24"/>
              </w:rPr>
              <w:t>4</w:t>
            </w:r>
            <w:r>
              <w:rPr>
                <w:rFonts w:hint="eastAsia" w:ascii="仿宋_GB2312" w:hAnsi="仿宋" w:eastAsia="仿宋_GB2312" w:cs="仿宋"/>
                <w:color w:val="auto"/>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仿宋_GB2312" w:hAnsi="仿宋" w:eastAsia="仿宋_GB2312" w:cs="仿宋"/>
                <w:color w:val="auto"/>
                <w:sz w:val="24"/>
              </w:rPr>
              <w:t>30</w:t>
            </w:r>
            <w:r>
              <w:rPr>
                <w:rFonts w:hint="eastAsia" w:ascii="仿宋_GB2312" w:hAnsi="仿宋" w:eastAsia="仿宋_GB2312" w:cs="仿宋"/>
                <w:color w:val="auto"/>
                <w:sz w:val="24"/>
              </w:rPr>
              <w:t>分钟。其中，属于第</w:t>
            </w:r>
            <w:r>
              <w:rPr>
                <w:rFonts w:ascii="仿宋_GB2312" w:hAnsi="仿宋" w:eastAsia="仿宋_GB2312" w:cs="仿宋"/>
                <w:color w:val="auto"/>
                <w:sz w:val="24"/>
              </w:rPr>
              <w:t>3</w:t>
            </w:r>
            <w:r>
              <w:rPr>
                <w:rFonts w:hint="eastAsia" w:ascii="仿宋_GB2312" w:hAnsi="仿宋" w:eastAsia="仿宋_GB2312" w:cs="仿宋"/>
                <w:color w:val="auto"/>
                <w:sz w:val="24"/>
              </w:rPr>
              <w:t>项情形，供应商已随投标（响应）文件一并</w:t>
            </w:r>
          </w:p>
          <w:p w14:paraId="2660AEE9">
            <w:pPr>
              <w:pStyle w:val="2"/>
              <w:rPr>
                <w:rFonts w:ascii="仿宋_GB2312" w:hAnsi="仿宋" w:eastAsia="仿宋_GB2312" w:cs="仿宋"/>
                <w:color w:val="auto"/>
                <w:sz w:val="24"/>
                <w:szCs w:val="24"/>
              </w:rPr>
            </w:pPr>
            <w:r>
              <w:rPr>
                <w:rFonts w:hint="eastAsia" w:ascii="仿宋_GB2312" w:hAnsi="仿宋" w:eastAsia="仿宋_GB2312" w:cs="仿宋"/>
                <w:color w:val="auto"/>
                <w:sz w:val="24"/>
                <w:szCs w:val="24"/>
              </w:rPr>
              <w:t>提交相关书面说明及必要的证明材料的，在评审现场可不再重复提交。</w:t>
            </w:r>
          </w:p>
          <w:p w14:paraId="43449D14">
            <w:pPr>
              <w:autoSpaceDE w:val="0"/>
              <w:autoSpaceDN w:val="0"/>
              <w:adjustRightInd w:val="0"/>
              <w:jc w:val="left"/>
              <w:rPr>
                <w:rFonts w:ascii="仿宋_GB2312" w:hAnsi="仿宋" w:eastAsia="仿宋_GB2312" w:cs="仿宋"/>
                <w:color w:val="auto"/>
                <w:sz w:val="24"/>
              </w:rPr>
            </w:pPr>
            <w:r>
              <w:rPr>
                <w:rFonts w:hint="eastAsia" w:ascii="仿宋_GB2312" w:hAnsi="仿宋" w:eastAsia="仿宋_GB2312" w:cs="仿宋"/>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F8402D">
            <w:pPr>
              <w:autoSpaceDE w:val="0"/>
              <w:autoSpaceDN w:val="0"/>
              <w:adjustRightInd w:val="0"/>
              <w:jc w:val="left"/>
              <w:rPr>
                <w:rFonts w:ascii="仿宋_GB2312" w:hAnsi="仿宋" w:eastAsia="仿宋_GB2312" w:cs="仿宋"/>
                <w:color w:val="auto"/>
                <w:sz w:val="24"/>
              </w:rPr>
            </w:pPr>
            <w:r>
              <w:rPr>
                <w:rFonts w:hint="eastAsia" w:ascii="仿宋_GB2312" w:hAnsi="仿宋" w:eastAsia="仿宋_GB2312" w:cs="仿宋"/>
                <w:color w:val="auto"/>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7991E24A">
            <w:pPr>
              <w:autoSpaceDE w:val="0"/>
              <w:autoSpaceDN w:val="0"/>
              <w:adjustRightInd w:val="0"/>
              <w:jc w:val="left"/>
              <w:rPr>
                <w:rFonts w:ascii="仿宋_GB2312" w:hAnsi="仿宋" w:eastAsia="仿宋_GB2312" w:cs="仿宋"/>
                <w:color w:val="auto"/>
                <w:sz w:val="24"/>
              </w:rPr>
            </w:pPr>
            <w:r>
              <w:rPr>
                <w:rFonts w:hint="eastAsia" w:ascii="仿宋_GB2312" w:hAnsi="仿宋" w:eastAsia="仿宋_GB2312" w:cs="仿宋"/>
                <w:color w:val="auto"/>
                <w:sz w:val="24"/>
              </w:rPr>
              <w:t>（三</w:t>
            </w:r>
            <w:r>
              <w:rPr>
                <w:rFonts w:hint="eastAsia" w:ascii="仿宋_GB2312" w:hAnsi="仿宋" w:eastAsia="仿宋_GB2312" w:cs="仿宋"/>
                <w:color w:val="auto"/>
                <w:sz w:val="24"/>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76090FF4">
      <w:pPr>
        <w:spacing w:line="240" w:lineRule="atLeast"/>
        <w:ind w:left="1080" w:leftChars="257" w:hanging="540"/>
        <w:rPr>
          <w:rFonts w:ascii="宋体" w:hAnsi="宋体" w:cs="宋体"/>
          <w:color w:val="auto"/>
          <w:sz w:val="24"/>
        </w:rPr>
        <w:sectPr>
          <w:headerReference r:id="rId9" w:type="default"/>
          <w:footerReference r:id="rId11" w:type="default"/>
          <w:headerReference r:id="rId10" w:type="even"/>
          <w:footerReference r:id="rId12" w:type="even"/>
          <w:pgSz w:w="11906" w:h="16838"/>
          <w:pgMar w:top="1474" w:right="1701" w:bottom="1474" w:left="1701" w:header="851" w:footer="992" w:gutter="0"/>
          <w:cols w:space="720" w:num="1"/>
          <w:docGrid w:linePitch="312" w:charSpace="0"/>
        </w:sectPr>
      </w:pPr>
    </w:p>
    <w:p w14:paraId="18222A39">
      <w:pPr>
        <w:pStyle w:val="3"/>
        <w:numPr>
          <w:ilvl w:val="0"/>
          <w:numId w:val="6"/>
        </w:numPr>
        <w:tabs>
          <w:tab w:val="left" w:pos="0"/>
        </w:tabs>
        <w:spacing w:before="0" w:after="0" w:line="240" w:lineRule="atLeast"/>
        <w:rPr>
          <w:rFonts w:ascii="仿宋" w:hAnsi="仿宋" w:eastAsia="仿宋" w:cs="仿宋"/>
          <w:color w:val="auto"/>
          <w:sz w:val="28"/>
          <w:szCs w:val="28"/>
        </w:rPr>
      </w:pPr>
      <w:bookmarkStart w:id="311" w:name="_Toc507399906"/>
      <w:bookmarkStart w:id="312" w:name="_Toc512937852"/>
      <w:bookmarkStart w:id="313" w:name="_Toc9032"/>
      <w:bookmarkStart w:id="314" w:name="_Toc22779"/>
      <w:bookmarkStart w:id="315" w:name="_Toc218935354"/>
      <w:bookmarkStart w:id="316" w:name="_Toc515647831"/>
      <w:bookmarkStart w:id="317" w:name="_Toc219175638"/>
      <w:bookmarkStart w:id="318" w:name="_Toc9887"/>
      <w:bookmarkStart w:id="319" w:name="_Toc216582825"/>
      <w:bookmarkStart w:id="320" w:name="_Toc507399907"/>
      <w:bookmarkStart w:id="321" w:name="_Toc23331"/>
      <w:bookmarkStart w:id="322" w:name="_Toc218935355"/>
      <w:bookmarkStart w:id="323" w:name="_Toc216582826"/>
      <w:bookmarkStart w:id="324" w:name="_Toc219175639"/>
      <w:bookmarkStart w:id="325" w:name="_Toc515647832"/>
      <w:bookmarkStart w:id="326" w:name="_Toc32647"/>
      <w:bookmarkStart w:id="327" w:name="_Toc7971"/>
      <w:r>
        <w:rPr>
          <w:rFonts w:hint="eastAsia" w:ascii="仿宋" w:hAnsi="仿宋" w:eastAsia="仿宋" w:cs="仿宋"/>
          <w:color w:val="auto"/>
        </w:rPr>
        <w:t xml:space="preserve">  </w:t>
      </w:r>
      <w:bookmarkEnd w:id="311"/>
      <w:bookmarkEnd w:id="312"/>
      <w:bookmarkEnd w:id="313"/>
      <w:bookmarkEnd w:id="314"/>
      <w:bookmarkEnd w:id="315"/>
      <w:bookmarkEnd w:id="316"/>
      <w:bookmarkEnd w:id="317"/>
      <w:bookmarkEnd w:id="318"/>
      <w:bookmarkEnd w:id="319"/>
      <w:bookmarkStart w:id="328" w:name="_Toc32657"/>
      <w:bookmarkStart w:id="329" w:name="_Toc17024"/>
      <w:r>
        <w:rPr>
          <w:rFonts w:hint="eastAsia" w:ascii="仿宋" w:hAnsi="仿宋" w:eastAsia="仿宋" w:cs="仿宋"/>
          <w:color w:val="auto"/>
          <w:sz w:val="28"/>
          <w:szCs w:val="28"/>
        </w:rPr>
        <w:t>服务需求一览表及项目要求</w:t>
      </w:r>
      <w:bookmarkEnd w:id="328"/>
      <w:bookmarkEnd w:id="329"/>
    </w:p>
    <w:p w14:paraId="13046111">
      <w:pPr>
        <w:pStyle w:val="9"/>
        <w:spacing w:line="500" w:lineRule="exact"/>
        <w:ind w:firstLine="560" w:firstLineChars="200"/>
        <w:jc w:val="both"/>
        <w:rPr>
          <w:rFonts w:ascii="仿宋" w:hAnsi="仿宋" w:eastAsia="仿宋" w:cs="宋体"/>
          <w:color w:val="auto"/>
          <w:sz w:val="28"/>
          <w:szCs w:val="28"/>
        </w:rPr>
      </w:pPr>
      <w:r>
        <w:rPr>
          <w:rFonts w:hint="eastAsia" w:ascii="仿宋" w:hAnsi="仿宋" w:eastAsia="仿宋" w:cs="宋体"/>
          <w:color w:val="auto"/>
          <w:sz w:val="28"/>
          <w:szCs w:val="28"/>
        </w:rPr>
        <w:t>项目目标：为贯彻落实《中共中央国务院关于建立国土空间规划体系并监督实施的若干意见》（中发〔2019〕18 号）、《自治区党委 自治区人民政府关于建立国土空间规划体系并监督实施的意见》（新党发〔2020〕18 号）、等文件精神，根据《新疆维吾尔自治区乡（镇）国土空间总体规划编制技术指南（试行）（2022年版）》等技术要求，按照《自治区自然资源厅2023年工作要点》及喀什地区自然资源局编写的《喀什地区乡（镇）国土空间总体规划和村庄规划编制三年行动方案》，为加快推进城镇国土空间总体规划（编制详细规划）工作，</w:t>
      </w:r>
      <w:r>
        <w:rPr>
          <w:rFonts w:hint="eastAsia" w:ascii="仿宋" w:hAnsi="仿宋" w:eastAsia="仿宋" w:cs="宋体"/>
          <w:color w:val="auto"/>
          <w:sz w:val="28"/>
          <w:szCs w:val="28"/>
        </w:rPr>
        <w:t>开展伽师县城镇单元详细规划1:500基础地形测绘项目。</w:t>
      </w:r>
    </w:p>
    <w:p w14:paraId="7F26666E">
      <w:pPr>
        <w:pStyle w:val="10"/>
        <w:tabs>
          <w:tab w:val="left" w:pos="420"/>
        </w:tabs>
        <w:spacing w:before="0" w:line="500" w:lineRule="exact"/>
        <w:ind w:firstLine="562" w:firstLineChars="200"/>
        <w:jc w:val="center"/>
        <w:rPr>
          <w:rFonts w:ascii="仿宋" w:hAnsi="仿宋" w:eastAsia="仿宋" w:cs="仿宋"/>
          <w:b/>
          <w:color w:val="auto"/>
          <w:sz w:val="28"/>
          <w:szCs w:val="28"/>
        </w:rPr>
      </w:pPr>
      <w:r>
        <w:rPr>
          <w:rFonts w:hint="eastAsia" w:ascii="仿宋" w:hAnsi="仿宋" w:eastAsia="仿宋" w:cs="仿宋"/>
          <w:b/>
          <w:color w:val="auto"/>
          <w:sz w:val="28"/>
          <w:szCs w:val="28"/>
        </w:rPr>
        <w:t>伽师县城镇单元详细规划1:500基础</w:t>
      </w:r>
      <w:r>
        <w:rPr>
          <w:rFonts w:hint="eastAsia" w:ascii="仿宋" w:hAnsi="仿宋" w:eastAsia="仿宋" w:cs="仿宋"/>
          <w:b/>
          <w:color w:val="auto"/>
          <w:sz w:val="28"/>
          <w:szCs w:val="28"/>
        </w:rPr>
        <w:t>地形测绘项目（第一包：工业园区及建制镇）服务需求及项</w:t>
      </w:r>
      <w:r>
        <w:rPr>
          <w:rFonts w:hint="eastAsia" w:ascii="仿宋" w:hAnsi="仿宋" w:eastAsia="仿宋" w:cs="仿宋"/>
          <w:b/>
          <w:color w:val="auto"/>
          <w:sz w:val="28"/>
          <w:szCs w:val="28"/>
        </w:rPr>
        <w:t>目要求</w:t>
      </w:r>
    </w:p>
    <w:p w14:paraId="256AC14C">
      <w:pPr>
        <w:pStyle w:val="10"/>
        <w:overflowPunct w:val="0"/>
        <w:spacing w:before="0" w:line="400" w:lineRule="exact"/>
        <w:rPr>
          <w:rFonts w:ascii="仿宋" w:hAnsi="仿宋" w:eastAsia="仿宋" w:cs="宋体"/>
          <w:b/>
          <w:bCs/>
          <w:color w:val="auto"/>
          <w:sz w:val="28"/>
          <w:szCs w:val="28"/>
          <w:lang w:bidi="ar"/>
        </w:rPr>
      </w:pPr>
      <w:bookmarkStart w:id="330" w:name="_Toc28273"/>
      <w:r>
        <w:rPr>
          <w:rFonts w:hint="eastAsia" w:ascii="仿宋" w:hAnsi="仿宋" w:eastAsia="仿宋" w:cs="宋体"/>
          <w:b/>
          <w:bCs/>
          <w:color w:val="auto"/>
          <w:sz w:val="28"/>
          <w:szCs w:val="28"/>
          <w:lang w:bidi="ar"/>
        </w:rPr>
        <w:t>一、工作内容</w:t>
      </w:r>
      <w:bookmarkEnd w:id="330"/>
    </w:p>
    <w:p w14:paraId="1A1E0AF7">
      <w:pPr>
        <w:pStyle w:val="9"/>
        <w:spacing w:line="500" w:lineRule="exact"/>
        <w:ind w:firstLine="560" w:firstLineChars="200"/>
        <w:jc w:val="both"/>
        <w:rPr>
          <w:rFonts w:ascii="仿宋" w:hAnsi="仿宋" w:eastAsia="仿宋" w:cs="宋体"/>
          <w:color w:val="auto"/>
          <w:sz w:val="28"/>
          <w:szCs w:val="28"/>
        </w:rPr>
      </w:pPr>
      <w:bookmarkStart w:id="331" w:name="_Toc9553"/>
      <w:r>
        <w:rPr>
          <w:rFonts w:hint="eastAsia" w:ascii="仿宋" w:hAnsi="仿宋" w:eastAsia="仿宋" w:cs="宋体"/>
          <w:color w:val="auto"/>
          <w:sz w:val="28"/>
          <w:szCs w:val="28"/>
        </w:rPr>
        <w:t>完成伽师县工业园区及建制镇19.2平方公里的区域开展1:500基础地形数据测绘，为伽师县工业园区及建制镇详细规划编制提供数据支撑。</w:t>
      </w:r>
    </w:p>
    <w:p w14:paraId="58D9FF6D">
      <w:pPr>
        <w:pStyle w:val="9"/>
        <w:spacing w:line="500" w:lineRule="exact"/>
        <w:ind w:firstLine="560" w:firstLineChars="200"/>
        <w:jc w:val="both"/>
        <w:rPr>
          <w:rFonts w:ascii="仿宋" w:hAnsi="仿宋" w:eastAsia="仿宋" w:cs="宋体"/>
          <w:color w:val="auto"/>
          <w:sz w:val="28"/>
          <w:szCs w:val="28"/>
        </w:rPr>
      </w:pPr>
      <w:r>
        <w:rPr>
          <w:rFonts w:hint="eastAsia" w:ascii="仿宋" w:hAnsi="仿宋" w:eastAsia="仿宋" w:cs="宋体"/>
          <w:color w:val="auto"/>
          <w:sz w:val="28"/>
          <w:szCs w:val="28"/>
        </w:rPr>
        <w:t>采用无人机低空航空摄影立体测图的方法或倾斜摄影实景三维采集地形图的技术方法制作1∶500数字线划图和数字正射影像。如果因测区处于机场或其他无法申请到无人机飞行空域的地区，则采用全野外数字测量的方法制作1∶500数字线划图成果，不再制作数字正射影像图成果。</w:t>
      </w:r>
    </w:p>
    <w:p w14:paraId="71BEF3CA">
      <w:pPr>
        <w:pStyle w:val="10"/>
        <w:overflowPunct w:val="0"/>
        <w:spacing w:before="0" w:line="400" w:lineRule="exact"/>
        <w:rPr>
          <w:rFonts w:ascii="仿宋" w:hAnsi="仿宋" w:eastAsia="仿宋" w:cs="宋体"/>
          <w:b/>
          <w:bCs/>
          <w:color w:val="auto"/>
          <w:sz w:val="28"/>
          <w:szCs w:val="28"/>
          <w:lang w:bidi="ar"/>
        </w:rPr>
      </w:pPr>
      <w:r>
        <w:rPr>
          <w:rFonts w:hint="eastAsia" w:ascii="仿宋" w:hAnsi="仿宋" w:eastAsia="仿宋" w:cs="宋体"/>
          <w:b/>
          <w:bCs/>
          <w:color w:val="auto"/>
          <w:sz w:val="28"/>
          <w:szCs w:val="28"/>
          <w:lang w:bidi="ar"/>
        </w:rPr>
        <w:t>二、技术指标</w:t>
      </w:r>
    </w:p>
    <w:p w14:paraId="65F4CF0C">
      <w:pPr>
        <w:spacing w:line="400" w:lineRule="exact"/>
        <w:ind w:firstLine="562" w:firstLineChars="200"/>
        <w:outlineLvl w:val="1"/>
        <w:rPr>
          <w:rFonts w:ascii="仿宋" w:hAnsi="仿宋" w:eastAsia="仿宋" w:cs="宋体"/>
          <w:b/>
          <w:bCs/>
          <w:color w:val="auto"/>
          <w:sz w:val="28"/>
          <w:szCs w:val="28"/>
        </w:rPr>
      </w:pPr>
      <w:r>
        <w:rPr>
          <w:rFonts w:hint="eastAsia" w:ascii="仿宋" w:hAnsi="仿宋" w:eastAsia="仿宋" w:cs="宋体"/>
          <w:b/>
          <w:bCs/>
          <w:color w:val="auto"/>
          <w:sz w:val="28"/>
          <w:szCs w:val="28"/>
        </w:rPr>
        <w:t>（1）数学基础</w:t>
      </w:r>
      <w:bookmarkEnd w:id="331"/>
    </w:p>
    <w:p w14:paraId="3E36BBDA">
      <w:pPr>
        <w:spacing w:line="400" w:lineRule="exact"/>
        <w:ind w:firstLine="645"/>
        <w:rPr>
          <w:rFonts w:ascii="仿宋" w:hAnsi="仿宋" w:eastAsia="仿宋" w:cs="宋体"/>
          <w:color w:val="auto"/>
          <w:sz w:val="28"/>
          <w:szCs w:val="28"/>
        </w:rPr>
      </w:pPr>
      <w:bookmarkStart w:id="332" w:name="_Toc31881"/>
      <w:r>
        <w:rPr>
          <w:rFonts w:hint="eastAsia" w:ascii="仿宋" w:hAnsi="仿宋" w:eastAsia="仿宋" w:cs="宋体"/>
          <w:color w:val="auto"/>
          <w:sz w:val="28"/>
          <w:szCs w:val="28"/>
        </w:rPr>
        <w:t>1）平面坐标系统</w:t>
      </w:r>
      <w:bookmarkEnd w:id="332"/>
    </w:p>
    <w:p w14:paraId="28CF2EB8">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2000国家大地坐标系；高斯-克吕格投影，3度分带。</w:t>
      </w:r>
    </w:p>
    <w:p w14:paraId="177049AA">
      <w:pPr>
        <w:spacing w:line="400" w:lineRule="exact"/>
        <w:ind w:firstLine="645"/>
        <w:rPr>
          <w:rFonts w:ascii="仿宋" w:hAnsi="仿宋" w:eastAsia="仿宋" w:cs="宋体"/>
          <w:color w:val="auto"/>
          <w:sz w:val="28"/>
          <w:szCs w:val="28"/>
        </w:rPr>
      </w:pPr>
      <w:bookmarkStart w:id="333" w:name="_Toc119070200"/>
      <w:bookmarkStart w:id="334" w:name="_Toc123289505"/>
      <w:bookmarkStart w:id="335" w:name="_Toc119070333"/>
      <w:bookmarkStart w:id="336" w:name="_Toc22757"/>
      <w:bookmarkStart w:id="337" w:name="_Toc113275723"/>
      <w:r>
        <w:rPr>
          <w:rFonts w:hint="eastAsia" w:ascii="仿宋" w:hAnsi="仿宋" w:eastAsia="仿宋" w:cs="宋体"/>
          <w:color w:val="auto"/>
          <w:sz w:val="28"/>
          <w:szCs w:val="28"/>
        </w:rPr>
        <w:t>2）高程基准</w:t>
      </w:r>
      <w:bookmarkEnd w:id="333"/>
      <w:bookmarkEnd w:id="334"/>
      <w:bookmarkEnd w:id="335"/>
      <w:bookmarkEnd w:id="336"/>
      <w:bookmarkEnd w:id="337"/>
    </w:p>
    <w:p w14:paraId="41D40C4D">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1985国家高程基准。</w:t>
      </w:r>
    </w:p>
    <w:p w14:paraId="6630393B">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3）比例尺</w:t>
      </w:r>
    </w:p>
    <w:p w14:paraId="0BE54AA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成图比例尺为1:500。</w:t>
      </w:r>
    </w:p>
    <w:p w14:paraId="462A0CED">
      <w:pPr>
        <w:spacing w:line="400" w:lineRule="exact"/>
        <w:ind w:firstLine="562" w:firstLineChars="200"/>
        <w:outlineLvl w:val="1"/>
        <w:rPr>
          <w:rFonts w:ascii="仿宋" w:hAnsi="仿宋" w:eastAsia="仿宋" w:cs="宋体"/>
          <w:color w:val="auto"/>
          <w:sz w:val="28"/>
          <w:szCs w:val="28"/>
        </w:rPr>
      </w:pPr>
      <w:r>
        <w:rPr>
          <w:rFonts w:hint="eastAsia" w:ascii="仿宋" w:hAnsi="仿宋" w:eastAsia="仿宋" w:cs="宋体"/>
          <w:b/>
          <w:bCs/>
          <w:color w:val="auto"/>
          <w:sz w:val="28"/>
          <w:szCs w:val="28"/>
        </w:rPr>
        <w:t>（2）采集要素指标</w:t>
      </w:r>
    </w:p>
    <w:p w14:paraId="3E0B819A">
      <w:pPr>
        <w:spacing w:line="400" w:lineRule="exact"/>
        <w:ind w:firstLine="645"/>
        <w:rPr>
          <w:rFonts w:ascii="仿宋" w:hAnsi="仿宋" w:eastAsia="仿宋" w:cs="宋体"/>
          <w:color w:val="auto"/>
          <w:sz w:val="28"/>
          <w:szCs w:val="28"/>
        </w:rPr>
      </w:pPr>
      <w:bookmarkStart w:id="338" w:name="_Toc1052"/>
      <w:r>
        <w:rPr>
          <w:rFonts w:hint="eastAsia" w:ascii="仿宋" w:hAnsi="仿宋" w:eastAsia="仿宋" w:cs="宋体"/>
          <w:color w:val="auto"/>
          <w:sz w:val="28"/>
          <w:szCs w:val="28"/>
        </w:rPr>
        <w:t>依据GB/T20257.1—2017《国家基本比例尺地图图式 第1部分：1:500 1:1000 1:2000地形图图式》。</w:t>
      </w:r>
    </w:p>
    <w:p w14:paraId="15C2C25B">
      <w:pPr>
        <w:spacing w:line="400" w:lineRule="exact"/>
        <w:ind w:firstLine="562" w:firstLineChars="200"/>
        <w:outlineLvl w:val="1"/>
        <w:rPr>
          <w:rFonts w:ascii="仿宋" w:hAnsi="仿宋" w:eastAsia="仿宋" w:cs="宋体"/>
          <w:b/>
          <w:bCs/>
          <w:color w:val="auto"/>
          <w:sz w:val="28"/>
          <w:szCs w:val="28"/>
        </w:rPr>
      </w:pPr>
      <w:r>
        <w:rPr>
          <w:rFonts w:hint="eastAsia" w:ascii="仿宋" w:hAnsi="仿宋" w:eastAsia="仿宋" w:cs="宋体"/>
          <w:b/>
          <w:bCs/>
          <w:color w:val="auto"/>
          <w:sz w:val="28"/>
          <w:szCs w:val="28"/>
        </w:rPr>
        <w:t>（3）精度指标</w:t>
      </w:r>
    </w:p>
    <w:p w14:paraId="245EA514">
      <w:pPr>
        <w:spacing w:line="400" w:lineRule="exact"/>
        <w:ind w:firstLine="562" w:firstLineChars="200"/>
        <w:outlineLvl w:val="1"/>
        <w:rPr>
          <w:rFonts w:ascii="仿宋" w:hAnsi="仿宋" w:eastAsia="仿宋" w:cs="宋体"/>
          <w:b/>
          <w:bCs/>
          <w:color w:val="auto"/>
          <w:sz w:val="28"/>
          <w:szCs w:val="28"/>
        </w:rPr>
      </w:pPr>
      <w:r>
        <w:rPr>
          <w:rFonts w:hint="eastAsia" w:ascii="仿宋" w:hAnsi="仿宋" w:eastAsia="仿宋" w:cs="宋体"/>
          <w:b/>
          <w:bCs/>
          <w:color w:val="auto"/>
          <w:sz w:val="28"/>
          <w:szCs w:val="28"/>
        </w:rPr>
        <w:t>1）数字正射影像图（DOM）技术指标</w:t>
      </w:r>
    </w:p>
    <w:tbl>
      <w:tblPr>
        <w:tblStyle w:val="36"/>
        <w:tblW w:w="7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5164"/>
      </w:tblGrid>
      <w:tr w14:paraId="0479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7" w:type="dxa"/>
            <w:vAlign w:val="center"/>
          </w:tcPr>
          <w:p w14:paraId="4092C8EA">
            <w:pPr>
              <w:jc w:val="center"/>
              <w:rPr>
                <w:rFonts w:ascii="仿宋" w:hAnsi="仿宋" w:eastAsia="仿宋" w:cs="宋体"/>
                <w:color w:val="auto"/>
                <w:sz w:val="28"/>
                <w:szCs w:val="28"/>
              </w:rPr>
            </w:pPr>
            <w:r>
              <w:rPr>
                <w:rFonts w:hint="eastAsia" w:ascii="仿宋" w:hAnsi="仿宋" w:eastAsia="仿宋" w:cs="宋体"/>
                <w:color w:val="auto"/>
                <w:sz w:val="28"/>
                <w:szCs w:val="28"/>
              </w:rPr>
              <w:t>影像地面分辨率</w:t>
            </w:r>
          </w:p>
        </w:tc>
        <w:tc>
          <w:tcPr>
            <w:tcW w:w="5164" w:type="dxa"/>
            <w:vAlign w:val="center"/>
          </w:tcPr>
          <w:p w14:paraId="62B072ED">
            <w:pPr>
              <w:jc w:val="center"/>
              <w:rPr>
                <w:rFonts w:ascii="仿宋" w:hAnsi="仿宋" w:eastAsia="仿宋" w:cs="宋体"/>
                <w:color w:val="auto"/>
                <w:sz w:val="28"/>
                <w:szCs w:val="28"/>
              </w:rPr>
            </w:pPr>
            <w:r>
              <w:rPr>
                <w:rFonts w:hint="eastAsia" w:ascii="仿宋" w:hAnsi="仿宋" w:eastAsia="仿宋" w:cs="宋体"/>
                <w:color w:val="auto"/>
                <w:sz w:val="28"/>
                <w:szCs w:val="28"/>
              </w:rPr>
              <w:t>小于0.05m</w:t>
            </w:r>
          </w:p>
        </w:tc>
      </w:tr>
      <w:tr w14:paraId="5FB6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7" w:type="dxa"/>
            <w:vAlign w:val="center"/>
          </w:tcPr>
          <w:p w14:paraId="2F15D917">
            <w:pPr>
              <w:jc w:val="center"/>
              <w:rPr>
                <w:rFonts w:ascii="仿宋" w:hAnsi="仿宋" w:eastAsia="仿宋" w:cs="宋体"/>
                <w:color w:val="auto"/>
                <w:sz w:val="28"/>
                <w:szCs w:val="28"/>
              </w:rPr>
            </w:pPr>
            <w:r>
              <w:rPr>
                <w:rFonts w:hint="eastAsia" w:ascii="仿宋" w:hAnsi="仿宋" w:eastAsia="仿宋" w:cs="宋体"/>
                <w:color w:val="auto"/>
                <w:sz w:val="28"/>
                <w:szCs w:val="28"/>
              </w:rPr>
              <w:t>颜色</w:t>
            </w:r>
          </w:p>
        </w:tc>
        <w:tc>
          <w:tcPr>
            <w:tcW w:w="5164" w:type="dxa"/>
            <w:vAlign w:val="center"/>
          </w:tcPr>
          <w:p w14:paraId="0A99680D">
            <w:pPr>
              <w:jc w:val="center"/>
              <w:rPr>
                <w:rFonts w:ascii="仿宋" w:hAnsi="仿宋" w:eastAsia="仿宋" w:cs="宋体"/>
                <w:color w:val="auto"/>
                <w:sz w:val="28"/>
                <w:szCs w:val="28"/>
              </w:rPr>
            </w:pPr>
            <w:r>
              <w:rPr>
                <w:rFonts w:hint="eastAsia" w:ascii="仿宋" w:hAnsi="仿宋" w:eastAsia="仿宋" w:cs="宋体"/>
                <w:color w:val="auto"/>
                <w:sz w:val="28"/>
                <w:szCs w:val="28"/>
              </w:rPr>
              <w:t>彩色</w:t>
            </w:r>
          </w:p>
        </w:tc>
      </w:tr>
      <w:tr w14:paraId="63D1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7" w:type="dxa"/>
            <w:vAlign w:val="center"/>
          </w:tcPr>
          <w:p w14:paraId="009F868E">
            <w:pPr>
              <w:rPr>
                <w:rFonts w:ascii="仿宋" w:hAnsi="仿宋" w:eastAsia="仿宋" w:cs="宋体"/>
                <w:color w:val="auto"/>
                <w:sz w:val="28"/>
                <w:szCs w:val="28"/>
              </w:rPr>
            </w:pPr>
            <w:r>
              <w:rPr>
                <w:rFonts w:hint="eastAsia" w:ascii="仿宋" w:hAnsi="仿宋" w:eastAsia="仿宋" w:cs="宋体"/>
                <w:color w:val="auto"/>
                <w:sz w:val="28"/>
                <w:szCs w:val="28"/>
              </w:rPr>
              <w:t>明显地物点平面中误差</w:t>
            </w:r>
          </w:p>
        </w:tc>
        <w:tc>
          <w:tcPr>
            <w:tcW w:w="5164" w:type="dxa"/>
            <w:vAlign w:val="center"/>
          </w:tcPr>
          <w:p w14:paraId="25541747">
            <w:pPr>
              <w:jc w:val="center"/>
              <w:rPr>
                <w:rFonts w:ascii="仿宋" w:hAnsi="仿宋" w:eastAsia="仿宋" w:cs="宋体"/>
                <w:color w:val="auto"/>
                <w:sz w:val="28"/>
                <w:szCs w:val="28"/>
              </w:rPr>
            </w:pPr>
            <w:r>
              <w:rPr>
                <w:rFonts w:hint="eastAsia" w:ascii="仿宋" w:hAnsi="仿宋" w:eastAsia="仿宋" w:cs="宋体"/>
                <w:color w:val="auto"/>
                <w:sz w:val="28"/>
                <w:szCs w:val="28"/>
              </w:rPr>
              <w:t>≤0.3m（相对于附近野外控制点）</w:t>
            </w:r>
          </w:p>
        </w:tc>
      </w:tr>
      <w:tr w14:paraId="4F28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1" w:type="dxa"/>
            <w:gridSpan w:val="2"/>
            <w:vAlign w:val="center"/>
          </w:tcPr>
          <w:p w14:paraId="31C93DE2">
            <w:pPr>
              <w:rPr>
                <w:rFonts w:ascii="仿宋" w:hAnsi="仿宋" w:eastAsia="仿宋" w:cs="宋体"/>
                <w:color w:val="auto"/>
                <w:sz w:val="28"/>
                <w:szCs w:val="28"/>
              </w:rPr>
            </w:pPr>
            <w:r>
              <w:rPr>
                <w:rFonts w:hint="eastAsia" w:ascii="仿宋" w:hAnsi="仿宋" w:eastAsia="仿宋" w:cs="宋体"/>
                <w:color w:val="auto"/>
                <w:sz w:val="28"/>
                <w:szCs w:val="28"/>
              </w:rPr>
              <w:t>1、两倍中误差为最大限差；</w:t>
            </w:r>
          </w:p>
          <w:p w14:paraId="5C01C0A0">
            <w:pPr>
              <w:rPr>
                <w:rFonts w:ascii="仿宋" w:hAnsi="仿宋" w:eastAsia="仿宋" w:cs="宋体"/>
                <w:color w:val="auto"/>
                <w:sz w:val="28"/>
                <w:szCs w:val="28"/>
              </w:rPr>
            </w:pPr>
            <w:r>
              <w:rPr>
                <w:rFonts w:hint="eastAsia" w:ascii="仿宋" w:hAnsi="仿宋" w:eastAsia="仿宋" w:cs="宋体"/>
                <w:color w:val="auto"/>
                <w:sz w:val="28"/>
                <w:szCs w:val="28"/>
              </w:rPr>
              <w:t>2、特殊困难地区（如林区、阴影覆盖隐蔽区、高杆农作物区、房屋密集区及地貌破碎的河床地带、大面积施工区等）平面、高程中误差可放宽0.5倍。</w:t>
            </w:r>
          </w:p>
        </w:tc>
      </w:tr>
    </w:tbl>
    <w:p w14:paraId="60018207">
      <w:pPr>
        <w:spacing w:line="400" w:lineRule="exact"/>
        <w:ind w:firstLine="562" w:firstLineChars="200"/>
        <w:outlineLvl w:val="1"/>
        <w:rPr>
          <w:rFonts w:ascii="仿宋" w:hAnsi="仿宋" w:eastAsia="仿宋" w:cs="宋体"/>
          <w:b/>
          <w:bCs/>
          <w:color w:val="auto"/>
          <w:sz w:val="28"/>
          <w:szCs w:val="28"/>
        </w:rPr>
      </w:pPr>
      <w:bookmarkStart w:id="339" w:name="_Toc140329179"/>
      <w:bookmarkStart w:id="340" w:name="_Toc4026"/>
      <w:r>
        <w:rPr>
          <w:rFonts w:hint="eastAsia" w:ascii="仿宋" w:hAnsi="仿宋" w:eastAsia="仿宋" w:cs="宋体"/>
          <w:b/>
          <w:bCs/>
          <w:color w:val="auto"/>
          <w:sz w:val="28"/>
          <w:szCs w:val="28"/>
        </w:rPr>
        <w:t>2）数字线划图（DLG）</w:t>
      </w:r>
      <w:bookmarkEnd w:id="339"/>
      <w:bookmarkEnd w:id="340"/>
    </w:p>
    <w:p w14:paraId="136897C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图上地物点相对附近野外控制点的平面位置中误差，高程注记点和等高线相对附近野外控制点的高程中误差。</w:t>
      </w:r>
    </w:p>
    <w:tbl>
      <w:tblPr>
        <w:tblStyle w:val="36"/>
        <w:tblW w:w="7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320"/>
        <w:gridCol w:w="4040"/>
      </w:tblGrid>
      <w:tr w14:paraId="589F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1" w:type="dxa"/>
            <w:gridSpan w:val="2"/>
            <w:vAlign w:val="center"/>
          </w:tcPr>
          <w:p w14:paraId="2D4761A3">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成图比例尺</w:t>
            </w:r>
          </w:p>
        </w:tc>
        <w:tc>
          <w:tcPr>
            <w:tcW w:w="4040" w:type="dxa"/>
            <w:vAlign w:val="center"/>
          </w:tcPr>
          <w:p w14:paraId="4C74893E">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1:500</w:t>
            </w:r>
          </w:p>
        </w:tc>
      </w:tr>
      <w:tr w14:paraId="742E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41" w:type="dxa"/>
            <w:gridSpan w:val="2"/>
            <w:vAlign w:val="center"/>
          </w:tcPr>
          <w:p w14:paraId="54B378AA">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地形类别</w:t>
            </w:r>
          </w:p>
        </w:tc>
        <w:tc>
          <w:tcPr>
            <w:tcW w:w="4040" w:type="dxa"/>
            <w:vAlign w:val="center"/>
          </w:tcPr>
          <w:p w14:paraId="1FC60EE9">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平地</w:t>
            </w:r>
          </w:p>
        </w:tc>
      </w:tr>
      <w:tr w14:paraId="7FEC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41" w:type="dxa"/>
            <w:gridSpan w:val="2"/>
            <w:vAlign w:val="center"/>
          </w:tcPr>
          <w:p w14:paraId="70AFD8DF">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基本等高距</w:t>
            </w:r>
          </w:p>
        </w:tc>
        <w:tc>
          <w:tcPr>
            <w:tcW w:w="4040" w:type="dxa"/>
            <w:vAlign w:val="center"/>
          </w:tcPr>
          <w:p w14:paraId="79584804">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0.5m</w:t>
            </w:r>
          </w:p>
        </w:tc>
      </w:tr>
      <w:tr w14:paraId="2A5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421" w:type="dxa"/>
            <w:vAlign w:val="center"/>
          </w:tcPr>
          <w:p w14:paraId="03D7773E">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平面点位中误差</w:t>
            </w:r>
          </w:p>
        </w:tc>
        <w:tc>
          <w:tcPr>
            <w:tcW w:w="1320" w:type="dxa"/>
            <w:vAlign w:val="center"/>
          </w:tcPr>
          <w:p w14:paraId="34980207">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一般区域</w:t>
            </w:r>
          </w:p>
        </w:tc>
        <w:tc>
          <w:tcPr>
            <w:tcW w:w="4040" w:type="dxa"/>
            <w:vAlign w:val="center"/>
          </w:tcPr>
          <w:p w14:paraId="0C3A8A04">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0.3m</w:t>
            </w:r>
          </w:p>
        </w:tc>
      </w:tr>
      <w:tr w14:paraId="4351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21" w:type="dxa"/>
            <w:vMerge w:val="restart"/>
            <w:vAlign w:val="center"/>
          </w:tcPr>
          <w:p w14:paraId="037ABAE3">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高程中误差</w:t>
            </w:r>
          </w:p>
        </w:tc>
        <w:tc>
          <w:tcPr>
            <w:tcW w:w="1320" w:type="dxa"/>
            <w:vAlign w:val="center"/>
          </w:tcPr>
          <w:p w14:paraId="0B68F1B2">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注记点</w:t>
            </w:r>
          </w:p>
        </w:tc>
        <w:tc>
          <w:tcPr>
            <w:tcW w:w="4040" w:type="dxa"/>
            <w:vAlign w:val="center"/>
          </w:tcPr>
          <w:p w14:paraId="63A6D897">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0.2m</w:t>
            </w:r>
          </w:p>
        </w:tc>
      </w:tr>
      <w:tr w14:paraId="1746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421" w:type="dxa"/>
            <w:vMerge w:val="continue"/>
            <w:vAlign w:val="center"/>
          </w:tcPr>
          <w:p w14:paraId="3150DC0E">
            <w:pPr>
              <w:ind w:firstLine="420"/>
              <w:jc w:val="center"/>
              <w:rPr>
                <w:rFonts w:ascii="仿宋" w:hAnsi="仿宋" w:eastAsia="仿宋" w:cs="宋体"/>
                <w:color w:val="auto"/>
                <w:kern w:val="0"/>
                <w:sz w:val="28"/>
                <w:szCs w:val="28"/>
              </w:rPr>
            </w:pPr>
          </w:p>
        </w:tc>
        <w:tc>
          <w:tcPr>
            <w:tcW w:w="1320" w:type="dxa"/>
            <w:vAlign w:val="center"/>
          </w:tcPr>
          <w:p w14:paraId="51A685F3">
            <w:pPr>
              <w:ind w:firstLine="56" w:firstLineChars="20"/>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等高线</w:t>
            </w:r>
          </w:p>
        </w:tc>
        <w:tc>
          <w:tcPr>
            <w:tcW w:w="4040" w:type="dxa"/>
            <w:vAlign w:val="center"/>
          </w:tcPr>
          <w:p w14:paraId="4E7232B0">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0.25m</w:t>
            </w:r>
          </w:p>
        </w:tc>
      </w:tr>
      <w:tr w14:paraId="260B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1" w:type="dxa"/>
            <w:gridSpan w:val="3"/>
            <w:vAlign w:val="center"/>
          </w:tcPr>
          <w:p w14:paraId="30290EF1">
            <w:pPr>
              <w:rPr>
                <w:rFonts w:ascii="仿宋" w:hAnsi="仿宋" w:eastAsia="仿宋" w:cs="宋体"/>
                <w:color w:val="auto"/>
                <w:kern w:val="0"/>
                <w:sz w:val="28"/>
                <w:szCs w:val="28"/>
              </w:rPr>
            </w:pPr>
            <w:r>
              <w:rPr>
                <w:rFonts w:hint="eastAsia" w:ascii="仿宋" w:hAnsi="仿宋" w:eastAsia="仿宋" w:cs="宋体"/>
                <w:color w:val="auto"/>
                <w:kern w:val="0"/>
                <w:sz w:val="28"/>
                <w:szCs w:val="28"/>
              </w:rPr>
              <w:t>1、两倍中误差为最大限差；</w:t>
            </w:r>
          </w:p>
          <w:p w14:paraId="7792AD0E">
            <w:pPr>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2、特殊困难地区（如林区、阴影覆盖隐蔽区、高杆农作物区、房屋密集区及地貌破碎的河床地带、大面积施工区等）平面、高程中误差可放宽0.5倍。</w:t>
            </w:r>
          </w:p>
        </w:tc>
      </w:tr>
    </w:tbl>
    <w:p w14:paraId="3A175BE6">
      <w:pPr>
        <w:spacing w:line="400" w:lineRule="exact"/>
        <w:outlineLvl w:val="1"/>
        <w:rPr>
          <w:rFonts w:ascii="仿宋" w:hAnsi="仿宋" w:eastAsia="仿宋" w:cs="宋体"/>
          <w:b/>
          <w:bCs/>
          <w:color w:val="auto"/>
          <w:sz w:val="28"/>
          <w:szCs w:val="28"/>
        </w:rPr>
      </w:pPr>
      <w:r>
        <w:rPr>
          <w:rFonts w:hint="eastAsia" w:ascii="仿宋" w:hAnsi="仿宋" w:eastAsia="仿宋" w:cs="宋体"/>
          <w:b/>
          <w:bCs/>
          <w:color w:val="auto"/>
          <w:sz w:val="28"/>
          <w:szCs w:val="28"/>
        </w:rPr>
        <w:t>三、质量控制</w:t>
      </w:r>
    </w:p>
    <w:p w14:paraId="5C64D962">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按照全过程管理的原则开展质量控制，实行“两级检查、一级验收”制度。作业单位负责数据成果质量的“两级检查”，县级自然资源主管部门组织数据成果的检查与验收，确保数据成果的真实性、准确性、完成性和规范性。</w:t>
      </w:r>
    </w:p>
    <w:p w14:paraId="13AD81CD">
      <w:pPr>
        <w:spacing w:line="400" w:lineRule="exact"/>
        <w:outlineLvl w:val="1"/>
        <w:rPr>
          <w:rFonts w:ascii="仿宋" w:hAnsi="仿宋" w:eastAsia="仿宋" w:cs="宋体"/>
          <w:b/>
          <w:bCs/>
          <w:color w:val="auto"/>
          <w:sz w:val="28"/>
          <w:szCs w:val="28"/>
        </w:rPr>
      </w:pPr>
      <w:r>
        <w:rPr>
          <w:rFonts w:hint="eastAsia" w:ascii="仿宋" w:hAnsi="仿宋" w:eastAsia="仿宋" w:cs="宋体"/>
          <w:b/>
          <w:bCs/>
          <w:color w:val="auto"/>
          <w:sz w:val="28"/>
          <w:szCs w:val="28"/>
        </w:rPr>
        <w:t>四、成果内容</w:t>
      </w:r>
      <w:bookmarkEnd w:id="338"/>
    </w:p>
    <w:tbl>
      <w:tblPr>
        <w:tblStyle w:val="36"/>
        <w:tblpPr w:leftFromText="180" w:rightFromText="180" w:vertAnchor="text" w:horzAnchor="page" w:tblpX="2001" w:tblpY="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3796"/>
        <w:gridCol w:w="2085"/>
      </w:tblGrid>
      <w:tr w14:paraId="12D8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11E25841">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分类</w:t>
            </w:r>
          </w:p>
        </w:tc>
        <w:tc>
          <w:tcPr>
            <w:tcW w:w="3796" w:type="dxa"/>
            <w:vAlign w:val="center"/>
          </w:tcPr>
          <w:p w14:paraId="78BCD6D2">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基本要求</w:t>
            </w:r>
          </w:p>
        </w:tc>
        <w:tc>
          <w:tcPr>
            <w:tcW w:w="2085" w:type="dxa"/>
            <w:vAlign w:val="center"/>
          </w:tcPr>
          <w:p w14:paraId="64C11960">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格式要求</w:t>
            </w:r>
          </w:p>
        </w:tc>
      </w:tr>
      <w:tr w14:paraId="10A1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189BAA00">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正射影像成果</w:t>
            </w:r>
          </w:p>
        </w:tc>
        <w:tc>
          <w:tcPr>
            <w:tcW w:w="3796" w:type="dxa"/>
            <w:vAlign w:val="center"/>
          </w:tcPr>
          <w:p w14:paraId="289C8A7F">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按村界镶嵌汇交</w:t>
            </w:r>
          </w:p>
        </w:tc>
        <w:tc>
          <w:tcPr>
            <w:tcW w:w="2085" w:type="dxa"/>
            <w:vAlign w:val="center"/>
          </w:tcPr>
          <w:p w14:paraId="5FFC1F3F">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TIF</w:t>
            </w:r>
          </w:p>
        </w:tc>
      </w:tr>
      <w:tr w14:paraId="4168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00AF97E2">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建库数据成果</w:t>
            </w:r>
          </w:p>
        </w:tc>
        <w:tc>
          <w:tcPr>
            <w:tcW w:w="3796" w:type="dxa"/>
            <w:vAlign w:val="center"/>
          </w:tcPr>
          <w:p w14:paraId="42D7AFA5">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按分幅和村界合图汇交</w:t>
            </w:r>
          </w:p>
        </w:tc>
        <w:tc>
          <w:tcPr>
            <w:tcW w:w="2085" w:type="dxa"/>
            <w:vAlign w:val="center"/>
          </w:tcPr>
          <w:p w14:paraId="542B7010">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MDB</w:t>
            </w:r>
          </w:p>
        </w:tc>
      </w:tr>
      <w:tr w14:paraId="3653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06E5F55C">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制图数据成果</w:t>
            </w:r>
          </w:p>
        </w:tc>
        <w:tc>
          <w:tcPr>
            <w:tcW w:w="3796" w:type="dxa"/>
            <w:vAlign w:val="center"/>
          </w:tcPr>
          <w:p w14:paraId="0341D3BD">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按分幅和村界合图汇交</w:t>
            </w:r>
          </w:p>
        </w:tc>
        <w:tc>
          <w:tcPr>
            <w:tcW w:w="2085" w:type="dxa"/>
            <w:vAlign w:val="center"/>
          </w:tcPr>
          <w:p w14:paraId="1D8A51E7">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DWG</w:t>
            </w:r>
          </w:p>
        </w:tc>
      </w:tr>
      <w:tr w14:paraId="6D1A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658419D3">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仪器检定资料</w:t>
            </w:r>
          </w:p>
        </w:tc>
        <w:tc>
          <w:tcPr>
            <w:tcW w:w="3796" w:type="dxa"/>
            <w:vAlign w:val="center"/>
          </w:tcPr>
          <w:p w14:paraId="5ABF5AFB">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包括作业中使用的水准仪、GNSS接收机、航摄仪等设备的检定资料。</w:t>
            </w:r>
          </w:p>
        </w:tc>
        <w:tc>
          <w:tcPr>
            <w:tcW w:w="2085" w:type="dxa"/>
            <w:vAlign w:val="center"/>
          </w:tcPr>
          <w:p w14:paraId="6AFFFB74">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纸质</w:t>
            </w:r>
          </w:p>
        </w:tc>
      </w:tr>
      <w:tr w14:paraId="1C71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7185EDC7">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文档成果</w:t>
            </w:r>
          </w:p>
        </w:tc>
        <w:tc>
          <w:tcPr>
            <w:tcW w:w="3796" w:type="dxa"/>
            <w:vAlign w:val="center"/>
          </w:tcPr>
          <w:p w14:paraId="14F923E5">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包括实施方案、项目工作总结、项目技术总结、检查报告等</w:t>
            </w:r>
          </w:p>
        </w:tc>
        <w:tc>
          <w:tcPr>
            <w:tcW w:w="2085" w:type="dxa"/>
            <w:vAlign w:val="center"/>
          </w:tcPr>
          <w:p w14:paraId="2607B7AC">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PDF</w:t>
            </w:r>
          </w:p>
        </w:tc>
      </w:tr>
    </w:tbl>
    <w:p w14:paraId="5F5E210F">
      <w:pPr>
        <w:spacing w:line="400" w:lineRule="exact"/>
        <w:ind w:firstLine="645"/>
        <w:rPr>
          <w:rFonts w:ascii="仿宋" w:hAnsi="仿宋" w:eastAsia="仿宋" w:cs="宋体"/>
          <w:color w:val="auto"/>
          <w:sz w:val="28"/>
          <w:szCs w:val="28"/>
        </w:rPr>
      </w:pPr>
      <w:r>
        <w:rPr>
          <w:rFonts w:hint="eastAsia" w:ascii="仿宋" w:hAnsi="仿宋" w:eastAsia="仿宋" w:cs="宋体"/>
          <w:b/>
          <w:bCs/>
          <w:color w:val="auto"/>
          <w:sz w:val="28"/>
          <w:szCs w:val="28"/>
        </w:rPr>
        <w:t>五、技术标准和依据</w:t>
      </w:r>
    </w:p>
    <w:p w14:paraId="1D6B764C">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（1）GB/T 13989-2012《国家基本比例尺地形图分幅和编号》；</w:t>
      </w:r>
    </w:p>
    <w:p w14:paraId="7FEEE415">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（2）GB/T 18521-2001《地名分类与类别代码编制规则》；</w:t>
      </w:r>
    </w:p>
    <w:p w14:paraId="0CD86AA6">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（3）GB/T 13923-2022《基础地理信息要素分类与代码》；</w:t>
      </w:r>
    </w:p>
    <w:p w14:paraId="69C93465">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（4）GB/T 33175-2016《国家基本比例尺地图 1:500 1:1 000 1:2 000正射影像地图》；</w:t>
      </w:r>
    </w:p>
    <w:p w14:paraId="3538CD5E">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（5）GB/T 33176-2016《国家基本比例尺地图 1:500 1:1000 1:2000地形图》；</w:t>
      </w:r>
    </w:p>
    <w:p w14:paraId="4B98FE06">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（6）GB/T 7931-2008《1:500 1:1000 1:2000地形图航空摄影测量外业规范》；</w:t>
      </w:r>
    </w:p>
    <w:p w14:paraId="116DB177">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（7）GB/T 7930-2008《1:500 1:1000 1:2000地形图航空摄影测量内业规范》；</w:t>
      </w:r>
    </w:p>
    <w:p w14:paraId="7B790CF4">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（8）GB/T 14912-2017《1:500 1:1000 1:2000外业数字测图规程》；</w:t>
      </w:r>
    </w:p>
    <w:p w14:paraId="0F0FA4B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（9）GB/T20257.1—2017《国家基本比例尺地图图式 第1部分：1:500 1:1000 1:2000地形图图式》；</w:t>
      </w:r>
    </w:p>
    <w:p w14:paraId="5FBEFA25">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（10）GB/T 39610-2020《倾斜数字航空摄影技术规程》；</w:t>
      </w:r>
    </w:p>
    <w:p w14:paraId="666C7FC2">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（11）CH/T 3025-2023《倾斜数字摄影测量技术规程》；</w:t>
      </w:r>
    </w:p>
    <w:p w14:paraId="1AF6DA81">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（12）GB/T23236-2024《数字航空摄影测量空中三角测量规范》;</w:t>
      </w:r>
    </w:p>
    <w:p w14:paraId="29BEEFFD">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（13）GB/T18314-2024《全球导航卫星系统（GNSS）测量规范》;</w:t>
      </w:r>
    </w:p>
    <w:p w14:paraId="79372C3D">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（14）CH/T 2009-2010《全球定位系统实时动态测量（RTK）技术规范》；</w:t>
      </w:r>
    </w:p>
    <w:p w14:paraId="30B6CF77">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（15）CH/T 1054-2022《无人机航空摄影成果质量检查与验收》；</w:t>
      </w:r>
    </w:p>
    <w:p w14:paraId="2F70451E">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（16）CH/T 1050-2021《倾斜数字航空摄影成果质量检验技术规程；</w:t>
      </w:r>
    </w:p>
    <w:p w14:paraId="36ACF192">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（17）GB/T 18316-2008《数字测绘成果质量检查与验收》；</w:t>
      </w:r>
    </w:p>
    <w:p w14:paraId="570908F8">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（18）GB/T 24356-2023《测绘成果质量检查与验收》。</w:t>
      </w:r>
    </w:p>
    <w:p w14:paraId="723DBFA4">
      <w:pPr>
        <w:widowControl/>
        <w:spacing w:line="500" w:lineRule="exact"/>
        <w:rPr>
          <w:rFonts w:ascii="仿宋" w:hAnsi="仿宋" w:eastAsia="仿宋" w:cs="宋体"/>
          <w:color w:val="auto"/>
          <w:kern w:val="0"/>
          <w:sz w:val="28"/>
          <w:szCs w:val="28"/>
          <w:lang w:bidi="ar"/>
        </w:rPr>
      </w:pPr>
      <w:r>
        <w:rPr>
          <w:rFonts w:hint="eastAsia" w:ascii="仿宋" w:hAnsi="仿宋" w:eastAsia="仿宋" w:cs="宋体"/>
          <w:b/>
          <w:bCs/>
          <w:color w:val="auto"/>
          <w:kern w:val="0"/>
          <w:sz w:val="28"/>
          <w:szCs w:val="28"/>
          <w:lang w:bidi="ar"/>
        </w:rPr>
        <w:t>六、售后服务：</w:t>
      </w:r>
      <w:r>
        <w:rPr>
          <w:rFonts w:hint="eastAsia" w:ascii="仿宋" w:hAnsi="仿宋" w:eastAsia="仿宋" w:cs="宋体"/>
          <w:color w:val="auto"/>
          <w:kern w:val="0"/>
          <w:sz w:val="28"/>
          <w:szCs w:val="28"/>
          <w:lang w:bidi="ar"/>
        </w:rPr>
        <w:t>在项目结束后，提供一年的免费数据维护，在成果验收后1年内，如果采购人在使用该成果中发现错误或遗漏，乙方应对成果进行补正和完善。对成果应用过程中的问题进行解答。售后服务工作以电话、邮件沟通答疑为主，出现需要现场解答或重要会议等情况时项目组将赴现场参加。</w:t>
      </w:r>
    </w:p>
    <w:p w14:paraId="4E9C2003">
      <w:pPr>
        <w:widowControl/>
        <w:spacing w:line="500" w:lineRule="exact"/>
        <w:rPr>
          <w:rFonts w:ascii="仿宋" w:hAnsi="仿宋" w:eastAsia="仿宋" w:cs="宋体"/>
          <w:color w:val="auto"/>
          <w:kern w:val="0"/>
          <w:sz w:val="28"/>
          <w:szCs w:val="28"/>
          <w:lang w:bidi="ar"/>
        </w:rPr>
      </w:pPr>
      <w:r>
        <w:rPr>
          <w:rFonts w:hint="eastAsia" w:ascii="仿宋" w:hAnsi="仿宋" w:eastAsia="仿宋" w:cs="宋体"/>
          <w:b/>
          <w:bCs/>
          <w:color w:val="auto"/>
          <w:kern w:val="0"/>
          <w:sz w:val="28"/>
          <w:szCs w:val="28"/>
          <w:lang w:bidi="ar"/>
        </w:rPr>
        <w:t>七、交付地点（范围）：</w:t>
      </w:r>
      <w:r>
        <w:rPr>
          <w:rFonts w:hint="eastAsia" w:ascii="仿宋" w:hAnsi="仿宋" w:eastAsia="仿宋" w:cs="宋体"/>
          <w:color w:val="auto"/>
          <w:kern w:val="0"/>
          <w:sz w:val="28"/>
          <w:szCs w:val="28"/>
          <w:lang w:bidi="ar"/>
        </w:rPr>
        <w:t>采购人指定地点</w:t>
      </w:r>
    </w:p>
    <w:p w14:paraId="0DE7895A">
      <w:pPr>
        <w:pStyle w:val="12"/>
        <w:spacing w:line="500" w:lineRule="exact"/>
        <w:ind w:firstLine="0"/>
        <w:rPr>
          <w:rFonts w:ascii="仿宋" w:hAnsi="仿宋" w:eastAsia="仿宋" w:cs="宋体"/>
          <w:b/>
          <w:bCs/>
          <w:color w:val="auto"/>
          <w:kern w:val="0"/>
          <w:sz w:val="28"/>
          <w:szCs w:val="28"/>
          <w:lang w:bidi="ar"/>
        </w:rPr>
      </w:pPr>
      <w:r>
        <w:rPr>
          <w:rFonts w:hint="eastAsia" w:ascii="仿宋" w:hAnsi="仿宋" w:eastAsia="仿宋" w:cs="宋体"/>
          <w:b/>
          <w:bCs/>
          <w:color w:val="auto"/>
          <w:kern w:val="0"/>
          <w:sz w:val="28"/>
          <w:szCs w:val="28"/>
          <w:lang w:bidi="ar"/>
        </w:rPr>
        <w:t>八、成果交付期：</w:t>
      </w:r>
      <w:r>
        <w:rPr>
          <w:rFonts w:hint="eastAsia" w:ascii="仿宋" w:hAnsi="仿宋" w:eastAsia="仿宋" w:cs="宋体"/>
          <w:b/>
          <w:color w:val="auto"/>
          <w:kern w:val="0"/>
          <w:sz w:val="28"/>
          <w:szCs w:val="28"/>
          <w:lang w:bidi="ar"/>
        </w:rPr>
        <w:t>自合同签订之</w:t>
      </w:r>
      <w:r>
        <w:rPr>
          <w:rFonts w:hint="eastAsia" w:ascii="仿宋" w:hAnsi="仿宋" w:eastAsia="仿宋" w:cs="宋体"/>
          <w:b/>
          <w:color w:val="auto"/>
          <w:kern w:val="0"/>
          <w:sz w:val="28"/>
          <w:szCs w:val="28"/>
          <w:lang w:bidi="ar"/>
        </w:rPr>
        <w:t>日起30日内完成。</w:t>
      </w:r>
    </w:p>
    <w:p w14:paraId="0D7AECBE">
      <w:pPr>
        <w:overflowPunct w:val="0"/>
        <w:spacing w:line="500" w:lineRule="exact"/>
        <w:rPr>
          <w:rFonts w:ascii="仿宋" w:hAnsi="仿宋" w:eastAsia="仿宋" w:cs="宋体"/>
          <w:color w:val="auto"/>
          <w:kern w:val="0"/>
          <w:sz w:val="28"/>
          <w:szCs w:val="28"/>
          <w:lang w:bidi="ar"/>
        </w:rPr>
      </w:pPr>
      <w:r>
        <w:rPr>
          <w:rFonts w:hint="eastAsia" w:ascii="仿宋" w:hAnsi="仿宋" w:eastAsia="仿宋" w:cs="宋体"/>
          <w:b/>
          <w:bCs/>
          <w:color w:val="auto"/>
          <w:kern w:val="0"/>
          <w:sz w:val="28"/>
          <w:szCs w:val="28"/>
          <w:lang w:bidi="ar"/>
        </w:rPr>
        <w:t>九</w:t>
      </w:r>
      <w:r>
        <w:rPr>
          <w:rFonts w:ascii="仿宋" w:hAnsi="仿宋" w:eastAsia="仿宋" w:cs="宋体"/>
          <w:b/>
          <w:bCs/>
          <w:color w:val="auto"/>
          <w:kern w:val="0"/>
          <w:sz w:val="28"/>
          <w:szCs w:val="28"/>
          <w:lang w:bidi="ar"/>
        </w:rPr>
        <w:t>、验收标准：</w:t>
      </w:r>
      <w:r>
        <w:rPr>
          <w:rFonts w:ascii="仿宋" w:hAnsi="仿宋" w:eastAsia="仿宋" w:cs="宋体"/>
          <w:color w:val="auto"/>
          <w:kern w:val="0"/>
          <w:sz w:val="28"/>
          <w:szCs w:val="28"/>
          <w:lang w:bidi="ar"/>
        </w:rPr>
        <w:t>采购人应对服务的成果进行详细而全面的检验，检查成果是否齐全、完整，利用相关软件检查数据成果的拓扑关系，确保成果的规范性、准确性，使用内业检查和外业核实的方法，检查项目成果的科学性和合理性。</w:t>
      </w:r>
      <w:r>
        <w:rPr>
          <w:rFonts w:hint="eastAsia" w:ascii="仿宋" w:hAnsi="仿宋" w:eastAsia="仿宋" w:cs="宋体"/>
          <w:color w:val="auto"/>
          <w:kern w:val="0"/>
          <w:sz w:val="28"/>
          <w:szCs w:val="28"/>
          <w:lang w:bidi="ar"/>
        </w:rPr>
        <w:t>采购人有权限根据检验结果要求中标人立即更换或者提出索赔要求。检验合格后，由采购人组成的验收小组签署验收报告，作为付款凭据之一。</w:t>
      </w:r>
    </w:p>
    <w:p w14:paraId="6FEDC9B1">
      <w:pPr>
        <w:pStyle w:val="12"/>
        <w:spacing w:line="500" w:lineRule="exact"/>
        <w:ind w:firstLine="0"/>
        <w:rPr>
          <w:rFonts w:ascii="仿宋" w:hAnsi="仿宋" w:eastAsia="仿宋" w:cs="宋体"/>
          <w:bCs/>
          <w:color w:val="auto"/>
          <w:kern w:val="0"/>
          <w:sz w:val="28"/>
          <w:szCs w:val="28"/>
          <w:lang w:bidi="ar"/>
        </w:rPr>
      </w:pPr>
      <w:r>
        <w:rPr>
          <w:rFonts w:hint="eastAsia" w:ascii="仿宋" w:hAnsi="仿宋" w:eastAsia="仿宋" w:cs="宋体"/>
          <w:b/>
          <w:bCs/>
          <w:color w:val="auto"/>
          <w:kern w:val="0"/>
          <w:sz w:val="28"/>
          <w:szCs w:val="28"/>
          <w:lang w:bidi="ar"/>
        </w:rPr>
        <w:t>十、</w:t>
      </w:r>
      <w:r>
        <w:rPr>
          <w:rFonts w:hint="eastAsia" w:ascii="仿宋" w:hAnsi="仿宋" w:eastAsia="仿宋" w:cs="宋体"/>
          <w:bCs/>
          <w:color w:val="auto"/>
          <w:kern w:val="0"/>
          <w:sz w:val="28"/>
          <w:szCs w:val="28"/>
          <w:lang w:bidi="ar"/>
        </w:rPr>
        <w:t>成果纸质资料提交打印等由中标单位负责。</w:t>
      </w:r>
    </w:p>
    <w:p w14:paraId="1B758908">
      <w:pPr>
        <w:pStyle w:val="12"/>
        <w:spacing w:line="500" w:lineRule="exact"/>
        <w:ind w:firstLine="0"/>
        <w:rPr>
          <w:rFonts w:ascii="仿宋" w:hAnsi="仿宋" w:eastAsia="仿宋" w:cs="宋体"/>
          <w:bCs/>
          <w:color w:val="auto"/>
          <w:kern w:val="0"/>
          <w:sz w:val="28"/>
          <w:szCs w:val="28"/>
          <w:lang w:bidi="ar"/>
        </w:rPr>
      </w:pPr>
      <w:r>
        <w:rPr>
          <w:rFonts w:hint="eastAsia" w:ascii="仿宋" w:hAnsi="仿宋" w:eastAsia="仿宋" w:cs="宋体"/>
          <w:b/>
          <w:bCs/>
          <w:color w:val="auto"/>
          <w:kern w:val="0"/>
          <w:sz w:val="28"/>
          <w:szCs w:val="28"/>
          <w:lang w:bidi="ar"/>
        </w:rPr>
        <w:t>十一</w:t>
      </w:r>
      <w:r>
        <w:rPr>
          <w:rFonts w:ascii="仿宋" w:hAnsi="仿宋" w:eastAsia="仿宋" w:cs="宋体"/>
          <w:b/>
          <w:bCs/>
          <w:color w:val="auto"/>
          <w:kern w:val="0"/>
          <w:sz w:val="28"/>
          <w:szCs w:val="28"/>
          <w:lang w:bidi="ar"/>
        </w:rPr>
        <w:t>、付款方式：</w:t>
      </w:r>
      <w:r>
        <w:rPr>
          <w:rFonts w:ascii="仿宋" w:hAnsi="仿宋" w:eastAsia="仿宋" w:cs="宋体"/>
          <w:bCs/>
          <w:color w:val="auto"/>
          <w:kern w:val="0"/>
          <w:sz w:val="28"/>
          <w:szCs w:val="28"/>
          <w:lang w:bidi="ar"/>
        </w:rPr>
        <w:t>本项目的付款方式以最终签订合同所规定的付款方式为准。</w:t>
      </w:r>
    </w:p>
    <w:p w14:paraId="2B497BA4">
      <w:pPr>
        <w:pStyle w:val="12"/>
        <w:spacing w:line="500" w:lineRule="exact"/>
        <w:ind w:firstLine="0"/>
        <w:rPr>
          <w:rFonts w:ascii="仿宋" w:hAnsi="仿宋" w:eastAsia="仿宋" w:cs="宋体"/>
          <w:bCs/>
          <w:color w:val="auto"/>
          <w:kern w:val="0"/>
          <w:sz w:val="28"/>
          <w:szCs w:val="28"/>
          <w:lang w:bidi="ar"/>
        </w:rPr>
      </w:pPr>
      <w:r>
        <w:rPr>
          <w:rFonts w:hint="eastAsia" w:ascii="仿宋" w:hAnsi="仿宋" w:eastAsia="仿宋" w:cs="宋体"/>
          <w:b/>
          <w:bCs/>
          <w:color w:val="auto"/>
          <w:kern w:val="0"/>
          <w:sz w:val="28"/>
          <w:szCs w:val="28"/>
          <w:lang w:bidi="ar"/>
        </w:rPr>
        <w:t>十二、</w:t>
      </w:r>
      <w:r>
        <w:rPr>
          <w:rFonts w:hint="eastAsia" w:ascii="仿宋" w:hAnsi="仿宋" w:eastAsia="仿宋" w:cs="宋体"/>
          <w:bCs/>
          <w:color w:val="auto"/>
          <w:kern w:val="0"/>
          <w:sz w:val="28"/>
          <w:szCs w:val="28"/>
          <w:lang w:bidi="ar"/>
        </w:rPr>
        <w:t>其他未尽事宜由供需双方在采购合同中详细约定。</w:t>
      </w:r>
    </w:p>
    <w:p w14:paraId="43A8AEE9">
      <w:pPr>
        <w:rPr>
          <w:color w:val="auto"/>
          <w:lang w:bidi="ar"/>
        </w:rPr>
      </w:pPr>
    </w:p>
    <w:p w14:paraId="166D0DCC">
      <w:pPr>
        <w:pStyle w:val="2"/>
        <w:rPr>
          <w:color w:val="auto"/>
        </w:rPr>
      </w:pPr>
    </w:p>
    <w:p w14:paraId="7338B307">
      <w:pPr>
        <w:rPr>
          <w:color w:val="auto"/>
          <w:lang w:bidi="ar"/>
        </w:rPr>
      </w:pPr>
    </w:p>
    <w:p w14:paraId="3F94D3F3">
      <w:pPr>
        <w:pStyle w:val="2"/>
        <w:rPr>
          <w:color w:val="auto"/>
          <w:lang w:bidi="ar"/>
        </w:rPr>
      </w:pPr>
    </w:p>
    <w:p w14:paraId="7882CFE1">
      <w:pPr>
        <w:pStyle w:val="2"/>
        <w:rPr>
          <w:color w:val="auto"/>
          <w:lang w:bidi="ar"/>
        </w:rPr>
      </w:pPr>
    </w:p>
    <w:p w14:paraId="7699ED92">
      <w:pPr>
        <w:pStyle w:val="2"/>
        <w:rPr>
          <w:color w:val="auto"/>
          <w:lang w:bidi="ar"/>
        </w:rPr>
      </w:pPr>
    </w:p>
    <w:p w14:paraId="31AEA864">
      <w:pPr>
        <w:pStyle w:val="2"/>
        <w:rPr>
          <w:color w:val="auto"/>
          <w:lang w:bidi="ar"/>
        </w:rPr>
      </w:pPr>
    </w:p>
    <w:p w14:paraId="65806CAF">
      <w:pPr>
        <w:pStyle w:val="2"/>
        <w:rPr>
          <w:color w:val="auto"/>
          <w:lang w:bidi="ar"/>
        </w:rPr>
      </w:pPr>
    </w:p>
    <w:p w14:paraId="36D1FF54">
      <w:pPr>
        <w:pStyle w:val="2"/>
        <w:rPr>
          <w:color w:val="auto"/>
          <w:lang w:bidi="ar"/>
        </w:rPr>
      </w:pPr>
    </w:p>
    <w:p w14:paraId="508038BF">
      <w:pPr>
        <w:pStyle w:val="2"/>
        <w:rPr>
          <w:color w:val="auto"/>
          <w:lang w:bidi="ar"/>
        </w:rPr>
      </w:pPr>
    </w:p>
    <w:p w14:paraId="7448E46A">
      <w:pPr>
        <w:pStyle w:val="2"/>
        <w:rPr>
          <w:color w:val="auto"/>
          <w:lang w:bidi="ar"/>
        </w:rPr>
      </w:pPr>
    </w:p>
    <w:p w14:paraId="159ADF36">
      <w:pPr>
        <w:pStyle w:val="2"/>
        <w:rPr>
          <w:color w:val="auto"/>
          <w:lang w:bidi="ar"/>
        </w:rPr>
      </w:pPr>
    </w:p>
    <w:p w14:paraId="5A3F9F9A">
      <w:pPr>
        <w:pStyle w:val="2"/>
        <w:rPr>
          <w:color w:val="auto"/>
          <w:lang w:bidi="ar"/>
        </w:rPr>
      </w:pPr>
    </w:p>
    <w:p w14:paraId="525FD54C">
      <w:pPr>
        <w:pStyle w:val="2"/>
        <w:rPr>
          <w:color w:val="auto"/>
          <w:lang w:bidi="ar"/>
        </w:rPr>
      </w:pPr>
    </w:p>
    <w:p w14:paraId="3432A154">
      <w:pPr>
        <w:pStyle w:val="2"/>
        <w:rPr>
          <w:color w:val="auto"/>
          <w:lang w:bidi="ar"/>
        </w:rPr>
      </w:pPr>
    </w:p>
    <w:p w14:paraId="62F62128">
      <w:pPr>
        <w:pStyle w:val="2"/>
        <w:rPr>
          <w:color w:val="auto"/>
          <w:lang w:bidi="ar"/>
        </w:rPr>
      </w:pPr>
    </w:p>
    <w:p w14:paraId="380A283C">
      <w:pPr>
        <w:pStyle w:val="2"/>
        <w:rPr>
          <w:color w:val="auto"/>
          <w:lang w:bidi="ar"/>
        </w:rPr>
      </w:pPr>
    </w:p>
    <w:p w14:paraId="24FE0DF1">
      <w:pPr>
        <w:pStyle w:val="2"/>
        <w:rPr>
          <w:color w:val="auto"/>
          <w:lang w:bidi="ar"/>
        </w:rPr>
      </w:pPr>
    </w:p>
    <w:p w14:paraId="4AEFA24E">
      <w:pPr>
        <w:pStyle w:val="2"/>
        <w:rPr>
          <w:color w:val="auto"/>
          <w:lang w:bidi="ar"/>
        </w:rPr>
      </w:pPr>
    </w:p>
    <w:p w14:paraId="652F4762">
      <w:pPr>
        <w:pStyle w:val="2"/>
        <w:rPr>
          <w:color w:val="auto"/>
          <w:lang w:bidi="ar"/>
        </w:rPr>
      </w:pPr>
    </w:p>
    <w:p w14:paraId="2106DCFD">
      <w:pPr>
        <w:pStyle w:val="2"/>
        <w:rPr>
          <w:color w:val="auto"/>
          <w:lang w:bidi="ar"/>
        </w:rPr>
      </w:pPr>
    </w:p>
    <w:p w14:paraId="38F02EDF">
      <w:pPr>
        <w:pStyle w:val="2"/>
        <w:rPr>
          <w:color w:val="auto"/>
          <w:lang w:bidi="ar"/>
        </w:rPr>
      </w:pPr>
    </w:p>
    <w:p w14:paraId="768ABA48">
      <w:pPr>
        <w:pStyle w:val="2"/>
        <w:rPr>
          <w:color w:val="auto"/>
          <w:lang w:bidi="ar"/>
        </w:rPr>
      </w:pPr>
    </w:p>
    <w:p w14:paraId="705C721C">
      <w:pPr>
        <w:pStyle w:val="2"/>
        <w:rPr>
          <w:color w:val="auto"/>
          <w:lang w:bidi="ar"/>
        </w:rPr>
      </w:pPr>
    </w:p>
    <w:p w14:paraId="4CA6E115">
      <w:pPr>
        <w:pStyle w:val="2"/>
        <w:rPr>
          <w:color w:val="auto"/>
          <w:lang w:bidi="ar"/>
        </w:rPr>
      </w:pPr>
    </w:p>
    <w:p w14:paraId="52485B48">
      <w:pPr>
        <w:pStyle w:val="10"/>
        <w:tabs>
          <w:tab w:val="left" w:pos="420"/>
        </w:tabs>
        <w:spacing w:before="0" w:line="500" w:lineRule="exact"/>
        <w:ind w:firstLine="562" w:firstLineChars="200"/>
        <w:jc w:val="center"/>
        <w:rPr>
          <w:rFonts w:ascii="仿宋" w:hAnsi="仿宋" w:eastAsia="仿宋" w:cs="仿宋"/>
          <w:b/>
          <w:color w:val="auto"/>
          <w:sz w:val="28"/>
          <w:szCs w:val="28"/>
        </w:rPr>
      </w:pPr>
      <w:r>
        <w:rPr>
          <w:rFonts w:hint="eastAsia" w:ascii="仿宋" w:hAnsi="仿宋" w:eastAsia="仿宋" w:cs="仿宋"/>
          <w:b/>
          <w:color w:val="auto"/>
          <w:sz w:val="28"/>
          <w:szCs w:val="28"/>
        </w:rPr>
        <w:t>伽师县城镇单元详细规划1:500基础地形测绘项目</w:t>
      </w:r>
      <w:r>
        <w:rPr>
          <w:rFonts w:hint="eastAsia" w:ascii="仿宋" w:hAnsi="仿宋" w:eastAsia="仿宋" w:cs="仿宋"/>
          <w:b/>
          <w:color w:val="auto"/>
          <w:sz w:val="28"/>
          <w:szCs w:val="28"/>
        </w:rPr>
        <w:t>（第二包：中心城区）服务需求及项目要求</w:t>
      </w:r>
    </w:p>
    <w:p w14:paraId="08DDD28C">
      <w:pPr>
        <w:pStyle w:val="10"/>
        <w:overflowPunct w:val="0"/>
        <w:spacing w:before="0" w:line="400" w:lineRule="exact"/>
        <w:rPr>
          <w:rFonts w:ascii="仿宋" w:hAnsi="仿宋" w:eastAsia="仿宋" w:cs="宋体"/>
          <w:b/>
          <w:bCs/>
          <w:color w:val="auto"/>
          <w:sz w:val="28"/>
          <w:szCs w:val="28"/>
          <w:lang w:bidi="ar"/>
        </w:rPr>
      </w:pPr>
      <w:r>
        <w:rPr>
          <w:rFonts w:hint="eastAsia" w:ascii="仿宋" w:hAnsi="仿宋" w:eastAsia="仿宋" w:cs="宋体"/>
          <w:b/>
          <w:bCs/>
          <w:color w:val="auto"/>
          <w:sz w:val="28"/>
          <w:szCs w:val="28"/>
          <w:lang w:bidi="ar"/>
        </w:rPr>
        <w:t>一、工作内容</w:t>
      </w:r>
    </w:p>
    <w:p w14:paraId="3829A51D">
      <w:pPr>
        <w:pStyle w:val="9"/>
        <w:spacing w:line="500" w:lineRule="exact"/>
        <w:ind w:firstLine="560" w:firstLineChars="200"/>
        <w:jc w:val="both"/>
        <w:rPr>
          <w:rFonts w:ascii="仿宋" w:hAnsi="仿宋" w:eastAsia="仿宋" w:cs="宋体"/>
          <w:color w:val="auto"/>
          <w:sz w:val="28"/>
          <w:szCs w:val="28"/>
        </w:rPr>
      </w:pPr>
      <w:r>
        <w:rPr>
          <w:rFonts w:hint="eastAsia" w:ascii="仿宋" w:hAnsi="仿宋" w:eastAsia="仿宋" w:cs="宋体"/>
          <w:color w:val="auto"/>
          <w:sz w:val="28"/>
          <w:szCs w:val="28"/>
        </w:rPr>
        <w:t>完成伽师县中心城区16平方公里的区域开展1:500基础地形数据测绘，为中心城区详细规划编制提供数据支撑。</w:t>
      </w:r>
    </w:p>
    <w:p w14:paraId="20DEBAC5">
      <w:pPr>
        <w:pStyle w:val="9"/>
        <w:spacing w:line="500" w:lineRule="exact"/>
        <w:ind w:firstLine="560" w:firstLineChars="200"/>
        <w:jc w:val="both"/>
        <w:rPr>
          <w:rFonts w:ascii="仿宋" w:hAnsi="仿宋" w:eastAsia="仿宋" w:cs="宋体"/>
          <w:color w:val="auto"/>
          <w:sz w:val="28"/>
          <w:szCs w:val="28"/>
        </w:rPr>
      </w:pPr>
      <w:r>
        <w:rPr>
          <w:rFonts w:hint="eastAsia" w:ascii="仿宋" w:hAnsi="仿宋" w:eastAsia="仿宋" w:cs="宋体"/>
          <w:color w:val="auto"/>
          <w:sz w:val="28"/>
          <w:szCs w:val="28"/>
        </w:rPr>
        <w:t>采用无人机低空航空摄影立体测图的方法或倾斜摄影实景三维采集地形图的技术方法制作1∶500数字线划图和数字正射影像。如果因测区处于机场或其他无法申请到无人机飞行空域的地区，则采用全野外数字测量的方法制作1∶500数字线划图成果，不再制作数字正射影像图成果。</w:t>
      </w:r>
    </w:p>
    <w:p w14:paraId="01EA01FC">
      <w:pPr>
        <w:pStyle w:val="10"/>
        <w:overflowPunct w:val="0"/>
        <w:spacing w:before="0" w:line="400" w:lineRule="exact"/>
        <w:rPr>
          <w:rFonts w:ascii="仿宋" w:hAnsi="仿宋" w:eastAsia="仿宋" w:cs="宋体"/>
          <w:b/>
          <w:bCs/>
          <w:color w:val="auto"/>
          <w:sz w:val="28"/>
          <w:szCs w:val="28"/>
          <w:lang w:bidi="ar"/>
        </w:rPr>
      </w:pPr>
      <w:r>
        <w:rPr>
          <w:rFonts w:hint="eastAsia" w:ascii="仿宋" w:hAnsi="仿宋" w:eastAsia="仿宋" w:cs="宋体"/>
          <w:b/>
          <w:bCs/>
          <w:color w:val="auto"/>
          <w:sz w:val="28"/>
          <w:szCs w:val="28"/>
          <w:lang w:bidi="ar"/>
        </w:rPr>
        <w:t>二、技术指标</w:t>
      </w:r>
    </w:p>
    <w:p w14:paraId="2B529F60">
      <w:pPr>
        <w:spacing w:line="400" w:lineRule="exact"/>
        <w:ind w:firstLine="562" w:firstLineChars="200"/>
        <w:outlineLvl w:val="1"/>
        <w:rPr>
          <w:rFonts w:ascii="仿宋" w:hAnsi="仿宋" w:eastAsia="仿宋" w:cs="宋体"/>
          <w:b/>
          <w:bCs/>
          <w:color w:val="auto"/>
          <w:sz w:val="28"/>
          <w:szCs w:val="28"/>
        </w:rPr>
      </w:pPr>
      <w:r>
        <w:rPr>
          <w:rFonts w:hint="eastAsia" w:ascii="仿宋" w:hAnsi="仿宋" w:eastAsia="仿宋" w:cs="宋体"/>
          <w:b/>
          <w:bCs/>
          <w:color w:val="auto"/>
          <w:sz w:val="28"/>
          <w:szCs w:val="28"/>
        </w:rPr>
        <w:t>（1）数学基础</w:t>
      </w:r>
    </w:p>
    <w:p w14:paraId="3950D4B6">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1）平面坐标系统</w:t>
      </w:r>
    </w:p>
    <w:p w14:paraId="16AA7C2D">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2000国家大地坐标系；高斯-克吕格投影，3度分带。</w:t>
      </w:r>
    </w:p>
    <w:p w14:paraId="1C88E09B">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2）高程基准</w:t>
      </w:r>
    </w:p>
    <w:p w14:paraId="2927DF52">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1985国家高程基准。</w:t>
      </w:r>
    </w:p>
    <w:p w14:paraId="1D73E090">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3）比例尺</w:t>
      </w:r>
    </w:p>
    <w:p w14:paraId="67E4D56B">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成图比例尺为1:500。</w:t>
      </w:r>
    </w:p>
    <w:p w14:paraId="796D1DC6">
      <w:pPr>
        <w:spacing w:line="400" w:lineRule="exact"/>
        <w:ind w:firstLine="562" w:firstLineChars="200"/>
        <w:outlineLvl w:val="1"/>
        <w:rPr>
          <w:rFonts w:ascii="仿宋" w:hAnsi="仿宋" w:eastAsia="仿宋" w:cs="宋体"/>
          <w:color w:val="auto"/>
          <w:sz w:val="28"/>
          <w:szCs w:val="28"/>
        </w:rPr>
      </w:pPr>
      <w:r>
        <w:rPr>
          <w:rFonts w:hint="eastAsia" w:ascii="仿宋" w:hAnsi="仿宋" w:eastAsia="仿宋" w:cs="宋体"/>
          <w:b/>
          <w:bCs/>
          <w:color w:val="auto"/>
          <w:sz w:val="28"/>
          <w:szCs w:val="28"/>
        </w:rPr>
        <w:t>（2）采集要素指标</w:t>
      </w:r>
    </w:p>
    <w:p w14:paraId="5352CFC3">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依据GB/T20257.1—2017《国家基本比例尺地图图式 第1部分：1:500 1:1000 1:2000地形图图式》。</w:t>
      </w:r>
    </w:p>
    <w:p w14:paraId="50A675C5">
      <w:pPr>
        <w:spacing w:line="400" w:lineRule="exact"/>
        <w:ind w:firstLine="562" w:firstLineChars="200"/>
        <w:outlineLvl w:val="1"/>
        <w:rPr>
          <w:rFonts w:ascii="仿宋" w:hAnsi="仿宋" w:eastAsia="仿宋" w:cs="宋体"/>
          <w:b/>
          <w:bCs/>
          <w:color w:val="auto"/>
          <w:sz w:val="28"/>
          <w:szCs w:val="28"/>
        </w:rPr>
      </w:pPr>
      <w:r>
        <w:rPr>
          <w:rFonts w:hint="eastAsia" w:ascii="仿宋" w:hAnsi="仿宋" w:eastAsia="仿宋" w:cs="宋体"/>
          <w:b/>
          <w:bCs/>
          <w:color w:val="auto"/>
          <w:sz w:val="28"/>
          <w:szCs w:val="28"/>
        </w:rPr>
        <w:t>（3）精度指标</w:t>
      </w:r>
    </w:p>
    <w:p w14:paraId="046B2FD2">
      <w:pPr>
        <w:spacing w:line="400" w:lineRule="exact"/>
        <w:ind w:firstLine="562" w:firstLineChars="200"/>
        <w:outlineLvl w:val="1"/>
        <w:rPr>
          <w:rFonts w:ascii="仿宋" w:hAnsi="仿宋" w:eastAsia="仿宋" w:cs="宋体"/>
          <w:b/>
          <w:bCs/>
          <w:color w:val="auto"/>
          <w:sz w:val="28"/>
          <w:szCs w:val="28"/>
        </w:rPr>
      </w:pPr>
      <w:r>
        <w:rPr>
          <w:rFonts w:hint="eastAsia" w:ascii="仿宋" w:hAnsi="仿宋" w:eastAsia="仿宋" w:cs="宋体"/>
          <w:b/>
          <w:bCs/>
          <w:color w:val="auto"/>
          <w:sz w:val="28"/>
          <w:szCs w:val="28"/>
        </w:rPr>
        <w:t>1）数字正射影像图（DOM）技术指标</w:t>
      </w:r>
    </w:p>
    <w:tbl>
      <w:tblPr>
        <w:tblStyle w:val="36"/>
        <w:tblW w:w="7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5164"/>
      </w:tblGrid>
      <w:tr w14:paraId="44CD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7" w:type="dxa"/>
            <w:vAlign w:val="center"/>
          </w:tcPr>
          <w:p w14:paraId="54A85FBE">
            <w:pPr>
              <w:jc w:val="center"/>
              <w:rPr>
                <w:rFonts w:ascii="仿宋" w:hAnsi="仿宋" w:eastAsia="仿宋" w:cs="宋体"/>
                <w:color w:val="auto"/>
                <w:sz w:val="28"/>
                <w:szCs w:val="28"/>
              </w:rPr>
            </w:pPr>
            <w:r>
              <w:rPr>
                <w:rFonts w:hint="eastAsia" w:ascii="仿宋" w:hAnsi="仿宋" w:eastAsia="仿宋" w:cs="宋体"/>
                <w:color w:val="auto"/>
                <w:sz w:val="28"/>
                <w:szCs w:val="28"/>
              </w:rPr>
              <w:t>影像地面分辨率</w:t>
            </w:r>
          </w:p>
        </w:tc>
        <w:tc>
          <w:tcPr>
            <w:tcW w:w="5164" w:type="dxa"/>
            <w:vAlign w:val="center"/>
          </w:tcPr>
          <w:p w14:paraId="0C88BA5B">
            <w:pPr>
              <w:jc w:val="center"/>
              <w:rPr>
                <w:rFonts w:ascii="仿宋" w:hAnsi="仿宋" w:eastAsia="仿宋" w:cs="宋体"/>
                <w:color w:val="auto"/>
                <w:sz w:val="28"/>
                <w:szCs w:val="28"/>
              </w:rPr>
            </w:pPr>
            <w:r>
              <w:rPr>
                <w:rFonts w:hint="eastAsia" w:ascii="仿宋" w:hAnsi="仿宋" w:eastAsia="仿宋" w:cs="宋体"/>
                <w:color w:val="auto"/>
                <w:sz w:val="28"/>
                <w:szCs w:val="28"/>
              </w:rPr>
              <w:t>小于0.05m</w:t>
            </w:r>
          </w:p>
        </w:tc>
      </w:tr>
      <w:tr w14:paraId="5471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7" w:type="dxa"/>
            <w:vAlign w:val="center"/>
          </w:tcPr>
          <w:p w14:paraId="1D703243">
            <w:pPr>
              <w:jc w:val="center"/>
              <w:rPr>
                <w:rFonts w:ascii="仿宋" w:hAnsi="仿宋" w:eastAsia="仿宋" w:cs="宋体"/>
                <w:color w:val="auto"/>
                <w:sz w:val="28"/>
                <w:szCs w:val="28"/>
              </w:rPr>
            </w:pPr>
            <w:r>
              <w:rPr>
                <w:rFonts w:hint="eastAsia" w:ascii="仿宋" w:hAnsi="仿宋" w:eastAsia="仿宋" w:cs="宋体"/>
                <w:color w:val="auto"/>
                <w:sz w:val="28"/>
                <w:szCs w:val="28"/>
              </w:rPr>
              <w:t>颜色</w:t>
            </w:r>
          </w:p>
        </w:tc>
        <w:tc>
          <w:tcPr>
            <w:tcW w:w="5164" w:type="dxa"/>
            <w:vAlign w:val="center"/>
          </w:tcPr>
          <w:p w14:paraId="2ED7F469">
            <w:pPr>
              <w:jc w:val="center"/>
              <w:rPr>
                <w:rFonts w:ascii="仿宋" w:hAnsi="仿宋" w:eastAsia="仿宋" w:cs="宋体"/>
                <w:color w:val="auto"/>
                <w:sz w:val="28"/>
                <w:szCs w:val="28"/>
              </w:rPr>
            </w:pPr>
            <w:r>
              <w:rPr>
                <w:rFonts w:hint="eastAsia" w:ascii="仿宋" w:hAnsi="仿宋" w:eastAsia="仿宋" w:cs="宋体"/>
                <w:color w:val="auto"/>
                <w:sz w:val="28"/>
                <w:szCs w:val="28"/>
              </w:rPr>
              <w:t>彩色</w:t>
            </w:r>
          </w:p>
        </w:tc>
      </w:tr>
      <w:tr w14:paraId="093E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7" w:type="dxa"/>
            <w:vAlign w:val="center"/>
          </w:tcPr>
          <w:p w14:paraId="13881CC7">
            <w:pPr>
              <w:rPr>
                <w:rFonts w:ascii="仿宋" w:hAnsi="仿宋" w:eastAsia="仿宋" w:cs="宋体"/>
                <w:color w:val="auto"/>
                <w:sz w:val="28"/>
                <w:szCs w:val="28"/>
              </w:rPr>
            </w:pPr>
            <w:r>
              <w:rPr>
                <w:rFonts w:hint="eastAsia" w:ascii="仿宋" w:hAnsi="仿宋" w:eastAsia="仿宋" w:cs="宋体"/>
                <w:color w:val="auto"/>
                <w:sz w:val="28"/>
                <w:szCs w:val="28"/>
              </w:rPr>
              <w:t>明显地物点平面中误差</w:t>
            </w:r>
          </w:p>
        </w:tc>
        <w:tc>
          <w:tcPr>
            <w:tcW w:w="5164" w:type="dxa"/>
            <w:vAlign w:val="center"/>
          </w:tcPr>
          <w:p w14:paraId="4D2ABA85">
            <w:pPr>
              <w:jc w:val="center"/>
              <w:rPr>
                <w:rFonts w:ascii="仿宋" w:hAnsi="仿宋" w:eastAsia="仿宋" w:cs="宋体"/>
                <w:color w:val="auto"/>
                <w:sz w:val="28"/>
                <w:szCs w:val="28"/>
              </w:rPr>
            </w:pPr>
            <w:r>
              <w:rPr>
                <w:rFonts w:hint="eastAsia" w:ascii="仿宋" w:hAnsi="仿宋" w:eastAsia="仿宋" w:cs="宋体"/>
                <w:color w:val="auto"/>
                <w:sz w:val="28"/>
                <w:szCs w:val="28"/>
              </w:rPr>
              <w:t>≤0.3m（相对于附近野外控制点）</w:t>
            </w:r>
          </w:p>
        </w:tc>
      </w:tr>
      <w:tr w14:paraId="4E0C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1" w:type="dxa"/>
            <w:gridSpan w:val="2"/>
            <w:vAlign w:val="center"/>
          </w:tcPr>
          <w:p w14:paraId="321992CA">
            <w:pPr>
              <w:rPr>
                <w:rFonts w:ascii="仿宋" w:hAnsi="仿宋" w:eastAsia="仿宋" w:cs="宋体"/>
                <w:color w:val="auto"/>
                <w:sz w:val="28"/>
                <w:szCs w:val="28"/>
              </w:rPr>
            </w:pPr>
            <w:r>
              <w:rPr>
                <w:rFonts w:hint="eastAsia" w:ascii="仿宋" w:hAnsi="仿宋" w:eastAsia="仿宋" w:cs="宋体"/>
                <w:color w:val="auto"/>
                <w:sz w:val="28"/>
                <w:szCs w:val="28"/>
              </w:rPr>
              <w:t>1、两倍中误差为最大限差；</w:t>
            </w:r>
          </w:p>
          <w:p w14:paraId="5CA9CBFB">
            <w:pPr>
              <w:rPr>
                <w:rFonts w:ascii="仿宋" w:hAnsi="仿宋" w:eastAsia="仿宋" w:cs="宋体"/>
                <w:color w:val="auto"/>
                <w:sz w:val="28"/>
                <w:szCs w:val="28"/>
              </w:rPr>
            </w:pPr>
            <w:r>
              <w:rPr>
                <w:rFonts w:hint="eastAsia" w:ascii="仿宋" w:hAnsi="仿宋" w:eastAsia="仿宋" w:cs="宋体"/>
                <w:color w:val="auto"/>
                <w:sz w:val="28"/>
                <w:szCs w:val="28"/>
              </w:rPr>
              <w:t>2、特殊困难地区（如林区、阴影覆盖隐蔽区、高杆农作物区、房屋密集区及地貌破碎的河床地带、大面积施工区等）平面、高程中误差可放宽0.5倍。</w:t>
            </w:r>
          </w:p>
        </w:tc>
      </w:tr>
    </w:tbl>
    <w:p w14:paraId="108D31DA">
      <w:pPr>
        <w:spacing w:line="400" w:lineRule="exact"/>
        <w:ind w:firstLine="562" w:firstLineChars="200"/>
        <w:outlineLvl w:val="1"/>
        <w:rPr>
          <w:rFonts w:ascii="仿宋" w:hAnsi="仿宋" w:eastAsia="仿宋" w:cs="宋体"/>
          <w:b/>
          <w:bCs/>
          <w:color w:val="auto"/>
          <w:sz w:val="28"/>
          <w:szCs w:val="28"/>
        </w:rPr>
      </w:pPr>
      <w:r>
        <w:rPr>
          <w:rFonts w:hint="eastAsia" w:ascii="仿宋" w:hAnsi="仿宋" w:eastAsia="仿宋" w:cs="宋体"/>
          <w:b/>
          <w:bCs/>
          <w:color w:val="auto"/>
          <w:sz w:val="28"/>
          <w:szCs w:val="28"/>
        </w:rPr>
        <w:t>2）数字线划图（DLG）</w:t>
      </w:r>
    </w:p>
    <w:p w14:paraId="0270851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图上地物点相对附近野外控制点的平面位置中误差，高程注记点和等高线相对附近野外控制点的高程中误差。</w:t>
      </w:r>
    </w:p>
    <w:tbl>
      <w:tblPr>
        <w:tblStyle w:val="36"/>
        <w:tblW w:w="7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320"/>
        <w:gridCol w:w="4040"/>
      </w:tblGrid>
      <w:tr w14:paraId="06C7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1" w:type="dxa"/>
            <w:gridSpan w:val="2"/>
            <w:vAlign w:val="center"/>
          </w:tcPr>
          <w:p w14:paraId="0470C688">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成图比例尺</w:t>
            </w:r>
          </w:p>
        </w:tc>
        <w:tc>
          <w:tcPr>
            <w:tcW w:w="4040" w:type="dxa"/>
            <w:vAlign w:val="center"/>
          </w:tcPr>
          <w:p w14:paraId="185E7A25">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1:500</w:t>
            </w:r>
          </w:p>
        </w:tc>
      </w:tr>
      <w:tr w14:paraId="1D9F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41" w:type="dxa"/>
            <w:gridSpan w:val="2"/>
            <w:vAlign w:val="center"/>
          </w:tcPr>
          <w:p w14:paraId="1C44390B">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地形类别</w:t>
            </w:r>
          </w:p>
        </w:tc>
        <w:tc>
          <w:tcPr>
            <w:tcW w:w="4040" w:type="dxa"/>
            <w:vAlign w:val="center"/>
          </w:tcPr>
          <w:p w14:paraId="1376F98E">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平地</w:t>
            </w:r>
          </w:p>
        </w:tc>
      </w:tr>
      <w:tr w14:paraId="0DF8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41" w:type="dxa"/>
            <w:gridSpan w:val="2"/>
            <w:vAlign w:val="center"/>
          </w:tcPr>
          <w:p w14:paraId="34E8EE3E">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基本等高距</w:t>
            </w:r>
          </w:p>
        </w:tc>
        <w:tc>
          <w:tcPr>
            <w:tcW w:w="4040" w:type="dxa"/>
            <w:vAlign w:val="center"/>
          </w:tcPr>
          <w:p w14:paraId="50C13CF0">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0.5m</w:t>
            </w:r>
          </w:p>
        </w:tc>
      </w:tr>
      <w:tr w14:paraId="0BBF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421" w:type="dxa"/>
            <w:vAlign w:val="center"/>
          </w:tcPr>
          <w:p w14:paraId="15F6AFB1">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平面点位中误差</w:t>
            </w:r>
          </w:p>
        </w:tc>
        <w:tc>
          <w:tcPr>
            <w:tcW w:w="1320" w:type="dxa"/>
            <w:vAlign w:val="center"/>
          </w:tcPr>
          <w:p w14:paraId="310F8D22">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一般区域</w:t>
            </w:r>
          </w:p>
        </w:tc>
        <w:tc>
          <w:tcPr>
            <w:tcW w:w="4040" w:type="dxa"/>
            <w:vAlign w:val="center"/>
          </w:tcPr>
          <w:p w14:paraId="11CA503B">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0.3m</w:t>
            </w:r>
          </w:p>
        </w:tc>
      </w:tr>
      <w:tr w14:paraId="10A1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21" w:type="dxa"/>
            <w:vMerge w:val="restart"/>
            <w:vAlign w:val="center"/>
          </w:tcPr>
          <w:p w14:paraId="1B97F14A">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高程中误差</w:t>
            </w:r>
          </w:p>
        </w:tc>
        <w:tc>
          <w:tcPr>
            <w:tcW w:w="1320" w:type="dxa"/>
            <w:vAlign w:val="center"/>
          </w:tcPr>
          <w:p w14:paraId="463CDEE1">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注记点</w:t>
            </w:r>
          </w:p>
        </w:tc>
        <w:tc>
          <w:tcPr>
            <w:tcW w:w="4040" w:type="dxa"/>
            <w:vAlign w:val="center"/>
          </w:tcPr>
          <w:p w14:paraId="27F002BB">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0.2m</w:t>
            </w:r>
          </w:p>
        </w:tc>
      </w:tr>
      <w:tr w14:paraId="0B64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421" w:type="dxa"/>
            <w:vMerge w:val="continue"/>
            <w:vAlign w:val="center"/>
          </w:tcPr>
          <w:p w14:paraId="2978217D">
            <w:pPr>
              <w:ind w:firstLine="420"/>
              <w:jc w:val="center"/>
              <w:rPr>
                <w:rFonts w:ascii="仿宋" w:hAnsi="仿宋" w:eastAsia="仿宋" w:cs="宋体"/>
                <w:color w:val="auto"/>
                <w:kern w:val="0"/>
                <w:sz w:val="28"/>
                <w:szCs w:val="28"/>
              </w:rPr>
            </w:pPr>
          </w:p>
        </w:tc>
        <w:tc>
          <w:tcPr>
            <w:tcW w:w="1320" w:type="dxa"/>
            <w:vAlign w:val="center"/>
          </w:tcPr>
          <w:p w14:paraId="3228ED4B">
            <w:pPr>
              <w:ind w:firstLine="56" w:firstLineChars="20"/>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等高线</w:t>
            </w:r>
          </w:p>
        </w:tc>
        <w:tc>
          <w:tcPr>
            <w:tcW w:w="4040" w:type="dxa"/>
            <w:vAlign w:val="center"/>
          </w:tcPr>
          <w:p w14:paraId="3B0964A3">
            <w:pPr>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0.25m</w:t>
            </w:r>
          </w:p>
        </w:tc>
      </w:tr>
      <w:tr w14:paraId="215A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1" w:type="dxa"/>
            <w:gridSpan w:val="3"/>
            <w:vAlign w:val="center"/>
          </w:tcPr>
          <w:p w14:paraId="38C1F3D9">
            <w:pPr>
              <w:rPr>
                <w:rFonts w:ascii="仿宋" w:hAnsi="仿宋" w:eastAsia="仿宋" w:cs="宋体"/>
                <w:color w:val="auto"/>
                <w:kern w:val="0"/>
                <w:sz w:val="28"/>
                <w:szCs w:val="28"/>
              </w:rPr>
            </w:pPr>
            <w:r>
              <w:rPr>
                <w:rFonts w:hint="eastAsia" w:ascii="仿宋" w:hAnsi="仿宋" w:eastAsia="仿宋" w:cs="宋体"/>
                <w:color w:val="auto"/>
                <w:kern w:val="0"/>
                <w:sz w:val="28"/>
                <w:szCs w:val="28"/>
              </w:rPr>
              <w:t>1、两倍中误差为最大限差；</w:t>
            </w:r>
          </w:p>
          <w:p w14:paraId="675B69E7">
            <w:pPr>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2、特殊困难地区（如林区、阴影覆盖隐蔽区、高杆农作物区、房屋密集区及地貌破碎的河床地带、大面积施工区等）平面、高程中误差可放宽0.5倍。</w:t>
            </w:r>
          </w:p>
        </w:tc>
      </w:tr>
    </w:tbl>
    <w:p w14:paraId="740DEEFE">
      <w:pPr>
        <w:spacing w:line="400" w:lineRule="exact"/>
        <w:outlineLvl w:val="1"/>
        <w:rPr>
          <w:rFonts w:ascii="仿宋" w:hAnsi="仿宋" w:eastAsia="仿宋" w:cs="宋体"/>
          <w:b/>
          <w:bCs/>
          <w:color w:val="auto"/>
          <w:sz w:val="28"/>
          <w:szCs w:val="28"/>
        </w:rPr>
      </w:pPr>
      <w:r>
        <w:rPr>
          <w:rFonts w:hint="eastAsia" w:ascii="仿宋" w:hAnsi="仿宋" w:eastAsia="仿宋" w:cs="宋体"/>
          <w:b/>
          <w:bCs/>
          <w:color w:val="auto"/>
          <w:sz w:val="28"/>
          <w:szCs w:val="28"/>
        </w:rPr>
        <w:t>三、质量控制</w:t>
      </w:r>
    </w:p>
    <w:p w14:paraId="0B96B3D2">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按照全过程管理的原则开展质量控制，实行“两级检查、一级验收”制度。作业单位负责数据成果质量的“两级检查”，县级自然资源主管部门组织数据成果的检查与验收，确保数据成果的真实性、准确性、完成性和规范性。</w:t>
      </w:r>
    </w:p>
    <w:p w14:paraId="214829C1">
      <w:pPr>
        <w:spacing w:line="400" w:lineRule="exact"/>
        <w:outlineLvl w:val="1"/>
        <w:rPr>
          <w:rFonts w:ascii="仿宋" w:hAnsi="仿宋" w:eastAsia="仿宋" w:cs="宋体"/>
          <w:b/>
          <w:bCs/>
          <w:color w:val="auto"/>
          <w:sz w:val="28"/>
          <w:szCs w:val="28"/>
        </w:rPr>
      </w:pPr>
      <w:r>
        <w:rPr>
          <w:rFonts w:hint="eastAsia" w:ascii="仿宋" w:hAnsi="仿宋" w:eastAsia="仿宋" w:cs="宋体"/>
          <w:b/>
          <w:bCs/>
          <w:color w:val="auto"/>
          <w:sz w:val="28"/>
          <w:szCs w:val="28"/>
        </w:rPr>
        <w:t>四、成果内容</w:t>
      </w:r>
    </w:p>
    <w:tbl>
      <w:tblPr>
        <w:tblStyle w:val="36"/>
        <w:tblpPr w:leftFromText="180" w:rightFromText="180" w:vertAnchor="text" w:horzAnchor="page" w:tblpX="2001" w:tblpY="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3796"/>
        <w:gridCol w:w="2085"/>
      </w:tblGrid>
      <w:tr w14:paraId="6C97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3CB4B6E3">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分类</w:t>
            </w:r>
          </w:p>
        </w:tc>
        <w:tc>
          <w:tcPr>
            <w:tcW w:w="3796" w:type="dxa"/>
            <w:vAlign w:val="center"/>
          </w:tcPr>
          <w:p w14:paraId="2037D3E0">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基本要求</w:t>
            </w:r>
          </w:p>
        </w:tc>
        <w:tc>
          <w:tcPr>
            <w:tcW w:w="2085" w:type="dxa"/>
            <w:vAlign w:val="center"/>
          </w:tcPr>
          <w:p w14:paraId="1B077E1C">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格式要求</w:t>
            </w:r>
          </w:p>
        </w:tc>
      </w:tr>
      <w:tr w14:paraId="2893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4C833633">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正射影像成果</w:t>
            </w:r>
          </w:p>
        </w:tc>
        <w:tc>
          <w:tcPr>
            <w:tcW w:w="3796" w:type="dxa"/>
            <w:vAlign w:val="center"/>
          </w:tcPr>
          <w:p w14:paraId="4AC5BCFB">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按村界镶嵌汇交</w:t>
            </w:r>
          </w:p>
        </w:tc>
        <w:tc>
          <w:tcPr>
            <w:tcW w:w="2085" w:type="dxa"/>
            <w:vAlign w:val="center"/>
          </w:tcPr>
          <w:p w14:paraId="44D82871">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TIF</w:t>
            </w:r>
          </w:p>
        </w:tc>
      </w:tr>
      <w:tr w14:paraId="1AD8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200F8E37">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建库数据成果</w:t>
            </w:r>
          </w:p>
        </w:tc>
        <w:tc>
          <w:tcPr>
            <w:tcW w:w="3796" w:type="dxa"/>
            <w:vAlign w:val="center"/>
          </w:tcPr>
          <w:p w14:paraId="5AF42D79">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按分幅和村界合图汇交</w:t>
            </w:r>
          </w:p>
        </w:tc>
        <w:tc>
          <w:tcPr>
            <w:tcW w:w="2085" w:type="dxa"/>
            <w:vAlign w:val="center"/>
          </w:tcPr>
          <w:p w14:paraId="05DCFFAF">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MDB</w:t>
            </w:r>
          </w:p>
        </w:tc>
      </w:tr>
      <w:tr w14:paraId="69CC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6662926C">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制图数据成果</w:t>
            </w:r>
          </w:p>
        </w:tc>
        <w:tc>
          <w:tcPr>
            <w:tcW w:w="3796" w:type="dxa"/>
            <w:vAlign w:val="center"/>
          </w:tcPr>
          <w:p w14:paraId="6435894D">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按分幅和村界合图汇交</w:t>
            </w:r>
          </w:p>
        </w:tc>
        <w:tc>
          <w:tcPr>
            <w:tcW w:w="2085" w:type="dxa"/>
            <w:vAlign w:val="center"/>
          </w:tcPr>
          <w:p w14:paraId="613B4631">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DWG</w:t>
            </w:r>
          </w:p>
        </w:tc>
      </w:tr>
      <w:tr w14:paraId="2E0C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65C491E5">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仪器检定资料</w:t>
            </w:r>
          </w:p>
        </w:tc>
        <w:tc>
          <w:tcPr>
            <w:tcW w:w="3796" w:type="dxa"/>
            <w:vAlign w:val="center"/>
          </w:tcPr>
          <w:p w14:paraId="570CE58F">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包括作业中使用的水准仪、GNSS接收机、航摄仪等设备的检定资料。</w:t>
            </w:r>
          </w:p>
        </w:tc>
        <w:tc>
          <w:tcPr>
            <w:tcW w:w="2085" w:type="dxa"/>
            <w:vAlign w:val="center"/>
          </w:tcPr>
          <w:p w14:paraId="5A24033D">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纸质</w:t>
            </w:r>
          </w:p>
        </w:tc>
      </w:tr>
      <w:tr w14:paraId="1344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5" w:type="dxa"/>
            <w:vAlign w:val="center"/>
          </w:tcPr>
          <w:p w14:paraId="3F1A5665">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文档成果</w:t>
            </w:r>
          </w:p>
        </w:tc>
        <w:tc>
          <w:tcPr>
            <w:tcW w:w="3796" w:type="dxa"/>
            <w:vAlign w:val="center"/>
          </w:tcPr>
          <w:p w14:paraId="0A706A1D">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包括实施方案、项目工作总结、项目技术总结、检查报告等</w:t>
            </w:r>
          </w:p>
        </w:tc>
        <w:tc>
          <w:tcPr>
            <w:tcW w:w="2085" w:type="dxa"/>
            <w:vAlign w:val="center"/>
          </w:tcPr>
          <w:p w14:paraId="616756E5">
            <w:pPr>
              <w:pStyle w:val="10"/>
              <w:spacing w:line="240" w:lineRule="auto"/>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PDF</w:t>
            </w:r>
          </w:p>
        </w:tc>
      </w:tr>
    </w:tbl>
    <w:p w14:paraId="7CCA62F7">
      <w:pPr>
        <w:spacing w:line="400" w:lineRule="exact"/>
        <w:ind w:firstLine="645"/>
        <w:rPr>
          <w:rFonts w:ascii="仿宋" w:hAnsi="仿宋" w:eastAsia="仿宋" w:cs="宋体"/>
          <w:color w:val="auto"/>
          <w:sz w:val="28"/>
          <w:szCs w:val="28"/>
        </w:rPr>
      </w:pPr>
      <w:r>
        <w:rPr>
          <w:rFonts w:hint="eastAsia" w:ascii="仿宋" w:hAnsi="仿宋" w:eastAsia="仿宋" w:cs="宋体"/>
          <w:b/>
          <w:bCs/>
          <w:color w:val="auto"/>
          <w:sz w:val="28"/>
          <w:szCs w:val="28"/>
        </w:rPr>
        <w:t>五、技术标准和依据</w:t>
      </w:r>
    </w:p>
    <w:p w14:paraId="6CEAFD62">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（1）GB/T 13989-2012《国家基本比例尺地形图分幅和编号》；</w:t>
      </w:r>
    </w:p>
    <w:p w14:paraId="2A60A8D6">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（2）GB/T 18521-2001《地名分类与类别代码编制规则》；</w:t>
      </w:r>
    </w:p>
    <w:p w14:paraId="20C4F986">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（3）GB/T 13923-2022《基础地理信息要素分类与代码》；</w:t>
      </w:r>
    </w:p>
    <w:p w14:paraId="01077B3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（4）GB/T 33175-2016《国家基本比例尺地图 1:500 1:1 000 1:2 000正射影像地图》；</w:t>
      </w:r>
    </w:p>
    <w:p w14:paraId="40EAD6B8">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（5）GB/T 33176-2016《国家基本比例尺地图 1:500 1:1000 1:2000地形图》；</w:t>
      </w:r>
    </w:p>
    <w:p w14:paraId="581F6D85">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（6）GB/T 7931-2008《1:500 1:1000 1:2000地形图航空摄影测量外业规范》；</w:t>
      </w:r>
    </w:p>
    <w:p w14:paraId="2297C0F2">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（7）GB/T 7930-2008《1:500 1:1000 1:2000地形图航空摄影测量内业规范》；</w:t>
      </w:r>
    </w:p>
    <w:p w14:paraId="786D2E69">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（8）GB/T 14912-2017《1:500 1:1000 1:2000外业数字测图规程》；</w:t>
      </w:r>
    </w:p>
    <w:p w14:paraId="5149B485">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（9）GB/T20257.1—2017《国家基本比例尺地图图式 第1部分：1:500 1:1000 1:2000地形图图式》；</w:t>
      </w:r>
    </w:p>
    <w:p w14:paraId="2E8694D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（10）GB/T 39610-2020《倾斜数字航空摄影技术规程》；</w:t>
      </w:r>
    </w:p>
    <w:p w14:paraId="1ECE546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（11）CH/T 3025-2023《倾斜数字摄影测量技术规程》；</w:t>
      </w:r>
    </w:p>
    <w:p w14:paraId="1C7E2EF1">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（12）GB/T23236-2024《数字航空摄影测量空中三角测量规范》;</w:t>
      </w:r>
    </w:p>
    <w:p w14:paraId="109AFC99">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（13）GB/T18314-2024《全球导航卫星系统（GNSS）测量规范》;</w:t>
      </w:r>
    </w:p>
    <w:p w14:paraId="638CACDD">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（14）CH/T 2009-2010《全球定位系统实时动态测量（RTK）技术规范》；</w:t>
      </w:r>
    </w:p>
    <w:p w14:paraId="424FCC2A">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（15）CH/T 1054-2022《无人机航空摄影成果质量检查与验收》；</w:t>
      </w:r>
    </w:p>
    <w:p w14:paraId="7FFF418F">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（16）CH/T 1050-2021《倾斜数字航空摄影成果质量检验技术规程；</w:t>
      </w:r>
    </w:p>
    <w:p w14:paraId="22C68AD0">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（17）GB/T 18316-2008《数字测绘成果质量检查与验收》；</w:t>
      </w:r>
    </w:p>
    <w:p w14:paraId="3198B959">
      <w:pPr>
        <w:spacing w:line="400" w:lineRule="exact"/>
        <w:ind w:firstLine="645"/>
        <w:rPr>
          <w:rFonts w:ascii="仿宋" w:hAnsi="仿宋" w:eastAsia="仿宋" w:cs="宋体"/>
          <w:color w:val="auto"/>
          <w:sz w:val="28"/>
          <w:szCs w:val="28"/>
        </w:rPr>
      </w:pPr>
      <w:r>
        <w:rPr>
          <w:rFonts w:hint="eastAsia" w:ascii="仿宋" w:hAnsi="仿宋" w:eastAsia="仿宋" w:cs="宋体"/>
          <w:color w:val="auto"/>
          <w:sz w:val="28"/>
          <w:szCs w:val="28"/>
        </w:rPr>
        <w:t>（18）GB/T 24356-2023《测绘成果质量检查与验收》。</w:t>
      </w:r>
    </w:p>
    <w:p w14:paraId="03F7165B">
      <w:pPr>
        <w:widowControl/>
        <w:spacing w:line="500" w:lineRule="exact"/>
        <w:rPr>
          <w:rFonts w:ascii="仿宋" w:hAnsi="仿宋" w:eastAsia="仿宋" w:cs="宋体"/>
          <w:color w:val="auto"/>
          <w:kern w:val="0"/>
          <w:sz w:val="28"/>
          <w:szCs w:val="28"/>
          <w:lang w:bidi="ar"/>
        </w:rPr>
      </w:pPr>
      <w:r>
        <w:rPr>
          <w:rFonts w:hint="eastAsia" w:ascii="仿宋" w:hAnsi="仿宋" w:eastAsia="仿宋" w:cs="宋体"/>
          <w:b/>
          <w:bCs/>
          <w:color w:val="auto"/>
          <w:kern w:val="0"/>
          <w:sz w:val="28"/>
          <w:szCs w:val="28"/>
          <w:lang w:bidi="ar"/>
        </w:rPr>
        <w:t>六、售后服务：</w:t>
      </w:r>
      <w:r>
        <w:rPr>
          <w:rFonts w:hint="eastAsia" w:ascii="仿宋" w:hAnsi="仿宋" w:eastAsia="仿宋" w:cs="宋体"/>
          <w:color w:val="auto"/>
          <w:kern w:val="0"/>
          <w:sz w:val="28"/>
          <w:szCs w:val="28"/>
          <w:lang w:bidi="ar"/>
        </w:rPr>
        <w:t>在项目结束后，提供一年的免费数据维护，在成果验收后1年内，如果采购人在使用该成果中发现错误或遗漏，乙方应对成果进行补正和完善。对成果应用过程中的问题进行解答。售后服务工作以电话、邮件沟通答疑为主，出现需要现场解答或重要会议等情况时项目组将赴现场参加。</w:t>
      </w:r>
    </w:p>
    <w:p w14:paraId="13CE538A">
      <w:pPr>
        <w:widowControl/>
        <w:spacing w:line="500" w:lineRule="exact"/>
        <w:rPr>
          <w:rFonts w:ascii="仿宋" w:hAnsi="仿宋" w:eastAsia="仿宋" w:cs="宋体"/>
          <w:color w:val="auto"/>
          <w:kern w:val="0"/>
          <w:sz w:val="28"/>
          <w:szCs w:val="28"/>
          <w:lang w:bidi="ar"/>
        </w:rPr>
      </w:pPr>
      <w:r>
        <w:rPr>
          <w:rFonts w:hint="eastAsia" w:ascii="仿宋" w:hAnsi="仿宋" w:eastAsia="仿宋" w:cs="宋体"/>
          <w:b/>
          <w:bCs/>
          <w:color w:val="auto"/>
          <w:kern w:val="0"/>
          <w:sz w:val="28"/>
          <w:szCs w:val="28"/>
          <w:lang w:bidi="ar"/>
        </w:rPr>
        <w:t>七、交付地点（范围）：</w:t>
      </w:r>
      <w:r>
        <w:rPr>
          <w:rFonts w:hint="eastAsia" w:ascii="仿宋" w:hAnsi="仿宋" w:eastAsia="仿宋" w:cs="宋体"/>
          <w:color w:val="auto"/>
          <w:kern w:val="0"/>
          <w:sz w:val="28"/>
          <w:szCs w:val="28"/>
          <w:lang w:bidi="ar"/>
        </w:rPr>
        <w:t>采购人指定地点</w:t>
      </w:r>
    </w:p>
    <w:p w14:paraId="3EE682EC">
      <w:pPr>
        <w:pStyle w:val="12"/>
        <w:spacing w:line="500" w:lineRule="exact"/>
        <w:ind w:firstLine="0"/>
        <w:rPr>
          <w:rFonts w:ascii="仿宋" w:hAnsi="仿宋" w:eastAsia="仿宋" w:cs="宋体"/>
          <w:b/>
          <w:bCs/>
          <w:color w:val="auto"/>
          <w:kern w:val="0"/>
          <w:sz w:val="28"/>
          <w:szCs w:val="28"/>
          <w:lang w:bidi="ar"/>
        </w:rPr>
      </w:pPr>
      <w:r>
        <w:rPr>
          <w:rFonts w:hint="eastAsia" w:ascii="仿宋" w:hAnsi="仿宋" w:eastAsia="仿宋" w:cs="宋体"/>
          <w:b/>
          <w:bCs/>
          <w:color w:val="auto"/>
          <w:kern w:val="0"/>
          <w:sz w:val="28"/>
          <w:szCs w:val="28"/>
          <w:lang w:bidi="ar"/>
        </w:rPr>
        <w:t>八、成果交付期：</w:t>
      </w:r>
      <w:r>
        <w:rPr>
          <w:rFonts w:hint="eastAsia" w:ascii="仿宋" w:hAnsi="仿宋" w:eastAsia="仿宋" w:cs="宋体"/>
          <w:b/>
          <w:color w:val="auto"/>
          <w:kern w:val="0"/>
          <w:sz w:val="28"/>
          <w:szCs w:val="28"/>
          <w:lang w:bidi="ar"/>
        </w:rPr>
        <w:t>自合同签订之</w:t>
      </w:r>
      <w:r>
        <w:rPr>
          <w:rFonts w:hint="eastAsia" w:ascii="仿宋" w:hAnsi="仿宋" w:eastAsia="仿宋" w:cs="宋体"/>
          <w:b/>
          <w:color w:val="auto"/>
          <w:kern w:val="0"/>
          <w:sz w:val="28"/>
          <w:szCs w:val="28"/>
          <w:lang w:bidi="ar"/>
        </w:rPr>
        <w:t>日起30日内完成。</w:t>
      </w:r>
    </w:p>
    <w:p w14:paraId="71CD0CD8">
      <w:pPr>
        <w:overflowPunct w:val="0"/>
        <w:spacing w:line="500" w:lineRule="exact"/>
        <w:rPr>
          <w:rFonts w:ascii="仿宋" w:hAnsi="仿宋" w:eastAsia="仿宋" w:cs="宋体"/>
          <w:color w:val="auto"/>
          <w:kern w:val="0"/>
          <w:sz w:val="28"/>
          <w:szCs w:val="28"/>
          <w:lang w:bidi="ar"/>
        </w:rPr>
      </w:pPr>
      <w:r>
        <w:rPr>
          <w:rFonts w:hint="eastAsia" w:ascii="仿宋" w:hAnsi="仿宋" w:eastAsia="仿宋" w:cs="宋体"/>
          <w:b/>
          <w:bCs/>
          <w:color w:val="auto"/>
          <w:kern w:val="0"/>
          <w:sz w:val="28"/>
          <w:szCs w:val="28"/>
          <w:lang w:bidi="ar"/>
        </w:rPr>
        <w:t>九</w:t>
      </w:r>
      <w:r>
        <w:rPr>
          <w:rFonts w:ascii="仿宋" w:hAnsi="仿宋" w:eastAsia="仿宋" w:cs="宋体"/>
          <w:b/>
          <w:bCs/>
          <w:color w:val="auto"/>
          <w:kern w:val="0"/>
          <w:sz w:val="28"/>
          <w:szCs w:val="28"/>
          <w:lang w:bidi="ar"/>
        </w:rPr>
        <w:t>、验收标准：</w:t>
      </w:r>
      <w:r>
        <w:rPr>
          <w:rFonts w:ascii="仿宋" w:hAnsi="仿宋" w:eastAsia="仿宋" w:cs="宋体"/>
          <w:color w:val="auto"/>
          <w:kern w:val="0"/>
          <w:sz w:val="28"/>
          <w:szCs w:val="28"/>
          <w:lang w:bidi="ar"/>
        </w:rPr>
        <w:t>采购人应对服务的成果进行详细而全面的检验，检查成果是否齐全、完整，利用相关软件检查数据成果的拓扑关系，确保成果的规范性、准确性，使用内业检查和外业核实的方法，检查项目成果的科学性和合理性。</w:t>
      </w:r>
      <w:r>
        <w:rPr>
          <w:rFonts w:hint="eastAsia" w:ascii="仿宋" w:hAnsi="仿宋" w:eastAsia="仿宋" w:cs="宋体"/>
          <w:color w:val="auto"/>
          <w:kern w:val="0"/>
          <w:sz w:val="28"/>
          <w:szCs w:val="28"/>
          <w:lang w:bidi="ar"/>
        </w:rPr>
        <w:t>采购人有权限根据检验结果要求中标人立即更换或者提出索赔要求。检验合格后，由采购人组成的验收小组签署验收报告，作为付款凭据之一。</w:t>
      </w:r>
    </w:p>
    <w:p w14:paraId="5159E302">
      <w:pPr>
        <w:pStyle w:val="12"/>
        <w:spacing w:line="500" w:lineRule="exact"/>
        <w:ind w:firstLine="0"/>
        <w:rPr>
          <w:rFonts w:ascii="仿宋" w:hAnsi="仿宋" w:eastAsia="仿宋" w:cs="宋体"/>
          <w:bCs/>
          <w:color w:val="auto"/>
          <w:kern w:val="0"/>
          <w:sz w:val="28"/>
          <w:szCs w:val="28"/>
          <w:lang w:bidi="ar"/>
        </w:rPr>
      </w:pPr>
      <w:r>
        <w:rPr>
          <w:rFonts w:hint="eastAsia" w:ascii="仿宋" w:hAnsi="仿宋" w:eastAsia="仿宋" w:cs="宋体"/>
          <w:b/>
          <w:bCs/>
          <w:color w:val="auto"/>
          <w:kern w:val="0"/>
          <w:sz w:val="28"/>
          <w:szCs w:val="28"/>
          <w:lang w:bidi="ar"/>
        </w:rPr>
        <w:t>十、</w:t>
      </w:r>
      <w:r>
        <w:rPr>
          <w:rFonts w:hint="eastAsia" w:ascii="仿宋" w:hAnsi="仿宋" w:eastAsia="仿宋" w:cs="宋体"/>
          <w:bCs/>
          <w:color w:val="auto"/>
          <w:kern w:val="0"/>
          <w:sz w:val="28"/>
          <w:szCs w:val="28"/>
          <w:lang w:bidi="ar"/>
        </w:rPr>
        <w:t>成果纸质资料提交打印等由中标单位负责。</w:t>
      </w:r>
    </w:p>
    <w:p w14:paraId="411E3196">
      <w:pPr>
        <w:pStyle w:val="12"/>
        <w:spacing w:line="500" w:lineRule="exact"/>
        <w:ind w:firstLine="0"/>
        <w:rPr>
          <w:rFonts w:ascii="仿宋" w:hAnsi="仿宋" w:eastAsia="仿宋" w:cs="宋体"/>
          <w:bCs/>
          <w:color w:val="auto"/>
          <w:kern w:val="0"/>
          <w:sz w:val="28"/>
          <w:szCs w:val="28"/>
          <w:lang w:bidi="ar"/>
        </w:rPr>
      </w:pPr>
      <w:r>
        <w:rPr>
          <w:rFonts w:hint="eastAsia" w:ascii="仿宋" w:hAnsi="仿宋" w:eastAsia="仿宋" w:cs="宋体"/>
          <w:b/>
          <w:bCs/>
          <w:color w:val="auto"/>
          <w:kern w:val="0"/>
          <w:sz w:val="28"/>
          <w:szCs w:val="28"/>
          <w:lang w:bidi="ar"/>
        </w:rPr>
        <w:t>十一</w:t>
      </w:r>
      <w:r>
        <w:rPr>
          <w:rFonts w:ascii="仿宋" w:hAnsi="仿宋" w:eastAsia="仿宋" w:cs="宋体"/>
          <w:b/>
          <w:bCs/>
          <w:color w:val="auto"/>
          <w:kern w:val="0"/>
          <w:sz w:val="28"/>
          <w:szCs w:val="28"/>
          <w:lang w:bidi="ar"/>
        </w:rPr>
        <w:t>、付款方式：</w:t>
      </w:r>
      <w:r>
        <w:rPr>
          <w:rFonts w:ascii="仿宋" w:hAnsi="仿宋" w:eastAsia="仿宋" w:cs="宋体"/>
          <w:bCs/>
          <w:color w:val="auto"/>
          <w:kern w:val="0"/>
          <w:sz w:val="28"/>
          <w:szCs w:val="28"/>
          <w:lang w:bidi="ar"/>
        </w:rPr>
        <w:t>本项目的付款方式以最终签订合同所规定的付款方式为准。</w:t>
      </w:r>
    </w:p>
    <w:p w14:paraId="52D80A78">
      <w:pPr>
        <w:pStyle w:val="12"/>
        <w:spacing w:line="500" w:lineRule="exact"/>
        <w:ind w:firstLine="0"/>
        <w:rPr>
          <w:rFonts w:ascii="仿宋" w:hAnsi="仿宋" w:eastAsia="仿宋" w:cs="宋体"/>
          <w:bCs/>
          <w:color w:val="auto"/>
          <w:kern w:val="0"/>
          <w:sz w:val="28"/>
          <w:szCs w:val="28"/>
          <w:lang w:bidi="ar"/>
        </w:rPr>
      </w:pPr>
      <w:r>
        <w:rPr>
          <w:rFonts w:hint="eastAsia" w:ascii="仿宋" w:hAnsi="仿宋" w:eastAsia="仿宋" w:cs="宋体"/>
          <w:b/>
          <w:bCs/>
          <w:color w:val="auto"/>
          <w:kern w:val="0"/>
          <w:sz w:val="28"/>
          <w:szCs w:val="28"/>
          <w:lang w:bidi="ar"/>
        </w:rPr>
        <w:t>十二、</w:t>
      </w:r>
      <w:r>
        <w:rPr>
          <w:rFonts w:hint="eastAsia" w:ascii="仿宋" w:hAnsi="仿宋" w:eastAsia="仿宋" w:cs="宋体"/>
          <w:bCs/>
          <w:color w:val="auto"/>
          <w:kern w:val="0"/>
          <w:sz w:val="28"/>
          <w:szCs w:val="28"/>
          <w:lang w:bidi="ar"/>
        </w:rPr>
        <w:t>其他未尽事宜由供需双方在采购合同中详细约定。</w:t>
      </w:r>
    </w:p>
    <w:p w14:paraId="5E48F8A4">
      <w:pPr>
        <w:pStyle w:val="2"/>
        <w:rPr>
          <w:color w:val="auto"/>
          <w:lang w:bidi="ar"/>
        </w:rPr>
      </w:pPr>
    </w:p>
    <w:p w14:paraId="140C451D">
      <w:pPr>
        <w:pStyle w:val="2"/>
        <w:rPr>
          <w:color w:val="auto"/>
          <w:lang w:bidi="ar"/>
        </w:rPr>
      </w:pPr>
    </w:p>
    <w:p w14:paraId="54033491">
      <w:pPr>
        <w:pStyle w:val="2"/>
        <w:rPr>
          <w:color w:val="auto"/>
          <w:lang w:bidi="ar"/>
        </w:rPr>
      </w:pPr>
    </w:p>
    <w:p w14:paraId="510D4F91">
      <w:pPr>
        <w:pStyle w:val="2"/>
        <w:rPr>
          <w:color w:val="auto"/>
          <w:lang w:bidi="ar"/>
        </w:rPr>
      </w:pPr>
    </w:p>
    <w:p w14:paraId="5003F625">
      <w:pPr>
        <w:pStyle w:val="2"/>
        <w:rPr>
          <w:color w:val="auto"/>
          <w:lang w:bidi="ar"/>
        </w:rPr>
      </w:pPr>
    </w:p>
    <w:p w14:paraId="5D79BF4F">
      <w:pPr>
        <w:pStyle w:val="2"/>
        <w:rPr>
          <w:color w:val="auto"/>
          <w:lang w:bidi="ar"/>
        </w:rPr>
      </w:pPr>
    </w:p>
    <w:p w14:paraId="7C3D9F3D">
      <w:pPr>
        <w:pStyle w:val="2"/>
        <w:rPr>
          <w:color w:val="auto"/>
          <w:lang w:bidi="ar"/>
        </w:rPr>
      </w:pPr>
    </w:p>
    <w:p w14:paraId="1ED21546">
      <w:pPr>
        <w:pStyle w:val="2"/>
        <w:rPr>
          <w:color w:val="auto"/>
          <w:lang w:bidi="ar"/>
        </w:rPr>
      </w:pPr>
    </w:p>
    <w:p w14:paraId="36CBFE4E">
      <w:pPr>
        <w:pStyle w:val="2"/>
        <w:rPr>
          <w:color w:val="auto"/>
          <w:lang w:bidi="ar"/>
        </w:rPr>
      </w:pPr>
    </w:p>
    <w:p w14:paraId="525BC90C">
      <w:pPr>
        <w:pStyle w:val="2"/>
        <w:rPr>
          <w:color w:val="auto"/>
          <w:lang w:bidi="ar"/>
        </w:rPr>
      </w:pPr>
    </w:p>
    <w:p w14:paraId="579EE118">
      <w:pPr>
        <w:pStyle w:val="2"/>
        <w:rPr>
          <w:color w:val="auto"/>
          <w:lang w:bidi="ar"/>
        </w:rPr>
      </w:pPr>
    </w:p>
    <w:p w14:paraId="4AFFED6A">
      <w:pPr>
        <w:pStyle w:val="2"/>
        <w:rPr>
          <w:color w:val="auto"/>
          <w:lang w:bidi="ar"/>
        </w:rPr>
      </w:pPr>
    </w:p>
    <w:p w14:paraId="6C4058EC">
      <w:pPr>
        <w:pStyle w:val="2"/>
        <w:rPr>
          <w:color w:val="auto"/>
          <w:lang w:bidi="ar"/>
        </w:rPr>
      </w:pPr>
    </w:p>
    <w:p w14:paraId="449CFDDA">
      <w:pPr>
        <w:pStyle w:val="2"/>
        <w:rPr>
          <w:color w:val="auto"/>
          <w:lang w:bidi="ar"/>
        </w:rPr>
      </w:pPr>
    </w:p>
    <w:p w14:paraId="69D62A48">
      <w:pPr>
        <w:pStyle w:val="2"/>
        <w:rPr>
          <w:color w:val="auto"/>
          <w:lang w:bidi="ar"/>
        </w:rPr>
      </w:pPr>
    </w:p>
    <w:p w14:paraId="32233991">
      <w:pPr>
        <w:pStyle w:val="2"/>
        <w:rPr>
          <w:color w:val="auto"/>
          <w:lang w:bidi="ar"/>
        </w:rPr>
      </w:pPr>
    </w:p>
    <w:p w14:paraId="6D2A975B">
      <w:pPr>
        <w:pStyle w:val="2"/>
        <w:rPr>
          <w:color w:val="auto"/>
          <w:lang w:bidi="ar"/>
        </w:rPr>
      </w:pPr>
    </w:p>
    <w:p w14:paraId="14F1BF35">
      <w:pPr>
        <w:pStyle w:val="2"/>
        <w:rPr>
          <w:color w:val="auto"/>
          <w:lang w:bidi="ar"/>
        </w:rPr>
      </w:pPr>
    </w:p>
    <w:p w14:paraId="0BA52D4D">
      <w:pPr>
        <w:pStyle w:val="2"/>
        <w:rPr>
          <w:color w:val="auto"/>
          <w:lang w:bidi="ar"/>
        </w:rPr>
      </w:pPr>
    </w:p>
    <w:p w14:paraId="528AFC95">
      <w:pPr>
        <w:pStyle w:val="2"/>
        <w:rPr>
          <w:color w:val="auto"/>
          <w:lang w:bidi="ar"/>
        </w:rPr>
      </w:pPr>
    </w:p>
    <w:p w14:paraId="662E0700">
      <w:pPr>
        <w:pStyle w:val="2"/>
        <w:rPr>
          <w:color w:val="auto"/>
          <w:lang w:bidi="ar"/>
        </w:rPr>
      </w:pPr>
    </w:p>
    <w:p w14:paraId="52C29417">
      <w:pPr>
        <w:pStyle w:val="2"/>
        <w:rPr>
          <w:color w:val="auto"/>
          <w:lang w:bidi="ar"/>
        </w:rPr>
      </w:pPr>
    </w:p>
    <w:p w14:paraId="3C741EDD">
      <w:pPr>
        <w:pStyle w:val="2"/>
        <w:rPr>
          <w:color w:val="auto"/>
          <w:lang w:bidi="ar"/>
        </w:rPr>
      </w:pPr>
    </w:p>
    <w:p w14:paraId="61E77EA1">
      <w:pPr>
        <w:pStyle w:val="2"/>
        <w:rPr>
          <w:color w:val="auto"/>
          <w:lang w:bidi="ar"/>
        </w:rPr>
      </w:pPr>
    </w:p>
    <w:p w14:paraId="44674128">
      <w:pPr>
        <w:pStyle w:val="2"/>
        <w:rPr>
          <w:color w:val="auto"/>
          <w:lang w:bidi="ar"/>
        </w:rPr>
      </w:pPr>
    </w:p>
    <w:p w14:paraId="7D32038D">
      <w:pPr>
        <w:pStyle w:val="2"/>
        <w:rPr>
          <w:color w:val="auto"/>
          <w:lang w:bidi="ar"/>
        </w:rPr>
      </w:pPr>
    </w:p>
    <w:p w14:paraId="36E2F1A5">
      <w:pPr>
        <w:pStyle w:val="2"/>
        <w:rPr>
          <w:color w:val="auto"/>
          <w:lang w:bidi="ar"/>
        </w:rPr>
      </w:pPr>
    </w:p>
    <w:p w14:paraId="23763CB1">
      <w:pPr>
        <w:pStyle w:val="2"/>
        <w:rPr>
          <w:color w:val="auto"/>
          <w:lang w:bidi="ar"/>
        </w:rPr>
      </w:pPr>
    </w:p>
    <w:p w14:paraId="47E22E15">
      <w:pPr>
        <w:pStyle w:val="2"/>
        <w:rPr>
          <w:color w:val="auto"/>
          <w:lang w:bidi="ar"/>
        </w:rPr>
      </w:pPr>
    </w:p>
    <w:p w14:paraId="54CC059D">
      <w:pPr>
        <w:pStyle w:val="2"/>
        <w:rPr>
          <w:color w:val="auto"/>
          <w:lang w:bidi="ar"/>
        </w:rPr>
      </w:pPr>
    </w:p>
    <w:p w14:paraId="011D5DAF">
      <w:pPr>
        <w:pStyle w:val="2"/>
        <w:rPr>
          <w:color w:val="auto"/>
          <w:lang w:bidi="ar"/>
        </w:rPr>
      </w:pPr>
    </w:p>
    <w:p w14:paraId="6FF4FFB8">
      <w:pPr>
        <w:pStyle w:val="2"/>
        <w:rPr>
          <w:color w:val="auto"/>
          <w:lang w:bidi="ar"/>
        </w:rPr>
      </w:pPr>
    </w:p>
    <w:p w14:paraId="414C6460">
      <w:pPr>
        <w:pStyle w:val="2"/>
        <w:rPr>
          <w:color w:val="auto"/>
          <w:lang w:bidi="ar"/>
        </w:rPr>
      </w:pPr>
    </w:p>
    <w:p w14:paraId="5BFD2647">
      <w:pPr>
        <w:pStyle w:val="2"/>
        <w:rPr>
          <w:color w:val="auto"/>
          <w:lang w:bidi="ar"/>
        </w:rPr>
      </w:pPr>
    </w:p>
    <w:p w14:paraId="00DFA8D3">
      <w:pPr>
        <w:pStyle w:val="2"/>
        <w:rPr>
          <w:color w:val="auto"/>
          <w:lang w:bidi="ar"/>
        </w:rPr>
      </w:pPr>
    </w:p>
    <w:p w14:paraId="6BBEE6A5">
      <w:pPr>
        <w:pStyle w:val="2"/>
        <w:rPr>
          <w:color w:val="auto"/>
          <w:lang w:bidi="ar"/>
        </w:rPr>
      </w:pPr>
    </w:p>
    <w:p w14:paraId="57694BAE">
      <w:pPr>
        <w:pStyle w:val="2"/>
        <w:rPr>
          <w:color w:val="auto"/>
          <w:lang w:bidi="ar"/>
        </w:rPr>
      </w:pPr>
    </w:p>
    <w:p w14:paraId="3D755E79">
      <w:pPr>
        <w:pStyle w:val="2"/>
        <w:rPr>
          <w:color w:val="auto"/>
          <w:lang w:bidi="ar"/>
        </w:rPr>
      </w:pPr>
    </w:p>
    <w:p w14:paraId="1AFF2533">
      <w:pPr>
        <w:pStyle w:val="2"/>
        <w:rPr>
          <w:color w:val="auto"/>
          <w:lang w:bidi="ar"/>
        </w:rPr>
      </w:pPr>
    </w:p>
    <w:p w14:paraId="433A896D">
      <w:pPr>
        <w:pStyle w:val="2"/>
        <w:rPr>
          <w:color w:val="auto"/>
          <w:lang w:bidi="ar"/>
        </w:rPr>
      </w:pPr>
    </w:p>
    <w:p w14:paraId="0B01DA7C">
      <w:pPr>
        <w:pStyle w:val="2"/>
        <w:rPr>
          <w:color w:val="auto"/>
          <w:lang w:bidi="ar"/>
        </w:rPr>
      </w:pPr>
    </w:p>
    <w:p w14:paraId="3C146476">
      <w:pPr>
        <w:pStyle w:val="2"/>
        <w:rPr>
          <w:color w:val="auto"/>
          <w:lang w:bidi="ar"/>
        </w:rPr>
      </w:pPr>
    </w:p>
    <w:p w14:paraId="4EA632F0">
      <w:pPr>
        <w:pStyle w:val="2"/>
        <w:rPr>
          <w:color w:val="auto"/>
          <w:lang w:bidi="ar"/>
        </w:rPr>
      </w:pPr>
    </w:p>
    <w:p w14:paraId="163435F1">
      <w:pPr>
        <w:pStyle w:val="2"/>
        <w:rPr>
          <w:color w:val="auto"/>
          <w:lang w:bidi="ar"/>
        </w:rPr>
      </w:pPr>
    </w:p>
    <w:p w14:paraId="6095575C">
      <w:pPr>
        <w:pStyle w:val="2"/>
        <w:rPr>
          <w:color w:val="auto"/>
          <w:lang w:bidi="ar"/>
        </w:rPr>
      </w:pPr>
    </w:p>
    <w:p w14:paraId="58658B79">
      <w:pPr>
        <w:pStyle w:val="2"/>
        <w:rPr>
          <w:color w:val="auto"/>
          <w:lang w:bidi="ar"/>
        </w:rPr>
      </w:pPr>
    </w:p>
    <w:p w14:paraId="6B9EE32F">
      <w:pPr>
        <w:pStyle w:val="2"/>
        <w:rPr>
          <w:color w:val="auto"/>
          <w:lang w:bidi="ar"/>
        </w:rPr>
      </w:pPr>
    </w:p>
    <w:p w14:paraId="6AD7FAE1">
      <w:pPr>
        <w:pStyle w:val="2"/>
        <w:rPr>
          <w:color w:val="auto"/>
          <w:lang w:bidi="ar"/>
        </w:rPr>
      </w:pPr>
    </w:p>
    <w:p w14:paraId="11278153">
      <w:pPr>
        <w:pStyle w:val="2"/>
        <w:rPr>
          <w:color w:val="auto"/>
          <w:lang w:bidi="ar"/>
        </w:rPr>
      </w:pPr>
    </w:p>
    <w:p w14:paraId="106CF682">
      <w:pPr>
        <w:pStyle w:val="2"/>
        <w:rPr>
          <w:color w:val="auto"/>
          <w:lang w:bidi="ar"/>
        </w:rPr>
      </w:pPr>
    </w:p>
    <w:bookmarkEnd w:id="320"/>
    <w:bookmarkEnd w:id="321"/>
    <w:bookmarkEnd w:id="322"/>
    <w:bookmarkEnd w:id="323"/>
    <w:bookmarkEnd w:id="324"/>
    <w:bookmarkEnd w:id="325"/>
    <w:bookmarkEnd w:id="326"/>
    <w:bookmarkEnd w:id="327"/>
    <w:p w14:paraId="64F53F24">
      <w:pPr>
        <w:pStyle w:val="3"/>
        <w:tabs>
          <w:tab w:val="left" w:pos="0"/>
        </w:tabs>
        <w:spacing w:before="0" w:after="0" w:line="240" w:lineRule="atLeast"/>
        <w:ind w:left="-15"/>
        <w:rPr>
          <w:rFonts w:ascii="仿宋" w:hAnsi="仿宋" w:eastAsia="仿宋" w:cs="仿宋"/>
          <w:color w:val="auto"/>
        </w:rPr>
      </w:pPr>
      <w:r>
        <w:rPr>
          <w:rFonts w:hint="eastAsia" w:ascii="仿宋" w:hAnsi="仿宋" w:eastAsia="仿宋" w:cs="仿宋"/>
          <w:color w:val="auto"/>
        </w:rPr>
        <w:t>6章 评标方法和标准</w:t>
      </w:r>
    </w:p>
    <w:p w14:paraId="0D7EB847">
      <w:pPr>
        <w:pStyle w:val="10"/>
        <w:tabs>
          <w:tab w:val="clear" w:pos="567"/>
        </w:tabs>
        <w:spacing w:before="0" w:line="400" w:lineRule="exact"/>
        <w:ind w:firstLine="480" w:firstLineChars="200"/>
        <w:jc w:val="left"/>
        <w:rPr>
          <w:rFonts w:ascii="仿宋" w:hAnsi="仿宋" w:eastAsia="仿宋" w:cs="仿宋"/>
          <w:color w:val="auto"/>
        </w:rPr>
      </w:pPr>
      <w:r>
        <w:rPr>
          <w:rFonts w:hint="eastAsia" w:ascii="仿宋" w:hAnsi="仿宋" w:eastAsia="仿宋" w:cs="仿宋"/>
          <w:color w:val="auto"/>
        </w:rPr>
        <w:t>本项目将按照招标文件第一章投标人须知中“五 招标开启及评审”、“六 确定中标”及本章的规定评标。</w:t>
      </w:r>
    </w:p>
    <w:p w14:paraId="53EA4307">
      <w:pPr>
        <w:spacing w:line="400" w:lineRule="exact"/>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kern w:val="0"/>
          <w:sz w:val="24"/>
          <w:lang w:bidi="ar"/>
        </w:rPr>
        <w:t>项目基本情况</w:t>
      </w:r>
    </w:p>
    <w:p w14:paraId="5601C5D7">
      <w:pPr>
        <w:spacing w:line="400" w:lineRule="exact"/>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rPr>
        <w:t xml:space="preserve">：伽师县城镇单元详细规划1:500基础地形测绘项目   </w:t>
      </w:r>
      <w:r>
        <w:rPr>
          <w:rFonts w:hint="eastAsia" w:ascii="仿宋" w:hAnsi="仿宋" w:eastAsia="仿宋" w:cs="仿宋"/>
          <w:color w:val="auto"/>
          <w:sz w:val="24"/>
        </w:rPr>
        <w:t xml:space="preserve">     </w:t>
      </w:r>
    </w:p>
    <w:p w14:paraId="392910C4">
      <w:pPr>
        <w:spacing w:line="400" w:lineRule="exact"/>
        <w:rPr>
          <w:rFonts w:ascii="仿宋" w:hAnsi="仿宋" w:eastAsia="仿宋" w:cs="仿宋"/>
          <w:color w:val="auto"/>
          <w:sz w:val="24"/>
        </w:rPr>
      </w:pPr>
      <w:r>
        <w:rPr>
          <w:rFonts w:hint="eastAsia" w:ascii="仿宋" w:hAnsi="仿宋" w:eastAsia="仿宋" w:cs="仿宋"/>
          <w:color w:val="auto"/>
          <w:sz w:val="24"/>
        </w:rPr>
        <w:t>地点：https://www.zcygov.cn在线投标</w:t>
      </w:r>
    </w:p>
    <w:p w14:paraId="4642A957">
      <w:pPr>
        <w:spacing w:line="400" w:lineRule="exact"/>
        <w:rPr>
          <w:rFonts w:ascii="仿宋" w:hAnsi="仿宋" w:eastAsia="仿宋" w:cs="仿宋"/>
          <w:color w:val="auto"/>
          <w:sz w:val="24"/>
        </w:rPr>
      </w:pPr>
      <w:r>
        <w:rPr>
          <w:rFonts w:hint="eastAsia" w:ascii="仿宋" w:hAnsi="仿宋" w:eastAsia="仿宋" w:cs="仿宋"/>
          <w:color w:val="auto"/>
          <w:sz w:val="24"/>
        </w:rPr>
        <w:t>采购方式：公开招标</w:t>
      </w:r>
    </w:p>
    <w:p w14:paraId="17534EA9">
      <w:pPr>
        <w:spacing w:line="400" w:lineRule="exact"/>
        <w:rPr>
          <w:rFonts w:ascii="仿宋" w:hAnsi="仿宋" w:eastAsia="仿宋" w:cs="仿宋"/>
          <w:color w:val="auto"/>
          <w:sz w:val="24"/>
        </w:rPr>
      </w:pPr>
      <w:r>
        <w:rPr>
          <w:rFonts w:hint="eastAsia" w:ascii="仿宋" w:hAnsi="仿宋" w:eastAsia="仿宋" w:cs="仿宋"/>
          <w:color w:val="auto"/>
          <w:sz w:val="24"/>
        </w:rPr>
        <w:t>评标办法：综合评分法</w:t>
      </w:r>
    </w:p>
    <w:p w14:paraId="5475F777">
      <w:pPr>
        <w:spacing w:line="400" w:lineRule="exact"/>
        <w:rPr>
          <w:rFonts w:ascii="仿宋" w:hAnsi="仿宋" w:eastAsia="仿宋" w:cs="仿宋"/>
          <w:color w:val="auto"/>
          <w:sz w:val="24"/>
        </w:rPr>
      </w:pPr>
      <w:r>
        <w:rPr>
          <w:rFonts w:hint="eastAsia" w:ascii="仿宋" w:hAnsi="仿宋" w:eastAsia="仿宋" w:cs="仿宋"/>
          <w:color w:val="auto"/>
          <w:sz w:val="24"/>
        </w:rPr>
        <w:t>是指投标文件满足招标文件全部实质性要求且按评审因素的量化指标评审得分最高的供应商为中标候选单位的评审方法。</w:t>
      </w:r>
    </w:p>
    <w:p w14:paraId="636F2FC2">
      <w:pPr>
        <w:spacing w:line="400" w:lineRule="exact"/>
        <w:rPr>
          <w:rFonts w:ascii="仿宋" w:hAnsi="仿宋" w:eastAsia="仿宋" w:cs="仿宋"/>
          <w:b/>
          <w:bCs/>
          <w:color w:val="auto"/>
          <w:sz w:val="24"/>
        </w:rPr>
      </w:pPr>
      <w:r>
        <w:rPr>
          <w:rFonts w:hint="eastAsia" w:ascii="仿宋" w:hAnsi="仿宋" w:eastAsia="仿宋" w:cs="仿宋"/>
          <w:b/>
          <w:bCs/>
          <w:color w:val="auto"/>
          <w:sz w:val="24"/>
        </w:rPr>
        <w:t>二、拒绝接收投标文件的情形</w:t>
      </w:r>
    </w:p>
    <w:p w14:paraId="26292F7B">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在递交投标文件截止时间后上传的投标文件的，采购人和采购代理机构将拒绝签收。</w:t>
      </w:r>
    </w:p>
    <w:p w14:paraId="49BBFE53">
      <w:pPr>
        <w:spacing w:line="400" w:lineRule="exact"/>
        <w:rPr>
          <w:rFonts w:ascii="仿宋" w:hAnsi="仿宋" w:eastAsia="仿宋" w:cs="仿宋"/>
          <w:b/>
          <w:bCs/>
          <w:color w:val="auto"/>
          <w:sz w:val="24"/>
        </w:rPr>
      </w:pPr>
      <w:r>
        <w:rPr>
          <w:rFonts w:hint="eastAsia" w:ascii="仿宋" w:hAnsi="仿宋" w:eastAsia="仿宋" w:cs="仿宋"/>
          <w:b/>
          <w:bCs/>
          <w:color w:val="auto"/>
          <w:sz w:val="24"/>
        </w:rPr>
        <w:t>三、不得开启投标文件的情形</w:t>
      </w:r>
    </w:p>
    <w:p w14:paraId="371FFED8">
      <w:pPr>
        <w:spacing w:line="400" w:lineRule="exact"/>
        <w:ind w:firstLine="480" w:firstLineChars="200"/>
        <w:rPr>
          <w:rFonts w:ascii="仿宋" w:hAnsi="仿宋" w:eastAsia="仿宋" w:cs="仿宋"/>
          <w:color w:val="auto"/>
        </w:rPr>
      </w:pPr>
      <w:r>
        <w:rPr>
          <w:rFonts w:hint="eastAsia" w:ascii="仿宋" w:hAnsi="仿宋" w:eastAsia="仿宋" w:cs="仿宋"/>
          <w:color w:val="auto"/>
          <w:sz w:val="24"/>
        </w:rPr>
        <w:t>供应商不足3家的，不得开启投标文件。</w:t>
      </w:r>
    </w:p>
    <w:p w14:paraId="22E0FFF8">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四.投标文件无效的情形：</w:t>
      </w:r>
    </w:p>
    <w:p w14:paraId="05D1658D">
      <w:pPr>
        <w:tabs>
          <w:tab w:val="left" w:pos="0"/>
        </w:tabs>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详见投标须知。</w:t>
      </w:r>
    </w:p>
    <w:p w14:paraId="4C65B540">
      <w:pPr>
        <w:pStyle w:val="90"/>
        <w:spacing w:line="400" w:lineRule="exact"/>
        <w:rPr>
          <w:rFonts w:ascii="仿宋" w:hAnsi="仿宋" w:eastAsia="仿宋" w:cs="仿宋"/>
          <w:b/>
          <w:bCs/>
          <w:color w:val="auto"/>
        </w:rPr>
      </w:pPr>
      <w:r>
        <w:rPr>
          <w:rFonts w:hint="eastAsia" w:ascii="仿宋" w:hAnsi="仿宋" w:eastAsia="仿宋" w:cs="仿宋"/>
          <w:b/>
          <w:bCs/>
          <w:color w:val="auto"/>
        </w:rPr>
        <w:t>五、投标文件的开启</w:t>
      </w:r>
    </w:p>
    <w:p w14:paraId="4E5F4BB9">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开标</w:t>
      </w:r>
    </w:p>
    <w:p w14:paraId="0A91ED6C">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开标在招标文件确定的提交投标文件截止时间后进行。开标由采购代理主持,供应商采用电子投标的供应商应委派代表参加电子投标会议。</w:t>
      </w:r>
    </w:p>
    <w:p w14:paraId="244CBC66">
      <w:pPr>
        <w:pStyle w:val="15"/>
        <w:snapToGrid w:val="0"/>
        <w:spacing w:line="400" w:lineRule="exact"/>
        <w:ind w:firstLine="466" w:firstLineChars="200"/>
        <w:rPr>
          <w:rFonts w:ascii="仿宋" w:hAnsi="仿宋" w:eastAsia="仿宋" w:cs="仿宋"/>
          <w:b/>
          <w:bCs/>
          <w:color w:val="auto"/>
          <w:spacing w:val="-4"/>
          <w:sz w:val="24"/>
          <w:szCs w:val="24"/>
        </w:rPr>
      </w:pPr>
      <w:r>
        <w:rPr>
          <w:rFonts w:hint="eastAsia" w:ascii="仿宋" w:hAnsi="仿宋" w:eastAsia="仿宋" w:cs="仿宋"/>
          <w:b/>
          <w:bCs/>
          <w:color w:val="auto"/>
          <w:spacing w:val="-4"/>
          <w:sz w:val="24"/>
          <w:szCs w:val="24"/>
        </w:rPr>
        <w:t>六、项目评审专家：</w:t>
      </w:r>
    </w:p>
    <w:p w14:paraId="67B3649B">
      <w:pPr>
        <w:pStyle w:val="15"/>
        <w:snapToGrid w:val="0"/>
        <w:spacing w:line="400" w:lineRule="exact"/>
        <w:ind w:firstLine="464" w:firstLineChars="200"/>
        <w:rPr>
          <w:rFonts w:ascii="仿宋" w:hAnsi="仿宋" w:eastAsia="仿宋" w:cs="仿宋"/>
          <w:b/>
          <w:color w:val="auto"/>
          <w:spacing w:val="-4"/>
          <w:sz w:val="24"/>
          <w:szCs w:val="24"/>
        </w:rPr>
      </w:pPr>
      <w:r>
        <w:rPr>
          <w:rFonts w:hint="eastAsia" w:ascii="仿宋" w:hAnsi="仿宋" w:eastAsia="仿宋" w:cs="仿宋"/>
          <w:color w:val="auto"/>
          <w:spacing w:val="-4"/>
          <w:sz w:val="24"/>
          <w:szCs w:val="24"/>
        </w:rPr>
        <w:t>按照《中华人民共和国政府采购法》、《中华人民共和国政府采购法实施条例》、</w:t>
      </w:r>
      <w:r>
        <w:rPr>
          <w:rFonts w:hint="eastAsia" w:ascii="仿宋" w:hAnsi="仿宋" w:eastAsia="仿宋" w:cs="仿宋"/>
          <w:color w:val="auto"/>
          <w:sz w:val="24"/>
        </w:rPr>
        <w:t>《政府采购竞争性投标采购方式管理暂行办法》</w:t>
      </w:r>
      <w:r>
        <w:rPr>
          <w:rFonts w:hint="eastAsia" w:ascii="仿宋" w:hAnsi="仿宋" w:eastAsia="仿宋" w:cs="仿宋"/>
          <w:color w:val="auto"/>
          <w:spacing w:val="-4"/>
          <w:sz w:val="24"/>
          <w:szCs w:val="24"/>
        </w:rPr>
        <w:t>及本项目本级和上级财政部门的有关规定依法组建的评审小组，负责评审工作；</w:t>
      </w:r>
      <w:r>
        <w:rPr>
          <w:rFonts w:hint="eastAsia" w:ascii="仿宋" w:hAnsi="仿宋" w:eastAsia="仿宋" w:cs="仿宋"/>
          <w:b/>
          <w:color w:val="auto"/>
          <w:spacing w:val="-4"/>
          <w:sz w:val="24"/>
          <w:szCs w:val="24"/>
        </w:rPr>
        <w:t>本项目评审专家由5人组成</w:t>
      </w:r>
      <w:r>
        <w:rPr>
          <w:rFonts w:hint="eastAsia" w:ascii="仿宋" w:hAnsi="仿宋" w:eastAsia="仿宋" w:cs="仿宋"/>
          <w:b/>
          <w:color w:val="auto"/>
          <w:sz w:val="24"/>
        </w:rPr>
        <w:t>（政采云专家库随机抽取专家5名）</w:t>
      </w:r>
      <w:r>
        <w:rPr>
          <w:rFonts w:hint="eastAsia" w:ascii="仿宋" w:hAnsi="仿宋" w:eastAsia="仿宋" w:cs="仿宋"/>
          <w:b/>
          <w:color w:val="auto"/>
          <w:spacing w:val="-4"/>
          <w:sz w:val="24"/>
          <w:szCs w:val="24"/>
        </w:rPr>
        <w:t>。</w:t>
      </w:r>
    </w:p>
    <w:p w14:paraId="12C41EDA">
      <w:pPr>
        <w:pStyle w:val="15"/>
        <w:snapToGrid w:val="0"/>
        <w:spacing w:line="400" w:lineRule="exact"/>
        <w:rPr>
          <w:rFonts w:ascii="仿宋" w:hAnsi="仿宋" w:eastAsia="仿宋" w:cs="仿宋"/>
          <w:color w:val="auto"/>
          <w:spacing w:val="-4"/>
          <w:sz w:val="24"/>
          <w:szCs w:val="24"/>
        </w:rPr>
      </w:pPr>
      <w:r>
        <w:rPr>
          <w:rFonts w:hint="eastAsia" w:ascii="仿宋" w:hAnsi="仿宋" w:eastAsia="仿宋" w:cs="仿宋"/>
          <w:color w:val="auto"/>
          <w:spacing w:val="-4"/>
          <w:sz w:val="24"/>
          <w:szCs w:val="24"/>
        </w:rPr>
        <w:t>评审专家要求：</w:t>
      </w:r>
    </w:p>
    <w:p w14:paraId="1ACBAF6E">
      <w:pPr>
        <w:pStyle w:val="15"/>
        <w:snapToGrid w:val="0"/>
        <w:spacing w:line="400" w:lineRule="exact"/>
        <w:rPr>
          <w:rFonts w:ascii="仿宋" w:hAnsi="仿宋" w:eastAsia="仿宋" w:cs="仿宋"/>
          <w:color w:val="auto"/>
          <w:spacing w:val="-4"/>
          <w:sz w:val="24"/>
          <w:szCs w:val="24"/>
        </w:rPr>
      </w:pPr>
      <w:r>
        <w:rPr>
          <w:rFonts w:hint="eastAsia" w:ascii="仿宋" w:hAnsi="仿宋" w:eastAsia="仿宋" w:cs="仿宋"/>
          <w:color w:val="auto"/>
          <w:spacing w:val="-4"/>
          <w:sz w:val="24"/>
          <w:szCs w:val="24"/>
        </w:rPr>
        <w:t>　　1.组织评标委员会推选评标组长，采购人代表不得担任组长；</w:t>
      </w:r>
    </w:p>
    <w:p w14:paraId="577A5171">
      <w:pPr>
        <w:pStyle w:val="15"/>
        <w:snapToGrid w:val="0"/>
        <w:spacing w:line="400" w:lineRule="exact"/>
        <w:rPr>
          <w:rFonts w:ascii="仿宋" w:hAnsi="仿宋" w:eastAsia="仿宋" w:cs="仿宋"/>
          <w:color w:val="auto"/>
          <w:sz w:val="32"/>
          <w:szCs w:val="32"/>
        </w:rPr>
      </w:pPr>
      <w:r>
        <w:rPr>
          <w:rFonts w:hint="eastAsia" w:ascii="仿宋" w:hAnsi="仿宋" w:eastAsia="仿宋" w:cs="仿宋"/>
          <w:color w:val="auto"/>
          <w:spacing w:val="-4"/>
          <w:sz w:val="24"/>
          <w:szCs w:val="24"/>
        </w:rPr>
        <w:t>　　2.在评标期间采取必要的通讯管理措施，保证评标活动不受外界干扰，将手机关闭或调成静音交友现场项目监督人员统一保管；</w:t>
      </w:r>
    </w:p>
    <w:p w14:paraId="5FEA6BFF">
      <w:pPr>
        <w:pStyle w:val="15"/>
        <w:snapToGrid w:val="0"/>
        <w:spacing w:line="400" w:lineRule="exact"/>
        <w:rPr>
          <w:rFonts w:ascii="仿宋" w:hAnsi="仿宋" w:eastAsia="仿宋" w:cs="仿宋"/>
          <w:color w:val="auto"/>
          <w:spacing w:val="-4"/>
          <w:sz w:val="24"/>
          <w:szCs w:val="24"/>
        </w:rPr>
      </w:pPr>
      <w:r>
        <w:rPr>
          <w:rFonts w:hint="eastAsia" w:ascii="仿宋" w:hAnsi="仿宋" w:eastAsia="仿宋" w:cs="仿宋"/>
          <w:color w:val="auto"/>
          <w:spacing w:val="-4"/>
          <w:sz w:val="24"/>
          <w:szCs w:val="24"/>
        </w:rPr>
        <w:t>　　3.审查、评价投标文件是否符合招标文件的商务、技术等实质性要求；</w:t>
      </w:r>
    </w:p>
    <w:p w14:paraId="308F90CB">
      <w:pPr>
        <w:pStyle w:val="15"/>
        <w:snapToGrid w:val="0"/>
        <w:spacing w:line="400" w:lineRule="exact"/>
        <w:rPr>
          <w:rFonts w:ascii="仿宋" w:hAnsi="仿宋" w:eastAsia="仿宋" w:cs="仿宋"/>
          <w:color w:val="auto"/>
          <w:spacing w:val="-4"/>
          <w:sz w:val="24"/>
          <w:szCs w:val="24"/>
        </w:rPr>
      </w:pPr>
      <w:r>
        <w:rPr>
          <w:rFonts w:hint="eastAsia" w:ascii="仿宋" w:hAnsi="仿宋" w:eastAsia="仿宋" w:cs="仿宋"/>
          <w:color w:val="auto"/>
          <w:spacing w:val="-4"/>
          <w:sz w:val="24"/>
          <w:szCs w:val="24"/>
        </w:rPr>
        <w:t>　　4.要求投标人对投标文件有关事项作出澄清或者说明；</w:t>
      </w:r>
    </w:p>
    <w:p w14:paraId="010539AD">
      <w:pPr>
        <w:pStyle w:val="15"/>
        <w:snapToGrid w:val="0"/>
        <w:spacing w:line="400" w:lineRule="exact"/>
        <w:rPr>
          <w:rFonts w:ascii="仿宋" w:hAnsi="仿宋" w:eastAsia="仿宋" w:cs="仿宋"/>
          <w:color w:val="auto"/>
          <w:spacing w:val="-4"/>
          <w:sz w:val="24"/>
          <w:szCs w:val="24"/>
        </w:rPr>
      </w:pPr>
      <w:r>
        <w:rPr>
          <w:rFonts w:hint="eastAsia" w:ascii="仿宋" w:hAnsi="仿宋" w:eastAsia="仿宋" w:cs="仿宋"/>
          <w:color w:val="auto"/>
          <w:spacing w:val="-4"/>
          <w:sz w:val="24"/>
          <w:szCs w:val="24"/>
        </w:rPr>
        <w:t>　　5.对投标文件进行比较和评价；</w:t>
      </w:r>
    </w:p>
    <w:p w14:paraId="24364515">
      <w:pPr>
        <w:pStyle w:val="15"/>
        <w:snapToGrid w:val="0"/>
        <w:spacing w:line="400" w:lineRule="exact"/>
        <w:rPr>
          <w:rFonts w:ascii="仿宋" w:hAnsi="仿宋" w:eastAsia="仿宋" w:cs="仿宋"/>
          <w:color w:val="auto"/>
          <w:spacing w:val="-4"/>
          <w:sz w:val="24"/>
          <w:szCs w:val="24"/>
        </w:rPr>
      </w:pPr>
      <w:r>
        <w:rPr>
          <w:rFonts w:hint="eastAsia" w:ascii="仿宋" w:hAnsi="仿宋" w:eastAsia="仿宋" w:cs="仿宋"/>
          <w:color w:val="auto"/>
          <w:spacing w:val="-4"/>
          <w:sz w:val="24"/>
          <w:szCs w:val="24"/>
        </w:rPr>
        <w:t>　　6.确定中标候选人名单，以及根据采购人委托直接确定中标人；</w:t>
      </w:r>
    </w:p>
    <w:p w14:paraId="052488EA">
      <w:pPr>
        <w:pStyle w:val="15"/>
        <w:snapToGrid w:val="0"/>
        <w:spacing w:line="400" w:lineRule="exact"/>
        <w:rPr>
          <w:rFonts w:ascii="仿宋" w:hAnsi="仿宋" w:eastAsia="仿宋" w:cs="仿宋"/>
          <w:color w:val="auto"/>
          <w:spacing w:val="-4"/>
          <w:sz w:val="24"/>
          <w:szCs w:val="24"/>
        </w:rPr>
      </w:pPr>
      <w:r>
        <w:rPr>
          <w:rFonts w:hint="eastAsia" w:ascii="仿宋" w:hAnsi="仿宋" w:eastAsia="仿宋" w:cs="仿宋"/>
          <w:color w:val="auto"/>
          <w:spacing w:val="-4"/>
          <w:sz w:val="24"/>
          <w:szCs w:val="24"/>
        </w:rPr>
        <w:t>　　7.向采购人、采购代理机构或者有关部门报告评标中发现的违法行为。</w:t>
      </w:r>
    </w:p>
    <w:p w14:paraId="50CF1C8D">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七、评标</w:t>
      </w:r>
    </w:p>
    <w:p w14:paraId="747BD7EE">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1、评标的依据为招标文件和投标文件；</w:t>
      </w:r>
    </w:p>
    <w:p w14:paraId="7CBAA66F">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2、本项目采用综合评分法：</w:t>
      </w:r>
      <w:r>
        <w:rPr>
          <w:rFonts w:hint="eastAsia" w:ascii="仿宋" w:hAnsi="仿宋" w:eastAsia="仿宋" w:cs="仿宋"/>
          <w:color w:val="auto"/>
        </w:rPr>
        <w:t>总分100分，其中报价分值20分，商务及技术部分得分80分。</w:t>
      </w:r>
    </w:p>
    <w:p w14:paraId="4D969F11">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3、评审委员会成员到齐后，推选评审委员会组长。依据招标文件和投标文件进行认真查阅。审查响文件是否完整，是否有计算错误，要求的投标保证金是否提供，文件是否恰当地签署；</w:t>
      </w:r>
    </w:p>
    <w:p w14:paraId="0986AB11">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4、在对投标文件进行详细评估前，依据投标方提供的资格证明文件审查投标方的财务、技术和服务能力。如果确定投标方无资格履行合同，其投标将被拒绝；</w:t>
      </w:r>
    </w:p>
    <w:p w14:paraId="7E0B14D3">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00979B3E">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对投标文件的评估和比较：</w:t>
      </w:r>
    </w:p>
    <w:p w14:paraId="7F12B992">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对投标文件的评估和比较分为两步进行，评审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服务的技术水平、能力；服务的质量和适用性；</w:t>
      </w:r>
    </w:p>
    <w:p w14:paraId="7AB0BD08">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初步评审</w:t>
      </w:r>
    </w:p>
    <w:p w14:paraId="348D3097">
      <w:pPr>
        <w:pStyle w:val="10"/>
        <w:tabs>
          <w:tab w:val="clear" w:pos="567"/>
        </w:tabs>
        <w:spacing w:before="0" w:line="400" w:lineRule="exact"/>
        <w:rPr>
          <w:rFonts w:ascii="仿宋" w:hAnsi="仿宋" w:eastAsia="仿宋" w:cs="仿宋"/>
          <w:color w:val="auto"/>
        </w:rPr>
      </w:pPr>
      <w:r>
        <w:rPr>
          <w:rFonts w:hint="eastAsia" w:ascii="仿宋" w:hAnsi="仿宋" w:eastAsia="仿宋" w:cs="仿宋"/>
          <w:color w:val="auto"/>
        </w:rPr>
        <w:t xml:space="preserve">    评标委员会应当对投标人提交的投标文件进行初步审查。初审分为资格性检查和符合性检查</w:t>
      </w:r>
    </w:p>
    <w:p w14:paraId="12102710">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资格性检查</w:t>
      </w:r>
    </w:p>
    <w:p w14:paraId="2D2D104A">
      <w:pPr>
        <w:pStyle w:val="10"/>
        <w:tabs>
          <w:tab w:val="clear" w:pos="567"/>
        </w:tabs>
        <w:spacing w:before="0" w:line="400" w:lineRule="exact"/>
        <w:rPr>
          <w:rFonts w:ascii="仿宋" w:hAnsi="仿宋" w:eastAsia="仿宋" w:cs="仿宋"/>
          <w:color w:val="auto"/>
        </w:rPr>
      </w:pPr>
      <w:r>
        <w:rPr>
          <w:rFonts w:hint="eastAsia" w:ascii="仿宋" w:hAnsi="仿宋" w:eastAsia="仿宋" w:cs="仿宋"/>
          <w:color w:val="auto"/>
        </w:rPr>
        <w:t>依据法律法规和招标文件的规定，对投标文件中的资格证明进行审查，以确定投标人是否具备投标资格。</w:t>
      </w:r>
    </w:p>
    <w:p w14:paraId="3A48676F">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投标文件的符合性审查</w:t>
      </w:r>
    </w:p>
    <w:p w14:paraId="30B812AD">
      <w:pPr>
        <w:pStyle w:val="10"/>
        <w:tabs>
          <w:tab w:val="clear" w:pos="567"/>
        </w:tabs>
        <w:spacing w:before="0" w:line="400" w:lineRule="exact"/>
        <w:rPr>
          <w:rFonts w:ascii="仿宋" w:hAnsi="仿宋" w:eastAsia="仿宋" w:cs="仿宋"/>
          <w:color w:val="auto"/>
        </w:rPr>
      </w:pPr>
      <w:r>
        <w:rPr>
          <w:rFonts w:hint="eastAsia" w:ascii="仿宋" w:hAnsi="仿宋" w:eastAsia="仿宋" w:cs="仿宋"/>
          <w:color w:val="auto"/>
        </w:rPr>
        <w:t xml:space="preserve">    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6EB0155D">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详细评审</w:t>
      </w:r>
    </w:p>
    <w:p w14:paraId="2F5EA2D2">
      <w:pPr>
        <w:pStyle w:val="10"/>
        <w:numPr>
          <w:ilvl w:val="0"/>
          <w:numId w:val="7"/>
        </w:numPr>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经初步评审合格的投标文件，评审委员会应当根据本文件确定的评标标准和方法，对其技术和商务部分作进一步的评审和比较。</w:t>
      </w:r>
    </w:p>
    <w:p w14:paraId="7BAC4AC4">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2、采用综合评分法，即投标文件满足招标文件全部实质性要求，且按照评审因素的量化指标评审得分最高的投标人为中标候选人。</w:t>
      </w:r>
    </w:p>
    <w:p w14:paraId="5382C51E">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评标的保mi性</w:t>
      </w:r>
    </w:p>
    <w:p w14:paraId="67BE3E5B">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1、开标后，直到授予投标商合同为止，凡属于审查、澄清、评价和比较的有关资料以及授标建议等评审委员会成员或参与评标的有关工作人员均不得向投标商或其他无关人员透露，违者给予警告、取消担任评审委员会成员的资格，不得再参加任何项目的评标。</w:t>
      </w:r>
    </w:p>
    <w:p w14:paraId="02237C78">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2、投标商在评标过程中，所进行的力图影响评标结果的不符合《政府采购法》、《政府采购竞争性投标采购方式管理暂行办法》及本次项目中有关规定的活动，将被取消中标资格。</w:t>
      </w:r>
    </w:p>
    <w:p w14:paraId="45B540CB">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八、定标</w:t>
      </w:r>
    </w:p>
    <w:p w14:paraId="0C0C908C">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1.定标标准</w:t>
      </w:r>
    </w:p>
    <w:p w14:paraId="35873F11">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（一）原则：招标人将依据本项目根据评审委员会推荐的中标候选人名单，按顺序确定中标人。</w:t>
      </w:r>
    </w:p>
    <w:p w14:paraId="11D8245C">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（二）程序：</w:t>
      </w:r>
    </w:p>
    <w:p w14:paraId="4FF10CA6">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1、采购代理机构在评审结束后2个工作日内将评审报告送采购人确认。</w:t>
      </w:r>
    </w:p>
    <w:p w14:paraId="2819FEB0">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14:paraId="20D16B74">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3、采购单位不退回投标人投标文件和其他资料。</w:t>
      </w:r>
    </w:p>
    <w:p w14:paraId="1209CEB1">
      <w:pPr>
        <w:pStyle w:val="10"/>
        <w:tabs>
          <w:tab w:val="clear" w:pos="567"/>
        </w:tabs>
        <w:spacing w:before="0" w:line="400" w:lineRule="exact"/>
        <w:rPr>
          <w:rFonts w:ascii="仿宋" w:hAnsi="仿宋" w:eastAsia="仿宋" w:cs="仿宋"/>
          <w:color w:val="auto"/>
        </w:rPr>
      </w:pPr>
      <w:r>
        <w:rPr>
          <w:rFonts w:hint="eastAsia" w:ascii="仿宋" w:hAnsi="仿宋" w:eastAsia="仿宋" w:cs="仿宋"/>
          <w:b/>
          <w:bCs/>
          <w:color w:val="auto"/>
        </w:rPr>
        <w:t>中标候选人并列式时的处理方式：</w:t>
      </w:r>
      <w:r>
        <w:rPr>
          <w:rFonts w:hint="eastAsia" w:ascii="仿宋" w:hAnsi="仿宋" w:eastAsia="仿宋" w:cs="仿宋"/>
          <w:color w:val="auto"/>
        </w:rPr>
        <w:t xml:space="preserve">   </w:t>
      </w:r>
    </w:p>
    <w:p w14:paraId="7265E579">
      <w:pPr>
        <w:pStyle w:val="10"/>
        <w:tabs>
          <w:tab w:val="clear" w:pos="567"/>
        </w:tabs>
        <w:spacing w:before="0" w:line="400" w:lineRule="exact"/>
        <w:ind w:firstLine="480" w:firstLineChars="200"/>
        <w:rPr>
          <w:rFonts w:ascii="仿宋" w:hAnsi="仿宋" w:eastAsia="仿宋" w:cs="仿宋"/>
          <w:color w:val="auto"/>
          <w:u w:val="single"/>
        </w:rPr>
      </w:pPr>
      <w:r>
        <w:rPr>
          <w:rFonts w:hint="eastAsia" w:ascii="仿宋" w:hAnsi="仿宋" w:eastAsia="仿宋" w:cs="仿宋"/>
          <w:color w:val="auto"/>
        </w:rPr>
        <w:t>采用综合评标法，则：</w:t>
      </w:r>
      <w:r>
        <w:rPr>
          <w:rFonts w:hint="eastAsia" w:ascii="仿宋" w:hAnsi="仿宋" w:eastAsia="仿宋" w:cs="仿宋"/>
          <w:color w:val="auto"/>
          <w:u w:val="single"/>
        </w:rPr>
        <w:t xml:space="preserve">（1）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p>
    <w:p w14:paraId="6E497020">
      <w:pPr>
        <w:pStyle w:val="10"/>
        <w:tabs>
          <w:tab w:val="clear" w:pos="567"/>
        </w:tabs>
        <w:spacing w:before="0" w:line="400" w:lineRule="exact"/>
        <w:ind w:firstLine="480" w:firstLineChars="200"/>
        <w:rPr>
          <w:rFonts w:ascii="仿宋" w:hAnsi="仿宋" w:eastAsia="仿宋" w:cs="仿宋"/>
          <w:color w:val="auto"/>
          <w:u w:val="single"/>
        </w:rPr>
      </w:pPr>
      <w:r>
        <w:rPr>
          <w:rFonts w:hint="eastAsia" w:ascii="仿宋" w:hAnsi="仿宋" w:eastAsia="仿宋" w:cs="仿宋"/>
          <w:color w:val="auto"/>
        </w:rPr>
        <w:t>（2）</w:t>
      </w:r>
      <w:r>
        <w:rPr>
          <w:rFonts w:hint="eastAsia" w:ascii="仿宋" w:hAnsi="仿宋" w:eastAsia="仿宋" w:cs="仿宋"/>
          <w:color w:val="auto"/>
          <w:u w:val="single"/>
        </w:rPr>
        <w:t>评标结果按评审后得分由高到低顺序排列。得分不同的，最高分供应商为排名第一的中标候选人。</w:t>
      </w:r>
    </w:p>
    <w:p w14:paraId="5E4037C2">
      <w:pPr>
        <w:pStyle w:val="10"/>
        <w:tabs>
          <w:tab w:val="clear" w:pos="567"/>
        </w:tabs>
        <w:spacing w:before="0" w:line="400" w:lineRule="exact"/>
        <w:rPr>
          <w:rFonts w:ascii="仿宋" w:hAnsi="仿宋" w:eastAsia="仿宋" w:cs="仿宋"/>
          <w:color w:val="auto"/>
        </w:rPr>
      </w:pPr>
      <w:r>
        <w:rPr>
          <w:rFonts w:hint="eastAsia" w:ascii="仿宋" w:hAnsi="仿宋" w:eastAsia="仿宋" w:cs="仿宋"/>
          <w:b/>
          <w:bCs/>
          <w:color w:val="auto"/>
        </w:rPr>
        <w:t xml:space="preserve">中标候选人并列式时的处理方式： </w:t>
      </w:r>
      <w:r>
        <w:rPr>
          <w:rFonts w:hint="eastAsia" w:ascii="仿宋" w:hAnsi="仿宋" w:eastAsia="仿宋" w:cs="仿宋"/>
          <w:color w:val="auto"/>
        </w:rPr>
        <w:t xml:space="preserve">  </w:t>
      </w:r>
    </w:p>
    <w:p w14:paraId="43BCAE21">
      <w:pPr>
        <w:pStyle w:val="10"/>
        <w:tabs>
          <w:tab w:val="clear" w:pos="567"/>
        </w:tabs>
        <w:spacing w:before="0" w:line="400" w:lineRule="exact"/>
        <w:ind w:firstLine="480" w:firstLineChars="200"/>
        <w:rPr>
          <w:rFonts w:ascii="仿宋" w:hAnsi="仿宋" w:eastAsia="仿宋" w:cs="仿宋"/>
          <w:color w:val="auto"/>
        </w:rPr>
      </w:pPr>
      <w:r>
        <w:rPr>
          <w:rFonts w:hint="eastAsia" w:ascii="仿宋" w:hAnsi="仿宋" w:eastAsia="仿宋" w:cs="仿宋"/>
          <w:color w:val="auto"/>
        </w:rPr>
        <w:t>采用综合评标法，则：</w:t>
      </w:r>
      <w:r>
        <w:rPr>
          <w:rFonts w:hint="eastAsia" w:ascii="仿宋" w:hAnsi="仿宋" w:eastAsia="仿宋" w:cs="仿宋"/>
          <w:color w:val="auto"/>
          <w:u w:val="single"/>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0653DC2">
      <w:pPr>
        <w:pStyle w:val="10"/>
        <w:tabs>
          <w:tab w:val="clear" w:pos="567"/>
        </w:tabs>
        <w:spacing w:before="0" w:line="400" w:lineRule="exact"/>
        <w:rPr>
          <w:rFonts w:ascii="仿宋" w:hAnsi="仿宋" w:eastAsia="仿宋" w:cs="仿宋"/>
          <w:b/>
          <w:bCs/>
          <w:color w:val="auto"/>
        </w:rPr>
      </w:pPr>
      <w:r>
        <w:rPr>
          <w:rFonts w:hint="eastAsia" w:ascii="仿宋" w:hAnsi="仿宋" w:eastAsia="仿宋" w:cs="仿宋"/>
          <w:b/>
          <w:bCs/>
          <w:color w:val="auto"/>
        </w:rPr>
        <w:t>九、中小企业落实政策</w:t>
      </w:r>
    </w:p>
    <w:p w14:paraId="6B40E1F9">
      <w:pPr>
        <w:pStyle w:val="10"/>
        <w:tabs>
          <w:tab w:val="clear" w:pos="567"/>
        </w:tabs>
        <w:spacing w:before="0" w:line="400" w:lineRule="exact"/>
        <w:ind w:firstLine="482" w:firstLineChars="200"/>
        <w:rPr>
          <w:rFonts w:ascii="仿宋" w:hAnsi="仿宋" w:eastAsia="仿宋" w:cs="宋体"/>
          <w:color w:val="auto"/>
        </w:rPr>
      </w:pPr>
      <w:r>
        <w:rPr>
          <w:rFonts w:hint="eastAsia" w:ascii="仿宋" w:hAnsi="仿宋" w:eastAsia="仿宋" w:cs="宋体"/>
          <w:b/>
          <w:bCs/>
          <w:color w:val="auto"/>
          <w:szCs w:val="20"/>
        </w:rPr>
        <w:t>潜在投标企业属于中小微企业的，请在投标文件中提供“中小企业声明函”，如果未提供或提供虛假的“中小企业声明函”，投标企业将承担由此造成的一切不利后果。</w:t>
      </w:r>
    </w:p>
    <w:p w14:paraId="58991FBF">
      <w:pPr>
        <w:pStyle w:val="10"/>
        <w:tabs>
          <w:tab w:val="clear" w:pos="567"/>
        </w:tabs>
        <w:spacing w:before="0" w:line="400" w:lineRule="exact"/>
        <w:ind w:firstLine="480" w:firstLineChars="200"/>
        <w:rPr>
          <w:rFonts w:ascii="仿宋" w:hAnsi="仿宋" w:eastAsia="仿宋" w:cs="宋体"/>
          <w:color w:val="auto"/>
        </w:rPr>
      </w:pPr>
      <w:r>
        <w:rPr>
          <w:rFonts w:hint="eastAsia" w:ascii="仿宋" w:hAnsi="仿宋" w:eastAsia="仿宋" w:cs="宋体"/>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宋体"/>
          <w:b/>
          <w:bCs/>
          <w:color w:val="auto"/>
          <w:u w:val="single"/>
        </w:rPr>
        <w:t>10</w:t>
      </w:r>
      <w:r>
        <w:rPr>
          <w:rFonts w:hint="eastAsia" w:ascii="仿宋" w:hAnsi="仿宋" w:eastAsia="仿宋" w:cs="宋体"/>
          <w:color w:val="auto"/>
          <w:u w:val="single"/>
        </w:rPr>
        <w:t xml:space="preserve"> </w:t>
      </w:r>
      <w:r>
        <w:rPr>
          <w:rFonts w:hint="eastAsia" w:ascii="仿宋" w:hAnsi="仿宋" w:eastAsia="仿宋" w:cs="宋体"/>
          <w:color w:val="auto"/>
        </w:rPr>
        <w:t>%后参与评审。对于同时属于小微企业、监狱企业残疾人福利性单位的，不重复进行投标报价扣除。</w:t>
      </w:r>
    </w:p>
    <w:p w14:paraId="1F7E33FD">
      <w:pPr>
        <w:widowControl/>
        <w:spacing w:line="400" w:lineRule="exact"/>
        <w:ind w:firstLine="480" w:firstLineChars="200"/>
        <w:jc w:val="left"/>
        <w:rPr>
          <w:rFonts w:ascii="仿宋" w:hAnsi="仿宋" w:eastAsia="仿宋" w:cs="宋体"/>
          <w:color w:val="auto"/>
          <w:sz w:val="24"/>
        </w:rPr>
      </w:pPr>
      <w:r>
        <w:rPr>
          <w:rFonts w:hint="eastAsia" w:ascii="仿宋" w:hAnsi="仿宋" w:eastAsia="仿宋" w:cs="宋体"/>
          <w:color w:val="auto"/>
          <w:sz w:val="24"/>
        </w:rPr>
        <w:t>2.联合协议中约定，小型、微型企业和监狱企业的协议合同金额占到联合体协议合同总金额30%以上的，可给予联合体</w:t>
      </w:r>
      <w:r>
        <w:rPr>
          <w:rFonts w:hint="eastAsia" w:ascii="仿宋" w:hAnsi="仿宋" w:eastAsia="仿宋" w:cs="宋体"/>
          <w:color w:val="auto"/>
          <w:sz w:val="24"/>
          <w:u w:val="single"/>
        </w:rPr>
        <w:t xml:space="preserve"> </w:t>
      </w:r>
      <w:r>
        <w:rPr>
          <w:rFonts w:hint="eastAsia" w:ascii="仿宋" w:hAnsi="仿宋" w:eastAsia="仿宋" w:cs="宋体"/>
          <w:b/>
          <w:bCs/>
          <w:color w:val="auto"/>
          <w:sz w:val="24"/>
          <w:u w:val="single"/>
        </w:rPr>
        <w:t>4</w:t>
      </w:r>
      <w:r>
        <w:rPr>
          <w:rFonts w:hint="eastAsia" w:ascii="仿宋" w:hAnsi="仿宋" w:eastAsia="仿宋" w:cs="宋体"/>
          <w:color w:val="auto"/>
          <w:sz w:val="24"/>
          <w:u w:val="single"/>
        </w:rPr>
        <w:t xml:space="preserve"> </w:t>
      </w:r>
      <w:r>
        <w:rPr>
          <w:rFonts w:hint="eastAsia" w:ascii="仿宋" w:hAnsi="仿宋" w:eastAsia="仿宋" w:cs="宋体"/>
          <w:color w:val="auto"/>
          <w:sz w:val="24"/>
        </w:rPr>
        <w:t>%的价格扣除。</w:t>
      </w:r>
    </w:p>
    <w:p w14:paraId="394361B0">
      <w:pPr>
        <w:widowControl/>
        <w:spacing w:line="400" w:lineRule="exact"/>
        <w:ind w:firstLine="480" w:firstLineChars="200"/>
        <w:jc w:val="left"/>
        <w:rPr>
          <w:rFonts w:ascii="仿宋" w:hAnsi="仿宋" w:eastAsia="仿宋" w:cs="宋体"/>
          <w:color w:val="auto"/>
          <w:sz w:val="24"/>
        </w:rPr>
      </w:pPr>
      <w:r>
        <w:rPr>
          <w:rFonts w:hint="eastAsia" w:ascii="仿宋" w:hAnsi="仿宋" w:eastAsia="仿宋" w:cs="宋体"/>
          <w:color w:val="auto"/>
          <w:sz w:val="24"/>
        </w:rPr>
        <w:t>联合体各方均为小型、微型企业和监狱企业的，联合体视同为小型、微型企业和监狱企业。</w:t>
      </w:r>
    </w:p>
    <w:p w14:paraId="6BA902D4">
      <w:pPr>
        <w:rPr>
          <w:color w:val="auto"/>
          <w:lang w:bidi="ar"/>
        </w:rPr>
      </w:pPr>
    </w:p>
    <w:p w14:paraId="14516124">
      <w:pPr>
        <w:rPr>
          <w:color w:val="auto"/>
          <w:lang w:bidi="ar"/>
        </w:rPr>
      </w:pPr>
    </w:p>
    <w:p w14:paraId="47B27A12">
      <w:pPr>
        <w:pStyle w:val="2"/>
        <w:rPr>
          <w:color w:val="auto"/>
          <w:lang w:bidi="ar"/>
        </w:rPr>
      </w:pPr>
    </w:p>
    <w:p w14:paraId="4F9A48D4">
      <w:pPr>
        <w:pStyle w:val="2"/>
        <w:rPr>
          <w:color w:val="auto"/>
          <w:lang w:bidi="ar"/>
        </w:rPr>
      </w:pPr>
    </w:p>
    <w:p w14:paraId="7BA440FD">
      <w:pPr>
        <w:pStyle w:val="2"/>
        <w:rPr>
          <w:color w:val="auto"/>
          <w:lang w:bidi="ar"/>
        </w:rPr>
      </w:pPr>
    </w:p>
    <w:p w14:paraId="2DA719BD">
      <w:pPr>
        <w:pStyle w:val="2"/>
        <w:rPr>
          <w:color w:val="auto"/>
          <w:lang w:bidi="ar"/>
        </w:rPr>
      </w:pPr>
    </w:p>
    <w:p w14:paraId="5C53EE3E">
      <w:pPr>
        <w:pStyle w:val="2"/>
        <w:rPr>
          <w:color w:val="auto"/>
          <w:lang w:bidi="ar"/>
        </w:rPr>
      </w:pPr>
    </w:p>
    <w:p w14:paraId="0A9758D9">
      <w:pPr>
        <w:pStyle w:val="2"/>
        <w:rPr>
          <w:color w:val="auto"/>
          <w:lang w:bidi="ar"/>
        </w:rPr>
      </w:pPr>
    </w:p>
    <w:p w14:paraId="08066EC0">
      <w:pPr>
        <w:pStyle w:val="2"/>
        <w:rPr>
          <w:color w:val="auto"/>
          <w:lang w:bidi="ar"/>
        </w:rPr>
      </w:pPr>
    </w:p>
    <w:p w14:paraId="22DCDC4B">
      <w:pPr>
        <w:pStyle w:val="2"/>
        <w:rPr>
          <w:color w:val="auto"/>
          <w:lang w:bidi="ar"/>
        </w:rPr>
      </w:pPr>
    </w:p>
    <w:p w14:paraId="03E07BBD">
      <w:pPr>
        <w:pStyle w:val="2"/>
        <w:rPr>
          <w:color w:val="auto"/>
          <w:lang w:bidi="ar"/>
        </w:rPr>
      </w:pPr>
    </w:p>
    <w:p w14:paraId="610542FD">
      <w:pPr>
        <w:pStyle w:val="2"/>
        <w:rPr>
          <w:color w:val="auto"/>
          <w:lang w:bidi="ar"/>
        </w:rPr>
      </w:pPr>
    </w:p>
    <w:p w14:paraId="3E0101B0">
      <w:pPr>
        <w:pStyle w:val="2"/>
        <w:rPr>
          <w:color w:val="auto"/>
          <w:lang w:bidi="ar"/>
        </w:rPr>
      </w:pPr>
    </w:p>
    <w:p w14:paraId="58DC425D">
      <w:pPr>
        <w:pStyle w:val="2"/>
        <w:rPr>
          <w:color w:val="auto"/>
          <w:lang w:bidi="ar"/>
        </w:rPr>
      </w:pPr>
    </w:p>
    <w:p w14:paraId="20564668">
      <w:pPr>
        <w:pStyle w:val="2"/>
        <w:rPr>
          <w:color w:val="auto"/>
          <w:lang w:bidi="ar"/>
        </w:rPr>
      </w:pPr>
    </w:p>
    <w:p w14:paraId="7E2AF373">
      <w:pPr>
        <w:pStyle w:val="2"/>
        <w:rPr>
          <w:color w:val="auto"/>
          <w:lang w:bidi="ar"/>
        </w:rPr>
      </w:pPr>
    </w:p>
    <w:p w14:paraId="4741CC1D">
      <w:pPr>
        <w:pStyle w:val="2"/>
        <w:rPr>
          <w:color w:val="auto"/>
          <w:lang w:bidi="ar"/>
        </w:rPr>
      </w:pPr>
    </w:p>
    <w:p w14:paraId="0D5D5FAD">
      <w:pPr>
        <w:pStyle w:val="2"/>
        <w:rPr>
          <w:color w:val="auto"/>
          <w:lang w:bidi="ar"/>
        </w:rPr>
      </w:pPr>
    </w:p>
    <w:p w14:paraId="278628D8">
      <w:pPr>
        <w:pStyle w:val="2"/>
        <w:rPr>
          <w:color w:val="auto"/>
          <w:lang w:bidi="ar"/>
        </w:rPr>
      </w:pPr>
    </w:p>
    <w:p w14:paraId="6871A889">
      <w:pPr>
        <w:pStyle w:val="2"/>
        <w:rPr>
          <w:color w:val="auto"/>
          <w:lang w:bidi="ar"/>
        </w:rPr>
      </w:pPr>
    </w:p>
    <w:p w14:paraId="138BB6D0">
      <w:pPr>
        <w:pStyle w:val="2"/>
        <w:rPr>
          <w:color w:val="auto"/>
          <w:lang w:bidi="ar"/>
        </w:rPr>
      </w:pPr>
    </w:p>
    <w:p w14:paraId="200A3491">
      <w:pPr>
        <w:pStyle w:val="2"/>
        <w:rPr>
          <w:color w:val="auto"/>
          <w:lang w:bidi="ar"/>
        </w:rPr>
      </w:pPr>
    </w:p>
    <w:p w14:paraId="59B344C9">
      <w:pPr>
        <w:pStyle w:val="2"/>
        <w:rPr>
          <w:color w:val="auto"/>
          <w:lang w:bidi="ar"/>
        </w:rPr>
      </w:pPr>
    </w:p>
    <w:p w14:paraId="1AFCF599">
      <w:pPr>
        <w:pStyle w:val="2"/>
        <w:rPr>
          <w:color w:val="auto"/>
          <w:lang w:bidi="ar"/>
        </w:rPr>
      </w:pPr>
    </w:p>
    <w:p w14:paraId="2CE93B3C">
      <w:pPr>
        <w:pStyle w:val="2"/>
        <w:rPr>
          <w:color w:val="auto"/>
          <w:lang w:bidi="ar"/>
        </w:rPr>
      </w:pPr>
    </w:p>
    <w:p w14:paraId="5F07E61C">
      <w:pPr>
        <w:pStyle w:val="2"/>
        <w:rPr>
          <w:color w:val="auto"/>
          <w:lang w:bidi="ar"/>
        </w:rPr>
      </w:pPr>
    </w:p>
    <w:p w14:paraId="10431152">
      <w:pPr>
        <w:pStyle w:val="2"/>
        <w:rPr>
          <w:color w:val="auto"/>
          <w:lang w:bidi="ar"/>
        </w:rPr>
      </w:pPr>
    </w:p>
    <w:p w14:paraId="394ED698">
      <w:pPr>
        <w:pStyle w:val="2"/>
        <w:rPr>
          <w:color w:val="auto"/>
          <w:lang w:bidi="ar"/>
        </w:rPr>
      </w:pPr>
    </w:p>
    <w:p w14:paraId="1496D739">
      <w:pPr>
        <w:pStyle w:val="2"/>
        <w:rPr>
          <w:color w:val="auto"/>
          <w:lang w:bidi="ar"/>
        </w:rPr>
      </w:pPr>
    </w:p>
    <w:p w14:paraId="57E323BD">
      <w:pPr>
        <w:pStyle w:val="2"/>
        <w:rPr>
          <w:color w:val="auto"/>
          <w:lang w:bidi="ar"/>
        </w:rPr>
      </w:pPr>
    </w:p>
    <w:p w14:paraId="0FAA9970">
      <w:pPr>
        <w:rPr>
          <w:color w:val="auto"/>
          <w:lang w:bidi="ar"/>
        </w:rPr>
      </w:pPr>
    </w:p>
    <w:p w14:paraId="24990791">
      <w:pPr>
        <w:rPr>
          <w:color w:val="auto"/>
          <w:lang w:bidi="ar"/>
        </w:rPr>
      </w:pPr>
    </w:p>
    <w:p w14:paraId="77D95277">
      <w:pPr>
        <w:spacing w:line="440" w:lineRule="exact"/>
        <w:jc w:val="center"/>
        <w:outlineLvl w:val="0"/>
        <w:rPr>
          <w:rFonts w:ascii="仿宋" w:hAnsi="仿宋" w:eastAsia="仿宋" w:cs="仿宋"/>
          <w:b/>
          <w:color w:val="auto"/>
          <w:sz w:val="32"/>
          <w:szCs w:val="32"/>
        </w:rPr>
      </w:pPr>
      <w:r>
        <w:rPr>
          <w:rFonts w:hint="eastAsia" w:ascii="仿宋" w:hAnsi="仿宋" w:eastAsia="仿宋" w:cs="仿宋"/>
          <w:b/>
          <w:color w:val="auto"/>
          <w:sz w:val="32"/>
          <w:szCs w:val="32"/>
        </w:rPr>
        <w:t>投标文件的初审</w:t>
      </w:r>
    </w:p>
    <w:p w14:paraId="5E1EAFA2">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 xml:space="preserve">    投标文件的初审分为资格性检查和符合性检查。</w:t>
      </w:r>
    </w:p>
    <w:p w14:paraId="53F8076A">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（一）、资格性检查是指评标委员会依据法律法规和招标文件的规定，对投标文件中的资格证明、投标保证金等进行审查，以确定投标投标人是否具备投标资格。</w:t>
      </w:r>
    </w:p>
    <w:p w14:paraId="401F347C">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资格性检查包含如下内容：</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2DC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vAlign w:val="center"/>
          </w:tcPr>
          <w:p w14:paraId="4C012734">
            <w:pPr>
              <w:spacing w:line="440" w:lineRule="exact"/>
              <w:jc w:val="center"/>
              <w:outlineLvl w:val="0"/>
              <w:rPr>
                <w:rFonts w:ascii="仿宋" w:hAnsi="仿宋" w:eastAsia="仿宋" w:cs="仿宋"/>
                <w:b/>
                <w:color w:val="auto"/>
                <w:szCs w:val="21"/>
              </w:rPr>
            </w:pPr>
            <w:r>
              <w:rPr>
                <w:rFonts w:hint="eastAsia" w:ascii="仿宋" w:hAnsi="仿宋" w:eastAsia="仿宋" w:cs="仿宋"/>
                <w:b/>
                <w:color w:val="auto"/>
                <w:szCs w:val="21"/>
              </w:rPr>
              <w:t>项目</w:t>
            </w:r>
          </w:p>
        </w:tc>
        <w:tc>
          <w:tcPr>
            <w:tcW w:w="6717" w:type="dxa"/>
            <w:gridSpan w:val="2"/>
            <w:vMerge w:val="restart"/>
            <w:vAlign w:val="center"/>
          </w:tcPr>
          <w:p w14:paraId="4432F50A">
            <w:pPr>
              <w:spacing w:line="440" w:lineRule="exact"/>
              <w:jc w:val="center"/>
              <w:outlineLvl w:val="0"/>
              <w:rPr>
                <w:rFonts w:ascii="仿宋" w:hAnsi="仿宋" w:eastAsia="仿宋" w:cs="仿宋"/>
                <w:bCs/>
                <w:color w:val="auto"/>
                <w:szCs w:val="21"/>
              </w:rPr>
            </w:pPr>
            <w:r>
              <w:rPr>
                <w:rFonts w:hint="eastAsia" w:ascii="仿宋" w:hAnsi="仿宋" w:eastAsia="仿宋" w:cs="仿宋"/>
                <w:b/>
                <w:color w:val="auto"/>
                <w:sz w:val="28"/>
                <w:szCs w:val="28"/>
              </w:rPr>
              <w:t>评审内容</w:t>
            </w:r>
          </w:p>
        </w:tc>
        <w:tc>
          <w:tcPr>
            <w:tcW w:w="1479" w:type="dxa"/>
            <w:gridSpan w:val="2"/>
            <w:vAlign w:val="center"/>
          </w:tcPr>
          <w:p w14:paraId="715F87F1">
            <w:pPr>
              <w:spacing w:line="440" w:lineRule="exact"/>
              <w:jc w:val="center"/>
              <w:outlineLvl w:val="0"/>
              <w:rPr>
                <w:rFonts w:ascii="仿宋" w:hAnsi="仿宋" w:eastAsia="仿宋" w:cs="仿宋"/>
                <w:b/>
                <w:color w:val="auto"/>
                <w:sz w:val="28"/>
                <w:szCs w:val="28"/>
              </w:rPr>
            </w:pPr>
            <w:r>
              <w:rPr>
                <w:rFonts w:hint="eastAsia" w:ascii="仿宋" w:hAnsi="仿宋" w:eastAsia="仿宋" w:cs="仿宋"/>
                <w:b/>
                <w:color w:val="auto"/>
                <w:sz w:val="28"/>
                <w:szCs w:val="28"/>
              </w:rPr>
              <w:t>评审</w:t>
            </w:r>
          </w:p>
          <w:p w14:paraId="42791CCB">
            <w:pPr>
              <w:spacing w:line="440" w:lineRule="exact"/>
              <w:jc w:val="center"/>
              <w:outlineLvl w:val="0"/>
              <w:rPr>
                <w:rFonts w:ascii="仿宋" w:hAnsi="仿宋" w:eastAsia="仿宋" w:cs="仿宋"/>
                <w:bCs/>
                <w:color w:val="auto"/>
                <w:szCs w:val="21"/>
              </w:rPr>
            </w:pPr>
            <w:r>
              <w:rPr>
                <w:rFonts w:hint="eastAsia" w:ascii="仿宋" w:hAnsi="仿宋" w:eastAsia="仿宋" w:cs="仿宋"/>
                <w:b/>
                <w:color w:val="auto"/>
                <w:sz w:val="28"/>
                <w:szCs w:val="28"/>
              </w:rPr>
              <w:t>意见</w:t>
            </w:r>
          </w:p>
        </w:tc>
      </w:tr>
      <w:tr w14:paraId="27DF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1DD64718">
            <w:pPr>
              <w:spacing w:line="440" w:lineRule="exact"/>
              <w:jc w:val="left"/>
              <w:outlineLvl w:val="0"/>
              <w:rPr>
                <w:rFonts w:ascii="仿宋" w:hAnsi="仿宋" w:eastAsia="仿宋" w:cs="仿宋"/>
                <w:bCs/>
                <w:color w:val="auto"/>
                <w:szCs w:val="21"/>
              </w:rPr>
            </w:pPr>
          </w:p>
        </w:tc>
        <w:tc>
          <w:tcPr>
            <w:tcW w:w="6717" w:type="dxa"/>
            <w:gridSpan w:val="2"/>
            <w:vMerge w:val="continue"/>
          </w:tcPr>
          <w:p w14:paraId="240E0DC2">
            <w:pPr>
              <w:spacing w:line="440" w:lineRule="exact"/>
              <w:jc w:val="left"/>
              <w:outlineLvl w:val="0"/>
              <w:rPr>
                <w:rFonts w:ascii="仿宋" w:hAnsi="仿宋" w:eastAsia="仿宋" w:cs="仿宋"/>
                <w:bCs/>
                <w:color w:val="auto"/>
                <w:szCs w:val="21"/>
              </w:rPr>
            </w:pPr>
          </w:p>
        </w:tc>
        <w:tc>
          <w:tcPr>
            <w:tcW w:w="780" w:type="dxa"/>
            <w:vAlign w:val="center"/>
          </w:tcPr>
          <w:p w14:paraId="06568F8B">
            <w:pPr>
              <w:spacing w:line="440" w:lineRule="exact"/>
              <w:jc w:val="center"/>
              <w:outlineLvl w:val="0"/>
              <w:rPr>
                <w:rFonts w:ascii="仿宋" w:hAnsi="仿宋" w:eastAsia="仿宋" w:cs="仿宋"/>
                <w:b/>
                <w:color w:val="auto"/>
                <w:szCs w:val="21"/>
              </w:rPr>
            </w:pPr>
            <w:r>
              <w:rPr>
                <w:rFonts w:hint="eastAsia" w:ascii="仿宋" w:hAnsi="仿宋" w:eastAsia="仿宋" w:cs="仿宋"/>
                <w:b/>
                <w:color w:val="auto"/>
                <w:szCs w:val="21"/>
              </w:rPr>
              <w:t>是</w:t>
            </w:r>
          </w:p>
        </w:tc>
        <w:tc>
          <w:tcPr>
            <w:tcW w:w="699" w:type="dxa"/>
            <w:vAlign w:val="center"/>
          </w:tcPr>
          <w:p w14:paraId="49055AFC">
            <w:pPr>
              <w:spacing w:line="440" w:lineRule="exact"/>
              <w:jc w:val="center"/>
              <w:outlineLvl w:val="0"/>
              <w:rPr>
                <w:rFonts w:ascii="仿宋" w:hAnsi="仿宋" w:eastAsia="仿宋" w:cs="仿宋"/>
                <w:b/>
                <w:color w:val="auto"/>
                <w:szCs w:val="21"/>
              </w:rPr>
            </w:pPr>
            <w:r>
              <w:rPr>
                <w:rFonts w:hint="eastAsia" w:ascii="仿宋" w:hAnsi="仿宋" w:eastAsia="仿宋" w:cs="仿宋"/>
                <w:b/>
                <w:color w:val="auto"/>
                <w:szCs w:val="21"/>
              </w:rPr>
              <w:t>否</w:t>
            </w:r>
          </w:p>
        </w:tc>
      </w:tr>
      <w:tr w14:paraId="48AB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vAlign w:val="center"/>
          </w:tcPr>
          <w:p w14:paraId="7A934F8B">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审查标准</w:t>
            </w:r>
          </w:p>
        </w:tc>
        <w:tc>
          <w:tcPr>
            <w:tcW w:w="705" w:type="dxa"/>
            <w:vAlign w:val="center"/>
          </w:tcPr>
          <w:p w14:paraId="2E9F61F1">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1</w:t>
            </w:r>
          </w:p>
        </w:tc>
        <w:tc>
          <w:tcPr>
            <w:tcW w:w="6012" w:type="dxa"/>
            <w:vAlign w:val="center"/>
          </w:tcPr>
          <w:p w14:paraId="3B0858EF">
            <w:pPr>
              <w:spacing w:line="36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是否</w:t>
            </w:r>
            <w:r>
              <w:rPr>
                <w:rFonts w:hint="eastAsia" w:ascii="仿宋" w:hAnsi="仿宋" w:eastAsia="仿宋" w:cs="仿宋"/>
                <w:bCs/>
                <w:color w:val="auto"/>
                <w:szCs w:val="21"/>
              </w:rPr>
              <w:t>提供</w:t>
            </w:r>
            <w:r>
              <w:rPr>
                <w:rFonts w:hint="eastAsia" w:ascii="仿宋" w:hAnsi="仿宋" w:eastAsia="仿宋" w:cs="宋体"/>
                <w:bCs/>
                <w:color w:val="auto"/>
              </w:rPr>
              <w:t>合格三证合一营业执照</w:t>
            </w:r>
            <w:r>
              <w:rPr>
                <w:rFonts w:hint="eastAsia" w:ascii="仿宋" w:hAnsi="仿宋" w:eastAsia="仿宋" w:cs="仿宋"/>
                <w:bCs/>
                <w:color w:val="auto"/>
                <w:szCs w:val="21"/>
              </w:rPr>
              <w:t>；</w:t>
            </w:r>
          </w:p>
        </w:tc>
        <w:tc>
          <w:tcPr>
            <w:tcW w:w="780" w:type="dxa"/>
          </w:tcPr>
          <w:p w14:paraId="2BD4E1FF">
            <w:pPr>
              <w:spacing w:line="440" w:lineRule="exact"/>
              <w:jc w:val="left"/>
              <w:outlineLvl w:val="0"/>
              <w:rPr>
                <w:rFonts w:ascii="仿宋" w:hAnsi="仿宋" w:eastAsia="仿宋" w:cs="仿宋"/>
                <w:bCs/>
                <w:color w:val="auto"/>
                <w:szCs w:val="21"/>
              </w:rPr>
            </w:pPr>
          </w:p>
        </w:tc>
        <w:tc>
          <w:tcPr>
            <w:tcW w:w="699" w:type="dxa"/>
          </w:tcPr>
          <w:p w14:paraId="3E70B2B5">
            <w:pPr>
              <w:spacing w:line="440" w:lineRule="exact"/>
              <w:jc w:val="left"/>
              <w:outlineLvl w:val="0"/>
              <w:rPr>
                <w:rFonts w:ascii="仿宋" w:hAnsi="仿宋" w:eastAsia="仿宋" w:cs="仿宋"/>
                <w:bCs/>
                <w:color w:val="auto"/>
                <w:szCs w:val="21"/>
              </w:rPr>
            </w:pPr>
          </w:p>
        </w:tc>
      </w:tr>
      <w:tr w14:paraId="7ED1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44" w:type="dxa"/>
            <w:vMerge w:val="continue"/>
            <w:vAlign w:val="center"/>
          </w:tcPr>
          <w:p w14:paraId="44F91A33">
            <w:pPr>
              <w:spacing w:line="440" w:lineRule="exact"/>
              <w:jc w:val="left"/>
              <w:outlineLvl w:val="0"/>
              <w:rPr>
                <w:rFonts w:ascii="仿宋" w:hAnsi="仿宋" w:eastAsia="仿宋" w:cs="仿宋"/>
                <w:bCs/>
                <w:color w:val="auto"/>
                <w:szCs w:val="21"/>
              </w:rPr>
            </w:pPr>
          </w:p>
        </w:tc>
        <w:tc>
          <w:tcPr>
            <w:tcW w:w="705" w:type="dxa"/>
            <w:vAlign w:val="center"/>
          </w:tcPr>
          <w:p w14:paraId="7235AFF8">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2</w:t>
            </w:r>
          </w:p>
        </w:tc>
        <w:tc>
          <w:tcPr>
            <w:tcW w:w="6012" w:type="dxa"/>
            <w:vAlign w:val="center"/>
          </w:tcPr>
          <w:p w14:paraId="4D7779BE">
            <w:pPr>
              <w:spacing w:line="36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法人本人投标的需提供法定代表人身份证明书；被授权委托人需提供法人授权委托书；</w:t>
            </w:r>
          </w:p>
        </w:tc>
        <w:tc>
          <w:tcPr>
            <w:tcW w:w="780" w:type="dxa"/>
          </w:tcPr>
          <w:p w14:paraId="1DDCEEF5">
            <w:pPr>
              <w:spacing w:line="440" w:lineRule="exact"/>
              <w:jc w:val="left"/>
              <w:outlineLvl w:val="0"/>
              <w:rPr>
                <w:rFonts w:ascii="仿宋" w:hAnsi="仿宋" w:eastAsia="仿宋" w:cs="仿宋"/>
                <w:bCs/>
                <w:color w:val="auto"/>
                <w:szCs w:val="21"/>
              </w:rPr>
            </w:pPr>
          </w:p>
        </w:tc>
        <w:tc>
          <w:tcPr>
            <w:tcW w:w="699" w:type="dxa"/>
          </w:tcPr>
          <w:p w14:paraId="68D8923B">
            <w:pPr>
              <w:spacing w:line="440" w:lineRule="exact"/>
              <w:jc w:val="left"/>
              <w:outlineLvl w:val="0"/>
              <w:rPr>
                <w:rFonts w:ascii="仿宋" w:hAnsi="仿宋" w:eastAsia="仿宋" w:cs="仿宋"/>
                <w:bCs/>
                <w:color w:val="auto"/>
                <w:szCs w:val="21"/>
              </w:rPr>
            </w:pPr>
          </w:p>
        </w:tc>
      </w:tr>
      <w:tr w14:paraId="227A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vAlign w:val="center"/>
          </w:tcPr>
          <w:p w14:paraId="13534501">
            <w:pPr>
              <w:spacing w:line="440" w:lineRule="exact"/>
              <w:jc w:val="left"/>
              <w:outlineLvl w:val="0"/>
              <w:rPr>
                <w:rFonts w:ascii="仿宋" w:hAnsi="仿宋" w:eastAsia="仿宋" w:cs="仿宋"/>
                <w:bCs/>
                <w:color w:val="auto"/>
                <w:szCs w:val="21"/>
              </w:rPr>
            </w:pPr>
          </w:p>
        </w:tc>
        <w:tc>
          <w:tcPr>
            <w:tcW w:w="705" w:type="dxa"/>
            <w:vAlign w:val="center"/>
          </w:tcPr>
          <w:p w14:paraId="396E8E65">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3</w:t>
            </w:r>
          </w:p>
        </w:tc>
        <w:tc>
          <w:tcPr>
            <w:tcW w:w="6012" w:type="dxa"/>
            <w:vAlign w:val="center"/>
          </w:tcPr>
          <w:p w14:paraId="13514EE4">
            <w:pPr>
              <w:spacing w:line="360" w:lineRule="exact"/>
              <w:jc w:val="left"/>
              <w:outlineLvl w:val="0"/>
              <w:rPr>
                <w:rFonts w:ascii="仿宋" w:hAnsi="仿宋" w:eastAsia="仿宋" w:cs="宋体"/>
                <w:bCs/>
                <w:color w:val="auto"/>
              </w:rPr>
            </w:pPr>
            <w:r>
              <w:rPr>
                <w:rFonts w:hint="eastAsia" w:ascii="仿宋" w:hAnsi="仿宋" w:eastAsia="仿宋" w:cs="宋体"/>
                <w:bCs/>
                <w:color w:val="auto"/>
              </w:rPr>
              <w:t>须具备有效的测绘乙级及以上（含乙级）资质证书</w:t>
            </w:r>
            <w:r>
              <w:rPr>
                <w:rFonts w:hint="eastAsia" w:ascii="仿宋" w:hAnsi="仿宋" w:eastAsia="仿宋" w:cs="仿宋"/>
                <w:bCs/>
                <w:color w:val="auto"/>
                <w:szCs w:val="21"/>
              </w:rPr>
              <w:t>；</w:t>
            </w:r>
          </w:p>
        </w:tc>
        <w:tc>
          <w:tcPr>
            <w:tcW w:w="780" w:type="dxa"/>
          </w:tcPr>
          <w:p w14:paraId="28B9028A">
            <w:pPr>
              <w:spacing w:line="440" w:lineRule="exact"/>
              <w:jc w:val="left"/>
              <w:outlineLvl w:val="0"/>
              <w:rPr>
                <w:rFonts w:ascii="仿宋" w:hAnsi="仿宋" w:eastAsia="仿宋" w:cs="仿宋"/>
                <w:bCs/>
                <w:color w:val="auto"/>
                <w:szCs w:val="21"/>
              </w:rPr>
            </w:pPr>
          </w:p>
        </w:tc>
        <w:tc>
          <w:tcPr>
            <w:tcW w:w="699" w:type="dxa"/>
          </w:tcPr>
          <w:p w14:paraId="3F7EB273">
            <w:pPr>
              <w:spacing w:line="440" w:lineRule="exact"/>
              <w:jc w:val="left"/>
              <w:outlineLvl w:val="0"/>
              <w:rPr>
                <w:rFonts w:ascii="仿宋" w:hAnsi="仿宋" w:eastAsia="仿宋" w:cs="仿宋"/>
                <w:bCs/>
                <w:color w:val="auto"/>
                <w:szCs w:val="21"/>
              </w:rPr>
            </w:pPr>
          </w:p>
        </w:tc>
      </w:tr>
      <w:tr w14:paraId="7B26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44" w:type="dxa"/>
            <w:vMerge w:val="continue"/>
            <w:vAlign w:val="center"/>
          </w:tcPr>
          <w:p w14:paraId="1ABAB8CF">
            <w:pPr>
              <w:spacing w:line="440" w:lineRule="exact"/>
              <w:jc w:val="left"/>
              <w:outlineLvl w:val="0"/>
              <w:rPr>
                <w:rFonts w:ascii="仿宋" w:hAnsi="仿宋" w:eastAsia="仿宋" w:cs="仿宋"/>
                <w:bCs/>
                <w:color w:val="auto"/>
                <w:szCs w:val="21"/>
              </w:rPr>
            </w:pPr>
          </w:p>
        </w:tc>
        <w:tc>
          <w:tcPr>
            <w:tcW w:w="705" w:type="dxa"/>
            <w:vAlign w:val="center"/>
          </w:tcPr>
          <w:p w14:paraId="58BCD590">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4</w:t>
            </w:r>
          </w:p>
        </w:tc>
        <w:tc>
          <w:tcPr>
            <w:tcW w:w="6012" w:type="dxa"/>
            <w:vAlign w:val="center"/>
          </w:tcPr>
          <w:p w14:paraId="6553D420">
            <w:pPr>
              <w:spacing w:line="360" w:lineRule="exact"/>
              <w:jc w:val="left"/>
              <w:outlineLvl w:val="0"/>
              <w:rPr>
                <w:rFonts w:ascii="仿宋" w:hAnsi="仿宋" w:eastAsia="仿宋" w:cs="宋体"/>
                <w:b/>
                <w:bCs/>
                <w:color w:val="auto"/>
                <w:kern w:val="0"/>
                <w:sz w:val="24"/>
              </w:rPr>
            </w:pPr>
            <w:r>
              <w:rPr>
                <w:rFonts w:hint="eastAsia" w:ascii="仿宋" w:hAnsi="仿宋" w:eastAsia="仿宋" w:cs="仿宋"/>
                <w:bCs/>
                <w:color w:val="auto"/>
                <w:szCs w:val="21"/>
              </w:rPr>
              <w:t>提供依法缴纳近六个月中任意一个月的社会保险社保缴纳凭证；依法缴纳近六个月任意一个月的完税证明；</w:t>
            </w:r>
          </w:p>
        </w:tc>
        <w:tc>
          <w:tcPr>
            <w:tcW w:w="780" w:type="dxa"/>
          </w:tcPr>
          <w:p w14:paraId="51FE0BEA">
            <w:pPr>
              <w:spacing w:line="440" w:lineRule="exact"/>
              <w:jc w:val="left"/>
              <w:outlineLvl w:val="0"/>
              <w:rPr>
                <w:rFonts w:ascii="仿宋" w:hAnsi="仿宋" w:eastAsia="仿宋" w:cs="仿宋"/>
                <w:bCs/>
                <w:color w:val="auto"/>
                <w:szCs w:val="21"/>
              </w:rPr>
            </w:pPr>
          </w:p>
        </w:tc>
        <w:tc>
          <w:tcPr>
            <w:tcW w:w="699" w:type="dxa"/>
          </w:tcPr>
          <w:p w14:paraId="2BFED2C4">
            <w:pPr>
              <w:spacing w:line="440" w:lineRule="exact"/>
              <w:jc w:val="left"/>
              <w:outlineLvl w:val="0"/>
              <w:rPr>
                <w:rFonts w:ascii="仿宋" w:hAnsi="仿宋" w:eastAsia="仿宋" w:cs="仿宋"/>
                <w:bCs/>
                <w:color w:val="auto"/>
                <w:szCs w:val="21"/>
              </w:rPr>
            </w:pPr>
          </w:p>
        </w:tc>
      </w:tr>
      <w:tr w14:paraId="183D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65EA49F6">
            <w:pPr>
              <w:spacing w:line="440" w:lineRule="exact"/>
              <w:jc w:val="left"/>
              <w:outlineLvl w:val="0"/>
              <w:rPr>
                <w:rFonts w:ascii="仿宋" w:hAnsi="仿宋" w:eastAsia="仿宋" w:cs="仿宋"/>
                <w:bCs/>
                <w:color w:val="auto"/>
                <w:szCs w:val="21"/>
              </w:rPr>
            </w:pPr>
          </w:p>
        </w:tc>
        <w:tc>
          <w:tcPr>
            <w:tcW w:w="705" w:type="dxa"/>
            <w:vAlign w:val="center"/>
          </w:tcPr>
          <w:p w14:paraId="28F7328F">
            <w:pPr>
              <w:spacing w:line="360" w:lineRule="exact"/>
              <w:ind w:firstLine="210" w:firstLineChars="100"/>
              <w:jc w:val="left"/>
              <w:outlineLvl w:val="0"/>
              <w:rPr>
                <w:rFonts w:ascii="仿宋" w:hAnsi="仿宋" w:eastAsia="仿宋" w:cs="仿宋"/>
                <w:bCs/>
                <w:color w:val="auto"/>
                <w:szCs w:val="21"/>
              </w:rPr>
            </w:pPr>
            <w:r>
              <w:rPr>
                <w:rFonts w:hint="eastAsia" w:ascii="仿宋" w:hAnsi="仿宋" w:eastAsia="仿宋" w:cs="仿宋"/>
                <w:bCs/>
                <w:color w:val="auto"/>
                <w:szCs w:val="21"/>
              </w:rPr>
              <w:t>5</w:t>
            </w:r>
          </w:p>
        </w:tc>
        <w:tc>
          <w:tcPr>
            <w:tcW w:w="6012" w:type="dxa"/>
            <w:vAlign w:val="center"/>
          </w:tcPr>
          <w:p w14:paraId="3F251891">
            <w:pPr>
              <w:spacing w:line="36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2024年或2025年任意一年经会计事务所出具财务审计报告；（新成立的公司须提供近一个月的银行资信证明）；</w:t>
            </w:r>
          </w:p>
        </w:tc>
        <w:tc>
          <w:tcPr>
            <w:tcW w:w="780" w:type="dxa"/>
          </w:tcPr>
          <w:p w14:paraId="12BA07C4">
            <w:pPr>
              <w:spacing w:line="440" w:lineRule="exact"/>
              <w:jc w:val="left"/>
              <w:outlineLvl w:val="0"/>
              <w:rPr>
                <w:rFonts w:ascii="仿宋" w:hAnsi="仿宋" w:eastAsia="仿宋" w:cs="仿宋"/>
                <w:bCs/>
                <w:color w:val="auto"/>
                <w:szCs w:val="21"/>
              </w:rPr>
            </w:pPr>
          </w:p>
        </w:tc>
        <w:tc>
          <w:tcPr>
            <w:tcW w:w="699" w:type="dxa"/>
          </w:tcPr>
          <w:p w14:paraId="2CC1EB9C">
            <w:pPr>
              <w:spacing w:line="440" w:lineRule="exact"/>
              <w:jc w:val="left"/>
              <w:outlineLvl w:val="0"/>
              <w:rPr>
                <w:rFonts w:ascii="仿宋" w:hAnsi="仿宋" w:eastAsia="仿宋" w:cs="仿宋"/>
                <w:bCs/>
                <w:color w:val="auto"/>
                <w:szCs w:val="21"/>
              </w:rPr>
            </w:pPr>
          </w:p>
        </w:tc>
      </w:tr>
      <w:tr w14:paraId="106F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1ABCA5F1">
            <w:pPr>
              <w:spacing w:line="440" w:lineRule="exact"/>
              <w:jc w:val="left"/>
              <w:outlineLvl w:val="0"/>
              <w:rPr>
                <w:rFonts w:ascii="仿宋" w:hAnsi="仿宋" w:eastAsia="仿宋" w:cs="仿宋"/>
                <w:bCs/>
                <w:color w:val="auto"/>
                <w:szCs w:val="21"/>
              </w:rPr>
            </w:pPr>
          </w:p>
        </w:tc>
        <w:tc>
          <w:tcPr>
            <w:tcW w:w="705" w:type="dxa"/>
            <w:vAlign w:val="center"/>
          </w:tcPr>
          <w:p w14:paraId="691BEF13">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6</w:t>
            </w:r>
          </w:p>
        </w:tc>
        <w:tc>
          <w:tcPr>
            <w:tcW w:w="6012" w:type="dxa"/>
            <w:vAlign w:val="center"/>
          </w:tcPr>
          <w:p w14:paraId="1F259A6F">
            <w:pPr>
              <w:spacing w:line="360" w:lineRule="exact"/>
              <w:jc w:val="left"/>
              <w:outlineLvl w:val="0"/>
              <w:rPr>
                <w:rFonts w:ascii="仿宋" w:hAnsi="仿宋" w:eastAsia="仿宋" w:cs="宋体"/>
                <w:b/>
                <w:bCs/>
                <w:color w:val="auto"/>
              </w:rPr>
            </w:pPr>
            <w:r>
              <w:rPr>
                <w:rFonts w:hint="eastAsia" w:ascii="仿宋" w:hAnsi="仿宋" w:eastAsia="仿宋" w:cs="仿宋"/>
                <w:bCs/>
                <w:color w:val="auto"/>
                <w:szCs w:val="21"/>
              </w:rPr>
              <w:t>根据《财政部关于在政府采购活动中查询及使用信用记录有关问题的通知》（财库﹝</w:t>
            </w:r>
            <w:r>
              <w:rPr>
                <w:rFonts w:ascii="仿宋" w:hAnsi="仿宋" w:eastAsia="仿宋" w:cs="仿宋"/>
                <w:bCs/>
                <w:color w:val="auto"/>
                <w:szCs w:val="21"/>
              </w:rPr>
              <w:t>2016</w:t>
            </w:r>
            <w:r>
              <w:rPr>
                <w:rFonts w:hint="eastAsia" w:ascii="仿宋" w:hAnsi="仿宋" w:eastAsia="仿宋" w:cs="仿宋"/>
                <w:bCs/>
                <w:color w:val="auto"/>
                <w:szCs w:val="21"/>
              </w:rPr>
              <w:t>﹞</w:t>
            </w:r>
            <w:r>
              <w:rPr>
                <w:rFonts w:ascii="仿宋" w:hAnsi="仿宋" w:eastAsia="仿宋" w:cs="仿宋"/>
                <w:bCs/>
                <w:color w:val="auto"/>
                <w:szCs w:val="21"/>
              </w:rPr>
              <w:t>125</w:t>
            </w:r>
            <w:r>
              <w:rPr>
                <w:rFonts w:hint="eastAsia" w:ascii="仿宋" w:hAnsi="仿宋" w:eastAsia="仿宋" w:cs="仿宋"/>
                <w:bCs/>
                <w:color w:val="auto"/>
                <w:szCs w:val="21"/>
              </w:rPr>
              <w:t>号）的要求，凡拟参加本次招标项目的投标人，如在“信用中国”网站被列入失信被执行人、重大税收违法失信主体</w:t>
            </w:r>
            <w:r>
              <w:rPr>
                <w:rFonts w:ascii="仿宋" w:hAnsi="仿宋" w:eastAsia="仿宋" w:cs="仿宋"/>
                <w:bCs/>
                <w:color w:val="auto"/>
                <w:szCs w:val="21"/>
              </w:rPr>
              <w:t>(</w:t>
            </w:r>
            <w:r>
              <w:rPr>
                <w:rFonts w:hint="eastAsia" w:ascii="仿宋" w:hAnsi="仿宋" w:eastAsia="仿宋" w:cs="仿宋"/>
                <w:bCs/>
                <w:color w:val="auto"/>
                <w:szCs w:val="21"/>
              </w:rPr>
              <w:t>信用中国首页</w:t>
            </w:r>
            <w:r>
              <w:rPr>
                <w:rFonts w:ascii="仿宋" w:hAnsi="仿宋" w:eastAsia="仿宋" w:cs="仿宋"/>
                <w:bCs/>
                <w:color w:val="auto"/>
                <w:szCs w:val="21"/>
              </w:rPr>
              <w:t>-</w:t>
            </w:r>
            <w:r>
              <w:rPr>
                <w:rFonts w:hint="eastAsia" w:ascii="仿宋" w:hAnsi="仿宋" w:eastAsia="仿宋" w:cs="仿宋"/>
                <w:bCs/>
                <w:color w:val="auto"/>
                <w:szCs w:val="21"/>
              </w:rPr>
              <w:t>点击信用服务</w:t>
            </w:r>
            <w:r>
              <w:rPr>
                <w:rFonts w:ascii="仿宋" w:hAnsi="仿宋" w:eastAsia="仿宋" w:cs="仿宋"/>
                <w:bCs/>
                <w:color w:val="auto"/>
                <w:szCs w:val="21"/>
              </w:rPr>
              <w:t>-</w:t>
            </w:r>
            <w:r>
              <w:rPr>
                <w:rFonts w:hint="eastAsia" w:ascii="仿宋" w:hAnsi="仿宋" w:eastAsia="仿宋" w:cs="仿宋"/>
                <w:bCs/>
                <w:color w:val="auto"/>
                <w:szCs w:val="21"/>
              </w:rPr>
              <w:t>查询</w:t>
            </w:r>
            <w:r>
              <w:rPr>
                <w:rFonts w:ascii="仿宋" w:hAnsi="仿宋" w:eastAsia="仿宋" w:cs="仿宋"/>
                <w:bCs/>
                <w:color w:val="auto"/>
                <w:szCs w:val="21"/>
              </w:rPr>
              <w:t>)</w:t>
            </w:r>
            <w:r>
              <w:rPr>
                <w:rFonts w:hint="eastAsia" w:ascii="仿宋" w:hAnsi="仿宋" w:eastAsia="仿宋" w:cs="仿宋"/>
                <w:bCs/>
                <w:color w:val="auto"/>
                <w:szCs w:val="21"/>
              </w:rPr>
              <w:t>、“中国政府采购网“严重违法失信行为记录名单的（尚在处罚期内的）将拒绝其参加本次招标活动；附网站截图。</w:t>
            </w:r>
          </w:p>
        </w:tc>
        <w:tc>
          <w:tcPr>
            <w:tcW w:w="780" w:type="dxa"/>
          </w:tcPr>
          <w:p w14:paraId="271CA103">
            <w:pPr>
              <w:spacing w:line="440" w:lineRule="exact"/>
              <w:jc w:val="left"/>
              <w:outlineLvl w:val="0"/>
              <w:rPr>
                <w:rFonts w:ascii="仿宋" w:hAnsi="仿宋" w:eastAsia="仿宋" w:cs="仿宋"/>
                <w:bCs/>
                <w:color w:val="auto"/>
                <w:szCs w:val="21"/>
              </w:rPr>
            </w:pPr>
          </w:p>
        </w:tc>
        <w:tc>
          <w:tcPr>
            <w:tcW w:w="699" w:type="dxa"/>
          </w:tcPr>
          <w:p w14:paraId="4B52F018">
            <w:pPr>
              <w:spacing w:line="440" w:lineRule="exact"/>
              <w:jc w:val="left"/>
              <w:outlineLvl w:val="0"/>
              <w:rPr>
                <w:rFonts w:ascii="仿宋" w:hAnsi="仿宋" w:eastAsia="仿宋" w:cs="仿宋"/>
                <w:bCs/>
                <w:color w:val="auto"/>
                <w:szCs w:val="21"/>
              </w:rPr>
            </w:pPr>
          </w:p>
        </w:tc>
      </w:tr>
      <w:tr w14:paraId="30C8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44" w:type="dxa"/>
            <w:vMerge w:val="continue"/>
            <w:vAlign w:val="center"/>
          </w:tcPr>
          <w:p w14:paraId="34685015">
            <w:pPr>
              <w:spacing w:line="440" w:lineRule="exact"/>
              <w:jc w:val="left"/>
              <w:outlineLvl w:val="0"/>
              <w:rPr>
                <w:rFonts w:ascii="仿宋" w:hAnsi="仿宋" w:eastAsia="仿宋" w:cs="仿宋"/>
                <w:bCs/>
                <w:color w:val="auto"/>
                <w:szCs w:val="21"/>
              </w:rPr>
            </w:pPr>
          </w:p>
        </w:tc>
        <w:tc>
          <w:tcPr>
            <w:tcW w:w="705" w:type="dxa"/>
            <w:vAlign w:val="center"/>
          </w:tcPr>
          <w:p w14:paraId="773B3400">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7</w:t>
            </w:r>
          </w:p>
        </w:tc>
        <w:tc>
          <w:tcPr>
            <w:tcW w:w="6012" w:type="dxa"/>
            <w:vAlign w:val="center"/>
          </w:tcPr>
          <w:p w14:paraId="7E50997E">
            <w:pPr>
              <w:spacing w:line="36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提供针对本次项目《反商业贿赂承诺书》；</w:t>
            </w:r>
          </w:p>
        </w:tc>
        <w:tc>
          <w:tcPr>
            <w:tcW w:w="780" w:type="dxa"/>
          </w:tcPr>
          <w:p w14:paraId="22DDDBDA">
            <w:pPr>
              <w:spacing w:line="440" w:lineRule="exact"/>
              <w:jc w:val="left"/>
              <w:outlineLvl w:val="0"/>
              <w:rPr>
                <w:rFonts w:ascii="仿宋" w:hAnsi="仿宋" w:eastAsia="仿宋" w:cs="仿宋"/>
                <w:bCs/>
                <w:color w:val="auto"/>
                <w:szCs w:val="21"/>
              </w:rPr>
            </w:pPr>
          </w:p>
        </w:tc>
        <w:tc>
          <w:tcPr>
            <w:tcW w:w="699" w:type="dxa"/>
          </w:tcPr>
          <w:p w14:paraId="16A2D1DD">
            <w:pPr>
              <w:spacing w:line="440" w:lineRule="exact"/>
              <w:jc w:val="left"/>
              <w:outlineLvl w:val="0"/>
              <w:rPr>
                <w:rFonts w:ascii="仿宋" w:hAnsi="仿宋" w:eastAsia="仿宋" w:cs="仿宋"/>
                <w:bCs/>
                <w:color w:val="auto"/>
                <w:szCs w:val="21"/>
              </w:rPr>
            </w:pPr>
          </w:p>
        </w:tc>
      </w:tr>
      <w:tr w14:paraId="731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24A78E33">
            <w:pPr>
              <w:spacing w:line="440" w:lineRule="exact"/>
              <w:jc w:val="left"/>
              <w:outlineLvl w:val="0"/>
              <w:rPr>
                <w:rFonts w:ascii="仿宋" w:hAnsi="仿宋" w:eastAsia="仿宋" w:cs="仿宋"/>
                <w:bCs/>
                <w:color w:val="auto"/>
                <w:szCs w:val="21"/>
              </w:rPr>
            </w:pPr>
          </w:p>
        </w:tc>
        <w:tc>
          <w:tcPr>
            <w:tcW w:w="705" w:type="dxa"/>
            <w:vAlign w:val="center"/>
          </w:tcPr>
          <w:p w14:paraId="5435DAE2">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8</w:t>
            </w:r>
          </w:p>
        </w:tc>
        <w:tc>
          <w:tcPr>
            <w:tcW w:w="6012" w:type="dxa"/>
            <w:vAlign w:val="center"/>
          </w:tcPr>
          <w:p w14:paraId="050EDE89">
            <w:pPr>
              <w:spacing w:line="36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提供本单位参加政府采购活动近3年内，在经营活动中没有重大违法记录的书面声明；</w:t>
            </w:r>
          </w:p>
        </w:tc>
        <w:tc>
          <w:tcPr>
            <w:tcW w:w="780" w:type="dxa"/>
          </w:tcPr>
          <w:p w14:paraId="17209E4F">
            <w:pPr>
              <w:spacing w:line="440" w:lineRule="exact"/>
              <w:jc w:val="left"/>
              <w:outlineLvl w:val="0"/>
              <w:rPr>
                <w:rFonts w:ascii="仿宋" w:hAnsi="仿宋" w:eastAsia="仿宋" w:cs="仿宋"/>
                <w:bCs/>
                <w:color w:val="auto"/>
                <w:szCs w:val="21"/>
              </w:rPr>
            </w:pPr>
          </w:p>
        </w:tc>
        <w:tc>
          <w:tcPr>
            <w:tcW w:w="699" w:type="dxa"/>
          </w:tcPr>
          <w:p w14:paraId="1E548E25">
            <w:pPr>
              <w:spacing w:line="440" w:lineRule="exact"/>
              <w:jc w:val="left"/>
              <w:outlineLvl w:val="0"/>
              <w:rPr>
                <w:rFonts w:ascii="仿宋" w:hAnsi="仿宋" w:eastAsia="仿宋" w:cs="仿宋"/>
                <w:bCs/>
                <w:color w:val="auto"/>
                <w:szCs w:val="21"/>
              </w:rPr>
            </w:pPr>
          </w:p>
        </w:tc>
      </w:tr>
      <w:tr w14:paraId="5150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59FD88DF">
            <w:pPr>
              <w:spacing w:line="440" w:lineRule="exact"/>
              <w:jc w:val="left"/>
              <w:outlineLvl w:val="0"/>
              <w:rPr>
                <w:rFonts w:ascii="仿宋" w:hAnsi="仿宋" w:eastAsia="仿宋" w:cs="仿宋"/>
                <w:bCs/>
                <w:color w:val="auto"/>
                <w:szCs w:val="21"/>
              </w:rPr>
            </w:pPr>
          </w:p>
        </w:tc>
        <w:tc>
          <w:tcPr>
            <w:tcW w:w="705" w:type="dxa"/>
            <w:vAlign w:val="center"/>
          </w:tcPr>
          <w:p w14:paraId="54A0F101">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9</w:t>
            </w:r>
          </w:p>
        </w:tc>
        <w:tc>
          <w:tcPr>
            <w:tcW w:w="6012" w:type="dxa"/>
            <w:vAlign w:val="center"/>
          </w:tcPr>
          <w:p w14:paraId="313B3903">
            <w:pPr>
              <w:spacing w:line="36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投标保证金缴纳凭证或投标担保函；</w:t>
            </w:r>
          </w:p>
        </w:tc>
        <w:tc>
          <w:tcPr>
            <w:tcW w:w="780" w:type="dxa"/>
          </w:tcPr>
          <w:p w14:paraId="7A040DB3">
            <w:pPr>
              <w:spacing w:line="440" w:lineRule="exact"/>
              <w:jc w:val="left"/>
              <w:outlineLvl w:val="0"/>
              <w:rPr>
                <w:rFonts w:ascii="仿宋" w:hAnsi="仿宋" w:eastAsia="仿宋" w:cs="仿宋"/>
                <w:bCs/>
                <w:color w:val="auto"/>
                <w:szCs w:val="21"/>
              </w:rPr>
            </w:pPr>
          </w:p>
        </w:tc>
        <w:tc>
          <w:tcPr>
            <w:tcW w:w="699" w:type="dxa"/>
          </w:tcPr>
          <w:p w14:paraId="044059B1">
            <w:pPr>
              <w:spacing w:line="440" w:lineRule="exact"/>
              <w:jc w:val="left"/>
              <w:outlineLvl w:val="0"/>
              <w:rPr>
                <w:rFonts w:ascii="仿宋" w:hAnsi="仿宋" w:eastAsia="仿宋" w:cs="仿宋"/>
                <w:bCs/>
                <w:color w:val="auto"/>
                <w:szCs w:val="21"/>
              </w:rPr>
            </w:pPr>
          </w:p>
        </w:tc>
      </w:tr>
      <w:tr w14:paraId="6615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vAlign w:val="center"/>
          </w:tcPr>
          <w:p w14:paraId="689D354C">
            <w:pPr>
              <w:spacing w:line="440" w:lineRule="exact"/>
              <w:jc w:val="left"/>
              <w:outlineLvl w:val="0"/>
              <w:rPr>
                <w:rFonts w:ascii="仿宋" w:hAnsi="仿宋" w:eastAsia="仿宋" w:cs="仿宋"/>
                <w:bCs/>
                <w:color w:val="auto"/>
                <w:szCs w:val="21"/>
              </w:rPr>
            </w:pPr>
          </w:p>
        </w:tc>
        <w:tc>
          <w:tcPr>
            <w:tcW w:w="705" w:type="dxa"/>
            <w:vAlign w:val="center"/>
          </w:tcPr>
          <w:p w14:paraId="23BAE43C">
            <w:pPr>
              <w:spacing w:line="36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10</w:t>
            </w:r>
          </w:p>
        </w:tc>
        <w:tc>
          <w:tcPr>
            <w:tcW w:w="6012" w:type="dxa"/>
            <w:vAlign w:val="center"/>
          </w:tcPr>
          <w:p w14:paraId="742A0B98">
            <w:pPr>
              <w:spacing w:line="36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《中小企业声明函》。</w:t>
            </w:r>
          </w:p>
        </w:tc>
        <w:tc>
          <w:tcPr>
            <w:tcW w:w="780" w:type="dxa"/>
          </w:tcPr>
          <w:p w14:paraId="7C578D7D">
            <w:pPr>
              <w:spacing w:line="440" w:lineRule="exact"/>
              <w:jc w:val="left"/>
              <w:outlineLvl w:val="0"/>
              <w:rPr>
                <w:rFonts w:ascii="仿宋" w:hAnsi="仿宋" w:eastAsia="仿宋" w:cs="仿宋"/>
                <w:bCs/>
                <w:color w:val="auto"/>
                <w:szCs w:val="21"/>
              </w:rPr>
            </w:pPr>
          </w:p>
        </w:tc>
        <w:tc>
          <w:tcPr>
            <w:tcW w:w="699" w:type="dxa"/>
          </w:tcPr>
          <w:p w14:paraId="62EAF9FA">
            <w:pPr>
              <w:spacing w:line="440" w:lineRule="exact"/>
              <w:jc w:val="left"/>
              <w:outlineLvl w:val="0"/>
              <w:rPr>
                <w:rFonts w:ascii="仿宋" w:hAnsi="仿宋" w:eastAsia="仿宋" w:cs="仿宋"/>
                <w:bCs/>
                <w:color w:val="auto"/>
                <w:szCs w:val="21"/>
              </w:rPr>
            </w:pPr>
          </w:p>
        </w:tc>
      </w:tr>
      <w:tr w14:paraId="7336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vAlign w:val="center"/>
          </w:tcPr>
          <w:p w14:paraId="369C02EF">
            <w:pPr>
              <w:spacing w:line="440" w:lineRule="exact"/>
              <w:jc w:val="left"/>
              <w:outlineLvl w:val="0"/>
              <w:rPr>
                <w:rFonts w:ascii="仿宋" w:hAnsi="仿宋" w:eastAsia="仿宋" w:cs="仿宋"/>
                <w:bCs/>
                <w:color w:val="auto"/>
                <w:szCs w:val="21"/>
              </w:rPr>
            </w:pPr>
          </w:p>
        </w:tc>
        <w:tc>
          <w:tcPr>
            <w:tcW w:w="705" w:type="dxa"/>
          </w:tcPr>
          <w:p w14:paraId="39775A32">
            <w:pPr>
              <w:spacing w:line="440" w:lineRule="exact"/>
              <w:jc w:val="left"/>
              <w:outlineLvl w:val="0"/>
              <w:rPr>
                <w:rFonts w:ascii="仿宋" w:hAnsi="仿宋" w:eastAsia="仿宋" w:cs="仿宋"/>
                <w:bCs/>
                <w:color w:val="auto"/>
                <w:szCs w:val="21"/>
              </w:rPr>
            </w:pPr>
          </w:p>
        </w:tc>
        <w:tc>
          <w:tcPr>
            <w:tcW w:w="6012" w:type="dxa"/>
          </w:tcPr>
          <w:p w14:paraId="29305017">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结论：是否通过评审（须填写通过或不通过）</w:t>
            </w:r>
          </w:p>
          <w:p w14:paraId="54FC1663">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注：如有一项不合格，作废标处理。</w:t>
            </w:r>
          </w:p>
        </w:tc>
        <w:tc>
          <w:tcPr>
            <w:tcW w:w="1479" w:type="dxa"/>
            <w:gridSpan w:val="2"/>
          </w:tcPr>
          <w:p w14:paraId="4524DCA3">
            <w:pPr>
              <w:spacing w:line="440" w:lineRule="exact"/>
              <w:jc w:val="left"/>
              <w:outlineLvl w:val="0"/>
              <w:rPr>
                <w:rFonts w:ascii="仿宋" w:hAnsi="仿宋" w:eastAsia="仿宋" w:cs="仿宋"/>
                <w:bCs/>
                <w:color w:val="auto"/>
                <w:szCs w:val="21"/>
              </w:rPr>
            </w:pPr>
          </w:p>
        </w:tc>
      </w:tr>
    </w:tbl>
    <w:p w14:paraId="6CC8D51C">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通过上述资格性检查，可初步判定投标人的投标文件是否符合招标文件的要求。对于上述审查内容，投标人必须响应，否则其投标文件作废标处理。</w:t>
      </w:r>
    </w:p>
    <w:p w14:paraId="1509E26A">
      <w:pPr>
        <w:rPr>
          <w:color w:val="auto"/>
        </w:rPr>
      </w:pPr>
    </w:p>
    <w:p w14:paraId="46C80BFC">
      <w:pPr>
        <w:pStyle w:val="2"/>
        <w:rPr>
          <w:color w:val="auto"/>
        </w:rPr>
      </w:pPr>
    </w:p>
    <w:p w14:paraId="6FEC2E15">
      <w:pPr>
        <w:spacing w:line="440" w:lineRule="exact"/>
        <w:jc w:val="center"/>
        <w:outlineLvl w:val="0"/>
        <w:rPr>
          <w:rFonts w:ascii="仿宋" w:hAnsi="仿宋" w:eastAsia="仿宋" w:cs="仿宋"/>
          <w:b/>
          <w:color w:val="auto"/>
          <w:sz w:val="32"/>
          <w:szCs w:val="32"/>
        </w:rPr>
      </w:pPr>
      <w:r>
        <w:rPr>
          <w:rFonts w:hint="eastAsia" w:ascii="仿宋" w:hAnsi="仿宋" w:eastAsia="仿宋" w:cs="仿宋"/>
          <w:b/>
          <w:color w:val="auto"/>
          <w:sz w:val="32"/>
          <w:szCs w:val="32"/>
        </w:rPr>
        <w:t>符合性检查</w:t>
      </w:r>
    </w:p>
    <w:p w14:paraId="6DE18352">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1、符合性检查包含下列内容</w:t>
      </w:r>
    </w:p>
    <w:tbl>
      <w:tblPr>
        <w:tblStyle w:val="36"/>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7A816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vAlign w:val="center"/>
          </w:tcPr>
          <w:p w14:paraId="0E6E0E5D">
            <w:pPr>
              <w:spacing w:line="440" w:lineRule="exact"/>
              <w:jc w:val="left"/>
              <w:outlineLvl w:val="0"/>
              <w:rPr>
                <w:rFonts w:ascii="仿宋" w:hAnsi="仿宋" w:eastAsia="仿宋" w:cs="仿宋"/>
                <w:b/>
                <w:color w:val="auto"/>
                <w:sz w:val="30"/>
                <w:szCs w:val="30"/>
              </w:rPr>
            </w:pPr>
            <w:r>
              <w:rPr>
                <w:rFonts w:hint="eastAsia" w:ascii="仿宋" w:hAnsi="仿宋" w:eastAsia="仿宋" w:cs="仿宋"/>
                <w:b/>
                <w:color w:val="auto"/>
                <w:sz w:val="30"/>
                <w:szCs w:val="30"/>
              </w:rPr>
              <w:t>项目</w:t>
            </w:r>
          </w:p>
        </w:tc>
        <w:tc>
          <w:tcPr>
            <w:tcW w:w="6688" w:type="dxa"/>
            <w:gridSpan w:val="2"/>
            <w:tcBorders>
              <w:top w:val="single" w:color="auto" w:sz="4" w:space="0"/>
            </w:tcBorders>
            <w:vAlign w:val="center"/>
          </w:tcPr>
          <w:p w14:paraId="31E535C7">
            <w:pPr>
              <w:spacing w:line="440" w:lineRule="exact"/>
              <w:jc w:val="center"/>
              <w:outlineLvl w:val="0"/>
              <w:rPr>
                <w:rFonts w:ascii="仿宋" w:hAnsi="仿宋" w:eastAsia="仿宋" w:cs="仿宋"/>
                <w:b/>
                <w:color w:val="auto"/>
                <w:sz w:val="30"/>
                <w:szCs w:val="30"/>
              </w:rPr>
            </w:pPr>
            <w:r>
              <w:rPr>
                <w:rFonts w:hint="eastAsia" w:ascii="仿宋" w:hAnsi="仿宋" w:eastAsia="仿宋" w:cs="仿宋"/>
                <w:b/>
                <w:color w:val="auto"/>
                <w:sz w:val="30"/>
                <w:szCs w:val="30"/>
              </w:rPr>
              <w:t>评审内容</w:t>
            </w:r>
          </w:p>
        </w:tc>
        <w:tc>
          <w:tcPr>
            <w:tcW w:w="1260" w:type="dxa"/>
            <w:gridSpan w:val="2"/>
            <w:tcBorders>
              <w:top w:val="single" w:color="auto" w:sz="4" w:space="0"/>
              <w:right w:val="single" w:color="auto" w:sz="4" w:space="0"/>
            </w:tcBorders>
            <w:vAlign w:val="center"/>
          </w:tcPr>
          <w:p w14:paraId="23419294">
            <w:pPr>
              <w:spacing w:line="440" w:lineRule="exact"/>
              <w:jc w:val="center"/>
              <w:outlineLvl w:val="0"/>
              <w:rPr>
                <w:rFonts w:ascii="仿宋" w:hAnsi="仿宋" w:eastAsia="仿宋" w:cs="仿宋"/>
                <w:b/>
                <w:color w:val="auto"/>
                <w:sz w:val="30"/>
                <w:szCs w:val="30"/>
              </w:rPr>
            </w:pPr>
            <w:r>
              <w:rPr>
                <w:rFonts w:hint="eastAsia" w:ascii="仿宋" w:hAnsi="仿宋" w:eastAsia="仿宋" w:cs="仿宋"/>
                <w:b/>
                <w:color w:val="auto"/>
                <w:sz w:val="30"/>
                <w:szCs w:val="30"/>
              </w:rPr>
              <w:t>评审</w:t>
            </w:r>
          </w:p>
          <w:p w14:paraId="6E92F660">
            <w:pPr>
              <w:spacing w:line="440" w:lineRule="exact"/>
              <w:jc w:val="center"/>
              <w:outlineLvl w:val="0"/>
              <w:rPr>
                <w:rFonts w:ascii="仿宋" w:hAnsi="仿宋" w:eastAsia="仿宋" w:cs="仿宋"/>
                <w:b/>
                <w:color w:val="auto"/>
                <w:sz w:val="30"/>
                <w:szCs w:val="30"/>
              </w:rPr>
            </w:pPr>
            <w:r>
              <w:rPr>
                <w:rFonts w:hint="eastAsia" w:ascii="仿宋" w:hAnsi="仿宋" w:eastAsia="仿宋" w:cs="仿宋"/>
                <w:b/>
                <w:color w:val="auto"/>
                <w:sz w:val="30"/>
                <w:szCs w:val="30"/>
              </w:rPr>
              <w:t>意见</w:t>
            </w:r>
          </w:p>
        </w:tc>
      </w:tr>
      <w:tr w14:paraId="286FB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vAlign w:val="center"/>
          </w:tcPr>
          <w:p w14:paraId="6A6553A0">
            <w:pPr>
              <w:spacing w:line="440" w:lineRule="exact"/>
              <w:jc w:val="left"/>
              <w:outlineLvl w:val="0"/>
              <w:rPr>
                <w:rFonts w:ascii="仿宋" w:hAnsi="仿宋" w:eastAsia="仿宋" w:cs="仿宋"/>
                <w:bCs/>
                <w:color w:val="auto"/>
                <w:szCs w:val="21"/>
              </w:rPr>
            </w:pPr>
          </w:p>
        </w:tc>
        <w:tc>
          <w:tcPr>
            <w:tcW w:w="6688" w:type="dxa"/>
            <w:gridSpan w:val="2"/>
            <w:tcBorders>
              <w:bottom w:val="single" w:color="auto" w:sz="4" w:space="0"/>
            </w:tcBorders>
          </w:tcPr>
          <w:p w14:paraId="691EE742">
            <w:pPr>
              <w:spacing w:line="440" w:lineRule="exact"/>
              <w:jc w:val="left"/>
              <w:outlineLvl w:val="0"/>
              <w:rPr>
                <w:rFonts w:ascii="仿宋" w:hAnsi="仿宋" w:eastAsia="仿宋" w:cs="仿宋"/>
                <w:bCs/>
                <w:color w:val="auto"/>
                <w:szCs w:val="21"/>
              </w:rPr>
            </w:pPr>
          </w:p>
        </w:tc>
        <w:tc>
          <w:tcPr>
            <w:tcW w:w="683" w:type="dxa"/>
            <w:vAlign w:val="center"/>
          </w:tcPr>
          <w:p w14:paraId="3B1A2155">
            <w:pPr>
              <w:spacing w:line="440" w:lineRule="exact"/>
              <w:jc w:val="center"/>
              <w:outlineLvl w:val="0"/>
              <w:rPr>
                <w:rFonts w:ascii="仿宋" w:hAnsi="仿宋" w:eastAsia="仿宋" w:cs="仿宋"/>
                <w:b/>
                <w:color w:val="auto"/>
                <w:szCs w:val="21"/>
              </w:rPr>
            </w:pPr>
            <w:r>
              <w:rPr>
                <w:rFonts w:hint="eastAsia" w:ascii="仿宋" w:hAnsi="仿宋" w:eastAsia="仿宋" w:cs="仿宋"/>
                <w:b/>
                <w:color w:val="auto"/>
                <w:szCs w:val="21"/>
              </w:rPr>
              <w:t>是</w:t>
            </w:r>
          </w:p>
        </w:tc>
        <w:tc>
          <w:tcPr>
            <w:tcW w:w="577" w:type="dxa"/>
            <w:tcBorders>
              <w:right w:val="single" w:color="auto" w:sz="4" w:space="0"/>
            </w:tcBorders>
            <w:vAlign w:val="center"/>
          </w:tcPr>
          <w:p w14:paraId="54D0C15D">
            <w:pPr>
              <w:spacing w:line="440" w:lineRule="exact"/>
              <w:jc w:val="center"/>
              <w:outlineLvl w:val="0"/>
              <w:rPr>
                <w:rFonts w:ascii="仿宋" w:hAnsi="仿宋" w:eastAsia="仿宋" w:cs="仿宋"/>
                <w:b/>
                <w:color w:val="auto"/>
                <w:szCs w:val="21"/>
              </w:rPr>
            </w:pPr>
            <w:r>
              <w:rPr>
                <w:rFonts w:hint="eastAsia" w:ascii="仿宋" w:hAnsi="仿宋" w:eastAsia="仿宋" w:cs="仿宋"/>
                <w:b/>
                <w:color w:val="auto"/>
                <w:szCs w:val="21"/>
              </w:rPr>
              <w:t>否</w:t>
            </w:r>
          </w:p>
        </w:tc>
      </w:tr>
      <w:tr w14:paraId="41E77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vAlign w:val="center"/>
          </w:tcPr>
          <w:p w14:paraId="7CD92C61">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审</w:t>
            </w:r>
          </w:p>
          <w:p w14:paraId="7DBCD7D1">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查</w:t>
            </w:r>
          </w:p>
          <w:p w14:paraId="35EB55CE">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标</w:t>
            </w:r>
          </w:p>
          <w:p w14:paraId="53C3BFFC">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准</w:t>
            </w:r>
          </w:p>
        </w:tc>
        <w:tc>
          <w:tcPr>
            <w:tcW w:w="598" w:type="dxa"/>
            <w:tcBorders>
              <w:top w:val="single" w:color="auto" w:sz="4" w:space="0"/>
              <w:left w:val="single" w:color="auto" w:sz="4" w:space="0"/>
              <w:right w:val="single" w:color="auto" w:sz="4" w:space="0"/>
            </w:tcBorders>
            <w:vAlign w:val="center"/>
          </w:tcPr>
          <w:p w14:paraId="6C31E0EE">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1</w:t>
            </w:r>
          </w:p>
        </w:tc>
        <w:tc>
          <w:tcPr>
            <w:tcW w:w="6090" w:type="dxa"/>
            <w:tcBorders>
              <w:top w:val="single" w:color="auto" w:sz="4" w:space="0"/>
              <w:left w:val="single" w:color="auto" w:sz="4" w:space="0"/>
              <w:right w:val="single" w:color="auto" w:sz="4" w:space="0"/>
            </w:tcBorders>
          </w:tcPr>
          <w:p w14:paraId="3AE96727">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投标报价高于设定的采购预算价的；</w:t>
            </w:r>
          </w:p>
        </w:tc>
        <w:tc>
          <w:tcPr>
            <w:tcW w:w="683" w:type="dxa"/>
            <w:tcBorders>
              <w:left w:val="single" w:color="auto" w:sz="4" w:space="0"/>
              <w:right w:val="single" w:color="auto" w:sz="4" w:space="0"/>
            </w:tcBorders>
          </w:tcPr>
          <w:p w14:paraId="003056DE">
            <w:pPr>
              <w:spacing w:line="440" w:lineRule="exact"/>
              <w:jc w:val="left"/>
              <w:outlineLvl w:val="0"/>
              <w:rPr>
                <w:rFonts w:ascii="仿宋" w:hAnsi="仿宋" w:eastAsia="仿宋" w:cs="仿宋"/>
                <w:bCs/>
                <w:color w:val="auto"/>
                <w:szCs w:val="21"/>
              </w:rPr>
            </w:pPr>
          </w:p>
        </w:tc>
        <w:tc>
          <w:tcPr>
            <w:tcW w:w="577" w:type="dxa"/>
            <w:tcBorders>
              <w:left w:val="single" w:color="auto" w:sz="4" w:space="0"/>
              <w:right w:val="single" w:color="auto" w:sz="4" w:space="0"/>
            </w:tcBorders>
          </w:tcPr>
          <w:p w14:paraId="1560F501">
            <w:pPr>
              <w:spacing w:line="440" w:lineRule="exact"/>
              <w:jc w:val="left"/>
              <w:outlineLvl w:val="0"/>
              <w:rPr>
                <w:rFonts w:ascii="仿宋" w:hAnsi="仿宋" w:eastAsia="仿宋" w:cs="仿宋"/>
                <w:bCs/>
                <w:color w:val="auto"/>
                <w:szCs w:val="21"/>
              </w:rPr>
            </w:pPr>
          </w:p>
        </w:tc>
      </w:tr>
      <w:tr w14:paraId="3C47B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vAlign w:val="center"/>
          </w:tcPr>
          <w:p w14:paraId="594F73B0">
            <w:pPr>
              <w:spacing w:line="440" w:lineRule="exact"/>
              <w:jc w:val="left"/>
              <w:outlineLvl w:val="0"/>
              <w:rPr>
                <w:rFonts w:ascii="仿宋" w:hAnsi="仿宋" w:eastAsia="仿宋" w:cs="仿宋"/>
                <w:bCs/>
                <w:color w:val="auto"/>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5EC6CE11">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2</w:t>
            </w:r>
          </w:p>
        </w:tc>
        <w:tc>
          <w:tcPr>
            <w:tcW w:w="6090" w:type="dxa"/>
            <w:tcBorders>
              <w:left w:val="single" w:color="auto" w:sz="4" w:space="0"/>
              <w:bottom w:val="single" w:color="auto" w:sz="4" w:space="0"/>
              <w:right w:val="single" w:color="auto" w:sz="4" w:space="0"/>
            </w:tcBorders>
          </w:tcPr>
          <w:p w14:paraId="291837F2">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投标人对同一招标项目作出两个以上报价未明确效力的；</w:t>
            </w:r>
          </w:p>
        </w:tc>
        <w:tc>
          <w:tcPr>
            <w:tcW w:w="683" w:type="dxa"/>
            <w:tcBorders>
              <w:left w:val="single" w:color="auto" w:sz="4" w:space="0"/>
              <w:right w:val="single" w:color="auto" w:sz="4" w:space="0"/>
            </w:tcBorders>
          </w:tcPr>
          <w:p w14:paraId="235A3CE4">
            <w:pPr>
              <w:spacing w:line="440" w:lineRule="exact"/>
              <w:jc w:val="left"/>
              <w:outlineLvl w:val="0"/>
              <w:rPr>
                <w:rFonts w:ascii="仿宋" w:hAnsi="仿宋" w:eastAsia="仿宋" w:cs="仿宋"/>
                <w:bCs/>
                <w:color w:val="auto"/>
                <w:szCs w:val="21"/>
              </w:rPr>
            </w:pPr>
          </w:p>
        </w:tc>
        <w:tc>
          <w:tcPr>
            <w:tcW w:w="577" w:type="dxa"/>
            <w:tcBorders>
              <w:left w:val="single" w:color="auto" w:sz="4" w:space="0"/>
              <w:right w:val="single" w:color="auto" w:sz="4" w:space="0"/>
            </w:tcBorders>
          </w:tcPr>
          <w:p w14:paraId="4EE732D9">
            <w:pPr>
              <w:spacing w:line="440" w:lineRule="exact"/>
              <w:jc w:val="left"/>
              <w:outlineLvl w:val="0"/>
              <w:rPr>
                <w:rFonts w:ascii="仿宋" w:hAnsi="仿宋" w:eastAsia="仿宋" w:cs="仿宋"/>
                <w:bCs/>
                <w:color w:val="auto"/>
                <w:szCs w:val="21"/>
              </w:rPr>
            </w:pPr>
          </w:p>
        </w:tc>
      </w:tr>
      <w:tr w14:paraId="34106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7BF01E5B">
            <w:pPr>
              <w:spacing w:line="440" w:lineRule="exact"/>
              <w:jc w:val="left"/>
              <w:outlineLvl w:val="0"/>
              <w:rPr>
                <w:rFonts w:ascii="仿宋" w:hAnsi="仿宋" w:eastAsia="仿宋" w:cs="仿宋"/>
                <w:bCs/>
                <w:color w:val="auto"/>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718403CA">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3</w:t>
            </w:r>
          </w:p>
        </w:tc>
        <w:tc>
          <w:tcPr>
            <w:tcW w:w="6090" w:type="dxa"/>
            <w:tcBorders>
              <w:top w:val="single" w:color="auto" w:sz="4" w:space="0"/>
              <w:left w:val="single" w:color="auto" w:sz="4" w:space="0"/>
              <w:bottom w:val="single" w:color="auto" w:sz="4" w:space="0"/>
              <w:right w:val="single" w:color="auto" w:sz="4" w:space="0"/>
            </w:tcBorders>
          </w:tcPr>
          <w:p w14:paraId="5351DA3E">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未按招标文件规定的格式填写，内容不全或关键字迹模糊、无法辨认的；</w:t>
            </w:r>
          </w:p>
        </w:tc>
        <w:tc>
          <w:tcPr>
            <w:tcW w:w="683" w:type="dxa"/>
            <w:tcBorders>
              <w:left w:val="single" w:color="auto" w:sz="4" w:space="0"/>
            </w:tcBorders>
          </w:tcPr>
          <w:p w14:paraId="72C03E4E">
            <w:pPr>
              <w:spacing w:line="440" w:lineRule="exact"/>
              <w:jc w:val="left"/>
              <w:outlineLvl w:val="0"/>
              <w:rPr>
                <w:rFonts w:ascii="仿宋" w:hAnsi="仿宋" w:eastAsia="仿宋" w:cs="仿宋"/>
                <w:bCs/>
                <w:color w:val="auto"/>
                <w:szCs w:val="21"/>
              </w:rPr>
            </w:pPr>
          </w:p>
        </w:tc>
        <w:tc>
          <w:tcPr>
            <w:tcW w:w="577" w:type="dxa"/>
            <w:tcBorders>
              <w:right w:val="single" w:color="auto" w:sz="4" w:space="0"/>
            </w:tcBorders>
          </w:tcPr>
          <w:p w14:paraId="4083D18F">
            <w:pPr>
              <w:spacing w:line="440" w:lineRule="exact"/>
              <w:jc w:val="left"/>
              <w:outlineLvl w:val="0"/>
              <w:rPr>
                <w:rFonts w:ascii="仿宋" w:hAnsi="仿宋" w:eastAsia="仿宋" w:cs="仿宋"/>
                <w:bCs/>
                <w:color w:val="auto"/>
                <w:szCs w:val="21"/>
              </w:rPr>
            </w:pPr>
          </w:p>
        </w:tc>
      </w:tr>
      <w:tr w14:paraId="2947B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14:paraId="11CB2278">
            <w:pPr>
              <w:spacing w:line="440" w:lineRule="exact"/>
              <w:jc w:val="left"/>
              <w:outlineLvl w:val="0"/>
              <w:rPr>
                <w:rFonts w:ascii="仿宋" w:hAnsi="仿宋" w:eastAsia="仿宋" w:cs="仿宋"/>
                <w:bCs/>
                <w:color w:val="auto"/>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7B2AE0BA">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4</w:t>
            </w:r>
          </w:p>
        </w:tc>
        <w:tc>
          <w:tcPr>
            <w:tcW w:w="6090" w:type="dxa"/>
            <w:tcBorders>
              <w:top w:val="single" w:color="auto" w:sz="4" w:space="0"/>
              <w:left w:val="single" w:color="auto" w:sz="4" w:space="0"/>
              <w:bottom w:val="single" w:color="auto" w:sz="4" w:space="0"/>
              <w:right w:val="single" w:color="auto" w:sz="4" w:space="0"/>
            </w:tcBorders>
          </w:tcPr>
          <w:p w14:paraId="6254857C">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投标人名称、组织机构与资格预审时不符，涉嫌以他人名义投标的；</w:t>
            </w:r>
          </w:p>
        </w:tc>
        <w:tc>
          <w:tcPr>
            <w:tcW w:w="683" w:type="dxa"/>
            <w:tcBorders>
              <w:left w:val="single" w:color="auto" w:sz="4" w:space="0"/>
            </w:tcBorders>
          </w:tcPr>
          <w:p w14:paraId="557D09ED">
            <w:pPr>
              <w:spacing w:line="440" w:lineRule="exact"/>
              <w:jc w:val="left"/>
              <w:outlineLvl w:val="0"/>
              <w:rPr>
                <w:rFonts w:ascii="仿宋" w:hAnsi="仿宋" w:eastAsia="仿宋" w:cs="仿宋"/>
                <w:bCs/>
                <w:color w:val="auto"/>
                <w:szCs w:val="21"/>
              </w:rPr>
            </w:pPr>
          </w:p>
        </w:tc>
        <w:tc>
          <w:tcPr>
            <w:tcW w:w="577" w:type="dxa"/>
            <w:tcBorders>
              <w:right w:val="single" w:color="auto" w:sz="4" w:space="0"/>
            </w:tcBorders>
          </w:tcPr>
          <w:p w14:paraId="31919953">
            <w:pPr>
              <w:spacing w:line="440" w:lineRule="exact"/>
              <w:jc w:val="left"/>
              <w:outlineLvl w:val="0"/>
              <w:rPr>
                <w:rFonts w:ascii="仿宋" w:hAnsi="仿宋" w:eastAsia="仿宋" w:cs="仿宋"/>
                <w:bCs/>
                <w:color w:val="auto"/>
                <w:szCs w:val="21"/>
              </w:rPr>
            </w:pPr>
          </w:p>
        </w:tc>
      </w:tr>
      <w:tr w14:paraId="4D89C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14:paraId="55ED9149">
            <w:pPr>
              <w:spacing w:line="440" w:lineRule="exact"/>
              <w:jc w:val="left"/>
              <w:outlineLvl w:val="0"/>
              <w:rPr>
                <w:rFonts w:ascii="仿宋" w:hAnsi="仿宋" w:eastAsia="仿宋" w:cs="仿宋"/>
                <w:bCs/>
                <w:color w:val="auto"/>
                <w:szCs w:val="21"/>
              </w:rPr>
            </w:pPr>
          </w:p>
        </w:tc>
        <w:tc>
          <w:tcPr>
            <w:tcW w:w="598" w:type="dxa"/>
            <w:tcBorders>
              <w:left w:val="single" w:color="auto" w:sz="4" w:space="0"/>
            </w:tcBorders>
            <w:vAlign w:val="center"/>
          </w:tcPr>
          <w:p w14:paraId="63B9AA09">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5</w:t>
            </w:r>
          </w:p>
        </w:tc>
        <w:tc>
          <w:tcPr>
            <w:tcW w:w="6090" w:type="dxa"/>
            <w:tcBorders>
              <w:right w:val="single" w:color="auto" w:sz="4" w:space="0"/>
            </w:tcBorders>
          </w:tcPr>
          <w:p w14:paraId="523D6A92">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评标委员会共同确定有实质上不响应招标文件要求的；</w:t>
            </w:r>
          </w:p>
        </w:tc>
        <w:tc>
          <w:tcPr>
            <w:tcW w:w="683" w:type="dxa"/>
            <w:tcBorders>
              <w:left w:val="single" w:color="auto" w:sz="4" w:space="0"/>
            </w:tcBorders>
          </w:tcPr>
          <w:p w14:paraId="67CAB4D2">
            <w:pPr>
              <w:spacing w:line="440" w:lineRule="exact"/>
              <w:jc w:val="left"/>
              <w:outlineLvl w:val="0"/>
              <w:rPr>
                <w:rFonts w:ascii="仿宋" w:hAnsi="仿宋" w:eastAsia="仿宋" w:cs="仿宋"/>
                <w:bCs/>
                <w:color w:val="auto"/>
                <w:szCs w:val="21"/>
              </w:rPr>
            </w:pPr>
          </w:p>
        </w:tc>
        <w:tc>
          <w:tcPr>
            <w:tcW w:w="577" w:type="dxa"/>
            <w:tcBorders>
              <w:right w:val="single" w:color="auto" w:sz="4" w:space="0"/>
            </w:tcBorders>
          </w:tcPr>
          <w:p w14:paraId="20D35B19">
            <w:pPr>
              <w:spacing w:line="440" w:lineRule="exact"/>
              <w:jc w:val="left"/>
              <w:outlineLvl w:val="0"/>
              <w:rPr>
                <w:rFonts w:ascii="仿宋" w:hAnsi="仿宋" w:eastAsia="仿宋" w:cs="仿宋"/>
                <w:bCs/>
                <w:color w:val="auto"/>
                <w:szCs w:val="21"/>
              </w:rPr>
            </w:pPr>
          </w:p>
        </w:tc>
      </w:tr>
      <w:tr w14:paraId="0E5EC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vAlign w:val="center"/>
          </w:tcPr>
          <w:p w14:paraId="68C54B91">
            <w:pPr>
              <w:spacing w:line="440" w:lineRule="exact"/>
              <w:jc w:val="left"/>
              <w:outlineLvl w:val="0"/>
              <w:rPr>
                <w:rFonts w:ascii="仿宋" w:hAnsi="仿宋" w:eastAsia="仿宋" w:cs="仿宋"/>
                <w:bCs/>
                <w:color w:val="auto"/>
                <w:szCs w:val="21"/>
              </w:rPr>
            </w:pPr>
          </w:p>
        </w:tc>
        <w:tc>
          <w:tcPr>
            <w:tcW w:w="598" w:type="dxa"/>
            <w:tcBorders>
              <w:left w:val="single" w:color="auto" w:sz="4" w:space="0"/>
              <w:bottom w:val="single" w:color="auto" w:sz="4" w:space="0"/>
            </w:tcBorders>
            <w:vAlign w:val="center"/>
          </w:tcPr>
          <w:p w14:paraId="66AE6067">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6</w:t>
            </w:r>
          </w:p>
        </w:tc>
        <w:tc>
          <w:tcPr>
            <w:tcW w:w="6090" w:type="dxa"/>
            <w:tcBorders>
              <w:bottom w:val="single" w:color="auto" w:sz="4" w:space="0"/>
              <w:right w:val="single" w:color="auto" w:sz="4" w:space="0"/>
            </w:tcBorders>
          </w:tcPr>
          <w:p w14:paraId="3A3A9FDB">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投标文件没有投标单</w:t>
            </w:r>
            <w:r>
              <w:rPr>
                <w:rFonts w:hint="eastAsia" w:ascii="仿宋" w:hAnsi="仿宋" w:eastAsia="仿宋" w:cs="仿宋"/>
                <w:bCs/>
                <w:color w:val="auto"/>
                <w:szCs w:val="21"/>
              </w:rPr>
              <w:t>位法定代表人或其授权代表签字（章）和加盖投标单位公章的；</w:t>
            </w:r>
          </w:p>
        </w:tc>
        <w:tc>
          <w:tcPr>
            <w:tcW w:w="683" w:type="dxa"/>
            <w:tcBorders>
              <w:left w:val="single" w:color="auto" w:sz="4" w:space="0"/>
              <w:bottom w:val="single" w:color="auto" w:sz="4" w:space="0"/>
            </w:tcBorders>
          </w:tcPr>
          <w:p w14:paraId="307F4308">
            <w:pPr>
              <w:spacing w:line="440" w:lineRule="exact"/>
              <w:jc w:val="left"/>
              <w:outlineLvl w:val="0"/>
              <w:rPr>
                <w:rFonts w:ascii="仿宋" w:hAnsi="仿宋" w:eastAsia="仿宋" w:cs="仿宋"/>
                <w:bCs/>
                <w:color w:val="auto"/>
                <w:szCs w:val="21"/>
              </w:rPr>
            </w:pPr>
          </w:p>
        </w:tc>
        <w:tc>
          <w:tcPr>
            <w:tcW w:w="577" w:type="dxa"/>
            <w:tcBorders>
              <w:bottom w:val="single" w:color="auto" w:sz="4" w:space="0"/>
              <w:right w:val="single" w:color="auto" w:sz="4" w:space="0"/>
            </w:tcBorders>
          </w:tcPr>
          <w:p w14:paraId="754194D1">
            <w:pPr>
              <w:spacing w:line="440" w:lineRule="exact"/>
              <w:jc w:val="left"/>
              <w:outlineLvl w:val="0"/>
              <w:rPr>
                <w:rFonts w:ascii="仿宋" w:hAnsi="仿宋" w:eastAsia="仿宋" w:cs="仿宋"/>
                <w:bCs/>
                <w:color w:val="auto"/>
                <w:szCs w:val="21"/>
              </w:rPr>
            </w:pPr>
          </w:p>
        </w:tc>
      </w:tr>
      <w:tr w14:paraId="79F71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vAlign w:val="center"/>
          </w:tcPr>
          <w:p w14:paraId="20CAF7F6">
            <w:pPr>
              <w:spacing w:line="440" w:lineRule="exact"/>
              <w:jc w:val="left"/>
              <w:outlineLvl w:val="0"/>
              <w:rPr>
                <w:rFonts w:ascii="仿宋" w:hAnsi="仿宋" w:eastAsia="仿宋" w:cs="仿宋"/>
                <w:bCs/>
                <w:color w:val="auto"/>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07828EEE">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7</w:t>
            </w:r>
          </w:p>
        </w:tc>
        <w:tc>
          <w:tcPr>
            <w:tcW w:w="6090" w:type="dxa"/>
            <w:tcBorders>
              <w:top w:val="single" w:color="auto" w:sz="4" w:space="0"/>
              <w:left w:val="single" w:color="auto" w:sz="4" w:space="0"/>
              <w:bottom w:val="single" w:color="auto" w:sz="4" w:space="0"/>
              <w:right w:val="single" w:color="auto" w:sz="4" w:space="0"/>
            </w:tcBorders>
          </w:tcPr>
          <w:p w14:paraId="6219572A">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tcPr>
          <w:p w14:paraId="3C12016A">
            <w:pPr>
              <w:spacing w:line="440" w:lineRule="exact"/>
              <w:jc w:val="left"/>
              <w:outlineLvl w:val="0"/>
              <w:rPr>
                <w:rFonts w:ascii="仿宋" w:hAnsi="仿宋" w:eastAsia="仿宋" w:cs="仿宋"/>
                <w:bCs/>
                <w:color w:val="auto"/>
                <w:szCs w:val="21"/>
              </w:rPr>
            </w:pPr>
          </w:p>
        </w:tc>
        <w:tc>
          <w:tcPr>
            <w:tcW w:w="577" w:type="dxa"/>
            <w:tcBorders>
              <w:top w:val="single" w:color="auto" w:sz="4" w:space="0"/>
              <w:left w:val="single" w:color="auto" w:sz="4" w:space="0"/>
              <w:bottom w:val="single" w:color="auto" w:sz="4" w:space="0"/>
              <w:right w:val="single" w:color="auto" w:sz="4" w:space="0"/>
            </w:tcBorders>
          </w:tcPr>
          <w:p w14:paraId="28A2094C">
            <w:pPr>
              <w:spacing w:line="440" w:lineRule="exact"/>
              <w:jc w:val="left"/>
              <w:outlineLvl w:val="0"/>
              <w:rPr>
                <w:rFonts w:ascii="仿宋" w:hAnsi="仿宋" w:eastAsia="仿宋" w:cs="仿宋"/>
                <w:bCs/>
                <w:color w:val="auto"/>
                <w:szCs w:val="21"/>
              </w:rPr>
            </w:pPr>
          </w:p>
        </w:tc>
      </w:tr>
      <w:tr w14:paraId="27C31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14:paraId="7D5EB5A6">
            <w:pPr>
              <w:spacing w:line="440" w:lineRule="exact"/>
              <w:jc w:val="left"/>
              <w:outlineLvl w:val="0"/>
              <w:rPr>
                <w:rFonts w:ascii="仿宋" w:hAnsi="仿宋" w:eastAsia="仿宋" w:cs="仿宋"/>
                <w:bCs/>
                <w:color w:val="auto"/>
                <w:szCs w:val="21"/>
              </w:rPr>
            </w:pPr>
          </w:p>
        </w:tc>
        <w:tc>
          <w:tcPr>
            <w:tcW w:w="598" w:type="dxa"/>
            <w:tcBorders>
              <w:left w:val="single" w:color="auto" w:sz="4" w:space="0"/>
            </w:tcBorders>
            <w:vAlign w:val="center"/>
          </w:tcPr>
          <w:p w14:paraId="25EBC539">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8</w:t>
            </w:r>
          </w:p>
        </w:tc>
        <w:tc>
          <w:tcPr>
            <w:tcW w:w="6090" w:type="dxa"/>
            <w:tcBorders>
              <w:right w:val="single" w:color="auto" w:sz="4" w:space="0"/>
            </w:tcBorders>
          </w:tcPr>
          <w:p w14:paraId="139DC6FA">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投标文件附有采购人不能接受条件的；</w:t>
            </w:r>
          </w:p>
        </w:tc>
        <w:tc>
          <w:tcPr>
            <w:tcW w:w="683" w:type="dxa"/>
            <w:tcBorders>
              <w:left w:val="single" w:color="auto" w:sz="4" w:space="0"/>
            </w:tcBorders>
          </w:tcPr>
          <w:p w14:paraId="511E7942">
            <w:pPr>
              <w:spacing w:line="440" w:lineRule="exact"/>
              <w:jc w:val="left"/>
              <w:outlineLvl w:val="0"/>
              <w:rPr>
                <w:rFonts w:ascii="仿宋" w:hAnsi="仿宋" w:eastAsia="仿宋" w:cs="仿宋"/>
                <w:bCs/>
                <w:color w:val="auto"/>
                <w:szCs w:val="21"/>
              </w:rPr>
            </w:pPr>
          </w:p>
        </w:tc>
        <w:tc>
          <w:tcPr>
            <w:tcW w:w="577" w:type="dxa"/>
            <w:tcBorders>
              <w:right w:val="single" w:color="auto" w:sz="4" w:space="0"/>
            </w:tcBorders>
          </w:tcPr>
          <w:p w14:paraId="0CDAE45C">
            <w:pPr>
              <w:spacing w:line="440" w:lineRule="exact"/>
              <w:jc w:val="left"/>
              <w:outlineLvl w:val="0"/>
              <w:rPr>
                <w:rFonts w:ascii="仿宋" w:hAnsi="仿宋" w:eastAsia="仿宋" w:cs="仿宋"/>
                <w:bCs/>
                <w:color w:val="auto"/>
                <w:szCs w:val="21"/>
              </w:rPr>
            </w:pPr>
          </w:p>
        </w:tc>
      </w:tr>
      <w:tr w14:paraId="4C351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14:paraId="704388E6">
            <w:pPr>
              <w:spacing w:line="440" w:lineRule="exact"/>
              <w:jc w:val="left"/>
              <w:outlineLvl w:val="0"/>
              <w:rPr>
                <w:rFonts w:ascii="仿宋" w:hAnsi="仿宋" w:eastAsia="仿宋" w:cs="仿宋"/>
                <w:bCs/>
                <w:color w:val="auto"/>
                <w:szCs w:val="21"/>
              </w:rPr>
            </w:pPr>
          </w:p>
        </w:tc>
        <w:tc>
          <w:tcPr>
            <w:tcW w:w="598" w:type="dxa"/>
            <w:tcBorders>
              <w:left w:val="single" w:color="auto" w:sz="4" w:space="0"/>
            </w:tcBorders>
            <w:vAlign w:val="center"/>
          </w:tcPr>
          <w:p w14:paraId="06C253D2">
            <w:pPr>
              <w:spacing w:line="440" w:lineRule="exact"/>
              <w:jc w:val="center"/>
              <w:outlineLvl w:val="0"/>
              <w:rPr>
                <w:rFonts w:ascii="仿宋" w:hAnsi="仿宋" w:eastAsia="仿宋" w:cs="仿宋"/>
                <w:bCs/>
                <w:color w:val="auto"/>
                <w:szCs w:val="21"/>
              </w:rPr>
            </w:pPr>
            <w:r>
              <w:rPr>
                <w:rFonts w:hint="eastAsia" w:ascii="仿宋" w:hAnsi="仿宋" w:eastAsia="仿宋" w:cs="仿宋"/>
                <w:bCs/>
                <w:color w:val="auto"/>
                <w:szCs w:val="21"/>
              </w:rPr>
              <w:t>9</w:t>
            </w:r>
          </w:p>
        </w:tc>
        <w:tc>
          <w:tcPr>
            <w:tcW w:w="6090" w:type="dxa"/>
            <w:tcBorders>
              <w:right w:val="single" w:color="auto" w:sz="4" w:space="0"/>
            </w:tcBorders>
          </w:tcPr>
          <w:p w14:paraId="092E9222">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不满足招标文件实质性要求的其他情形.....</w:t>
            </w:r>
          </w:p>
        </w:tc>
        <w:tc>
          <w:tcPr>
            <w:tcW w:w="683" w:type="dxa"/>
            <w:tcBorders>
              <w:left w:val="single" w:color="auto" w:sz="4" w:space="0"/>
            </w:tcBorders>
          </w:tcPr>
          <w:p w14:paraId="4726409D">
            <w:pPr>
              <w:spacing w:line="440" w:lineRule="exact"/>
              <w:jc w:val="left"/>
              <w:outlineLvl w:val="0"/>
              <w:rPr>
                <w:rFonts w:ascii="仿宋" w:hAnsi="仿宋" w:eastAsia="仿宋" w:cs="仿宋"/>
                <w:bCs/>
                <w:color w:val="auto"/>
                <w:szCs w:val="21"/>
              </w:rPr>
            </w:pPr>
          </w:p>
        </w:tc>
        <w:tc>
          <w:tcPr>
            <w:tcW w:w="577" w:type="dxa"/>
            <w:tcBorders>
              <w:right w:val="single" w:color="auto" w:sz="4" w:space="0"/>
            </w:tcBorders>
          </w:tcPr>
          <w:p w14:paraId="3C525281">
            <w:pPr>
              <w:spacing w:line="440" w:lineRule="exact"/>
              <w:jc w:val="left"/>
              <w:outlineLvl w:val="0"/>
              <w:rPr>
                <w:rFonts w:ascii="仿宋" w:hAnsi="仿宋" w:eastAsia="仿宋" w:cs="仿宋"/>
                <w:bCs/>
                <w:color w:val="auto"/>
                <w:szCs w:val="21"/>
              </w:rPr>
            </w:pPr>
          </w:p>
        </w:tc>
      </w:tr>
      <w:tr w14:paraId="033E4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vAlign w:val="center"/>
          </w:tcPr>
          <w:p w14:paraId="59EEE7F9">
            <w:pPr>
              <w:spacing w:line="440" w:lineRule="exact"/>
              <w:jc w:val="left"/>
              <w:outlineLvl w:val="0"/>
              <w:rPr>
                <w:rFonts w:ascii="仿宋" w:hAnsi="仿宋" w:eastAsia="仿宋" w:cs="仿宋"/>
                <w:bCs/>
                <w:color w:val="auto"/>
                <w:szCs w:val="21"/>
              </w:rPr>
            </w:pPr>
          </w:p>
        </w:tc>
        <w:tc>
          <w:tcPr>
            <w:tcW w:w="6688" w:type="dxa"/>
            <w:gridSpan w:val="2"/>
            <w:tcBorders>
              <w:left w:val="single" w:color="auto" w:sz="4" w:space="0"/>
              <w:bottom w:val="single" w:color="auto" w:sz="4" w:space="0"/>
              <w:right w:val="single" w:color="auto" w:sz="4" w:space="0"/>
            </w:tcBorders>
          </w:tcPr>
          <w:p w14:paraId="36C360AC">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结论：是否通过评审（须填写通过或不通过）</w:t>
            </w:r>
          </w:p>
          <w:p w14:paraId="6A677783">
            <w:pPr>
              <w:spacing w:line="440" w:lineRule="exact"/>
              <w:jc w:val="left"/>
              <w:outlineLvl w:val="0"/>
              <w:rPr>
                <w:rFonts w:ascii="仿宋" w:hAnsi="仿宋" w:eastAsia="仿宋" w:cs="仿宋"/>
                <w:bCs/>
                <w:color w:val="auto"/>
                <w:szCs w:val="21"/>
              </w:rPr>
            </w:pPr>
            <w:r>
              <w:rPr>
                <w:rFonts w:hint="eastAsia" w:ascii="仿宋" w:hAnsi="仿宋" w:eastAsia="仿宋" w:cs="仿宋"/>
                <w:bCs/>
                <w:color w:val="auto"/>
                <w:szCs w:val="21"/>
              </w:rPr>
              <w:t>注：如有一项不合格，作废标处理。</w:t>
            </w:r>
          </w:p>
        </w:tc>
        <w:tc>
          <w:tcPr>
            <w:tcW w:w="1260" w:type="dxa"/>
            <w:gridSpan w:val="2"/>
            <w:tcBorders>
              <w:left w:val="single" w:color="auto" w:sz="4" w:space="0"/>
              <w:bottom w:val="single" w:color="auto" w:sz="4" w:space="0"/>
              <w:right w:val="single" w:color="auto" w:sz="4" w:space="0"/>
            </w:tcBorders>
          </w:tcPr>
          <w:p w14:paraId="6D830DCE">
            <w:pPr>
              <w:spacing w:line="440" w:lineRule="exact"/>
              <w:jc w:val="left"/>
              <w:outlineLvl w:val="0"/>
              <w:rPr>
                <w:rFonts w:ascii="仿宋" w:hAnsi="仿宋" w:eastAsia="仿宋" w:cs="仿宋"/>
                <w:bCs/>
                <w:color w:val="auto"/>
                <w:szCs w:val="21"/>
              </w:rPr>
            </w:pPr>
          </w:p>
        </w:tc>
      </w:tr>
    </w:tbl>
    <w:p w14:paraId="3EC66249">
      <w:pPr>
        <w:pStyle w:val="10"/>
        <w:tabs>
          <w:tab w:val="clear" w:pos="567"/>
        </w:tabs>
        <w:spacing w:before="0" w:line="360" w:lineRule="auto"/>
        <w:rPr>
          <w:rFonts w:cs="宋体"/>
          <w:color w:val="auto"/>
        </w:rPr>
      </w:pPr>
    </w:p>
    <w:p w14:paraId="6D5F1D9E">
      <w:pPr>
        <w:pStyle w:val="10"/>
        <w:tabs>
          <w:tab w:val="clear" w:pos="567"/>
        </w:tabs>
        <w:spacing w:before="0" w:line="360" w:lineRule="auto"/>
        <w:ind w:left="-181" w:leftChars="-86" w:firstLine="180" w:firstLineChars="75"/>
        <w:rPr>
          <w:rFonts w:cs="宋体"/>
          <w:color w:val="auto"/>
        </w:rPr>
      </w:pPr>
    </w:p>
    <w:p w14:paraId="0EB0656F">
      <w:pPr>
        <w:pStyle w:val="10"/>
        <w:tabs>
          <w:tab w:val="clear" w:pos="567"/>
        </w:tabs>
        <w:spacing w:before="0" w:line="360" w:lineRule="auto"/>
        <w:ind w:left="-181" w:leftChars="-86" w:firstLine="180" w:firstLineChars="75"/>
        <w:rPr>
          <w:rFonts w:cs="宋体"/>
          <w:color w:val="auto"/>
        </w:rPr>
      </w:pPr>
    </w:p>
    <w:p w14:paraId="0379946B">
      <w:pPr>
        <w:pStyle w:val="10"/>
        <w:tabs>
          <w:tab w:val="clear" w:pos="567"/>
        </w:tabs>
        <w:spacing w:before="0" w:line="360" w:lineRule="auto"/>
        <w:ind w:left="-181" w:leftChars="-86" w:firstLine="180" w:firstLineChars="75"/>
        <w:rPr>
          <w:rFonts w:cs="宋体"/>
          <w:color w:val="auto"/>
        </w:rPr>
      </w:pPr>
    </w:p>
    <w:p w14:paraId="3C91F301">
      <w:pPr>
        <w:pStyle w:val="10"/>
        <w:tabs>
          <w:tab w:val="clear" w:pos="567"/>
        </w:tabs>
        <w:spacing w:before="0" w:line="360" w:lineRule="auto"/>
        <w:ind w:left="-181" w:leftChars="-86" w:firstLine="180" w:firstLineChars="75"/>
        <w:rPr>
          <w:rFonts w:cs="宋体"/>
          <w:color w:val="auto"/>
        </w:rPr>
      </w:pPr>
    </w:p>
    <w:p w14:paraId="026ED56D">
      <w:pPr>
        <w:pStyle w:val="10"/>
        <w:tabs>
          <w:tab w:val="clear" w:pos="567"/>
        </w:tabs>
        <w:spacing w:before="0" w:line="360" w:lineRule="auto"/>
        <w:ind w:left="-181" w:leftChars="-86" w:firstLine="180" w:firstLineChars="75"/>
        <w:rPr>
          <w:rFonts w:cs="宋体"/>
          <w:color w:val="auto"/>
        </w:rPr>
      </w:pPr>
    </w:p>
    <w:p w14:paraId="5C823073">
      <w:pPr>
        <w:pStyle w:val="35"/>
        <w:ind w:firstLine="240"/>
        <w:rPr>
          <w:rFonts w:hint="default"/>
          <w:color w:val="auto"/>
        </w:rPr>
      </w:pPr>
    </w:p>
    <w:p w14:paraId="6731467D">
      <w:pPr>
        <w:rPr>
          <w:color w:val="auto"/>
        </w:rPr>
      </w:pPr>
    </w:p>
    <w:p w14:paraId="0E10B131">
      <w:pPr>
        <w:pStyle w:val="43"/>
        <w:ind w:firstLine="420"/>
        <w:rPr>
          <w:color w:val="auto"/>
        </w:rPr>
      </w:pPr>
    </w:p>
    <w:p w14:paraId="430DEF79">
      <w:pPr>
        <w:rPr>
          <w:color w:val="auto"/>
        </w:rPr>
      </w:pPr>
    </w:p>
    <w:p w14:paraId="6F9549C8">
      <w:pPr>
        <w:pStyle w:val="15"/>
        <w:tabs>
          <w:tab w:val="left" w:pos="3744"/>
          <w:tab w:val="center" w:pos="4634"/>
        </w:tabs>
        <w:ind w:right="-195"/>
        <w:jc w:val="left"/>
        <w:rPr>
          <w:rFonts w:ascii="仿宋" w:hAnsi="仿宋" w:eastAsia="仿宋" w:cs="仿宋"/>
          <w:b/>
          <w:color w:val="auto"/>
          <w:kern w:val="0"/>
          <w:sz w:val="32"/>
          <w:szCs w:val="32"/>
        </w:rPr>
      </w:pPr>
    </w:p>
    <w:p w14:paraId="184A67C9">
      <w:pPr>
        <w:pStyle w:val="15"/>
        <w:tabs>
          <w:tab w:val="left" w:pos="3744"/>
          <w:tab w:val="center" w:pos="4634"/>
        </w:tabs>
        <w:ind w:right="-195"/>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（第一包）、（第二包）</w:t>
      </w:r>
      <w:r>
        <w:rPr>
          <w:rFonts w:ascii="仿宋" w:hAnsi="仿宋" w:eastAsia="仿宋" w:cs="宋体"/>
          <w:b/>
          <w:color w:val="auto"/>
          <w:kern w:val="0"/>
          <w:sz w:val="32"/>
          <w:szCs w:val="32"/>
        </w:rPr>
        <w:tab/>
      </w:r>
      <w:r>
        <w:rPr>
          <w:rFonts w:hint="eastAsia" w:ascii="仿宋" w:hAnsi="仿宋" w:eastAsia="仿宋" w:cs="宋体"/>
          <w:b/>
          <w:color w:val="auto"/>
          <w:kern w:val="0"/>
          <w:sz w:val="32"/>
          <w:szCs w:val="32"/>
        </w:rPr>
        <w:t>评分细则</w:t>
      </w:r>
    </w:p>
    <w:tbl>
      <w:tblPr>
        <w:tblStyle w:val="36"/>
        <w:tblW w:w="9541" w:type="dxa"/>
        <w:tblInd w:w="0" w:type="dxa"/>
        <w:tblLayout w:type="fixed"/>
        <w:tblCellMar>
          <w:top w:w="0" w:type="dxa"/>
          <w:left w:w="0" w:type="dxa"/>
          <w:bottom w:w="0" w:type="dxa"/>
          <w:right w:w="0" w:type="dxa"/>
        </w:tblCellMar>
      </w:tblPr>
      <w:tblGrid>
        <w:gridCol w:w="1280"/>
        <w:gridCol w:w="1789"/>
        <w:gridCol w:w="6472"/>
      </w:tblGrid>
      <w:tr w14:paraId="58A0A296">
        <w:tblPrEx>
          <w:tblCellMar>
            <w:top w:w="0" w:type="dxa"/>
            <w:left w:w="0" w:type="dxa"/>
            <w:bottom w:w="0" w:type="dxa"/>
            <w:right w:w="0" w:type="dxa"/>
          </w:tblCellMar>
        </w:tblPrEx>
        <w:trPr>
          <w:cantSplit/>
          <w:trHeight w:val="567" w:hRule="atLeast"/>
        </w:trPr>
        <w:tc>
          <w:tcPr>
            <w:tcW w:w="1280" w:type="dxa"/>
            <w:tcBorders>
              <w:top w:val="single" w:color="000000" w:sz="4" w:space="0"/>
              <w:left w:val="single" w:color="000000" w:sz="4" w:space="0"/>
              <w:bottom w:val="single" w:color="000000" w:sz="4" w:space="0"/>
              <w:right w:val="single" w:color="000000" w:sz="4" w:space="0"/>
            </w:tcBorders>
            <w:vAlign w:val="center"/>
          </w:tcPr>
          <w:p w14:paraId="45D35B28">
            <w:pPr>
              <w:autoSpaceDE w:val="0"/>
              <w:autoSpaceDN w:val="0"/>
              <w:adjustRightInd w:val="0"/>
              <w:spacing w:before="48"/>
              <w:ind w:right="-20"/>
              <w:jc w:val="center"/>
              <w:rPr>
                <w:rFonts w:ascii="仿宋" w:hAnsi="仿宋" w:eastAsia="仿宋" w:cs="宋体"/>
                <w:color w:val="auto"/>
                <w:kern w:val="0"/>
                <w:sz w:val="24"/>
              </w:rPr>
            </w:pPr>
            <w:r>
              <w:rPr>
                <w:rFonts w:hint="eastAsia" w:ascii="仿宋" w:hAnsi="仿宋" w:eastAsia="仿宋" w:cs="宋体"/>
                <w:color w:val="auto"/>
                <w:kern w:val="0"/>
                <w:sz w:val="24"/>
              </w:rPr>
              <w:t>评分因素</w:t>
            </w:r>
          </w:p>
        </w:tc>
        <w:tc>
          <w:tcPr>
            <w:tcW w:w="1789" w:type="dxa"/>
            <w:tcBorders>
              <w:top w:val="single" w:color="000000" w:sz="4" w:space="0"/>
              <w:left w:val="single" w:color="000000" w:sz="4" w:space="0"/>
              <w:bottom w:val="single" w:color="000000" w:sz="4" w:space="0"/>
              <w:right w:val="single" w:color="000000" w:sz="4" w:space="0"/>
            </w:tcBorders>
            <w:vAlign w:val="center"/>
          </w:tcPr>
          <w:p w14:paraId="23C0307F">
            <w:pPr>
              <w:autoSpaceDE w:val="0"/>
              <w:autoSpaceDN w:val="0"/>
              <w:adjustRightInd w:val="0"/>
              <w:spacing w:before="48"/>
              <w:ind w:right="120"/>
              <w:jc w:val="center"/>
              <w:rPr>
                <w:rFonts w:ascii="仿宋" w:hAnsi="仿宋" w:eastAsia="仿宋" w:cs="宋体"/>
                <w:color w:val="auto"/>
                <w:kern w:val="0"/>
                <w:sz w:val="24"/>
              </w:rPr>
            </w:pPr>
            <w:r>
              <w:rPr>
                <w:rFonts w:hint="eastAsia" w:ascii="仿宋" w:hAnsi="仿宋" w:eastAsia="仿宋" w:cs="宋体"/>
                <w:color w:val="auto"/>
                <w:kern w:val="0"/>
                <w:sz w:val="24"/>
              </w:rPr>
              <w:t>分值</w:t>
            </w:r>
          </w:p>
        </w:tc>
        <w:tc>
          <w:tcPr>
            <w:tcW w:w="6472" w:type="dxa"/>
            <w:tcBorders>
              <w:top w:val="single" w:color="000000" w:sz="4" w:space="0"/>
              <w:left w:val="single" w:color="000000" w:sz="4" w:space="0"/>
              <w:bottom w:val="single" w:color="000000" w:sz="4" w:space="0"/>
              <w:right w:val="single" w:color="000000" w:sz="4" w:space="0"/>
            </w:tcBorders>
            <w:vAlign w:val="center"/>
          </w:tcPr>
          <w:p w14:paraId="0FCFBD85">
            <w:pPr>
              <w:autoSpaceDE w:val="0"/>
              <w:autoSpaceDN w:val="0"/>
              <w:adjustRightInd w:val="0"/>
              <w:spacing w:before="48"/>
              <w:ind w:right="120"/>
              <w:jc w:val="center"/>
              <w:rPr>
                <w:rFonts w:ascii="仿宋" w:hAnsi="仿宋" w:eastAsia="仿宋" w:cs="宋体"/>
                <w:color w:val="auto"/>
                <w:kern w:val="0"/>
                <w:sz w:val="24"/>
              </w:rPr>
            </w:pPr>
            <w:r>
              <w:rPr>
                <w:rFonts w:hint="eastAsia" w:ascii="仿宋" w:hAnsi="仿宋" w:eastAsia="仿宋" w:cs="宋体"/>
                <w:color w:val="auto"/>
                <w:kern w:val="0"/>
                <w:sz w:val="24"/>
              </w:rPr>
              <w:t>评分标准</w:t>
            </w:r>
          </w:p>
        </w:tc>
      </w:tr>
      <w:tr w14:paraId="24055FEA">
        <w:tblPrEx>
          <w:tblCellMar>
            <w:top w:w="0" w:type="dxa"/>
            <w:left w:w="0" w:type="dxa"/>
            <w:bottom w:w="0" w:type="dxa"/>
            <w:right w:w="0" w:type="dxa"/>
          </w:tblCellMar>
        </w:tblPrEx>
        <w:trPr>
          <w:cantSplit/>
          <w:trHeight w:val="737" w:hRule="atLeast"/>
        </w:trPr>
        <w:tc>
          <w:tcPr>
            <w:tcW w:w="1280" w:type="dxa"/>
            <w:tcBorders>
              <w:top w:val="single" w:color="000000" w:sz="4" w:space="0"/>
              <w:left w:val="single" w:color="000000" w:sz="4" w:space="0"/>
              <w:bottom w:val="single" w:color="auto" w:sz="4" w:space="0"/>
              <w:right w:val="single" w:color="000000" w:sz="4" w:space="0"/>
            </w:tcBorders>
            <w:vAlign w:val="center"/>
          </w:tcPr>
          <w:p w14:paraId="1C75D065">
            <w:pPr>
              <w:autoSpaceDE w:val="0"/>
              <w:autoSpaceDN w:val="0"/>
              <w:adjustRightInd w:val="0"/>
              <w:ind w:right="60"/>
              <w:jc w:val="center"/>
              <w:rPr>
                <w:rFonts w:ascii="仿宋" w:hAnsi="仿宋" w:eastAsia="仿宋" w:cs="宋体"/>
                <w:color w:val="auto"/>
                <w:kern w:val="0"/>
                <w:sz w:val="24"/>
              </w:rPr>
            </w:pPr>
            <w:r>
              <w:rPr>
                <w:rFonts w:hint="eastAsia" w:ascii="仿宋" w:hAnsi="仿宋" w:eastAsia="仿宋" w:cs="宋体"/>
                <w:color w:val="auto"/>
                <w:kern w:val="0"/>
                <w:sz w:val="24"/>
              </w:rPr>
              <w:t xml:space="preserve">报价      </w:t>
            </w:r>
            <w:r>
              <w:rPr>
                <w:rFonts w:hint="eastAsia" w:ascii="仿宋" w:hAnsi="仿宋" w:eastAsia="仿宋" w:cs="宋体"/>
                <w:color w:val="auto"/>
                <w:kern w:val="0"/>
                <w:sz w:val="24"/>
              </w:rPr>
              <w:t>（20分）</w:t>
            </w:r>
          </w:p>
        </w:tc>
        <w:tc>
          <w:tcPr>
            <w:tcW w:w="1789" w:type="dxa"/>
            <w:tcBorders>
              <w:top w:val="single" w:color="000000" w:sz="4" w:space="0"/>
              <w:left w:val="single" w:color="000000" w:sz="4" w:space="0"/>
              <w:bottom w:val="single" w:color="auto" w:sz="4" w:space="0"/>
              <w:right w:val="single" w:color="000000" w:sz="4" w:space="0"/>
            </w:tcBorders>
            <w:vAlign w:val="center"/>
          </w:tcPr>
          <w:p w14:paraId="58B0E188">
            <w:pPr>
              <w:autoSpaceDE w:val="0"/>
              <w:autoSpaceDN w:val="0"/>
              <w:adjustRightInd w:val="0"/>
              <w:ind w:right="-20"/>
              <w:jc w:val="center"/>
              <w:rPr>
                <w:rFonts w:ascii="仿宋" w:hAnsi="仿宋" w:eastAsia="仿宋" w:cs="宋体"/>
                <w:color w:val="auto"/>
                <w:kern w:val="0"/>
                <w:sz w:val="24"/>
              </w:rPr>
            </w:pPr>
            <w:r>
              <w:rPr>
                <w:rFonts w:hint="eastAsia" w:ascii="仿宋" w:hAnsi="仿宋" w:eastAsia="仿宋" w:cs="宋体"/>
                <w:color w:val="auto"/>
                <w:kern w:val="0"/>
                <w:sz w:val="24"/>
              </w:rPr>
              <w:t>20分</w:t>
            </w:r>
          </w:p>
        </w:tc>
        <w:tc>
          <w:tcPr>
            <w:tcW w:w="6472" w:type="dxa"/>
            <w:tcBorders>
              <w:top w:val="single" w:color="000000" w:sz="4" w:space="0"/>
              <w:left w:val="single" w:color="000000" w:sz="4" w:space="0"/>
              <w:bottom w:val="single" w:color="auto" w:sz="4" w:space="0"/>
              <w:right w:val="single" w:color="000000" w:sz="4" w:space="0"/>
            </w:tcBorders>
            <w:vAlign w:val="center"/>
          </w:tcPr>
          <w:p w14:paraId="68474A6E">
            <w:pPr>
              <w:autoSpaceDE w:val="0"/>
              <w:autoSpaceDN w:val="0"/>
              <w:adjustRightInd w:val="0"/>
              <w:spacing w:before="65"/>
              <w:ind w:right="120"/>
              <w:rPr>
                <w:rFonts w:ascii="仿宋" w:hAnsi="仿宋" w:eastAsia="仿宋" w:cs="宋体"/>
                <w:color w:val="auto"/>
                <w:kern w:val="0"/>
                <w:sz w:val="24"/>
              </w:rPr>
            </w:pPr>
            <w:r>
              <w:rPr>
                <w:rFonts w:hint="eastAsia" w:ascii="仿宋" w:hAnsi="仿宋" w:eastAsia="仿宋" w:cs="宋体"/>
                <w:color w:val="auto"/>
                <w:kern w:val="0"/>
                <w:sz w:val="24"/>
              </w:rPr>
              <w:t>完全满足招标文件中要求的投标单位报价中的最低价为评标基准价。按照下列公式计算各投标人的价格得分：投标报价得分=(评标基准价／投标报价)×价格权值×100。计算分数时四舍五入取小数点后两位。</w:t>
            </w:r>
          </w:p>
        </w:tc>
      </w:tr>
      <w:tr w14:paraId="60EFB037">
        <w:tblPrEx>
          <w:tblCellMar>
            <w:top w:w="0" w:type="dxa"/>
            <w:left w:w="0" w:type="dxa"/>
            <w:bottom w:w="0" w:type="dxa"/>
            <w:right w:w="0" w:type="dxa"/>
          </w:tblCellMar>
        </w:tblPrEx>
        <w:trPr>
          <w:cantSplit/>
          <w:trHeight w:val="3489" w:hRule="atLeast"/>
        </w:trPr>
        <w:tc>
          <w:tcPr>
            <w:tcW w:w="1280" w:type="dxa"/>
            <w:tcBorders>
              <w:top w:val="single" w:color="auto" w:sz="4" w:space="0"/>
              <w:left w:val="single" w:color="auto" w:sz="4" w:space="0"/>
              <w:right w:val="single" w:color="auto" w:sz="4" w:space="0"/>
            </w:tcBorders>
            <w:vAlign w:val="center"/>
          </w:tcPr>
          <w:p w14:paraId="1D69E794">
            <w:pPr>
              <w:autoSpaceDE w:val="0"/>
              <w:autoSpaceDN w:val="0"/>
              <w:adjustRightInd w:val="0"/>
              <w:ind w:right="60"/>
              <w:jc w:val="center"/>
              <w:rPr>
                <w:rFonts w:ascii="仿宋" w:hAnsi="仿宋" w:eastAsia="仿宋" w:cs="宋体"/>
                <w:color w:val="auto"/>
                <w:kern w:val="0"/>
                <w:sz w:val="24"/>
              </w:rPr>
            </w:pPr>
            <w:r>
              <w:rPr>
                <w:rFonts w:hint="eastAsia" w:ascii="仿宋" w:hAnsi="仿宋" w:eastAsia="仿宋" w:cs="宋体"/>
                <w:color w:val="auto"/>
                <w:kern w:val="0"/>
                <w:sz w:val="24"/>
              </w:rPr>
              <w:t>商务部分</w:t>
            </w:r>
          </w:p>
          <w:p w14:paraId="05964583">
            <w:pPr>
              <w:autoSpaceDE w:val="0"/>
              <w:autoSpaceDN w:val="0"/>
              <w:adjustRightInd w:val="0"/>
              <w:ind w:right="60"/>
              <w:jc w:val="center"/>
              <w:rPr>
                <w:rFonts w:ascii="仿宋" w:hAnsi="仿宋" w:eastAsia="仿宋" w:cs="宋体"/>
                <w:color w:val="auto"/>
                <w:kern w:val="0"/>
                <w:sz w:val="24"/>
              </w:rPr>
            </w:pPr>
            <w:r>
              <w:rPr>
                <w:rFonts w:hint="eastAsia" w:ascii="仿宋" w:hAnsi="仿宋" w:eastAsia="仿宋" w:cs="宋体"/>
                <w:color w:val="auto"/>
                <w:kern w:val="0"/>
                <w:sz w:val="24"/>
              </w:rPr>
              <w:t>（12分）</w:t>
            </w:r>
          </w:p>
        </w:tc>
        <w:tc>
          <w:tcPr>
            <w:tcW w:w="1789" w:type="dxa"/>
            <w:tcBorders>
              <w:top w:val="single" w:color="auto" w:sz="4" w:space="0"/>
              <w:left w:val="single" w:color="auto" w:sz="4" w:space="0"/>
              <w:bottom w:val="single" w:color="auto" w:sz="4" w:space="0"/>
              <w:right w:val="single" w:color="auto" w:sz="4" w:space="0"/>
            </w:tcBorders>
            <w:vAlign w:val="center"/>
          </w:tcPr>
          <w:p w14:paraId="16DFAEA5">
            <w:pPr>
              <w:autoSpaceDE w:val="0"/>
              <w:autoSpaceDN w:val="0"/>
              <w:adjustRightInd w:val="0"/>
              <w:spacing w:before="65"/>
              <w:ind w:right="120"/>
              <w:jc w:val="center"/>
              <w:rPr>
                <w:rFonts w:ascii="仿宋" w:hAnsi="仿宋" w:eastAsia="仿宋" w:cs="宋体"/>
                <w:color w:val="auto"/>
                <w:kern w:val="0"/>
                <w:sz w:val="24"/>
              </w:rPr>
            </w:pPr>
            <w:r>
              <w:rPr>
                <w:rFonts w:hint="eastAsia" w:ascii="仿宋" w:hAnsi="仿宋" w:eastAsia="仿宋" w:cs="宋体"/>
                <w:color w:val="auto"/>
                <w:kern w:val="0"/>
                <w:sz w:val="24"/>
              </w:rPr>
              <w:t>人员配备</w:t>
            </w:r>
          </w:p>
          <w:p w14:paraId="6CA90E65">
            <w:pPr>
              <w:autoSpaceDE w:val="0"/>
              <w:autoSpaceDN w:val="0"/>
              <w:adjustRightInd w:val="0"/>
              <w:spacing w:before="65"/>
              <w:ind w:right="120"/>
              <w:jc w:val="center"/>
              <w:rPr>
                <w:rFonts w:ascii="仿宋" w:hAnsi="仿宋" w:eastAsia="仿宋" w:cs="宋体"/>
                <w:color w:val="auto"/>
                <w:kern w:val="0"/>
                <w:sz w:val="24"/>
              </w:rPr>
            </w:pPr>
            <w:r>
              <w:rPr>
                <w:rFonts w:hint="eastAsia" w:ascii="仿宋" w:hAnsi="仿宋" w:eastAsia="仿宋" w:cs="宋体"/>
                <w:color w:val="auto"/>
                <w:kern w:val="0"/>
                <w:sz w:val="24"/>
              </w:rPr>
              <w:t>（12分）</w:t>
            </w:r>
          </w:p>
        </w:tc>
        <w:tc>
          <w:tcPr>
            <w:tcW w:w="6472" w:type="dxa"/>
            <w:tcBorders>
              <w:top w:val="single" w:color="auto" w:sz="4" w:space="0"/>
              <w:left w:val="single" w:color="auto" w:sz="4" w:space="0"/>
              <w:bottom w:val="single" w:color="auto" w:sz="4" w:space="0"/>
              <w:right w:val="single" w:color="auto" w:sz="4" w:space="0"/>
            </w:tcBorders>
            <w:vAlign w:val="center"/>
          </w:tcPr>
          <w:p w14:paraId="2A2E348D">
            <w:pPr>
              <w:numPr>
                <w:ilvl w:val="0"/>
                <w:numId w:val="8"/>
              </w:numPr>
              <w:autoSpaceDE w:val="0"/>
              <w:autoSpaceDN w:val="0"/>
              <w:adjustRightInd w:val="0"/>
              <w:spacing w:before="65"/>
              <w:ind w:right="120"/>
              <w:rPr>
                <w:rFonts w:ascii="仿宋" w:hAnsi="仿宋" w:eastAsia="仿宋" w:cs="仿宋"/>
                <w:color w:val="auto"/>
                <w:kern w:val="0"/>
                <w:sz w:val="24"/>
              </w:rPr>
            </w:pPr>
            <w:r>
              <w:rPr>
                <w:rFonts w:hint="eastAsia" w:ascii="仿宋" w:hAnsi="仿宋" w:eastAsia="仿宋" w:cs="仿宋"/>
                <w:color w:val="auto"/>
                <w:kern w:val="0"/>
                <w:sz w:val="24"/>
              </w:rPr>
              <w:t>项目负责人：项目负责人具有</w:t>
            </w:r>
            <w:r>
              <w:rPr>
                <w:rFonts w:hint="eastAsia" w:ascii="仿宋" w:hAnsi="仿宋" w:eastAsia="仿宋" w:cs="仿宋"/>
                <w:color w:val="auto"/>
                <w:kern w:val="0"/>
                <w:sz w:val="24"/>
              </w:rPr>
              <w:t>测绘类专业高级职称的得3分，</w:t>
            </w:r>
            <w:r>
              <w:rPr>
                <w:rFonts w:hint="eastAsia" w:ascii="仿宋" w:hAnsi="仿宋" w:eastAsia="仿宋" w:cs="仿宋"/>
                <w:color w:val="auto"/>
                <w:kern w:val="0"/>
                <w:sz w:val="24"/>
              </w:rPr>
              <w:t>具有测绘类专业</w:t>
            </w:r>
            <w:r>
              <w:rPr>
                <w:rFonts w:hint="eastAsia" w:ascii="仿宋" w:hAnsi="仿宋" w:eastAsia="仿宋" w:cs="仿宋"/>
                <w:color w:val="auto"/>
                <w:kern w:val="0"/>
                <w:sz w:val="24"/>
              </w:rPr>
              <w:t>中级职称的得2分</w:t>
            </w:r>
            <w:r>
              <w:rPr>
                <w:rFonts w:hint="eastAsia" w:ascii="仿宋" w:hAnsi="仿宋" w:eastAsia="仿宋" w:cs="仿宋"/>
                <w:color w:val="auto"/>
                <w:kern w:val="0"/>
                <w:sz w:val="24"/>
              </w:rPr>
              <w:t>，具有测绘类专业</w:t>
            </w:r>
            <w:r>
              <w:rPr>
                <w:rFonts w:hint="eastAsia" w:ascii="仿宋" w:hAnsi="仿宋" w:eastAsia="仿宋" w:cs="仿宋"/>
                <w:color w:val="auto"/>
                <w:kern w:val="0"/>
                <w:sz w:val="24"/>
              </w:rPr>
              <w:t>初级职称的得1分，本项满分3分，不提供不得分（须提供职称证书并加盖单位公章或电子公章）</w:t>
            </w:r>
            <w:r>
              <w:rPr>
                <w:rFonts w:hint="eastAsia" w:ascii="仿宋" w:hAnsi="仿宋" w:eastAsia="仿宋" w:cs="仿宋"/>
                <w:color w:val="auto"/>
                <w:kern w:val="0"/>
                <w:sz w:val="24"/>
              </w:rPr>
              <w:t>。</w:t>
            </w:r>
          </w:p>
          <w:p w14:paraId="5B418BE8">
            <w:pPr>
              <w:numPr>
                <w:ilvl w:val="0"/>
                <w:numId w:val="8"/>
              </w:numPr>
              <w:autoSpaceDE w:val="0"/>
              <w:autoSpaceDN w:val="0"/>
              <w:adjustRightInd w:val="0"/>
              <w:spacing w:before="65"/>
              <w:ind w:right="120"/>
              <w:rPr>
                <w:rFonts w:ascii="仿宋" w:hAnsi="仿宋" w:eastAsia="仿宋" w:cs="仿宋"/>
                <w:color w:val="auto"/>
                <w:kern w:val="0"/>
                <w:sz w:val="24"/>
              </w:rPr>
            </w:pPr>
            <w:r>
              <w:rPr>
                <w:rFonts w:hint="eastAsia" w:ascii="仿宋" w:hAnsi="仿宋" w:eastAsia="仿宋" w:cs="仿宋"/>
                <w:color w:val="auto"/>
                <w:kern w:val="0"/>
                <w:sz w:val="24"/>
              </w:rPr>
              <w:t>项目组其他人员：</w:t>
            </w:r>
            <w:r>
              <w:rPr>
                <w:rFonts w:hint="eastAsia" w:ascii="仿宋" w:hAnsi="仿宋" w:eastAsia="仿宋" w:cs="仿宋"/>
                <w:color w:val="auto"/>
                <w:kern w:val="0"/>
                <w:sz w:val="24"/>
              </w:rPr>
              <w:t>除项目负责人外，</w:t>
            </w:r>
            <w:r>
              <w:rPr>
                <w:rFonts w:hint="eastAsia" w:ascii="仿宋" w:hAnsi="仿宋" w:eastAsia="仿宋" w:cs="仿宋"/>
                <w:color w:val="auto"/>
                <w:kern w:val="0"/>
                <w:sz w:val="24"/>
              </w:rPr>
              <w:t>其他项目组成人员每有</w:t>
            </w:r>
            <w:r>
              <w:rPr>
                <w:rFonts w:hint="eastAsia" w:ascii="仿宋" w:hAnsi="仿宋" w:eastAsia="仿宋" w:cs="仿宋"/>
                <w:color w:val="auto"/>
                <w:kern w:val="0"/>
                <w:sz w:val="24"/>
              </w:rPr>
              <w:t>1名中级及中级以上职称的人员得2分</w:t>
            </w:r>
            <w:r>
              <w:rPr>
                <w:rFonts w:hint="eastAsia" w:ascii="仿宋" w:hAnsi="仿宋" w:eastAsia="仿宋" w:cs="仿宋"/>
                <w:color w:val="auto"/>
                <w:kern w:val="0"/>
                <w:sz w:val="24"/>
              </w:rPr>
              <w:t>，初级职称得</w:t>
            </w:r>
            <w:r>
              <w:rPr>
                <w:rFonts w:hint="eastAsia" w:ascii="仿宋" w:hAnsi="仿宋" w:eastAsia="仿宋" w:cs="仿宋"/>
                <w:color w:val="auto"/>
                <w:kern w:val="0"/>
                <w:sz w:val="24"/>
              </w:rPr>
              <w:t>1分</w:t>
            </w:r>
            <w:r>
              <w:rPr>
                <w:rFonts w:hint="eastAsia" w:ascii="仿宋" w:hAnsi="仿宋" w:eastAsia="仿宋" w:cs="仿宋"/>
                <w:color w:val="auto"/>
                <w:kern w:val="0"/>
                <w:sz w:val="24"/>
              </w:rPr>
              <w:t>，最高</w:t>
            </w:r>
            <w:r>
              <w:rPr>
                <w:rFonts w:hint="eastAsia" w:ascii="仿宋" w:hAnsi="仿宋" w:eastAsia="仿宋" w:cs="仿宋"/>
                <w:color w:val="auto"/>
                <w:kern w:val="0"/>
                <w:sz w:val="24"/>
              </w:rPr>
              <w:t>得9分。本项满分9分，不提供不得分（须提供职称证书并加盖单位公章或电子公章）</w:t>
            </w:r>
            <w:r>
              <w:rPr>
                <w:rFonts w:hint="eastAsia" w:ascii="仿宋" w:hAnsi="仿宋" w:eastAsia="仿宋" w:cs="仿宋"/>
                <w:color w:val="auto"/>
                <w:kern w:val="0"/>
                <w:sz w:val="24"/>
              </w:rPr>
              <w:t>。</w:t>
            </w:r>
          </w:p>
        </w:tc>
      </w:tr>
      <w:tr w14:paraId="366DF29F">
        <w:tblPrEx>
          <w:tblCellMar>
            <w:top w:w="0" w:type="dxa"/>
            <w:left w:w="0" w:type="dxa"/>
            <w:bottom w:w="0" w:type="dxa"/>
            <w:right w:w="0" w:type="dxa"/>
          </w:tblCellMar>
        </w:tblPrEx>
        <w:trPr>
          <w:cantSplit/>
          <w:trHeight w:val="3202" w:hRule="atLeast"/>
        </w:trPr>
        <w:tc>
          <w:tcPr>
            <w:tcW w:w="1280" w:type="dxa"/>
            <w:vMerge w:val="restart"/>
            <w:tcBorders>
              <w:top w:val="single" w:color="auto" w:sz="4" w:space="0"/>
              <w:left w:val="single" w:color="auto" w:sz="4" w:space="0"/>
              <w:bottom w:val="single" w:color="auto" w:sz="4" w:space="0"/>
              <w:right w:val="single" w:color="auto" w:sz="4" w:space="0"/>
            </w:tcBorders>
            <w:vAlign w:val="center"/>
          </w:tcPr>
          <w:p w14:paraId="709941FF">
            <w:pPr>
              <w:autoSpaceDE w:val="0"/>
              <w:autoSpaceDN w:val="0"/>
              <w:adjustRightInd w:val="0"/>
              <w:ind w:right="60"/>
              <w:jc w:val="center"/>
              <w:rPr>
                <w:rFonts w:ascii="仿宋" w:hAnsi="仿宋" w:eastAsia="仿宋" w:cs="宋体"/>
                <w:color w:val="auto"/>
                <w:kern w:val="0"/>
                <w:sz w:val="24"/>
              </w:rPr>
            </w:pPr>
          </w:p>
          <w:p w14:paraId="3FCB5B0D">
            <w:pPr>
              <w:autoSpaceDE w:val="0"/>
              <w:autoSpaceDN w:val="0"/>
              <w:adjustRightInd w:val="0"/>
              <w:ind w:right="60"/>
              <w:jc w:val="center"/>
              <w:rPr>
                <w:rFonts w:ascii="仿宋" w:hAnsi="仿宋" w:eastAsia="仿宋" w:cs="宋体"/>
                <w:color w:val="auto"/>
                <w:kern w:val="0"/>
                <w:sz w:val="24"/>
              </w:rPr>
            </w:pPr>
          </w:p>
          <w:p w14:paraId="6DAFDBC2">
            <w:pPr>
              <w:autoSpaceDE w:val="0"/>
              <w:autoSpaceDN w:val="0"/>
              <w:adjustRightInd w:val="0"/>
              <w:ind w:right="60"/>
              <w:jc w:val="center"/>
              <w:rPr>
                <w:rFonts w:ascii="仿宋" w:hAnsi="仿宋" w:eastAsia="仿宋" w:cs="宋体"/>
                <w:color w:val="auto"/>
                <w:kern w:val="0"/>
                <w:sz w:val="24"/>
              </w:rPr>
            </w:pPr>
          </w:p>
          <w:p w14:paraId="713FD7A7">
            <w:pPr>
              <w:autoSpaceDE w:val="0"/>
              <w:autoSpaceDN w:val="0"/>
              <w:adjustRightInd w:val="0"/>
              <w:ind w:right="60"/>
              <w:jc w:val="center"/>
              <w:rPr>
                <w:rFonts w:ascii="仿宋" w:hAnsi="仿宋" w:eastAsia="仿宋" w:cs="宋体"/>
                <w:color w:val="auto"/>
                <w:kern w:val="0"/>
                <w:sz w:val="24"/>
              </w:rPr>
            </w:pPr>
          </w:p>
          <w:p w14:paraId="4B12A173">
            <w:pPr>
              <w:autoSpaceDE w:val="0"/>
              <w:autoSpaceDN w:val="0"/>
              <w:adjustRightInd w:val="0"/>
              <w:ind w:right="60"/>
              <w:jc w:val="center"/>
              <w:rPr>
                <w:rFonts w:ascii="仿宋" w:hAnsi="仿宋" w:eastAsia="仿宋" w:cs="宋体"/>
                <w:color w:val="auto"/>
                <w:kern w:val="0"/>
                <w:sz w:val="24"/>
              </w:rPr>
            </w:pPr>
          </w:p>
          <w:p w14:paraId="07FAB7E7">
            <w:pPr>
              <w:autoSpaceDE w:val="0"/>
              <w:autoSpaceDN w:val="0"/>
              <w:adjustRightInd w:val="0"/>
              <w:ind w:right="60"/>
              <w:jc w:val="center"/>
              <w:rPr>
                <w:rFonts w:ascii="仿宋" w:hAnsi="仿宋" w:eastAsia="仿宋" w:cs="宋体"/>
                <w:color w:val="auto"/>
                <w:kern w:val="0"/>
                <w:sz w:val="24"/>
              </w:rPr>
            </w:pPr>
          </w:p>
          <w:p w14:paraId="2978E0D9">
            <w:pPr>
              <w:autoSpaceDE w:val="0"/>
              <w:autoSpaceDN w:val="0"/>
              <w:adjustRightInd w:val="0"/>
              <w:ind w:right="60"/>
              <w:jc w:val="center"/>
              <w:rPr>
                <w:rFonts w:ascii="仿宋" w:hAnsi="仿宋" w:eastAsia="仿宋" w:cs="宋体"/>
                <w:color w:val="auto"/>
                <w:kern w:val="0"/>
                <w:sz w:val="24"/>
              </w:rPr>
            </w:pPr>
          </w:p>
          <w:p w14:paraId="49174075">
            <w:pPr>
              <w:autoSpaceDE w:val="0"/>
              <w:autoSpaceDN w:val="0"/>
              <w:adjustRightInd w:val="0"/>
              <w:ind w:right="60"/>
              <w:jc w:val="center"/>
              <w:rPr>
                <w:rFonts w:ascii="仿宋" w:hAnsi="仿宋" w:eastAsia="仿宋" w:cs="宋体"/>
                <w:color w:val="auto"/>
                <w:kern w:val="0"/>
                <w:sz w:val="24"/>
              </w:rPr>
            </w:pPr>
          </w:p>
          <w:p w14:paraId="07AAB890">
            <w:pPr>
              <w:autoSpaceDE w:val="0"/>
              <w:autoSpaceDN w:val="0"/>
              <w:adjustRightInd w:val="0"/>
              <w:ind w:right="60"/>
              <w:jc w:val="center"/>
              <w:rPr>
                <w:rFonts w:ascii="仿宋" w:hAnsi="仿宋" w:eastAsia="仿宋" w:cs="宋体"/>
                <w:color w:val="auto"/>
                <w:kern w:val="0"/>
                <w:sz w:val="24"/>
              </w:rPr>
            </w:pPr>
          </w:p>
          <w:p w14:paraId="54D513A6">
            <w:pPr>
              <w:autoSpaceDE w:val="0"/>
              <w:autoSpaceDN w:val="0"/>
              <w:adjustRightInd w:val="0"/>
              <w:ind w:right="60"/>
              <w:jc w:val="center"/>
              <w:rPr>
                <w:rFonts w:ascii="仿宋" w:hAnsi="仿宋" w:eastAsia="仿宋" w:cs="宋体"/>
                <w:color w:val="auto"/>
                <w:kern w:val="0"/>
                <w:sz w:val="24"/>
              </w:rPr>
            </w:pPr>
          </w:p>
          <w:p w14:paraId="43EF7701">
            <w:pPr>
              <w:autoSpaceDE w:val="0"/>
              <w:autoSpaceDN w:val="0"/>
              <w:adjustRightInd w:val="0"/>
              <w:ind w:right="60"/>
              <w:jc w:val="center"/>
              <w:rPr>
                <w:rFonts w:ascii="仿宋" w:hAnsi="仿宋" w:eastAsia="仿宋" w:cs="宋体"/>
                <w:color w:val="auto"/>
                <w:kern w:val="0"/>
                <w:sz w:val="24"/>
              </w:rPr>
            </w:pPr>
          </w:p>
          <w:p w14:paraId="226C2E5E">
            <w:pPr>
              <w:autoSpaceDE w:val="0"/>
              <w:autoSpaceDN w:val="0"/>
              <w:adjustRightInd w:val="0"/>
              <w:ind w:right="60"/>
              <w:jc w:val="center"/>
              <w:rPr>
                <w:rFonts w:ascii="仿宋" w:hAnsi="仿宋" w:eastAsia="仿宋" w:cs="宋体"/>
                <w:color w:val="auto"/>
                <w:kern w:val="0"/>
                <w:sz w:val="24"/>
              </w:rPr>
            </w:pPr>
          </w:p>
          <w:p w14:paraId="2B25B950">
            <w:pPr>
              <w:autoSpaceDE w:val="0"/>
              <w:autoSpaceDN w:val="0"/>
              <w:adjustRightInd w:val="0"/>
              <w:ind w:right="60"/>
              <w:jc w:val="center"/>
              <w:rPr>
                <w:rFonts w:ascii="仿宋" w:hAnsi="仿宋" w:eastAsia="仿宋" w:cs="宋体"/>
                <w:color w:val="auto"/>
                <w:kern w:val="0"/>
                <w:sz w:val="24"/>
              </w:rPr>
            </w:pPr>
          </w:p>
          <w:p w14:paraId="2BF52793">
            <w:pPr>
              <w:autoSpaceDE w:val="0"/>
              <w:autoSpaceDN w:val="0"/>
              <w:adjustRightInd w:val="0"/>
              <w:ind w:right="60"/>
              <w:jc w:val="center"/>
              <w:rPr>
                <w:rFonts w:ascii="仿宋" w:hAnsi="仿宋" w:eastAsia="仿宋" w:cs="宋体"/>
                <w:color w:val="auto"/>
                <w:kern w:val="0"/>
                <w:sz w:val="24"/>
              </w:rPr>
            </w:pPr>
          </w:p>
          <w:p w14:paraId="1F75D7D4">
            <w:pPr>
              <w:autoSpaceDE w:val="0"/>
              <w:autoSpaceDN w:val="0"/>
              <w:adjustRightInd w:val="0"/>
              <w:ind w:right="60"/>
              <w:jc w:val="center"/>
              <w:rPr>
                <w:rFonts w:ascii="仿宋" w:hAnsi="仿宋" w:eastAsia="仿宋" w:cs="宋体"/>
                <w:color w:val="auto"/>
                <w:kern w:val="0"/>
                <w:sz w:val="24"/>
              </w:rPr>
            </w:pPr>
          </w:p>
          <w:p w14:paraId="7F14DAE7">
            <w:pPr>
              <w:autoSpaceDE w:val="0"/>
              <w:autoSpaceDN w:val="0"/>
              <w:adjustRightInd w:val="0"/>
              <w:ind w:right="60"/>
              <w:jc w:val="center"/>
              <w:rPr>
                <w:rFonts w:ascii="仿宋" w:hAnsi="仿宋" w:eastAsia="仿宋" w:cs="宋体"/>
                <w:color w:val="auto"/>
                <w:kern w:val="0"/>
                <w:sz w:val="24"/>
              </w:rPr>
            </w:pPr>
            <w:r>
              <w:rPr>
                <w:rFonts w:hint="eastAsia" w:ascii="仿宋" w:hAnsi="仿宋" w:eastAsia="仿宋" w:cs="宋体"/>
                <w:color w:val="auto"/>
                <w:kern w:val="0"/>
                <w:sz w:val="24"/>
              </w:rPr>
              <w:t xml:space="preserve">技术部分  </w:t>
            </w:r>
            <w:r>
              <w:rPr>
                <w:rFonts w:hint="eastAsia" w:ascii="仿宋" w:hAnsi="仿宋" w:eastAsia="仿宋" w:cs="宋体"/>
                <w:color w:val="auto"/>
                <w:kern w:val="0"/>
                <w:sz w:val="24"/>
              </w:rPr>
              <w:t>（68分）</w:t>
            </w:r>
          </w:p>
        </w:tc>
        <w:tc>
          <w:tcPr>
            <w:tcW w:w="1789" w:type="dxa"/>
            <w:tcBorders>
              <w:top w:val="single" w:color="auto" w:sz="4" w:space="0"/>
              <w:left w:val="single" w:color="auto" w:sz="4" w:space="0"/>
              <w:bottom w:val="single" w:color="auto" w:sz="4" w:space="0"/>
              <w:right w:val="single" w:color="auto" w:sz="4" w:space="0"/>
            </w:tcBorders>
            <w:vAlign w:val="center"/>
          </w:tcPr>
          <w:p w14:paraId="7CA3B827">
            <w:pPr>
              <w:autoSpaceDE w:val="0"/>
              <w:autoSpaceDN w:val="0"/>
              <w:adjustRightInd w:val="0"/>
              <w:spacing w:before="65"/>
              <w:ind w:right="120"/>
              <w:jc w:val="center"/>
              <w:rPr>
                <w:rFonts w:ascii="仿宋" w:hAnsi="仿宋" w:eastAsia="仿宋" w:cs="宋体"/>
                <w:color w:val="auto"/>
                <w:kern w:val="0"/>
                <w:sz w:val="24"/>
              </w:rPr>
            </w:pPr>
          </w:p>
          <w:p w14:paraId="3B8F371A">
            <w:pPr>
              <w:autoSpaceDE w:val="0"/>
              <w:autoSpaceDN w:val="0"/>
              <w:adjustRightInd w:val="0"/>
              <w:spacing w:before="65"/>
              <w:ind w:right="120" w:firstLine="240" w:firstLineChars="100"/>
              <w:rPr>
                <w:rFonts w:ascii="仿宋" w:hAnsi="仿宋" w:eastAsia="仿宋" w:cs="宋体"/>
                <w:color w:val="auto"/>
                <w:kern w:val="0"/>
                <w:sz w:val="24"/>
              </w:rPr>
            </w:pPr>
            <w:r>
              <w:rPr>
                <w:rFonts w:hint="eastAsia" w:ascii="仿宋" w:hAnsi="仿宋" w:eastAsia="仿宋" w:cs="宋体"/>
                <w:color w:val="auto"/>
                <w:kern w:val="0"/>
                <w:sz w:val="24"/>
              </w:rPr>
              <w:t>对项目理解、重点与难点分析及应对措施方案</w:t>
            </w:r>
          </w:p>
          <w:p w14:paraId="7780850E">
            <w:pPr>
              <w:autoSpaceDE w:val="0"/>
              <w:autoSpaceDN w:val="0"/>
              <w:adjustRightInd w:val="0"/>
              <w:spacing w:before="65"/>
              <w:ind w:right="120"/>
              <w:jc w:val="center"/>
              <w:rPr>
                <w:rFonts w:ascii="仿宋" w:hAnsi="仿宋" w:eastAsia="仿宋" w:cs="宋体"/>
                <w:color w:val="auto"/>
                <w:kern w:val="0"/>
                <w:sz w:val="24"/>
              </w:rPr>
            </w:pPr>
            <w:r>
              <w:rPr>
                <w:rFonts w:hint="eastAsia" w:ascii="仿宋" w:hAnsi="仿宋" w:eastAsia="仿宋" w:cs="宋体"/>
                <w:color w:val="auto"/>
                <w:kern w:val="0"/>
                <w:sz w:val="24"/>
              </w:rPr>
              <w:t>（0-16分）</w:t>
            </w:r>
          </w:p>
          <w:p w14:paraId="240333C3">
            <w:pPr>
              <w:pStyle w:val="4"/>
              <w:rPr>
                <w:color w:val="auto"/>
              </w:rPr>
            </w:pPr>
          </w:p>
          <w:p w14:paraId="319A3051">
            <w:pPr>
              <w:autoSpaceDE w:val="0"/>
              <w:autoSpaceDN w:val="0"/>
              <w:adjustRightInd w:val="0"/>
              <w:spacing w:before="65"/>
              <w:ind w:right="120"/>
              <w:jc w:val="center"/>
              <w:rPr>
                <w:rFonts w:ascii="仿宋" w:hAnsi="仿宋" w:eastAsia="仿宋" w:cs="宋体"/>
                <w:color w:val="auto"/>
                <w:kern w:val="0"/>
                <w:sz w:val="24"/>
              </w:rPr>
            </w:pPr>
          </w:p>
        </w:tc>
        <w:tc>
          <w:tcPr>
            <w:tcW w:w="6472" w:type="dxa"/>
            <w:tcBorders>
              <w:top w:val="single" w:color="auto" w:sz="4" w:space="0"/>
              <w:left w:val="single" w:color="auto" w:sz="4" w:space="0"/>
              <w:bottom w:val="single" w:color="auto" w:sz="4" w:space="0"/>
              <w:right w:val="single" w:color="auto" w:sz="4" w:space="0"/>
            </w:tcBorders>
            <w:vAlign w:val="center"/>
          </w:tcPr>
          <w:p w14:paraId="7BC88679">
            <w:pPr>
              <w:widowControl/>
              <w:textAlignment w:val="center"/>
              <w:rPr>
                <w:rFonts w:ascii="仿宋" w:hAnsi="仿宋" w:eastAsia="仿宋" w:cs="仿宋"/>
                <w:color w:val="auto"/>
                <w:sz w:val="24"/>
              </w:rPr>
            </w:pPr>
            <w:r>
              <w:rPr>
                <w:rFonts w:hint="eastAsia" w:ascii="仿宋" w:hAnsi="仿宋" w:eastAsia="仿宋" w:cs="仿宋"/>
                <w:color w:val="auto"/>
                <w:sz w:val="24"/>
              </w:rPr>
              <w:t>根据投标人针对本项目制定的重点、难点分析及应对措施方案</w:t>
            </w:r>
            <w:r>
              <w:rPr>
                <w:rFonts w:hint="eastAsia" w:ascii="仿宋" w:hAnsi="仿宋" w:eastAsia="仿宋" w:cs="宋体"/>
                <w:color w:val="auto"/>
                <w:kern w:val="0"/>
                <w:sz w:val="24"/>
              </w:rPr>
              <w:t>进行评比。</w:t>
            </w:r>
            <w:r>
              <w:rPr>
                <w:rFonts w:hint="eastAsia" w:ascii="仿宋" w:hAnsi="仿宋" w:eastAsia="仿宋" w:cs="仿宋"/>
                <w:color w:val="auto"/>
                <w:sz w:val="24"/>
              </w:rPr>
              <w:t>包括但不限于</w:t>
            </w:r>
            <w:r>
              <w:rPr>
                <w:rFonts w:hint="eastAsia" w:ascii="仿宋" w:hAnsi="仿宋" w:eastAsia="仿宋" w:cs="仿宋"/>
                <w:color w:val="auto"/>
                <w:sz w:val="24"/>
              </w:rPr>
              <w:t>①</w:t>
            </w:r>
            <w:r>
              <w:rPr>
                <w:rFonts w:hint="eastAsia" w:ascii="仿宋" w:hAnsi="仿宋" w:eastAsia="仿宋" w:cs="宋体"/>
                <w:color w:val="auto"/>
                <w:kern w:val="0"/>
                <w:sz w:val="24"/>
              </w:rPr>
              <w:t>项目理解</w:t>
            </w:r>
            <w:r>
              <w:rPr>
                <w:rFonts w:hint="eastAsia" w:ascii="仿宋_GB2312" w:hAnsi="宋体" w:eastAsia="仿宋_GB2312" w:cs="宋体"/>
                <w:color w:val="auto"/>
                <w:sz w:val="24"/>
              </w:rPr>
              <w:t>程度</w:t>
            </w:r>
            <w:r>
              <w:rPr>
                <w:rFonts w:hint="eastAsia" w:ascii="仿宋" w:hAnsi="仿宋" w:eastAsia="仿宋" w:cs="仿宋"/>
                <w:color w:val="auto"/>
                <w:sz w:val="24"/>
              </w:rPr>
              <w:t>；②项目重点、难点分析；③风险点分析；④解决措施等</w:t>
            </w:r>
            <w:r>
              <w:rPr>
                <w:rFonts w:hint="eastAsia" w:ascii="仿宋" w:hAnsi="仿宋" w:eastAsia="仿宋" w:cs="仿宋"/>
                <w:color w:val="auto"/>
                <w:sz w:val="24"/>
              </w:rPr>
              <w:t>；方案完整、详细、思路清晰、层次结构细化且符合本项目实际需求。本项满分</w:t>
            </w:r>
            <w:r>
              <w:rPr>
                <w:rFonts w:hint="eastAsia" w:ascii="仿宋" w:hAnsi="仿宋" w:eastAsia="仿宋" w:cs="仿宋"/>
                <w:color w:val="auto"/>
                <w:sz w:val="24"/>
              </w:rPr>
              <w:t>16分，每缺少一项内容扣4分，每项内容中每有一处缺陷扣2分</w:t>
            </w:r>
            <w:r>
              <w:rPr>
                <w:rFonts w:hint="eastAsia" w:ascii="仿宋" w:hAnsi="仿宋" w:eastAsia="仿宋" w:cs="仿宋"/>
                <w:color w:val="auto"/>
                <w:sz w:val="24"/>
              </w:rPr>
              <w:t>（扣完为止）。</w:t>
            </w:r>
          </w:p>
          <w:p w14:paraId="7540F136">
            <w:pPr>
              <w:autoSpaceDE w:val="0"/>
              <w:autoSpaceDN w:val="0"/>
              <w:adjustRightInd w:val="0"/>
              <w:spacing w:before="65"/>
              <w:ind w:right="120"/>
              <w:jc w:val="left"/>
              <w:rPr>
                <w:rFonts w:ascii="仿宋" w:hAnsi="仿宋" w:eastAsia="仿宋" w:cs="宋体"/>
                <w:color w:val="auto"/>
                <w:kern w:val="0"/>
                <w:sz w:val="24"/>
              </w:rPr>
            </w:pPr>
            <w:r>
              <w:rPr>
                <w:rFonts w:hint="eastAsia" w:ascii="仿宋_GB2312" w:hAnsi="仿宋" w:eastAsia="仿宋_GB2312" w:cs="宋体"/>
                <w:color w:val="auto"/>
                <w:kern w:val="0"/>
                <w:sz w:val="24"/>
                <w:lang w:bidi="ar"/>
              </w:rPr>
              <w:t>（缺陷是指：存在不适用该项目实际情况的情形、凭空编造、内容前后不一致、前后逻辑错误、涉及的规范及标准错误、地点区域错误、内容缺失、无针对性等任意一项等内容）</w:t>
            </w:r>
          </w:p>
        </w:tc>
      </w:tr>
      <w:tr w14:paraId="0C2FF51E">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bottom w:val="single" w:color="auto" w:sz="4" w:space="0"/>
              <w:right w:val="single" w:color="auto" w:sz="4" w:space="0"/>
            </w:tcBorders>
          </w:tcPr>
          <w:p w14:paraId="5984356C">
            <w:pPr>
              <w:autoSpaceDE w:val="0"/>
              <w:autoSpaceDN w:val="0"/>
              <w:adjustRightInd w:val="0"/>
              <w:ind w:right="60"/>
              <w:jc w:val="center"/>
              <w:rPr>
                <w:rFonts w:ascii="仿宋" w:hAnsi="仿宋" w:eastAsia="仿宋" w:cs="宋体"/>
                <w:color w:val="auto"/>
                <w:kern w:val="0"/>
                <w:sz w:val="24"/>
              </w:rPr>
            </w:pPr>
          </w:p>
        </w:tc>
        <w:tc>
          <w:tcPr>
            <w:tcW w:w="1789" w:type="dxa"/>
            <w:tcBorders>
              <w:top w:val="single" w:color="auto" w:sz="4" w:space="0"/>
              <w:left w:val="single" w:color="auto" w:sz="4" w:space="0"/>
              <w:bottom w:val="single" w:color="auto" w:sz="4" w:space="0"/>
              <w:right w:val="single" w:color="auto" w:sz="4" w:space="0"/>
            </w:tcBorders>
            <w:vAlign w:val="center"/>
          </w:tcPr>
          <w:p w14:paraId="7DDFB240">
            <w:pPr>
              <w:autoSpaceDE w:val="0"/>
              <w:autoSpaceDN w:val="0"/>
              <w:adjustRightInd w:val="0"/>
              <w:spacing w:before="65"/>
              <w:ind w:right="120"/>
              <w:jc w:val="center"/>
              <w:rPr>
                <w:rFonts w:ascii="仿宋" w:hAnsi="仿宋" w:eastAsia="仿宋" w:cs="宋体"/>
                <w:color w:val="auto"/>
                <w:kern w:val="0"/>
                <w:sz w:val="24"/>
              </w:rPr>
            </w:pPr>
            <w:r>
              <w:rPr>
                <w:rFonts w:hint="eastAsia" w:ascii="仿宋" w:hAnsi="仿宋" w:eastAsia="仿宋" w:cs="宋体"/>
                <w:color w:val="auto"/>
                <w:kern w:val="0"/>
                <w:sz w:val="24"/>
              </w:rPr>
              <w:t xml:space="preserve">总体技术方案 </w:t>
            </w:r>
            <w:r>
              <w:rPr>
                <w:rFonts w:hint="eastAsia" w:ascii="仿宋" w:hAnsi="仿宋" w:eastAsia="仿宋" w:cs="宋体"/>
                <w:color w:val="auto"/>
                <w:kern w:val="0"/>
                <w:sz w:val="24"/>
              </w:rPr>
              <w:t>（0-16分）</w:t>
            </w:r>
          </w:p>
          <w:p w14:paraId="20C14D3D">
            <w:pPr>
              <w:pStyle w:val="2"/>
              <w:rPr>
                <w:color w:val="auto"/>
              </w:rPr>
            </w:pPr>
          </w:p>
        </w:tc>
        <w:tc>
          <w:tcPr>
            <w:tcW w:w="6472" w:type="dxa"/>
            <w:tcBorders>
              <w:top w:val="single" w:color="auto" w:sz="4" w:space="0"/>
              <w:left w:val="single" w:color="auto" w:sz="4" w:space="0"/>
              <w:bottom w:val="single" w:color="auto" w:sz="4" w:space="0"/>
              <w:right w:val="single" w:color="auto" w:sz="4" w:space="0"/>
            </w:tcBorders>
            <w:vAlign w:val="center"/>
          </w:tcPr>
          <w:p w14:paraId="1F12682E">
            <w:pPr>
              <w:widowControl/>
              <w:textAlignment w:val="center"/>
              <w:rPr>
                <w:rFonts w:ascii="仿宋_GB2312" w:hAnsi="仿宋" w:eastAsia="仿宋_GB2312" w:cs="宋体"/>
                <w:color w:val="auto"/>
                <w:kern w:val="0"/>
                <w:sz w:val="24"/>
                <w:lang w:bidi="ar"/>
              </w:rPr>
            </w:pPr>
            <w:r>
              <w:rPr>
                <w:rFonts w:hint="eastAsia" w:ascii="仿宋" w:hAnsi="仿宋" w:eastAsia="仿宋" w:cs="仿宋"/>
                <w:color w:val="auto"/>
                <w:sz w:val="24"/>
              </w:rPr>
              <w:t>根</w:t>
            </w:r>
            <w:r>
              <w:rPr>
                <w:rFonts w:hint="eastAsia" w:ascii="仿宋_GB2312" w:hAnsi="仿宋" w:eastAsia="仿宋_GB2312" w:cs="仿宋"/>
                <w:color w:val="auto"/>
                <w:sz w:val="24"/>
              </w:rPr>
              <w:t>据投标人针对本项目制定的</w:t>
            </w:r>
            <w:r>
              <w:rPr>
                <w:rFonts w:hint="eastAsia" w:ascii="仿宋_GB2312" w:hAnsi="仿宋" w:eastAsia="仿宋_GB2312" w:cs="仿宋"/>
                <w:color w:val="auto"/>
                <w:kern w:val="0"/>
                <w:sz w:val="24"/>
              </w:rPr>
              <w:t>总体技术方案</w:t>
            </w:r>
            <w:r>
              <w:rPr>
                <w:rFonts w:hint="eastAsia" w:ascii="仿宋" w:hAnsi="仿宋" w:eastAsia="仿宋" w:cs="宋体"/>
                <w:color w:val="auto"/>
                <w:kern w:val="0"/>
                <w:sz w:val="24"/>
              </w:rPr>
              <w:t>进行评比</w:t>
            </w:r>
            <w:r>
              <w:rPr>
                <w:rFonts w:hint="eastAsia" w:ascii="仿宋_GB2312" w:hAnsi="宋体" w:eastAsia="仿宋_GB2312" w:cs="宋体"/>
                <w:color w:val="auto"/>
                <w:sz w:val="24"/>
              </w:rPr>
              <w:t>，</w:t>
            </w:r>
            <w:r>
              <w:rPr>
                <w:rFonts w:hint="eastAsia" w:ascii="仿宋_GB2312" w:hAnsi="仿宋" w:eastAsia="仿宋_GB2312" w:cs="宋体"/>
                <w:color w:val="auto"/>
                <w:kern w:val="0"/>
                <w:sz w:val="24"/>
                <w:lang w:bidi="ar"/>
              </w:rPr>
              <w:t>包含但不限于</w:t>
            </w:r>
            <w:r>
              <w:rPr>
                <w:rFonts w:hint="eastAsia" w:ascii="仿宋_GB2312" w:hAnsi="宋体" w:eastAsia="仿宋_GB2312" w:cs="宋体"/>
                <w:color w:val="auto"/>
                <w:sz w:val="24"/>
              </w:rPr>
              <w:t>①对项目认识分析、实现目标、完成内容的理解程度</w:t>
            </w:r>
            <w:r>
              <w:rPr>
                <w:rFonts w:hint="eastAsia" w:ascii="仿宋" w:hAnsi="仿宋" w:eastAsia="仿宋" w:cs="仿宋"/>
                <w:color w:val="auto"/>
                <w:sz w:val="24"/>
              </w:rPr>
              <w:t>；</w:t>
            </w:r>
            <w:r>
              <w:rPr>
                <w:rFonts w:hint="eastAsia" w:ascii="仿宋_GB2312" w:hAnsi="宋体" w:eastAsia="仿宋_GB2312" w:cs="宋体"/>
                <w:color w:val="auto"/>
                <w:sz w:val="24"/>
              </w:rPr>
              <w:t>②工作方案、技术路线、责任</w:t>
            </w:r>
            <w:r>
              <w:rPr>
                <w:rFonts w:hint="eastAsia" w:ascii="仿宋" w:hAnsi="仿宋" w:eastAsia="仿宋" w:cs="仿宋"/>
                <w:color w:val="auto"/>
                <w:sz w:val="24"/>
              </w:rPr>
              <w:t>；③</w:t>
            </w:r>
            <w:r>
              <w:rPr>
                <w:rFonts w:hint="eastAsia" w:ascii="仿宋_GB2312" w:hAnsi="宋体" w:eastAsia="仿宋_GB2312" w:cs="宋体"/>
                <w:color w:val="auto"/>
                <w:sz w:val="24"/>
              </w:rPr>
              <w:t>技术方案内容完整性、针对性、可操作性</w:t>
            </w:r>
            <w:r>
              <w:rPr>
                <w:rFonts w:hint="eastAsia" w:ascii="仿宋" w:hAnsi="仿宋" w:eastAsia="仿宋" w:cs="仿宋"/>
                <w:color w:val="auto"/>
                <w:sz w:val="24"/>
              </w:rPr>
              <w:t>；④</w:t>
            </w:r>
            <w:r>
              <w:rPr>
                <w:rFonts w:hint="eastAsia" w:ascii="仿宋_GB2312" w:hAnsi="宋体" w:eastAsia="仿宋_GB2312" w:cs="宋体"/>
                <w:color w:val="auto"/>
                <w:sz w:val="24"/>
              </w:rPr>
              <w:t>服务、指导、方式方法、工作推进时限</w:t>
            </w:r>
            <w:r>
              <w:rPr>
                <w:rFonts w:hint="eastAsia" w:ascii="仿宋_GB2312" w:hAnsi="宋体" w:eastAsia="仿宋_GB2312" w:cs="宋体"/>
                <w:color w:val="auto"/>
                <w:kern w:val="0"/>
                <w:sz w:val="24"/>
                <w:lang w:bidi="ar"/>
              </w:rPr>
              <w:t>等。</w:t>
            </w:r>
            <w:r>
              <w:rPr>
                <w:rFonts w:hint="eastAsia" w:ascii="仿宋_GB2312" w:hAnsi="仿宋" w:eastAsia="仿宋_GB2312" w:cs="宋体"/>
                <w:color w:val="auto"/>
                <w:kern w:val="0"/>
                <w:sz w:val="24"/>
                <w:lang w:bidi="ar"/>
              </w:rPr>
              <w:t>方案完整、详细、思路清晰、</w:t>
            </w:r>
            <w:r>
              <w:rPr>
                <w:rFonts w:hint="eastAsia" w:ascii="仿宋" w:hAnsi="仿宋" w:eastAsia="仿宋" w:cs="仿宋"/>
                <w:color w:val="auto"/>
                <w:sz w:val="24"/>
              </w:rPr>
              <w:t>全面、科学合理、</w:t>
            </w:r>
            <w:r>
              <w:rPr>
                <w:rFonts w:hint="eastAsia" w:ascii="仿宋_GB2312" w:hAnsi="仿宋" w:eastAsia="仿宋_GB2312" w:cs="宋体"/>
                <w:color w:val="auto"/>
                <w:kern w:val="0"/>
                <w:sz w:val="24"/>
                <w:lang w:bidi="ar"/>
              </w:rPr>
              <w:t>层次结构细化且符合本项目实际需求。</w:t>
            </w:r>
            <w:r>
              <w:rPr>
                <w:rFonts w:hint="eastAsia" w:ascii="仿宋_GB2312" w:hAnsi="仿宋" w:eastAsia="仿宋_GB2312" w:cs="宋体"/>
                <w:color w:val="auto"/>
                <w:kern w:val="0"/>
                <w:sz w:val="24"/>
                <w:lang w:bidi="ar"/>
              </w:rPr>
              <w:t>本项满分</w:t>
            </w:r>
            <w:r>
              <w:rPr>
                <w:rFonts w:hint="eastAsia" w:ascii="仿宋" w:hAnsi="仿宋" w:eastAsia="仿宋" w:cs="仿宋"/>
                <w:color w:val="auto"/>
                <w:sz w:val="24"/>
              </w:rPr>
              <w:t>16分</w:t>
            </w:r>
            <w:r>
              <w:rPr>
                <w:rFonts w:hint="eastAsia" w:ascii="仿宋_GB2312" w:hAnsi="仿宋" w:eastAsia="仿宋_GB2312" w:cs="宋体"/>
                <w:color w:val="auto"/>
                <w:kern w:val="0"/>
                <w:sz w:val="24"/>
                <w:lang w:bidi="ar"/>
              </w:rPr>
              <w:t>，每缺少一项内容扣</w:t>
            </w:r>
            <w:r>
              <w:rPr>
                <w:rFonts w:hint="eastAsia" w:ascii="仿宋" w:hAnsi="仿宋" w:eastAsia="仿宋" w:cs="仿宋"/>
                <w:color w:val="auto"/>
                <w:sz w:val="24"/>
              </w:rPr>
              <w:t>4</w:t>
            </w:r>
            <w:r>
              <w:rPr>
                <w:rFonts w:hint="eastAsia" w:ascii="仿宋_GB2312" w:hAnsi="仿宋" w:eastAsia="仿宋_GB2312" w:cs="宋体"/>
                <w:color w:val="auto"/>
                <w:kern w:val="0"/>
                <w:sz w:val="24"/>
                <w:lang w:bidi="ar"/>
              </w:rPr>
              <w:t>分，每项内容中每有一处缺陷扣</w:t>
            </w:r>
            <w:r>
              <w:rPr>
                <w:rFonts w:hint="eastAsia" w:ascii="仿宋" w:hAnsi="仿宋" w:eastAsia="仿宋" w:cs="仿宋"/>
                <w:color w:val="auto"/>
                <w:sz w:val="24"/>
              </w:rPr>
              <w:t>2</w:t>
            </w:r>
            <w:r>
              <w:rPr>
                <w:rFonts w:hint="eastAsia" w:ascii="仿宋_GB2312" w:hAnsi="仿宋" w:eastAsia="仿宋_GB2312" w:cs="宋体"/>
                <w:color w:val="auto"/>
                <w:kern w:val="0"/>
                <w:sz w:val="24"/>
                <w:lang w:bidi="ar"/>
              </w:rPr>
              <w:t>分</w:t>
            </w:r>
            <w:r>
              <w:rPr>
                <w:rFonts w:hint="eastAsia" w:ascii="仿宋_GB2312" w:hAnsi="仿宋" w:eastAsia="仿宋_GB2312" w:cs="宋体"/>
                <w:color w:val="auto"/>
                <w:kern w:val="0"/>
                <w:sz w:val="24"/>
                <w:lang w:bidi="ar"/>
              </w:rPr>
              <w:t>（扣完为止）。</w:t>
            </w:r>
          </w:p>
          <w:p w14:paraId="7218EE2E">
            <w:pPr>
              <w:pStyle w:val="2"/>
              <w:rPr>
                <w:rFonts w:ascii="仿宋" w:hAnsi="仿宋" w:eastAsia="仿宋" w:cs="宋体"/>
                <w:color w:val="auto"/>
                <w:kern w:val="0"/>
                <w:sz w:val="24"/>
                <w:szCs w:val="24"/>
              </w:rPr>
            </w:pPr>
            <w:r>
              <w:rPr>
                <w:rFonts w:hint="eastAsia" w:ascii="仿宋_GB2312" w:hAnsi="仿宋" w:eastAsia="仿宋_GB2312" w:cs="宋体"/>
                <w:color w:val="auto"/>
                <w:kern w:val="0"/>
                <w:sz w:val="24"/>
                <w:lang w:bidi="ar"/>
              </w:rPr>
              <w:t>（缺陷是指：存在不适用该项目实际情况的情形、凭空编造、内容前后不一致、前后逻辑错误、涉及的规范及标准错误、地点区域错误、内容缺失、无针对性等任意一项等内容）</w:t>
            </w:r>
          </w:p>
        </w:tc>
      </w:tr>
      <w:tr w14:paraId="71D7F0F7">
        <w:tblPrEx>
          <w:tblCellMar>
            <w:top w:w="0" w:type="dxa"/>
            <w:left w:w="0" w:type="dxa"/>
            <w:bottom w:w="0" w:type="dxa"/>
            <w:right w:w="0" w:type="dxa"/>
          </w:tblCellMar>
        </w:tblPrEx>
        <w:trPr>
          <w:cantSplit/>
          <w:trHeight w:val="567" w:hRule="atLeast"/>
        </w:trPr>
        <w:tc>
          <w:tcPr>
            <w:tcW w:w="1280" w:type="dxa"/>
            <w:vMerge w:val="continue"/>
            <w:tcBorders>
              <w:top w:val="single" w:color="auto" w:sz="4" w:space="0"/>
              <w:left w:val="single" w:color="auto" w:sz="4" w:space="0"/>
              <w:right w:val="single" w:color="auto" w:sz="4" w:space="0"/>
            </w:tcBorders>
          </w:tcPr>
          <w:p w14:paraId="7876A637">
            <w:pPr>
              <w:autoSpaceDE w:val="0"/>
              <w:autoSpaceDN w:val="0"/>
              <w:adjustRightInd w:val="0"/>
              <w:ind w:right="60"/>
              <w:jc w:val="center"/>
              <w:rPr>
                <w:rFonts w:ascii="仿宋" w:hAnsi="仿宋" w:eastAsia="仿宋" w:cs="宋体"/>
                <w:color w:val="auto"/>
                <w:kern w:val="0"/>
                <w:sz w:val="24"/>
              </w:rPr>
            </w:pPr>
          </w:p>
        </w:tc>
        <w:tc>
          <w:tcPr>
            <w:tcW w:w="1789" w:type="dxa"/>
            <w:tcBorders>
              <w:top w:val="single" w:color="auto" w:sz="4" w:space="0"/>
              <w:left w:val="single" w:color="auto" w:sz="4" w:space="0"/>
              <w:bottom w:val="single" w:color="auto" w:sz="4" w:space="0"/>
              <w:right w:val="single" w:color="auto" w:sz="4" w:space="0"/>
            </w:tcBorders>
            <w:vAlign w:val="center"/>
          </w:tcPr>
          <w:p w14:paraId="219E2C03">
            <w:pPr>
              <w:autoSpaceDE w:val="0"/>
              <w:autoSpaceDN w:val="0"/>
              <w:adjustRightInd w:val="0"/>
              <w:spacing w:before="65"/>
              <w:ind w:right="120"/>
              <w:jc w:val="center"/>
              <w:rPr>
                <w:rFonts w:ascii="仿宋" w:hAnsi="仿宋" w:eastAsia="仿宋" w:cs="宋体"/>
                <w:color w:val="auto"/>
                <w:kern w:val="0"/>
                <w:sz w:val="24"/>
              </w:rPr>
            </w:pPr>
            <w:r>
              <w:rPr>
                <w:rFonts w:hint="eastAsia" w:ascii="仿宋" w:hAnsi="仿宋" w:eastAsia="仿宋" w:cs="宋体"/>
                <w:color w:val="auto"/>
                <w:kern w:val="0"/>
                <w:sz w:val="24"/>
              </w:rPr>
              <w:t>质量保障</w:t>
            </w:r>
          </w:p>
          <w:p w14:paraId="3DD97E4B">
            <w:pPr>
              <w:autoSpaceDE w:val="0"/>
              <w:autoSpaceDN w:val="0"/>
              <w:adjustRightInd w:val="0"/>
              <w:spacing w:before="65"/>
              <w:ind w:right="120"/>
              <w:jc w:val="center"/>
              <w:rPr>
                <w:rFonts w:ascii="仿宋" w:hAnsi="仿宋" w:eastAsia="仿宋" w:cs="仿宋"/>
                <w:color w:val="auto"/>
                <w:kern w:val="0"/>
                <w:sz w:val="24"/>
              </w:rPr>
            </w:pPr>
            <w:r>
              <w:rPr>
                <w:rFonts w:hint="eastAsia" w:ascii="仿宋" w:hAnsi="仿宋" w:eastAsia="仿宋" w:cs="宋体"/>
                <w:color w:val="auto"/>
                <w:kern w:val="0"/>
                <w:sz w:val="24"/>
              </w:rPr>
              <w:t xml:space="preserve"> </w:t>
            </w:r>
            <w:r>
              <w:rPr>
                <w:rFonts w:hint="eastAsia" w:ascii="仿宋" w:hAnsi="仿宋" w:eastAsia="仿宋" w:cs="宋体"/>
                <w:color w:val="auto"/>
                <w:kern w:val="0"/>
                <w:sz w:val="24"/>
              </w:rPr>
              <w:t>（0-12分）</w:t>
            </w:r>
          </w:p>
        </w:tc>
        <w:tc>
          <w:tcPr>
            <w:tcW w:w="6472" w:type="dxa"/>
            <w:tcBorders>
              <w:top w:val="single" w:color="auto" w:sz="4" w:space="0"/>
              <w:left w:val="single" w:color="auto" w:sz="4" w:space="0"/>
              <w:bottom w:val="single" w:color="auto" w:sz="4" w:space="0"/>
              <w:right w:val="single" w:color="auto" w:sz="4" w:space="0"/>
            </w:tcBorders>
            <w:vAlign w:val="center"/>
          </w:tcPr>
          <w:p w14:paraId="179AB0F7">
            <w:pPr>
              <w:widowControl/>
              <w:textAlignment w:val="center"/>
              <w:rPr>
                <w:rFonts w:ascii="仿宋" w:hAnsi="仿宋" w:eastAsia="仿宋" w:cs="仿宋"/>
                <w:color w:val="auto"/>
                <w:sz w:val="24"/>
              </w:rPr>
            </w:pPr>
            <w:r>
              <w:rPr>
                <w:rFonts w:hint="eastAsia" w:ascii="仿宋" w:hAnsi="仿宋" w:eastAsia="仿宋" w:cs="仿宋"/>
                <w:color w:val="auto"/>
                <w:sz w:val="24"/>
              </w:rPr>
              <w:t>根据投标人提供的针对此项目制定的质量保障方案进行评比，包含但不限于</w:t>
            </w:r>
            <w:r>
              <w:rPr>
                <w:rFonts w:hint="eastAsia" w:ascii="仿宋" w:hAnsi="仿宋" w:eastAsia="仿宋" w:cs="仿宋"/>
                <w:color w:val="auto"/>
                <w:sz w:val="24"/>
              </w:rPr>
              <w:t>①质量保证计划；②质量保证标准；③质量保证目标；④质量保证措施等。</w:t>
            </w:r>
            <w:r>
              <w:rPr>
                <w:rFonts w:hint="eastAsia" w:ascii="仿宋" w:hAnsi="仿宋" w:eastAsia="仿宋" w:cs="仿宋"/>
                <w:color w:val="auto"/>
                <w:sz w:val="24"/>
              </w:rPr>
              <w:t>方案完整、详细、思路清晰、保障计划完善，标准严格，程序规范，质检措施详尽有效，具有针对性，质量保障措施满足且符合本项目实际需求。本项满分</w:t>
            </w:r>
            <w:r>
              <w:rPr>
                <w:rFonts w:hint="eastAsia" w:ascii="仿宋" w:hAnsi="仿宋" w:eastAsia="仿宋" w:cs="仿宋"/>
                <w:color w:val="auto"/>
                <w:sz w:val="24"/>
              </w:rPr>
              <w:t>12分，每缺少一项内容扣3分，每项内容中每有一处缺陷扣1.5分（扣完为止）。</w:t>
            </w:r>
          </w:p>
          <w:p w14:paraId="1A8BA55F">
            <w:pPr>
              <w:autoSpaceDE w:val="0"/>
              <w:autoSpaceDN w:val="0"/>
              <w:adjustRightInd w:val="0"/>
              <w:spacing w:before="65"/>
              <w:ind w:right="120"/>
              <w:jc w:val="left"/>
              <w:rPr>
                <w:rFonts w:ascii="仿宋" w:hAnsi="仿宋" w:eastAsia="仿宋" w:cs="仿宋"/>
                <w:color w:val="auto"/>
                <w:kern w:val="0"/>
                <w:sz w:val="24"/>
              </w:rPr>
            </w:pPr>
            <w:r>
              <w:rPr>
                <w:rFonts w:hint="eastAsia" w:ascii="仿宋_GB2312" w:hAnsi="仿宋" w:eastAsia="仿宋_GB2312" w:cs="宋体"/>
                <w:color w:val="auto"/>
                <w:kern w:val="0"/>
                <w:sz w:val="24"/>
                <w:lang w:bidi="ar"/>
              </w:rPr>
              <w:t>（缺陷是指：存在不适用该项目实际情况的情形、凭空编造、内容前后不一致、前后逻辑错误、涉及的规范及标准错误、地点区域错误、内容缺失、无针对性等任意一项等内容）</w:t>
            </w:r>
          </w:p>
        </w:tc>
      </w:tr>
      <w:tr w14:paraId="6E5ECF16">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tcPr>
          <w:p w14:paraId="7CD7C3D7">
            <w:pPr>
              <w:autoSpaceDE w:val="0"/>
              <w:autoSpaceDN w:val="0"/>
              <w:adjustRightInd w:val="0"/>
              <w:ind w:right="60"/>
              <w:jc w:val="center"/>
              <w:rPr>
                <w:rFonts w:ascii="仿宋" w:hAnsi="仿宋" w:eastAsia="仿宋" w:cs="宋体"/>
                <w:color w:val="auto"/>
                <w:kern w:val="0"/>
                <w:sz w:val="24"/>
              </w:rPr>
            </w:pPr>
          </w:p>
        </w:tc>
        <w:tc>
          <w:tcPr>
            <w:tcW w:w="1789" w:type="dxa"/>
            <w:tcBorders>
              <w:top w:val="single" w:color="auto" w:sz="4" w:space="0"/>
              <w:left w:val="single" w:color="auto" w:sz="4" w:space="0"/>
              <w:bottom w:val="single" w:color="auto" w:sz="4" w:space="0"/>
              <w:right w:val="single" w:color="auto" w:sz="4" w:space="0"/>
            </w:tcBorders>
            <w:vAlign w:val="center"/>
          </w:tcPr>
          <w:p w14:paraId="024F899E">
            <w:pPr>
              <w:autoSpaceDE w:val="0"/>
              <w:autoSpaceDN w:val="0"/>
              <w:adjustRightInd w:val="0"/>
              <w:spacing w:before="65"/>
              <w:ind w:right="120"/>
              <w:jc w:val="center"/>
              <w:rPr>
                <w:rFonts w:ascii="仿宋" w:hAnsi="仿宋" w:eastAsia="仿宋" w:cs="宋体"/>
                <w:color w:val="auto"/>
                <w:kern w:val="0"/>
                <w:sz w:val="24"/>
              </w:rPr>
            </w:pPr>
            <w:r>
              <w:rPr>
                <w:rFonts w:ascii="仿宋" w:hAnsi="仿宋" w:eastAsia="仿宋" w:cs="宋体"/>
                <w:color w:val="auto"/>
                <w:kern w:val="0"/>
                <w:sz w:val="24"/>
              </w:rPr>
              <w:t>项目管理团队服务方案</w:t>
            </w:r>
          </w:p>
          <w:p w14:paraId="45FC55B1">
            <w:pPr>
              <w:autoSpaceDE w:val="0"/>
              <w:autoSpaceDN w:val="0"/>
              <w:adjustRightInd w:val="0"/>
              <w:ind w:right="-20"/>
              <w:jc w:val="center"/>
              <w:rPr>
                <w:rFonts w:ascii="仿宋" w:hAnsi="仿宋" w:eastAsia="仿宋" w:cs="仿宋"/>
                <w:color w:val="auto"/>
                <w:kern w:val="0"/>
                <w:sz w:val="24"/>
              </w:rPr>
            </w:pPr>
            <w:r>
              <w:rPr>
                <w:rFonts w:hint="eastAsia" w:ascii="仿宋" w:hAnsi="仿宋" w:eastAsia="仿宋" w:cs="宋体"/>
                <w:color w:val="auto"/>
                <w:kern w:val="0"/>
                <w:sz w:val="24"/>
              </w:rPr>
              <w:t>（0-16分）</w:t>
            </w:r>
          </w:p>
        </w:tc>
        <w:tc>
          <w:tcPr>
            <w:tcW w:w="6472" w:type="dxa"/>
            <w:tcBorders>
              <w:top w:val="single" w:color="auto" w:sz="4" w:space="0"/>
              <w:left w:val="single" w:color="auto" w:sz="4" w:space="0"/>
              <w:bottom w:val="single" w:color="auto" w:sz="4" w:space="0"/>
              <w:right w:val="single" w:color="auto" w:sz="4" w:space="0"/>
            </w:tcBorders>
            <w:vAlign w:val="center"/>
          </w:tcPr>
          <w:p w14:paraId="2CACB1A9">
            <w:pPr>
              <w:widowControl/>
              <w:textAlignment w:val="center"/>
              <w:rPr>
                <w:rFonts w:ascii="仿宋" w:hAnsi="仿宋" w:eastAsia="仿宋" w:cs="宋体"/>
                <w:color w:val="auto"/>
                <w:sz w:val="24"/>
              </w:rPr>
            </w:pPr>
            <w:r>
              <w:rPr>
                <w:rFonts w:hint="eastAsia" w:ascii="仿宋" w:hAnsi="仿宋" w:eastAsia="仿宋" w:cs="宋体"/>
                <w:color w:val="auto"/>
                <w:sz w:val="24"/>
              </w:rPr>
              <w:t>根据投标人提供的针对此项目制定的管理团队服务方案进行评比，包含但不限于</w:t>
            </w:r>
            <w:r>
              <w:rPr>
                <w:rFonts w:hint="eastAsia" w:ascii="仿宋" w:hAnsi="仿宋" w:eastAsia="仿宋" w:cs="宋体"/>
                <w:color w:val="auto"/>
                <w:sz w:val="24"/>
              </w:rPr>
              <w:t xml:space="preserve"> ①管理团队机构的设置；②人员管理制度；③人员配备及管理；④职责分工等方面进行综</w:t>
            </w:r>
            <w:r>
              <w:rPr>
                <w:rFonts w:hint="eastAsia" w:ascii="仿宋" w:hAnsi="仿宋" w:eastAsia="仿宋" w:cs="宋体"/>
                <w:color w:val="auto"/>
                <w:sz w:val="24"/>
              </w:rPr>
              <w:t>合评价等。团队成员类似项目经验丰富，人员管理制度全面可行，岗位安排科学合理，岗位责任清晰明确且符合本项目实际需求。本项满</w:t>
            </w:r>
            <w:r>
              <w:rPr>
                <w:rFonts w:hint="eastAsia" w:ascii="仿宋" w:hAnsi="仿宋" w:eastAsia="仿宋" w:cs="宋体"/>
                <w:color w:val="auto"/>
                <w:sz w:val="24"/>
              </w:rPr>
              <w:t>分16分，每缺少一项内容扣4分，每项内容中每有一处缺陷扣2分（扣完为止）</w:t>
            </w:r>
            <w:r>
              <w:rPr>
                <w:rFonts w:hint="eastAsia" w:ascii="仿宋" w:hAnsi="仿宋" w:eastAsia="仿宋" w:cs="宋体"/>
                <w:color w:val="auto"/>
                <w:sz w:val="24"/>
              </w:rPr>
              <w:t>。</w:t>
            </w:r>
          </w:p>
          <w:p w14:paraId="7E49E51C">
            <w:pPr>
              <w:widowControl/>
              <w:spacing w:line="320" w:lineRule="exact"/>
              <w:jc w:val="left"/>
              <w:rPr>
                <w:rFonts w:ascii="仿宋" w:hAnsi="仿宋" w:eastAsia="仿宋" w:cs="仿宋"/>
                <w:color w:val="auto"/>
                <w:sz w:val="24"/>
              </w:rPr>
            </w:pPr>
            <w:r>
              <w:rPr>
                <w:rFonts w:hint="eastAsia" w:ascii="仿宋" w:hAnsi="仿宋" w:eastAsia="仿宋" w:cs="宋体"/>
                <w:color w:val="auto"/>
                <w:kern w:val="0"/>
                <w:sz w:val="24"/>
                <w:lang w:bidi="ar"/>
              </w:rPr>
              <w:t>（缺陷是指：存在不适用该项目实际情况的情形、凭空编造、内容前后不一致、</w:t>
            </w:r>
            <w:r>
              <w:rPr>
                <w:rFonts w:hint="eastAsia" w:ascii="仿宋" w:hAnsi="仿宋" w:eastAsia="仿宋" w:cs="宋体"/>
                <w:color w:val="auto"/>
                <w:sz w:val="24"/>
              </w:rPr>
              <w:t>岗位安排不科学，岗位责任不清晰，</w:t>
            </w:r>
            <w:r>
              <w:rPr>
                <w:rFonts w:hint="eastAsia" w:ascii="仿宋" w:hAnsi="仿宋" w:eastAsia="仿宋" w:cs="宋体"/>
                <w:color w:val="auto"/>
                <w:kern w:val="0"/>
                <w:sz w:val="24"/>
                <w:lang w:bidi="ar"/>
              </w:rPr>
              <w:t>地点区域错误、内容缺失、无针对性等任意一项等内容）</w:t>
            </w:r>
          </w:p>
        </w:tc>
      </w:tr>
      <w:tr w14:paraId="0734CCA3">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tcPr>
          <w:p w14:paraId="20535CC5">
            <w:pPr>
              <w:autoSpaceDE w:val="0"/>
              <w:autoSpaceDN w:val="0"/>
              <w:adjustRightInd w:val="0"/>
              <w:ind w:right="60"/>
              <w:jc w:val="center"/>
              <w:rPr>
                <w:rFonts w:ascii="仿宋" w:hAnsi="仿宋" w:eastAsia="仿宋" w:cs="宋体"/>
                <w:color w:val="auto"/>
                <w:kern w:val="0"/>
                <w:sz w:val="24"/>
              </w:rPr>
            </w:pPr>
          </w:p>
        </w:tc>
        <w:tc>
          <w:tcPr>
            <w:tcW w:w="1789" w:type="dxa"/>
            <w:tcBorders>
              <w:top w:val="single" w:color="auto" w:sz="4" w:space="0"/>
              <w:left w:val="single" w:color="auto" w:sz="4" w:space="0"/>
              <w:bottom w:val="single" w:color="auto" w:sz="4" w:space="0"/>
              <w:right w:val="single" w:color="auto" w:sz="4" w:space="0"/>
            </w:tcBorders>
            <w:vAlign w:val="center"/>
          </w:tcPr>
          <w:p w14:paraId="7AFFFA3D">
            <w:pPr>
              <w:autoSpaceDE w:val="0"/>
              <w:autoSpaceDN w:val="0"/>
              <w:adjustRightInd w:val="0"/>
              <w:ind w:right="-20"/>
              <w:jc w:val="center"/>
              <w:rPr>
                <w:rFonts w:ascii="仿宋" w:hAnsi="仿宋" w:eastAsia="仿宋" w:cs="仿宋"/>
                <w:color w:val="auto"/>
                <w:kern w:val="0"/>
                <w:sz w:val="24"/>
              </w:rPr>
            </w:pPr>
            <w:r>
              <w:rPr>
                <w:rFonts w:hint="eastAsia" w:ascii="仿宋" w:hAnsi="仿宋" w:eastAsia="仿宋" w:cs="宋体"/>
                <w:color w:val="auto"/>
                <w:kern w:val="0"/>
                <w:sz w:val="24"/>
              </w:rPr>
              <w:t xml:space="preserve">管理制度   </w:t>
            </w:r>
            <w:r>
              <w:rPr>
                <w:rFonts w:hint="eastAsia" w:ascii="仿宋" w:hAnsi="仿宋" w:eastAsia="仿宋" w:cs="宋体"/>
                <w:color w:val="auto"/>
                <w:kern w:val="0"/>
                <w:sz w:val="24"/>
              </w:rPr>
              <w:t>（0-6分</w:t>
            </w:r>
            <w:r>
              <w:rPr>
                <w:rFonts w:hint="eastAsia" w:ascii="仿宋" w:hAnsi="仿宋" w:eastAsia="仿宋" w:cs="宋体"/>
                <w:color w:val="auto"/>
                <w:kern w:val="0"/>
                <w:sz w:val="24"/>
              </w:rPr>
              <w:t>）</w:t>
            </w:r>
          </w:p>
        </w:tc>
        <w:tc>
          <w:tcPr>
            <w:tcW w:w="6472" w:type="dxa"/>
            <w:tcBorders>
              <w:top w:val="single" w:color="auto" w:sz="4" w:space="0"/>
              <w:left w:val="single" w:color="auto" w:sz="4" w:space="0"/>
              <w:bottom w:val="single" w:color="auto" w:sz="4" w:space="0"/>
              <w:right w:val="single" w:color="auto" w:sz="4" w:space="0"/>
            </w:tcBorders>
            <w:vAlign w:val="center"/>
          </w:tcPr>
          <w:p w14:paraId="3A8BFA91">
            <w:pPr>
              <w:widowControl/>
              <w:textAlignment w:val="center"/>
              <w:rPr>
                <w:rFonts w:ascii="仿宋" w:hAnsi="仿宋" w:eastAsia="仿宋" w:cs="宋体"/>
                <w:color w:val="auto"/>
                <w:kern w:val="0"/>
                <w:sz w:val="24"/>
                <w:lang w:bidi="ar"/>
              </w:rPr>
            </w:pPr>
            <w:r>
              <w:rPr>
                <w:rFonts w:hint="eastAsia" w:ascii="仿宋" w:hAnsi="仿宋" w:eastAsia="仿宋" w:cs="宋体"/>
                <w:color w:val="auto"/>
                <w:kern w:val="0"/>
                <w:sz w:val="24"/>
                <w:lang w:bidi="ar"/>
              </w:rPr>
              <w:t>根据投标人提供的针对此项目制定的管理制度</w:t>
            </w:r>
            <w:r>
              <w:rPr>
                <w:rFonts w:hint="eastAsia" w:ascii="仿宋" w:hAnsi="仿宋" w:eastAsia="仿宋" w:cs="仿宋"/>
                <w:color w:val="auto"/>
                <w:sz w:val="24"/>
              </w:rPr>
              <w:t>进行评比</w:t>
            </w:r>
            <w:r>
              <w:rPr>
                <w:rFonts w:hint="eastAsia" w:ascii="仿宋" w:hAnsi="仿宋" w:eastAsia="仿宋" w:cs="宋体"/>
                <w:color w:val="auto"/>
                <w:kern w:val="0"/>
                <w:sz w:val="24"/>
                <w:lang w:bidi="ar"/>
              </w:rPr>
              <w:t>，包含但不限于</w:t>
            </w:r>
            <w:r>
              <w:rPr>
                <w:rFonts w:hint="eastAsia" w:ascii="仿宋" w:hAnsi="仿宋" w:eastAsia="仿宋" w:cs="宋体"/>
                <w:color w:val="auto"/>
                <w:kern w:val="0"/>
                <w:sz w:val="24"/>
                <w:lang w:bidi="ar"/>
              </w:rPr>
              <w:t>①项目管理制度</w:t>
            </w:r>
            <w:r>
              <w:rPr>
                <w:rFonts w:hint="eastAsia" w:ascii="仿宋" w:hAnsi="仿宋" w:eastAsia="仿宋" w:cs="仿宋"/>
                <w:color w:val="auto"/>
                <w:sz w:val="24"/>
              </w:rPr>
              <w:t>；②</w:t>
            </w:r>
            <w:r>
              <w:rPr>
                <w:rFonts w:hint="eastAsia" w:ascii="仿宋" w:hAnsi="仿宋" w:eastAsia="仿宋" w:cs="宋体"/>
                <w:color w:val="auto"/>
                <w:kern w:val="0"/>
                <w:sz w:val="24"/>
                <w:lang w:bidi="ar"/>
              </w:rPr>
              <w:t>风险管理制度</w:t>
            </w:r>
            <w:r>
              <w:rPr>
                <w:rFonts w:hint="eastAsia" w:ascii="仿宋" w:hAnsi="仿宋" w:eastAsia="仿宋" w:cs="仿宋"/>
                <w:color w:val="auto"/>
                <w:sz w:val="24"/>
              </w:rPr>
              <w:t>；</w:t>
            </w:r>
            <w:r>
              <w:rPr>
                <w:rFonts w:hint="eastAsia" w:ascii="仿宋" w:hAnsi="仿宋" w:eastAsia="仿宋" w:cs="宋体"/>
                <w:color w:val="auto"/>
                <w:kern w:val="0"/>
                <w:sz w:val="24"/>
                <w:lang w:bidi="ar"/>
              </w:rPr>
              <w:t>③保mi管理制度等。</w:t>
            </w:r>
            <w:r>
              <w:rPr>
                <w:rFonts w:hint="eastAsia" w:ascii="仿宋" w:hAnsi="仿宋" w:eastAsia="仿宋" w:cs="宋体"/>
                <w:color w:val="auto"/>
                <w:kern w:val="0"/>
                <w:sz w:val="24"/>
                <w:lang w:bidi="ar"/>
              </w:rPr>
              <w:t>制度完整、详细、思路清晰、层次结构细化且符合本项目实际需求。本项</w:t>
            </w:r>
            <w:r>
              <w:rPr>
                <w:rFonts w:hint="eastAsia" w:ascii="仿宋" w:hAnsi="仿宋" w:eastAsia="仿宋" w:cs="宋体"/>
                <w:color w:val="auto"/>
                <w:kern w:val="0"/>
                <w:sz w:val="24"/>
                <w:lang w:bidi="ar"/>
              </w:rPr>
              <w:t>满分6分，每缺少一项内容扣2分</w:t>
            </w:r>
            <w:r>
              <w:rPr>
                <w:rFonts w:hint="eastAsia" w:ascii="仿宋" w:hAnsi="仿宋" w:eastAsia="仿宋" w:cs="宋体"/>
                <w:color w:val="auto"/>
                <w:kern w:val="0"/>
                <w:sz w:val="24"/>
                <w:lang w:bidi="ar"/>
              </w:rPr>
              <w:t>，每项内容中每有一处</w:t>
            </w:r>
            <w:r>
              <w:rPr>
                <w:rFonts w:hint="eastAsia" w:ascii="仿宋" w:hAnsi="仿宋" w:eastAsia="仿宋" w:cs="宋体"/>
                <w:color w:val="auto"/>
                <w:kern w:val="0"/>
                <w:sz w:val="24"/>
                <w:lang w:bidi="ar"/>
              </w:rPr>
              <w:t>缺陷扣1分（扣完为止）</w:t>
            </w:r>
            <w:r>
              <w:rPr>
                <w:rFonts w:hint="eastAsia" w:ascii="仿宋" w:hAnsi="仿宋" w:eastAsia="仿宋" w:cs="宋体"/>
                <w:color w:val="auto"/>
                <w:kern w:val="0"/>
                <w:sz w:val="24"/>
                <w:lang w:bidi="ar"/>
              </w:rPr>
              <w:t>。</w:t>
            </w:r>
          </w:p>
          <w:p w14:paraId="6A5CA3CB">
            <w:pPr>
              <w:pStyle w:val="2"/>
              <w:rPr>
                <w:rFonts w:ascii="仿宋" w:hAnsi="仿宋" w:eastAsia="仿宋" w:cs="仿宋"/>
                <w:color w:val="auto"/>
                <w:sz w:val="24"/>
                <w:szCs w:val="24"/>
              </w:rPr>
            </w:pPr>
            <w:r>
              <w:rPr>
                <w:rFonts w:hint="eastAsia" w:ascii="仿宋" w:hAnsi="仿宋" w:eastAsia="仿宋" w:cs="宋体"/>
                <w:color w:val="auto"/>
                <w:kern w:val="0"/>
                <w:sz w:val="24"/>
                <w:lang w:bidi="ar"/>
              </w:rPr>
              <w:t>（缺陷是指：存在不适用该项目实际情况的情形、凭空编造、内容前后不一致、前后逻辑错误、地点区域错误、内容缺失、无针对性等任意一项等内容）。</w:t>
            </w:r>
          </w:p>
        </w:tc>
      </w:tr>
      <w:tr w14:paraId="7A8FD7CA">
        <w:tblPrEx>
          <w:tblCellMar>
            <w:top w:w="0" w:type="dxa"/>
            <w:left w:w="0" w:type="dxa"/>
            <w:bottom w:w="0" w:type="dxa"/>
            <w:right w:w="0" w:type="dxa"/>
          </w:tblCellMar>
        </w:tblPrEx>
        <w:trPr>
          <w:cantSplit/>
          <w:trHeight w:val="567" w:hRule="atLeast"/>
        </w:trPr>
        <w:tc>
          <w:tcPr>
            <w:tcW w:w="1280" w:type="dxa"/>
            <w:tcBorders>
              <w:left w:val="single" w:color="auto" w:sz="4" w:space="0"/>
              <w:bottom w:val="single" w:color="auto" w:sz="4" w:space="0"/>
              <w:right w:val="single" w:color="auto" w:sz="4" w:space="0"/>
            </w:tcBorders>
          </w:tcPr>
          <w:p w14:paraId="6B93C909">
            <w:pPr>
              <w:autoSpaceDE w:val="0"/>
              <w:autoSpaceDN w:val="0"/>
              <w:adjustRightInd w:val="0"/>
              <w:ind w:right="60"/>
              <w:jc w:val="center"/>
              <w:rPr>
                <w:rFonts w:ascii="仿宋" w:hAnsi="仿宋" w:eastAsia="仿宋" w:cs="宋体"/>
                <w:color w:val="auto"/>
                <w:kern w:val="0"/>
                <w:sz w:val="24"/>
              </w:rPr>
            </w:pPr>
          </w:p>
        </w:tc>
        <w:tc>
          <w:tcPr>
            <w:tcW w:w="1789" w:type="dxa"/>
            <w:tcBorders>
              <w:top w:val="single" w:color="auto" w:sz="4" w:space="0"/>
              <w:left w:val="single" w:color="auto" w:sz="4" w:space="0"/>
              <w:bottom w:val="single" w:color="auto" w:sz="4" w:space="0"/>
              <w:right w:val="single" w:color="auto" w:sz="4" w:space="0"/>
            </w:tcBorders>
            <w:vAlign w:val="center"/>
          </w:tcPr>
          <w:p w14:paraId="0E664DD4">
            <w:pPr>
              <w:autoSpaceDE w:val="0"/>
              <w:autoSpaceDN w:val="0"/>
              <w:adjustRightInd w:val="0"/>
              <w:ind w:right="-20"/>
              <w:jc w:val="center"/>
              <w:rPr>
                <w:rFonts w:ascii="仿宋" w:hAnsi="仿宋" w:eastAsia="仿宋" w:cs="仿宋"/>
                <w:color w:val="auto"/>
                <w:kern w:val="0"/>
                <w:sz w:val="24"/>
              </w:rPr>
            </w:pPr>
            <w:r>
              <w:rPr>
                <w:rFonts w:hint="eastAsia" w:ascii="仿宋" w:hAnsi="仿宋" w:eastAsia="仿宋" w:cs="宋体"/>
                <w:color w:val="auto"/>
                <w:kern w:val="0"/>
                <w:sz w:val="24"/>
              </w:rPr>
              <w:t xml:space="preserve">售后服务承诺     </w:t>
            </w:r>
            <w:r>
              <w:rPr>
                <w:rFonts w:hint="eastAsia" w:ascii="仿宋" w:hAnsi="仿宋" w:eastAsia="仿宋" w:cs="宋体"/>
                <w:color w:val="auto"/>
                <w:kern w:val="0"/>
                <w:sz w:val="24"/>
              </w:rPr>
              <w:t>（0-2分）</w:t>
            </w:r>
          </w:p>
        </w:tc>
        <w:tc>
          <w:tcPr>
            <w:tcW w:w="6472" w:type="dxa"/>
            <w:tcBorders>
              <w:top w:val="single" w:color="auto" w:sz="4" w:space="0"/>
              <w:left w:val="single" w:color="auto" w:sz="4" w:space="0"/>
              <w:bottom w:val="single" w:color="auto" w:sz="4" w:space="0"/>
              <w:right w:val="single" w:color="auto" w:sz="4" w:space="0"/>
            </w:tcBorders>
            <w:vAlign w:val="center"/>
          </w:tcPr>
          <w:p w14:paraId="3662D974">
            <w:pPr>
              <w:widowControl/>
              <w:spacing w:line="320" w:lineRule="exact"/>
              <w:jc w:val="left"/>
              <w:textAlignment w:val="center"/>
              <w:rPr>
                <w:rFonts w:ascii="仿宋" w:hAnsi="仿宋" w:eastAsia="仿宋" w:cs="仿宋"/>
                <w:color w:val="auto"/>
                <w:sz w:val="24"/>
              </w:rPr>
            </w:pPr>
            <w:r>
              <w:rPr>
                <w:rFonts w:hint="eastAsia" w:ascii="仿宋" w:hAnsi="仿宋" w:eastAsia="仿宋" w:cs="仿宋"/>
                <w:color w:val="auto"/>
                <w:sz w:val="24"/>
              </w:rPr>
              <w:t>根据投标人提供的针对此项目制定的售后服务承诺进行评比包含但不限于</w:t>
            </w:r>
            <w:r>
              <w:rPr>
                <w:rFonts w:hint="eastAsia" w:ascii="仿宋" w:hAnsi="仿宋" w:eastAsia="仿宋" w:cs="仿宋"/>
                <w:color w:val="auto"/>
                <w:sz w:val="24"/>
              </w:rPr>
              <w:t>①售后服务方案、响应时间；②服务保障措施等</w:t>
            </w:r>
            <w:r>
              <w:rPr>
                <w:rFonts w:hint="eastAsia" w:ascii="仿宋" w:hAnsi="仿宋" w:eastAsia="仿宋" w:cs="仿宋"/>
                <w:color w:val="auto"/>
                <w:sz w:val="24"/>
              </w:rPr>
              <w:t>。售后服务承诺完整、详细、可行性高且符合本项目售后实际需求。本项满</w:t>
            </w:r>
            <w:r>
              <w:rPr>
                <w:rFonts w:hint="eastAsia" w:ascii="仿宋" w:hAnsi="仿宋" w:eastAsia="仿宋" w:cs="仿宋"/>
                <w:color w:val="auto"/>
                <w:sz w:val="24"/>
              </w:rPr>
              <w:t>分2分，每缺少一项内容扣1分，每项内容中每有一处缺陷扣0.5分（扣完为止</w:t>
            </w:r>
            <w:r>
              <w:rPr>
                <w:rFonts w:hint="eastAsia" w:ascii="仿宋" w:hAnsi="仿宋" w:eastAsia="仿宋" w:cs="仿宋"/>
                <w:color w:val="auto"/>
                <w:sz w:val="24"/>
              </w:rPr>
              <w:t>）。</w:t>
            </w:r>
          </w:p>
          <w:p w14:paraId="45E12A84">
            <w:pPr>
              <w:widowControl/>
              <w:jc w:val="left"/>
              <w:textAlignment w:val="center"/>
              <w:rPr>
                <w:rFonts w:ascii="仿宋" w:hAnsi="仿宋" w:eastAsia="仿宋" w:cs="仿宋"/>
                <w:color w:val="auto"/>
                <w:sz w:val="24"/>
              </w:rPr>
            </w:pPr>
            <w:r>
              <w:rPr>
                <w:rFonts w:hint="eastAsia" w:ascii="仿宋" w:hAnsi="仿宋" w:eastAsia="仿宋" w:cs="仿宋"/>
                <w:color w:val="auto"/>
                <w:sz w:val="24"/>
              </w:rPr>
              <w:t>（缺陷是指：存在不适用该项目实际情况的情形、凭空编造、内容前后不一致、前后逻辑错误、地点区域错误、内容缺失、无针对性等任意一项等内容）</w:t>
            </w:r>
          </w:p>
        </w:tc>
      </w:tr>
    </w:tbl>
    <w:p w14:paraId="5E02E5EA">
      <w:pPr>
        <w:pStyle w:val="16"/>
        <w:ind w:left="2520"/>
        <w:rPr>
          <w:rFonts w:hAnsi="宋体" w:cs="宋体"/>
          <w:color w:val="auto"/>
          <w:kern w:val="0"/>
          <w:sz w:val="32"/>
          <w:szCs w:val="32"/>
        </w:rPr>
      </w:pPr>
    </w:p>
    <w:p w14:paraId="035236FF">
      <w:pPr>
        <w:pStyle w:val="2"/>
        <w:rPr>
          <w:rFonts w:hAnsi="宋体" w:cs="宋体"/>
          <w:color w:val="auto"/>
          <w:kern w:val="0"/>
          <w:sz w:val="32"/>
          <w:szCs w:val="32"/>
        </w:rPr>
      </w:pPr>
    </w:p>
    <w:p w14:paraId="40C649A7">
      <w:pPr>
        <w:pStyle w:val="10"/>
        <w:rPr>
          <w:rFonts w:cs="宋体"/>
          <w:color w:val="auto"/>
          <w:kern w:val="0"/>
          <w:sz w:val="32"/>
          <w:szCs w:val="32"/>
        </w:rPr>
      </w:pPr>
    </w:p>
    <w:p w14:paraId="6E1995CD">
      <w:pPr>
        <w:pStyle w:val="35"/>
        <w:ind w:firstLine="320"/>
        <w:rPr>
          <w:rFonts w:hint="default" w:hAnsi="宋体" w:cs="宋体"/>
          <w:color w:val="auto"/>
          <w:kern w:val="0"/>
          <w:sz w:val="32"/>
          <w:szCs w:val="32"/>
        </w:rPr>
      </w:pPr>
    </w:p>
    <w:p w14:paraId="519C4AFE">
      <w:pPr>
        <w:rPr>
          <w:rFonts w:hAnsi="宋体" w:cs="宋体"/>
          <w:color w:val="auto"/>
          <w:kern w:val="0"/>
          <w:sz w:val="32"/>
          <w:szCs w:val="32"/>
        </w:rPr>
      </w:pPr>
    </w:p>
    <w:p w14:paraId="2D0A7D0C">
      <w:pPr>
        <w:spacing w:line="240" w:lineRule="atLeast"/>
        <w:ind w:left="1080" w:leftChars="257" w:hanging="540"/>
        <w:jc w:val="center"/>
        <w:rPr>
          <w:rFonts w:ascii="仿宋" w:hAnsi="仿宋" w:eastAsia="仿宋" w:cs="仿宋"/>
          <w:b/>
          <w:color w:val="auto"/>
          <w:sz w:val="48"/>
          <w:szCs w:val="48"/>
        </w:rPr>
      </w:pPr>
      <w:bookmarkStart w:id="341" w:name="_Toc507399904"/>
    </w:p>
    <w:p w14:paraId="4EC552D7">
      <w:pPr>
        <w:pStyle w:val="2"/>
        <w:rPr>
          <w:color w:val="auto"/>
        </w:rPr>
      </w:pPr>
    </w:p>
    <w:p w14:paraId="49BC72D0">
      <w:pPr>
        <w:pStyle w:val="2"/>
        <w:rPr>
          <w:color w:val="auto"/>
        </w:rPr>
      </w:pPr>
    </w:p>
    <w:p w14:paraId="12DE833C">
      <w:pPr>
        <w:pStyle w:val="2"/>
        <w:rPr>
          <w:color w:val="auto"/>
        </w:rPr>
      </w:pPr>
    </w:p>
    <w:p w14:paraId="10EA3380">
      <w:pPr>
        <w:pStyle w:val="2"/>
        <w:rPr>
          <w:color w:val="auto"/>
        </w:rPr>
      </w:pPr>
    </w:p>
    <w:p w14:paraId="1046B255">
      <w:pPr>
        <w:pStyle w:val="2"/>
        <w:rPr>
          <w:color w:val="auto"/>
        </w:rPr>
      </w:pPr>
    </w:p>
    <w:p w14:paraId="04150B5E">
      <w:pPr>
        <w:pStyle w:val="2"/>
        <w:rPr>
          <w:color w:val="auto"/>
        </w:rPr>
      </w:pPr>
    </w:p>
    <w:p w14:paraId="37170368">
      <w:pPr>
        <w:pStyle w:val="2"/>
        <w:rPr>
          <w:color w:val="auto"/>
        </w:rPr>
      </w:pPr>
    </w:p>
    <w:p w14:paraId="5C6EF9A5">
      <w:pPr>
        <w:pStyle w:val="2"/>
        <w:rPr>
          <w:color w:val="auto"/>
        </w:rPr>
      </w:pPr>
    </w:p>
    <w:p w14:paraId="0353A1DE">
      <w:pPr>
        <w:pStyle w:val="2"/>
        <w:rPr>
          <w:color w:val="auto"/>
        </w:rPr>
      </w:pPr>
    </w:p>
    <w:p w14:paraId="65B4152D">
      <w:pPr>
        <w:pStyle w:val="2"/>
        <w:rPr>
          <w:color w:val="auto"/>
        </w:rPr>
      </w:pPr>
    </w:p>
    <w:p w14:paraId="5CDBDF0F">
      <w:pPr>
        <w:pStyle w:val="2"/>
        <w:rPr>
          <w:color w:val="auto"/>
        </w:rPr>
      </w:pPr>
    </w:p>
    <w:p w14:paraId="0887AE03">
      <w:pPr>
        <w:pStyle w:val="2"/>
        <w:rPr>
          <w:color w:val="auto"/>
        </w:rPr>
      </w:pPr>
    </w:p>
    <w:p w14:paraId="1D7EC7C6">
      <w:pPr>
        <w:pStyle w:val="2"/>
        <w:rPr>
          <w:color w:val="auto"/>
        </w:rPr>
      </w:pPr>
    </w:p>
    <w:p w14:paraId="022C2339">
      <w:pPr>
        <w:pStyle w:val="2"/>
        <w:rPr>
          <w:color w:val="auto"/>
        </w:rPr>
      </w:pPr>
    </w:p>
    <w:p w14:paraId="57878706">
      <w:pPr>
        <w:pStyle w:val="2"/>
        <w:rPr>
          <w:color w:val="auto"/>
        </w:rPr>
      </w:pPr>
    </w:p>
    <w:p w14:paraId="0E80278E">
      <w:pPr>
        <w:spacing w:line="240" w:lineRule="atLeast"/>
        <w:ind w:left="1080" w:leftChars="257" w:hanging="540"/>
        <w:jc w:val="center"/>
        <w:rPr>
          <w:rFonts w:ascii="仿宋" w:hAnsi="仿宋" w:eastAsia="仿宋" w:cs="仿宋"/>
          <w:b/>
          <w:color w:val="auto"/>
          <w:sz w:val="48"/>
          <w:szCs w:val="48"/>
        </w:rPr>
      </w:pPr>
      <w:r>
        <w:rPr>
          <w:rFonts w:hint="eastAsia" w:ascii="仿宋" w:hAnsi="仿宋" w:eastAsia="仿宋" w:cs="仿宋"/>
          <w:b/>
          <w:color w:val="auto"/>
          <w:sz w:val="48"/>
          <w:szCs w:val="48"/>
        </w:rPr>
        <w:t>第三册</w:t>
      </w:r>
    </w:p>
    <w:p w14:paraId="675AC3EE">
      <w:pPr>
        <w:spacing w:line="240" w:lineRule="atLeast"/>
        <w:ind w:left="1080" w:leftChars="257" w:hanging="540"/>
        <w:jc w:val="center"/>
        <w:rPr>
          <w:rFonts w:ascii="宋体" w:hAnsi="宋体" w:cs="宋体"/>
          <w:b/>
          <w:color w:val="auto"/>
          <w:sz w:val="52"/>
        </w:rPr>
      </w:pPr>
    </w:p>
    <w:p w14:paraId="3E3EF041">
      <w:pPr>
        <w:spacing w:line="240" w:lineRule="atLeast"/>
        <w:ind w:left="1080" w:leftChars="257" w:hanging="540"/>
        <w:jc w:val="center"/>
        <w:rPr>
          <w:rFonts w:ascii="宋体" w:hAnsi="宋体" w:cs="宋体"/>
          <w:b/>
          <w:color w:val="auto"/>
          <w:sz w:val="52"/>
        </w:rPr>
      </w:pPr>
    </w:p>
    <w:p w14:paraId="5D15B3D5">
      <w:pPr>
        <w:spacing w:line="240" w:lineRule="atLeast"/>
        <w:ind w:left="1080" w:leftChars="257" w:hanging="540"/>
        <w:jc w:val="center"/>
        <w:rPr>
          <w:rFonts w:ascii="宋体" w:hAnsi="宋体" w:cs="宋体"/>
          <w:b/>
          <w:color w:val="auto"/>
          <w:sz w:val="52"/>
        </w:rPr>
      </w:pPr>
    </w:p>
    <w:p w14:paraId="7C6EC6C6">
      <w:pPr>
        <w:spacing w:line="240" w:lineRule="atLeast"/>
        <w:ind w:left="1080" w:leftChars="257" w:hanging="540"/>
        <w:jc w:val="center"/>
        <w:rPr>
          <w:rFonts w:ascii="宋体" w:hAnsi="宋体" w:cs="宋体"/>
          <w:b/>
          <w:color w:val="auto"/>
          <w:sz w:val="52"/>
        </w:rPr>
      </w:pPr>
    </w:p>
    <w:p w14:paraId="436118FA">
      <w:pPr>
        <w:spacing w:line="240" w:lineRule="atLeast"/>
        <w:ind w:left="1080" w:leftChars="257" w:hanging="540"/>
        <w:jc w:val="center"/>
        <w:rPr>
          <w:rFonts w:ascii="宋体" w:hAnsi="宋体" w:cs="宋体"/>
          <w:b/>
          <w:color w:val="auto"/>
          <w:sz w:val="52"/>
        </w:rPr>
      </w:pPr>
    </w:p>
    <w:p w14:paraId="7D45A1B5">
      <w:pPr>
        <w:spacing w:line="240" w:lineRule="atLeast"/>
        <w:ind w:left="1080" w:leftChars="257" w:hanging="540"/>
        <w:jc w:val="center"/>
        <w:rPr>
          <w:rFonts w:ascii="宋体" w:hAnsi="宋体" w:cs="宋体"/>
          <w:b/>
          <w:color w:val="auto"/>
          <w:sz w:val="52"/>
        </w:rPr>
      </w:pPr>
    </w:p>
    <w:p w14:paraId="00869996">
      <w:pPr>
        <w:spacing w:line="240" w:lineRule="atLeast"/>
        <w:ind w:left="1080" w:leftChars="257" w:hanging="540"/>
        <w:jc w:val="center"/>
        <w:rPr>
          <w:rFonts w:ascii="宋体" w:hAnsi="宋体" w:cs="宋体"/>
          <w:b/>
          <w:color w:val="auto"/>
          <w:sz w:val="52"/>
        </w:rPr>
      </w:pPr>
      <w:r>
        <w:rPr>
          <w:rFonts w:hint="eastAsia" w:ascii="宋体" w:hAnsi="宋体" w:cs="宋体"/>
          <w:b/>
          <w:color w:val="auto"/>
          <w:sz w:val="52"/>
        </w:rPr>
        <w:t xml:space="preserve">  </w:t>
      </w:r>
    </w:p>
    <w:p w14:paraId="5C9CDC9F">
      <w:pPr>
        <w:spacing w:line="240" w:lineRule="atLeast"/>
        <w:ind w:left="1080" w:leftChars="257" w:hanging="540"/>
        <w:rPr>
          <w:rFonts w:ascii="宋体" w:hAnsi="宋体" w:cs="宋体"/>
          <w:b/>
          <w:color w:val="auto"/>
          <w:szCs w:val="21"/>
        </w:rPr>
      </w:pPr>
    </w:p>
    <w:p w14:paraId="15C8F690">
      <w:pPr>
        <w:rPr>
          <w:rFonts w:ascii="宋体" w:hAnsi="宋体" w:cs="宋体"/>
          <w:color w:val="auto"/>
        </w:rPr>
      </w:pPr>
      <w:r>
        <w:rPr>
          <w:rFonts w:hint="eastAsia" w:ascii="宋体" w:hAnsi="宋体" w:cs="宋体"/>
          <w:b/>
          <w:color w:val="auto"/>
          <w:sz w:val="52"/>
        </w:rPr>
        <w:br w:type="page"/>
      </w:r>
    </w:p>
    <w:p w14:paraId="4D4E7550">
      <w:pPr>
        <w:pStyle w:val="3"/>
        <w:tabs>
          <w:tab w:val="left" w:pos="0"/>
        </w:tabs>
        <w:spacing w:before="0" w:after="0" w:line="240" w:lineRule="atLeast"/>
        <w:ind w:left="-15"/>
        <w:rPr>
          <w:rFonts w:ascii="仿宋" w:hAnsi="仿宋" w:eastAsia="仿宋" w:cs="仿宋"/>
          <w:color w:val="auto"/>
        </w:rPr>
      </w:pPr>
      <w:bookmarkStart w:id="342" w:name="_Toc515647833"/>
      <w:bookmarkStart w:id="343" w:name="_Toc4337"/>
      <w:bookmarkStart w:id="344" w:name="_Toc6865"/>
      <w:bookmarkStart w:id="345" w:name="_Toc4796"/>
      <w:r>
        <w:rPr>
          <w:rFonts w:hint="eastAsia" w:ascii="仿宋" w:hAnsi="仿宋" w:eastAsia="仿宋" w:cs="仿宋"/>
          <w:color w:val="auto"/>
        </w:rPr>
        <w:t>第7章 政府采购合同</w:t>
      </w:r>
      <w:bookmarkEnd w:id="341"/>
      <w:bookmarkEnd w:id="342"/>
      <w:bookmarkEnd w:id="343"/>
      <w:bookmarkEnd w:id="344"/>
      <w:bookmarkEnd w:id="345"/>
      <w:bookmarkStart w:id="346" w:name="_Hlt487972895"/>
      <w:bookmarkEnd w:id="346"/>
      <w:bookmarkStart w:id="347" w:name="_Toc216513788"/>
      <w:bookmarkStart w:id="348" w:name="_Toc487900382"/>
    </w:p>
    <w:bookmarkEnd w:id="347"/>
    <w:bookmarkEnd w:id="348"/>
    <w:p w14:paraId="362A8323">
      <w:pPr>
        <w:spacing w:line="240" w:lineRule="atLeast"/>
        <w:rPr>
          <w:rFonts w:ascii="仿宋" w:hAnsi="仿宋" w:eastAsia="仿宋" w:cs="仿宋"/>
          <w:b/>
          <w:color w:val="auto"/>
          <w:kern w:val="44"/>
          <w:sz w:val="32"/>
          <w:szCs w:val="20"/>
        </w:rPr>
      </w:pPr>
    </w:p>
    <w:p w14:paraId="65A8A6AF">
      <w:pPr>
        <w:rPr>
          <w:rFonts w:ascii="仿宋" w:hAnsi="仿宋" w:eastAsia="仿宋" w:cs="仿宋"/>
          <w:color w:val="auto"/>
          <w:sz w:val="22"/>
          <w:szCs w:val="22"/>
          <w:u w:val="single"/>
        </w:rPr>
      </w:pPr>
      <w:r>
        <w:rPr>
          <w:rFonts w:hint="eastAsia" w:ascii="仿宋" w:hAnsi="仿宋" w:eastAsia="仿宋" w:cs="仿宋"/>
          <w:color w:val="auto"/>
          <w:sz w:val="22"/>
          <w:szCs w:val="22"/>
        </w:rPr>
        <w:t>合同编号：</w:t>
      </w:r>
      <w:r>
        <w:rPr>
          <w:rFonts w:hint="eastAsia" w:ascii="仿宋" w:hAnsi="仿宋" w:eastAsia="仿宋" w:cs="仿宋"/>
          <w:color w:val="auto"/>
          <w:sz w:val="22"/>
          <w:szCs w:val="22"/>
          <w:u w:val="single"/>
        </w:rPr>
        <w:t xml:space="preserve">           </w:t>
      </w:r>
    </w:p>
    <w:p w14:paraId="34E6257A">
      <w:pPr>
        <w:pStyle w:val="7"/>
        <w:rPr>
          <w:rFonts w:ascii="仿宋" w:hAnsi="仿宋" w:eastAsia="仿宋" w:cs="仿宋"/>
          <w:color w:val="auto"/>
          <w:sz w:val="22"/>
          <w:szCs w:val="18"/>
        </w:rPr>
      </w:pPr>
    </w:p>
    <w:p w14:paraId="444F270D">
      <w:pPr>
        <w:spacing w:line="360" w:lineRule="auto"/>
        <w:jc w:val="center"/>
        <w:rPr>
          <w:rFonts w:ascii="仿宋" w:hAnsi="仿宋" w:eastAsia="仿宋" w:cs="仿宋"/>
          <w:b/>
          <w:color w:val="auto"/>
          <w:sz w:val="40"/>
          <w:szCs w:val="40"/>
        </w:rPr>
      </w:pPr>
      <w:r>
        <w:rPr>
          <w:rFonts w:hint="eastAsia" w:ascii="仿宋" w:hAnsi="仿宋" w:eastAsia="仿宋" w:cs="仿宋"/>
          <w:b/>
          <w:color w:val="auto"/>
          <w:sz w:val="40"/>
          <w:szCs w:val="40"/>
        </w:rPr>
        <w:t>政府采购合同参考范本</w:t>
      </w:r>
    </w:p>
    <w:p w14:paraId="5E9A2B99">
      <w:pPr>
        <w:spacing w:line="360" w:lineRule="auto"/>
        <w:jc w:val="center"/>
        <w:rPr>
          <w:rFonts w:ascii="仿宋" w:hAnsi="仿宋" w:eastAsia="仿宋" w:cs="仿宋"/>
          <w:b/>
          <w:color w:val="auto"/>
          <w:sz w:val="22"/>
          <w:szCs w:val="22"/>
        </w:rPr>
      </w:pPr>
      <w:r>
        <w:rPr>
          <w:rFonts w:hint="eastAsia" w:ascii="仿宋" w:hAnsi="仿宋" w:eastAsia="仿宋" w:cs="仿宋"/>
          <w:b/>
          <w:color w:val="auto"/>
          <w:sz w:val="22"/>
          <w:szCs w:val="22"/>
        </w:rPr>
        <w:t>（服务类）</w:t>
      </w:r>
    </w:p>
    <w:p w14:paraId="3C74833C">
      <w:pPr>
        <w:pStyle w:val="63"/>
        <w:spacing w:line="360" w:lineRule="auto"/>
        <w:ind w:firstLine="0"/>
        <w:rPr>
          <w:rFonts w:ascii="仿宋" w:hAnsi="仿宋" w:eastAsia="仿宋" w:cs="仿宋"/>
          <w:color w:val="auto"/>
          <w:sz w:val="22"/>
          <w:szCs w:val="22"/>
        </w:rPr>
      </w:pPr>
    </w:p>
    <w:p w14:paraId="45860B06">
      <w:pPr>
        <w:pStyle w:val="63"/>
        <w:spacing w:line="360" w:lineRule="auto"/>
        <w:ind w:firstLine="0"/>
        <w:rPr>
          <w:rFonts w:ascii="仿宋" w:hAnsi="仿宋" w:eastAsia="仿宋" w:cs="仿宋"/>
          <w:color w:val="auto"/>
          <w:sz w:val="22"/>
          <w:szCs w:val="22"/>
        </w:rPr>
      </w:pPr>
    </w:p>
    <w:p w14:paraId="24C84224">
      <w:pPr>
        <w:pStyle w:val="63"/>
        <w:spacing w:line="360" w:lineRule="auto"/>
        <w:ind w:firstLine="0"/>
        <w:rPr>
          <w:rFonts w:ascii="仿宋" w:hAnsi="仿宋" w:eastAsia="仿宋" w:cs="仿宋"/>
          <w:color w:val="auto"/>
          <w:szCs w:val="24"/>
        </w:rPr>
      </w:pPr>
    </w:p>
    <w:p w14:paraId="7E20D2D3">
      <w:pPr>
        <w:pStyle w:val="63"/>
        <w:spacing w:line="360" w:lineRule="auto"/>
        <w:ind w:firstLine="0"/>
        <w:jc w:val="center"/>
        <w:rPr>
          <w:rFonts w:ascii="仿宋" w:hAnsi="仿宋" w:eastAsia="仿宋" w:cs="仿宋"/>
          <w:b/>
          <w:color w:val="auto"/>
          <w:szCs w:val="24"/>
        </w:rPr>
      </w:pPr>
      <w:r>
        <w:rPr>
          <w:rFonts w:hint="eastAsia" w:ascii="仿宋" w:hAnsi="仿宋" w:eastAsia="仿宋" w:cs="仿宋"/>
          <w:b/>
          <w:color w:val="auto"/>
          <w:szCs w:val="24"/>
        </w:rPr>
        <w:t>第一部分 合同书</w:t>
      </w:r>
    </w:p>
    <w:p w14:paraId="21B887AB">
      <w:pPr>
        <w:pStyle w:val="63"/>
        <w:spacing w:line="360" w:lineRule="auto"/>
        <w:ind w:firstLine="0"/>
        <w:rPr>
          <w:rFonts w:ascii="仿宋" w:hAnsi="仿宋" w:eastAsia="仿宋" w:cs="仿宋"/>
          <w:color w:val="auto"/>
          <w:szCs w:val="24"/>
        </w:rPr>
      </w:pPr>
    </w:p>
    <w:p w14:paraId="30CC5BDA">
      <w:pPr>
        <w:spacing w:before="120" w:line="360" w:lineRule="auto"/>
        <w:rPr>
          <w:rFonts w:ascii="仿宋" w:hAnsi="仿宋" w:eastAsia="仿宋" w:cs="仿宋"/>
          <w:color w:val="auto"/>
          <w:sz w:val="24"/>
          <w:szCs w:val="22"/>
        </w:rPr>
      </w:pPr>
    </w:p>
    <w:p w14:paraId="51DFFCEE">
      <w:pPr>
        <w:spacing w:before="120" w:line="22" w:lineRule="atLeast"/>
        <w:ind w:left="96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p w14:paraId="6E357EBA">
      <w:pPr>
        <w:pStyle w:val="80"/>
        <w:spacing w:before="120" w:line="22" w:lineRule="atLeast"/>
        <w:rPr>
          <w:rFonts w:ascii="仿宋" w:hAnsi="仿宋" w:eastAsia="仿宋" w:cs="仿宋"/>
          <w:color w:val="auto"/>
          <w:szCs w:val="24"/>
        </w:rPr>
      </w:pPr>
    </w:p>
    <w:p w14:paraId="6BECBB73">
      <w:pPr>
        <w:pStyle w:val="80"/>
        <w:spacing w:before="120" w:line="22" w:lineRule="atLeast"/>
        <w:rPr>
          <w:rFonts w:ascii="仿宋" w:hAnsi="仿宋" w:eastAsia="仿宋" w:cs="仿宋"/>
          <w:color w:val="auto"/>
          <w:szCs w:val="24"/>
        </w:rPr>
      </w:pPr>
    </w:p>
    <w:p w14:paraId="06D5A14B">
      <w:pPr>
        <w:rPr>
          <w:rFonts w:ascii="仿宋" w:hAnsi="仿宋" w:eastAsia="仿宋" w:cs="仿宋"/>
          <w:color w:val="auto"/>
        </w:rPr>
      </w:pPr>
    </w:p>
    <w:p w14:paraId="7F2C1724">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p>
    <w:p w14:paraId="360E6C30">
      <w:pPr>
        <w:spacing w:before="120" w:line="22" w:lineRule="atLeast"/>
        <w:rPr>
          <w:rFonts w:ascii="仿宋" w:hAnsi="仿宋" w:eastAsia="仿宋" w:cs="仿宋"/>
          <w:color w:val="auto"/>
          <w:sz w:val="24"/>
        </w:rPr>
      </w:pPr>
    </w:p>
    <w:p w14:paraId="5F246B9C">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乙方：</w:t>
      </w:r>
      <w:r>
        <w:rPr>
          <w:rFonts w:hint="eastAsia" w:ascii="仿宋" w:hAnsi="仿宋" w:eastAsia="仿宋" w:cs="仿宋"/>
          <w:color w:val="auto"/>
          <w:sz w:val="24"/>
          <w:u w:val="single"/>
        </w:rPr>
        <w:t xml:space="preserve">                                       </w:t>
      </w:r>
    </w:p>
    <w:p w14:paraId="176C449A">
      <w:pPr>
        <w:spacing w:before="120" w:line="22" w:lineRule="atLeast"/>
        <w:rPr>
          <w:rFonts w:ascii="仿宋" w:hAnsi="仿宋" w:eastAsia="仿宋" w:cs="仿宋"/>
          <w:color w:val="auto"/>
          <w:sz w:val="24"/>
        </w:rPr>
      </w:pPr>
    </w:p>
    <w:p w14:paraId="3665282E">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签订地：</w:t>
      </w:r>
      <w:r>
        <w:rPr>
          <w:rFonts w:hint="eastAsia" w:ascii="仿宋" w:hAnsi="仿宋" w:eastAsia="仿宋" w:cs="仿宋"/>
          <w:color w:val="auto"/>
          <w:sz w:val="24"/>
          <w:u w:val="single"/>
        </w:rPr>
        <w:t xml:space="preserve">                                     </w:t>
      </w:r>
    </w:p>
    <w:p w14:paraId="19EAE0E0">
      <w:pPr>
        <w:spacing w:before="120" w:line="22" w:lineRule="atLeast"/>
        <w:rPr>
          <w:rFonts w:ascii="仿宋" w:hAnsi="仿宋" w:eastAsia="仿宋" w:cs="仿宋"/>
          <w:color w:val="auto"/>
          <w:sz w:val="24"/>
        </w:rPr>
      </w:pPr>
    </w:p>
    <w:p w14:paraId="365C01FF">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381EFA50">
      <w:pPr>
        <w:autoSpaceDE w:val="0"/>
        <w:autoSpaceDN w:val="0"/>
        <w:adjustRightInd w:val="0"/>
        <w:spacing w:line="360" w:lineRule="auto"/>
        <w:ind w:firstLine="640"/>
        <w:jc w:val="center"/>
        <w:rPr>
          <w:rFonts w:ascii="仿宋" w:hAnsi="仿宋" w:eastAsia="仿宋" w:cs="仿宋"/>
          <w:color w:val="auto"/>
          <w:sz w:val="24"/>
          <w:szCs w:val="22"/>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417" w:bottom="1474" w:left="1417" w:header="851" w:footer="851" w:gutter="0"/>
          <w:cols w:space="720" w:num="1"/>
          <w:docGrid w:linePitch="462" w:charSpace="0"/>
        </w:sectPr>
      </w:pPr>
    </w:p>
    <w:p w14:paraId="7BC73E6D">
      <w:pPr>
        <w:spacing w:line="560" w:lineRule="exact"/>
        <w:ind w:firstLine="440" w:firstLineChars="200"/>
        <w:rPr>
          <w:rFonts w:ascii="仿宋" w:hAnsi="仿宋" w:eastAsia="仿宋" w:cs="仿宋"/>
          <w:color w:val="auto"/>
          <w:sz w:val="24"/>
        </w:rPr>
      </w:pPr>
      <w:r>
        <w:rPr>
          <w:rFonts w:hint="eastAsia" w:ascii="仿宋" w:hAnsi="仿宋" w:eastAsia="仿宋" w:cs="仿宋"/>
          <w:color w:val="auto"/>
          <w:sz w:val="22"/>
          <w:szCs w:val="18"/>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r>
        <w:rPr>
          <w:rFonts w:hint="eastAsia" w:ascii="仿宋" w:hAnsi="仿宋" w:eastAsia="仿宋" w:cs="仿宋"/>
          <w:color w:val="auto"/>
          <w:sz w:val="24"/>
        </w:rPr>
        <w:t>，</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rPr>
        <w:t>以</w:t>
      </w:r>
      <w:r>
        <w:rPr>
          <w:rFonts w:hint="eastAsia" w:ascii="仿宋" w:hAnsi="仿宋" w:eastAsia="仿宋" w:cs="仿宋"/>
          <w:color w:val="auto"/>
          <w:sz w:val="24"/>
          <w:u w:val="single"/>
        </w:rPr>
        <w:t xml:space="preserve">   （政府采购方式）  </w:t>
      </w:r>
      <w:r>
        <w:rPr>
          <w:rFonts w:hint="eastAsia" w:ascii="仿宋" w:hAnsi="仿宋" w:eastAsia="仿宋" w:cs="仿宋"/>
          <w:color w:val="auto"/>
          <w:sz w:val="24"/>
        </w:rPr>
        <w:t>对</w:t>
      </w:r>
      <w:r>
        <w:rPr>
          <w:rFonts w:hint="eastAsia" w:ascii="仿宋" w:hAnsi="仿宋" w:eastAsia="仿宋" w:cs="仿宋"/>
          <w:color w:val="auto"/>
          <w:sz w:val="24"/>
          <w:u w:val="single"/>
        </w:rPr>
        <w:t xml:space="preserve">   （同前页项目名称）   </w:t>
      </w:r>
      <w:r>
        <w:rPr>
          <w:rFonts w:hint="eastAsia" w:ascii="仿宋" w:hAnsi="仿宋" w:eastAsia="仿宋" w:cs="仿宋"/>
          <w:color w:val="auto"/>
          <w:sz w:val="24"/>
        </w:rPr>
        <w:t>项目进行了采购。经</w:t>
      </w:r>
      <w:r>
        <w:rPr>
          <w:rFonts w:hint="eastAsia" w:ascii="仿宋" w:hAnsi="仿宋" w:eastAsia="仿宋" w:cs="仿宋"/>
          <w:color w:val="auto"/>
          <w:sz w:val="24"/>
          <w:u w:val="single"/>
        </w:rPr>
        <w:t xml:space="preserve">   （相关评定主体名称）   </w:t>
      </w:r>
      <w:r>
        <w:rPr>
          <w:rFonts w:hint="eastAsia" w:ascii="仿宋" w:hAnsi="仿宋" w:eastAsia="仿宋" w:cs="仿宋"/>
          <w:color w:val="auto"/>
          <w:sz w:val="24"/>
        </w:rPr>
        <w:t>评定，</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rPr>
        <w:t>为该项目中标供应商。现于中标通知书发出之日起三十日内，按照采购文件确定的事项签订本合同。</w:t>
      </w:r>
    </w:p>
    <w:p w14:paraId="48D0BF7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lang w:val="zh-CN"/>
        </w:rPr>
        <w:t>(以下简称：甲方)和</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lang w:val="zh-CN"/>
        </w:rPr>
        <w:t>(以下简称：乙方)协商一致，约定以下合同</w:t>
      </w:r>
      <w:r>
        <w:rPr>
          <w:rFonts w:hint="eastAsia" w:ascii="仿宋" w:hAnsi="仿宋" w:eastAsia="仿宋" w:cs="仿宋"/>
          <w:color w:val="auto"/>
          <w:sz w:val="24"/>
        </w:rPr>
        <w:t>条款，以兹共同遵守、全面履行。</w:t>
      </w:r>
    </w:p>
    <w:p w14:paraId="557D18E6">
      <w:pPr>
        <w:spacing w:line="560" w:lineRule="exact"/>
        <w:ind w:firstLine="482" w:firstLineChars="200"/>
        <w:outlineLvl w:val="0"/>
        <w:rPr>
          <w:rFonts w:ascii="仿宋" w:hAnsi="仿宋" w:eastAsia="仿宋" w:cs="仿宋"/>
          <w:color w:val="auto"/>
          <w:sz w:val="24"/>
        </w:rPr>
      </w:pPr>
      <w:bookmarkStart w:id="349" w:name="_Toc20421"/>
      <w:bookmarkStart w:id="350" w:name="_Toc19273"/>
      <w:bookmarkStart w:id="351" w:name="_Toc28855"/>
      <w:bookmarkStart w:id="352" w:name="_Toc22967"/>
      <w:bookmarkStart w:id="353" w:name="_Toc15367"/>
      <w:r>
        <w:rPr>
          <w:rFonts w:hint="eastAsia" w:ascii="仿宋" w:hAnsi="仿宋" w:eastAsia="仿宋" w:cs="仿宋"/>
          <w:b/>
          <w:color w:val="auto"/>
          <w:sz w:val="24"/>
        </w:rPr>
        <w:t>1.1 合同组成部分</w:t>
      </w:r>
      <w:bookmarkEnd w:id="349"/>
      <w:bookmarkEnd w:id="350"/>
      <w:bookmarkEnd w:id="351"/>
      <w:bookmarkEnd w:id="352"/>
      <w:bookmarkEnd w:id="353"/>
    </w:p>
    <w:p w14:paraId="6ECF4DFC">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B25897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1.1.1 本合同及其补充合同、变更协议；</w:t>
      </w:r>
    </w:p>
    <w:p w14:paraId="2246F65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1.1.2 中标通知书；</w:t>
      </w:r>
    </w:p>
    <w:p w14:paraId="2FAA093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1.1.3 投标文件（含澄清或者说明文件）；</w:t>
      </w:r>
    </w:p>
    <w:p w14:paraId="41B1CA6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1.1.4 招标文件（含澄清或者修改文件）；</w:t>
      </w:r>
    </w:p>
    <w:p w14:paraId="5E6A8A8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1.1.5 其他相关采购文件。</w:t>
      </w:r>
    </w:p>
    <w:p w14:paraId="13E29627">
      <w:pPr>
        <w:spacing w:line="560" w:lineRule="exact"/>
        <w:ind w:firstLine="482" w:firstLineChars="200"/>
        <w:outlineLvl w:val="0"/>
        <w:rPr>
          <w:rFonts w:ascii="仿宋" w:hAnsi="仿宋" w:eastAsia="仿宋" w:cs="仿宋"/>
          <w:b/>
          <w:color w:val="auto"/>
          <w:sz w:val="24"/>
        </w:rPr>
      </w:pPr>
      <w:bookmarkStart w:id="354" w:name="_Toc6773"/>
      <w:bookmarkStart w:id="355" w:name="_Toc2918"/>
      <w:bookmarkStart w:id="356" w:name="_Toc22185"/>
      <w:bookmarkStart w:id="357" w:name="_Toc18585"/>
      <w:bookmarkStart w:id="358" w:name="_Toc6311"/>
      <w:r>
        <w:rPr>
          <w:rFonts w:hint="eastAsia" w:ascii="仿宋" w:hAnsi="仿宋" w:eastAsia="仿宋" w:cs="仿宋"/>
          <w:b/>
          <w:color w:val="auto"/>
          <w:sz w:val="24"/>
        </w:rPr>
        <w:t>1.2 标的</w:t>
      </w:r>
      <w:bookmarkEnd w:id="354"/>
      <w:bookmarkEnd w:id="355"/>
      <w:bookmarkEnd w:id="356"/>
      <w:bookmarkEnd w:id="357"/>
      <w:bookmarkEnd w:id="358"/>
    </w:p>
    <w:p w14:paraId="1BC07B14">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1.2.1 标的名称：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0BBCA6EB">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1.2.2 标的数量：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11C12FA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1.2.3 标的质量：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6656DF07">
      <w:pPr>
        <w:spacing w:line="560" w:lineRule="exact"/>
        <w:ind w:firstLine="482" w:firstLineChars="200"/>
        <w:outlineLvl w:val="0"/>
        <w:rPr>
          <w:rFonts w:ascii="仿宋" w:hAnsi="仿宋" w:eastAsia="仿宋" w:cs="仿宋"/>
          <w:b/>
          <w:color w:val="auto"/>
          <w:sz w:val="24"/>
        </w:rPr>
      </w:pPr>
      <w:bookmarkStart w:id="359" w:name="_Toc13918"/>
      <w:bookmarkStart w:id="360" w:name="_Toc1386"/>
      <w:bookmarkStart w:id="361" w:name="_Toc21124"/>
      <w:bookmarkStart w:id="362" w:name="_Toc4929"/>
      <w:bookmarkStart w:id="363" w:name="_Toc5635"/>
      <w:r>
        <w:rPr>
          <w:rFonts w:hint="eastAsia" w:ascii="仿宋" w:hAnsi="仿宋" w:eastAsia="仿宋" w:cs="仿宋"/>
          <w:b/>
          <w:color w:val="auto"/>
          <w:sz w:val="24"/>
        </w:rPr>
        <w:t>1.3 价款</w:t>
      </w:r>
      <w:bookmarkEnd w:id="359"/>
      <w:bookmarkEnd w:id="360"/>
      <w:bookmarkEnd w:id="361"/>
      <w:bookmarkEnd w:id="362"/>
      <w:bookmarkEnd w:id="363"/>
    </w:p>
    <w:p w14:paraId="6823801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本合同总价为：￥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元人民币）。</w:t>
      </w:r>
    </w:p>
    <w:p w14:paraId="6BD595A4">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分项价格：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DAB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A445A75">
            <w:pPr>
              <w:pStyle w:val="70"/>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3402" w:type="dxa"/>
            <w:vAlign w:val="center"/>
          </w:tcPr>
          <w:p w14:paraId="7092C6E1">
            <w:pPr>
              <w:pStyle w:val="70"/>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分项名称</w:t>
            </w:r>
          </w:p>
        </w:tc>
        <w:tc>
          <w:tcPr>
            <w:tcW w:w="2552" w:type="dxa"/>
            <w:vAlign w:val="center"/>
          </w:tcPr>
          <w:p w14:paraId="09AE4920">
            <w:pPr>
              <w:pStyle w:val="70"/>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分项价格</w:t>
            </w:r>
          </w:p>
        </w:tc>
      </w:tr>
      <w:tr w14:paraId="0829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9A4BAD9">
            <w:pPr>
              <w:pStyle w:val="70"/>
              <w:spacing w:line="560" w:lineRule="exact"/>
              <w:ind w:firstLine="200"/>
              <w:jc w:val="center"/>
              <w:rPr>
                <w:rFonts w:ascii="仿宋" w:hAnsi="仿宋" w:eastAsia="仿宋" w:cs="仿宋"/>
                <w:color w:val="auto"/>
                <w:kern w:val="2"/>
                <w:sz w:val="24"/>
                <w:szCs w:val="24"/>
              </w:rPr>
            </w:pPr>
          </w:p>
        </w:tc>
        <w:tc>
          <w:tcPr>
            <w:tcW w:w="3402" w:type="dxa"/>
            <w:vAlign w:val="center"/>
          </w:tcPr>
          <w:p w14:paraId="16CF1F11">
            <w:pPr>
              <w:pStyle w:val="70"/>
              <w:spacing w:line="560" w:lineRule="exact"/>
              <w:ind w:firstLine="200"/>
              <w:jc w:val="center"/>
              <w:rPr>
                <w:rFonts w:ascii="仿宋" w:hAnsi="仿宋" w:eastAsia="仿宋" w:cs="仿宋"/>
                <w:color w:val="auto"/>
                <w:kern w:val="2"/>
                <w:sz w:val="24"/>
                <w:szCs w:val="24"/>
              </w:rPr>
            </w:pPr>
          </w:p>
        </w:tc>
        <w:tc>
          <w:tcPr>
            <w:tcW w:w="2552" w:type="dxa"/>
            <w:vAlign w:val="center"/>
          </w:tcPr>
          <w:p w14:paraId="4244D17F">
            <w:pPr>
              <w:pStyle w:val="70"/>
              <w:spacing w:line="560" w:lineRule="exact"/>
              <w:ind w:firstLine="200"/>
              <w:jc w:val="center"/>
              <w:rPr>
                <w:rFonts w:ascii="仿宋" w:hAnsi="仿宋" w:eastAsia="仿宋" w:cs="仿宋"/>
                <w:color w:val="auto"/>
                <w:kern w:val="2"/>
                <w:sz w:val="24"/>
                <w:szCs w:val="24"/>
              </w:rPr>
            </w:pPr>
          </w:p>
        </w:tc>
      </w:tr>
      <w:tr w14:paraId="33D1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4D18167">
            <w:pPr>
              <w:pStyle w:val="70"/>
              <w:spacing w:line="560" w:lineRule="exact"/>
              <w:ind w:firstLine="200"/>
              <w:jc w:val="center"/>
              <w:rPr>
                <w:rFonts w:ascii="仿宋" w:hAnsi="仿宋" w:eastAsia="仿宋" w:cs="仿宋"/>
                <w:color w:val="auto"/>
                <w:kern w:val="2"/>
                <w:sz w:val="24"/>
                <w:szCs w:val="24"/>
              </w:rPr>
            </w:pPr>
          </w:p>
        </w:tc>
        <w:tc>
          <w:tcPr>
            <w:tcW w:w="3402" w:type="dxa"/>
            <w:vAlign w:val="center"/>
          </w:tcPr>
          <w:p w14:paraId="294F8F09">
            <w:pPr>
              <w:pStyle w:val="70"/>
              <w:spacing w:line="560" w:lineRule="exact"/>
              <w:ind w:firstLine="200"/>
              <w:jc w:val="center"/>
              <w:rPr>
                <w:rFonts w:ascii="仿宋" w:hAnsi="仿宋" w:eastAsia="仿宋" w:cs="仿宋"/>
                <w:color w:val="auto"/>
                <w:kern w:val="2"/>
                <w:sz w:val="24"/>
                <w:szCs w:val="24"/>
              </w:rPr>
            </w:pPr>
          </w:p>
        </w:tc>
        <w:tc>
          <w:tcPr>
            <w:tcW w:w="2552" w:type="dxa"/>
            <w:vAlign w:val="center"/>
          </w:tcPr>
          <w:p w14:paraId="13C3A960">
            <w:pPr>
              <w:pStyle w:val="70"/>
              <w:spacing w:line="560" w:lineRule="exact"/>
              <w:ind w:firstLine="200"/>
              <w:jc w:val="center"/>
              <w:rPr>
                <w:rFonts w:ascii="仿宋" w:hAnsi="仿宋" w:eastAsia="仿宋" w:cs="仿宋"/>
                <w:color w:val="auto"/>
                <w:kern w:val="2"/>
                <w:sz w:val="24"/>
                <w:szCs w:val="24"/>
              </w:rPr>
            </w:pPr>
          </w:p>
        </w:tc>
      </w:tr>
      <w:tr w14:paraId="1A42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E8EF2C8">
            <w:pPr>
              <w:pStyle w:val="70"/>
              <w:spacing w:line="560" w:lineRule="exact"/>
              <w:ind w:firstLine="200"/>
              <w:jc w:val="center"/>
              <w:rPr>
                <w:rFonts w:ascii="仿宋" w:hAnsi="仿宋" w:eastAsia="仿宋" w:cs="仿宋"/>
                <w:color w:val="auto"/>
                <w:kern w:val="2"/>
                <w:sz w:val="24"/>
                <w:szCs w:val="24"/>
              </w:rPr>
            </w:pPr>
          </w:p>
        </w:tc>
        <w:tc>
          <w:tcPr>
            <w:tcW w:w="3402" w:type="dxa"/>
            <w:vAlign w:val="center"/>
          </w:tcPr>
          <w:p w14:paraId="312BCE96">
            <w:pPr>
              <w:pStyle w:val="70"/>
              <w:spacing w:line="560" w:lineRule="exact"/>
              <w:ind w:firstLine="200"/>
              <w:jc w:val="center"/>
              <w:rPr>
                <w:rFonts w:ascii="仿宋" w:hAnsi="仿宋" w:eastAsia="仿宋" w:cs="仿宋"/>
                <w:color w:val="auto"/>
                <w:kern w:val="2"/>
                <w:sz w:val="24"/>
                <w:szCs w:val="24"/>
              </w:rPr>
            </w:pPr>
          </w:p>
        </w:tc>
        <w:tc>
          <w:tcPr>
            <w:tcW w:w="2552" w:type="dxa"/>
            <w:vAlign w:val="center"/>
          </w:tcPr>
          <w:p w14:paraId="24AA1BBC">
            <w:pPr>
              <w:pStyle w:val="70"/>
              <w:spacing w:line="560" w:lineRule="exact"/>
              <w:ind w:firstLine="200"/>
              <w:jc w:val="center"/>
              <w:rPr>
                <w:rFonts w:ascii="仿宋" w:hAnsi="仿宋" w:eastAsia="仿宋" w:cs="仿宋"/>
                <w:color w:val="auto"/>
                <w:kern w:val="2"/>
                <w:sz w:val="24"/>
                <w:szCs w:val="24"/>
              </w:rPr>
            </w:pPr>
          </w:p>
        </w:tc>
      </w:tr>
      <w:tr w14:paraId="0EFB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4FD41B6">
            <w:pPr>
              <w:pStyle w:val="70"/>
              <w:spacing w:line="560" w:lineRule="exact"/>
              <w:ind w:firstLine="200"/>
              <w:jc w:val="center"/>
              <w:rPr>
                <w:rFonts w:ascii="仿宋" w:hAnsi="仿宋" w:eastAsia="仿宋" w:cs="仿宋"/>
                <w:color w:val="auto"/>
                <w:kern w:val="2"/>
                <w:sz w:val="24"/>
                <w:szCs w:val="24"/>
              </w:rPr>
            </w:pPr>
          </w:p>
        </w:tc>
        <w:tc>
          <w:tcPr>
            <w:tcW w:w="3402" w:type="dxa"/>
            <w:vAlign w:val="center"/>
          </w:tcPr>
          <w:p w14:paraId="4EF532CA">
            <w:pPr>
              <w:pStyle w:val="70"/>
              <w:spacing w:line="560" w:lineRule="exact"/>
              <w:ind w:firstLine="200"/>
              <w:jc w:val="center"/>
              <w:rPr>
                <w:rFonts w:ascii="仿宋" w:hAnsi="仿宋" w:eastAsia="仿宋" w:cs="仿宋"/>
                <w:color w:val="auto"/>
                <w:kern w:val="2"/>
                <w:sz w:val="24"/>
                <w:szCs w:val="24"/>
              </w:rPr>
            </w:pPr>
          </w:p>
        </w:tc>
        <w:tc>
          <w:tcPr>
            <w:tcW w:w="2552" w:type="dxa"/>
            <w:vAlign w:val="center"/>
          </w:tcPr>
          <w:p w14:paraId="60D3C7BC">
            <w:pPr>
              <w:pStyle w:val="70"/>
              <w:spacing w:line="560" w:lineRule="exact"/>
              <w:ind w:firstLine="200"/>
              <w:jc w:val="center"/>
              <w:rPr>
                <w:rFonts w:ascii="仿宋" w:hAnsi="仿宋" w:eastAsia="仿宋" w:cs="仿宋"/>
                <w:color w:val="auto"/>
                <w:kern w:val="2"/>
                <w:sz w:val="24"/>
                <w:szCs w:val="24"/>
              </w:rPr>
            </w:pPr>
          </w:p>
        </w:tc>
      </w:tr>
      <w:tr w14:paraId="3A2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961554F">
            <w:pPr>
              <w:pStyle w:val="70"/>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总价</w:t>
            </w:r>
          </w:p>
        </w:tc>
        <w:tc>
          <w:tcPr>
            <w:tcW w:w="2552" w:type="dxa"/>
            <w:vAlign w:val="center"/>
          </w:tcPr>
          <w:p w14:paraId="60DA7403">
            <w:pPr>
              <w:pStyle w:val="70"/>
              <w:spacing w:line="560" w:lineRule="exact"/>
              <w:ind w:firstLine="200"/>
              <w:jc w:val="center"/>
              <w:rPr>
                <w:rFonts w:ascii="仿宋" w:hAnsi="仿宋" w:eastAsia="仿宋" w:cs="仿宋"/>
                <w:color w:val="auto"/>
                <w:kern w:val="2"/>
                <w:sz w:val="24"/>
                <w:szCs w:val="24"/>
              </w:rPr>
            </w:pPr>
          </w:p>
        </w:tc>
      </w:tr>
    </w:tbl>
    <w:p w14:paraId="4C194E1F">
      <w:pPr>
        <w:spacing w:line="560" w:lineRule="exact"/>
        <w:ind w:firstLine="482" w:firstLineChars="200"/>
        <w:outlineLvl w:val="0"/>
        <w:rPr>
          <w:rFonts w:ascii="仿宋" w:hAnsi="仿宋" w:eastAsia="仿宋" w:cs="仿宋"/>
          <w:b/>
          <w:color w:val="auto"/>
          <w:sz w:val="24"/>
        </w:rPr>
      </w:pPr>
      <w:bookmarkStart w:id="364" w:name="_Toc14993"/>
      <w:bookmarkStart w:id="365" w:name="_Toc3654"/>
      <w:bookmarkStart w:id="366" w:name="_Toc30158"/>
      <w:bookmarkStart w:id="367" w:name="_Toc30506"/>
      <w:bookmarkStart w:id="368" w:name="_Toc26916"/>
      <w:r>
        <w:rPr>
          <w:rFonts w:hint="eastAsia" w:ascii="仿宋" w:hAnsi="仿宋" w:eastAsia="仿宋" w:cs="仿宋"/>
          <w:b/>
          <w:color w:val="auto"/>
          <w:sz w:val="24"/>
        </w:rPr>
        <w:t>1.4 付款方式和发票开具方式</w:t>
      </w:r>
      <w:bookmarkEnd w:id="364"/>
      <w:bookmarkEnd w:id="365"/>
      <w:bookmarkEnd w:id="366"/>
      <w:bookmarkEnd w:id="367"/>
      <w:bookmarkEnd w:id="368"/>
    </w:p>
    <w:p w14:paraId="4455475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1.4.1付款方式：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D3C068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1.4.2 发票开具方式：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BAE8D93">
      <w:pPr>
        <w:spacing w:line="560" w:lineRule="exact"/>
        <w:ind w:firstLine="482" w:firstLineChars="200"/>
        <w:outlineLvl w:val="0"/>
        <w:rPr>
          <w:rFonts w:ascii="仿宋" w:hAnsi="仿宋" w:eastAsia="仿宋" w:cs="仿宋"/>
          <w:b/>
          <w:color w:val="auto"/>
          <w:sz w:val="24"/>
        </w:rPr>
      </w:pPr>
      <w:bookmarkStart w:id="369" w:name="_Toc31421"/>
      <w:bookmarkStart w:id="370" w:name="_Toc8772"/>
      <w:bookmarkStart w:id="371" w:name="_Toc11108"/>
      <w:bookmarkStart w:id="372" w:name="_Toc3625"/>
      <w:bookmarkStart w:id="373" w:name="_Toc4760"/>
      <w:r>
        <w:rPr>
          <w:rFonts w:hint="eastAsia" w:ascii="仿宋" w:hAnsi="仿宋" w:eastAsia="仿宋" w:cs="仿宋"/>
          <w:b/>
          <w:color w:val="auto"/>
          <w:sz w:val="24"/>
        </w:rPr>
        <w:t>1.5 履行期限、地点和方式</w:t>
      </w:r>
      <w:bookmarkEnd w:id="369"/>
      <w:bookmarkEnd w:id="370"/>
      <w:bookmarkEnd w:id="371"/>
      <w:bookmarkEnd w:id="372"/>
      <w:bookmarkEnd w:id="373"/>
    </w:p>
    <w:p w14:paraId="08C4278E">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1.5.1 履行期限：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3EF93A9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1.5.2 履行地点：</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3F2DD5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1.5.3 履行方式：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72109F7">
      <w:pPr>
        <w:spacing w:line="560" w:lineRule="exact"/>
        <w:ind w:firstLine="482" w:firstLineChars="200"/>
        <w:outlineLvl w:val="0"/>
        <w:rPr>
          <w:rFonts w:ascii="仿宋" w:hAnsi="仿宋" w:eastAsia="仿宋" w:cs="仿宋"/>
          <w:color w:val="auto"/>
          <w:sz w:val="24"/>
          <w:u w:val="single"/>
        </w:rPr>
      </w:pPr>
      <w:bookmarkStart w:id="374" w:name="_Toc2375"/>
      <w:bookmarkStart w:id="375" w:name="_Toc8586"/>
      <w:bookmarkStart w:id="376" w:name="_Toc3079"/>
      <w:bookmarkStart w:id="377" w:name="_Toc5698"/>
      <w:bookmarkStart w:id="378" w:name="_Toc24662"/>
      <w:r>
        <w:rPr>
          <w:rFonts w:hint="eastAsia" w:ascii="仿宋" w:hAnsi="仿宋" w:eastAsia="仿宋" w:cs="仿宋"/>
          <w:b/>
          <w:color w:val="auto"/>
          <w:sz w:val="24"/>
        </w:rPr>
        <w:t>1.6 违约责任</w:t>
      </w:r>
      <w:bookmarkEnd w:id="374"/>
      <w:bookmarkEnd w:id="375"/>
      <w:bookmarkEnd w:id="376"/>
      <w:bookmarkEnd w:id="377"/>
      <w:bookmarkEnd w:id="378"/>
    </w:p>
    <w:p w14:paraId="01EBBCD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%；迟延履行的违约金计算数额达到前述最高限额之日起，甲方有权在要求乙方支付违约金的同时，书面通知乙方解除本合同；</w:t>
      </w:r>
    </w:p>
    <w:p w14:paraId="5645B64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%；迟延付款的违约金计算数额达到前述最高限额之日起，乙方有权在要求甲方支付违约金的同时，书面通知甲方解除本合同；</w:t>
      </w:r>
    </w:p>
    <w:p w14:paraId="381353E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7AFAB3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DFD8E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B5174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7A49B962">
      <w:pPr>
        <w:spacing w:line="560" w:lineRule="exact"/>
        <w:ind w:firstLine="482" w:firstLineChars="200"/>
        <w:outlineLvl w:val="0"/>
        <w:rPr>
          <w:rFonts w:ascii="仿宋" w:hAnsi="仿宋" w:eastAsia="仿宋" w:cs="仿宋"/>
          <w:b/>
          <w:color w:val="auto"/>
          <w:sz w:val="24"/>
        </w:rPr>
      </w:pPr>
      <w:bookmarkStart w:id="379" w:name="_Toc18683"/>
      <w:bookmarkStart w:id="380" w:name="_Toc9497"/>
      <w:bookmarkStart w:id="381" w:name="_Toc26807"/>
      <w:bookmarkStart w:id="382" w:name="_Toc30329"/>
      <w:bookmarkStart w:id="383" w:name="_Toc32454"/>
      <w:r>
        <w:rPr>
          <w:rFonts w:hint="eastAsia" w:ascii="仿宋" w:hAnsi="仿宋" w:eastAsia="仿宋" w:cs="仿宋"/>
          <w:b/>
          <w:color w:val="auto"/>
          <w:sz w:val="24"/>
        </w:rPr>
        <w:t>1.7 合同争议的解决</w:t>
      </w:r>
      <w:bookmarkEnd w:id="379"/>
      <w:bookmarkEnd w:id="380"/>
      <w:bookmarkEnd w:id="381"/>
      <w:bookmarkEnd w:id="382"/>
      <w:bookmarkEnd w:id="383"/>
    </w:p>
    <w:p w14:paraId="33B2757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u w:val="single"/>
        </w:rPr>
        <w:t xml:space="preserve">    </w:t>
      </w:r>
      <w:r>
        <w:rPr>
          <w:rFonts w:hint="eastAsia" w:ascii="仿宋" w:hAnsi="仿宋" w:eastAsia="仿宋" w:cs="仿宋"/>
          <w:color w:val="auto"/>
          <w:sz w:val="24"/>
        </w:rPr>
        <w:t>种方式解决：</w:t>
      </w:r>
    </w:p>
    <w:p w14:paraId="2D8A248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1.7.1 将争议提交</w:t>
      </w:r>
      <w:r>
        <w:rPr>
          <w:rFonts w:hint="eastAsia" w:ascii="仿宋" w:hAnsi="仿宋" w:eastAsia="仿宋" w:cs="仿宋"/>
          <w:color w:val="auto"/>
          <w:sz w:val="24"/>
          <w:u w:val="single"/>
        </w:rPr>
        <w:t xml:space="preserve">              </w:t>
      </w:r>
      <w:r>
        <w:rPr>
          <w:rFonts w:hint="eastAsia" w:ascii="仿宋" w:hAnsi="仿宋" w:eastAsia="仿宋" w:cs="仿宋"/>
          <w:color w:val="auto"/>
          <w:sz w:val="24"/>
        </w:rPr>
        <w:t>仲裁委员会依申请仲裁时其现行有效的仲裁规则裁决；</w:t>
      </w:r>
    </w:p>
    <w:p w14:paraId="7905932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1.7.2 向</w:t>
      </w:r>
      <w:r>
        <w:rPr>
          <w:rFonts w:hint="eastAsia" w:ascii="仿宋" w:hAnsi="仿宋" w:eastAsia="仿宋" w:cs="仿宋"/>
          <w:color w:val="auto"/>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rPr>
        <w:t>人民法院起诉。</w:t>
      </w:r>
    </w:p>
    <w:p w14:paraId="047DDC9E">
      <w:pPr>
        <w:spacing w:line="560" w:lineRule="exact"/>
        <w:ind w:firstLine="482" w:firstLineChars="200"/>
        <w:outlineLvl w:val="0"/>
        <w:rPr>
          <w:rFonts w:ascii="仿宋" w:hAnsi="仿宋" w:eastAsia="仿宋" w:cs="仿宋"/>
          <w:b/>
          <w:color w:val="auto"/>
          <w:sz w:val="24"/>
        </w:rPr>
      </w:pPr>
      <w:bookmarkStart w:id="384" w:name="_Toc16417"/>
      <w:bookmarkStart w:id="385" w:name="_Toc26227"/>
      <w:bookmarkStart w:id="386" w:name="_Toc15827"/>
      <w:bookmarkStart w:id="387" w:name="_Toc23784"/>
      <w:bookmarkStart w:id="388" w:name="_Toc12273"/>
      <w:r>
        <w:rPr>
          <w:rFonts w:hint="eastAsia" w:ascii="仿宋" w:hAnsi="仿宋" w:eastAsia="仿宋" w:cs="仿宋"/>
          <w:b/>
          <w:color w:val="auto"/>
          <w:sz w:val="24"/>
        </w:rPr>
        <w:t>1.8 合同生效</w:t>
      </w:r>
      <w:bookmarkEnd w:id="384"/>
      <w:bookmarkEnd w:id="385"/>
      <w:bookmarkEnd w:id="386"/>
      <w:bookmarkEnd w:id="387"/>
      <w:bookmarkEnd w:id="388"/>
    </w:p>
    <w:p w14:paraId="1D1D7A85">
      <w:pPr>
        <w:spacing w:line="560" w:lineRule="exact"/>
        <w:ind w:firstLine="480" w:firstLineChars="200"/>
        <w:rPr>
          <w:rFonts w:ascii="仿宋" w:hAnsi="仿宋" w:eastAsia="仿宋" w:cs="仿宋"/>
          <w:b/>
          <w:color w:val="auto"/>
          <w:sz w:val="24"/>
        </w:rPr>
      </w:pPr>
      <w:r>
        <w:rPr>
          <w:rFonts w:hint="eastAsia" w:ascii="仿宋" w:hAnsi="仿宋" w:eastAsia="仿宋" w:cs="仿宋"/>
          <w:color w:val="auto"/>
          <w:sz w:val="24"/>
        </w:rPr>
        <w:t>本合同自双方当事人盖章或者签字时生效。</w:t>
      </w:r>
    </w:p>
    <w:p w14:paraId="54871D4E">
      <w:pPr>
        <w:autoSpaceDE w:val="0"/>
        <w:autoSpaceDN w:val="0"/>
        <w:adjustRightInd w:val="0"/>
        <w:spacing w:line="560" w:lineRule="exact"/>
        <w:rPr>
          <w:rFonts w:ascii="仿宋" w:hAnsi="仿宋" w:eastAsia="仿宋" w:cs="仿宋"/>
          <w:color w:val="auto"/>
          <w:sz w:val="24"/>
          <w:lang w:val="zh-CN"/>
        </w:rPr>
      </w:pPr>
    </w:p>
    <w:p w14:paraId="09FE7921">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b/>
          <w:color w:val="auto"/>
          <w:sz w:val="24"/>
          <w:lang w:val="zh-CN"/>
        </w:rPr>
        <w:t>甲方</w:t>
      </w:r>
      <w:r>
        <w:rPr>
          <w:rFonts w:hint="eastAsia" w:ascii="仿宋" w:hAnsi="仿宋" w:eastAsia="仿宋" w:cs="仿宋"/>
          <w:color w:val="auto"/>
          <w:sz w:val="24"/>
          <w:lang w:val="zh-CN"/>
        </w:rPr>
        <w:t xml:space="preserve">：                             </w:t>
      </w:r>
      <w:r>
        <w:rPr>
          <w:rFonts w:hint="eastAsia" w:ascii="仿宋" w:hAnsi="仿宋" w:eastAsia="仿宋" w:cs="仿宋"/>
          <w:b/>
          <w:color w:val="auto"/>
          <w:sz w:val="24"/>
          <w:lang w:val="zh-CN"/>
        </w:rPr>
        <w:t xml:space="preserve">      乙方</w:t>
      </w:r>
      <w:r>
        <w:rPr>
          <w:rFonts w:hint="eastAsia" w:ascii="仿宋" w:hAnsi="仿宋" w:eastAsia="仿宋" w:cs="仿宋"/>
          <w:color w:val="auto"/>
          <w:sz w:val="24"/>
          <w:lang w:val="zh-CN"/>
        </w:rPr>
        <w:t>：</w:t>
      </w:r>
    </w:p>
    <w:p w14:paraId="2BD5DAB6">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统一社会信用代码：                      统一社会信用代码或身份证号码：</w:t>
      </w:r>
    </w:p>
    <w:p w14:paraId="35897E69">
      <w:pPr>
        <w:autoSpaceDE w:val="0"/>
        <w:autoSpaceDN w:val="0"/>
        <w:adjustRightInd w:val="0"/>
        <w:spacing w:line="560" w:lineRule="exact"/>
        <w:rPr>
          <w:rFonts w:ascii="仿宋" w:hAnsi="仿宋" w:eastAsia="仿宋" w:cs="仿宋"/>
          <w:color w:val="auto"/>
          <w:sz w:val="24"/>
          <w:lang w:val="zh-CN"/>
        </w:rPr>
      </w:pPr>
    </w:p>
    <w:p w14:paraId="1B77494A">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住所：                                   住所：</w:t>
      </w:r>
    </w:p>
    <w:p w14:paraId="41D87CBB">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法定代表人                             </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p>
    <w:p w14:paraId="48A8311C">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或授权代表（签字）：                     或授权代表（签字）: </w:t>
      </w:r>
    </w:p>
    <w:p w14:paraId="44708F59">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联系人：                                 联系人：</w:t>
      </w:r>
    </w:p>
    <w:p w14:paraId="3ABE4E8C">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约定送达地址：                           约定送达地址：</w:t>
      </w:r>
    </w:p>
    <w:p w14:paraId="1EB775C2">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邮政编码：                               邮政编码：</w:t>
      </w:r>
    </w:p>
    <w:p w14:paraId="7E547EEF">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电话:                                    电话: </w:t>
      </w:r>
    </w:p>
    <w:p w14:paraId="69BD3C6C">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传真:                                    传真:</w:t>
      </w:r>
    </w:p>
    <w:p w14:paraId="3103CEE7">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lang w:val="zh-CN"/>
        </w:rPr>
        <w:t>电子邮箱：                               电子邮箱：</w:t>
      </w:r>
    </w:p>
    <w:p w14:paraId="25DEA172">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开户银行：                               开户银行： </w:t>
      </w:r>
    </w:p>
    <w:p w14:paraId="689E656A">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开户名称：                               开户名称： </w:t>
      </w:r>
    </w:p>
    <w:p w14:paraId="40995FAE">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开户账号：</w:t>
      </w:r>
      <w:r>
        <w:rPr>
          <w:rFonts w:hint="eastAsia" w:ascii="仿宋" w:hAnsi="仿宋" w:eastAsia="仿宋" w:cs="仿宋"/>
          <w:color w:val="auto"/>
          <w:sz w:val="24"/>
          <w:lang w:val="zh-CN"/>
        </w:rPr>
        <w:t xml:space="preserve">                               </w:t>
      </w:r>
      <w:r>
        <w:rPr>
          <w:rFonts w:hint="eastAsia" w:ascii="仿宋" w:hAnsi="仿宋" w:eastAsia="仿宋" w:cs="仿宋"/>
          <w:color w:val="auto"/>
          <w:sz w:val="24"/>
        </w:rPr>
        <w:t>开户账号：</w:t>
      </w:r>
    </w:p>
    <w:p w14:paraId="3F8AD9A1">
      <w:pPr>
        <w:widowControl/>
        <w:spacing w:line="560" w:lineRule="exact"/>
        <w:jc w:val="left"/>
        <w:rPr>
          <w:rFonts w:ascii="仿宋" w:hAnsi="仿宋" w:eastAsia="仿宋" w:cs="仿宋"/>
          <w:b/>
          <w:color w:val="auto"/>
        </w:rPr>
      </w:pPr>
      <w:bookmarkStart w:id="389" w:name="_Toc331685783"/>
    </w:p>
    <w:p w14:paraId="1E2B76BE">
      <w:pPr>
        <w:widowControl/>
        <w:spacing w:line="560" w:lineRule="exact"/>
        <w:jc w:val="left"/>
        <w:rPr>
          <w:rFonts w:ascii="仿宋" w:hAnsi="仿宋" w:eastAsia="仿宋" w:cs="仿宋"/>
          <w:b/>
          <w:color w:val="auto"/>
        </w:rPr>
      </w:pPr>
    </w:p>
    <w:p w14:paraId="68E189E0">
      <w:pPr>
        <w:pStyle w:val="7"/>
        <w:rPr>
          <w:rFonts w:ascii="仿宋" w:hAnsi="仿宋" w:eastAsia="仿宋" w:cs="仿宋"/>
          <w:b/>
          <w:color w:val="auto"/>
        </w:rPr>
      </w:pPr>
    </w:p>
    <w:p w14:paraId="476C2564">
      <w:pPr>
        <w:pStyle w:val="7"/>
        <w:rPr>
          <w:rFonts w:ascii="仿宋" w:hAnsi="仿宋" w:eastAsia="仿宋" w:cs="仿宋"/>
          <w:b/>
          <w:color w:val="auto"/>
        </w:rPr>
      </w:pPr>
    </w:p>
    <w:p w14:paraId="52C116E5">
      <w:pPr>
        <w:pStyle w:val="63"/>
        <w:spacing w:line="560" w:lineRule="exact"/>
        <w:ind w:firstLine="200"/>
        <w:jc w:val="center"/>
        <w:rPr>
          <w:rFonts w:ascii="仿宋" w:hAnsi="仿宋" w:eastAsia="仿宋" w:cs="仿宋"/>
          <w:b/>
          <w:color w:val="auto"/>
          <w:szCs w:val="24"/>
        </w:rPr>
      </w:pPr>
      <w:r>
        <w:rPr>
          <w:rFonts w:hint="eastAsia" w:ascii="仿宋" w:hAnsi="仿宋" w:eastAsia="仿宋" w:cs="仿宋"/>
          <w:b/>
          <w:color w:val="auto"/>
          <w:szCs w:val="24"/>
        </w:rPr>
        <w:t>第二部分 合同一般条款</w:t>
      </w:r>
      <w:bookmarkEnd w:id="389"/>
    </w:p>
    <w:p w14:paraId="66B194F9">
      <w:pPr>
        <w:spacing w:line="560" w:lineRule="exact"/>
        <w:ind w:firstLine="482" w:firstLineChars="200"/>
        <w:outlineLvl w:val="0"/>
        <w:rPr>
          <w:rFonts w:ascii="仿宋" w:hAnsi="仿宋" w:eastAsia="仿宋" w:cs="仿宋"/>
          <w:b/>
          <w:color w:val="auto"/>
          <w:sz w:val="24"/>
        </w:rPr>
      </w:pPr>
      <w:bookmarkStart w:id="390" w:name="_Ref467379094"/>
      <w:bookmarkStart w:id="391" w:name="_Toc5228"/>
      <w:bookmarkStart w:id="392" w:name="_Toc279701240"/>
      <w:bookmarkStart w:id="393" w:name="_Ref467378404"/>
      <w:bookmarkStart w:id="394" w:name="_Ref467378499"/>
      <w:bookmarkStart w:id="395" w:name="_Ref467379225"/>
      <w:bookmarkStart w:id="396" w:name="_Toc19680"/>
      <w:bookmarkStart w:id="397" w:name="_Ref467379109"/>
      <w:bookmarkStart w:id="398" w:name="_Toc487900349"/>
      <w:bookmarkStart w:id="399" w:name="_Ref467379214"/>
      <w:bookmarkStart w:id="400" w:name="_Ref467379195"/>
      <w:bookmarkStart w:id="401" w:name="_Ref467378463"/>
      <w:bookmarkStart w:id="402" w:name="_Ref467379101"/>
      <w:bookmarkStart w:id="403" w:name="_Toc25079"/>
      <w:bookmarkStart w:id="404" w:name="_Toc14021"/>
      <w:bookmarkStart w:id="405" w:name="_Ref467379205"/>
      <w:bookmarkStart w:id="406" w:name="_Toc259093669"/>
      <w:bookmarkStart w:id="407" w:name="_Toc31297"/>
      <w:r>
        <w:rPr>
          <w:rFonts w:hint="eastAsia" w:ascii="仿宋" w:hAnsi="仿宋" w:eastAsia="仿宋" w:cs="仿宋"/>
          <w:b/>
          <w:color w:val="auto"/>
          <w:sz w:val="24"/>
        </w:rPr>
        <w:t>2.1 定义</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CF42F6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本合同中的下列词语应按以下内容进行解释：</w:t>
      </w:r>
    </w:p>
    <w:p w14:paraId="2DF8554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 “合同”系指采购人和中标供应商签订的载明双方当事人所达成的协议，并包括所有的附件、附录和构成合同的其他文件。</w:t>
      </w:r>
    </w:p>
    <w:p w14:paraId="6EB13CD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2.1.2 “合同价”系指根据合同约定，中标供应商在完全履行合同义务后，采购人应支付给中标供应商的价格。</w:t>
      </w:r>
    </w:p>
    <w:p w14:paraId="0A35BBB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 “服务”系指中标供应商根据合同约定应向采购人履行的除货物和工程以外的其他政府采购对象，包括采购人自身需要的服务和向社会公众提供的公共服务。</w:t>
      </w:r>
    </w:p>
    <w:p w14:paraId="101E00B5">
      <w:pPr>
        <w:spacing w:line="560" w:lineRule="exact"/>
        <w:ind w:firstLine="480" w:firstLineChars="200"/>
        <w:rPr>
          <w:rFonts w:ascii="仿宋" w:hAnsi="仿宋" w:eastAsia="仿宋" w:cs="仿宋"/>
          <w:color w:val="auto"/>
          <w:sz w:val="24"/>
        </w:rPr>
      </w:pPr>
      <w:bookmarkStart w:id="408" w:name="_Ref467378840"/>
      <w:r>
        <w:rPr>
          <w:rFonts w:hint="eastAsia" w:ascii="仿宋" w:hAnsi="仿宋" w:eastAsia="仿宋" w:cs="仿宋"/>
          <w:color w:val="auto"/>
          <w:sz w:val="24"/>
        </w:rPr>
        <w:t>2.1.4 “甲方”系指与中标供应商签署合同的采购人</w:t>
      </w:r>
      <w:bookmarkEnd w:id="408"/>
      <w:r>
        <w:rPr>
          <w:rFonts w:hint="eastAsia" w:ascii="仿宋" w:hAnsi="仿宋" w:eastAsia="仿宋" w:cs="仿宋"/>
          <w:color w:val="auto"/>
          <w:sz w:val="24"/>
        </w:rPr>
        <w:t>；采购人委托采购代理机构代表其与乙方签订合同的，采购人的授权委托书作为合同附件。</w:t>
      </w:r>
    </w:p>
    <w:p w14:paraId="69BE1648">
      <w:pPr>
        <w:spacing w:line="560" w:lineRule="exact"/>
        <w:ind w:firstLine="480" w:firstLineChars="200"/>
        <w:rPr>
          <w:rFonts w:ascii="仿宋" w:hAnsi="仿宋" w:eastAsia="仿宋" w:cs="仿宋"/>
          <w:color w:val="auto"/>
          <w:sz w:val="24"/>
        </w:rPr>
      </w:pPr>
      <w:bookmarkStart w:id="409" w:name="_Ref467379400"/>
      <w:r>
        <w:rPr>
          <w:rFonts w:hint="eastAsia" w:ascii="仿宋" w:hAnsi="仿宋" w:eastAsia="仿宋" w:cs="仿宋"/>
          <w:color w:val="auto"/>
          <w:sz w:val="24"/>
        </w:rPr>
        <w:t>2.1.5 “乙方”系指根据合同约定提供服务的中标供应商</w:t>
      </w:r>
      <w:bookmarkEnd w:id="409"/>
      <w:r>
        <w:rPr>
          <w:rFonts w:hint="eastAsia" w:ascii="仿宋" w:hAnsi="仿宋" w:eastAsia="仿宋" w:cs="仿宋"/>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3FEC040">
      <w:pPr>
        <w:spacing w:line="560" w:lineRule="exact"/>
        <w:ind w:firstLine="480" w:firstLineChars="200"/>
        <w:rPr>
          <w:rFonts w:ascii="仿宋" w:hAnsi="仿宋" w:eastAsia="仿宋" w:cs="仿宋"/>
          <w:color w:val="auto"/>
          <w:sz w:val="24"/>
        </w:rPr>
      </w:pPr>
      <w:bookmarkStart w:id="410" w:name="_Ref467379436"/>
      <w:r>
        <w:rPr>
          <w:rFonts w:hint="eastAsia" w:ascii="仿宋" w:hAnsi="仿宋" w:eastAsia="仿宋" w:cs="仿宋"/>
          <w:color w:val="auto"/>
          <w:sz w:val="24"/>
        </w:rPr>
        <w:t>2.1.6 “现场”系指合同约定提供服务的地点。</w:t>
      </w:r>
      <w:bookmarkEnd w:id="410"/>
    </w:p>
    <w:p w14:paraId="74942344">
      <w:pPr>
        <w:spacing w:line="560" w:lineRule="exact"/>
        <w:ind w:firstLine="482" w:firstLineChars="200"/>
        <w:outlineLvl w:val="0"/>
        <w:rPr>
          <w:rFonts w:ascii="仿宋" w:hAnsi="仿宋" w:eastAsia="仿宋" w:cs="仿宋"/>
          <w:b/>
          <w:color w:val="auto"/>
          <w:sz w:val="24"/>
        </w:rPr>
      </w:pPr>
      <w:bookmarkStart w:id="411" w:name="_Toc487900350"/>
      <w:bookmarkStart w:id="412" w:name="_Toc31402"/>
      <w:bookmarkStart w:id="413" w:name="_Toc259093670"/>
      <w:bookmarkStart w:id="414" w:name="_Toc23289"/>
      <w:bookmarkStart w:id="415" w:name="_Toc279701241"/>
      <w:bookmarkStart w:id="416" w:name="_Toc3769"/>
      <w:bookmarkStart w:id="417" w:name="_Toc19539"/>
      <w:bookmarkStart w:id="418" w:name="_Toc16752"/>
      <w:r>
        <w:rPr>
          <w:rFonts w:hint="eastAsia" w:ascii="仿宋" w:hAnsi="仿宋" w:eastAsia="仿宋" w:cs="仿宋"/>
          <w:b/>
          <w:color w:val="auto"/>
          <w:sz w:val="24"/>
        </w:rPr>
        <w:t>2.2 技术规范</w:t>
      </w:r>
      <w:bookmarkEnd w:id="411"/>
      <w:bookmarkEnd w:id="412"/>
      <w:bookmarkEnd w:id="413"/>
      <w:bookmarkEnd w:id="414"/>
      <w:bookmarkEnd w:id="415"/>
      <w:bookmarkEnd w:id="416"/>
      <w:bookmarkEnd w:id="417"/>
      <w:bookmarkEnd w:id="418"/>
    </w:p>
    <w:p w14:paraId="1DCF7B7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1B260AE">
      <w:pPr>
        <w:spacing w:line="560" w:lineRule="exact"/>
        <w:ind w:firstLine="482" w:firstLineChars="200"/>
        <w:outlineLvl w:val="0"/>
        <w:rPr>
          <w:rFonts w:ascii="仿宋" w:hAnsi="仿宋" w:eastAsia="仿宋" w:cs="仿宋"/>
          <w:b/>
          <w:color w:val="auto"/>
          <w:sz w:val="24"/>
        </w:rPr>
      </w:pPr>
      <w:bookmarkStart w:id="419" w:name="_Toc279701242"/>
      <w:bookmarkStart w:id="420" w:name="_Toc4133"/>
      <w:bookmarkStart w:id="421" w:name="_Toc27945"/>
      <w:bookmarkStart w:id="422" w:name="_Toc259093671"/>
      <w:bookmarkStart w:id="423" w:name="_Toc12412"/>
      <w:bookmarkStart w:id="424" w:name="_Toc487900351"/>
      <w:bookmarkStart w:id="425" w:name="_Toc9161"/>
      <w:bookmarkStart w:id="426" w:name="_Toc13673"/>
      <w:r>
        <w:rPr>
          <w:rFonts w:hint="eastAsia" w:ascii="仿宋" w:hAnsi="仿宋" w:eastAsia="仿宋" w:cs="仿宋"/>
          <w:b/>
          <w:color w:val="auto"/>
          <w:sz w:val="24"/>
        </w:rPr>
        <w:t>2.3 知识产权</w:t>
      </w:r>
      <w:bookmarkEnd w:id="419"/>
      <w:bookmarkEnd w:id="420"/>
      <w:bookmarkEnd w:id="421"/>
      <w:bookmarkEnd w:id="422"/>
      <w:bookmarkEnd w:id="423"/>
      <w:bookmarkEnd w:id="424"/>
      <w:bookmarkEnd w:id="425"/>
      <w:bookmarkEnd w:id="426"/>
    </w:p>
    <w:p w14:paraId="24517C3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958CBF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2.3.2 合同涉及技术成果的归属和收益的分成办法的，详见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1B1B1833">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2.4 履约检查和问题反馈</w:t>
      </w:r>
    </w:p>
    <w:p w14:paraId="44CEEC76">
      <w:pPr>
        <w:spacing w:line="560" w:lineRule="exact"/>
        <w:ind w:firstLine="480" w:firstLineChars="200"/>
        <w:rPr>
          <w:rFonts w:ascii="仿宋" w:hAnsi="仿宋" w:eastAsia="仿宋" w:cs="仿宋"/>
          <w:color w:val="auto"/>
          <w:sz w:val="24"/>
        </w:rPr>
      </w:pPr>
      <w:bookmarkStart w:id="427" w:name="_Ref467379657"/>
      <w:r>
        <w:rPr>
          <w:rFonts w:hint="eastAsia" w:ascii="仿宋" w:hAnsi="仿宋" w:eastAsia="仿宋" w:cs="仿宋"/>
          <w:color w:val="auto"/>
          <w:sz w:val="24"/>
        </w:rPr>
        <w:t>2.4.1</w:t>
      </w:r>
      <w:bookmarkEnd w:id="427"/>
      <w:bookmarkStart w:id="428" w:name="_Toc186431854"/>
      <w:bookmarkStart w:id="429" w:name="_Ref467379807"/>
      <w:bookmarkStart w:id="430" w:name="_Ref467379793"/>
      <w:bookmarkStart w:id="431" w:name="_Toc259093676"/>
      <w:bookmarkStart w:id="432" w:name="_Toc487900357"/>
      <w:bookmarkStart w:id="433" w:name="_Toc279701247"/>
      <w:r>
        <w:rPr>
          <w:rFonts w:hint="eastAsia" w:ascii="仿宋" w:hAnsi="仿宋" w:eastAsia="仿宋" w:cs="仿宋"/>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5EB075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2.4.2 合同履行期间，甲方有权将履行过程中出现的问题反馈给乙方，双方当事人应以书面形式约定需要完善和改进的内容</w:t>
      </w:r>
      <w:bookmarkEnd w:id="428"/>
      <w:bookmarkStart w:id="434" w:name="_Toc186431855"/>
      <w:r>
        <w:rPr>
          <w:rFonts w:hint="eastAsia" w:ascii="仿宋" w:hAnsi="仿宋" w:eastAsia="仿宋" w:cs="仿宋"/>
          <w:color w:val="auto"/>
          <w:sz w:val="24"/>
        </w:rPr>
        <w:t>。</w:t>
      </w:r>
    </w:p>
    <w:bookmarkEnd w:id="434"/>
    <w:p w14:paraId="76C9F50D">
      <w:pPr>
        <w:spacing w:line="560" w:lineRule="exact"/>
        <w:ind w:firstLine="482" w:firstLineChars="200"/>
        <w:outlineLvl w:val="0"/>
        <w:rPr>
          <w:rFonts w:ascii="仿宋" w:hAnsi="仿宋" w:eastAsia="仿宋" w:cs="仿宋"/>
          <w:b/>
          <w:color w:val="auto"/>
          <w:sz w:val="24"/>
        </w:rPr>
      </w:pPr>
      <w:bookmarkStart w:id="435" w:name="_Toc26555"/>
      <w:bookmarkStart w:id="436" w:name="_Toc32670"/>
      <w:bookmarkStart w:id="437" w:name="_Toc22011"/>
      <w:bookmarkStart w:id="438" w:name="_Toc15447"/>
      <w:bookmarkStart w:id="439" w:name="_Toc31233"/>
      <w:r>
        <w:rPr>
          <w:rFonts w:hint="eastAsia" w:ascii="仿宋" w:hAnsi="仿宋" w:eastAsia="仿宋" w:cs="仿宋"/>
          <w:b/>
          <w:color w:val="auto"/>
          <w:sz w:val="24"/>
        </w:rPr>
        <w:t>2.5 结算方式和付款条件</w:t>
      </w:r>
      <w:bookmarkEnd w:id="429"/>
      <w:bookmarkEnd w:id="430"/>
      <w:bookmarkEnd w:id="431"/>
      <w:bookmarkEnd w:id="432"/>
      <w:bookmarkEnd w:id="433"/>
      <w:bookmarkEnd w:id="435"/>
      <w:bookmarkEnd w:id="436"/>
      <w:bookmarkEnd w:id="437"/>
      <w:bookmarkEnd w:id="438"/>
      <w:bookmarkEnd w:id="439"/>
    </w:p>
    <w:p w14:paraId="64CAE5D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30EE3410">
      <w:pPr>
        <w:spacing w:line="560" w:lineRule="exact"/>
        <w:ind w:firstLine="482" w:firstLineChars="200"/>
        <w:outlineLvl w:val="0"/>
        <w:rPr>
          <w:rFonts w:ascii="仿宋" w:hAnsi="仿宋" w:eastAsia="仿宋" w:cs="仿宋"/>
          <w:b/>
          <w:color w:val="auto"/>
          <w:sz w:val="24"/>
        </w:rPr>
      </w:pPr>
      <w:bookmarkStart w:id="440" w:name="_Toc279701248"/>
      <w:bookmarkStart w:id="441" w:name="_Toc487900358"/>
      <w:bookmarkStart w:id="442" w:name="_Toc259093677"/>
      <w:bookmarkStart w:id="443" w:name="_Ref467379923"/>
      <w:bookmarkStart w:id="444" w:name="_Ref467379863"/>
      <w:bookmarkStart w:id="445" w:name="_Ref467379852"/>
      <w:bookmarkStart w:id="446" w:name="_Toc13467"/>
      <w:bookmarkStart w:id="447" w:name="_Toc16163"/>
      <w:bookmarkStart w:id="448" w:name="_Toc13154"/>
      <w:bookmarkStart w:id="449" w:name="_Toc30507"/>
      <w:bookmarkStart w:id="450" w:name="_Toc18990"/>
      <w:r>
        <w:rPr>
          <w:rFonts w:hint="eastAsia" w:ascii="仿宋" w:hAnsi="仿宋" w:eastAsia="仿宋" w:cs="仿宋"/>
          <w:b/>
          <w:color w:val="auto"/>
          <w:sz w:val="24"/>
        </w:rPr>
        <w:t>2.6 技术资料</w:t>
      </w:r>
      <w:bookmarkEnd w:id="440"/>
      <w:bookmarkEnd w:id="441"/>
      <w:bookmarkEnd w:id="442"/>
      <w:bookmarkEnd w:id="443"/>
      <w:bookmarkEnd w:id="444"/>
      <w:bookmarkEnd w:id="445"/>
      <w:r>
        <w:rPr>
          <w:rFonts w:hint="eastAsia" w:ascii="仿宋" w:hAnsi="仿宋" w:eastAsia="仿宋" w:cs="仿宋"/>
          <w:b/>
          <w:color w:val="auto"/>
          <w:sz w:val="24"/>
        </w:rPr>
        <w:t>和</w:t>
      </w:r>
      <w:r>
        <w:rPr>
          <w:rFonts w:hint="eastAsia" w:ascii="仿宋" w:hAnsi="仿宋" w:eastAsia="仿宋" w:cs="仿宋"/>
          <w:b/>
          <w:color w:val="auto"/>
          <w:sz w:val="24"/>
        </w:rPr>
        <w:t>保mi</w:t>
      </w:r>
      <w:r>
        <w:rPr>
          <w:rFonts w:hint="eastAsia" w:ascii="仿宋" w:hAnsi="仿宋" w:eastAsia="仿宋" w:cs="仿宋"/>
          <w:b/>
          <w:color w:val="auto"/>
          <w:sz w:val="24"/>
        </w:rPr>
        <w:t>义务</w:t>
      </w:r>
      <w:bookmarkEnd w:id="446"/>
      <w:bookmarkEnd w:id="447"/>
      <w:bookmarkEnd w:id="448"/>
      <w:bookmarkEnd w:id="449"/>
      <w:bookmarkEnd w:id="450"/>
    </w:p>
    <w:p w14:paraId="4A28A24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2.6.1 乙方有权依据合同约定和项目需要，向甲方了解有关情况，调阅有关资料等，甲方应予积极配合；</w:t>
      </w:r>
    </w:p>
    <w:p w14:paraId="40F484B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2.6.2 乙方有义务妥善保管和保护由甲方提供的前款信息和资料等；</w:t>
      </w:r>
    </w:p>
    <w:p w14:paraId="024F0EA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w:t>
      </w:r>
      <w:r>
        <w:rPr>
          <w:rFonts w:hint="eastAsia" w:ascii="仿宋" w:hAnsi="仿宋" w:eastAsia="仿宋" w:cs="仿宋"/>
          <w:color w:val="auto"/>
          <w:sz w:val="24"/>
        </w:rPr>
        <w:t>保mi</w:t>
      </w:r>
      <w:r>
        <w:rPr>
          <w:rFonts w:hint="eastAsia" w:ascii="仿宋" w:hAnsi="仿宋" w:eastAsia="仿宋" w:cs="仿宋"/>
          <w:color w:val="auto"/>
          <w:sz w:val="24"/>
        </w:rPr>
        <w:t>信息和资料。</w:t>
      </w:r>
    </w:p>
    <w:p w14:paraId="4666295D">
      <w:pPr>
        <w:spacing w:line="560" w:lineRule="exact"/>
        <w:ind w:firstLine="482" w:firstLineChars="200"/>
        <w:outlineLvl w:val="0"/>
        <w:rPr>
          <w:rFonts w:ascii="仿宋" w:hAnsi="仿宋" w:eastAsia="仿宋" w:cs="仿宋"/>
          <w:b/>
          <w:color w:val="auto"/>
          <w:sz w:val="24"/>
        </w:rPr>
      </w:pPr>
      <w:bookmarkStart w:id="451" w:name="_Toc19069"/>
      <w:bookmarkStart w:id="452" w:name="_Toc259093681"/>
      <w:bookmarkStart w:id="453" w:name="_Toc279701252"/>
      <w:bookmarkStart w:id="454" w:name="_Toc487900362"/>
      <w:r>
        <w:rPr>
          <w:rFonts w:hint="eastAsia" w:ascii="仿宋" w:hAnsi="仿宋" w:eastAsia="仿宋" w:cs="仿宋"/>
          <w:b/>
          <w:color w:val="auto"/>
          <w:sz w:val="24"/>
        </w:rPr>
        <w:t>2.7 质量保证</w:t>
      </w:r>
      <w:bookmarkEnd w:id="451"/>
    </w:p>
    <w:p w14:paraId="33A1B38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2.7.1 乙方应建立和完善履行合同的内部质量保证体系，并提供相关内部规章制度给甲方，以便甲方进行监督检查；</w:t>
      </w:r>
    </w:p>
    <w:p w14:paraId="2AD9524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2.7.2 乙方应保证履行合同的人员数量和素质、软件和硬件设备的配置、场地、环境和设施等满足全面履行合同的要求，并应接受甲方的监督检查。</w:t>
      </w:r>
    </w:p>
    <w:p w14:paraId="0DF84865">
      <w:pPr>
        <w:spacing w:line="560" w:lineRule="exact"/>
        <w:ind w:firstLine="482" w:firstLineChars="200"/>
        <w:outlineLvl w:val="0"/>
        <w:rPr>
          <w:rFonts w:ascii="仿宋" w:hAnsi="仿宋" w:eastAsia="仿宋" w:cs="仿宋"/>
          <w:b/>
          <w:color w:val="auto"/>
          <w:sz w:val="24"/>
        </w:rPr>
      </w:pPr>
      <w:bookmarkStart w:id="455" w:name="_Toc22267"/>
      <w:r>
        <w:rPr>
          <w:rFonts w:hint="eastAsia" w:ascii="仿宋" w:hAnsi="仿宋" w:eastAsia="仿宋" w:cs="仿宋"/>
          <w:b/>
          <w:color w:val="auto"/>
          <w:sz w:val="24"/>
        </w:rPr>
        <w:t>2.8 延迟</w:t>
      </w:r>
      <w:bookmarkEnd w:id="452"/>
      <w:bookmarkEnd w:id="453"/>
      <w:bookmarkEnd w:id="454"/>
      <w:r>
        <w:rPr>
          <w:rFonts w:hint="eastAsia" w:ascii="仿宋" w:hAnsi="仿宋" w:eastAsia="仿宋" w:cs="仿宋"/>
          <w:b/>
          <w:color w:val="auto"/>
          <w:sz w:val="24"/>
        </w:rPr>
        <w:t>履行</w:t>
      </w:r>
      <w:bookmarkEnd w:id="455"/>
    </w:p>
    <w:p w14:paraId="4217A44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8B8E755">
      <w:pPr>
        <w:spacing w:line="560" w:lineRule="exact"/>
        <w:ind w:firstLine="482" w:firstLineChars="200"/>
        <w:outlineLvl w:val="0"/>
        <w:rPr>
          <w:rFonts w:ascii="仿宋" w:hAnsi="仿宋" w:eastAsia="仿宋" w:cs="仿宋"/>
          <w:b/>
          <w:color w:val="auto"/>
          <w:sz w:val="24"/>
        </w:rPr>
      </w:pPr>
      <w:bookmarkStart w:id="456" w:name="_Toc10611"/>
      <w:bookmarkStart w:id="457" w:name="_Ref467378121"/>
      <w:bookmarkStart w:id="458" w:name="_Toc487900364"/>
      <w:bookmarkStart w:id="459" w:name="_Toc279701254"/>
      <w:bookmarkStart w:id="460" w:name="_Toc259093683"/>
      <w:r>
        <w:rPr>
          <w:rFonts w:hint="eastAsia" w:ascii="仿宋" w:hAnsi="仿宋" w:eastAsia="仿宋" w:cs="仿宋"/>
          <w:b/>
          <w:color w:val="auto"/>
          <w:sz w:val="24"/>
        </w:rPr>
        <w:t>2.9 合同变更</w:t>
      </w:r>
      <w:bookmarkEnd w:id="456"/>
    </w:p>
    <w:p w14:paraId="53A607A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5271BD7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2.9.2 合同继续履行将损害国家利益和社会公共利益的，双方当事人应当以书面形式变更合同。有过错的一方应当承担赔偿责任，双方当事人都有过错的，各自承担相应的责任。</w:t>
      </w:r>
      <w:bookmarkStart w:id="461" w:name="_Toc259093688"/>
      <w:bookmarkStart w:id="462" w:name="_Toc279701259"/>
      <w:bookmarkStart w:id="463" w:name="_Toc487900369"/>
    </w:p>
    <w:p w14:paraId="0D7114F7">
      <w:pPr>
        <w:spacing w:line="560" w:lineRule="exact"/>
        <w:ind w:firstLine="482" w:firstLineChars="200"/>
        <w:outlineLvl w:val="0"/>
        <w:rPr>
          <w:rFonts w:ascii="仿宋" w:hAnsi="仿宋" w:eastAsia="仿宋" w:cs="仿宋"/>
          <w:b/>
          <w:color w:val="auto"/>
          <w:sz w:val="24"/>
        </w:rPr>
      </w:pPr>
      <w:bookmarkStart w:id="464" w:name="_Toc10663"/>
      <w:bookmarkStart w:id="465" w:name="_Toc42"/>
      <w:bookmarkStart w:id="466" w:name="_Toc21830"/>
      <w:bookmarkStart w:id="467" w:name="_Toc26689"/>
      <w:bookmarkStart w:id="468" w:name="_Toc23368"/>
      <w:r>
        <w:rPr>
          <w:rFonts w:hint="eastAsia" w:ascii="仿宋" w:hAnsi="仿宋" w:eastAsia="仿宋" w:cs="仿宋"/>
          <w:b/>
          <w:color w:val="auto"/>
          <w:sz w:val="24"/>
        </w:rPr>
        <w:t>2.10 合同转让</w:t>
      </w:r>
      <w:bookmarkEnd w:id="461"/>
      <w:bookmarkEnd w:id="462"/>
      <w:bookmarkEnd w:id="463"/>
      <w:r>
        <w:rPr>
          <w:rFonts w:hint="eastAsia" w:ascii="仿宋" w:hAnsi="仿宋" w:eastAsia="仿宋" w:cs="仿宋"/>
          <w:b/>
          <w:color w:val="auto"/>
          <w:sz w:val="24"/>
        </w:rPr>
        <w:t>和分包</w:t>
      </w:r>
      <w:bookmarkEnd w:id="464"/>
      <w:bookmarkEnd w:id="465"/>
      <w:bookmarkEnd w:id="466"/>
      <w:bookmarkEnd w:id="467"/>
      <w:bookmarkEnd w:id="468"/>
    </w:p>
    <w:p w14:paraId="4FCA70C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19B8056">
      <w:pPr>
        <w:spacing w:line="560" w:lineRule="exact"/>
        <w:ind w:firstLine="482" w:firstLineChars="200"/>
        <w:outlineLvl w:val="0"/>
        <w:rPr>
          <w:rFonts w:ascii="仿宋" w:hAnsi="仿宋" w:eastAsia="仿宋" w:cs="仿宋"/>
          <w:b/>
          <w:color w:val="auto"/>
          <w:sz w:val="24"/>
        </w:rPr>
      </w:pPr>
      <w:bookmarkStart w:id="469" w:name="_Toc32494"/>
      <w:bookmarkStart w:id="470" w:name="_Toc4720"/>
      <w:bookmarkStart w:id="471" w:name="_Toc26633"/>
      <w:bookmarkStart w:id="472" w:name="_Toc14371"/>
      <w:bookmarkStart w:id="473" w:name="_Toc25571"/>
      <w:r>
        <w:rPr>
          <w:rFonts w:hint="eastAsia" w:ascii="仿宋" w:hAnsi="仿宋" w:eastAsia="仿宋" w:cs="仿宋"/>
          <w:b/>
          <w:color w:val="auto"/>
          <w:sz w:val="24"/>
        </w:rPr>
        <w:t>2.11 不可抗力</w:t>
      </w:r>
      <w:bookmarkEnd w:id="469"/>
      <w:bookmarkEnd w:id="470"/>
      <w:bookmarkEnd w:id="471"/>
      <w:bookmarkEnd w:id="472"/>
      <w:bookmarkEnd w:id="473"/>
    </w:p>
    <w:p w14:paraId="4B46F6E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2.11.1如果任何一方遭遇法律规定的不可抗力，致使合同履行受阻时，履行合同的期限应予延长，延长的期限应相当于不可抗力所影响的时间；</w:t>
      </w:r>
    </w:p>
    <w:p w14:paraId="05186F8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2.11.2 因不可抗力致使不能实现合同目的的，当事人可以解除合同；</w:t>
      </w:r>
    </w:p>
    <w:p w14:paraId="0D554CA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2.11.3 因不可抗力致使合同有变更必要的，双方当事人应在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约定时间内以书面形式变更合同；</w:t>
      </w:r>
    </w:p>
    <w:p w14:paraId="72D17D0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2.11.4受不可抗力影响的一方在不可抗力发生后，应在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约定时间内以书面形式通知对方当事人，并在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约定时间内，将有关部门出具的证明文件送达对方当事人。</w:t>
      </w:r>
    </w:p>
    <w:p w14:paraId="1BBFCAD3">
      <w:pPr>
        <w:spacing w:line="560" w:lineRule="exact"/>
        <w:ind w:firstLine="482" w:firstLineChars="200"/>
        <w:outlineLvl w:val="0"/>
        <w:rPr>
          <w:rFonts w:ascii="仿宋" w:hAnsi="仿宋" w:eastAsia="仿宋" w:cs="仿宋"/>
          <w:b/>
          <w:color w:val="auto"/>
          <w:sz w:val="24"/>
        </w:rPr>
      </w:pPr>
      <w:bookmarkStart w:id="474" w:name="_Toc24465"/>
      <w:bookmarkStart w:id="475" w:name="_Toc3638"/>
      <w:bookmarkStart w:id="476" w:name="_Toc25783"/>
      <w:bookmarkStart w:id="477" w:name="_Toc259093684"/>
      <w:bookmarkStart w:id="478" w:name="_Toc279701255"/>
      <w:bookmarkStart w:id="479" w:name="_Toc23854"/>
      <w:bookmarkStart w:id="480" w:name="_Toc487900365"/>
      <w:bookmarkStart w:id="481" w:name="_Toc14115"/>
      <w:r>
        <w:rPr>
          <w:rFonts w:hint="eastAsia" w:ascii="仿宋" w:hAnsi="仿宋" w:eastAsia="仿宋" w:cs="仿宋"/>
          <w:b/>
          <w:color w:val="auto"/>
          <w:sz w:val="24"/>
        </w:rPr>
        <w:t>2.12 税费</w:t>
      </w:r>
      <w:bookmarkEnd w:id="474"/>
      <w:bookmarkEnd w:id="475"/>
      <w:bookmarkEnd w:id="476"/>
      <w:bookmarkEnd w:id="477"/>
      <w:bookmarkEnd w:id="478"/>
      <w:bookmarkEnd w:id="479"/>
      <w:bookmarkEnd w:id="480"/>
      <w:bookmarkEnd w:id="481"/>
    </w:p>
    <w:p w14:paraId="713C1ED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与合同有关的一切税费，均按照中华人民共和国法律的相关规定缴纳。</w:t>
      </w:r>
    </w:p>
    <w:p w14:paraId="6ECF272C">
      <w:pPr>
        <w:spacing w:line="560" w:lineRule="exact"/>
        <w:ind w:firstLine="482" w:firstLineChars="200"/>
        <w:outlineLvl w:val="0"/>
        <w:rPr>
          <w:rFonts w:ascii="仿宋" w:hAnsi="仿宋" w:eastAsia="仿宋" w:cs="仿宋"/>
          <w:b/>
          <w:color w:val="auto"/>
          <w:sz w:val="24"/>
        </w:rPr>
      </w:pPr>
      <w:bookmarkStart w:id="482" w:name="_Toc30105"/>
      <w:bookmarkStart w:id="483" w:name="_Toc7315"/>
      <w:bookmarkStart w:id="484" w:name="_Toc26883"/>
      <w:bookmarkStart w:id="485" w:name="_Toc25525"/>
      <w:bookmarkStart w:id="486" w:name="_Toc487900368"/>
      <w:bookmarkStart w:id="487" w:name="_Toc279701258"/>
      <w:bookmarkStart w:id="488" w:name="_Toc14814"/>
      <w:bookmarkStart w:id="489" w:name="_Toc259093687"/>
      <w:r>
        <w:rPr>
          <w:rFonts w:hint="eastAsia" w:ascii="仿宋" w:hAnsi="仿宋" w:eastAsia="仿宋" w:cs="仿宋"/>
          <w:b/>
          <w:color w:val="auto"/>
          <w:sz w:val="24"/>
        </w:rPr>
        <w:t>2.13 乙方破产</w:t>
      </w:r>
      <w:bookmarkEnd w:id="482"/>
      <w:bookmarkEnd w:id="483"/>
      <w:bookmarkEnd w:id="484"/>
      <w:bookmarkEnd w:id="485"/>
      <w:bookmarkEnd w:id="486"/>
      <w:bookmarkEnd w:id="487"/>
      <w:bookmarkEnd w:id="488"/>
      <w:bookmarkEnd w:id="489"/>
    </w:p>
    <w:p w14:paraId="5AA1A9B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A2E4671">
      <w:pPr>
        <w:spacing w:line="560" w:lineRule="exact"/>
        <w:ind w:firstLine="482" w:firstLineChars="200"/>
        <w:outlineLvl w:val="0"/>
        <w:rPr>
          <w:rFonts w:ascii="仿宋" w:hAnsi="仿宋" w:eastAsia="仿宋" w:cs="仿宋"/>
          <w:b/>
          <w:color w:val="auto"/>
          <w:sz w:val="24"/>
        </w:rPr>
      </w:pPr>
      <w:bookmarkStart w:id="490" w:name="_Toc1123"/>
      <w:bookmarkStart w:id="491" w:name="_Toc2016"/>
      <w:bookmarkStart w:id="492" w:name="_Toc23323"/>
      <w:r>
        <w:rPr>
          <w:rFonts w:hint="eastAsia" w:ascii="仿宋" w:hAnsi="仿宋" w:eastAsia="仿宋" w:cs="仿宋"/>
          <w:b/>
          <w:color w:val="auto"/>
          <w:sz w:val="24"/>
        </w:rPr>
        <w:t>2.14 合同中止、终止</w:t>
      </w:r>
      <w:bookmarkEnd w:id="490"/>
      <w:bookmarkEnd w:id="491"/>
      <w:bookmarkEnd w:id="492"/>
    </w:p>
    <w:p w14:paraId="1F9CCEB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2.14.1 双方当事人不得擅自中止或者终止合同；</w:t>
      </w:r>
    </w:p>
    <w:p w14:paraId="53A193C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2.14.2合同继续履行将损害国家利益和社会公共利益的，双方当事人应当中止或者终止合同。有过错的一方应当承担赔偿责任，双方当事人都有过错的，各自承担相应的责任。</w:t>
      </w:r>
    </w:p>
    <w:p w14:paraId="5DE55867">
      <w:pPr>
        <w:spacing w:line="560" w:lineRule="exact"/>
        <w:ind w:firstLine="482" w:firstLineChars="200"/>
        <w:outlineLvl w:val="0"/>
        <w:rPr>
          <w:rFonts w:ascii="仿宋" w:hAnsi="仿宋" w:eastAsia="仿宋" w:cs="仿宋"/>
          <w:b/>
          <w:color w:val="auto"/>
          <w:sz w:val="24"/>
        </w:rPr>
      </w:pPr>
      <w:bookmarkStart w:id="493" w:name="_Toc14525"/>
      <w:bookmarkStart w:id="494" w:name="_Toc1969"/>
      <w:bookmarkStart w:id="495" w:name="_Toc17363"/>
      <w:r>
        <w:rPr>
          <w:rFonts w:hint="eastAsia" w:ascii="仿宋" w:hAnsi="仿宋" w:eastAsia="仿宋" w:cs="仿宋"/>
          <w:b/>
          <w:color w:val="auto"/>
          <w:sz w:val="24"/>
        </w:rPr>
        <w:t>2.15 检验和验收</w:t>
      </w:r>
      <w:bookmarkEnd w:id="493"/>
      <w:bookmarkEnd w:id="494"/>
      <w:bookmarkEnd w:id="495"/>
    </w:p>
    <w:p w14:paraId="17F5BED8">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2.15.1 乙方按照</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的约定，定期提交服务报告，甲方按照</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的约定进行定期验收；</w:t>
      </w:r>
    </w:p>
    <w:p w14:paraId="35A31AFC">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C2DD1B0">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2.15.3 检验和验收标准、程序等具体内容以及前述验收书的效力详见</w:t>
      </w:r>
      <w:r>
        <w:rPr>
          <w:rFonts w:hint="eastAsia" w:ascii="仿宋" w:hAnsi="仿宋" w:eastAsia="仿宋" w:cs="仿宋"/>
          <w:b/>
          <w:i/>
          <w:color w:val="auto"/>
          <w:sz w:val="24"/>
          <w:u w:val="single"/>
        </w:rPr>
        <w:t>合同专用条款</w:t>
      </w:r>
      <w:r>
        <w:rPr>
          <w:rFonts w:hint="eastAsia" w:ascii="仿宋" w:hAnsi="仿宋" w:eastAsia="仿宋" w:cs="仿宋"/>
          <w:i/>
          <w:color w:val="auto"/>
          <w:sz w:val="24"/>
        </w:rPr>
        <w:t>。</w:t>
      </w:r>
    </w:p>
    <w:bookmarkEnd w:id="457"/>
    <w:bookmarkEnd w:id="458"/>
    <w:bookmarkEnd w:id="459"/>
    <w:bookmarkEnd w:id="460"/>
    <w:p w14:paraId="14E081FA">
      <w:pPr>
        <w:spacing w:line="560" w:lineRule="exact"/>
        <w:ind w:firstLine="482" w:firstLineChars="200"/>
        <w:outlineLvl w:val="0"/>
        <w:rPr>
          <w:rFonts w:ascii="仿宋" w:hAnsi="仿宋" w:eastAsia="仿宋" w:cs="仿宋"/>
          <w:b/>
          <w:color w:val="auto"/>
          <w:sz w:val="24"/>
        </w:rPr>
      </w:pPr>
      <w:bookmarkStart w:id="496" w:name="_Toc487900371"/>
      <w:bookmarkStart w:id="497" w:name="_Toc279701261"/>
      <w:bookmarkStart w:id="498" w:name="_Toc259093690"/>
      <w:bookmarkStart w:id="499" w:name="_Toc25198"/>
      <w:bookmarkStart w:id="500" w:name="_Toc31892"/>
      <w:bookmarkStart w:id="501" w:name="_Toc9808"/>
      <w:bookmarkStart w:id="502" w:name="_Toc12666"/>
      <w:bookmarkStart w:id="503" w:name="_Toc2308"/>
      <w:r>
        <w:rPr>
          <w:rFonts w:hint="eastAsia" w:ascii="仿宋" w:hAnsi="仿宋" w:eastAsia="仿宋" w:cs="仿宋"/>
          <w:b/>
          <w:color w:val="auto"/>
          <w:sz w:val="24"/>
        </w:rPr>
        <w:t>2.16 通知</w:t>
      </w:r>
      <w:bookmarkEnd w:id="496"/>
      <w:bookmarkEnd w:id="497"/>
      <w:bookmarkEnd w:id="498"/>
      <w:r>
        <w:rPr>
          <w:rFonts w:hint="eastAsia" w:ascii="仿宋" w:hAnsi="仿宋" w:eastAsia="仿宋" w:cs="仿宋"/>
          <w:b/>
          <w:color w:val="auto"/>
          <w:sz w:val="24"/>
        </w:rPr>
        <w:t>和送达</w:t>
      </w:r>
      <w:bookmarkEnd w:id="499"/>
      <w:bookmarkEnd w:id="500"/>
      <w:bookmarkEnd w:id="501"/>
      <w:bookmarkEnd w:id="502"/>
      <w:bookmarkEnd w:id="503"/>
    </w:p>
    <w:p w14:paraId="1C1BCB84">
      <w:pPr>
        <w:spacing w:line="560" w:lineRule="exact"/>
        <w:ind w:firstLine="480" w:firstLineChars="200"/>
        <w:rPr>
          <w:rFonts w:ascii="仿宋" w:hAnsi="仿宋" w:eastAsia="仿宋" w:cs="仿宋"/>
          <w:color w:val="auto"/>
          <w:sz w:val="24"/>
        </w:rPr>
      </w:pPr>
      <w:bookmarkStart w:id="504" w:name="_Toc29220"/>
      <w:bookmarkStart w:id="505" w:name="_Toc7073"/>
      <w:bookmarkStart w:id="506" w:name="_Toc279701262"/>
      <w:bookmarkStart w:id="507" w:name="_Toc259093691"/>
      <w:bookmarkStart w:id="508" w:name="_Toc487900372"/>
      <w:r>
        <w:rPr>
          <w:rFonts w:hint="eastAsia" w:ascii="仿宋" w:hAnsi="仿宋" w:eastAsia="仿宋" w:cs="仿宋"/>
          <w:color w:val="auto"/>
          <w:sz w:val="24"/>
        </w:rPr>
        <w:t>2.16.1 任何一方因履行合同而以合同第一部分尾部所列明的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发出的所有通知、文件、材料，均视为已向对方当事人送达；任何一方变更上述送达方式或者地址的，应于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个工作日内书面通知对方当事人，在对方当事人收到有关变更通知之前，变更前的约定送达方式或者地址仍视为有效。</w:t>
      </w:r>
      <w:bookmarkEnd w:id="504"/>
      <w:bookmarkEnd w:id="505"/>
    </w:p>
    <w:p w14:paraId="4BF78D27">
      <w:pPr>
        <w:spacing w:line="560" w:lineRule="exact"/>
        <w:ind w:firstLine="480" w:firstLineChars="200"/>
        <w:rPr>
          <w:rFonts w:ascii="仿宋" w:hAnsi="仿宋" w:eastAsia="仿宋" w:cs="仿宋"/>
          <w:color w:val="auto"/>
          <w:sz w:val="24"/>
        </w:rPr>
      </w:pPr>
      <w:bookmarkStart w:id="509" w:name="_Toc18401"/>
      <w:bookmarkStart w:id="510" w:name="_Toc27674"/>
      <w:r>
        <w:rPr>
          <w:rFonts w:hint="eastAsia" w:ascii="仿宋" w:hAnsi="仿宋" w:eastAsia="仿宋" w:cs="仿宋"/>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9"/>
      <w:bookmarkEnd w:id="510"/>
    </w:p>
    <w:bookmarkEnd w:id="506"/>
    <w:bookmarkEnd w:id="507"/>
    <w:bookmarkEnd w:id="508"/>
    <w:p w14:paraId="1458D32C">
      <w:pPr>
        <w:spacing w:line="560" w:lineRule="exact"/>
        <w:ind w:firstLine="482" w:firstLineChars="200"/>
        <w:outlineLvl w:val="0"/>
        <w:rPr>
          <w:rFonts w:ascii="仿宋" w:hAnsi="仿宋" w:eastAsia="仿宋" w:cs="仿宋"/>
          <w:b/>
          <w:color w:val="auto"/>
          <w:sz w:val="24"/>
        </w:rPr>
      </w:pPr>
      <w:bookmarkStart w:id="511" w:name="_Toc28906"/>
      <w:bookmarkStart w:id="512" w:name="_Toc259093692"/>
      <w:bookmarkStart w:id="513" w:name="_Toc5063"/>
      <w:bookmarkStart w:id="514" w:name="_Toc27644"/>
      <w:bookmarkStart w:id="515" w:name="_Toc487900373"/>
      <w:bookmarkStart w:id="516" w:name="_Toc12254"/>
      <w:bookmarkStart w:id="517" w:name="_Toc279701263"/>
      <w:bookmarkStart w:id="518" w:name="_Toc20808"/>
      <w:r>
        <w:rPr>
          <w:rFonts w:hint="eastAsia" w:ascii="仿宋" w:hAnsi="仿宋" w:eastAsia="仿宋" w:cs="仿宋"/>
          <w:b/>
          <w:color w:val="auto"/>
          <w:sz w:val="24"/>
        </w:rPr>
        <w:t>2.17 合同使用的文字和适用的法律</w:t>
      </w:r>
      <w:bookmarkEnd w:id="511"/>
      <w:bookmarkEnd w:id="512"/>
      <w:bookmarkEnd w:id="513"/>
      <w:bookmarkEnd w:id="514"/>
      <w:bookmarkEnd w:id="515"/>
      <w:bookmarkEnd w:id="516"/>
      <w:bookmarkEnd w:id="517"/>
      <w:bookmarkEnd w:id="518"/>
    </w:p>
    <w:p w14:paraId="526DE1E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2.17.1 合同使用汉语书就、变更和解释；</w:t>
      </w:r>
    </w:p>
    <w:p w14:paraId="357E330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2.17.2 合同适用中华人民共和国法律。</w:t>
      </w:r>
    </w:p>
    <w:p w14:paraId="40B47103">
      <w:pPr>
        <w:spacing w:line="560" w:lineRule="exact"/>
        <w:ind w:firstLine="482" w:firstLineChars="200"/>
        <w:outlineLvl w:val="0"/>
        <w:rPr>
          <w:rFonts w:ascii="仿宋" w:hAnsi="仿宋" w:eastAsia="仿宋" w:cs="仿宋"/>
          <w:b/>
          <w:color w:val="auto"/>
          <w:sz w:val="24"/>
        </w:rPr>
      </w:pPr>
      <w:bookmarkStart w:id="519" w:name="_Toc279701264"/>
      <w:bookmarkStart w:id="520" w:name="_Toc30096"/>
      <w:bookmarkStart w:id="521" w:name="_Toc22266"/>
      <w:bookmarkStart w:id="522" w:name="_Toc27403"/>
      <w:bookmarkStart w:id="523" w:name="_Toc1492"/>
      <w:bookmarkStart w:id="524" w:name="_Toc259093693"/>
      <w:bookmarkStart w:id="525" w:name="_Toc27127"/>
      <w:bookmarkStart w:id="526" w:name="_Toc487900374"/>
      <w:r>
        <w:rPr>
          <w:rFonts w:hint="eastAsia" w:ascii="仿宋" w:hAnsi="仿宋" w:eastAsia="仿宋" w:cs="仿宋"/>
          <w:b/>
          <w:color w:val="auto"/>
          <w:sz w:val="24"/>
        </w:rPr>
        <w:t>2.18 履约保证金</w:t>
      </w:r>
      <w:bookmarkEnd w:id="519"/>
      <w:bookmarkEnd w:id="520"/>
      <w:bookmarkEnd w:id="521"/>
      <w:bookmarkEnd w:id="522"/>
      <w:bookmarkEnd w:id="523"/>
      <w:bookmarkEnd w:id="524"/>
      <w:bookmarkEnd w:id="525"/>
    </w:p>
    <w:p w14:paraId="171B82E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2.18.1 采购文件要求乙方提交履约保证金的，乙方应按</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约定的方式，以支票、汇票、本票或者金融机构、担保机构出具的保函等非现金形式，提交不超过合同价10%的履约保证金；</w:t>
      </w:r>
    </w:p>
    <w:p w14:paraId="20050C9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2.18.2 履约保证金在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约定期间内不予退还或者应完全有效，前述约定期间届满之日起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个工作日内，甲方应将履约保证金退还乙方；</w:t>
      </w:r>
    </w:p>
    <w:p w14:paraId="124B31B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6"/>
    <w:p w14:paraId="508F4345">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2.19 合同份数</w:t>
      </w:r>
    </w:p>
    <w:p w14:paraId="727965B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合同份数按</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规定，每份均具有同等法律效力。</w:t>
      </w:r>
    </w:p>
    <w:p w14:paraId="15D9F6B1">
      <w:pPr>
        <w:pStyle w:val="63"/>
        <w:spacing w:line="560" w:lineRule="exact"/>
        <w:ind w:firstLine="0"/>
        <w:jc w:val="center"/>
        <w:rPr>
          <w:rFonts w:ascii="仿宋" w:hAnsi="仿宋" w:eastAsia="仿宋" w:cs="仿宋"/>
          <w:b/>
          <w:color w:val="auto"/>
          <w:szCs w:val="24"/>
        </w:rPr>
      </w:pPr>
      <w:r>
        <w:rPr>
          <w:rFonts w:hint="eastAsia" w:ascii="仿宋" w:hAnsi="仿宋" w:eastAsia="仿宋" w:cs="仿宋"/>
          <w:color w:val="auto"/>
          <w:szCs w:val="24"/>
        </w:rPr>
        <w:br w:type="page"/>
      </w:r>
      <w:bookmarkStart w:id="527" w:name="_Toc331685784"/>
      <w:r>
        <w:rPr>
          <w:rFonts w:hint="eastAsia" w:ascii="仿宋" w:hAnsi="仿宋" w:eastAsia="仿宋" w:cs="仿宋"/>
          <w:b/>
          <w:color w:val="auto"/>
          <w:szCs w:val="24"/>
        </w:rPr>
        <w:t>第三部分  合同专用条款</w:t>
      </w:r>
      <w:bookmarkEnd w:id="527"/>
    </w:p>
    <w:p w14:paraId="7EBC883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6FA2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rPr>
        <w:tc>
          <w:tcPr>
            <w:tcW w:w="801" w:type="dxa"/>
            <w:tcBorders>
              <w:left w:val="single" w:color="auto" w:sz="4" w:space="0"/>
            </w:tcBorders>
            <w:vAlign w:val="center"/>
          </w:tcPr>
          <w:p w14:paraId="3D6092A9">
            <w:pPr>
              <w:spacing w:line="560" w:lineRule="exact"/>
              <w:jc w:val="center"/>
              <w:rPr>
                <w:rFonts w:ascii="仿宋" w:hAnsi="仿宋" w:eastAsia="仿宋" w:cs="仿宋"/>
                <w:b/>
                <w:color w:val="auto"/>
                <w:sz w:val="24"/>
              </w:rPr>
            </w:pPr>
            <w:r>
              <w:rPr>
                <w:rFonts w:hint="eastAsia" w:ascii="仿宋" w:hAnsi="仿宋" w:eastAsia="仿宋" w:cs="仿宋"/>
                <w:b/>
                <w:color w:val="auto"/>
                <w:sz w:val="24"/>
              </w:rPr>
              <w:t>条款号</w:t>
            </w:r>
          </w:p>
        </w:tc>
        <w:tc>
          <w:tcPr>
            <w:tcW w:w="7633" w:type="dxa"/>
            <w:vAlign w:val="center"/>
          </w:tcPr>
          <w:p w14:paraId="6B0138A6">
            <w:pPr>
              <w:spacing w:line="560" w:lineRule="exact"/>
              <w:jc w:val="center"/>
              <w:rPr>
                <w:rFonts w:ascii="仿宋" w:hAnsi="仿宋" w:eastAsia="仿宋" w:cs="仿宋"/>
                <w:b/>
                <w:color w:val="auto"/>
                <w:sz w:val="24"/>
              </w:rPr>
            </w:pPr>
            <w:r>
              <w:rPr>
                <w:rFonts w:hint="eastAsia" w:ascii="仿宋" w:hAnsi="仿宋" w:eastAsia="仿宋" w:cs="仿宋"/>
                <w:b/>
                <w:color w:val="auto"/>
                <w:sz w:val="24"/>
              </w:rPr>
              <w:t>约定内容</w:t>
            </w:r>
          </w:p>
        </w:tc>
      </w:tr>
      <w:tr w14:paraId="3E05E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025AB8A">
            <w:pPr>
              <w:spacing w:line="560" w:lineRule="exact"/>
              <w:rPr>
                <w:rFonts w:ascii="仿宋" w:hAnsi="仿宋" w:eastAsia="仿宋" w:cs="仿宋"/>
                <w:color w:val="auto"/>
                <w:sz w:val="24"/>
              </w:rPr>
            </w:pPr>
          </w:p>
        </w:tc>
        <w:tc>
          <w:tcPr>
            <w:tcW w:w="7633" w:type="dxa"/>
            <w:vAlign w:val="center"/>
          </w:tcPr>
          <w:p w14:paraId="11EAF721">
            <w:pPr>
              <w:spacing w:line="560" w:lineRule="exact"/>
              <w:rPr>
                <w:rFonts w:ascii="仿宋" w:hAnsi="仿宋" w:eastAsia="仿宋" w:cs="仿宋"/>
                <w:color w:val="auto"/>
                <w:sz w:val="24"/>
              </w:rPr>
            </w:pPr>
          </w:p>
        </w:tc>
      </w:tr>
      <w:tr w14:paraId="4FD5E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B0C1728">
            <w:pPr>
              <w:spacing w:line="560" w:lineRule="exact"/>
              <w:rPr>
                <w:rFonts w:ascii="仿宋" w:hAnsi="仿宋" w:eastAsia="仿宋" w:cs="仿宋"/>
                <w:color w:val="auto"/>
                <w:sz w:val="24"/>
              </w:rPr>
            </w:pPr>
          </w:p>
        </w:tc>
        <w:tc>
          <w:tcPr>
            <w:tcW w:w="7633" w:type="dxa"/>
            <w:vAlign w:val="center"/>
          </w:tcPr>
          <w:p w14:paraId="20975D8B">
            <w:pPr>
              <w:spacing w:line="560" w:lineRule="exact"/>
              <w:rPr>
                <w:rFonts w:ascii="仿宋" w:hAnsi="仿宋" w:eastAsia="仿宋" w:cs="仿宋"/>
                <w:color w:val="auto"/>
                <w:sz w:val="24"/>
              </w:rPr>
            </w:pPr>
          </w:p>
        </w:tc>
      </w:tr>
      <w:tr w14:paraId="47A82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2EB9835">
            <w:pPr>
              <w:spacing w:line="560" w:lineRule="exact"/>
              <w:rPr>
                <w:rFonts w:ascii="仿宋" w:hAnsi="仿宋" w:eastAsia="仿宋" w:cs="仿宋"/>
                <w:color w:val="auto"/>
                <w:sz w:val="24"/>
              </w:rPr>
            </w:pPr>
          </w:p>
        </w:tc>
        <w:tc>
          <w:tcPr>
            <w:tcW w:w="7633" w:type="dxa"/>
            <w:vAlign w:val="center"/>
          </w:tcPr>
          <w:p w14:paraId="5B6CA732">
            <w:pPr>
              <w:spacing w:line="560" w:lineRule="exact"/>
              <w:rPr>
                <w:rFonts w:ascii="仿宋" w:hAnsi="仿宋" w:eastAsia="仿宋" w:cs="仿宋"/>
                <w:color w:val="auto"/>
                <w:sz w:val="24"/>
              </w:rPr>
            </w:pPr>
          </w:p>
        </w:tc>
      </w:tr>
      <w:tr w14:paraId="5EC52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EEA70F9">
            <w:pPr>
              <w:spacing w:line="560" w:lineRule="exact"/>
              <w:rPr>
                <w:rFonts w:ascii="仿宋" w:hAnsi="仿宋" w:eastAsia="仿宋" w:cs="仿宋"/>
                <w:color w:val="auto"/>
                <w:sz w:val="24"/>
              </w:rPr>
            </w:pPr>
          </w:p>
        </w:tc>
        <w:tc>
          <w:tcPr>
            <w:tcW w:w="7633" w:type="dxa"/>
            <w:vAlign w:val="center"/>
          </w:tcPr>
          <w:p w14:paraId="19585C02">
            <w:pPr>
              <w:spacing w:line="560" w:lineRule="exact"/>
              <w:rPr>
                <w:rFonts w:ascii="仿宋" w:hAnsi="仿宋" w:eastAsia="仿宋" w:cs="仿宋"/>
                <w:color w:val="auto"/>
                <w:sz w:val="24"/>
              </w:rPr>
            </w:pPr>
          </w:p>
        </w:tc>
      </w:tr>
      <w:tr w14:paraId="6F411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D4DABD6">
            <w:pPr>
              <w:spacing w:line="560" w:lineRule="exact"/>
              <w:rPr>
                <w:rFonts w:ascii="仿宋" w:hAnsi="仿宋" w:eastAsia="仿宋" w:cs="仿宋"/>
                <w:color w:val="auto"/>
                <w:sz w:val="24"/>
              </w:rPr>
            </w:pPr>
          </w:p>
        </w:tc>
        <w:tc>
          <w:tcPr>
            <w:tcW w:w="7633" w:type="dxa"/>
            <w:vAlign w:val="center"/>
          </w:tcPr>
          <w:p w14:paraId="0F6A712C">
            <w:pPr>
              <w:spacing w:line="560" w:lineRule="exact"/>
              <w:rPr>
                <w:rFonts w:ascii="仿宋" w:hAnsi="仿宋" w:eastAsia="仿宋" w:cs="仿宋"/>
                <w:color w:val="auto"/>
                <w:sz w:val="24"/>
                <w:u w:val="single"/>
              </w:rPr>
            </w:pPr>
          </w:p>
        </w:tc>
      </w:tr>
      <w:tr w14:paraId="25C56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4AD6DCA">
            <w:pPr>
              <w:spacing w:line="560" w:lineRule="exact"/>
              <w:rPr>
                <w:rFonts w:ascii="仿宋" w:hAnsi="仿宋" w:eastAsia="仿宋" w:cs="仿宋"/>
                <w:color w:val="auto"/>
                <w:sz w:val="24"/>
              </w:rPr>
            </w:pPr>
          </w:p>
        </w:tc>
        <w:tc>
          <w:tcPr>
            <w:tcW w:w="7633" w:type="dxa"/>
            <w:vAlign w:val="center"/>
          </w:tcPr>
          <w:p w14:paraId="3D3B7B41">
            <w:pPr>
              <w:spacing w:line="560" w:lineRule="exact"/>
              <w:rPr>
                <w:rFonts w:ascii="仿宋" w:hAnsi="仿宋" w:eastAsia="仿宋" w:cs="仿宋"/>
                <w:color w:val="auto"/>
                <w:sz w:val="24"/>
              </w:rPr>
            </w:pPr>
          </w:p>
        </w:tc>
      </w:tr>
      <w:tr w14:paraId="4AA2E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91A6FFB">
            <w:pPr>
              <w:spacing w:line="560" w:lineRule="exact"/>
              <w:rPr>
                <w:rFonts w:ascii="仿宋" w:hAnsi="仿宋" w:eastAsia="仿宋" w:cs="仿宋"/>
                <w:color w:val="auto"/>
                <w:sz w:val="24"/>
              </w:rPr>
            </w:pPr>
          </w:p>
        </w:tc>
        <w:tc>
          <w:tcPr>
            <w:tcW w:w="7633" w:type="dxa"/>
            <w:vAlign w:val="center"/>
          </w:tcPr>
          <w:p w14:paraId="5CD4F0B2">
            <w:pPr>
              <w:spacing w:line="560" w:lineRule="exact"/>
              <w:rPr>
                <w:rFonts w:ascii="仿宋" w:hAnsi="仿宋" w:eastAsia="仿宋" w:cs="仿宋"/>
                <w:color w:val="auto"/>
                <w:sz w:val="24"/>
                <w:u w:val="single"/>
              </w:rPr>
            </w:pPr>
          </w:p>
        </w:tc>
      </w:tr>
      <w:tr w14:paraId="5C6E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F5B958C">
            <w:pPr>
              <w:spacing w:line="560" w:lineRule="exact"/>
              <w:rPr>
                <w:rFonts w:ascii="仿宋" w:hAnsi="仿宋" w:eastAsia="仿宋" w:cs="仿宋"/>
                <w:color w:val="auto"/>
                <w:sz w:val="24"/>
              </w:rPr>
            </w:pPr>
          </w:p>
        </w:tc>
        <w:tc>
          <w:tcPr>
            <w:tcW w:w="7633" w:type="dxa"/>
            <w:vAlign w:val="center"/>
          </w:tcPr>
          <w:p w14:paraId="1B12A948">
            <w:pPr>
              <w:spacing w:line="560" w:lineRule="exact"/>
              <w:rPr>
                <w:rFonts w:ascii="仿宋" w:hAnsi="仿宋" w:eastAsia="仿宋" w:cs="仿宋"/>
                <w:color w:val="auto"/>
                <w:sz w:val="24"/>
              </w:rPr>
            </w:pPr>
          </w:p>
        </w:tc>
      </w:tr>
      <w:tr w14:paraId="186A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8E1939A">
            <w:pPr>
              <w:spacing w:line="560" w:lineRule="exact"/>
              <w:rPr>
                <w:rFonts w:ascii="仿宋" w:hAnsi="仿宋" w:eastAsia="仿宋" w:cs="仿宋"/>
                <w:color w:val="auto"/>
                <w:sz w:val="24"/>
              </w:rPr>
            </w:pPr>
          </w:p>
        </w:tc>
        <w:tc>
          <w:tcPr>
            <w:tcW w:w="7633" w:type="dxa"/>
            <w:vAlign w:val="center"/>
          </w:tcPr>
          <w:p w14:paraId="3DF46DFD">
            <w:pPr>
              <w:spacing w:line="560" w:lineRule="exact"/>
              <w:rPr>
                <w:rFonts w:ascii="仿宋" w:hAnsi="仿宋" w:eastAsia="仿宋" w:cs="仿宋"/>
                <w:color w:val="auto"/>
                <w:sz w:val="24"/>
              </w:rPr>
            </w:pPr>
          </w:p>
        </w:tc>
      </w:tr>
      <w:tr w14:paraId="229E5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E9D261B">
            <w:pPr>
              <w:spacing w:line="560" w:lineRule="exact"/>
              <w:rPr>
                <w:rFonts w:ascii="仿宋" w:hAnsi="仿宋" w:eastAsia="仿宋" w:cs="仿宋"/>
                <w:color w:val="auto"/>
                <w:sz w:val="24"/>
              </w:rPr>
            </w:pPr>
          </w:p>
        </w:tc>
        <w:tc>
          <w:tcPr>
            <w:tcW w:w="7633" w:type="dxa"/>
            <w:vAlign w:val="center"/>
          </w:tcPr>
          <w:p w14:paraId="514BC971">
            <w:pPr>
              <w:spacing w:line="560" w:lineRule="exact"/>
              <w:rPr>
                <w:rFonts w:ascii="仿宋" w:hAnsi="仿宋" w:eastAsia="仿宋" w:cs="仿宋"/>
                <w:color w:val="auto"/>
                <w:sz w:val="24"/>
              </w:rPr>
            </w:pPr>
          </w:p>
        </w:tc>
      </w:tr>
      <w:tr w14:paraId="791F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0D9A488">
            <w:pPr>
              <w:spacing w:line="560" w:lineRule="exact"/>
              <w:rPr>
                <w:rFonts w:ascii="仿宋" w:hAnsi="仿宋" w:eastAsia="仿宋" w:cs="仿宋"/>
                <w:color w:val="auto"/>
                <w:sz w:val="24"/>
              </w:rPr>
            </w:pPr>
          </w:p>
        </w:tc>
        <w:tc>
          <w:tcPr>
            <w:tcW w:w="7633" w:type="dxa"/>
            <w:vAlign w:val="center"/>
          </w:tcPr>
          <w:p w14:paraId="6592C168">
            <w:pPr>
              <w:spacing w:line="560" w:lineRule="exact"/>
              <w:rPr>
                <w:rFonts w:ascii="仿宋" w:hAnsi="仿宋" w:eastAsia="仿宋" w:cs="仿宋"/>
                <w:color w:val="auto"/>
                <w:sz w:val="24"/>
              </w:rPr>
            </w:pPr>
          </w:p>
        </w:tc>
      </w:tr>
      <w:tr w14:paraId="13EB7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8AD01B4">
            <w:pPr>
              <w:spacing w:line="560" w:lineRule="exact"/>
              <w:rPr>
                <w:rFonts w:ascii="宋体" w:hAnsi="宋体" w:cs="宋体"/>
                <w:color w:val="auto"/>
                <w:sz w:val="24"/>
              </w:rPr>
            </w:pPr>
          </w:p>
        </w:tc>
        <w:tc>
          <w:tcPr>
            <w:tcW w:w="7633" w:type="dxa"/>
            <w:vAlign w:val="center"/>
          </w:tcPr>
          <w:p w14:paraId="7EE94279">
            <w:pPr>
              <w:spacing w:line="560" w:lineRule="exact"/>
              <w:rPr>
                <w:rFonts w:ascii="宋体" w:hAnsi="宋体" w:cs="宋体"/>
                <w:color w:val="auto"/>
                <w:sz w:val="24"/>
              </w:rPr>
            </w:pPr>
          </w:p>
        </w:tc>
      </w:tr>
    </w:tbl>
    <w:p w14:paraId="5AAA9F60">
      <w:pPr>
        <w:spacing w:after="156" w:line="560" w:lineRule="exact"/>
        <w:ind w:firstLine="480"/>
        <w:rPr>
          <w:rFonts w:ascii="宋体" w:hAnsi="宋体" w:cs="宋体"/>
          <w:color w:val="auto"/>
        </w:rPr>
      </w:pPr>
    </w:p>
    <w:p w14:paraId="4E024038">
      <w:pPr>
        <w:pStyle w:val="4"/>
        <w:spacing w:before="0" w:line="240" w:lineRule="atLeast"/>
        <w:ind w:left="1080" w:leftChars="257" w:hanging="540"/>
        <w:rPr>
          <w:rFonts w:ascii="宋体" w:hAnsi="宋体" w:eastAsia="宋体" w:cs="宋体"/>
          <w:color w:val="auto"/>
          <w:sz w:val="24"/>
        </w:rPr>
      </w:pPr>
    </w:p>
    <w:p w14:paraId="2EE94615">
      <w:pPr>
        <w:rPr>
          <w:rFonts w:ascii="宋体" w:hAnsi="宋体" w:cs="宋体"/>
          <w:color w:val="auto"/>
        </w:rPr>
      </w:pPr>
    </w:p>
    <w:p w14:paraId="38737330">
      <w:pPr>
        <w:pStyle w:val="7"/>
        <w:spacing w:line="240" w:lineRule="atLeast"/>
        <w:ind w:left="1080" w:leftChars="257" w:hanging="540"/>
        <w:rPr>
          <w:rFonts w:hAnsi="宋体" w:cs="宋体"/>
          <w:color w:val="auto"/>
          <w:szCs w:val="18"/>
        </w:rPr>
      </w:pPr>
    </w:p>
    <w:p w14:paraId="504B9DA4">
      <w:pPr>
        <w:pStyle w:val="7"/>
        <w:spacing w:line="240" w:lineRule="atLeast"/>
        <w:ind w:left="1080" w:leftChars="257" w:hanging="540"/>
        <w:rPr>
          <w:rFonts w:hAnsi="宋体" w:cs="宋体"/>
          <w:color w:val="auto"/>
          <w:sz w:val="28"/>
        </w:rPr>
      </w:pPr>
    </w:p>
    <w:sectPr>
      <w:headerReference r:id="rId19" w:type="default"/>
      <w:footerReference r:id="rId20"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方正舒体">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39C3">
    <w:pPr>
      <w:pStyle w:val="21"/>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60BB">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385EF">
                          <w:pPr>
                            <w:pStyle w:val="21"/>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AG6cIBAACO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mfXpA9SY9hgwMQ33fsCtmf2Azkx7UNHmLxIiGEd1z1d15ZCIyI/Wq/W6wpDA2HxBfPb0PERIb6W3&#10;JBsNjTi+oio/vYc0ps4puZrzD9qYMkLj/nIgZvaw3PvYY7bSsB8mQnvfnpFPj5NvqMNFp8S8cyhs&#10;XpLZiLOxn4xcA8LdMWHh0k9GHaGmYjimwmhaqbwHf95L1tNvtP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NgBunCAQAAjgMAAA4AAAAAAAAAAQAgAAAAHgEAAGRycy9lMm9Eb2MueG1sUEsF&#10;BgAAAAAGAAYAWQEAAFIFAAAAAA==&#10;">
              <v:fill on="f" focussize="0,0"/>
              <v:stroke on="f"/>
              <v:imagedata o:title=""/>
              <o:lock v:ext="edit" aspectratio="f"/>
              <v:textbox inset="0mm,0mm,0mm,0mm" style="mso-fit-shape-to-text:t;">
                <w:txbxContent>
                  <w:p w14:paraId="473385EF">
                    <w:pPr>
                      <w:pStyle w:val="21"/>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p>
  <w:p w14:paraId="07159466">
    <w:pPr>
      <w:pStyle w:val="21"/>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C86D">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6F894">
                          <w:pPr>
                            <w:pStyle w:val="21"/>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Lxu8IBAACO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JyPXgPDmmLBw6SejjlBTMRxTYTStVN6DP+8l6+E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Ci8bvCAQAAjgMAAA4AAAAAAAAAAQAgAAAAHgEAAGRycy9lMm9Eb2MueG1sUEsF&#10;BgAAAAAGAAYAWQEAAFIFAAAAAA==&#10;">
              <v:fill on="f" focussize="0,0"/>
              <v:stroke on="f"/>
              <v:imagedata o:title=""/>
              <o:lock v:ext="edit" aspectratio="f"/>
              <v:textbox inset="0mm,0mm,0mm,0mm" style="mso-fit-shape-to-text:t;">
                <w:txbxContent>
                  <w:p w14:paraId="0986F894">
                    <w:pPr>
                      <w:pStyle w:val="21"/>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A863">
    <w:pPr>
      <w:pStyle w:val="21"/>
      <w:framePr w:wrap="around" w:vAnchor="text" w:hAnchor="margin" w:xAlign="center" w:y="1"/>
      <w:rPr>
        <w:rStyle w:val="40"/>
      </w:rPr>
    </w:pPr>
    <w:r>
      <w:fldChar w:fldCharType="begin"/>
    </w:r>
    <w:r>
      <w:rPr>
        <w:rStyle w:val="40"/>
      </w:rPr>
      <w:instrText xml:space="preserve">PAGE  </w:instrText>
    </w:r>
    <w:r>
      <w:fldChar w:fldCharType="end"/>
    </w:r>
  </w:p>
  <w:p w14:paraId="216FD06D">
    <w:pPr>
      <w:pStyle w:val="2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3232">
    <w:pPr>
      <w:pStyle w:val="21"/>
      <w:framePr w:wrap="around" w:vAnchor="text" w:hAnchor="margin" w:xAlign="right" w:y="1"/>
      <w:rPr>
        <w:rStyle w:val="40"/>
      </w:rPr>
    </w:pPr>
  </w:p>
  <w:p w14:paraId="0600C2CE">
    <w:pPr>
      <w:pStyle w:val="21"/>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22CB">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666927">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im0AMIBAACN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optADCAQAAjQMAAA4AAAAAAAAAAQAgAAAAHgEAAGRycy9lMm9Eb2MueG1sUEsF&#10;BgAAAAAGAAYAWQEAAFIFAAAAAA==&#10;">
              <v:fill on="f" focussize="0,0"/>
              <v:stroke on="f"/>
              <v:imagedata o:title=""/>
              <o:lock v:ext="edit" aspectratio="f"/>
              <v:textbox inset="0mm,0mm,0mm,0mm" style="mso-fit-shape-to-text:t;">
                <w:txbxContent>
                  <w:p w14:paraId="42666927">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14:paraId="7591B64A">
    <w:pPr>
      <w:pStyle w:val="2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F2BD">
    <w:pPr>
      <w:pStyle w:val="21"/>
      <w:framePr w:wrap="around" w:vAnchor="text" w:hAnchor="margin" w:xAlign="center" w:y="1"/>
      <w:rPr>
        <w:rStyle w:val="40"/>
      </w:rPr>
    </w:pPr>
    <w:r>
      <w:fldChar w:fldCharType="begin"/>
    </w:r>
    <w:r>
      <w:rPr>
        <w:rStyle w:val="40"/>
      </w:rPr>
      <w:instrText xml:space="preserve">PAGE  </w:instrText>
    </w:r>
    <w:r>
      <w:fldChar w:fldCharType="end"/>
    </w:r>
  </w:p>
  <w:p w14:paraId="7B23C80C">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9AE5">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50222">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wg/p7sEBAACOAwAADgAAAAAAAAABACAAAAAeAQAAZHJzL2Uyb0RvYy54bWxQSwUG&#10;AAAAAAYABgBZAQAAUQUAAAAA&#10;">
              <v:fill on="f" focussize="0,0"/>
              <v:stroke on="f"/>
              <v:imagedata o:title=""/>
              <o:lock v:ext="edit" aspectratio="f"/>
              <v:textbox inset="0mm,0mm,0mm,0mm" style="mso-fit-shape-to-text:t;">
                <w:txbxContent>
                  <w:p w14:paraId="57550222">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p w14:paraId="050C4588">
    <w:pPr>
      <w:pStyle w:val="2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E3FA">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ED57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A15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961F">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DA93">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7C2D">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12BB">
    <w:pPr>
      <w:pStyle w:val="2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E7A2B">
    <w:pPr>
      <w:pStyle w:val="2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F59E">
    <w:pPr>
      <w:pStyle w:val="2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C060">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E09CDD14"/>
    <w:multiLevelType w:val="singleLevel"/>
    <w:tmpl w:val="E09CDD14"/>
    <w:lvl w:ilvl="0" w:tentative="0">
      <w:start w:val="1"/>
      <w:numFmt w:val="decimal"/>
      <w:suff w:val="nothing"/>
      <w:lvlText w:val="%1、"/>
      <w:lvlJc w:val="left"/>
    </w:lvl>
  </w:abstractNum>
  <w:abstractNum w:abstractNumId="2">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2266" w:hanging="420"/>
      </w:pPr>
      <w:rPr>
        <w:rFonts w:hint="eastAsia"/>
      </w:rPr>
    </w:lvl>
    <w:lvl w:ilvl="2" w:tentative="0">
      <w:start w:val="1"/>
      <w:numFmt w:val="lowerRoman"/>
      <w:lvlText w:val="%3."/>
      <w:lvlJc w:val="right"/>
      <w:pPr>
        <w:tabs>
          <w:tab w:val="left" w:pos="1800"/>
        </w:tabs>
        <w:ind w:left="2686" w:hanging="420"/>
      </w:pPr>
      <w:rPr>
        <w:rFonts w:hint="eastAsia"/>
      </w:rPr>
    </w:lvl>
    <w:lvl w:ilvl="3" w:tentative="0">
      <w:start w:val="1"/>
      <w:numFmt w:val="decimal"/>
      <w:lvlText w:val="%4."/>
      <w:lvlJc w:val="left"/>
      <w:pPr>
        <w:tabs>
          <w:tab w:val="left" w:pos="2220"/>
        </w:tabs>
        <w:ind w:left="3106" w:hanging="420"/>
      </w:pPr>
      <w:rPr>
        <w:rFonts w:hint="eastAsia"/>
      </w:rPr>
    </w:lvl>
    <w:lvl w:ilvl="4" w:tentative="0">
      <w:start w:val="1"/>
      <w:numFmt w:val="lowerLetter"/>
      <w:lvlText w:val="%5)"/>
      <w:lvlJc w:val="left"/>
      <w:pPr>
        <w:tabs>
          <w:tab w:val="left" w:pos="2640"/>
        </w:tabs>
        <w:ind w:left="3526" w:hanging="420"/>
      </w:pPr>
      <w:rPr>
        <w:rFonts w:hint="eastAsia"/>
      </w:rPr>
    </w:lvl>
    <w:lvl w:ilvl="5" w:tentative="0">
      <w:start w:val="1"/>
      <w:numFmt w:val="lowerRoman"/>
      <w:lvlText w:val="%6."/>
      <w:lvlJc w:val="right"/>
      <w:pPr>
        <w:tabs>
          <w:tab w:val="left" w:pos="3060"/>
        </w:tabs>
        <w:ind w:left="3946" w:hanging="420"/>
      </w:pPr>
      <w:rPr>
        <w:rFonts w:hint="eastAsia"/>
      </w:rPr>
    </w:lvl>
    <w:lvl w:ilvl="6" w:tentative="0">
      <w:start w:val="1"/>
      <w:numFmt w:val="decimal"/>
      <w:lvlText w:val="%7."/>
      <w:lvlJc w:val="left"/>
      <w:pPr>
        <w:tabs>
          <w:tab w:val="left" w:pos="3480"/>
        </w:tabs>
        <w:ind w:left="4366" w:hanging="420"/>
      </w:pPr>
      <w:rPr>
        <w:rFonts w:hint="eastAsia"/>
      </w:rPr>
    </w:lvl>
    <w:lvl w:ilvl="7" w:tentative="0">
      <w:start w:val="1"/>
      <w:numFmt w:val="lowerLetter"/>
      <w:lvlText w:val="%8)"/>
      <w:lvlJc w:val="left"/>
      <w:pPr>
        <w:tabs>
          <w:tab w:val="left" w:pos="3900"/>
        </w:tabs>
        <w:ind w:left="4786" w:hanging="420"/>
      </w:pPr>
      <w:rPr>
        <w:rFonts w:hint="eastAsia"/>
      </w:rPr>
    </w:lvl>
    <w:lvl w:ilvl="8" w:tentative="0">
      <w:start w:val="1"/>
      <w:numFmt w:val="lowerRoman"/>
      <w:lvlText w:val="%9."/>
      <w:lvlJc w:val="right"/>
      <w:pPr>
        <w:tabs>
          <w:tab w:val="left" w:pos="4320"/>
        </w:tabs>
        <w:ind w:left="5206"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449C7C59"/>
    <w:multiLevelType w:val="singleLevel"/>
    <w:tmpl w:val="449C7C59"/>
    <w:lvl w:ilvl="0" w:tentative="0">
      <w:start w:val="5"/>
      <w:numFmt w:val="decimal"/>
      <w:suff w:val="space"/>
      <w:lvlText w:val="第%1章"/>
      <w:lvlJc w:val="left"/>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5"/>
  </w:num>
  <w:num w:numId="3">
    <w:abstractNumId w:val="7"/>
  </w:num>
  <w:num w:numId="4">
    <w:abstractNumId w:val="0"/>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2JiNjU5NTVhZDJmMmQ1MmVlYzk2MTkxYzdiY2E1OGQifQ=="/>
    <w:docVar w:name="VTCASE" w:val="4"/>
    <w:docVar w:name="VTCommandPending" w:val="NONE"/>
  </w:docVars>
  <w:rsids>
    <w:rsidRoot w:val="00887D93"/>
    <w:rsid w:val="000004CD"/>
    <w:rsid w:val="00001783"/>
    <w:rsid w:val="00001797"/>
    <w:rsid w:val="0000273B"/>
    <w:rsid w:val="000041A8"/>
    <w:rsid w:val="000055D7"/>
    <w:rsid w:val="00007E23"/>
    <w:rsid w:val="00012E7D"/>
    <w:rsid w:val="0001529F"/>
    <w:rsid w:val="000157E2"/>
    <w:rsid w:val="0001697A"/>
    <w:rsid w:val="000169E1"/>
    <w:rsid w:val="00020D78"/>
    <w:rsid w:val="00021486"/>
    <w:rsid w:val="00021AE8"/>
    <w:rsid w:val="000229F4"/>
    <w:rsid w:val="00022E94"/>
    <w:rsid w:val="0002324A"/>
    <w:rsid w:val="000313B5"/>
    <w:rsid w:val="00031940"/>
    <w:rsid w:val="00032B95"/>
    <w:rsid w:val="000333A8"/>
    <w:rsid w:val="00033D11"/>
    <w:rsid w:val="0003581B"/>
    <w:rsid w:val="000434F9"/>
    <w:rsid w:val="00043533"/>
    <w:rsid w:val="00045D67"/>
    <w:rsid w:val="0004677C"/>
    <w:rsid w:val="00046C1E"/>
    <w:rsid w:val="00053605"/>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2F59"/>
    <w:rsid w:val="00073852"/>
    <w:rsid w:val="00074F4F"/>
    <w:rsid w:val="00076670"/>
    <w:rsid w:val="00080998"/>
    <w:rsid w:val="00080B56"/>
    <w:rsid w:val="00080FC7"/>
    <w:rsid w:val="00081D11"/>
    <w:rsid w:val="00083115"/>
    <w:rsid w:val="0008374D"/>
    <w:rsid w:val="0008760F"/>
    <w:rsid w:val="00091DF3"/>
    <w:rsid w:val="00093645"/>
    <w:rsid w:val="00093F68"/>
    <w:rsid w:val="00096150"/>
    <w:rsid w:val="00096F54"/>
    <w:rsid w:val="0009796E"/>
    <w:rsid w:val="000A31C4"/>
    <w:rsid w:val="000A3727"/>
    <w:rsid w:val="000A49C1"/>
    <w:rsid w:val="000A50E0"/>
    <w:rsid w:val="000A63F7"/>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4EA5"/>
    <w:rsid w:val="000D5125"/>
    <w:rsid w:val="000D7812"/>
    <w:rsid w:val="000E1288"/>
    <w:rsid w:val="000E3784"/>
    <w:rsid w:val="000E37E0"/>
    <w:rsid w:val="000E3A72"/>
    <w:rsid w:val="000E47A0"/>
    <w:rsid w:val="000E597F"/>
    <w:rsid w:val="000E5BFC"/>
    <w:rsid w:val="000E694F"/>
    <w:rsid w:val="000E6FD3"/>
    <w:rsid w:val="000E7158"/>
    <w:rsid w:val="000E74D4"/>
    <w:rsid w:val="000F2D05"/>
    <w:rsid w:val="000F2EEE"/>
    <w:rsid w:val="000F4234"/>
    <w:rsid w:val="000F6215"/>
    <w:rsid w:val="000F63C8"/>
    <w:rsid w:val="000F6581"/>
    <w:rsid w:val="00102417"/>
    <w:rsid w:val="001032CC"/>
    <w:rsid w:val="00105B0B"/>
    <w:rsid w:val="0011024E"/>
    <w:rsid w:val="00110446"/>
    <w:rsid w:val="00111645"/>
    <w:rsid w:val="00112163"/>
    <w:rsid w:val="0011257E"/>
    <w:rsid w:val="00114579"/>
    <w:rsid w:val="001147BF"/>
    <w:rsid w:val="00115BF1"/>
    <w:rsid w:val="0012032C"/>
    <w:rsid w:val="0012244B"/>
    <w:rsid w:val="001224B5"/>
    <w:rsid w:val="00122643"/>
    <w:rsid w:val="0012425B"/>
    <w:rsid w:val="001244F8"/>
    <w:rsid w:val="001247F0"/>
    <w:rsid w:val="001252D8"/>
    <w:rsid w:val="001257D4"/>
    <w:rsid w:val="00126D9D"/>
    <w:rsid w:val="00131E0D"/>
    <w:rsid w:val="0013359E"/>
    <w:rsid w:val="00137694"/>
    <w:rsid w:val="00141EAC"/>
    <w:rsid w:val="001424EA"/>
    <w:rsid w:val="00143652"/>
    <w:rsid w:val="0014627C"/>
    <w:rsid w:val="0015097C"/>
    <w:rsid w:val="0015142E"/>
    <w:rsid w:val="0015219F"/>
    <w:rsid w:val="00157C74"/>
    <w:rsid w:val="00157D8E"/>
    <w:rsid w:val="00161678"/>
    <w:rsid w:val="00161D71"/>
    <w:rsid w:val="00162805"/>
    <w:rsid w:val="00165014"/>
    <w:rsid w:val="00171432"/>
    <w:rsid w:val="0017180F"/>
    <w:rsid w:val="001733C3"/>
    <w:rsid w:val="00173BFF"/>
    <w:rsid w:val="00174749"/>
    <w:rsid w:val="00174FCA"/>
    <w:rsid w:val="00175565"/>
    <w:rsid w:val="00175AFB"/>
    <w:rsid w:val="00176F12"/>
    <w:rsid w:val="001770BE"/>
    <w:rsid w:val="00177A3E"/>
    <w:rsid w:val="00183E4B"/>
    <w:rsid w:val="00187B13"/>
    <w:rsid w:val="00187EB4"/>
    <w:rsid w:val="0019618B"/>
    <w:rsid w:val="00196FA0"/>
    <w:rsid w:val="001A3B44"/>
    <w:rsid w:val="001A4571"/>
    <w:rsid w:val="001A5EEB"/>
    <w:rsid w:val="001A62A5"/>
    <w:rsid w:val="001B1459"/>
    <w:rsid w:val="001B2709"/>
    <w:rsid w:val="001B4216"/>
    <w:rsid w:val="001B49A4"/>
    <w:rsid w:val="001B521B"/>
    <w:rsid w:val="001B5CC8"/>
    <w:rsid w:val="001B61B8"/>
    <w:rsid w:val="001B6587"/>
    <w:rsid w:val="001C0582"/>
    <w:rsid w:val="001C058D"/>
    <w:rsid w:val="001C24DD"/>
    <w:rsid w:val="001C54C3"/>
    <w:rsid w:val="001C577E"/>
    <w:rsid w:val="001C6660"/>
    <w:rsid w:val="001D027D"/>
    <w:rsid w:val="001D4A1E"/>
    <w:rsid w:val="001D70E9"/>
    <w:rsid w:val="001E181E"/>
    <w:rsid w:val="001E1DCD"/>
    <w:rsid w:val="001E4215"/>
    <w:rsid w:val="001E437E"/>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4E9"/>
    <w:rsid w:val="00210A64"/>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6F0D"/>
    <w:rsid w:val="0023715B"/>
    <w:rsid w:val="00237592"/>
    <w:rsid w:val="002436C2"/>
    <w:rsid w:val="00244A0E"/>
    <w:rsid w:val="00244F73"/>
    <w:rsid w:val="002501BB"/>
    <w:rsid w:val="002509CA"/>
    <w:rsid w:val="00250C1D"/>
    <w:rsid w:val="00251A29"/>
    <w:rsid w:val="00251B89"/>
    <w:rsid w:val="00253615"/>
    <w:rsid w:val="00253950"/>
    <w:rsid w:val="00254F7E"/>
    <w:rsid w:val="0025569E"/>
    <w:rsid w:val="002564FE"/>
    <w:rsid w:val="00257E7D"/>
    <w:rsid w:val="002603EB"/>
    <w:rsid w:val="00261FEB"/>
    <w:rsid w:val="00264327"/>
    <w:rsid w:val="002650F1"/>
    <w:rsid w:val="00266403"/>
    <w:rsid w:val="00266406"/>
    <w:rsid w:val="002679CA"/>
    <w:rsid w:val="0027116B"/>
    <w:rsid w:val="00272722"/>
    <w:rsid w:val="00273DD0"/>
    <w:rsid w:val="002745E7"/>
    <w:rsid w:val="00274642"/>
    <w:rsid w:val="002760AC"/>
    <w:rsid w:val="00277935"/>
    <w:rsid w:val="00277E8E"/>
    <w:rsid w:val="00280DD6"/>
    <w:rsid w:val="0028132D"/>
    <w:rsid w:val="00282496"/>
    <w:rsid w:val="00283033"/>
    <w:rsid w:val="002854DC"/>
    <w:rsid w:val="0028616B"/>
    <w:rsid w:val="00290CDE"/>
    <w:rsid w:val="00290DE2"/>
    <w:rsid w:val="00292825"/>
    <w:rsid w:val="002948D8"/>
    <w:rsid w:val="002959CC"/>
    <w:rsid w:val="002A0C27"/>
    <w:rsid w:val="002A2315"/>
    <w:rsid w:val="002A2732"/>
    <w:rsid w:val="002A3153"/>
    <w:rsid w:val="002A56E8"/>
    <w:rsid w:val="002A6C9C"/>
    <w:rsid w:val="002B0D1E"/>
    <w:rsid w:val="002B3F61"/>
    <w:rsid w:val="002C10AC"/>
    <w:rsid w:val="002C1FCF"/>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65BA"/>
    <w:rsid w:val="002E766C"/>
    <w:rsid w:val="002F02C8"/>
    <w:rsid w:val="002F0A07"/>
    <w:rsid w:val="002F23BB"/>
    <w:rsid w:val="002F2D5F"/>
    <w:rsid w:val="002F46DC"/>
    <w:rsid w:val="002F5145"/>
    <w:rsid w:val="002F5CB9"/>
    <w:rsid w:val="002F5E9B"/>
    <w:rsid w:val="002F683C"/>
    <w:rsid w:val="00301724"/>
    <w:rsid w:val="0030332A"/>
    <w:rsid w:val="00304349"/>
    <w:rsid w:val="00304FE1"/>
    <w:rsid w:val="003066A8"/>
    <w:rsid w:val="00310C52"/>
    <w:rsid w:val="0031140B"/>
    <w:rsid w:val="003146F5"/>
    <w:rsid w:val="00314E3D"/>
    <w:rsid w:val="00317120"/>
    <w:rsid w:val="003171BB"/>
    <w:rsid w:val="0032100C"/>
    <w:rsid w:val="003212C2"/>
    <w:rsid w:val="00321921"/>
    <w:rsid w:val="00321926"/>
    <w:rsid w:val="00327707"/>
    <w:rsid w:val="0033060D"/>
    <w:rsid w:val="003318F3"/>
    <w:rsid w:val="00331ECA"/>
    <w:rsid w:val="00332731"/>
    <w:rsid w:val="00333919"/>
    <w:rsid w:val="00334F3E"/>
    <w:rsid w:val="003357D8"/>
    <w:rsid w:val="003379AF"/>
    <w:rsid w:val="00337C5C"/>
    <w:rsid w:val="00343E4C"/>
    <w:rsid w:val="003528B8"/>
    <w:rsid w:val="00352BC8"/>
    <w:rsid w:val="00355D82"/>
    <w:rsid w:val="00356CAF"/>
    <w:rsid w:val="003612A6"/>
    <w:rsid w:val="00362D19"/>
    <w:rsid w:val="0036567E"/>
    <w:rsid w:val="003671F3"/>
    <w:rsid w:val="00367712"/>
    <w:rsid w:val="00367C88"/>
    <w:rsid w:val="00367DB2"/>
    <w:rsid w:val="00370B19"/>
    <w:rsid w:val="00371C8C"/>
    <w:rsid w:val="00373408"/>
    <w:rsid w:val="003748AE"/>
    <w:rsid w:val="003748EB"/>
    <w:rsid w:val="0037536E"/>
    <w:rsid w:val="00375DCD"/>
    <w:rsid w:val="00376F36"/>
    <w:rsid w:val="003800A6"/>
    <w:rsid w:val="0038151E"/>
    <w:rsid w:val="00381776"/>
    <w:rsid w:val="00382FFA"/>
    <w:rsid w:val="00383B0A"/>
    <w:rsid w:val="0038491D"/>
    <w:rsid w:val="0038698E"/>
    <w:rsid w:val="00387606"/>
    <w:rsid w:val="00391DD2"/>
    <w:rsid w:val="003925E1"/>
    <w:rsid w:val="00393D74"/>
    <w:rsid w:val="003943A7"/>
    <w:rsid w:val="00396A66"/>
    <w:rsid w:val="003A0E06"/>
    <w:rsid w:val="003A1A69"/>
    <w:rsid w:val="003A37B8"/>
    <w:rsid w:val="003A582F"/>
    <w:rsid w:val="003A6933"/>
    <w:rsid w:val="003A6B72"/>
    <w:rsid w:val="003A7864"/>
    <w:rsid w:val="003B020F"/>
    <w:rsid w:val="003B347B"/>
    <w:rsid w:val="003B3917"/>
    <w:rsid w:val="003B39D0"/>
    <w:rsid w:val="003B41D9"/>
    <w:rsid w:val="003B4356"/>
    <w:rsid w:val="003B4F4E"/>
    <w:rsid w:val="003B5422"/>
    <w:rsid w:val="003B7293"/>
    <w:rsid w:val="003B7D7E"/>
    <w:rsid w:val="003C0EF3"/>
    <w:rsid w:val="003C53B2"/>
    <w:rsid w:val="003C6422"/>
    <w:rsid w:val="003C6C9A"/>
    <w:rsid w:val="003D1D09"/>
    <w:rsid w:val="003D5FC9"/>
    <w:rsid w:val="003D6961"/>
    <w:rsid w:val="003E2C77"/>
    <w:rsid w:val="003E2C89"/>
    <w:rsid w:val="003E3C14"/>
    <w:rsid w:val="003E4ECE"/>
    <w:rsid w:val="003E6516"/>
    <w:rsid w:val="003E747A"/>
    <w:rsid w:val="003F0149"/>
    <w:rsid w:val="003F11BD"/>
    <w:rsid w:val="003F1FB4"/>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27249"/>
    <w:rsid w:val="00433EEA"/>
    <w:rsid w:val="0043401D"/>
    <w:rsid w:val="004408B0"/>
    <w:rsid w:val="004408EE"/>
    <w:rsid w:val="00441C7F"/>
    <w:rsid w:val="00441E5E"/>
    <w:rsid w:val="00442AD5"/>
    <w:rsid w:val="00444279"/>
    <w:rsid w:val="0044524F"/>
    <w:rsid w:val="0044654E"/>
    <w:rsid w:val="004470E1"/>
    <w:rsid w:val="0045034C"/>
    <w:rsid w:val="004504F2"/>
    <w:rsid w:val="00450C1F"/>
    <w:rsid w:val="00452A8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4E0F"/>
    <w:rsid w:val="00485EFC"/>
    <w:rsid w:val="00490A94"/>
    <w:rsid w:val="004911E4"/>
    <w:rsid w:val="004912F4"/>
    <w:rsid w:val="004922BC"/>
    <w:rsid w:val="00492CE8"/>
    <w:rsid w:val="00493558"/>
    <w:rsid w:val="00493EC9"/>
    <w:rsid w:val="00494ECE"/>
    <w:rsid w:val="00495251"/>
    <w:rsid w:val="00495B0C"/>
    <w:rsid w:val="004963A5"/>
    <w:rsid w:val="004A109A"/>
    <w:rsid w:val="004A15ED"/>
    <w:rsid w:val="004A1759"/>
    <w:rsid w:val="004A2275"/>
    <w:rsid w:val="004A3872"/>
    <w:rsid w:val="004A3AC0"/>
    <w:rsid w:val="004A42D0"/>
    <w:rsid w:val="004A4ED0"/>
    <w:rsid w:val="004A6EC2"/>
    <w:rsid w:val="004A6F61"/>
    <w:rsid w:val="004B0706"/>
    <w:rsid w:val="004B22B1"/>
    <w:rsid w:val="004B46E5"/>
    <w:rsid w:val="004B6542"/>
    <w:rsid w:val="004B72A3"/>
    <w:rsid w:val="004C1E33"/>
    <w:rsid w:val="004C6870"/>
    <w:rsid w:val="004D29A3"/>
    <w:rsid w:val="004D4D48"/>
    <w:rsid w:val="004D5250"/>
    <w:rsid w:val="004D6AD9"/>
    <w:rsid w:val="004D6DEB"/>
    <w:rsid w:val="004D7CB2"/>
    <w:rsid w:val="004E0517"/>
    <w:rsid w:val="004E0C12"/>
    <w:rsid w:val="004E0FF2"/>
    <w:rsid w:val="004E13F0"/>
    <w:rsid w:val="004E2021"/>
    <w:rsid w:val="004E4854"/>
    <w:rsid w:val="004E5FCE"/>
    <w:rsid w:val="004F036B"/>
    <w:rsid w:val="004F052D"/>
    <w:rsid w:val="004F0E54"/>
    <w:rsid w:val="004F3F46"/>
    <w:rsid w:val="004F4A21"/>
    <w:rsid w:val="004F7500"/>
    <w:rsid w:val="004F7B7E"/>
    <w:rsid w:val="00501785"/>
    <w:rsid w:val="00503724"/>
    <w:rsid w:val="00504E3C"/>
    <w:rsid w:val="00507AD5"/>
    <w:rsid w:val="00513F7C"/>
    <w:rsid w:val="005149B8"/>
    <w:rsid w:val="005168FA"/>
    <w:rsid w:val="005175C0"/>
    <w:rsid w:val="00520001"/>
    <w:rsid w:val="00520A12"/>
    <w:rsid w:val="00521717"/>
    <w:rsid w:val="0052391C"/>
    <w:rsid w:val="0052393A"/>
    <w:rsid w:val="00524D44"/>
    <w:rsid w:val="005253FF"/>
    <w:rsid w:val="005271D5"/>
    <w:rsid w:val="00530C3F"/>
    <w:rsid w:val="00530E47"/>
    <w:rsid w:val="00532B1D"/>
    <w:rsid w:val="00533524"/>
    <w:rsid w:val="00534347"/>
    <w:rsid w:val="00534C2F"/>
    <w:rsid w:val="005353D4"/>
    <w:rsid w:val="00540C55"/>
    <w:rsid w:val="00542227"/>
    <w:rsid w:val="005422EB"/>
    <w:rsid w:val="0054426F"/>
    <w:rsid w:val="0054508F"/>
    <w:rsid w:val="00545843"/>
    <w:rsid w:val="00546903"/>
    <w:rsid w:val="00546F3A"/>
    <w:rsid w:val="005475C6"/>
    <w:rsid w:val="00550C61"/>
    <w:rsid w:val="00550FFE"/>
    <w:rsid w:val="00551622"/>
    <w:rsid w:val="00552FBA"/>
    <w:rsid w:val="00554D9D"/>
    <w:rsid w:val="00555A82"/>
    <w:rsid w:val="00556C52"/>
    <w:rsid w:val="005578C9"/>
    <w:rsid w:val="0056008C"/>
    <w:rsid w:val="00560AFD"/>
    <w:rsid w:val="00567FE1"/>
    <w:rsid w:val="00570A8A"/>
    <w:rsid w:val="00571BE1"/>
    <w:rsid w:val="0057268E"/>
    <w:rsid w:val="00573C95"/>
    <w:rsid w:val="005750B7"/>
    <w:rsid w:val="005806C7"/>
    <w:rsid w:val="0058184E"/>
    <w:rsid w:val="00582CA5"/>
    <w:rsid w:val="00582FE9"/>
    <w:rsid w:val="0058511B"/>
    <w:rsid w:val="005852AF"/>
    <w:rsid w:val="00585D81"/>
    <w:rsid w:val="00586FF5"/>
    <w:rsid w:val="0059089D"/>
    <w:rsid w:val="00590C01"/>
    <w:rsid w:val="00596D6C"/>
    <w:rsid w:val="005A0332"/>
    <w:rsid w:val="005A1737"/>
    <w:rsid w:val="005A1914"/>
    <w:rsid w:val="005A1D6F"/>
    <w:rsid w:val="005A378B"/>
    <w:rsid w:val="005A3804"/>
    <w:rsid w:val="005A40B3"/>
    <w:rsid w:val="005A7246"/>
    <w:rsid w:val="005B1361"/>
    <w:rsid w:val="005B177D"/>
    <w:rsid w:val="005B3B4A"/>
    <w:rsid w:val="005B4C4C"/>
    <w:rsid w:val="005B7966"/>
    <w:rsid w:val="005C0341"/>
    <w:rsid w:val="005C3CDD"/>
    <w:rsid w:val="005C581E"/>
    <w:rsid w:val="005D2B33"/>
    <w:rsid w:val="005D431B"/>
    <w:rsid w:val="005D4B36"/>
    <w:rsid w:val="005D549E"/>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1A42"/>
    <w:rsid w:val="00602247"/>
    <w:rsid w:val="006027BF"/>
    <w:rsid w:val="006054AE"/>
    <w:rsid w:val="00606661"/>
    <w:rsid w:val="00607FD0"/>
    <w:rsid w:val="00611797"/>
    <w:rsid w:val="0061216A"/>
    <w:rsid w:val="00612A91"/>
    <w:rsid w:val="00615BD4"/>
    <w:rsid w:val="006176D9"/>
    <w:rsid w:val="0062063C"/>
    <w:rsid w:val="00620DFE"/>
    <w:rsid w:val="0062189D"/>
    <w:rsid w:val="00621EEA"/>
    <w:rsid w:val="00622049"/>
    <w:rsid w:val="006267AC"/>
    <w:rsid w:val="006275F8"/>
    <w:rsid w:val="00630C8F"/>
    <w:rsid w:val="0063126C"/>
    <w:rsid w:val="006321D9"/>
    <w:rsid w:val="00632C3E"/>
    <w:rsid w:val="00635ACD"/>
    <w:rsid w:val="00645F9B"/>
    <w:rsid w:val="006462F4"/>
    <w:rsid w:val="00646C7B"/>
    <w:rsid w:val="00646CBF"/>
    <w:rsid w:val="00653EEF"/>
    <w:rsid w:val="00656DB1"/>
    <w:rsid w:val="0065706C"/>
    <w:rsid w:val="006570F3"/>
    <w:rsid w:val="006574CA"/>
    <w:rsid w:val="00661A11"/>
    <w:rsid w:val="00663087"/>
    <w:rsid w:val="006631B5"/>
    <w:rsid w:val="006633B3"/>
    <w:rsid w:val="00666935"/>
    <w:rsid w:val="00666E6E"/>
    <w:rsid w:val="00667926"/>
    <w:rsid w:val="00670616"/>
    <w:rsid w:val="00672576"/>
    <w:rsid w:val="00672A07"/>
    <w:rsid w:val="00672A3D"/>
    <w:rsid w:val="00673284"/>
    <w:rsid w:val="00673C56"/>
    <w:rsid w:val="00674E3C"/>
    <w:rsid w:val="00675E85"/>
    <w:rsid w:val="00676999"/>
    <w:rsid w:val="006818D7"/>
    <w:rsid w:val="00684218"/>
    <w:rsid w:val="00684A17"/>
    <w:rsid w:val="0068548A"/>
    <w:rsid w:val="00686ACA"/>
    <w:rsid w:val="006904AF"/>
    <w:rsid w:val="00693C8F"/>
    <w:rsid w:val="00695821"/>
    <w:rsid w:val="006958B5"/>
    <w:rsid w:val="0069607D"/>
    <w:rsid w:val="006960C5"/>
    <w:rsid w:val="006A05F8"/>
    <w:rsid w:val="006A0897"/>
    <w:rsid w:val="006A27B1"/>
    <w:rsid w:val="006A2FC6"/>
    <w:rsid w:val="006A4246"/>
    <w:rsid w:val="006A56B9"/>
    <w:rsid w:val="006A64EB"/>
    <w:rsid w:val="006A7750"/>
    <w:rsid w:val="006A7FD4"/>
    <w:rsid w:val="006B0E91"/>
    <w:rsid w:val="006B1891"/>
    <w:rsid w:val="006B37AE"/>
    <w:rsid w:val="006B3C07"/>
    <w:rsid w:val="006B476E"/>
    <w:rsid w:val="006B4823"/>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39"/>
    <w:rsid w:val="006E74F5"/>
    <w:rsid w:val="006E7DCA"/>
    <w:rsid w:val="006F03B7"/>
    <w:rsid w:val="006F1E47"/>
    <w:rsid w:val="006F2035"/>
    <w:rsid w:val="006F28EE"/>
    <w:rsid w:val="006F42C2"/>
    <w:rsid w:val="006F5357"/>
    <w:rsid w:val="006F602A"/>
    <w:rsid w:val="006F7412"/>
    <w:rsid w:val="00704E65"/>
    <w:rsid w:val="0071025E"/>
    <w:rsid w:val="007105A5"/>
    <w:rsid w:val="00710B8D"/>
    <w:rsid w:val="00712CF9"/>
    <w:rsid w:val="00713024"/>
    <w:rsid w:val="00713EA1"/>
    <w:rsid w:val="00715028"/>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2FBC"/>
    <w:rsid w:val="007440A8"/>
    <w:rsid w:val="00744B69"/>
    <w:rsid w:val="00747B97"/>
    <w:rsid w:val="00747DD4"/>
    <w:rsid w:val="00751820"/>
    <w:rsid w:val="00751B7E"/>
    <w:rsid w:val="00752AB2"/>
    <w:rsid w:val="00754193"/>
    <w:rsid w:val="007556C8"/>
    <w:rsid w:val="00756B4E"/>
    <w:rsid w:val="00756FA1"/>
    <w:rsid w:val="007605DF"/>
    <w:rsid w:val="0076244A"/>
    <w:rsid w:val="00762B87"/>
    <w:rsid w:val="00762D9D"/>
    <w:rsid w:val="00763FD6"/>
    <w:rsid w:val="0076431D"/>
    <w:rsid w:val="00764557"/>
    <w:rsid w:val="00766DE9"/>
    <w:rsid w:val="007678A5"/>
    <w:rsid w:val="0077025F"/>
    <w:rsid w:val="00770841"/>
    <w:rsid w:val="00771F67"/>
    <w:rsid w:val="00772012"/>
    <w:rsid w:val="00773916"/>
    <w:rsid w:val="0077418F"/>
    <w:rsid w:val="00774C01"/>
    <w:rsid w:val="00780183"/>
    <w:rsid w:val="007823C9"/>
    <w:rsid w:val="007835B7"/>
    <w:rsid w:val="00785B96"/>
    <w:rsid w:val="007863E1"/>
    <w:rsid w:val="007910D3"/>
    <w:rsid w:val="0079336E"/>
    <w:rsid w:val="00797BFE"/>
    <w:rsid w:val="007A1CCD"/>
    <w:rsid w:val="007A5BD0"/>
    <w:rsid w:val="007B0663"/>
    <w:rsid w:val="007B4B46"/>
    <w:rsid w:val="007B5BC5"/>
    <w:rsid w:val="007B5E5F"/>
    <w:rsid w:val="007B6CA0"/>
    <w:rsid w:val="007B6F71"/>
    <w:rsid w:val="007C06F8"/>
    <w:rsid w:val="007C27E5"/>
    <w:rsid w:val="007C2BC4"/>
    <w:rsid w:val="007C2E24"/>
    <w:rsid w:val="007C3F78"/>
    <w:rsid w:val="007C4B09"/>
    <w:rsid w:val="007C550F"/>
    <w:rsid w:val="007C5563"/>
    <w:rsid w:val="007C6167"/>
    <w:rsid w:val="007C6455"/>
    <w:rsid w:val="007C6EB8"/>
    <w:rsid w:val="007C7809"/>
    <w:rsid w:val="007D13B9"/>
    <w:rsid w:val="007D2774"/>
    <w:rsid w:val="007D3968"/>
    <w:rsid w:val="007D71F7"/>
    <w:rsid w:val="007D7E7E"/>
    <w:rsid w:val="007E024C"/>
    <w:rsid w:val="007E160E"/>
    <w:rsid w:val="007E1BDD"/>
    <w:rsid w:val="007E700C"/>
    <w:rsid w:val="007E7388"/>
    <w:rsid w:val="007F0674"/>
    <w:rsid w:val="007F1BAF"/>
    <w:rsid w:val="007F1F1C"/>
    <w:rsid w:val="007F2277"/>
    <w:rsid w:val="007F3F1E"/>
    <w:rsid w:val="007F433C"/>
    <w:rsid w:val="007F4428"/>
    <w:rsid w:val="007F662F"/>
    <w:rsid w:val="007F71D3"/>
    <w:rsid w:val="008004B0"/>
    <w:rsid w:val="008045D9"/>
    <w:rsid w:val="00804A6D"/>
    <w:rsid w:val="00806C8A"/>
    <w:rsid w:val="0080702C"/>
    <w:rsid w:val="00807165"/>
    <w:rsid w:val="00812094"/>
    <w:rsid w:val="0081333B"/>
    <w:rsid w:val="008140D7"/>
    <w:rsid w:val="0081653B"/>
    <w:rsid w:val="00821DF6"/>
    <w:rsid w:val="00823CCC"/>
    <w:rsid w:val="00827179"/>
    <w:rsid w:val="0083029A"/>
    <w:rsid w:val="00830426"/>
    <w:rsid w:val="00830E02"/>
    <w:rsid w:val="00831780"/>
    <w:rsid w:val="00831C83"/>
    <w:rsid w:val="00831E0A"/>
    <w:rsid w:val="0083240B"/>
    <w:rsid w:val="008343C4"/>
    <w:rsid w:val="00835847"/>
    <w:rsid w:val="00835C6F"/>
    <w:rsid w:val="00837429"/>
    <w:rsid w:val="0083745B"/>
    <w:rsid w:val="00840252"/>
    <w:rsid w:val="00840420"/>
    <w:rsid w:val="00842DE3"/>
    <w:rsid w:val="008447FF"/>
    <w:rsid w:val="00844F5E"/>
    <w:rsid w:val="00846701"/>
    <w:rsid w:val="00851049"/>
    <w:rsid w:val="00851BFF"/>
    <w:rsid w:val="0085232F"/>
    <w:rsid w:val="00854E2A"/>
    <w:rsid w:val="008550CD"/>
    <w:rsid w:val="00856D9F"/>
    <w:rsid w:val="00857E3A"/>
    <w:rsid w:val="00861135"/>
    <w:rsid w:val="00861731"/>
    <w:rsid w:val="00863E40"/>
    <w:rsid w:val="00864495"/>
    <w:rsid w:val="0086449D"/>
    <w:rsid w:val="008651BC"/>
    <w:rsid w:val="008652D5"/>
    <w:rsid w:val="00866B3F"/>
    <w:rsid w:val="00867059"/>
    <w:rsid w:val="00867A5A"/>
    <w:rsid w:val="008711B1"/>
    <w:rsid w:val="00871FBA"/>
    <w:rsid w:val="00872119"/>
    <w:rsid w:val="008722FB"/>
    <w:rsid w:val="00874256"/>
    <w:rsid w:val="008746AF"/>
    <w:rsid w:val="00877EA2"/>
    <w:rsid w:val="008808CA"/>
    <w:rsid w:val="00883B89"/>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0B3F"/>
    <w:rsid w:val="008B2FA8"/>
    <w:rsid w:val="008B3253"/>
    <w:rsid w:val="008B3F5C"/>
    <w:rsid w:val="008B67B0"/>
    <w:rsid w:val="008B6934"/>
    <w:rsid w:val="008C020E"/>
    <w:rsid w:val="008C241D"/>
    <w:rsid w:val="008C2DC6"/>
    <w:rsid w:val="008C2F9E"/>
    <w:rsid w:val="008C45D1"/>
    <w:rsid w:val="008C5ED3"/>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3978"/>
    <w:rsid w:val="008F41FB"/>
    <w:rsid w:val="008F4B49"/>
    <w:rsid w:val="008F5977"/>
    <w:rsid w:val="008F5C9B"/>
    <w:rsid w:val="009039C8"/>
    <w:rsid w:val="00904BCF"/>
    <w:rsid w:val="00905B77"/>
    <w:rsid w:val="0090657B"/>
    <w:rsid w:val="00906FD6"/>
    <w:rsid w:val="009079D0"/>
    <w:rsid w:val="00907DCD"/>
    <w:rsid w:val="009104AA"/>
    <w:rsid w:val="00910909"/>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3986"/>
    <w:rsid w:val="009446F1"/>
    <w:rsid w:val="00947632"/>
    <w:rsid w:val="0094786C"/>
    <w:rsid w:val="00947B9F"/>
    <w:rsid w:val="00947FB4"/>
    <w:rsid w:val="00952834"/>
    <w:rsid w:val="00952D2F"/>
    <w:rsid w:val="00952D60"/>
    <w:rsid w:val="00952E44"/>
    <w:rsid w:val="00954963"/>
    <w:rsid w:val="00955447"/>
    <w:rsid w:val="00955A17"/>
    <w:rsid w:val="00957C50"/>
    <w:rsid w:val="00960E12"/>
    <w:rsid w:val="0096331F"/>
    <w:rsid w:val="00963914"/>
    <w:rsid w:val="00963A90"/>
    <w:rsid w:val="0096593A"/>
    <w:rsid w:val="00966C71"/>
    <w:rsid w:val="009729D8"/>
    <w:rsid w:val="0097453F"/>
    <w:rsid w:val="00974577"/>
    <w:rsid w:val="00975045"/>
    <w:rsid w:val="0097622D"/>
    <w:rsid w:val="00976670"/>
    <w:rsid w:val="00976BC3"/>
    <w:rsid w:val="00976E64"/>
    <w:rsid w:val="00977929"/>
    <w:rsid w:val="00982613"/>
    <w:rsid w:val="0098426D"/>
    <w:rsid w:val="009851AF"/>
    <w:rsid w:val="009855D2"/>
    <w:rsid w:val="0099020A"/>
    <w:rsid w:val="00993B1F"/>
    <w:rsid w:val="00993F70"/>
    <w:rsid w:val="0099428D"/>
    <w:rsid w:val="00995932"/>
    <w:rsid w:val="009961F5"/>
    <w:rsid w:val="00996953"/>
    <w:rsid w:val="00996D49"/>
    <w:rsid w:val="009A1C77"/>
    <w:rsid w:val="009A51E6"/>
    <w:rsid w:val="009A5BC5"/>
    <w:rsid w:val="009A61AA"/>
    <w:rsid w:val="009A747C"/>
    <w:rsid w:val="009A7DAC"/>
    <w:rsid w:val="009A7FC8"/>
    <w:rsid w:val="009B2B6E"/>
    <w:rsid w:val="009B3852"/>
    <w:rsid w:val="009B3C1F"/>
    <w:rsid w:val="009B43A1"/>
    <w:rsid w:val="009B51C5"/>
    <w:rsid w:val="009B7D7E"/>
    <w:rsid w:val="009C10F7"/>
    <w:rsid w:val="009C11B1"/>
    <w:rsid w:val="009C1722"/>
    <w:rsid w:val="009C6235"/>
    <w:rsid w:val="009C6E76"/>
    <w:rsid w:val="009D00B8"/>
    <w:rsid w:val="009D3E42"/>
    <w:rsid w:val="009D682E"/>
    <w:rsid w:val="009E40F9"/>
    <w:rsid w:val="009E5844"/>
    <w:rsid w:val="009E653F"/>
    <w:rsid w:val="009E7C9A"/>
    <w:rsid w:val="009F0CD3"/>
    <w:rsid w:val="009F1E2A"/>
    <w:rsid w:val="009F322E"/>
    <w:rsid w:val="009F4C6D"/>
    <w:rsid w:val="009F5062"/>
    <w:rsid w:val="009F798E"/>
    <w:rsid w:val="009F7F3F"/>
    <w:rsid w:val="00A01D25"/>
    <w:rsid w:val="00A0624A"/>
    <w:rsid w:val="00A06830"/>
    <w:rsid w:val="00A1228B"/>
    <w:rsid w:val="00A12892"/>
    <w:rsid w:val="00A12C34"/>
    <w:rsid w:val="00A149DF"/>
    <w:rsid w:val="00A1634D"/>
    <w:rsid w:val="00A1707B"/>
    <w:rsid w:val="00A2658F"/>
    <w:rsid w:val="00A31F62"/>
    <w:rsid w:val="00A3259F"/>
    <w:rsid w:val="00A32694"/>
    <w:rsid w:val="00A33A18"/>
    <w:rsid w:val="00A350BE"/>
    <w:rsid w:val="00A35C8A"/>
    <w:rsid w:val="00A36343"/>
    <w:rsid w:val="00A36638"/>
    <w:rsid w:val="00A36B9A"/>
    <w:rsid w:val="00A4149B"/>
    <w:rsid w:val="00A51410"/>
    <w:rsid w:val="00A51ECF"/>
    <w:rsid w:val="00A5335D"/>
    <w:rsid w:val="00A53EBD"/>
    <w:rsid w:val="00A56524"/>
    <w:rsid w:val="00A610B8"/>
    <w:rsid w:val="00A61208"/>
    <w:rsid w:val="00A62660"/>
    <w:rsid w:val="00A62D2C"/>
    <w:rsid w:val="00A64D6A"/>
    <w:rsid w:val="00A66A0F"/>
    <w:rsid w:val="00A67AE7"/>
    <w:rsid w:val="00A67EB1"/>
    <w:rsid w:val="00A67FB0"/>
    <w:rsid w:val="00A700BE"/>
    <w:rsid w:val="00A7038D"/>
    <w:rsid w:val="00A73440"/>
    <w:rsid w:val="00A75908"/>
    <w:rsid w:val="00A75D01"/>
    <w:rsid w:val="00A76087"/>
    <w:rsid w:val="00A76B01"/>
    <w:rsid w:val="00A813D7"/>
    <w:rsid w:val="00A83BB1"/>
    <w:rsid w:val="00A84F20"/>
    <w:rsid w:val="00A86436"/>
    <w:rsid w:val="00A87439"/>
    <w:rsid w:val="00A87807"/>
    <w:rsid w:val="00A90332"/>
    <w:rsid w:val="00A91F27"/>
    <w:rsid w:val="00A94426"/>
    <w:rsid w:val="00A951BC"/>
    <w:rsid w:val="00A9734B"/>
    <w:rsid w:val="00A97D26"/>
    <w:rsid w:val="00AA06C5"/>
    <w:rsid w:val="00AA122E"/>
    <w:rsid w:val="00AA1669"/>
    <w:rsid w:val="00AA3A8E"/>
    <w:rsid w:val="00AA5BB8"/>
    <w:rsid w:val="00AA5D50"/>
    <w:rsid w:val="00AA6487"/>
    <w:rsid w:val="00AB001E"/>
    <w:rsid w:val="00AB2D04"/>
    <w:rsid w:val="00AB318B"/>
    <w:rsid w:val="00AB7D6A"/>
    <w:rsid w:val="00AC0A22"/>
    <w:rsid w:val="00AC3A3F"/>
    <w:rsid w:val="00AD190D"/>
    <w:rsid w:val="00AD2DAB"/>
    <w:rsid w:val="00AD7CB0"/>
    <w:rsid w:val="00AE1BBB"/>
    <w:rsid w:val="00AE2F4C"/>
    <w:rsid w:val="00AE3B4A"/>
    <w:rsid w:val="00AE427D"/>
    <w:rsid w:val="00AE4A87"/>
    <w:rsid w:val="00AE673D"/>
    <w:rsid w:val="00AE749B"/>
    <w:rsid w:val="00AF0629"/>
    <w:rsid w:val="00AF0A9B"/>
    <w:rsid w:val="00AF1BF1"/>
    <w:rsid w:val="00AF1D08"/>
    <w:rsid w:val="00AF32B8"/>
    <w:rsid w:val="00AF3CB3"/>
    <w:rsid w:val="00AF531B"/>
    <w:rsid w:val="00AF5337"/>
    <w:rsid w:val="00AF53C2"/>
    <w:rsid w:val="00AF71F6"/>
    <w:rsid w:val="00AF7C60"/>
    <w:rsid w:val="00B005C5"/>
    <w:rsid w:val="00B00C80"/>
    <w:rsid w:val="00B02305"/>
    <w:rsid w:val="00B02E23"/>
    <w:rsid w:val="00B0579A"/>
    <w:rsid w:val="00B060D5"/>
    <w:rsid w:val="00B0756D"/>
    <w:rsid w:val="00B1175D"/>
    <w:rsid w:val="00B12731"/>
    <w:rsid w:val="00B12AA5"/>
    <w:rsid w:val="00B146BC"/>
    <w:rsid w:val="00B14DF1"/>
    <w:rsid w:val="00B153B3"/>
    <w:rsid w:val="00B17CBB"/>
    <w:rsid w:val="00B209C0"/>
    <w:rsid w:val="00B20BBF"/>
    <w:rsid w:val="00B217CC"/>
    <w:rsid w:val="00B25447"/>
    <w:rsid w:val="00B25D62"/>
    <w:rsid w:val="00B2649E"/>
    <w:rsid w:val="00B271C9"/>
    <w:rsid w:val="00B308C8"/>
    <w:rsid w:val="00B31C57"/>
    <w:rsid w:val="00B32F09"/>
    <w:rsid w:val="00B33D96"/>
    <w:rsid w:val="00B33E36"/>
    <w:rsid w:val="00B34F0E"/>
    <w:rsid w:val="00B35F5F"/>
    <w:rsid w:val="00B36F78"/>
    <w:rsid w:val="00B3755E"/>
    <w:rsid w:val="00B404A6"/>
    <w:rsid w:val="00B40A63"/>
    <w:rsid w:val="00B41213"/>
    <w:rsid w:val="00B45C45"/>
    <w:rsid w:val="00B47277"/>
    <w:rsid w:val="00B5383A"/>
    <w:rsid w:val="00B56FB7"/>
    <w:rsid w:val="00B577A6"/>
    <w:rsid w:val="00B607BE"/>
    <w:rsid w:val="00B61E09"/>
    <w:rsid w:val="00B6274D"/>
    <w:rsid w:val="00B62B63"/>
    <w:rsid w:val="00B64D41"/>
    <w:rsid w:val="00B66CB3"/>
    <w:rsid w:val="00B66D6E"/>
    <w:rsid w:val="00B67351"/>
    <w:rsid w:val="00B67ABF"/>
    <w:rsid w:val="00B706C6"/>
    <w:rsid w:val="00B739CF"/>
    <w:rsid w:val="00B741F1"/>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96E03"/>
    <w:rsid w:val="00BA2C17"/>
    <w:rsid w:val="00BA40F3"/>
    <w:rsid w:val="00BA487E"/>
    <w:rsid w:val="00BA5F6B"/>
    <w:rsid w:val="00BA6BD0"/>
    <w:rsid w:val="00BB0589"/>
    <w:rsid w:val="00BB1AF8"/>
    <w:rsid w:val="00BB2E2A"/>
    <w:rsid w:val="00BB4B39"/>
    <w:rsid w:val="00BC3515"/>
    <w:rsid w:val="00BC59C2"/>
    <w:rsid w:val="00BC7DF7"/>
    <w:rsid w:val="00BD02CC"/>
    <w:rsid w:val="00BD22C7"/>
    <w:rsid w:val="00BD277B"/>
    <w:rsid w:val="00BD530D"/>
    <w:rsid w:val="00BD711F"/>
    <w:rsid w:val="00BE205B"/>
    <w:rsid w:val="00BE264E"/>
    <w:rsid w:val="00BE2E3D"/>
    <w:rsid w:val="00BE4E80"/>
    <w:rsid w:val="00BE5CA3"/>
    <w:rsid w:val="00BE68B4"/>
    <w:rsid w:val="00C029B6"/>
    <w:rsid w:val="00C03B0F"/>
    <w:rsid w:val="00C03E68"/>
    <w:rsid w:val="00C05139"/>
    <w:rsid w:val="00C124B7"/>
    <w:rsid w:val="00C16AB3"/>
    <w:rsid w:val="00C17224"/>
    <w:rsid w:val="00C17685"/>
    <w:rsid w:val="00C20CBD"/>
    <w:rsid w:val="00C223A5"/>
    <w:rsid w:val="00C23A93"/>
    <w:rsid w:val="00C23BCF"/>
    <w:rsid w:val="00C23D14"/>
    <w:rsid w:val="00C2546E"/>
    <w:rsid w:val="00C2648A"/>
    <w:rsid w:val="00C2711D"/>
    <w:rsid w:val="00C275B4"/>
    <w:rsid w:val="00C310A0"/>
    <w:rsid w:val="00C351DB"/>
    <w:rsid w:val="00C36A88"/>
    <w:rsid w:val="00C44141"/>
    <w:rsid w:val="00C512AA"/>
    <w:rsid w:val="00C53EEF"/>
    <w:rsid w:val="00C55A01"/>
    <w:rsid w:val="00C565F5"/>
    <w:rsid w:val="00C56A39"/>
    <w:rsid w:val="00C57DD6"/>
    <w:rsid w:val="00C607D5"/>
    <w:rsid w:val="00C6139D"/>
    <w:rsid w:val="00C62A8F"/>
    <w:rsid w:val="00C633EE"/>
    <w:rsid w:val="00C634E0"/>
    <w:rsid w:val="00C67020"/>
    <w:rsid w:val="00C671BC"/>
    <w:rsid w:val="00C70919"/>
    <w:rsid w:val="00C74CE0"/>
    <w:rsid w:val="00C759E4"/>
    <w:rsid w:val="00C75BEC"/>
    <w:rsid w:val="00C77969"/>
    <w:rsid w:val="00C80D96"/>
    <w:rsid w:val="00C8180C"/>
    <w:rsid w:val="00C82CA8"/>
    <w:rsid w:val="00C83560"/>
    <w:rsid w:val="00C836E3"/>
    <w:rsid w:val="00C83A19"/>
    <w:rsid w:val="00C8527E"/>
    <w:rsid w:val="00C855D2"/>
    <w:rsid w:val="00C85E96"/>
    <w:rsid w:val="00C86FBD"/>
    <w:rsid w:val="00C908F5"/>
    <w:rsid w:val="00C9128F"/>
    <w:rsid w:val="00C91666"/>
    <w:rsid w:val="00C9219D"/>
    <w:rsid w:val="00C923D5"/>
    <w:rsid w:val="00C9249C"/>
    <w:rsid w:val="00C94E84"/>
    <w:rsid w:val="00CA0D9F"/>
    <w:rsid w:val="00CA18FB"/>
    <w:rsid w:val="00CA1BD1"/>
    <w:rsid w:val="00CA1CEF"/>
    <w:rsid w:val="00CB030A"/>
    <w:rsid w:val="00CB125C"/>
    <w:rsid w:val="00CB326F"/>
    <w:rsid w:val="00CB455B"/>
    <w:rsid w:val="00CB4D87"/>
    <w:rsid w:val="00CC4E6E"/>
    <w:rsid w:val="00CC6E0A"/>
    <w:rsid w:val="00CC7617"/>
    <w:rsid w:val="00CC7935"/>
    <w:rsid w:val="00CC7FA5"/>
    <w:rsid w:val="00CD17D1"/>
    <w:rsid w:val="00CD20F9"/>
    <w:rsid w:val="00CD66FB"/>
    <w:rsid w:val="00CD67D5"/>
    <w:rsid w:val="00CE6D2A"/>
    <w:rsid w:val="00CE70E4"/>
    <w:rsid w:val="00CF0889"/>
    <w:rsid w:val="00CF2156"/>
    <w:rsid w:val="00CF32AA"/>
    <w:rsid w:val="00CF41C5"/>
    <w:rsid w:val="00CF4D7B"/>
    <w:rsid w:val="00CF602A"/>
    <w:rsid w:val="00CF6914"/>
    <w:rsid w:val="00CF7F30"/>
    <w:rsid w:val="00D003AF"/>
    <w:rsid w:val="00D049C3"/>
    <w:rsid w:val="00D062A5"/>
    <w:rsid w:val="00D07715"/>
    <w:rsid w:val="00D106FE"/>
    <w:rsid w:val="00D10ED3"/>
    <w:rsid w:val="00D11BE8"/>
    <w:rsid w:val="00D125E8"/>
    <w:rsid w:val="00D12D3B"/>
    <w:rsid w:val="00D13D7B"/>
    <w:rsid w:val="00D14535"/>
    <w:rsid w:val="00D1509F"/>
    <w:rsid w:val="00D15B99"/>
    <w:rsid w:val="00D15FDA"/>
    <w:rsid w:val="00D161B7"/>
    <w:rsid w:val="00D21A22"/>
    <w:rsid w:val="00D21ED8"/>
    <w:rsid w:val="00D22A32"/>
    <w:rsid w:val="00D23012"/>
    <w:rsid w:val="00D26EC1"/>
    <w:rsid w:val="00D2709A"/>
    <w:rsid w:val="00D30569"/>
    <w:rsid w:val="00D31F30"/>
    <w:rsid w:val="00D31F45"/>
    <w:rsid w:val="00D32E92"/>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BC1"/>
    <w:rsid w:val="00D64DD6"/>
    <w:rsid w:val="00D6587C"/>
    <w:rsid w:val="00D72C4E"/>
    <w:rsid w:val="00D730EF"/>
    <w:rsid w:val="00D756CA"/>
    <w:rsid w:val="00D77713"/>
    <w:rsid w:val="00D7798A"/>
    <w:rsid w:val="00D8216A"/>
    <w:rsid w:val="00D8307B"/>
    <w:rsid w:val="00D8327C"/>
    <w:rsid w:val="00D836F7"/>
    <w:rsid w:val="00D84645"/>
    <w:rsid w:val="00D864F8"/>
    <w:rsid w:val="00D879A3"/>
    <w:rsid w:val="00D9012D"/>
    <w:rsid w:val="00D9084B"/>
    <w:rsid w:val="00D93123"/>
    <w:rsid w:val="00DA527C"/>
    <w:rsid w:val="00DA573B"/>
    <w:rsid w:val="00DA5B6B"/>
    <w:rsid w:val="00DA700C"/>
    <w:rsid w:val="00DB2C82"/>
    <w:rsid w:val="00DB2EF0"/>
    <w:rsid w:val="00DB4640"/>
    <w:rsid w:val="00DB7297"/>
    <w:rsid w:val="00DB72D0"/>
    <w:rsid w:val="00DC44F4"/>
    <w:rsid w:val="00DD027E"/>
    <w:rsid w:val="00DD0447"/>
    <w:rsid w:val="00DD05BB"/>
    <w:rsid w:val="00DD688C"/>
    <w:rsid w:val="00DE2783"/>
    <w:rsid w:val="00DE27B8"/>
    <w:rsid w:val="00DE3D55"/>
    <w:rsid w:val="00DE4496"/>
    <w:rsid w:val="00DE5707"/>
    <w:rsid w:val="00DE70C6"/>
    <w:rsid w:val="00DF0DB1"/>
    <w:rsid w:val="00DF21A8"/>
    <w:rsid w:val="00DF3A84"/>
    <w:rsid w:val="00DF6E14"/>
    <w:rsid w:val="00DF7C6E"/>
    <w:rsid w:val="00E01663"/>
    <w:rsid w:val="00E0189F"/>
    <w:rsid w:val="00E01A46"/>
    <w:rsid w:val="00E01E65"/>
    <w:rsid w:val="00E048D6"/>
    <w:rsid w:val="00E04D0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4E53"/>
    <w:rsid w:val="00E25923"/>
    <w:rsid w:val="00E25D87"/>
    <w:rsid w:val="00E261C6"/>
    <w:rsid w:val="00E27377"/>
    <w:rsid w:val="00E300EC"/>
    <w:rsid w:val="00E31E46"/>
    <w:rsid w:val="00E332F5"/>
    <w:rsid w:val="00E33816"/>
    <w:rsid w:val="00E33FCB"/>
    <w:rsid w:val="00E34AE2"/>
    <w:rsid w:val="00E37601"/>
    <w:rsid w:val="00E41955"/>
    <w:rsid w:val="00E42235"/>
    <w:rsid w:val="00E43B3E"/>
    <w:rsid w:val="00E4414C"/>
    <w:rsid w:val="00E443BA"/>
    <w:rsid w:val="00E4447B"/>
    <w:rsid w:val="00E45FB7"/>
    <w:rsid w:val="00E470CE"/>
    <w:rsid w:val="00E50F94"/>
    <w:rsid w:val="00E528C9"/>
    <w:rsid w:val="00E5462E"/>
    <w:rsid w:val="00E570A5"/>
    <w:rsid w:val="00E61156"/>
    <w:rsid w:val="00E62AD0"/>
    <w:rsid w:val="00E642B3"/>
    <w:rsid w:val="00E65605"/>
    <w:rsid w:val="00E65AFF"/>
    <w:rsid w:val="00E6767D"/>
    <w:rsid w:val="00E7411A"/>
    <w:rsid w:val="00E77A83"/>
    <w:rsid w:val="00E85972"/>
    <w:rsid w:val="00E90E9C"/>
    <w:rsid w:val="00E9512C"/>
    <w:rsid w:val="00E96EC8"/>
    <w:rsid w:val="00EA0077"/>
    <w:rsid w:val="00EA0E38"/>
    <w:rsid w:val="00EA0ED9"/>
    <w:rsid w:val="00EA1872"/>
    <w:rsid w:val="00EA2B6A"/>
    <w:rsid w:val="00EA341D"/>
    <w:rsid w:val="00EA35BC"/>
    <w:rsid w:val="00EA604E"/>
    <w:rsid w:val="00EA63E6"/>
    <w:rsid w:val="00EA6536"/>
    <w:rsid w:val="00EA6A2F"/>
    <w:rsid w:val="00EA7167"/>
    <w:rsid w:val="00EB0026"/>
    <w:rsid w:val="00EB0384"/>
    <w:rsid w:val="00EB39F8"/>
    <w:rsid w:val="00EB3AE8"/>
    <w:rsid w:val="00EB41BA"/>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4E69"/>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1ACB"/>
    <w:rsid w:val="00F42574"/>
    <w:rsid w:val="00F436D3"/>
    <w:rsid w:val="00F45257"/>
    <w:rsid w:val="00F45CA2"/>
    <w:rsid w:val="00F45D78"/>
    <w:rsid w:val="00F46154"/>
    <w:rsid w:val="00F46723"/>
    <w:rsid w:val="00F46AD5"/>
    <w:rsid w:val="00F47DCD"/>
    <w:rsid w:val="00F50CA4"/>
    <w:rsid w:val="00F50CE7"/>
    <w:rsid w:val="00F51438"/>
    <w:rsid w:val="00F51EB8"/>
    <w:rsid w:val="00F5301A"/>
    <w:rsid w:val="00F549E7"/>
    <w:rsid w:val="00F5550D"/>
    <w:rsid w:val="00F57ED9"/>
    <w:rsid w:val="00F618BB"/>
    <w:rsid w:val="00F6302F"/>
    <w:rsid w:val="00F63ABA"/>
    <w:rsid w:val="00F67625"/>
    <w:rsid w:val="00F70A23"/>
    <w:rsid w:val="00F75F40"/>
    <w:rsid w:val="00F76B14"/>
    <w:rsid w:val="00F7776A"/>
    <w:rsid w:val="00F81487"/>
    <w:rsid w:val="00F85F21"/>
    <w:rsid w:val="00F90CF5"/>
    <w:rsid w:val="00F91176"/>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9A2"/>
    <w:rsid w:val="00FD1A30"/>
    <w:rsid w:val="00FD418F"/>
    <w:rsid w:val="00FD4365"/>
    <w:rsid w:val="00FD4D39"/>
    <w:rsid w:val="00FD4F52"/>
    <w:rsid w:val="00FD532F"/>
    <w:rsid w:val="00FD6861"/>
    <w:rsid w:val="00FE1EF3"/>
    <w:rsid w:val="00FE315D"/>
    <w:rsid w:val="00FE3182"/>
    <w:rsid w:val="00FE41E1"/>
    <w:rsid w:val="00FE55F1"/>
    <w:rsid w:val="00FF213C"/>
    <w:rsid w:val="00FF4D81"/>
    <w:rsid w:val="00FF75F5"/>
    <w:rsid w:val="01333953"/>
    <w:rsid w:val="01395070"/>
    <w:rsid w:val="01592D24"/>
    <w:rsid w:val="01761E20"/>
    <w:rsid w:val="01775986"/>
    <w:rsid w:val="018E7ABF"/>
    <w:rsid w:val="0198796C"/>
    <w:rsid w:val="01AB1D86"/>
    <w:rsid w:val="01C04E49"/>
    <w:rsid w:val="01C133B8"/>
    <w:rsid w:val="01E34F8B"/>
    <w:rsid w:val="02004BC4"/>
    <w:rsid w:val="020F2171"/>
    <w:rsid w:val="02192B92"/>
    <w:rsid w:val="026779BA"/>
    <w:rsid w:val="02906EE1"/>
    <w:rsid w:val="02A3645B"/>
    <w:rsid w:val="02E96621"/>
    <w:rsid w:val="02F778BD"/>
    <w:rsid w:val="030560A3"/>
    <w:rsid w:val="03121468"/>
    <w:rsid w:val="03391357"/>
    <w:rsid w:val="0381685A"/>
    <w:rsid w:val="03822C68"/>
    <w:rsid w:val="038A3960"/>
    <w:rsid w:val="0394658D"/>
    <w:rsid w:val="039F2BBC"/>
    <w:rsid w:val="03D96AC5"/>
    <w:rsid w:val="04015637"/>
    <w:rsid w:val="04577FC5"/>
    <w:rsid w:val="04714B20"/>
    <w:rsid w:val="047862F9"/>
    <w:rsid w:val="04E46DE8"/>
    <w:rsid w:val="04F5233C"/>
    <w:rsid w:val="05071955"/>
    <w:rsid w:val="050B36B6"/>
    <w:rsid w:val="051E3875"/>
    <w:rsid w:val="0533125B"/>
    <w:rsid w:val="054F4EE9"/>
    <w:rsid w:val="05B82808"/>
    <w:rsid w:val="060542D0"/>
    <w:rsid w:val="061567A2"/>
    <w:rsid w:val="06436049"/>
    <w:rsid w:val="06AB5586"/>
    <w:rsid w:val="06BF2353"/>
    <w:rsid w:val="06CB44B7"/>
    <w:rsid w:val="06E31D05"/>
    <w:rsid w:val="06EE20B1"/>
    <w:rsid w:val="06F23CF7"/>
    <w:rsid w:val="072744D7"/>
    <w:rsid w:val="075A189C"/>
    <w:rsid w:val="075B63E2"/>
    <w:rsid w:val="076A2856"/>
    <w:rsid w:val="07794418"/>
    <w:rsid w:val="07877DBB"/>
    <w:rsid w:val="07B1625B"/>
    <w:rsid w:val="07C9793D"/>
    <w:rsid w:val="07D96E9C"/>
    <w:rsid w:val="082522C9"/>
    <w:rsid w:val="08534B88"/>
    <w:rsid w:val="0880773A"/>
    <w:rsid w:val="08BD0334"/>
    <w:rsid w:val="08D276BA"/>
    <w:rsid w:val="08F062C2"/>
    <w:rsid w:val="090B19E1"/>
    <w:rsid w:val="0910646C"/>
    <w:rsid w:val="094840A2"/>
    <w:rsid w:val="094C41B9"/>
    <w:rsid w:val="09AC6517"/>
    <w:rsid w:val="09DD083F"/>
    <w:rsid w:val="09E15530"/>
    <w:rsid w:val="0A1B58FF"/>
    <w:rsid w:val="0A326B00"/>
    <w:rsid w:val="0A3867E6"/>
    <w:rsid w:val="0A6D7B49"/>
    <w:rsid w:val="0A755B00"/>
    <w:rsid w:val="0AA63267"/>
    <w:rsid w:val="0AD11D45"/>
    <w:rsid w:val="0ADB7197"/>
    <w:rsid w:val="0AE047FE"/>
    <w:rsid w:val="0AE903B8"/>
    <w:rsid w:val="0B1873A5"/>
    <w:rsid w:val="0B5961B4"/>
    <w:rsid w:val="0B6D124F"/>
    <w:rsid w:val="0B7462A1"/>
    <w:rsid w:val="0BA16641"/>
    <w:rsid w:val="0BEE4B46"/>
    <w:rsid w:val="0BF24799"/>
    <w:rsid w:val="0BF70980"/>
    <w:rsid w:val="0C142961"/>
    <w:rsid w:val="0C57284E"/>
    <w:rsid w:val="0C9661EF"/>
    <w:rsid w:val="0C9E047D"/>
    <w:rsid w:val="0CAC6BB6"/>
    <w:rsid w:val="0CC34F37"/>
    <w:rsid w:val="0CC80889"/>
    <w:rsid w:val="0CEA1C84"/>
    <w:rsid w:val="0CEA36C2"/>
    <w:rsid w:val="0CF467AA"/>
    <w:rsid w:val="0D4032E2"/>
    <w:rsid w:val="0D52069E"/>
    <w:rsid w:val="0D523741"/>
    <w:rsid w:val="0D553231"/>
    <w:rsid w:val="0D864353"/>
    <w:rsid w:val="0DA6583B"/>
    <w:rsid w:val="0DD505F0"/>
    <w:rsid w:val="0DEA5E6A"/>
    <w:rsid w:val="0DFC36FB"/>
    <w:rsid w:val="0E333E52"/>
    <w:rsid w:val="0E550E35"/>
    <w:rsid w:val="0E590AFF"/>
    <w:rsid w:val="0E6122BA"/>
    <w:rsid w:val="0E7476E7"/>
    <w:rsid w:val="0EB37705"/>
    <w:rsid w:val="0F0106A7"/>
    <w:rsid w:val="0F0D26CC"/>
    <w:rsid w:val="0F184ADA"/>
    <w:rsid w:val="0F2049D9"/>
    <w:rsid w:val="0F5B4403"/>
    <w:rsid w:val="0FA1669B"/>
    <w:rsid w:val="0FA32E66"/>
    <w:rsid w:val="0FAE6C29"/>
    <w:rsid w:val="0FDF0892"/>
    <w:rsid w:val="0FFA1E6E"/>
    <w:rsid w:val="101B1843"/>
    <w:rsid w:val="108F25B6"/>
    <w:rsid w:val="10B804EE"/>
    <w:rsid w:val="10D27139"/>
    <w:rsid w:val="10EF538B"/>
    <w:rsid w:val="10FB40F0"/>
    <w:rsid w:val="11312DC0"/>
    <w:rsid w:val="114701EB"/>
    <w:rsid w:val="118848CF"/>
    <w:rsid w:val="11AB1590"/>
    <w:rsid w:val="11AB1672"/>
    <w:rsid w:val="11BB562D"/>
    <w:rsid w:val="11C11380"/>
    <w:rsid w:val="11D42525"/>
    <w:rsid w:val="11DE30D8"/>
    <w:rsid w:val="12092462"/>
    <w:rsid w:val="120F2891"/>
    <w:rsid w:val="121D403F"/>
    <w:rsid w:val="1264260D"/>
    <w:rsid w:val="12716CB4"/>
    <w:rsid w:val="129832B1"/>
    <w:rsid w:val="129F7C67"/>
    <w:rsid w:val="12AB56A1"/>
    <w:rsid w:val="12CB268D"/>
    <w:rsid w:val="13117400"/>
    <w:rsid w:val="131D39A4"/>
    <w:rsid w:val="1331023E"/>
    <w:rsid w:val="13380DD8"/>
    <w:rsid w:val="1344521A"/>
    <w:rsid w:val="1345318E"/>
    <w:rsid w:val="135875D7"/>
    <w:rsid w:val="13645ACB"/>
    <w:rsid w:val="13E957B5"/>
    <w:rsid w:val="13F54664"/>
    <w:rsid w:val="140C2170"/>
    <w:rsid w:val="141259D8"/>
    <w:rsid w:val="1424570B"/>
    <w:rsid w:val="14412BB2"/>
    <w:rsid w:val="14641D14"/>
    <w:rsid w:val="146F2D0E"/>
    <w:rsid w:val="146F703C"/>
    <w:rsid w:val="14B06F9F"/>
    <w:rsid w:val="14BA7E1E"/>
    <w:rsid w:val="14C72A25"/>
    <w:rsid w:val="14D013EF"/>
    <w:rsid w:val="14D94203"/>
    <w:rsid w:val="151B08BC"/>
    <w:rsid w:val="158F12AA"/>
    <w:rsid w:val="15A078BC"/>
    <w:rsid w:val="15AE733A"/>
    <w:rsid w:val="1643020E"/>
    <w:rsid w:val="165276B0"/>
    <w:rsid w:val="16764C90"/>
    <w:rsid w:val="16DC407B"/>
    <w:rsid w:val="16F93153"/>
    <w:rsid w:val="170F26A3"/>
    <w:rsid w:val="17143815"/>
    <w:rsid w:val="172A1253"/>
    <w:rsid w:val="175E0F34"/>
    <w:rsid w:val="17884203"/>
    <w:rsid w:val="17A74689"/>
    <w:rsid w:val="17F65611"/>
    <w:rsid w:val="17F81646"/>
    <w:rsid w:val="18064804"/>
    <w:rsid w:val="180C6BE2"/>
    <w:rsid w:val="1853036D"/>
    <w:rsid w:val="18904498"/>
    <w:rsid w:val="18982224"/>
    <w:rsid w:val="18A3471E"/>
    <w:rsid w:val="18ED431E"/>
    <w:rsid w:val="18F57676"/>
    <w:rsid w:val="190D3E3D"/>
    <w:rsid w:val="19240802"/>
    <w:rsid w:val="192B246C"/>
    <w:rsid w:val="192B4DF7"/>
    <w:rsid w:val="193366FA"/>
    <w:rsid w:val="194F5E74"/>
    <w:rsid w:val="196B52AE"/>
    <w:rsid w:val="19A277FE"/>
    <w:rsid w:val="19BA6371"/>
    <w:rsid w:val="19CF6119"/>
    <w:rsid w:val="19EA4D01"/>
    <w:rsid w:val="19F90D7B"/>
    <w:rsid w:val="1A044015"/>
    <w:rsid w:val="1A200723"/>
    <w:rsid w:val="1A4964D8"/>
    <w:rsid w:val="1A7E26C9"/>
    <w:rsid w:val="1A7F18ED"/>
    <w:rsid w:val="1A820B06"/>
    <w:rsid w:val="1A904D7B"/>
    <w:rsid w:val="1AA72BF2"/>
    <w:rsid w:val="1ABE11AA"/>
    <w:rsid w:val="1AF6583C"/>
    <w:rsid w:val="1B4E3041"/>
    <w:rsid w:val="1B520DB0"/>
    <w:rsid w:val="1B6F1962"/>
    <w:rsid w:val="1B776A68"/>
    <w:rsid w:val="1B7B66B5"/>
    <w:rsid w:val="1B894627"/>
    <w:rsid w:val="1B8B0910"/>
    <w:rsid w:val="1BE13EE2"/>
    <w:rsid w:val="1C225F98"/>
    <w:rsid w:val="1C272EF4"/>
    <w:rsid w:val="1C495586"/>
    <w:rsid w:val="1CB75CE5"/>
    <w:rsid w:val="1CBB5B95"/>
    <w:rsid w:val="1CE974F2"/>
    <w:rsid w:val="1CF33ECD"/>
    <w:rsid w:val="1D02622A"/>
    <w:rsid w:val="1D320A97"/>
    <w:rsid w:val="1D3541D9"/>
    <w:rsid w:val="1D3E6FE0"/>
    <w:rsid w:val="1D4F2685"/>
    <w:rsid w:val="1D5F1562"/>
    <w:rsid w:val="1D882867"/>
    <w:rsid w:val="1DA5166B"/>
    <w:rsid w:val="1DAB29F9"/>
    <w:rsid w:val="1DBE097F"/>
    <w:rsid w:val="1E3E2D25"/>
    <w:rsid w:val="1E4507E4"/>
    <w:rsid w:val="1E5219F4"/>
    <w:rsid w:val="1E581547"/>
    <w:rsid w:val="1E5A080E"/>
    <w:rsid w:val="1E6210B8"/>
    <w:rsid w:val="1E7159F1"/>
    <w:rsid w:val="1EAA2CB1"/>
    <w:rsid w:val="1EC014EF"/>
    <w:rsid w:val="1EC664F8"/>
    <w:rsid w:val="1EDA6951"/>
    <w:rsid w:val="1EE34AF2"/>
    <w:rsid w:val="1F95570F"/>
    <w:rsid w:val="1FB2006F"/>
    <w:rsid w:val="1FB83BBA"/>
    <w:rsid w:val="1FBE6A14"/>
    <w:rsid w:val="1FD61FB0"/>
    <w:rsid w:val="1FE67D19"/>
    <w:rsid w:val="1FF318DD"/>
    <w:rsid w:val="1FF91559"/>
    <w:rsid w:val="20286583"/>
    <w:rsid w:val="202D76F6"/>
    <w:rsid w:val="204809D3"/>
    <w:rsid w:val="205B2DAC"/>
    <w:rsid w:val="206A26F8"/>
    <w:rsid w:val="20762E53"/>
    <w:rsid w:val="20D920A8"/>
    <w:rsid w:val="20E166A5"/>
    <w:rsid w:val="214421B5"/>
    <w:rsid w:val="21A3266E"/>
    <w:rsid w:val="21A8172A"/>
    <w:rsid w:val="21C92CFB"/>
    <w:rsid w:val="21D414F5"/>
    <w:rsid w:val="21F52495"/>
    <w:rsid w:val="21FF5A11"/>
    <w:rsid w:val="22155EFF"/>
    <w:rsid w:val="226006F6"/>
    <w:rsid w:val="22C407E5"/>
    <w:rsid w:val="22E61393"/>
    <w:rsid w:val="22F4274D"/>
    <w:rsid w:val="2309269C"/>
    <w:rsid w:val="23207452"/>
    <w:rsid w:val="23381C55"/>
    <w:rsid w:val="233B65CE"/>
    <w:rsid w:val="2364528E"/>
    <w:rsid w:val="2395665B"/>
    <w:rsid w:val="23BF0FAD"/>
    <w:rsid w:val="23C245F9"/>
    <w:rsid w:val="241B7961"/>
    <w:rsid w:val="249935AC"/>
    <w:rsid w:val="24A02B8C"/>
    <w:rsid w:val="24A91605"/>
    <w:rsid w:val="24F36825"/>
    <w:rsid w:val="25113A8A"/>
    <w:rsid w:val="2524556B"/>
    <w:rsid w:val="252922FF"/>
    <w:rsid w:val="25445D9E"/>
    <w:rsid w:val="25484804"/>
    <w:rsid w:val="25665B84"/>
    <w:rsid w:val="25716E87"/>
    <w:rsid w:val="257638ED"/>
    <w:rsid w:val="257B5BEF"/>
    <w:rsid w:val="26296BB1"/>
    <w:rsid w:val="263A2B6C"/>
    <w:rsid w:val="263D4A6F"/>
    <w:rsid w:val="265E4AAD"/>
    <w:rsid w:val="26924756"/>
    <w:rsid w:val="26A10D09"/>
    <w:rsid w:val="26CF57CC"/>
    <w:rsid w:val="26EA3C96"/>
    <w:rsid w:val="27022042"/>
    <w:rsid w:val="276C29FF"/>
    <w:rsid w:val="277125BE"/>
    <w:rsid w:val="2794472F"/>
    <w:rsid w:val="279A1B15"/>
    <w:rsid w:val="27A54A31"/>
    <w:rsid w:val="27AB4523"/>
    <w:rsid w:val="27B13177"/>
    <w:rsid w:val="27C76682"/>
    <w:rsid w:val="27E17743"/>
    <w:rsid w:val="27E9484A"/>
    <w:rsid w:val="27F6479E"/>
    <w:rsid w:val="28125B4F"/>
    <w:rsid w:val="282059D2"/>
    <w:rsid w:val="28213FE4"/>
    <w:rsid w:val="2836300E"/>
    <w:rsid w:val="28855A7D"/>
    <w:rsid w:val="28A9755D"/>
    <w:rsid w:val="28D663CA"/>
    <w:rsid w:val="28DA1012"/>
    <w:rsid w:val="28E82768"/>
    <w:rsid w:val="29B328DF"/>
    <w:rsid w:val="29EB624B"/>
    <w:rsid w:val="29EC23D0"/>
    <w:rsid w:val="29F43901"/>
    <w:rsid w:val="29FD63E9"/>
    <w:rsid w:val="2A0423FD"/>
    <w:rsid w:val="2A0876CB"/>
    <w:rsid w:val="2A270611"/>
    <w:rsid w:val="2A472991"/>
    <w:rsid w:val="2A9949B6"/>
    <w:rsid w:val="2A9D1189"/>
    <w:rsid w:val="2ABE3D6C"/>
    <w:rsid w:val="2ABF25ED"/>
    <w:rsid w:val="2AC1385C"/>
    <w:rsid w:val="2AD94755"/>
    <w:rsid w:val="2AE7106A"/>
    <w:rsid w:val="2B1E2A5D"/>
    <w:rsid w:val="2B2A3917"/>
    <w:rsid w:val="2B54647E"/>
    <w:rsid w:val="2BA967CA"/>
    <w:rsid w:val="2BCF560F"/>
    <w:rsid w:val="2BE74A05"/>
    <w:rsid w:val="2BE7643B"/>
    <w:rsid w:val="2BE95450"/>
    <w:rsid w:val="2C0440A1"/>
    <w:rsid w:val="2C1124EA"/>
    <w:rsid w:val="2C2643AF"/>
    <w:rsid w:val="2C3A0080"/>
    <w:rsid w:val="2CC76232"/>
    <w:rsid w:val="2CF271A5"/>
    <w:rsid w:val="2D395076"/>
    <w:rsid w:val="2D3B3693"/>
    <w:rsid w:val="2D426A09"/>
    <w:rsid w:val="2D69305E"/>
    <w:rsid w:val="2D78301E"/>
    <w:rsid w:val="2D8400D7"/>
    <w:rsid w:val="2D851D9A"/>
    <w:rsid w:val="2E4B691E"/>
    <w:rsid w:val="2EBD433B"/>
    <w:rsid w:val="2EDE0726"/>
    <w:rsid w:val="2EFF55B4"/>
    <w:rsid w:val="2F236894"/>
    <w:rsid w:val="2F7B10A8"/>
    <w:rsid w:val="2F9634CD"/>
    <w:rsid w:val="2F9652B7"/>
    <w:rsid w:val="2FDE58A3"/>
    <w:rsid w:val="2FE7396B"/>
    <w:rsid w:val="300D7D4A"/>
    <w:rsid w:val="304E7940"/>
    <w:rsid w:val="3082583C"/>
    <w:rsid w:val="309E313D"/>
    <w:rsid w:val="30B77333"/>
    <w:rsid w:val="30C16364"/>
    <w:rsid w:val="30D20571"/>
    <w:rsid w:val="30E16A06"/>
    <w:rsid w:val="30EF6236"/>
    <w:rsid w:val="315A0567"/>
    <w:rsid w:val="316A4AAB"/>
    <w:rsid w:val="31AD0696"/>
    <w:rsid w:val="31CC3E43"/>
    <w:rsid w:val="31D32E61"/>
    <w:rsid w:val="31DA781F"/>
    <w:rsid w:val="31E700F2"/>
    <w:rsid w:val="31FC517A"/>
    <w:rsid w:val="31FE7C49"/>
    <w:rsid w:val="321D403E"/>
    <w:rsid w:val="322F37A1"/>
    <w:rsid w:val="323112C7"/>
    <w:rsid w:val="324463DD"/>
    <w:rsid w:val="32C5103D"/>
    <w:rsid w:val="32DA4D9D"/>
    <w:rsid w:val="330733A8"/>
    <w:rsid w:val="338E797F"/>
    <w:rsid w:val="33FB0DDF"/>
    <w:rsid w:val="34036C94"/>
    <w:rsid w:val="342866FA"/>
    <w:rsid w:val="344E43B3"/>
    <w:rsid w:val="346644D8"/>
    <w:rsid w:val="34CC3529"/>
    <w:rsid w:val="34D47B0A"/>
    <w:rsid w:val="34D84DA0"/>
    <w:rsid w:val="35095E01"/>
    <w:rsid w:val="352C5D76"/>
    <w:rsid w:val="353F37D3"/>
    <w:rsid w:val="35425F9B"/>
    <w:rsid w:val="35494B7A"/>
    <w:rsid w:val="35747E49"/>
    <w:rsid w:val="35803E13"/>
    <w:rsid w:val="35B6520A"/>
    <w:rsid w:val="35E60968"/>
    <w:rsid w:val="360607D9"/>
    <w:rsid w:val="36190C5C"/>
    <w:rsid w:val="36237179"/>
    <w:rsid w:val="363D616D"/>
    <w:rsid w:val="36462E68"/>
    <w:rsid w:val="36617AB4"/>
    <w:rsid w:val="3680580C"/>
    <w:rsid w:val="36E27E9F"/>
    <w:rsid w:val="36E81F5E"/>
    <w:rsid w:val="373047DD"/>
    <w:rsid w:val="375C30B0"/>
    <w:rsid w:val="375C7148"/>
    <w:rsid w:val="376021F7"/>
    <w:rsid w:val="37BB4E86"/>
    <w:rsid w:val="37F708BD"/>
    <w:rsid w:val="380641E7"/>
    <w:rsid w:val="38124861"/>
    <w:rsid w:val="381B79C3"/>
    <w:rsid w:val="382B67B9"/>
    <w:rsid w:val="38482D1C"/>
    <w:rsid w:val="385A07E5"/>
    <w:rsid w:val="387B329C"/>
    <w:rsid w:val="389E008F"/>
    <w:rsid w:val="38A94C99"/>
    <w:rsid w:val="38BC3F4C"/>
    <w:rsid w:val="38D57CCA"/>
    <w:rsid w:val="38D6246F"/>
    <w:rsid w:val="38E848FD"/>
    <w:rsid w:val="38F00189"/>
    <w:rsid w:val="39072D82"/>
    <w:rsid w:val="395A0729"/>
    <w:rsid w:val="395F4B2D"/>
    <w:rsid w:val="39765262"/>
    <w:rsid w:val="399334B6"/>
    <w:rsid w:val="39995F33"/>
    <w:rsid w:val="39FE23D7"/>
    <w:rsid w:val="3A3C70DA"/>
    <w:rsid w:val="3A8D375B"/>
    <w:rsid w:val="3A8E5D10"/>
    <w:rsid w:val="3AA0523C"/>
    <w:rsid w:val="3AD9074E"/>
    <w:rsid w:val="3AD9490D"/>
    <w:rsid w:val="3AE11A4E"/>
    <w:rsid w:val="3AE40C83"/>
    <w:rsid w:val="3B077069"/>
    <w:rsid w:val="3B10495E"/>
    <w:rsid w:val="3B2A4FB6"/>
    <w:rsid w:val="3B3536D7"/>
    <w:rsid w:val="3B932D9C"/>
    <w:rsid w:val="3BA644F3"/>
    <w:rsid w:val="3BC45C47"/>
    <w:rsid w:val="3BCB5B0D"/>
    <w:rsid w:val="3BD26834"/>
    <w:rsid w:val="3BF03FA1"/>
    <w:rsid w:val="3BF33A92"/>
    <w:rsid w:val="3C0435A9"/>
    <w:rsid w:val="3C19288C"/>
    <w:rsid w:val="3C516087"/>
    <w:rsid w:val="3C5D5A52"/>
    <w:rsid w:val="3C65052B"/>
    <w:rsid w:val="3C6A415F"/>
    <w:rsid w:val="3C6B242F"/>
    <w:rsid w:val="3C791991"/>
    <w:rsid w:val="3C8768C8"/>
    <w:rsid w:val="3CBA43FC"/>
    <w:rsid w:val="3CCE5FE8"/>
    <w:rsid w:val="3CF14DC8"/>
    <w:rsid w:val="3CFB0E50"/>
    <w:rsid w:val="3D475AC0"/>
    <w:rsid w:val="3D573AAE"/>
    <w:rsid w:val="3D5E4F3B"/>
    <w:rsid w:val="3D794439"/>
    <w:rsid w:val="3DBA4867"/>
    <w:rsid w:val="3DD376D7"/>
    <w:rsid w:val="3DDC6AF7"/>
    <w:rsid w:val="3E530817"/>
    <w:rsid w:val="3E546A69"/>
    <w:rsid w:val="3E5E6B64"/>
    <w:rsid w:val="3E5F1E94"/>
    <w:rsid w:val="3E8916EE"/>
    <w:rsid w:val="3E955A06"/>
    <w:rsid w:val="3EC10360"/>
    <w:rsid w:val="3EF06066"/>
    <w:rsid w:val="3EFE0737"/>
    <w:rsid w:val="3F022944"/>
    <w:rsid w:val="3F125943"/>
    <w:rsid w:val="3F163D1F"/>
    <w:rsid w:val="3F283A52"/>
    <w:rsid w:val="3F632287"/>
    <w:rsid w:val="3F817D6A"/>
    <w:rsid w:val="3F8C6885"/>
    <w:rsid w:val="3FAF4912"/>
    <w:rsid w:val="3FEF631E"/>
    <w:rsid w:val="405126BE"/>
    <w:rsid w:val="406A72FF"/>
    <w:rsid w:val="40A13ABC"/>
    <w:rsid w:val="40B80747"/>
    <w:rsid w:val="40CD787E"/>
    <w:rsid w:val="4151633F"/>
    <w:rsid w:val="41804241"/>
    <w:rsid w:val="418D4040"/>
    <w:rsid w:val="41A62A0A"/>
    <w:rsid w:val="421B7832"/>
    <w:rsid w:val="42254A34"/>
    <w:rsid w:val="422624CB"/>
    <w:rsid w:val="42855BC9"/>
    <w:rsid w:val="429462ED"/>
    <w:rsid w:val="42BC7DDF"/>
    <w:rsid w:val="42BE1986"/>
    <w:rsid w:val="42D33CD5"/>
    <w:rsid w:val="42F73E67"/>
    <w:rsid w:val="42FC1899"/>
    <w:rsid w:val="43076C51"/>
    <w:rsid w:val="43104F29"/>
    <w:rsid w:val="437E2698"/>
    <w:rsid w:val="43AD43B9"/>
    <w:rsid w:val="43D1290A"/>
    <w:rsid w:val="43F65ECD"/>
    <w:rsid w:val="44003B51"/>
    <w:rsid w:val="44201AAB"/>
    <w:rsid w:val="442E38B9"/>
    <w:rsid w:val="446F00B4"/>
    <w:rsid w:val="44780ABD"/>
    <w:rsid w:val="44805BE0"/>
    <w:rsid w:val="448A72D9"/>
    <w:rsid w:val="44E346A3"/>
    <w:rsid w:val="44EF1B82"/>
    <w:rsid w:val="451F76A5"/>
    <w:rsid w:val="453F38A4"/>
    <w:rsid w:val="455E59EB"/>
    <w:rsid w:val="456652D4"/>
    <w:rsid w:val="45703A5D"/>
    <w:rsid w:val="45797C51"/>
    <w:rsid w:val="45A168B6"/>
    <w:rsid w:val="45DE7647"/>
    <w:rsid w:val="45E725A1"/>
    <w:rsid w:val="45EE4E64"/>
    <w:rsid w:val="461B2714"/>
    <w:rsid w:val="461D1E37"/>
    <w:rsid w:val="4657626C"/>
    <w:rsid w:val="46854511"/>
    <w:rsid w:val="46A025FE"/>
    <w:rsid w:val="46F41301"/>
    <w:rsid w:val="46F46706"/>
    <w:rsid w:val="46FC6C97"/>
    <w:rsid w:val="470A5B17"/>
    <w:rsid w:val="4714753E"/>
    <w:rsid w:val="471A0124"/>
    <w:rsid w:val="47231D97"/>
    <w:rsid w:val="473D2DF8"/>
    <w:rsid w:val="473F0AAE"/>
    <w:rsid w:val="478657BA"/>
    <w:rsid w:val="47D74B9C"/>
    <w:rsid w:val="47E250E6"/>
    <w:rsid w:val="47F66832"/>
    <w:rsid w:val="47FB7F56"/>
    <w:rsid w:val="48376AB4"/>
    <w:rsid w:val="48551120"/>
    <w:rsid w:val="486A20A2"/>
    <w:rsid w:val="48965ED0"/>
    <w:rsid w:val="498C3173"/>
    <w:rsid w:val="49BA7429"/>
    <w:rsid w:val="49BF7BAD"/>
    <w:rsid w:val="49FC1D63"/>
    <w:rsid w:val="4A203CA4"/>
    <w:rsid w:val="4A407EA2"/>
    <w:rsid w:val="4ABB577A"/>
    <w:rsid w:val="4AC42881"/>
    <w:rsid w:val="4ADB7BCB"/>
    <w:rsid w:val="4B214123"/>
    <w:rsid w:val="4B425E9C"/>
    <w:rsid w:val="4B807D59"/>
    <w:rsid w:val="4B83204C"/>
    <w:rsid w:val="4B8D7117"/>
    <w:rsid w:val="4BA72EF2"/>
    <w:rsid w:val="4BC4127F"/>
    <w:rsid w:val="4C0D56B5"/>
    <w:rsid w:val="4C3D1214"/>
    <w:rsid w:val="4C3E203F"/>
    <w:rsid w:val="4C4A2448"/>
    <w:rsid w:val="4CA24E44"/>
    <w:rsid w:val="4CA37009"/>
    <w:rsid w:val="4CF6285E"/>
    <w:rsid w:val="4D023844"/>
    <w:rsid w:val="4D27359B"/>
    <w:rsid w:val="4DBF06EC"/>
    <w:rsid w:val="4DC55AA5"/>
    <w:rsid w:val="4DED52D5"/>
    <w:rsid w:val="4DF03AC8"/>
    <w:rsid w:val="4E3B2540"/>
    <w:rsid w:val="4ECF17A1"/>
    <w:rsid w:val="4EF8269B"/>
    <w:rsid w:val="4F136F24"/>
    <w:rsid w:val="4F342A5E"/>
    <w:rsid w:val="4F73779A"/>
    <w:rsid w:val="4FB97DFA"/>
    <w:rsid w:val="4FEE3857"/>
    <w:rsid w:val="502A4E02"/>
    <w:rsid w:val="504B4D66"/>
    <w:rsid w:val="50902684"/>
    <w:rsid w:val="50A20E32"/>
    <w:rsid w:val="50DF56DA"/>
    <w:rsid w:val="511D0F3D"/>
    <w:rsid w:val="516A1F01"/>
    <w:rsid w:val="51735001"/>
    <w:rsid w:val="517D19DC"/>
    <w:rsid w:val="52031FDD"/>
    <w:rsid w:val="523A25A8"/>
    <w:rsid w:val="523B0DC6"/>
    <w:rsid w:val="52693681"/>
    <w:rsid w:val="527103FC"/>
    <w:rsid w:val="52910A3B"/>
    <w:rsid w:val="529A792F"/>
    <w:rsid w:val="52A4759B"/>
    <w:rsid w:val="52B35629"/>
    <w:rsid w:val="52B70F1D"/>
    <w:rsid w:val="52D25D57"/>
    <w:rsid w:val="52D32AFD"/>
    <w:rsid w:val="52F421A7"/>
    <w:rsid w:val="52F43FD5"/>
    <w:rsid w:val="532C049D"/>
    <w:rsid w:val="53481136"/>
    <w:rsid w:val="536A2433"/>
    <w:rsid w:val="53916C12"/>
    <w:rsid w:val="539F3171"/>
    <w:rsid w:val="53C2720D"/>
    <w:rsid w:val="53E80794"/>
    <w:rsid w:val="54414C19"/>
    <w:rsid w:val="544C0A13"/>
    <w:rsid w:val="54781F9E"/>
    <w:rsid w:val="5479292E"/>
    <w:rsid w:val="547A48F8"/>
    <w:rsid w:val="54905ECA"/>
    <w:rsid w:val="54A11E85"/>
    <w:rsid w:val="54AE7824"/>
    <w:rsid w:val="54EC75A4"/>
    <w:rsid w:val="54F0176D"/>
    <w:rsid w:val="54F145C8"/>
    <w:rsid w:val="550564C5"/>
    <w:rsid w:val="551268DF"/>
    <w:rsid w:val="554747DA"/>
    <w:rsid w:val="55992337"/>
    <w:rsid w:val="55C53951"/>
    <w:rsid w:val="56130B60"/>
    <w:rsid w:val="561778BD"/>
    <w:rsid w:val="561F1F50"/>
    <w:rsid w:val="56262AA1"/>
    <w:rsid w:val="562E2336"/>
    <w:rsid w:val="565F1615"/>
    <w:rsid w:val="56B670D7"/>
    <w:rsid w:val="56C04CEE"/>
    <w:rsid w:val="56D26326"/>
    <w:rsid w:val="56E5664D"/>
    <w:rsid w:val="56F35993"/>
    <w:rsid w:val="570A1F63"/>
    <w:rsid w:val="575B4925"/>
    <w:rsid w:val="57B27C22"/>
    <w:rsid w:val="57C00874"/>
    <w:rsid w:val="57D46313"/>
    <w:rsid w:val="57E667F4"/>
    <w:rsid w:val="57F61A15"/>
    <w:rsid w:val="5818245E"/>
    <w:rsid w:val="58632F34"/>
    <w:rsid w:val="58676F42"/>
    <w:rsid w:val="58686D75"/>
    <w:rsid w:val="586B07E0"/>
    <w:rsid w:val="588513CA"/>
    <w:rsid w:val="58863D65"/>
    <w:rsid w:val="589E309B"/>
    <w:rsid w:val="58D26CDD"/>
    <w:rsid w:val="58DF6CF4"/>
    <w:rsid w:val="5904132B"/>
    <w:rsid w:val="59130003"/>
    <w:rsid w:val="59140E77"/>
    <w:rsid w:val="59157827"/>
    <w:rsid w:val="594400A5"/>
    <w:rsid w:val="59460EC7"/>
    <w:rsid w:val="59641E81"/>
    <w:rsid w:val="59687BBD"/>
    <w:rsid w:val="598F6750"/>
    <w:rsid w:val="59A51405"/>
    <w:rsid w:val="59B06EA8"/>
    <w:rsid w:val="59B144D2"/>
    <w:rsid w:val="59C90F05"/>
    <w:rsid w:val="59CD2932"/>
    <w:rsid w:val="5A0C68A2"/>
    <w:rsid w:val="5A1B6236"/>
    <w:rsid w:val="5A55060E"/>
    <w:rsid w:val="5A695661"/>
    <w:rsid w:val="5A7F5484"/>
    <w:rsid w:val="5A9410D3"/>
    <w:rsid w:val="5AB23A35"/>
    <w:rsid w:val="5AC8016B"/>
    <w:rsid w:val="5AF413B3"/>
    <w:rsid w:val="5B04773F"/>
    <w:rsid w:val="5B0B1E06"/>
    <w:rsid w:val="5B106EAE"/>
    <w:rsid w:val="5B4F7AA0"/>
    <w:rsid w:val="5B7458E4"/>
    <w:rsid w:val="5B944FA2"/>
    <w:rsid w:val="5BCC5A39"/>
    <w:rsid w:val="5BDE4C01"/>
    <w:rsid w:val="5C27405A"/>
    <w:rsid w:val="5C3914B8"/>
    <w:rsid w:val="5C5D2397"/>
    <w:rsid w:val="5C6D68F5"/>
    <w:rsid w:val="5C7B745F"/>
    <w:rsid w:val="5C855BE8"/>
    <w:rsid w:val="5C85755D"/>
    <w:rsid w:val="5C910A31"/>
    <w:rsid w:val="5CB0284C"/>
    <w:rsid w:val="5CE018ED"/>
    <w:rsid w:val="5CED210B"/>
    <w:rsid w:val="5CF05758"/>
    <w:rsid w:val="5D0E478E"/>
    <w:rsid w:val="5D1F13A6"/>
    <w:rsid w:val="5D7647EC"/>
    <w:rsid w:val="5DBA1FF8"/>
    <w:rsid w:val="5E1D3725"/>
    <w:rsid w:val="5E2735C3"/>
    <w:rsid w:val="5E2C0A11"/>
    <w:rsid w:val="5E37668B"/>
    <w:rsid w:val="5E783C56"/>
    <w:rsid w:val="5E9C51FA"/>
    <w:rsid w:val="5EC42D73"/>
    <w:rsid w:val="5ED54C52"/>
    <w:rsid w:val="5F161B26"/>
    <w:rsid w:val="5F1A4D0E"/>
    <w:rsid w:val="5F267751"/>
    <w:rsid w:val="5F546472"/>
    <w:rsid w:val="5F92436A"/>
    <w:rsid w:val="5F963BEE"/>
    <w:rsid w:val="5F97635E"/>
    <w:rsid w:val="5FBC7B73"/>
    <w:rsid w:val="5FE92BF5"/>
    <w:rsid w:val="601D73D2"/>
    <w:rsid w:val="604638E0"/>
    <w:rsid w:val="6065020A"/>
    <w:rsid w:val="60AC5E39"/>
    <w:rsid w:val="60C3152C"/>
    <w:rsid w:val="60C346C6"/>
    <w:rsid w:val="60C73328"/>
    <w:rsid w:val="61141727"/>
    <w:rsid w:val="614D13CA"/>
    <w:rsid w:val="61593740"/>
    <w:rsid w:val="617F673E"/>
    <w:rsid w:val="61C947C9"/>
    <w:rsid w:val="61D41829"/>
    <w:rsid w:val="61E433B1"/>
    <w:rsid w:val="623065F6"/>
    <w:rsid w:val="62445441"/>
    <w:rsid w:val="625E1FC6"/>
    <w:rsid w:val="626B7BBE"/>
    <w:rsid w:val="627C05F1"/>
    <w:rsid w:val="628F003F"/>
    <w:rsid w:val="62950332"/>
    <w:rsid w:val="630011AB"/>
    <w:rsid w:val="630048F7"/>
    <w:rsid w:val="63215DB8"/>
    <w:rsid w:val="63247F09"/>
    <w:rsid w:val="632757F0"/>
    <w:rsid w:val="6342799E"/>
    <w:rsid w:val="63835240"/>
    <w:rsid w:val="63B77B8E"/>
    <w:rsid w:val="63CD67F3"/>
    <w:rsid w:val="63E8362C"/>
    <w:rsid w:val="63F3316E"/>
    <w:rsid w:val="63FA4DC2"/>
    <w:rsid w:val="64220275"/>
    <w:rsid w:val="643E06B3"/>
    <w:rsid w:val="644204E6"/>
    <w:rsid w:val="6443691C"/>
    <w:rsid w:val="64504D2E"/>
    <w:rsid w:val="645079A9"/>
    <w:rsid w:val="646447D2"/>
    <w:rsid w:val="646B5735"/>
    <w:rsid w:val="64B13F54"/>
    <w:rsid w:val="64BE130D"/>
    <w:rsid w:val="65064BEE"/>
    <w:rsid w:val="650A4AEB"/>
    <w:rsid w:val="65160EC7"/>
    <w:rsid w:val="653D0045"/>
    <w:rsid w:val="65736F26"/>
    <w:rsid w:val="657F1D6E"/>
    <w:rsid w:val="658B50AB"/>
    <w:rsid w:val="65CB33B9"/>
    <w:rsid w:val="65D02B72"/>
    <w:rsid w:val="661D7DE2"/>
    <w:rsid w:val="662E7ECC"/>
    <w:rsid w:val="666A0329"/>
    <w:rsid w:val="666E595E"/>
    <w:rsid w:val="66763DB7"/>
    <w:rsid w:val="66847D31"/>
    <w:rsid w:val="66857B88"/>
    <w:rsid w:val="668F7750"/>
    <w:rsid w:val="669C395B"/>
    <w:rsid w:val="66B0366A"/>
    <w:rsid w:val="66B07D06"/>
    <w:rsid w:val="66F06D87"/>
    <w:rsid w:val="66FA4DE3"/>
    <w:rsid w:val="670D0267"/>
    <w:rsid w:val="674816B3"/>
    <w:rsid w:val="67851192"/>
    <w:rsid w:val="67D20125"/>
    <w:rsid w:val="67D71F14"/>
    <w:rsid w:val="67F85E08"/>
    <w:rsid w:val="67FA2386"/>
    <w:rsid w:val="680B1697"/>
    <w:rsid w:val="6878082B"/>
    <w:rsid w:val="68873540"/>
    <w:rsid w:val="68936134"/>
    <w:rsid w:val="68F10571"/>
    <w:rsid w:val="69005C27"/>
    <w:rsid w:val="692B0CE1"/>
    <w:rsid w:val="693D1D24"/>
    <w:rsid w:val="693D7F76"/>
    <w:rsid w:val="69942680"/>
    <w:rsid w:val="69D460C0"/>
    <w:rsid w:val="6A160FCF"/>
    <w:rsid w:val="6A296146"/>
    <w:rsid w:val="6A2D49FB"/>
    <w:rsid w:val="6A6B28C1"/>
    <w:rsid w:val="6A8F72B9"/>
    <w:rsid w:val="6A9C1BAB"/>
    <w:rsid w:val="6A9E2C97"/>
    <w:rsid w:val="6AA162E3"/>
    <w:rsid w:val="6AAB7F50"/>
    <w:rsid w:val="6AD06BC8"/>
    <w:rsid w:val="6AF20FCD"/>
    <w:rsid w:val="6B601982"/>
    <w:rsid w:val="6BB46349"/>
    <w:rsid w:val="6BC72219"/>
    <w:rsid w:val="6BE04BE9"/>
    <w:rsid w:val="6BFC46D6"/>
    <w:rsid w:val="6C08348F"/>
    <w:rsid w:val="6C296732"/>
    <w:rsid w:val="6C310293"/>
    <w:rsid w:val="6C5D7FE5"/>
    <w:rsid w:val="6C7B7BA3"/>
    <w:rsid w:val="6C852F23"/>
    <w:rsid w:val="6CC90D79"/>
    <w:rsid w:val="6CDC1854"/>
    <w:rsid w:val="6D02522C"/>
    <w:rsid w:val="6D553175"/>
    <w:rsid w:val="6D9956BA"/>
    <w:rsid w:val="6DC522E8"/>
    <w:rsid w:val="6DFC351E"/>
    <w:rsid w:val="6E2F3C06"/>
    <w:rsid w:val="6E3E12BD"/>
    <w:rsid w:val="6E58315D"/>
    <w:rsid w:val="6E625129"/>
    <w:rsid w:val="6E642207"/>
    <w:rsid w:val="6E7D7067"/>
    <w:rsid w:val="6EA16987"/>
    <w:rsid w:val="6F2D3DC4"/>
    <w:rsid w:val="6F437969"/>
    <w:rsid w:val="6F484143"/>
    <w:rsid w:val="6F524547"/>
    <w:rsid w:val="6F574271"/>
    <w:rsid w:val="6F750F26"/>
    <w:rsid w:val="6F7B72E9"/>
    <w:rsid w:val="6F8445D4"/>
    <w:rsid w:val="6F8D5C1A"/>
    <w:rsid w:val="6F8E342E"/>
    <w:rsid w:val="6FA8133A"/>
    <w:rsid w:val="6FB25C71"/>
    <w:rsid w:val="6FCD6B73"/>
    <w:rsid w:val="6FD27139"/>
    <w:rsid w:val="6FEB3EA4"/>
    <w:rsid w:val="70034D5E"/>
    <w:rsid w:val="70340665"/>
    <w:rsid w:val="709F32C5"/>
    <w:rsid w:val="70CD2B48"/>
    <w:rsid w:val="710F28F2"/>
    <w:rsid w:val="71126EE7"/>
    <w:rsid w:val="71154488"/>
    <w:rsid w:val="713B42AD"/>
    <w:rsid w:val="714D2D21"/>
    <w:rsid w:val="71654E27"/>
    <w:rsid w:val="71724535"/>
    <w:rsid w:val="71864485"/>
    <w:rsid w:val="719E73CE"/>
    <w:rsid w:val="71CF18EC"/>
    <w:rsid w:val="71D24D54"/>
    <w:rsid w:val="71F6500C"/>
    <w:rsid w:val="728F5F29"/>
    <w:rsid w:val="72AB1549"/>
    <w:rsid w:val="72F279CD"/>
    <w:rsid w:val="730E6F63"/>
    <w:rsid w:val="731A170A"/>
    <w:rsid w:val="736F12B0"/>
    <w:rsid w:val="737E24ED"/>
    <w:rsid w:val="737E590F"/>
    <w:rsid w:val="73817937"/>
    <w:rsid w:val="73C66DBA"/>
    <w:rsid w:val="73E343B5"/>
    <w:rsid w:val="74203020"/>
    <w:rsid w:val="7499627D"/>
    <w:rsid w:val="751678CE"/>
    <w:rsid w:val="754D7793"/>
    <w:rsid w:val="757C043C"/>
    <w:rsid w:val="759A04FF"/>
    <w:rsid w:val="75CD3D27"/>
    <w:rsid w:val="75FB2D49"/>
    <w:rsid w:val="75FF0362"/>
    <w:rsid w:val="76134845"/>
    <w:rsid w:val="763922F4"/>
    <w:rsid w:val="764F27B8"/>
    <w:rsid w:val="7665615C"/>
    <w:rsid w:val="76872831"/>
    <w:rsid w:val="76C64C3A"/>
    <w:rsid w:val="76D65566"/>
    <w:rsid w:val="774B075C"/>
    <w:rsid w:val="77521091"/>
    <w:rsid w:val="77536BB7"/>
    <w:rsid w:val="776C1A27"/>
    <w:rsid w:val="77896DD2"/>
    <w:rsid w:val="77A6318B"/>
    <w:rsid w:val="77C13F0D"/>
    <w:rsid w:val="77DC2835"/>
    <w:rsid w:val="77F83FF8"/>
    <w:rsid w:val="78106BD8"/>
    <w:rsid w:val="782A7F03"/>
    <w:rsid w:val="782B7A40"/>
    <w:rsid w:val="785F7D93"/>
    <w:rsid w:val="78767001"/>
    <w:rsid w:val="78941235"/>
    <w:rsid w:val="792235CC"/>
    <w:rsid w:val="79616DC4"/>
    <w:rsid w:val="79695006"/>
    <w:rsid w:val="797701CE"/>
    <w:rsid w:val="79E820BE"/>
    <w:rsid w:val="79EB6E3D"/>
    <w:rsid w:val="7A0348C4"/>
    <w:rsid w:val="7A4F53A0"/>
    <w:rsid w:val="7A552C46"/>
    <w:rsid w:val="7A5B1025"/>
    <w:rsid w:val="7A606FCD"/>
    <w:rsid w:val="7A69418C"/>
    <w:rsid w:val="7A6E0372"/>
    <w:rsid w:val="7A862644"/>
    <w:rsid w:val="7A971443"/>
    <w:rsid w:val="7AC53F07"/>
    <w:rsid w:val="7AD61FD9"/>
    <w:rsid w:val="7AD75B69"/>
    <w:rsid w:val="7B0265D2"/>
    <w:rsid w:val="7B0862F8"/>
    <w:rsid w:val="7B2A40D3"/>
    <w:rsid w:val="7B3C614D"/>
    <w:rsid w:val="7B4128F5"/>
    <w:rsid w:val="7B4A65B5"/>
    <w:rsid w:val="7B681A01"/>
    <w:rsid w:val="7B86410F"/>
    <w:rsid w:val="7BAC1C0B"/>
    <w:rsid w:val="7BCA68E0"/>
    <w:rsid w:val="7BD3539E"/>
    <w:rsid w:val="7BFA37D9"/>
    <w:rsid w:val="7C0D14C3"/>
    <w:rsid w:val="7C3A0345"/>
    <w:rsid w:val="7C47478B"/>
    <w:rsid w:val="7CB42860"/>
    <w:rsid w:val="7D021F92"/>
    <w:rsid w:val="7D03303C"/>
    <w:rsid w:val="7D690EE2"/>
    <w:rsid w:val="7D711B45"/>
    <w:rsid w:val="7D86037E"/>
    <w:rsid w:val="7DA63EE4"/>
    <w:rsid w:val="7DBD04BA"/>
    <w:rsid w:val="7DC914E1"/>
    <w:rsid w:val="7DFC3B04"/>
    <w:rsid w:val="7E4159BB"/>
    <w:rsid w:val="7E5410D9"/>
    <w:rsid w:val="7E6E2E4D"/>
    <w:rsid w:val="7E767848"/>
    <w:rsid w:val="7E8E21A9"/>
    <w:rsid w:val="7EA85A3A"/>
    <w:rsid w:val="7EBE6F11"/>
    <w:rsid w:val="7EC40A46"/>
    <w:rsid w:val="7EE30DF1"/>
    <w:rsid w:val="7EED169F"/>
    <w:rsid w:val="7F02245E"/>
    <w:rsid w:val="7F3C6183"/>
    <w:rsid w:val="7F611CD0"/>
    <w:rsid w:val="7F814F6E"/>
    <w:rsid w:val="7F833D8D"/>
    <w:rsid w:val="7FE85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footnote text"/>
    <w:basedOn w:val="1"/>
    <w:link w:val="95"/>
    <w:unhideWhenUsed/>
    <w:qFormat/>
    <w:uiPriority w:val="99"/>
    <w:pPr>
      <w:snapToGrid w:val="0"/>
      <w:jc w:val="left"/>
    </w:pPr>
    <w:rPr>
      <w:sz w:val="18"/>
      <w:szCs w:val="18"/>
    </w:rPr>
  </w:style>
  <w:style w:type="paragraph" w:styleId="6">
    <w:name w:val="toc 7"/>
    <w:basedOn w:val="1"/>
    <w:next w:val="1"/>
    <w:qFormat/>
    <w:uiPriority w:val="39"/>
    <w:pPr>
      <w:ind w:left="2520" w:leftChars="1200"/>
    </w:p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widowControl/>
      <w:spacing w:before="120"/>
      <w:ind w:firstLine="3584"/>
    </w:pPr>
  </w:style>
  <w:style w:type="paragraph" w:styleId="9">
    <w:name w:val="annotation text"/>
    <w:basedOn w:val="1"/>
    <w:link w:val="48"/>
    <w:qFormat/>
    <w:uiPriority w:val="99"/>
    <w:pPr>
      <w:jc w:val="left"/>
    </w:pPr>
  </w:style>
  <w:style w:type="paragraph" w:styleId="10">
    <w:name w:val="Body Text"/>
    <w:basedOn w:val="1"/>
    <w:link w:val="44"/>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spacing w:line="360" w:lineRule="auto"/>
      <w:ind w:firstLine="570"/>
    </w:pPr>
    <w:rPr>
      <w:sz w:val="24"/>
    </w:rPr>
  </w:style>
  <w:style w:type="paragraph" w:styleId="12">
    <w:name w:val="Body Text First Indent 2"/>
    <w:basedOn w:val="11"/>
    <w:next w:val="7"/>
    <w:qFormat/>
    <w:uiPriority w:val="99"/>
    <w:pPr>
      <w:ind w:firstLine="420"/>
    </w:p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next w:val="16"/>
    <w:link w:val="49"/>
    <w:qFormat/>
    <w:uiPriority w:val="0"/>
    <w:rPr>
      <w:rFonts w:ascii="宋体" w:hAnsi="Courier New"/>
      <w:szCs w:val="20"/>
    </w:rPr>
  </w:style>
  <w:style w:type="paragraph" w:styleId="16">
    <w:name w:val="index 7"/>
    <w:basedOn w:val="1"/>
    <w:next w:val="1"/>
    <w:qFormat/>
    <w:uiPriority w:val="0"/>
    <w:pPr>
      <w:ind w:left="1200" w:leftChars="1200"/>
    </w:pPr>
  </w:style>
  <w:style w:type="paragraph" w:styleId="17">
    <w:name w:val="toc 8"/>
    <w:basedOn w:val="1"/>
    <w:next w:val="1"/>
    <w:qFormat/>
    <w:uiPriority w:val="39"/>
    <w:pPr>
      <w:ind w:left="2940" w:leftChars="1400"/>
    </w:pPr>
  </w:style>
  <w:style w:type="paragraph" w:styleId="18">
    <w:name w:val="Date"/>
    <w:basedOn w:val="1"/>
    <w:next w:val="1"/>
    <w:link w:val="50"/>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1"/>
    <w:qFormat/>
    <w:uiPriority w:val="0"/>
    <w:rPr>
      <w:sz w:val="18"/>
      <w:szCs w:val="18"/>
    </w:rPr>
  </w:style>
  <w:style w:type="paragraph" w:styleId="21">
    <w:name w:val="footer"/>
    <w:basedOn w:val="1"/>
    <w:link w:val="5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Body Text 2"/>
    <w:basedOn w:val="1"/>
    <w:unhideWhenUsed/>
    <w:qFormat/>
    <w:uiPriority w:val="99"/>
    <w:pPr>
      <w:spacing w:after="120" w:line="480" w:lineRule="auto"/>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0"/>
    <w:pPr>
      <w:spacing w:before="75" w:after="75"/>
      <w:jc w:val="left"/>
    </w:pPr>
    <w:rPr>
      <w:kern w:val="0"/>
      <w:sz w:val="24"/>
    </w:rPr>
  </w:style>
  <w:style w:type="paragraph" w:styleId="32">
    <w:name w:val="index 1"/>
    <w:basedOn w:val="1"/>
    <w:next w:val="1"/>
    <w:semiHidden/>
    <w:qFormat/>
    <w:uiPriority w:val="0"/>
    <w:rPr>
      <w:szCs w:val="20"/>
    </w:rPr>
  </w:style>
  <w:style w:type="paragraph" w:styleId="33">
    <w:name w:val="Title"/>
    <w:basedOn w:val="1"/>
    <w:next w:val="1"/>
    <w:qFormat/>
    <w:uiPriority w:val="10"/>
    <w:pPr>
      <w:spacing w:before="240" w:after="60"/>
      <w:jc w:val="center"/>
      <w:outlineLvl w:val="0"/>
    </w:pPr>
    <w:rPr>
      <w:rFonts w:ascii="Calibri Light" w:hAnsi="Calibri Light" w:cs="宋体"/>
      <w:b/>
      <w:bCs/>
      <w:sz w:val="32"/>
      <w:szCs w:val="32"/>
    </w:rPr>
  </w:style>
  <w:style w:type="paragraph" w:styleId="34">
    <w:name w:val="annotation subject"/>
    <w:basedOn w:val="9"/>
    <w:next w:val="9"/>
    <w:link w:val="54"/>
    <w:qFormat/>
    <w:uiPriority w:val="0"/>
    <w:rPr>
      <w:b/>
      <w:bCs/>
    </w:rPr>
  </w:style>
  <w:style w:type="paragraph" w:styleId="35">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customStyle="1" w:styleId="43">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44">
    <w:name w:val="正文文本 Char"/>
    <w:link w:val="10"/>
    <w:qFormat/>
    <w:uiPriority w:val="0"/>
    <w:rPr>
      <w:rFonts w:ascii="宋体" w:hAnsi="宋体"/>
      <w:kern w:val="2"/>
      <w:sz w:val="24"/>
      <w:szCs w:val="24"/>
    </w:rPr>
  </w:style>
  <w:style w:type="character" w:customStyle="1" w:styleId="45">
    <w:name w:val="标题 1 Char"/>
    <w:link w:val="3"/>
    <w:qFormat/>
    <w:uiPriority w:val="0"/>
    <w:rPr>
      <w:rFonts w:ascii="宋体"/>
      <w:b/>
      <w:kern w:val="44"/>
      <w:sz w:val="32"/>
    </w:rPr>
  </w:style>
  <w:style w:type="character" w:customStyle="1" w:styleId="46">
    <w:name w:val="标题 2 Char"/>
    <w:link w:val="4"/>
    <w:qFormat/>
    <w:uiPriority w:val="0"/>
    <w:rPr>
      <w:rFonts w:ascii="Arial" w:hAnsi="Arial" w:eastAsia="黑体"/>
      <w:b/>
      <w:sz w:val="30"/>
    </w:rPr>
  </w:style>
  <w:style w:type="character" w:customStyle="1" w:styleId="47">
    <w:name w:val="标题 3 Char"/>
    <w:link w:val="5"/>
    <w:qFormat/>
    <w:uiPriority w:val="0"/>
    <w:rPr>
      <w:rFonts w:ascii="宋体"/>
      <w:b/>
      <w:sz w:val="24"/>
      <w:u w:val="single"/>
    </w:rPr>
  </w:style>
  <w:style w:type="character" w:customStyle="1" w:styleId="48">
    <w:name w:val="批注文字 Char"/>
    <w:link w:val="9"/>
    <w:qFormat/>
    <w:uiPriority w:val="99"/>
    <w:rPr>
      <w:kern w:val="2"/>
      <w:sz w:val="21"/>
      <w:szCs w:val="24"/>
    </w:rPr>
  </w:style>
  <w:style w:type="character" w:customStyle="1" w:styleId="49">
    <w:name w:val="纯文本 Char"/>
    <w:link w:val="15"/>
    <w:qFormat/>
    <w:uiPriority w:val="0"/>
    <w:rPr>
      <w:rFonts w:ascii="宋体" w:hAnsi="Courier New"/>
      <w:kern w:val="2"/>
      <w:sz w:val="21"/>
    </w:rPr>
  </w:style>
  <w:style w:type="character" w:customStyle="1" w:styleId="50">
    <w:name w:val="日期 Char"/>
    <w:link w:val="18"/>
    <w:qFormat/>
    <w:uiPriority w:val="0"/>
    <w:rPr>
      <w:rFonts w:ascii="仿宋_GB2312" w:hAnsi="宋体" w:eastAsia="仿宋_GB2312"/>
      <w:color w:val="000000"/>
      <w:kern w:val="2"/>
      <w:sz w:val="24"/>
      <w:szCs w:val="24"/>
    </w:rPr>
  </w:style>
  <w:style w:type="character" w:customStyle="1" w:styleId="51">
    <w:name w:val="批注框文本 Char"/>
    <w:link w:val="20"/>
    <w:qFormat/>
    <w:uiPriority w:val="0"/>
    <w:rPr>
      <w:kern w:val="2"/>
      <w:sz w:val="18"/>
      <w:szCs w:val="18"/>
    </w:rPr>
  </w:style>
  <w:style w:type="character" w:customStyle="1" w:styleId="52">
    <w:name w:val="页脚 Char"/>
    <w:link w:val="21"/>
    <w:qFormat/>
    <w:uiPriority w:val="99"/>
    <w:rPr>
      <w:rFonts w:ascii="宋体"/>
      <w:sz w:val="18"/>
    </w:rPr>
  </w:style>
  <w:style w:type="character" w:customStyle="1" w:styleId="53">
    <w:name w:val="页眉 Char"/>
    <w:link w:val="22"/>
    <w:qFormat/>
    <w:uiPriority w:val="0"/>
    <w:rPr>
      <w:kern w:val="2"/>
      <w:sz w:val="18"/>
      <w:szCs w:val="18"/>
    </w:rPr>
  </w:style>
  <w:style w:type="character" w:customStyle="1" w:styleId="54">
    <w:name w:val="批注主题 Char"/>
    <w:link w:val="34"/>
    <w:qFormat/>
    <w:uiPriority w:val="0"/>
    <w:rPr>
      <w:b/>
      <w:bCs/>
      <w:kern w:val="2"/>
      <w:sz w:val="21"/>
      <w:szCs w:val="24"/>
    </w:rPr>
  </w:style>
  <w:style w:type="paragraph" w:customStyle="1" w:styleId="55">
    <w:name w:val="列出段落1"/>
    <w:basedOn w:val="1"/>
    <w:qFormat/>
    <w:uiPriority w:val="34"/>
    <w:pPr>
      <w:widowControl/>
      <w:ind w:firstLine="420" w:firstLineChars="200"/>
      <w:jc w:val="left"/>
    </w:pPr>
    <w:rPr>
      <w:kern w:val="0"/>
      <w:sz w:val="24"/>
    </w:rPr>
  </w:style>
  <w:style w:type="character" w:customStyle="1" w:styleId="56">
    <w:name w:val="font201"/>
    <w:basedOn w:val="38"/>
    <w:qFormat/>
    <w:uiPriority w:val="0"/>
    <w:rPr>
      <w:rFonts w:hint="eastAsia" w:ascii="微软雅黑" w:hAnsi="微软雅黑" w:eastAsia="微软雅黑" w:cs="微软雅黑"/>
      <w:color w:val="000000"/>
      <w:sz w:val="24"/>
      <w:szCs w:val="24"/>
      <w:u w:val="none"/>
    </w:rPr>
  </w:style>
  <w:style w:type="character" w:customStyle="1" w:styleId="57">
    <w:name w:val="批注框文本 Char1"/>
    <w:semiHidden/>
    <w:qFormat/>
    <w:uiPriority w:val="99"/>
    <w:rPr>
      <w:kern w:val="2"/>
      <w:sz w:val="18"/>
      <w:szCs w:val="18"/>
    </w:rPr>
  </w:style>
  <w:style w:type="character" w:customStyle="1" w:styleId="58">
    <w:name w:val="批注主题 Char1"/>
    <w:semiHidden/>
    <w:qFormat/>
    <w:uiPriority w:val="99"/>
    <w:rPr>
      <w:b/>
      <w:bCs/>
      <w:kern w:val="2"/>
      <w:sz w:val="21"/>
      <w:szCs w:val="24"/>
    </w:rPr>
  </w:style>
  <w:style w:type="character" w:customStyle="1" w:styleId="59">
    <w:name w:val="font122"/>
    <w:basedOn w:val="38"/>
    <w:qFormat/>
    <w:uiPriority w:val="0"/>
    <w:rPr>
      <w:rFonts w:ascii="宋体" w:hAnsi="宋体" w:eastAsia="宋体" w:cs="宋体"/>
      <w:color w:val="000000"/>
      <w:sz w:val="24"/>
      <w:szCs w:val="24"/>
      <w:u w:val="none"/>
    </w:rPr>
  </w:style>
  <w:style w:type="character" w:customStyle="1" w:styleId="60">
    <w:name w:val="font11"/>
    <w:qFormat/>
    <w:uiPriority w:val="0"/>
    <w:rPr>
      <w:rFonts w:hint="eastAsia" w:ascii="宋体" w:hAnsi="宋体" w:eastAsia="宋体" w:cs="宋体"/>
      <w:color w:val="000000"/>
      <w:sz w:val="20"/>
      <w:szCs w:val="20"/>
      <w:u w:val="none"/>
      <w:vertAlign w:val="superscript"/>
    </w:rPr>
  </w:style>
  <w:style w:type="character" w:customStyle="1" w:styleId="61">
    <w:name w:val="font41"/>
    <w:basedOn w:val="38"/>
    <w:qFormat/>
    <w:uiPriority w:val="0"/>
    <w:rPr>
      <w:rFonts w:hint="eastAsia" w:ascii="微软雅黑" w:hAnsi="微软雅黑" w:eastAsia="微软雅黑" w:cs="微软雅黑"/>
      <w:color w:val="000000"/>
      <w:sz w:val="24"/>
      <w:szCs w:val="24"/>
      <w:u w:val="none"/>
    </w:rPr>
  </w:style>
  <w:style w:type="character" w:customStyle="1" w:styleId="62">
    <w:name w:val="正文缩进 Char1"/>
    <w:link w:val="63"/>
    <w:qFormat/>
    <w:uiPriority w:val="0"/>
    <w:rPr>
      <w:rFonts w:ascii="宋体"/>
      <w:sz w:val="24"/>
    </w:rPr>
  </w:style>
  <w:style w:type="paragraph" w:customStyle="1" w:styleId="63">
    <w:name w:val="正文缩进1"/>
    <w:basedOn w:val="1"/>
    <w:link w:val="62"/>
    <w:qFormat/>
    <w:uiPriority w:val="0"/>
    <w:pPr>
      <w:autoSpaceDE w:val="0"/>
      <w:autoSpaceDN w:val="0"/>
      <w:adjustRightInd w:val="0"/>
      <w:ind w:firstLine="420"/>
      <w:jc w:val="left"/>
    </w:pPr>
    <w:rPr>
      <w:rFonts w:ascii="宋体"/>
      <w:kern w:val="0"/>
      <w:sz w:val="24"/>
      <w:szCs w:val="20"/>
    </w:rPr>
  </w:style>
  <w:style w:type="character" w:customStyle="1" w:styleId="64">
    <w:name w:val="font01"/>
    <w:qFormat/>
    <w:uiPriority w:val="0"/>
    <w:rPr>
      <w:rFonts w:hint="eastAsia" w:ascii="宋体" w:hAnsi="宋体" w:eastAsia="宋体" w:cs="宋体"/>
      <w:color w:val="000000"/>
      <w:sz w:val="22"/>
      <w:szCs w:val="22"/>
      <w:u w:val="none"/>
    </w:rPr>
  </w:style>
  <w:style w:type="character" w:customStyle="1" w:styleId="65">
    <w:name w:val="font191"/>
    <w:basedOn w:val="38"/>
    <w:qFormat/>
    <w:uiPriority w:val="0"/>
    <w:rPr>
      <w:rFonts w:ascii="宋体" w:hAnsi="宋体" w:eastAsia="宋体" w:cs="宋体"/>
      <w:color w:val="000000"/>
      <w:sz w:val="24"/>
      <w:szCs w:val="24"/>
      <w:u w:val="none"/>
    </w:rPr>
  </w:style>
  <w:style w:type="character" w:customStyle="1" w:styleId="66">
    <w:name w:val="页眉 Char1"/>
    <w:semiHidden/>
    <w:qFormat/>
    <w:uiPriority w:val="99"/>
    <w:rPr>
      <w:kern w:val="2"/>
      <w:sz w:val="18"/>
      <w:szCs w:val="18"/>
    </w:rPr>
  </w:style>
  <w:style w:type="character" w:customStyle="1" w:styleId="67">
    <w:name w:val="font212"/>
    <w:basedOn w:val="38"/>
    <w:qFormat/>
    <w:uiPriority w:val="0"/>
    <w:rPr>
      <w:rFonts w:hint="eastAsia" w:ascii="微软雅黑" w:hAnsi="微软雅黑" w:eastAsia="微软雅黑" w:cs="微软雅黑"/>
      <w:color w:val="000000"/>
      <w:sz w:val="24"/>
      <w:szCs w:val="24"/>
      <w:u w:val="none"/>
    </w:rPr>
  </w:style>
  <w:style w:type="character" w:customStyle="1" w:styleId="68">
    <w:name w:val="font111"/>
    <w:basedOn w:val="38"/>
    <w:qFormat/>
    <w:uiPriority w:val="0"/>
    <w:rPr>
      <w:rFonts w:hint="default" w:ascii="Times New Roman" w:hAnsi="Times New Roman" w:cs="Times New Roman"/>
      <w:color w:val="000000"/>
      <w:sz w:val="24"/>
      <w:szCs w:val="24"/>
      <w:u w:val="none"/>
    </w:rPr>
  </w:style>
  <w:style w:type="character" w:customStyle="1" w:styleId="69">
    <w:name w:val="纯文本 Char1"/>
    <w:link w:val="70"/>
    <w:qFormat/>
    <w:uiPriority w:val="0"/>
    <w:rPr>
      <w:rFonts w:ascii="宋体" w:hAnsi="Courier New"/>
    </w:rPr>
  </w:style>
  <w:style w:type="paragraph" w:customStyle="1" w:styleId="70">
    <w:name w:val="纯文本1"/>
    <w:basedOn w:val="1"/>
    <w:link w:val="69"/>
    <w:qFormat/>
    <w:uiPriority w:val="0"/>
    <w:rPr>
      <w:rFonts w:ascii="宋体" w:hAnsi="Courier New"/>
      <w:kern w:val="0"/>
      <w:sz w:val="20"/>
      <w:szCs w:val="20"/>
    </w:rPr>
  </w:style>
  <w:style w:type="character" w:customStyle="1" w:styleId="71">
    <w:name w:val="font171"/>
    <w:basedOn w:val="38"/>
    <w:qFormat/>
    <w:uiPriority w:val="0"/>
    <w:rPr>
      <w:rFonts w:hint="eastAsia" w:ascii="微软雅黑" w:hAnsi="微软雅黑" w:eastAsia="微软雅黑" w:cs="微软雅黑"/>
      <w:color w:val="000000"/>
      <w:sz w:val="24"/>
      <w:szCs w:val="24"/>
      <w:u w:val="none"/>
    </w:rPr>
  </w:style>
  <w:style w:type="character" w:customStyle="1" w:styleId="72">
    <w:name w:val="font12"/>
    <w:basedOn w:val="38"/>
    <w:qFormat/>
    <w:uiPriority w:val="0"/>
    <w:rPr>
      <w:rFonts w:hint="default" w:ascii="Times New Roman" w:hAnsi="Times New Roman" w:cs="Times New Roman"/>
      <w:color w:val="000000"/>
      <w:sz w:val="24"/>
      <w:szCs w:val="24"/>
      <w:u w:val="none"/>
    </w:rPr>
  </w:style>
  <w:style w:type="character" w:customStyle="1" w:styleId="73">
    <w:name w:val="font121"/>
    <w:basedOn w:val="38"/>
    <w:qFormat/>
    <w:uiPriority w:val="0"/>
    <w:rPr>
      <w:rFonts w:ascii="宋体" w:hAnsi="宋体" w:eastAsia="宋体" w:cs="宋体"/>
      <w:color w:val="000000"/>
      <w:sz w:val="24"/>
      <w:szCs w:val="24"/>
      <w:u w:val="none"/>
    </w:rPr>
  </w:style>
  <w:style w:type="character" w:customStyle="1" w:styleId="74">
    <w:name w:val="font131"/>
    <w:basedOn w:val="38"/>
    <w:qFormat/>
    <w:uiPriority w:val="0"/>
    <w:rPr>
      <w:rFonts w:hint="default" w:ascii="Times New Roman" w:hAnsi="Times New Roman" w:cs="Times New Roman"/>
      <w:color w:val="000000"/>
      <w:sz w:val="24"/>
      <w:szCs w:val="24"/>
      <w:u w:val="none"/>
    </w:rPr>
  </w:style>
  <w:style w:type="character" w:customStyle="1" w:styleId="75">
    <w:name w:val="font181"/>
    <w:basedOn w:val="38"/>
    <w:qFormat/>
    <w:uiPriority w:val="0"/>
    <w:rPr>
      <w:rFonts w:hint="default" w:ascii="Times New Roman" w:hAnsi="Times New Roman" w:cs="Times New Roman"/>
      <w:color w:val="000000"/>
      <w:sz w:val="24"/>
      <w:szCs w:val="24"/>
      <w:u w:val="none"/>
    </w:rPr>
  </w:style>
  <w:style w:type="character" w:customStyle="1" w:styleId="76">
    <w:name w:val="font31"/>
    <w:qFormat/>
    <w:uiPriority w:val="0"/>
    <w:rPr>
      <w:rFonts w:hint="eastAsia" w:ascii="宋体" w:hAnsi="宋体" w:eastAsia="宋体" w:cs="宋体"/>
      <w:color w:val="000000"/>
      <w:sz w:val="24"/>
      <w:szCs w:val="24"/>
      <w:u w:val="none"/>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批注文字 Char1"/>
    <w:semiHidden/>
    <w:qFormat/>
    <w:uiPriority w:val="99"/>
    <w:rPr>
      <w:kern w:val="2"/>
      <w:sz w:val="21"/>
      <w:szCs w:val="24"/>
    </w:rPr>
  </w:style>
  <w:style w:type="character" w:customStyle="1" w:styleId="79">
    <w:name w:val="font141"/>
    <w:basedOn w:val="38"/>
    <w:qFormat/>
    <w:uiPriority w:val="0"/>
    <w:rPr>
      <w:rFonts w:hint="eastAsia" w:ascii="微软雅黑" w:hAnsi="微软雅黑" w:eastAsia="微软雅黑" w:cs="微软雅黑"/>
      <w:color w:val="000000"/>
      <w:sz w:val="24"/>
      <w:szCs w:val="24"/>
      <w:u w:val="none"/>
    </w:rPr>
  </w:style>
  <w:style w:type="paragraph" w:customStyle="1" w:styleId="80">
    <w:name w:val="索引 11"/>
    <w:basedOn w:val="1"/>
    <w:next w:val="1"/>
    <w:qFormat/>
    <w:uiPriority w:val="0"/>
    <w:pPr>
      <w:spacing w:line="360" w:lineRule="auto"/>
    </w:pPr>
    <w:rPr>
      <w:rFonts w:ascii="仿宋_GB2312" w:eastAsia="仿宋_GB2312"/>
      <w:sz w:val="24"/>
      <w:szCs w:val="20"/>
    </w:rPr>
  </w:style>
  <w:style w:type="paragraph" w:customStyle="1" w:styleId="81">
    <w:name w:val="Char"/>
    <w:basedOn w:val="1"/>
    <w:qFormat/>
    <w:uiPriority w:val="0"/>
    <w:pPr>
      <w:tabs>
        <w:tab w:val="left" w:pos="360"/>
      </w:tabs>
    </w:pPr>
    <w:rPr>
      <w:sz w:val="24"/>
    </w:rPr>
  </w:style>
  <w:style w:type="paragraph" w:styleId="82">
    <w:name w:val="List Paragraph"/>
    <w:basedOn w:val="1"/>
    <w:qFormat/>
    <w:uiPriority w:val="34"/>
    <w:pPr>
      <w:ind w:firstLine="420" w:firstLineChars="200"/>
    </w:pPr>
  </w:style>
  <w:style w:type="paragraph" w:customStyle="1" w:styleId="83">
    <w:name w:val="z-窗体顶端1"/>
    <w:basedOn w:val="1"/>
    <w:qFormat/>
    <w:uiPriority w:val="0"/>
    <w:pPr>
      <w:ind w:firstLine="420" w:firstLineChars="200"/>
    </w:pPr>
  </w:style>
  <w:style w:type="paragraph" w:customStyle="1" w:styleId="84">
    <w:name w:val="Heading3"/>
    <w:basedOn w:val="1"/>
    <w:next w:val="1"/>
    <w:qFormat/>
    <w:uiPriority w:val="0"/>
    <w:pPr>
      <w:keepNext/>
      <w:keepLines/>
      <w:spacing w:before="360" w:after="120"/>
      <w:jc w:val="left"/>
      <w:textAlignment w:val="baseline"/>
    </w:pPr>
    <w:rPr>
      <w:rFonts w:ascii="宋体"/>
      <w:b/>
      <w:kern w:val="0"/>
      <w:sz w:val="24"/>
      <w:szCs w:val="20"/>
      <w:u w:val="single"/>
    </w:rPr>
  </w:style>
  <w:style w:type="paragraph" w:customStyle="1" w:styleId="85">
    <w:name w:val="列出段落2"/>
    <w:basedOn w:val="1"/>
    <w:qFormat/>
    <w:uiPriority w:val="34"/>
    <w:pPr>
      <w:widowControl/>
      <w:ind w:firstLine="420" w:firstLineChars="200"/>
      <w:jc w:val="left"/>
    </w:pPr>
    <w:rPr>
      <w:kern w:val="0"/>
      <w:sz w:val="24"/>
    </w:rPr>
  </w:style>
  <w:style w:type="paragraph" w:customStyle="1" w:styleId="8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7">
    <w:name w:val="WPSOffice手动目录 2"/>
    <w:qFormat/>
    <w:uiPriority w:val="0"/>
    <w:pPr>
      <w:ind w:left="200" w:leftChars="200"/>
    </w:pPr>
    <w:rPr>
      <w:rFonts w:ascii="Calibri" w:hAnsi="Calibri" w:eastAsia="宋体" w:cs="Times New Roman"/>
      <w:kern w:val="2"/>
      <w:sz w:val="24"/>
      <w:szCs w:val="24"/>
      <w:lang w:val="en-US" w:eastAsia="zh-CN" w:bidi="ar-SA"/>
    </w:rPr>
  </w:style>
  <w:style w:type="paragraph" w:customStyle="1" w:styleId="88">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89">
    <w:name w:val="普通(网站)1"/>
    <w:basedOn w:val="1"/>
    <w:qFormat/>
    <w:uiPriority w:val="2"/>
    <w:pPr>
      <w:spacing w:before="75" w:after="75"/>
      <w:jc w:val="left"/>
    </w:pPr>
    <w:rPr>
      <w:kern w:val="0"/>
      <w:sz w:val="24"/>
    </w:rPr>
  </w:style>
  <w:style w:type="paragraph" w:customStyle="1" w:styleId="9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1">
    <w:name w:val="4正文"/>
    <w:basedOn w:val="1"/>
    <w:qFormat/>
    <w:uiPriority w:val="0"/>
    <w:pPr>
      <w:jc w:val="left"/>
    </w:pPr>
  </w:style>
  <w:style w:type="paragraph" w:customStyle="1" w:styleId="9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标题 2 + Times New Roman 四号 非加粗 段前: 5 磅 段后: 0 磅 行距: 固定值 20..."/>
    <w:basedOn w:val="4"/>
    <w:autoRedefine/>
    <w:qFormat/>
    <w:uiPriority w:val="0"/>
    <w:pPr>
      <w:spacing w:before="100" w:line="400" w:lineRule="exact"/>
      <w:ind w:left="1080" w:firstLine="562"/>
    </w:pPr>
    <w:rPr>
      <w:rFonts w:ascii="仿宋" w:hAnsi="仿宋" w:eastAsia="仿宋" w:cs="宋体"/>
      <w:color w:val="FF0000"/>
      <w:sz w:val="28"/>
      <w:szCs w:val="28"/>
    </w:rPr>
  </w:style>
  <w:style w:type="paragraph" w:customStyle="1" w:styleId="94">
    <w:name w:val="正文文本1"/>
    <w:basedOn w:val="1"/>
    <w:autoRedefine/>
    <w:qFormat/>
    <w:uiPriority w:val="0"/>
    <w:pPr>
      <w:shd w:val="clear" w:color="auto" w:fill="FFFFFF"/>
      <w:spacing w:line="384" w:lineRule="auto"/>
      <w:ind w:firstLine="10"/>
    </w:pPr>
    <w:rPr>
      <w:rFonts w:ascii="宋体" w:hAnsi="宋体" w:cs="宋体"/>
      <w:lang w:val="zh-CN" w:bidi="zh-CN"/>
    </w:rPr>
  </w:style>
  <w:style w:type="character" w:customStyle="1" w:styleId="95">
    <w:name w:val="脚注文本 Char"/>
    <w:basedOn w:val="38"/>
    <w:link w:val="2"/>
    <w:qFormat/>
    <w:uiPriority w:val="99"/>
    <w:rPr>
      <w:kern w:val="2"/>
      <w:sz w:val="18"/>
      <w:szCs w:val="18"/>
    </w:rPr>
  </w:style>
  <w:style w:type="table" w:customStyle="1" w:styleId="96">
    <w:name w:val="Table Normal"/>
    <w:autoRedefine/>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97">
    <w:name w:val="Table Text"/>
    <w:basedOn w:val="1"/>
    <w:semiHidden/>
    <w:qFormat/>
    <w:uiPriority w:val="0"/>
    <w:rPr>
      <w:rFonts w:ascii="宋体" w:hAnsi="宋体" w:cs="宋体"/>
      <w:sz w:val="18"/>
      <w:szCs w:val="18"/>
      <w:lang w:eastAsia="en-US"/>
    </w:rPr>
  </w:style>
  <w:style w:type="character" w:customStyle="1" w:styleId="98">
    <w:name w:val="bookmark-item"/>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08B6A-A299-4B66-82C1-D4B1E7895A30}">
  <ds:schemaRefs/>
</ds:datastoreItem>
</file>

<file path=docProps/app.xml><?xml version="1.0" encoding="utf-8"?>
<Properties xmlns="http://schemas.openxmlformats.org/officeDocument/2006/extended-properties" xmlns:vt="http://schemas.openxmlformats.org/officeDocument/2006/docPropsVTypes">
  <Template>Normal</Template>
  <Pages>76</Pages>
  <Words>19904</Words>
  <Characters>21011</Characters>
  <Lines>363</Lines>
  <Paragraphs>102</Paragraphs>
  <TotalTime>434</TotalTime>
  <ScaleCrop>false</ScaleCrop>
  <LinksUpToDate>false</LinksUpToDate>
  <CharactersWithSpaces>24383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批注</cp:lastModifiedBy>
  <cp:lastPrinted>2026-04-02T06:18:00Z</cp:lastPrinted>
  <dcterms:modified xsi:type="dcterms:W3CDTF">2026-04-02T09:39:08Z</dcterms:modified>
  <dc:title>02年杜范本稿</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B42211311838414CA8677750FCA01FD7_13</vt:lpwstr>
  </property>
  <property fmtid="{D5CDD505-2E9C-101B-9397-08002B2CF9AE}" pid="4" name="KSOTemplateDocerSaveRecord">
    <vt:lpwstr>eyJoZGlkIjoiN2JiNjU5NTVhZDJmMmQ1MmVlYzk2MTkxYzdiY2E1OGQiLCJ1c2VySWQiOiI1NzM1ODc2NjYifQ==</vt:lpwstr>
  </property>
</Properties>
</file>